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6BC3E" w14:textId="7823E035" w:rsidR="00E0520B" w:rsidRPr="00C52EC0" w:rsidRDefault="009A6291" w:rsidP="00C52EC0">
      <w:pPr>
        <w:pStyle w:val="Title"/>
        <w:tabs>
          <w:tab w:val="center" w:pos="4680"/>
          <w:tab w:val="right" w:pos="9360"/>
        </w:tabs>
        <w:spacing w:after="0" w:line="240" w:lineRule="auto"/>
        <w:rPr>
          <w:sz w:val="32"/>
          <w:szCs w:val="32"/>
        </w:rPr>
      </w:pPr>
      <w:r w:rsidRPr="00C52EC0">
        <w:rPr>
          <w:sz w:val="32"/>
          <w:szCs w:val="32"/>
        </w:rPr>
        <w:t>Adult Education and Literacy</w:t>
      </w:r>
    </w:p>
    <w:p w14:paraId="7330325B" w14:textId="6B0F7396" w:rsidR="00147A67" w:rsidRPr="00C52EC0" w:rsidRDefault="00E0520B" w:rsidP="00C52EC0">
      <w:pPr>
        <w:pStyle w:val="Title"/>
        <w:tabs>
          <w:tab w:val="center" w:pos="4680"/>
          <w:tab w:val="right" w:pos="9360"/>
        </w:tabs>
        <w:spacing w:before="0" w:after="0" w:line="240" w:lineRule="auto"/>
        <w:rPr>
          <w:sz w:val="32"/>
          <w:szCs w:val="32"/>
        </w:rPr>
      </w:pPr>
      <w:r w:rsidRPr="00C52EC0">
        <w:rPr>
          <w:sz w:val="32"/>
          <w:szCs w:val="32"/>
        </w:rPr>
        <w:t xml:space="preserve">Federal </w:t>
      </w:r>
      <w:r w:rsidR="00380A6A" w:rsidRPr="00C52EC0">
        <w:rPr>
          <w:sz w:val="32"/>
          <w:szCs w:val="32"/>
        </w:rPr>
        <w:t xml:space="preserve">Narrative Report – Program Year 2020 </w:t>
      </w:r>
      <w:r w:rsidR="00C763C4">
        <w:rPr>
          <w:sz w:val="32"/>
          <w:szCs w:val="32"/>
        </w:rPr>
        <w:t xml:space="preserve">(State Fiscal </w:t>
      </w:r>
      <w:r w:rsidR="006E3080">
        <w:rPr>
          <w:sz w:val="32"/>
          <w:szCs w:val="32"/>
        </w:rPr>
        <w:t>Y</w:t>
      </w:r>
      <w:r w:rsidR="00C763C4">
        <w:rPr>
          <w:sz w:val="32"/>
          <w:szCs w:val="32"/>
        </w:rPr>
        <w:t>ear 2021</w:t>
      </w:r>
      <w:r w:rsidR="007376C5" w:rsidRPr="00C52EC0">
        <w:rPr>
          <w:sz w:val="32"/>
          <w:szCs w:val="32"/>
        </w:rPr>
        <w:t xml:space="preserve">) </w:t>
      </w:r>
    </w:p>
    <w:p w14:paraId="2FD56F71" w14:textId="77777777" w:rsidR="000646C4" w:rsidRDefault="00545899" w:rsidP="00E02E35">
      <w:pPr>
        <w:pStyle w:val="Heading1"/>
        <w:tabs>
          <w:tab w:val="left" w:pos="7500"/>
        </w:tabs>
      </w:pPr>
      <w:r>
        <w:t xml:space="preserve">1. </w:t>
      </w:r>
      <w:r w:rsidR="00F86FB5">
        <w:t>State Leadership Funds (AEFLA Section 223)</w:t>
      </w:r>
    </w:p>
    <w:p w14:paraId="2A212123" w14:textId="18002B69" w:rsidR="000646C4" w:rsidRDefault="000646C4" w:rsidP="000646C4">
      <w:pPr>
        <w:widowControl w:val="0"/>
      </w:pPr>
      <w:r>
        <w:t xml:space="preserve">Leadership funds are used to support the State Director’s and Database Coordinator’s salary as both engage in professional development, technical assistance, and continuous monitoring of </w:t>
      </w:r>
      <w:r w:rsidR="003E2FFB">
        <w:t>Adult Education and Literacy (</w:t>
      </w:r>
      <w:r w:rsidR="00DE643B">
        <w:t>AEL</w:t>
      </w:r>
      <w:r w:rsidR="003E2FFB">
        <w:t>)</w:t>
      </w:r>
      <w:r w:rsidR="00DE643B">
        <w:t xml:space="preserve"> provider</w:t>
      </w:r>
      <w:r w:rsidR="003E2FFB">
        <w:t xml:space="preserve"> activities under </w:t>
      </w:r>
      <w:r w:rsidR="00FF2A80">
        <w:t>S</w:t>
      </w:r>
      <w:r w:rsidR="003E2FFB">
        <w:t xml:space="preserve">tate and Federal AEL </w:t>
      </w:r>
      <w:r w:rsidR="00DF03A4">
        <w:t xml:space="preserve">grant </w:t>
      </w:r>
      <w:r w:rsidR="003E2FFB">
        <w:t>funds</w:t>
      </w:r>
      <w:r w:rsidR="00DE643B">
        <w:t>.</w:t>
      </w:r>
      <w:r w:rsidR="00DB4BD3">
        <w:t xml:space="preserve"> The AEL team sits within the Student Pathways Division of the </w:t>
      </w:r>
      <w:r w:rsidR="008D5DCB">
        <w:t>Vermont Agency of Education</w:t>
      </w:r>
      <w:r w:rsidR="00890652">
        <w:t xml:space="preserve"> (AOE)</w:t>
      </w:r>
      <w:r w:rsidR="008D5DCB">
        <w:t>.</w:t>
      </w:r>
    </w:p>
    <w:p w14:paraId="186C5115" w14:textId="15C54FFC" w:rsidR="00D6242A" w:rsidRPr="002F3D95" w:rsidRDefault="007178CE" w:rsidP="00F178C8">
      <w:r>
        <w:rPr>
          <w:b/>
          <w:bCs w:val="0"/>
        </w:rPr>
        <w:t xml:space="preserve">Alignment </w:t>
      </w:r>
      <w:r w:rsidRPr="007178CE">
        <w:t>with</w:t>
      </w:r>
      <w:r w:rsidR="00D6242A" w:rsidRPr="002F3D95">
        <w:t xml:space="preserve"> one-stop partners has been specific and targeted in</w:t>
      </w:r>
      <w:r w:rsidR="004343ED" w:rsidRPr="002F3D95">
        <w:t xml:space="preserve"> the reporting period and includes:</w:t>
      </w:r>
    </w:p>
    <w:p w14:paraId="691BB850" w14:textId="6DC38DE5" w:rsidR="004A095C" w:rsidRDefault="00580679" w:rsidP="007B01A7">
      <w:pPr>
        <w:pStyle w:val="ListParagraph"/>
        <w:widowControl w:val="0"/>
        <w:numPr>
          <w:ilvl w:val="0"/>
          <w:numId w:val="13"/>
        </w:numPr>
      </w:pPr>
      <w:r>
        <w:t xml:space="preserve">The development and implementation of </w:t>
      </w:r>
      <w:r w:rsidR="00723F63">
        <w:t xml:space="preserve">a data sharing </w:t>
      </w:r>
      <w:r w:rsidR="00890652">
        <w:t xml:space="preserve">process between the AOE and </w:t>
      </w:r>
      <w:r w:rsidR="00765FDB">
        <w:t>the Division of Vocational Rehabilitation</w:t>
      </w:r>
      <w:r w:rsidR="005A7D2F">
        <w:t xml:space="preserve"> (VR)</w:t>
      </w:r>
      <w:r w:rsidR="003A4761">
        <w:t xml:space="preserve">. </w:t>
      </w:r>
      <w:r w:rsidR="006C5C82">
        <w:t>An</w:t>
      </w:r>
      <w:r w:rsidR="003A4761">
        <w:t xml:space="preserve"> addendum to the overall data sharing agreement between the three WIOA core partners </w:t>
      </w:r>
      <w:r w:rsidR="00FA01E5">
        <w:t xml:space="preserve">was signed on </w:t>
      </w:r>
      <w:r w:rsidR="00637A26">
        <w:t>January 22, 2021</w:t>
      </w:r>
      <w:r w:rsidR="009B3293">
        <w:t xml:space="preserve"> and implementation began in April. </w:t>
      </w:r>
      <w:r w:rsidR="00351CAD">
        <w:t xml:space="preserve">Quarterly data matches between </w:t>
      </w:r>
      <w:r w:rsidR="005A7D2F">
        <w:t>AOE and VR ensure t</w:t>
      </w:r>
      <w:r w:rsidR="009B3293">
        <w:t>he a</w:t>
      </w:r>
      <w:r w:rsidR="00B12E72">
        <w:t>ccuracy of reporting</w:t>
      </w:r>
      <w:r w:rsidR="009B3293">
        <w:t xml:space="preserve"> co-enrollments between Title II and Title IV</w:t>
      </w:r>
      <w:r w:rsidR="00B12E72">
        <w:t xml:space="preserve"> as previously AEL was reporting co-enrollments </w:t>
      </w:r>
      <w:r w:rsidR="00427189">
        <w:t>with</w:t>
      </w:r>
      <w:r w:rsidR="00614C49">
        <w:t xml:space="preserve"> VR </w:t>
      </w:r>
      <w:r w:rsidR="00B12E72">
        <w:t xml:space="preserve">according to student </w:t>
      </w:r>
      <w:r w:rsidR="0066462D">
        <w:t>self-report</w:t>
      </w:r>
      <w:r w:rsidR="00E50015">
        <w:t>;</w:t>
      </w:r>
    </w:p>
    <w:p w14:paraId="2DBED347" w14:textId="13360C3F" w:rsidR="0066462D" w:rsidRDefault="0066462D" w:rsidP="007B01A7">
      <w:pPr>
        <w:pStyle w:val="ListParagraph"/>
        <w:widowControl w:val="0"/>
        <w:numPr>
          <w:ilvl w:val="0"/>
          <w:numId w:val="13"/>
        </w:numPr>
      </w:pPr>
      <w:r>
        <w:t xml:space="preserve">The development and implementation of </w:t>
      </w:r>
      <w:r w:rsidR="00EF5099">
        <w:t xml:space="preserve">a tracking system </w:t>
      </w:r>
      <w:r w:rsidR="003C5014">
        <w:t xml:space="preserve">for the Effectiveness in Serving Employers </w:t>
      </w:r>
      <w:r w:rsidR="007F3AED">
        <w:t xml:space="preserve">(EISE) </w:t>
      </w:r>
      <w:r w:rsidR="003C5014">
        <w:t xml:space="preserve">measure. For the first time, the AOE was able to provide </w:t>
      </w:r>
      <w:r w:rsidR="007F3AED">
        <w:t xml:space="preserve">data to the </w:t>
      </w:r>
      <w:r w:rsidR="00831B8E">
        <w:t>Vermont Department of Labor (</w:t>
      </w:r>
      <w:r w:rsidR="007F3AED">
        <w:t>DOL</w:t>
      </w:r>
      <w:r w:rsidR="00831B8E">
        <w:t>)</w:t>
      </w:r>
      <w:r w:rsidR="007F3AED">
        <w:t xml:space="preserve"> to be included in the Federal report for EISE due to </w:t>
      </w:r>
      <w:r w:rsidR="00064FC4">
        <w:t>a tracking system that the AOE</w:t>
      </w:r>
      <w:r w:rsidR="007E0C8C">
        <w:t xml:space="preserve"> and DOL</w:t>
      </w:r>
      <w:r w:rsidR="00064FC4">
        <w:t xml:space="preserve"> developed for AEL providers</w:t>
      </w:r>
      <w:r w:rsidR="009172A2">
        <w:t xml:space="preserve"> to submit for the reporting period.</w:t>
      </w:r>
      <w:r w:rsidR="00DF07FA">
        <w:t xml:space="preserve"> The data for the first year of implementation shows that AEL has a</w:t>
      </w:r>
      <w:r w:rsidR="00C83424">
        <w:t xml:space="preserve">n </w:t>
      </w:r>
      <w:r w:rsidR="00C83424" w:rsidRPr="00C83424">
        <w:t>important</w:t>
      </w:r>
      <w:r w:rsidR="00490A7D" w:rsidRPr="00C83424">
        <w:t xml:space="preserve"> </w:t>
      </w:r>
      <w:r w:rsidR="00DF07FA" w:rsidRPr="00C83424">
        <w:t xml:space="preserve">impact </w:t>
      </w:r>
      <w:r w:rsidR="00CE0F87" w:rsidRPr="00C83424">
        <w:t>on</w:t>
      </w:r>
      <w:r w:rsidR="00CE0F87">
        <w:t xml:space="preserve"> workforce development through the provision of services to Vermont employers</w:t>
      </w:r>
      <w:r w:rsidR="00283825">
        <w:t>:</w:t>
      </w:r>
      <w:r w:rsidR="00490A7D">
        <w:t xml:space="preserve"> </w:t>
      </w:r>
      <w:r w:rsidR="00490A7D" w:rsidRPr="00490A7D">
        <w:t xml:space="preserve">AEL </w:t>
      </w:r>
      <w:r w:rsidR="00EE024F">
        <w:t>served</w:t>
      </w:r>
      <w:r w:rsidR="00490A7D" w:rsidRPr="00490A7D">
        <w:t xml:space="preserve"> 45 employers in Vermont during FY21, with 5 employers receiving services more than once (classified as Repeat Business Customers). Twenty-six or 58% received Employer Information and Support Services, 8 or 18% received A</w:t>
      </w:r>
      <w:r w:rsidR="00634FD4">
        <w:t>cc</w:t>
      </w:r>
      <w:r w:rsidR="00490A7D" w:rsidRPr="00490A7D">
        <w:t>essing Untapped Labor Pools services and 9 or 20% received Training services</w:t>
      </w:r>
      <w:r w:rsidR="00005CBF">
        <w:t xml:space="preserve"> </w:t>
      </w:r>
      <w:r w:rsidR="00FC627F">
        <w:t>(access to training services through IET programs)</w:t>
      </w:r>
      <w:r w:rsidR="00A519C1">
        <w:t>;</w:t>
      </w:r>
      <w:r w:rsidR="00E50015">
        <w:t xml:space="preserve"> and,</w:t>
      </w:r>
    </w:p>
    <w:p w14:paraId="0A593355" w14:textId="75644238" w:rsidR="00A519C1" w:rsidRDefault="00A519C1" w:rsidP="007B01A7">
      <w:pPr>
        <w:pStyle w:val="ListParagraph"/>
        <w:widowControl w:val="0"/>
        <w:numPr>
          <w:ilvl w:val="0"/>
          <w:numId w:val="13"/>
        </w:numPr>
      </w:pPr>
      <w:r>
        <w:t xml:space="preserve">Meetings and communication with DOL staff and </w:t>
      </w:r>
      <w:r w:rsidR="00841CBA">
        <w:t xml:space="preserve">RESOURCE </w:t>
      </w:r>
      <w:r>
        <w:t>YouthBuild program staff to coordinate services through co-enrollment that would provide YouthBuild participants with access to a high school diploma; and,</w:t>
      </w:r>
    </w:p>
    <w:p w14:paraId="6CD12874" w14:textId="45C5F866" w:rsidR="00583A81" w:rsidRDefault="000A3CD3" w:rsidP="009A1B30">
      <w:pPr>
        <w:widowControl w:val="0"/>
      </w:pPr>
      <w:r>
        <w:rPr>
          <w:b/>
          <w:bCs w:val="0"/>
        </w:rPr>
        <w:t xml:space="preserve">Professional development: </w:t>
      </w:r>
      <w:r w:rsidR="000D250F" w:rsidRPr="001E3C3B">
        <w:t>With a drop in enrollment and lower levels of engagement from students, the providers continu</w:t>
      </w:r>
      <w:r w:rsidR="0078742B" w:rsidRPr="001E3C3B">
        <w:t>ed to struggle to meet student needs.</w:t>
      </w:r>
      <w:r w:rsidR="006B0CCB" w:rsidRPr="001E3C3B">
        <w:t xml:space="preserve"> </w:t>
      </w:r>
      <w:r w:rsidR="001E3C3B" w:rsidRPr="001E3C3B">
        <w:t>To respond, t</w:t>
      </w:r>
      <w:r w:rsidR="006B0CCB" w:rsidRPr="001E3C3B">
        <w:t xml:space="preserve">he State </w:t>
      </w:r>
      <w:r w:rsidR="00586A62" w:rsidRPr="001E3C3B">
        <w:t>focused on increased technical assistance, described below</w:t>
      </w:r>
      <w:r w:rsidR="0088161D" w:rsidRPr="001E3C3B">
        <w:t xml:space="preserve">. </w:t>
      </w:r>
      <w:r w:rsidR="00BE53AF" w:rsidRPr="001E3C3B">
        <w:t>The</w:t>
      </w:r>
      <w:r w:rsidR="00BE53AF">
        <w:t xml:space="preserve"> State also </w:t>
      </w:r>
      <w:r w:rsidR="00C66F96">
        <w:t xml:space="preserve">disseminated information </w:t>
      </w:r>
      <w:r w:rsidR="005D7C9D">
        <w:t xml:space="preserve">on </w:t>
      </w:r>
      <w:r w:rsidR="00B10A4A">
        <w:t xml:space="preserve">professional development </w:t>
      </w:r>
      <w:r w:rsidR="00A55C88">
        <w:t xml:space="preserve">(PD) </w:t>
      </w:r>
      <w:r w:rsidR="00B10A4A">
        <w:t xml:space="preserve">provided by other entities, such as the Coalition </w:t>
      </w:r>
      <w:r w:rsidR="00BC762B">
        <w:t xml:space="preserve">on Adult Basic Education, </w:t>
      </w:r>
      <w:r w:rsidR="0017176D">
        <w:t xml:space="preserve">EdTech Center of World Education, </w:t>
      </w:r>
      <w:r w:rsidR="00A01CE9">
        <w:t>LINCS</w:t>
      </w:r>
      <w:r w:rsidR="00583A81">
        <w:t>,</w:t>
      </w:r>
      <w:r w:rsidR="00BE53AF">
        <w:t xml:space="preserve"> </w:t>
      </w:r>
      <w:r w:rsidR="00C43786">
        <w:t xml:space="preserve">Future Ready, </w:t>
      </w:r>
      <w:r w:rsidR="008739D8">
        <w:t xml:space="preserve">OCTAE, </w:t>
      </w:r>
      <w:r w:rsidR="00583A81">
        <w:t>and webinars and opportunities provided by the Vermont Agency of Education and other S</w:t>
      </w:r>
      <w:r w:rsidR="00BE53AF">
        <w:t>tate agencies</w:t>
      </w:r>
      <w:r w:rsidR="00583A81">
        <w:t xml:space="preserve">. </w:t>
      </w:r>
      <w:r w:rsidR="004F42C2">
        <w:t>State</w:t>
      </w:r>
      <w:r w:rsidR="009C06EE">
        <w:t>wide</w:t>
      </w:r>
      <w:r w:rsidR="004F42C2">
        <w:t xml:space="preserve">-sponsored </w:t>
      </w:r>
      <w:r w:rsidR="006657D4">
        <w:t>professional development topics</w:t>
      </w:r>
      <w:r w:rsidR="004F42C2">
        <w:t xml:space="preserve"> included </w:t>
      </w:r>
      <w:r w:rsidR="004C0A0E">
        <w:t xml:space="preserve">using the </w:t>
      </w:r>
      <w:r w:rsidR="006657D4">
        <w:t>Jump</w:t>
      </w:r>
      <w:r w:rsidR="008D02A9">
        <w:t xml:space="preserve">Start </w:t>
      </w:r>
      <w:r w:rsidR="008D02A9">
        <w:lastRenderedPageBreak/>
        <w:t>National Standards (adopted by Vermont) for financial literacy,</w:t>
      </w:r>
      <w:r w:rsidR="00521160">
        <w:t xml:space="preserve"> supporting students with disabilities, </w:t>
      </w:r>
      <w:r w:rsidR="00AB44DA">
        <w:t xml:space="preserve">and </w:t>
      </w:r>
      <w:r w:rsidR="00713339">
        <w:t xml:space="preserve">multi-tiered systems </w:t>
      </w:r>
      <w:r w:rsidR="00713339" w:rsidRPr="00AB44DA">
        <w:t>of support</w:t>
      </w:r>
      <w:r w:rsidR="00AB44DA" w:rsidRPr="00AB44DA">
        <w:t>.</w:t>
      </w:r>
    </w:p>
    <w:p w14:paraId="60C73E37" w14:textId="36343871" w:rsidR="006046B0" w:rsidRDefault="005F4738" w:rsidP="009A1B30">
      <w:pPr>
        <w:widowControl w:val="0"/>
      </w:pPr>
      <w:r>
        <w:t>Twelve</w:t>
      </w:r>
      <w:r w:rsidR="00A2732A">
        <w:t xml:space="preserve"> virtual professional development </w:t>
      </w:r>
      <w:r w:rsidR="002F00E8">
        <w:t xml:space="preserve">events were </w:t>
      </w:r>
      <w:r w:rsidR="00A3408E">
        <w:t>delivered during t</w:t>
      </w:r>
      <w:r w:rsidR="00DE36BF">
        <w:t>he</w:t>
      </w:r>
      <w:r w:rsidR="00A3408E">
        <w:t xml:space="preserve"> year t</w:t>
      </w:r>
      <w:r w:rsidR="003D6DB4">
        <w:t xml:space="preserve">o </w:t>
      </w:r>
      <w:r w:rsidR="00DE64B3">
        <w:t xml:space="preserve">train on the new distance education policy, </w:t>
      </w:r>
      <w:r w:rsidR="00124275">
        <w:t xml:space="preserve">engaging students </w:t>
      </w:r>
      <w:r w:rsidR="00555DC6">
        <w:t xml:space="preserve">through distance education, </w:t>
      </w:r>
      <w:r w:rsidR="00BB268E">
        <w:t>career pathways</w:t>
      </w:r>
      <w:r w:rsidR="00BD77AA">
        <w:t xml:space="preserve"> tools, </w:t>
      </w:r>
      <w:r w:rsidR="001B5C1E">
        <w:t xml:space="preserve">assessment quality, </w:t>
      </w:r>
      <w:r w:rsidR="00DC2F80">
        <w:t xml:space="preserve">racial equity, and </w:t>
      </w:r>
      <w:r w:rsidR="00A52917">
        <w:t>data quality.</w:t>
      </w:r>
    </w:p>
    <w:p w14:paraId="08786EC3" w14:textId="6ADB0BD4" w:rsidR="00793038" w:rsidRDefault="00793038" w:rsidP="009A1B30">
      <w:pPr>
        <w:widowControl w:val="0"/>
      </w:pPr>
      <w:r>
        <w:t>Events presented by State-level staff:</w:t>
      </w:r>
    </w:p>
    <w:tbl>
      <w:tblPr>
        <w:tblW w:w="7015"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710"/>
        <w:gridCol w:w="1620"/>
      </w:tblGrid>
      <w:tr w:rsidR="009D7FF7" w:rsidRPr="00681EE4" w14:paraId="595703EE" w14:textId="77777777" w:rsidTr="009D7FF7">
        <w:trPr>
          <w:trHeight w:val="288"/>
        </w:trPr>
        <w:tc>
          <w:tcPr>
            <w:tcW w:w="3685" w:type="dxa"/>
            <w:shd w:val="clear" w:color="auto" w:fill="auto"/>
            <w:noWrap/>
            <w:vAlign w:val="bottom"/>
          </w:tcPr>
          <w:p w14:paraId="34F8DE88" w14:textId="77777777" w:rsidR="009D7FF7" w:rsidRPr="00681EE4" w:rsidRDefault="009D7FF7" w:rsidP="006C22A4">
            <w:pPr>
              <w:spacing w:after="0" w:line="240" w:lineRule="auto"/>
              <w:rPr>
                <w:b/>
                <w:bCs w:val="0"/>
                <w:color w:val="000000"/>
                <w:sz w:val="20"/>
                <w:szCs w:val="20"/>
                <w:highlight w:val="blue"/>
              </w:rPr>
            </w:pPr>
            <w:r w:rsidRPr="00681EE4">
              <w:rPr>
                <w:b/>
                <w:bCs w:val="0"/>
                <w:color w:val="000000"/>
                <w:sz w:val="20"/>
                <w:szCs w:val="20"/>
              </w:rPr>
              <w:t>Event</w:t>
            </w:r>
          </w:p>
        </w:tc>
        <w:tc>
          <w:tcPr>
            <w:tcW w:w="1710" w:type="dxa"/>
            <w:shd w:val="clear" w:color="auto" w:fill="auto"/>
            <w:noWrap/>
            <w:vAlign w:val="bottom"/>
          </w:tcPr>
          <w:p w14:paraId="4A7DD927" w14:textId="77777777" w:rsidR="009D7FF7" w:rsidRPr="00681EE4" w:rsidRDefault="009D7FF7" w:rsidP="006C22A4">
            <w:pPr>
              <w:spacing w:after="0" w:line="240" w:lineRule="auto"/>
              <w:rPr>
                <w:b/>
                <w:bCs w:val="0"/>
                <w:color w:val="000000"/>
                <w:sz w:val="20"/>
                <w:szCs w:val="20"/>
              </w:rPr>
            </w:pPr>
            <w:r w:rsidRPr="00681EE4">
              <w:rPr>
                <w:b/>
                <w:bCs w:val="0"/>
                <w:color w:val="000000"/>
                <w:sz w:val="20"/>
                <w:szCs w:val="20"/>
              </w:rPr>
              <w:t>Date</w:t>
            </w:r>
          </w:p>
        </w:tc>
        <w:tc>
          <w:tcPr>
            <w:tcW w:w="1620" w:type="dxa"/>
          </w:tcPr>
          <w:p w14:paraId="05423E27" w14:textId="77777777" w:rsidR="009D7FF7" w:rsidRPr="00681EE4" w:rsidRDefault="009D7FF7" w:rsidP="006C22A4">
            <w:pPr>
              <w:spacing w:after="0" w:line="240" w:lineRule="auto"/>
              <w:rPr>
                <w:b/>
                <w:bCs w:val="0"/>
                <w:color w:val="000000"/>
                <w:sz w:val="20"/>
                <w:szCs w:val="20"/>
              </w:rPr>
            </w:pPr>
            <w:r w:rsidRPr="00681EE4">
              <w:rPr>
                <w:b/>
                <w:bCs w:val="0"/>
                <w:color w:val="000000"/>
                <w:sz w:val="20"/>
                <w:szCs w:val="20"/>
              </w:rPr>
              <w:t>Attendance</w:t>
            </w:r>
          </w:p>
        </w:tc>
      </w:tr>
      <w:tr w:rsidR="009D7FF7" w:rsidRPr="00681EE4" w14:paraId="028576AA" w14:textId="77777777" w:rsidTr="009D7FF7">
        <w:trPr>
          <w:trHeight w:val="144"/>
        </w:trPr>
        <w:tc>
          <w:tcPr>
            <w:tcW w:w="3685" w:type="dxa"/>
            <w:shd w:val="clear" w:color="auto" w:fill="auto"/>
            <w:noWrap/>
            <w:vAlign w:val="bottom"/>
            <w:hideMark/>
          </w:tcPr>
          <w:p w14:paraId="7A3EB047" w14:textId="09FC85CF" w:rsidR="009D7FF7" w:rsidRPr="00681EE4" w:rsidRDefault="009D7FF7" w:rsidP="006C22A4">
            <w:pPr>
              <w:spacing w:after="0" w:line="240" w:lineRule="auto"/>
              <w:rPr>
                <w:color w:val="000000"/>
                <w:sz w:val="20"/>
                <w:szCs w:val="20"/>
              </w:rPr>
            </w:pPr>
            <w:r w:rsidRPr="00681EE4">
              <w:rPr>
                <w:color w:val="000000"/>
                <w:sz w:val="20"/>
                <w:szCs w:val="20"/>
              </w:rPr>
              <w:t>Data Specialist Training</w:t>
            </w:r>
          </w:p>
        </w:tc>
        <w:tc>
          <w:tcPr>
            <w:tcW w:w="1710" w:type="dxa"/>
            <w:shd w:val="clear" w:color="auto" w:fill="auto"/>
            <w:noWrap/>
            <w:vAlign w:val="bottom"/>
            <w:hideMark/>
          </w:tcPr>
          <w:p w14:paraId="51FD866F" w14:textId="3B4E366F" w:rsidR="009D7FF7" w:rsidRPr="00681EE4" w:rsidRDefault="00575C00" w:rsidP="006C22A4">
            <w:pPr>
              <w:spacing w:after="0" w:line="240" w:lineRule="auto"/>
              <w:rPr>
                <w:color w:val="000000"/>
                <w:sz w:val="20"/>
                <w:szCs w:val="20"/>
              </w:rPr>
            </w:pPr>
            <w:r>
              <w:rPr>
                <w:color w:val="000000"/>
                <w:sz w:val="20"/>
                <w:szCs w:val="20"/>
              </w:rPr>
              <w:t>8/27/20</w:t>
            </w:r>
          </w:p>
        </w:tc>
        <w:tc>
          <w:tcPr>
            <w:tcW w:w="1620" w:type="dxa"/>
          </w:tcPr>
          <w:p w14:paraId="5AAEE49E" w14:textId="4D370A20" w:rsidR="009D7FF7" w:rsidRPr="00681EE4" w:rsidRDefault="005807AE" w:rsidP="006C22A4">
            <w:pPr>
              <w:spacing w:after="0" w:line="240" w:lineRule="auto"/>
              <w:rPr>
                <w:color w:val="000000"/>
                <w:sz w:val="20"/>
                <w:szCs w:val="20"/>
              </w:rPr>
            </w:pPr>
            <w:r>
              <w:rPr>
                <w:color w:val="000000"/>
                <w:sz w:val="20"/>
                <w:szCs w:val="20"/>
              </w:rPr>
              <w:t>4</w:t>
            </w:r>
          </w:p>
        </w:tc>
      </w:tr>
      <w:tr w:rsidR="009D7FF7" w:rsidRPr="00681EE4" w14:paraId="62ECDCAB" w14:textId="77777777" w:rsidTr="009D7FF7">
        <w:trPr>
          <w:trHeight w:val="144"/>
        </w:trPr>
        <w:tc>
          <w:tcPr>
            <w:tcW w:w="3685" w:type="dxa"/>
            <w:shd w:val="clear" w:color="auto" w:fill="auto"/>
            <w:noWrap/>
            <w:vAlign w:val="bottom"/>
            <w:hideMark/>
          </w:tcPr>
          <w:p w14:paraId="5526157F" w14:textId="5B695A2C" w:rsidR="009D7FF7" w:rsidRPr="00681EE4" w:rsidRDefault="00A15125" w:rsidP="006C22A4">
            <w:pPr>
              <w:spacing w:after="0" w:line="240" w:lineRule="auto"/>
              <w:rPr>
                <w:color w:val="000000"/>
                <w:sz w:val="20"/>
                <w:szCs w:val="20"/>
              </w:rPr>
            </w:pPr>
            <w:r>
              <w:rPr>
                <w:color w:val="000000"/>
                <w:sz w:val="20"/>
                <w:szCs w:val="20"/>
              </w:rPr>
              <w:t>Distance Education Policy Training</w:t>
            </w:r>
          </w:p>
        </w:tc>
        <w:tc>
          <w:tcPr>
            <w:tcW w:w="1710" w:type="dxa"/>
            <w:shd w:val="clear" w:color="auto" w:fill="auto"/>
            <w:noWrap/>
            <w:vAlign w:val="bottom"/>
            <w:hideMark/>
          </w:tcPr>
          <w:p w14:paraId="31139CC1" w14:textId="20457566" w:rsidR="009D7FF7" w:rsidRPr="00681EE4" w:rsidRDefault="00CF4807" w:rsidP="006C22A4">
            <w:pPr>
              <w:spacing w:after="0" w:line="240" w:lineRule="auto"/>
              <w:rPr>
                <w:color w:val="000000"/>
                <w:sz w:val="20"/>
                <w:szCs w:val="20"/>
              </w:rPr>
            </w:pPr>
            <w:r>
              <w:rPr>
                <w:color w:val="000000"/>
                <w:sz w:val="20"/>
                <w:szCs w:val="20"/>
              </w:rPr>
              <w:t>12/4/20</w:t>
            </w:r>
          </w:p>
        </w:tc>
        <w:tc>
          <w:tcPr>
            <w:tcW w:w="1620" w:type="dxa"/>
          </w:tcPr>
          <w:p w14:paraId="126FB7DA" w14:textId="4D1C57F8" w:rsidR="009D7FF7" w:rsidRPr="00681EE4" w:rsidRDefault="00BD7835" w:rsidP="006C22A4">
            <w:pPr>
              <w:spacing w:after="0" w:line="240" w:lineRule="auto"/>
              <w:rPr>
                <w:color w:val="000000"/>
                <w:sz w:val="20"/>
                <w:szCs w:val="20"/>
              </w:rPr>
            </w:pPr>
            <w:r>
              <w:rPr>
                <w:color w:val="000000"/>
                <w:sz w:val="20"/>
                <w:szCs w:val="20"/>
              </w:rPr>
              <w:t>66</w:t>
            </w:r>
          </w:p>
        </w:tc>
      </w:tr>
      <w:tr w:rsidR="001B2358" w:rsidRPr="00681EE4" w14:paraId="3594CD40" w14:textId="77777777" w:rsidTr="009F1637">
        <w:trPr>
          <w:trHeight w:val="20"/>
        </w:trPr>
        <w:tc>
          <w:tcPr>
            <w:tcW w:w="3685" w:type="dxa"/>
            <w:shd w:val="clear" w:color="auto" w:fill="auto"/>
            <w:noWrap/>
            <w:vAlign w:val="bottom"/>
          </w:tcPr>
          <w:p w14:paraId="4F24D706" w14:textId="2BAC38D3" w:rsidR="001B2358" w:rsidRPr="001B2358" w:rsidRDefault="001B2358" w:rsidP="006C22A4">
            <w:pPr>
              <w:spacing w:after="0" w:line="240" w:lineRule="auto"/>
              <w:rPr>
                <w:color w:val="000000"/>
                <w:sz w:val="20"/>
                <w:szCs w:val="20"/>
              </w:rPr>
            </w:pPr>
            <w:r w:rsidRPr="001B2358">
              <w:rPr>
                <w:color w:val="000000"/>
                <w:sz w:val="20"/>
                <w:szCs w:val="20"/>
              </w:rPr>
              <w:t>Career Clusters and Pathways 101: Tool for Career Exploration</w:t>
            </w:r>
          </w:p>
        </w:tc>
        <w:tc>
          <w:tcPr>
            <w:tcW w:w="1710" w:type="dxa"/>
            <w:shd w:val="clear" w:color="auto" w:fill="auto"/>
            <w:noWrap/>
            <w:vAlign w:val="bottom"/>
          </w:tcPr>
          <w:p w14:paraId="5359D699" w14:textId="31BB011A" w:rsidR="001B2358" w:rsidRPr="00681EE4" w:rsidRDefault="005D6AB1" w:rsidP="006C22A4">
            <w:pPr>
              <w:spacing w:after="0" w:line="240" w:lineRule="auto"/>
              <w:rPr>
                <w:color w:val="000000"/>
                <w:sz w:val="20"/>
                <w:szCs w:val="20"/>
              </w:rPr>
            </w:pPr>
            <w:r>
              <w:rPr>
                <w:color w:val="000000"/>
                <w:sz w:val="20"/>
                <w:szCs w:val="20"/>
              </w:rPr>
              <w:t>1/15/21</w:t>
            </w:r>
          </w:p>
        </w:tc>
        <w:tc>
          <w:tcPr>
            <w:tcW w:w="1620" w:type="dxa"/>
          </w:tcPr>
          <w:p w14:paraId="388A881F" w14:textId="6D108976" w:rsidR="001B2358" w:rsidRPr="00681EE4" w:rsidRDefault="00DC6745" w:rsidP="006C22A4">
            <w:pPr>
              <w:spacing w:after="0" w:line="240" w:lineRule="auto"/>
              <w:rPr>
                <w:color w:val="000000"/>
                <w:sz w:val="20"/>
                <w:szCs w:val="20"/>
              </w:rPr>
            </w:pPr>
            <w:r>
              <w:rPr>
                <w:color w:val="000000"/>
                <w:sz w:val="20"/>
                <w:szCs w:val="20"/>
              </w:rPr>
              <w:t xml:space="preserve">                         </w:t>
            </w:r>
            <w:r w:rsidR="004A0DAD">
              <w:rPr>
                <w:color w:val="000000"/>
                <w:sz w:val="20"/>
                <w:szCs w:val="20"/>
              </w:rPr>
              <w:t>2</w:t>
            </w:r>
            <w:r w:rsidR="00DF4AE1">
              <w:rPr>
                <w:color w:val="000000"/>
                <w:sz w:val="20"/>
                <w:szCs w:val="20"/>
              </w:rPr>
              <w:t>4</w:t>
            </w:r>
          </w:p>
        </w:tc>
      </w:tr>
      <w:tr w:rsidR="009D7FF7" w:rsidRPr="00681EE4" w14:paraId="515E3D7F" w14:textId="77777777" w:rsidTr="009D7FF7">
        <w:trPr>
          <w:trHeight w:val="288"/>
        </w:trPr>
        <w:tc>
          <w:tcPr>
            <w:tcW w:w="3685" w:type="dxa"/>
            <w:shd w:val="clear" w:color="auto" w:fill="auto"/>
            <w:noWrap/>
            <w:vAlign w:val="bottom"/>
            <w:hideMark/>
          </w:tcPr>
          <w:p w14:paraId="33DA67FC" w14:textId="77777777" w:rsidR="009D7FF7" w:rsidRPr="00681EE4" w:rsidRDefault="009D7FF7" w:rsidP="006C22A4">
            <w:pPr>
              <w:spacing w:after="0" w:line="240" w:lineRule="auto"/>
              <w:rPr>
                <w:color w:val="000000"/>
                <w:sz w:val="20"/>
                <w:szCs w:val="20"/>
              </w:rPr>
            </w:pPr>
            <w:r w:rsidRPr="00681EE4">
              <w:rPr>
                <w:color w:val="000000"/>
                <w:sz w:val="20"/>
                <w:szCs w:val="20"/>
              </w:rPr>
              <w:t>Data Specialist Training</w:t>
            </w:r>
          </w:p>
        </w:tc>
        <w:tc>
          <w:tcPr>
            <w:tcW w:w="1710" w:type="dxa"/>
            <w:shd w:val="clear" w:color="auto" w:fill="auto"/>
            <w:noWrap/>
            <w:vAlign w:val="bottom"/>
            <w:hideMark/>
          </w:tcPr>
          <w:p w14:paraId="5CD3FC8C" w14:textId="6E9977D1" w:rsidR="009D7FF7" w:rsidRPr="00681EE4" w:rsidRDefault="0034628B" w:rsidP="006C22A4">
            <w:pPr>
              <w:spacing w:after="0" w:line="240" w:lineRule="auto"/>
              <w:rPr>
                <w:color w:val="000000"/>
                <w:sz w:val="20"/>
                <w:szCs w:val="20"/>
              </w:rPr>
            </w:pPr>
            <w:r>
              <w:rPr>
                <w:color w:val="000000"/>
                <w:sz w:val="20"/>
                <w:szCs w:val="20"/>
              </w:rPr>
              <w:t>1/29/21</w:t>
            </w:r>
          </w:p>
        </w:tc>
        <w:tc>
          <w:tcPr>
            <w:tcW w:w="1620" w:type="dxa"/>
          </w:tcPr>
          <w:p w14:paraId="63E7DEE1" w14:textId="7B012AB1" w:rsidR="009D7FF7" w:rsidRPr="00681EE4" w:rsidRDefault="00AB5591" w:rsidP="006C22A4">
            <w:pPr>
              <w:spacing w:after="0" w:line="240" w:lineRule="auto"/>
              <w:rPr>
                <w:color w:val="000000"/>
                <w:sz w:val="20"/>
                <w:szCs w:val="20"/>
              </w:rPr>
            </w:pPr>
            <w:r>
              <w:rPr>
                <w:color w:val="000000"/>
                <w:sz w:val="20"/>
                <w:szCs w:val="20"/>
              </w:rPr>
              <w:t>8</w:t>
            </w:r>
          </w:p>
        </w:tc>
      </w:tr>
      <w:tr w:rsidR="00C51A79" w:rsidRPr="00681EE4" w14:paraId="4A92696F" w14:textId="77777777" w:rsidTr="006C22A4">
        <w:trPr>
          <w:trHeight w:val="288"/>
        </w:trPr>
        <w:tc>
          <w:tcPr>
            <w:tcW w:w="3685" w:type="dxa"/>
            <w:shd w:val="clear" w:color="auto" w:fill="auto"/>
            <w:noWrap/>
            <w:vAlign w:val="bottom"/>
          </w:tcPr>
          <w:p w14:paraId="42C90373" w14:textId="178D110B" w:rsidR="00C51A79" w:rsidRPr="00681EE4" w:rsidRDefault="00C51A79" w:rsidP="006C22A4">
            <w:pPr>
              <w:spacing w:after="0" w:line="240" w:lineRule="auto"/>
              <w:rPr>
                <w:color w:val="000000"/>
                <w:sz w:val="20"/>
                <w:szCs w:val="20"/>
              </w:rPr>
            </w:pPr>
            <w:r>
              <w:rPr>
                <w:color w:val="000000"/>
                <w:sz w:val="20"/>
                <w:szCs w:val="20"/>
              </w:rPr>
              <w:t xml:space="preserve">Data Specialist </w:t>
            </w:r>
            <w:r w:rsidR="00E7284F">
              <w:rPr>
                <w:color w:val="000000"/>
                <w:sz w:val="20"/>
                <w:szCs w:val="20"/>
              </w:rPr>
              <w:t>Training</w:t>
            </w:r>
          </w:p>
        </w:tc>
        <w:tc>
          <w:tcPr>
            <w:tcW w:w="1710" w:type="dxa"/>
            <w:shd w:val="clear" w:color="auto" w:fill="auto"/>
            <w:noWrap/>
            <w:vAlign w:val="bottom"/>
          </w:tcPr>
          <w:p w14:paraId="3496389B" w14:textId="719E91BE" w:rsidR="00C51A79" w:rsidRDefault="00C51A79" w:rsidP="006C22A4">
            <w:pPr>
              <w:spacing w:after="0" w:line="240" w:lineRule="auto"/>
              <w:rPr>
                <w:color w:val="000000"/>
                <w:sz w:val="20"/>
                <w:szCs w:val="20"/>
              </w:rPr>
            </w:pPr>
            <w:r>
              <w:rPr>
                <w:color w:val="000000"/>
                <w:sz w:val="20"/>
                <w:szCs w:val="20"/>
              </w:rPr>
              <w:t>3/</w:t>
            </w:r>
            <w:r w:rsidR="005A7269">
              <w:rPr>
                <w:color w:val="000000"/>
                <w:sz w:val="20"/>
                <w:szCs w:val="20"/>
              </w:rPr>
              <w:t>2</w:t>
            </w:r>
            <w:r>
              <w:rPr>
                <w:color w:val="000000"/>
                <w:sz w:val="20"/>
                <w:szCs w:val="20"/>
              </w:rPr>
              <w:t>6/21</w:t>
            </w:r>
          </w:p>
        </w:tc>
        <w:tc>
          <w:tcPr>
            <w:tcW w:w="1620" w:type="dxa"/>
          </w:tcPr>
          <w:p w14:paraId="02066662" w14:textId="12029F48" w:rsidR="00C51A79" w:rsidRDefault="00875E9E" w:rsidP="006C22A4">
            <w:pPr>
              <w:spacing w:after="0" w:line="240" w:lineRule="auto"/>
              <w:rPr>
                <w:color w:val="000000"/>
                <w:sz w:val="20"/>
                <w:szCs w:val="20"/>
              </w:rPr>
            </w:pPr>
            <w:r>
              <w:rPr>
                <w:color w:val="000000"/>
                <w:sz w:val="20"/>
                <w:szCs w:val="20"/>
              </w:rPr>
              <w:t>7</w:t>
            </w:r>
          </w:p>
        </w:tc>
      </w:tr>
      <w:tr w:rsidR="00AF0BF8" w:rsidRPr="00681EE4" w14:paraId="1AED8A50" w14:textId="77777777" w:rsidTr="006C22A4">
        <w:trPr>
          <w:trHeight w:val="288"/>
        </w:trPr>
        <w:tc>
          <w:tcPr>
            <w:tcW w:w="3685" w:type="dxa"/>
            <w:shd w:val="clear" w:color="auto" w:fill="auto"/>
            <w:noWrap/>
            <w:vAlign w:val="bottom"/>
          </w:tcPr>
          <w:p w14:paraId="665AE7DC" w14:textId="7C1C4AD8" w:rsidR="00AF0BF8" w:rsidRPr="00681EE4" w:rsidRDefault="00AF0BF8" w:rsidP="006C22A4">
            <w:pPr>
              <w:spacing w:after="0" w:line="240" w:lineRule="auto"/>
              <w:rPr>
                <w:color w:val="000000"/>
                <w:sz w:val="20"/>
                <w:szCs w:val="20"/>
              </w:rPr>
            </w:pPr>
            <w:r w:rsidRPr="00681EE4">
              <w:rPr>
                <w:color w:val="000000"/>
                <w:sz w:val="20"/>
                <w:szCs w:val="20"/>
              </w:rPr>
              <w:t>Annual NRS Refresher</w:t>
            </w:r>
            <w:r>
              <w:rPr>
                <w:color w:val="000000"/>
                <w:sz w:val="20"/>
                <w:szCs w:val="20"/>
              </w:rPr>
              <w:t xml:space="preserve"> (</w:t>
            </w:r>
            <w:r w:rsidR="00B81C40">
              <w:rPr>
                <w:color w:val="000000"/>
                <w:sz w:val="20"/>
                <w:szCs w:val="20"/>
              </w:rPr>
              <w:t>held twice</w:t>
            </w:r>
            <w:r>
              <w:rPr>
                <w:color w:val="000000"/>
                <w:sz w:val="20"/>
                <w:szCs w:val="20"/>
              </w:rPr>
              <w:t>)</w:t>
            </w:r>
          </w:p>
        </w:tc>
        <w:tc>
          <w:tcPr>
            <w:tcW w:w="1710" w:type="dxa"/>
            <w:shd w:val="clear" w:color="auto" w:fill="auto"/>
            <w:noWrap/>
            <w:vAlign w:val="bottom"/>
          </w:tcPr>
          <w:p w14:paraId="487DE23A" w14:textId="77777777" w:rsidR="00AF0BF8" w:rsidRPr="00681EE4" w:rsidRDefault="00AF0BF8" w:rsidP="006C22A4">
            <w:pPr>
              <w:spacing w:after="0" w:line="240" w:lineRule="auto"/>
              <w:rPr>
                <w:color w:val="000000"/>
                <w:sz w:val="20"/>
                <w:szCs w:val="20"/>
              </w:rPr>
            </w:pPr>
            <w:r>
              <w:rPr>
                <w:color w:val="000000"/>
                <w:sz w:val="20"/>
                <w:szCs w:val="20"/>
              </w:rPr>
              <w:t>5/24/21; 5/27/21</w:t>
            </w:r>
          </w:p>
        </w:tc>
        <w:tc>
          <w:tcPr>
            <w:tcW w:w="1620" w:type="dxa"/>
          </w:tcPr>
          <w:p w14:paraId="205C95DA" w14:textId="20DE2F63" w:rsidR="00AF0BF8" w:rsidRPr="00681EE4" w:rsidRDefault="000D1BE6" w:rsidP="006C22A4">
            <w:pPr>
              <w:spacing w:after="0" w:line="240" w:lineRule="auto"/>
              <w:rPr>
                <w:color w:val="000000"/>
                <w:sz w:val="20"/>
                <w:szCs w:val="20"/>
              </w:rPr>
            </w:pPr>
            <w:r>
              <w:rPr>
                <w:color w:val="000000"/>
                <w:sz w:val="20"/>
                <w:szCs w:val="20"/>
              </w:rPr>
              <w:t>49</w:t>
            </w:r>
            <w:r w:rsidR="00E14F7A">
              <w:rPr>
                <w:color w:val="000000"/>
                <w:sz w:val="20"/>
                <w:szCs w:val="20"/>
              </w:rPr>
              <w:t xml:space="preserve">; </w:t>
            </w:r>
            <w:r w:rsidR="00E80C62">
              <w:rPr>
                <w:color w:val="000000"/>
                <w:sz w:val="20"/>
                <w:szCs w:val="20"/>
              </w:rPr>
              <w:t>40</w:t>
            </w:r>
          </w:p>
        </w:tc>
      </w:tr>
      <w:tr w:rsidR="009D7FF7" w:rsidRPr="00681EE4" w14:paraId="148CBEA2" w14:textId="77777777" w:rsidTr="009D7FF7">
        <w:trPr>
          <w:trHeight w:val="288"/>
        </w:trPr>
        <w:tc>
          <w:tcPr>
            <w:tcW w:w="3685" w:type="dxa"/>
            <w:shd w:val="clear" w:color="auto" w:fill="auto"/>
            <w:noWrap/>
            <w:vAlign w:val="bottom"/>
          </w:tcPr>
          <w:p w14:paraId="276A1039" w14:textId="77777777" w:rsidR="009D7FF7" w:rsidRPr="00681EE4" w:rsidRDefault="009D7FF7" w:rsidP="006C22A4">
            <w:pPr>
              <w:spacing w:after="0" w:line="240" w:lineRule="auto"/>
              <w:rPr>
                <w:color w:val="000000"/>
                <w:sz w:val="20"/>
                <w:szCs w:val="20"/>
              </w:rPr>
            </w:pPr>
            <w:r w:rsidRPr="00681EE4">
              <w:rPr>
                <w:color w:val="000000"/>
                <w:sz w:val="20"/>
                <w:szCs w:val="20"/>
              </w:rPr>
              <w:t>Data Specialist Training</w:t>
            </w:r>
          </w:p>
        </w:tc>
        <w:tc>
          <w:tcPr>
            <w:tcW w:w="1710" w:type="dxa"/>
            <w:shd w:val="clear" w:color="auto" w:fill="auto"/>
            <w:noWrap/>
            <w:vAlign w:val="bottom"/>
          </w:tcPr>
          <w:p w14:paraId="2AFD2171" w14:textId="377141FC" w:rsidR="009D7FF7" w:rsidRPr="00681EE4" w:rsidRDefault="007B203D" w:rsidP="006C22A4">
            <w:pPr>
              <w:spacing w:after="0" w:line="240" w:lineRule="auto"/>
              <w:rPr>
                <w:color w:val="000000"/>
                <w:sz w:val="20"/>
                <w:szCs w:val="20"/>
              </w:rPr>
            </w:pPr>
            <w:r>
              <w:rPr>
                <w:color w:val="000000"/>
                <w:sz w:val="20"/>
                <w:szCs w:val="20"/>
              </w:rPr>
              <w:t>6/24/21</w:t>
            </w:r>
          </w:p>
        </w:tc>
        <w:tc>
          <w:tcPr>
            <w:tcW w:w="1620" w:type="dxa"/>
          </w:tcPr>
          <w:p w14:paraId="1EBEB0AE" w14:textId="01F3767D" w:rsidR="009D7FF7" w:rsidRPr="00681EE4" w:rsidRDefault="00C559A4" w:rsidP="006C22A4">
            <w:pPr>
              <w:spacing w:after="0" w:line="240" w:lineRule="auto"/>
              <w:rPr>
                <w:color w:val="000000"/>
                <w:sz w:val="20"/>
                <w:szCs w:val="20"/>
              </w:rPr>
            </w:pPr>
            <w:r>
              <w:rPr>
                <w:color w:val="000000"/>
                <w:sz w:val="20"/>
                <w:szCs w:val="20"/>
              </w:rPr>
              <w:t>5</w:t>
            </w:r>
          </w:p>
        </w:tc>
      </w:tr>
    </w:tbl>
    <w:p w14:paraId="7EBBFBB5" w14:textId="25840FFD" w:rsidR="009A1B30" w:rsidRDefault="009A1B30" w:rsidP="009A1B30">
      <w:pPr>
        <w:shd w:val="clear" w:color="auto" w:fill="FFFFFF" w:themeFill="background1"/>
      </w:pPr>
      <w:r>
        <w:t>PD event related to the administration of assessments:</w:t>
      </w:r>
    </w:p>
    <w:tbl>
      <w:tblPr>
        <w:tblW w:w="7015"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710"/>
        <w:gridCol w:w="1620"/>
      </w:tblGrid>
      <w:tr w:rsidR="00936C55" w:rsidRPr="00681EE4" w14:paraId="380BAB64" w14:textId="77777777" w:rsidTr="006C22A4">
        <w:trPr>
          <w:trHeight w:val="288"/>
        </w:trPr>
        <w:tc>
          <w:tcPr>
            <w:tcW w:w="3685" w:type="dxa"/>
            <w:shd w:val="clear" w:color="auto" w:fill="auto"/>
            <w:noWrap/>
            <w:vAlign w:val="bottom"/>
          </w:tcPr>
          <w:p w14:paraId="66D6282C" w14:textId="77777777" w:rsidR="00936C55" w:rsidRPr="00681EE4" w:rsidRDefault="00936C55" w:rsidP="006C22A4">
            <w:pPr>
              <w:spacing w:after="0" w:line="240" w:lineRule="auto"/>
              <w:rPr>
                <w:b/>
                <w:bCs w:val="0"/>
                <w:color w:val="000000"/>
                <w:sz w:val="20"/>
                <w:szCs w:val="20"/>
                <w:highlight w:val="blue"/>
              </w:rPr>
            </w:pPr>
            <w:r w:rsidRPr="00681EE4">
              <w:rPr>
                <w:b/>
                <w:bCs w:val="0"/>
                <w:color w:val="000000"/>
                <w:sz w:val="20"/>
                <w:szCs w:val="20"/>
              </w:rPr>
              <w:t>Event</w:t>
            </w:r>
          </w:p>
        </w:tc>
        <w:tc>
          <w:tcPr>
            <w:tcW w:w="1710" w:type="dxa"/>
            <w:shd w:val="clear" w:color="auto" w:fill="auto"/>
            <w:noWrap/>
            <w:vAlign w:val="bottom"/>
          </w:tcPr>
          <w:p w14:paraId="40D00177" w14:textId="77777777" w:rsidR="00936C55" w:rsidRPr="00681EE4" w:rsidRDefault="00936C55" w:rsidP="006C22A4">
            <w:pPr>
              <w:spacing w:after="0" w:line="240" w:lineRule="auto"/>
              <w:rPr>
                <w:b/>
                <w:bCs w:val="0"/>
                <w:color w:val="000000"/>
                <w:sz w:val="20"/>
                <w:szCs w:val="20"/>
              </w:rPr>
            </w:pPr>
            <w:r w:rsidRPr="00681EE4">
              <w:rPr>
                <w:b/>
                <w:bCs w:val="0"/>
                <w:color w:val="000000"/>
                <w:sz w:val="20"/>
                <w:szCs w:val="20"/>
              </w:rPr>
              <w:t>Date</w:t>
            </w:r>
          </w:p>
        </w:tc>
        <w:tc>
          <w:tcPr>
            <w:tcW w:w="1620" w:type="dxa"/>
          </w:tcPr>
          <w:p w14:paraId="06D51823" w14:textId="77777777" w:rsidR="00936C55" w:rsidRPr="00681EE4" w:rsidRDefault="00936C55" w:rsidP="006C22A4">
            <w:pPr>
              <w:spacing w:after="0" w:line="240" w:lineRule="auto"/>
              <w:rPr>
                <w:b/>
                <w:bCs w:val="0"/>
                <w:color w:val="000000"/>
                <w:sz w:val="20"/>
                <w:szCs w:val="20"/>
              </w:rPr>
            </w:pPr>
            <w:r w:rsidRPr="00681EE4">
              <w:rPr>
                <w:b/>
                <w:bCs w:val="0"/>
                <w:color w:val="000000"/>
                <w:sz w:val="20"/>
                <w:szCs w:val="20"/>
              </w:rPr>
              <w:t>Attendance</w:t>
            </w:r>
          </w:p>
        </w:tc>
      </w:tr>
      <w:tr w:rsidR="00936C55" w:rsidRPr="00681EE4" w14:paraId="74016D9A" w14:textId="77777777" w:rsidTr="006C22A4">
        <w:trPr>
          <w:trHeight w:val="144"/>
        </w:trPr>
        <w:tc>
          <w:tcPr>
            <w:tcW w:w="3685" w:type="dxa"/>
            <w:shd w:val="clear" w:color="auto" w:fill="auto"/>
            <w:noWrap/>
            <w:vAlign w:val="bottom"/>
            <w:hideMark/>
          </w:tcPr>
          <w:p w14:paraId="32BAE968" w14:textId="45D6DD2F" w:rsidR="00936C55" w:rsidRPr="00681EE4" w:rsidRDefault="00936C55" w:rsidP="006C22A4">
            <w:pPr>
              <w:spacing w:after="0" w:line="240" w:lineRule="auto"/>
              <w:rPr>
                <w:color w:val="000000"/>
                <w:sz w:val="20"/>
                <w:szCs w:val="20"/>
              </w:rPr>
            </w:pPr>
            <w:r>
              <w:rPr>
                <w:color w:val="000000"/>
                <w:sz w:val="20"/>
                <w:szCs w:val="20"/>
              </w:rPr>
              <w:t>BEST Plus 2.0 Refresher</w:t>
            </w:r>
          </w:p>
        </w:tc>
        <w:tc>
          <w:tcPr>
            <w:tcW w:w="1710" w:type="dxa"/>
            <w:shd w:val="clear" w:color="auto" w:fill="auto"/>
            <w:noWrap/>
            <w:vAlign w:val="bottom"/>
            <w:hideMark/>
          </w:tcPr>
          <w:p w14:paraId="4798F899" w14:textId="560E3135" w:rsidR="00936C55" w:rsidRPr="00681EE4" w:rsidRDefault="002D461D" w:rsidP="006C22A4">
            <w:pPr>
              <w:spacing w:after="0" w:line="240" w:lineRule="auto"/>
              <w:rPr>
                <w:color w:val="000000"/>
                <w:sz w:val="20"/>
                <w:szCs w:val="20"/>
              </w:rPr>
            </w:pPr>
            <w:r>
              <w:rPr>
                <w:color w:val="000000"/>
                <w:sz w:val="20"/>
                <w:szCs w:val="20"/>
              </w:rPr>
              <w:t>5/21/21</w:t>
            </w:r>
          </w:p>
        </w:tc>
        <w:tc>
          <w:tcPr>
            <w:tcW w:w="1620" w:type="dxa"/>
          </w:tcPr>
          <w:p w14:paraId="5285D9CD" w14:textId="5CDD205C" w:rsidR="00936C55" w:rsidRPr="00681EE4" w:rsidRDefault="00336D40" w:rsidP="006C22A4">
            <w:pPr>
              <w:spacing w:after="0" w:line="240" w:lineRule="auto"/>
              <w:rPr>
                <w:color w:val="000000"/>
                <w:sz w:val="20"/>
                <w:szCs w:val="20"/>
              </w:rPr>
            </w:pPr>
            <w:r>
              <w:rPr>
                <w:color w:val="000000"/>
                <w:sz w:val="20"/>
                <w:szCs w:val="20"/>
              </w:rPr>
              <w:t>10</w:t>
            </w:r>
          </w:p>
        </w:tc>
      </w:tr>
    </w:tbl>
    <w:p w14:paraId="66C77A20" w14:textId="0C34DA0F" w:rsidR="008020B0" w:rsidRDefault="00C11C13" w:rsidP="00C11C13">
      <w:pPr>
        <w:shd w:val="clear" w:color="auto" w:fill="FFFFFF" w:themeFill="background1"/>
      </w:pPr>
      <w:r>
        <w:t xml:space="preserve">Through Vermont’s continued membership in the New England Literacy Resource Center (NELRC), webinars developed and hosted by NELRC staff were made available to local provider staff. The </w:t>
      </w:r>
      <w:r w:rsidR="00D170A8">
        <w:t xml:space="preserve">NELRC </w:t>
      </w:r>
      <w:r>
        <w:t xml:space="preserve">annual workshop </w:t>
      </w:r>
      <w:r w:rsidR="005B17AF">
        <w:t xml:space="preserve">developed in collaboration with the </w:t>
      </w:r>
      <w:r w:rsidR="00B676CE">
        <w:t>AOE</w:t>
      </w:r>
      <w:r w:rsidR="005B17AF">
        <w:t xml:space="preserve"> </w:t>
      </w:r>
      <w:r>
        <w:t>was</w:t>
      </w:r>
      <w:r w:rsidR="002328F5">
        <w:t xml:space="preserve"> titled: Remote Instruction Strategies: Engaging Adult Learners in a Virtual Environment</w:t>
      </w:r>
      <w:r w:rsidR="008020B0">
        <w:t>. The event was attended by 23 Vermont AEL provider staff.</w:t>
      </w:r>
      <w:r w:rsidR="00B44B32">
        <w:t xml:space="preserve"> </w:t>
      </w:r>
    </w:p>
    <w:p w14:paraId="20B3EB72" w14:textId="23BA37CB" w:rsidR="00B44B32" w:rsidRDefault="00B44B32" w:rsidP="00C11C13">
      <w:pPr>
        <w:shd w:val="clear" w:color="auto" w:fill="FFFFFF" w:themeFill="background1"/>
      </w:pPr>
      <w:r>
        <w:t xml:space="preserve">The NELRC hosted a </w:t>
      </w:r>
      <w:r w:rsidR="00115172">
        <w:t xml:space="preserve">live </w:t>
      </w:r>
      <w:r w:rsidR="00D01353">
        <w:t xml:space="preserve">webinar </w:t>
      </w:r>
      <w:r>
        <w:t>series on race and equit</w:t>
      </w:r>
      <w:r w:rsidR="009E7957">
        <w:t>y. Each session</w:t>
      </w:r>
      <w:r>
        <w:t xml:space="preserve"> was</w:t>
      </w:r>
      <w:r w:rsidR="00D01353">
        <w:t xml:space="preserve"> </w:t>
      </w:r>
      <w:r>
        <w:t xml:space="preserve">attended by </w:t>
      </w:r>
      <w:r w:rsidR="009E7957">
        <w:t>twelve</w:t>
      </w:r>
      <w:r w:rsidR="00D01353">
        <w:t xml:space="preserve"> </w:t>
      </w:r>
      <w:r>
        <w:t>Vermont AEL provider</w:t>
      </w:r>
      <w:r w:rsidR="00D01353">
        <w:t xml:space="preserve"> staff:</w:t>
      </w:r>
    </w:p>
    <w:p w14:paraId="0DDFE424" w14:textId="404528E9" w:rsidR="00115172" w:rsidRPr="00115172" w:rsidRDefault="00D01353" w:rsidP="007B01A7">
      <w:pPr>
        <w:pStyle w:val="ListParagraph"/>
        <w:numPr>
          <w:ilvl w:val="0"/>
          <w:numId w:val="14"/>
        </w:numPr>
        <w:tabs>
          <w:tab w:val="left" w:pos="4513"/>
          <w:tab w:val="left" w:pos="6313"/>
        </w:tabs>
        <w:spacing w:after="0" w:line="240" w:lineRule="auto"/>
        <w:rPr>
          <w:rFonts w:cstheme="minorHAnsi"/>
          <w:color w:val="000000"/>
        </w:rPr>
      </w:pPr>
      <w:r w:rsidRPr="00115172">
        <w:rPr>
          <w:rFonts w:eastAsia="Times New Roman" w:cstheme="minorHAnsi"/>
          <w:color w:val="000000"/>
        </w:rPr>
        <w:t xml:space="preserve">Racial </w:t>
      </w:r>
      <w:r w:rsidRPr="00115172">
        <w:rPr>
          <w:rFonts w:cstheme="minorHAnsi"/>
          <w:color w:val="000000"/>
        </w:rPr>
        <w:t>E</w:t>
      </w:r>
      <w:r w:rsidRPr="00115172">
        <w:rPr>
          <w:rFonts w:eastAsia="Times New Roman" w:cstheme="minorHAnsi"/>
          <w:color w:val="000000"/>
        </w:rPr>
        <w:t>quity: Implicit Bias</w:t>
      </w:r>
      <w:r w:rsidR="00115172" w:rsidRPr="00115172">
        <w:rPr>
          <w:rFonts w:cstheme="minorHAnsi"/>
          <w:color w:val="000000"/>
        </w:rPr>
        <w:t xml:space="preserve"> on </w:t>
      </w:r>
      <w:r w:rsidRPr="00115172">
        <w:rPr>
          <w:rFonts w:eastAsia="Times New Roman" w:cstheme="minorHAnsi"/>
          <w:color w:val="000000"/>
        </w:rPr>
        <w:t>4/13/21</w:t>
      </w:r>
    </w:p>
    <w:p w14:paraId="023B69FC" w14:textId="0F385E7A" w:rsidR="00115172" w:rsidRPr="00115172" w:rsidRDefault="00D01353" w:rsidP="007B01A7">
      <w:pPr>
        <w:pStyle w:val="ListParagraph"/>
        <w:numPr>
          <w:ilvl w:val="0"/>
          <w:numId w:val="14"/>
        </w:numPr>
        <w:tabs>
          <w:tab w:val="left" w:pos="4513"/>
          <w:tab w:val="left" w:pos="6313"/>
        </w:tabs>
        <w:spacing w:after="0" w:line="240" w:lineRule="auto"/>
        <w:rPr>
          <w:rFonts w:cstheme="minorHAnsi"/>
          <w:color w:val="000000"/>
        </w:rPr>
      </w:pPr>
      <w:r w:rsidRPr="00115172">
        <w:rPr>
          <w:rFonts w:eastAsia="Times New Roman" w:cstheme="minorHAnsi"/>
        </w:rPr>
        <w:t>Classroom Strategies for Talking about Race</w:t>
      </w:r>
      <w:r w:rsidR="00115172" w:rsidRPr="00115172">
        <w:rPr>
          <w:rFonts w:eastAsia="Times New Roman" w:cstheme="minorHAnsi"/>
        </w:rPr>
        <w:t xml:space="preserve"> on </w:t>
      </w:r>
      <w:r w:rsidRPr="00115172">
        <w:rPr>
          <w:rFonts w:eastAsia="Times New Roman" w:cstheme="minorHAnsi"/>
          <w:color w:val="000000"/>
        </w:rPr>
        <w:t>4/20/21</w:t>
      </w:r>
      <w:r w:rsidR="007A124D">
        <w:rPr>
          <w:rFonts w:eastAsia="Times New Roman" w:cstheme="minorHAnsi"/>
          <w:color w:val="000000"/>
        </w:rPr>
        <w:t xml:space="preserve"> </w:t>
      </w:r>
    </w:p>
    <w:p w14:paraId="1240414F" w14:textId="428670E2" w:rsidR="00D01353" w:rsidRPr="00115172" w:rsidRDefault="00D01353" w:rsidP="007B01A7">
      <w:pPr>
        <w:pStyle w:val="ListParagraph"/>
        <w:numPr>
          <w:ilvl w:val="0"/>
          <w:numId w:val="14"/>
        </w:numPr>
        <w:tabs>
          <w:tab w:val="left" w:pos="4513"/>
          <w:tab w:val="left" w:pos="6313"/>
        </w:tabs>
        <w:spacing w:after="0" w:line="240" w:lineRule="auto"/>
        <w:rPr>
          <w:rFonts w:cstheme="minorHAnsi"/>
          <w:color w:val="000000"/>
        </w:rPr>
      </w:pPr>
      <w:r w:rsidRPr="00115172">
        <w:rPr>
          <w:rFonts w:eastAsia="Times New Roman" w:cstheme="minorHAnsi"/>
        </w:rPr>
        <w:t>Action Steps for Programs and the Field Addressing Racial Equity</w:t>
      </w:r>
      <w:r w:rsidR="00115172" w:rsidRPr="00115172">
        <w:rPr>
          <w:rFonts w:eastAsia="Times New Roman" w:cstheme="minorHAnsi"/>
        </w:rPr>
        <w:t xml:space="preserve"> on </w:t>
      </w:r>
      <w:r w:rsidRPr="00115172">
        <w:rPr>
          <w:rFonts w:eastAsia="Times New Roman" w:cstheme="minorHAnsi"/>
          <w:color w:val="000000"/>
        </w:rPr>
        <w:t>4/27/21</w:t>
      </w:r>
      <w:r w:rsidRPr="00115172">
        <w:rPr>
          <w:rFonts w:cstheme="minorHAnsi"/>
          <w:color w:val="000000"/>
        </w:rPr>
        <w:tab/>
      </w:r>
    </w:p>
    <w:p w14:paraId="0EB3CA3B" w14:textId="0102E2C3" w:rsidR="00C11C13" w:rsidRDefault="008020B0" w:rsidP="00C11C13">
      <w:pPr>
        <w:shd w:val="clear" w:color="auto" w:fill="FFFFFF" w:themeFill="background1"/>
      </w:pPr>
      <w:r>
        <w:t>Other</w:t>
      </w:r>
      <w:r w:rsidR="00C11C13">
        <w:t xml:space="preserve"> NELRC webinars presented live in PY</w:t>
      </w:r>
      <w:r>
        <w:t>20</w:t>
      </w:r>
      <w:r w:rsidR="00C11C13">
        <w:t>, recorded, and available on the NELRC website:</w:t>
      </w:r>
    </w:p>
    <w:p w14:paraId="2E99515A" w14:textId="1D78B2D2" w:rsidR="00A264DC" w:rsidRPr="00380311" w:rsidRDefault="00FB531F" w:rsidP="007B01A7">
      <w:pPr>
        <w:pStyle w:val="ListParagraph"/>
        <w:widowControl w:val="0"/>
        <w:numPr>
          <w:ilvl w:val="0"/>
          <w:numId w:val="4"/>
        </w:numPr>
        <w:rPr>
          <w:rFonts w:cstheme="minorHAnsi"/>
          <w:b/>
          <w:bCs w:val="0"/>
        </w:rPr>
      </w:pPr>
      <w:r w:rsidRPr="00380311">
        <w:rPr>
          <w:rStyle w:val="Strong"/>
          <w:rFonts w:cstheme="minorHAnsi"/>
          <w:b w:val="0"/>
          <w:bCs/>
          <w:shd w:val="clear" w:color="auto" w:fill="FFFFFF"/>
        </w:rPr>
        <w:t>Engaging Learners in Synchronous Remote Instruction</w:t>
      </w:r>
    </w:p>
    <w:p w14:paraId="12E08DBB" w14:textId="57633FBB" w:rsidR="00A264DC" w:rsidRPr="00380311" w:rsidRDefault="003D4B24" w:rsidP="007B01A7">
      <w:pPr>
        <w:pStyle w:val="ListParagraph"/>
        <w:widowControl w:val="0"/>
        <w:numPr>
          <w:ilvl w:val="0"/>
          <w:numId w:val="4"/>
        </w:numPr>
        <w:rPr>
          <w:rFonts w:cstheme="minorHAnsi"/>
          <w:b/>
          <w:bCs w:val="0"/>
        </w:rPr>
      </w:pPr>
      <w:r w:rsidRPr="00380311">
        <w:rPr>
          <w:rStyle w:val="Strong"/>
          <w:rFonts w:cstheme="minorHAnsi"/>
          <w:b w:val="0"/>
          <w:bCs/>
          <w:shd w:val="clear" w:color="auto" w:fill="FFFFFF"/>
        </w:rPr>
        <w:t>Readability for All: Improving Literacy &amp; Engagement through Enhanced Readability</w:t>
      </w:r>
    </w:p>
    <w:p w14:paraId="7908C024" w14:textId="45EE493F" w:rsidR="003D4B24" w:rsidRPr="00380311" w:rsidRDefault="002F6DEF" w:rsidP="007B01A7">
      <w:pPr>
        <w:pStyle w:val="ListParagraph"/>
        <w:widowControl w:val="0"/>
        <w:numPr>
          <w:ilvl w:val="0"/>
          <w:numId w:val="4"/>
        </w:numPr>
        <w:rPr>
          <w:rStyle w:val="Strong"/>
          <w:rFonts w:cstheme="minorHAnsi"/>
          <w:shd w:val="clear" w:color="auto" w:fill="FFFFFF"/>
        </w:rPr>
      </w:pPr>
      <w:r w:rsidRPr="00380311">
        <w:rPr>
          <w:rStyle w:val="Strong"/>
          <w:rFonts w:cstheme="minorHAnsi"/>
          <w:b w:val="0"/>
          <w:bCs/>
          <w:shd w:val="clear" w:color="auto" w:fill="FFFFFF"/>
        </w:rPr>
        <w:t>Using the “Pandemic” issue of The Change Agent in the Classroom</w:t>
      </w:r>
    </w:p>
    <w:p w14:paraId="69E746F4" w14:textId="0CE49E8B" w:rsidR="003D4B24" w:rsidRPr="00380311" w:rsidRDefault="00C22B18" w:rsidP="007B01A7">
      <w:pPr>
        <w:pStyle w:val="ListParagraph"/>
        <w:widowControl w:val="0"/>
        <w:numPr>
          <w:ilvl w:val="0"/>
          <w:numId w:val="4"/>
        </w:numPr>
        <w:rPr>
          <w:rStyle w:val="Strong"/>
          <w:rFonts w:cstheme="minorHAnsi"/>
          <w:shd w:val="clear" w:color="auto" w:fill="FFFFFF"/>
        </w:rPr>
      </w:pPr>
      <w:r w:rsidRPr="00380311">
        <w:rPr>
          <w:rStyle w:val="Strong"/>
          <w:rFonts w:cstheme="minorHAnsi"/>
          <w:b w:val="0"/>
          <w:bCs/>
          <w:shd w:val="clear" w:color="auto" w:fill="FFFFFF"/>
        </w:rPr>
        <w:t>Introducing the Transforming Distance Education Course!</w:t>
      </w:r>
    </w:p>
    <w:p w14:paraId="25DAD9B8" w14:textId="7ED4B729" w:rsidR="00F12074" w:rsidRPr="00380311" w:rsidRDefault="00C22B18" w:rsidP="00AC24C7">
      <w:pPr>
        <w:pStyle w:val="ListParagraph"/>
        <w:widowControl w:val="0"/>
        <w:numPr>
          <w:ilvl w:val="0"/>
          <w:numId w:val="4"/>
        </w:numPr>
        <w:rPr>
          <w:rFonts w:cstheme="minorHAnsi"/>
          <w:shd w:val="clear" w:color="auto" w:fill="FFFFFF"/>
        </w:rPr>
      </w:pPr>
      <w:r w:rsidRPr="00380311">
        <w:rPr>
          <w:rStyle w:val="Strong"/>
          <w:rFonts w:cstheme="minorHAnsi"/>
          <w:b w:val="0"/>
          <w:bCs/>
          <w:shd w:val="clear" w:color="auto" w:fill="FFFFFF"/>
        </w:rPr>
        <w:t>Voter Education, Registration, and Action…during a Pandemic!</w:t>
      </w:r>
    </w:p>
    <w:p w14:paraId="62288992" w14:textId="02D4B967" w:rsidR="00C3556A" w:rsidRDefault="00AC24C7" w:rsidP="00C3556A">
      <w:pPr>
        <w:widowControl w:val="0"/>
      </w:pPr>
      <w:r w:rsidRPr="00AC24C7">
        <w:rPr>
          <w:b/>
          <w:bCs w:val="0"/>
        </w:rPr>
        <w:t>Technical assistance:</w:t>
      </w:r>
      <w:r>
        <w:t xml:space="preserve"> </w:t>
      </w:r>
      <w:r w:rsidR="00C3556A">
        <w:t xml:space="preserve">The AOE provided </w:t>
      </w:r>
      <w:r w:rsidR="003000A9">
        <w:t>36</w:t>
      </w:r>
      <w:r w:rsidR="00C3556A">
        <w:t xml:space="preserve"> technical assistance </w:t>
      </w:r>
      <w:r w:rsidR="00A55C88">
        <w:t xml:space="preserve">(TA) </w:t>
      </w:r>
      <w:r w:rsidR="00C3556A">
        <w:t xml:space="preserve">meetings with leadership and other </w:t>
      </w:r>
      <w:r w:rsidR="00C0383E">
        <w:t xml:space="preserve">local </w:t>
      </w:r>
      <w:r w:rsidR="00C3556A">
        <w:t>AEL</w:t>
      </w:r>
      <w:r w:rsidR="00C0383E">
        <w:t xml:space="preserve"> provider</w:t>
      </w:r>
      <w:r w:rsidR="00C3556A">
        <w:t xml:space="preserve"> staff</w:t>
      </w:r>
      <w:r w:rsidR="003A77C3">
        <w:t xml:space="preserve"> during the reporting period. The pandemic prohibited in-person meetings, </w:t>
      </w:r>
      <w:r w:rsidR="005D2488">
        <w:t xml:space="preserve">but </w:t>
      </w:r>
      <w:r w:rsidR="001D18DB">
        <w:t xml:space="preserve">the ability to have more frequent, virtual meetings led to improved </w:t>
      </w:r>
      <w:r w:rsidR="001D18DB">
        <w:lastRenderedPageBreak/>
        <w:t>communication and access</w:t>
      </w:r>
      <w:r w:rsidR="007C6114">
        <w:t xml:space="preserve">. Previously, traveling to and from meetings required planning for half- or all-day meetings, but with the </w:t>
      </w:r>
      <w:r w:rsidR="005E15F7">
        <w:t>new normative virtual format, we were able to meet with more people where they were for shorter periods of time.</w:t>
      </w:r>
      <w:r w:rsidR="004811D7">
        <w:t xml:space="preserve"> Events included:</w:t>
      </w:r>
    </w:p>
    <w:p w14:paraId="4DE9E797" w14:textId="507395F9" w:rsidR="004811D7" w:rsidRPr="00050E6D" w:rsidRDefault="00211675" w:rsidP="007B01A7">
      <w:pPr>
        <w:pStyle w:val="ListParagraph"/>
        <w:widowControl w:val="0"/>
        <w:numPr>
          <w:ilvl w:val="0"/>
          <w:numId w:val="15"/>
        </w:numPr>
      </w:pPr>
      <w:r w:rsidRPr="00050E6D">
        <w:t xml:space="preserve">14 meetings with </w:t>
      </w:r>
      <w:r w:rsidR="002C1E6D" w:rsidRPr="00050E6D">
        <w:t xml:space="preserve">all four AEL provider </w:t>
      </w:r>
      <w:r w:rsidR="002936D6" w:rsidRPr="00050E6D">
        <w:t>leadership staff. TA included topic</w:t>
      </w:r>
      <w:r w:rsidR="00402440" w:rsidRPr="00050E6D">
        <w:t>s such as, GED testing center access, dual enrollment in college courses for AEL student access, updates on funding</w:t>
      </w:r>
      <w:r w:rsidR="005702AB" w:rsidRPr="00050E6D">
        <w:t>,</w:t>
      </w:r>
      <w:r w:rsidR="00C64F21" w:rsidRPr="00050E6D">
        <w:t xml:space="preserve">  COVID-19 response </w:t>
      </w:r>
      <w:r w:rsidR="00E6491C" w:rsidRPr="00050E6D">
        <w:t xml:space="preserve">resources provided by state government, </w:t>
      </w:r>
      <w:r w:rsidR="005931AC" w:rsidRPr="00050E6D">
        <w:t>collaboration with the Migrant Education Program</w:t>
      </w:r>
      <w:r w:rsidR="000D12DD" w:rsidRPr="00050E6D">
        <w:t>,</w:t>
      </w:r>
      <w:r w:rsidR="000035C8" w:rsidRPr="00050E6D">
        <w:t xml:space="preserve"> </w:t>
      </w:r>
      <w:r w:rsidR="000464C6" w:rsidRPr="00050E6D">
        <w:t xml:space="preserve">virtual proctoring strategies, </w:t>
      </w:r>
      <w:r w:rsidR="007C5990" w:rsidRPr="00050E6D">
        <w:t xml:space="preserve">updates on legislative activities, </w:t>
      </w:r>
      <w:r w:rsidR="001A2E9B" w:rsidRPr="00050E6D">
        <w:t>data security</w:t>
      </w:r>
      <w:r w:rsidR="00831039" w:rsidRPr="00050E6D">
        <w:t xml:space="preserve"> for intake, </w:t>
      </w:r>
      <w:r w:rsidR="004E1066" w:rsidRPr="00050E6D">
        <w:t xml:space="preserve">collaborating across </w:t>
      </w:r>
      <w:r w:rsidR="00017FFC" w:rsidRPr="00050E6D">
        <w:t xml:space="preserve">service regions to best serve students, </w:t>
      </w:r>
      <w:r w:rsidR="001B65ED" w:rsidRPr="00050E6D">
        <w:t xml:space="preserve">and </w:t>
      </w:r>
      <w:r w:rsidR="00B270CD" w:rsidRPr="00050E6D">
        <w:t xml:space="preserve">group </w:t>
      </w:r>
      <w:r w:rsidR="001B65ED" w:rsidRPr="00050E6D">
        <w:t xml:space="preserve">troubleshooting </w:t>
      </w:r>
      <w:r w:rsidR="00D367E9" w:rsidRPr="00050E6D">
        <w:t>through sharing of local challenges</w:t>
      </w:r>
      <w:r w:rsidR="00162FE8">
        <w:t>;</w:t>
      </w:r>
    </w:p>
    <w:p w14:paraId="0C62AEEC" w14:textId="2435AA86" w:rsidR="006718C9" w:rsidRDefault="006718C9" w:rsidP="007B01A7">
      <w:pPr>
        <w:pStyle w:val="ListParagraph"/>
        <w:widowControl w:val="0"/>
        <w:numPr>
          <w:ilvl w:val="0"/>
          <w:numId w:val="15"/>
        </w:numPr>
      </w:pPr>
      <w:r w:rsidRPr="006718C9">
        <w:t xml:space="preserve">4 meetings with individual providers on </w:t>
      </w:r>
      <w:r w:rsidR="00403C50">
        <w:t xml:space="preserve">IET development and </w:t>
      </w:r>
      <w:r w:rsidR="00BA234F">
        <w:t>implementation;</w:t>
      </w:r>
    </w:p>
    <w:p w14:paraId="39DB977E" w14:textId="4C544BE3" w:rsidR="00BA234F" w:rsidRDefault="00BA234F" w:rsidP="007B01A7">
      <w:pPr>
        <w:pStyle w:val="ListParagraph"/>
        <w:widowControl w:val="0"/>
        <w:numPr>
          <w:ilvl w:val="0"/>
          <w:numId w:val="15"/>
        </w:numPr>
      </w:pPr>
      <w:r>
        <w:t xml:space="preserve">1 </w:t>
      </w:r>
      <w:r w:rsidR="006A2EEA">
        <w:t>facilitated</w:t>
      </w:r>
      <w:r>
        <w:t xml:space="preserve"> meeting with AEL provider staff to share </w:t>
      </w:r>
      <w:r w:rsidR="006A2EEA">
        <w:t>IET implementation strategies</w:t>
      </w:r>
      <w:r w:rsidR="00E07E36">
        <w:t xml:space="preserve"> – attended by 12 </w:t>
      </w:r>
      <w:r w:rsidR="00DF4838">
        <w:t>local AEL provider staff</w:t>
      </w:r>
      <w:r w:rsidR="006A2EEA">
        <w:t>;</w:t>
      </w:r>
    </w:p>
    <w:p w14:paraId="5AEA091A" w14:textId="4DD8DB97" w:rsidR="00917221" w:rsidRPr="00050E6D" w:rsidRDefault="00917221" w:rsidP="007B01A7">
      <w:pPr>
        <w:pStyle w:val="ListParagraph"/>
        <w:widowControl w:val="0"/>
        <w:numPr>
          <w:ilvl w:val="0"/>
          <w:numId w:val="15"/>
        </w:numPr>
      </w:pPr>
      <w:r w:rsidRPr="00050E6D">
        <w:t>1</w:t>
      </w:r>
      <w:r w:rsidR="008B3812" w:rsidRPr="00050E6D">
        <w:t>4</w:t>
      </w:r>
      <w:r w:rsidRPr="00050E6D">
        <w:t xml:space="preserve"> </w:t>
      </w:r>
      <w:r w:rsidR="00823F00" w:rsidRPr="00050E6D">
        <w:t xml:space="preserve">meetings with individual provider leadership staff to review progress toward performance targets, </w:t>
      </w:r>
      <w:r w:rsidR="00B338CC" w:rsidRPr="00050E6D">
        <w:t>grant agreement</w:t>
      </w:r>
      <w:r w:rsidR="008B3812" w:rsidRPr="00050E6D">
        <w:t xml:space="preserve"> </w:t>
      </w:r>
      <w:r w:rsidR="00B338CC" w:rsidRPr="00050E6D">
        <w:t>requirements</w:t>
      </w:r>
      <w:r w:rsidR="00823F00" w:rsidRPr="00050E6D">
        <w:t xml:space="preserve">, </w:t>
      </w:r>
      <w:r w:rsidR="00132595" w:rsidRPr="00050E6D">
        <w:t>distance education</w:t>
      </w:r>
      <w:r w:rsidR="00FB7E2B" w:rsidRPr="00050E6D">
        <w:t xml:space="preserve"> services, </w:t>
      </w:r>
      <w:r w:rsidR="001A7C5D" w:rsidRPr="00050E6D">
        <w:t xml:space="preserve">IET programs, </w:t>
      </w:r>
      <w:r w:rsidR="00823F00" w:rsidRPr="00050E6D">
        <w:t xml:space="preserve">and </w:t>
      </w:r>
      <w:r w:rsidR="00AC1071" w:rsidRPr="00050E6D">
        <w:t>PD</w:t>
      </w:r>
      <w:r w:rsidR="00E875A0" w:rsidRPr="00050E6D">
        <w:t>/TA</w:t>
      </w:r>
      <w:r w:rsidR="00AC1071" w:rsidRPr="00050E6D">
        <w:t xml:space="preserve"> needs</w:t>
      </w:r>
      <w:r w:rsidR="00162FE8">
        <w:t>;</w:t>
      </w:r>
    </w:p>
    <w:p w14:paraId="0BD4F897" w14:textId="65DA91A1" w:rsidR="00E875A0" w:rsidRDefault="00E875A0" w:rsidP="007B01A7">
      <w:pPr>
        <w:pStyle w:val="ListParagraph"/>
        <w:widowControl w:val="0"/>
        <w:numPr>
          <w:ilvl w:val="0"/>
          <w:numId w:val="15"/>
        </w:numPr>
      </w:pPr>
      <w:r w:rsidRPr="00E875A0">
        <w:t xml:space="preserve">1 meeting with AEL providers receiving the IELCE funds to </w:t>
      </w:r>
      <w:r w:rsidR="00F170A8">
        <w:t>discuss</w:t>
      </w:r>
      <w:r w:rsidR="005061DC">
        <w:t xml:space="preserve"> a plan to spend carry over funds</w:t>
      </w:r>
      <w:r w:rsidRPr="00E875A0">
        <w:t>;</w:t>
      </w:r>
    </w:p>
    <w:p w14:paraId="667B601B" w14:textId="5F99235B" w:rsidR="008C231C" w:rsidRDefault="008D563A" w:rsidP="00427DDD">
      <w:pPr>
        <w:pStyle w:val="ListParagraph"/>
        <w:widowControl w:val="0"/>
        <w:numPr>
          <w:ilvl w:val="0"/>
          <w:numId w:val="15"/>
        </w:numPr>
      </w:pPr>
      <w:r>
        <w:t xml:space="preserve">1 </w:t>
      </w:r>
      <w:r w:rsidR="00BD31B8">
        <w:t xml:space="preserve">training on how to use the </w:t>
      </w:r>
      <w:r w:rsidR="00BD31B8" w:rsidRPr="00AC24C7">
        <w:t>new Effective</w:t>
      </w:r>
      <w:r w:rsidR="00AC24C7" w:rsidRPr="00AC24C7">
        <w:t>ness</w:t>
      </w:r>
      <w:r w:rsidR="00BD31B8" w:rsidRPr="00AC24C7">
        <w:t xml:space="preserve"> in Serving Employers</w:t>
      </w:r>
      <w:r w:rsidR="00BD31B8">
        <w:t xml:space="preserve"> tracker that the AOE developed in consultation with the DOL</w:t>
      </w:r>
      <w:r w:rsidR="0071374E">
        <w:t xml:space="preserve"> – attended by </w:t>
      </w:r>
      <w:r w:rsidR="009F4E04">
        <w:t>13 local AEL provider staff</w:t>
      </w:r>
      <w:r w:rsidR="00BD31B8">
        <w:t>;</w:t>
      </w:r>
      <w:r w:rsidR="00162FE8">
        <w:t xml:space="preserve"> and,</w:t>
      </w:r>
    </w:p>
    <w:p w14:paraId="727AEB99" w14:textId="2617A5D8" w:rsidR="00BD31B8" w:rsidRDefault="00CE79D5" w:rsidP="007B01A7">
      <w:pPr>
        <w:pStyle w:val="ListParagraph"/>
        <w:widowControl w:val="0"/>
        <w:numPr>
          <w:ilvl w:val="0"/>
          <w:numId w:val="15"/>
        </w:numPr>
      </w:pPr>
      <w:r>
        <w:t xml:space="preserve">1 presentation by </w:t>
      </w:r>
      <w:r w:rsidR="00483C89">
        <w:t>Community of College staff to discuss the advisory process for helping secondary students succeed</w:t>
      </w:r>
      <w:r w:rsidR="008418AE">
        <w:t xml:space="preserve"> in their postsecondary classes as a part of the dual enrollment program in Vermont</w:t>
      </w:r>
      <w:r w:rsidR="00FA0052">
        <w:t xml:space="preserve"> – attended by 17</w:t>
      </w:r>
      <w:r w:rsidR="00C0383E">
        <w:t xml:space="preserve"> local AEL provider staff.</w:t>
      </w:r>
    </w:p>
    <w:p w14:paraId="34AA19F9" w14:textId="7A37B696" w:rsidR="00B205C3" w:rsidRPr="00A55C88" w:rsidRDefault="00B205C3" w:rsidP="002B50A6">
      <w:pPr>
        <w:widowControl w:val="0"/>
      </w:pPr>
      <w:r w:rsidRPr="00A55C88">
        <w:t xml:space="preserve">Dissemination of resources and information included links </w:t>
      </w:r>
      <w:r w:rsidR="00177280" w:rsidRPr="00A55C88">
        <w:t>to</w:t>
      </w:r>
      <w:r w:rsidRPr="00A55C88">
        <w:t xml:space="preserve"> PBS Learning Media Resources, </w:t>
      </w:r>
      <w:r w:rsidR="009C014D" w:rsidRPr="00A55C88">
        <w:t>Barbara Bush Foundation</w:t>
      </w:r>
      <w:r w:rsidR="00044FC8" w:rsidRPr="00A55C88">
        <w:t xml:space="preserve">’s Reading Resource Library, </w:t>
      </w:r>
      <w:r w:rsidR="00C17C1F" w:rsidRPr="00A55C88">
        <w:t xml:space="preserve">Public </w:t>
      </w:r>
      <w:r w:rsidR="00C16010" w:rsidRPr="00A55C88">
        <w:t>Wi-Fi</w:t>
      </w:r>
      <w:r w:rsidR="00044FC8" w:rsidRPr="00A55C88">
        <w:t xml:space="preserve"> </w:t>
      </w:r>
      <w:r w:rsidR="00C17C1F" w:rsidRPr="00A55C88">
        <w:t>H</w:t>
      </w:r>
      <w:r w:rsidR="00044FC8" w:rsidRPr="00A55C88">
        <w:t xml:space="preserve">otspots in Vermont, </w:t>
      </w:r>
      <w:r w:rsidR="00BD3026" w:rsidRPr="00A55C88">
        <w:t>resources that support paying for</w:t>
      </w:r>
      <w:r w:rsidR="00AC4911" w:rsidRPr="00A55C88">
        <w:t xml:space="preserve"> internet services</w:t>
      </w:r>
      <w:r w:rsidR="00912389" w:rsidRPr="00A55C88">
        <w:t xml:space="preserve">, </w:t>
      </w:r>
      <w:r w:rsidR="002A7742" w:rsidRPr="00A55C88">
        <w:t xml:space="preserve">the revised </w:t>
      </w:r>
      <w:r w:rsidR="00D15649" w:rsidRPr="00A55C88">
        <w:t xml:space="preserve">IDEAL Distance Education </w:t>
      </w:r>
      <w:r w:rsidR="002A7742" w:rsidRPr="00A55C88">
        <w:t xml:space="preserve">and Blended Learning Handbook, </w:t>
      </w:r>
      <w:r w:rsidR="003D213F" w:rsidRPr="00A55C88">
        <w:t>and the new IET design toolkit.</w:t>
      </w:r>
      <w:r w:rsidR="00AC4911" w:rsidRPr="00A55C88">
        <w:t xml:space="preserve"> </w:t>
      </w:r>
      <w:r w:rsidR="003D213F" w:rsidRPr="00A55C88">
        <w:t xml:space="preserve">AEL providers also were given </w:t>
      </w:r>
      <w:r w:rsidR="00023037" w:rsidRPr="00A55C88">
        <w:t xml:space="preserve">access to </w:t>
      </w:r>
      <w:hyperlink r:id="rId11" w:history="1">
        <w:r w:rsidR="00023037" w:rsidRPr="002669DD">
          <w:rPr>
            <w:rStyle w:val="Hyperlink"/>
            <w:rFonts w:cs="Calibri"/>
          </w:rPr>
          <w:t>SEL</w:t>
        </w:r>
        <w:r w:rsidR="00414BB8" w:rsidRPr="002669DD">
          <w:rPr>
            <w:rStyle w:val="Hyperlink"/>
            <w:rFonts w:cs="Calibri"/>
          </w:rPr>
          <w:t>-</w:t>
        </w:r>
        <w:r w:rsidR="00023037" w:rsidRPr="002669DD">
          <w:rPr>
            <w:rStyle w:val="Hyperlink"/>
            <w:rFonts w:cs="Calibri"/>
          </w:rPr>
          <w:t>VT</w:t>
        </w:r>
      </w:hyperlink>
      <w:r w:rsidR="00912389" w:rsidRPr="00A55C88">
        <w:t xml:space="preserve">, </w:t>
      </w:r>
      <w:r w:rsidR="003D213F" w:rsidRPr="00A55C88">
        <w:t>a virtual platform of free materials for understanding key elements of healthy social emotional learning (SEL). Strengthening students’ SEL skills and well-being are an important focus of Vermont’s statewide recovery plan.</w:t>
      </w:r>
      <w:r w:rsidR="008C0AB4" w:rsidRPr="00A55C88">
        <w:t xml:space="preserve"> The other two areas of focus for Vermont are</w:t>
      </w:r>
      <w:r w:rsidR="00D3384E">
        <w:t>:</w:t>
      </w:r>
      <w:r w:rsidR="008C0AB4" w:rsidRPr="00A55C88">
        <w:t xml:space="preserve"> student engagement and academic achievement. At the end of the reporting period, as the rate of vacc</w:t>
      </w:r>
      <w:r w:rsidR="008F12E4" w:rsidRPr="00A55C88">
        <w:t>inations increase</w:t>
      </w:r>
      <w:r w:rsidR="00C9347C" w:rsidRPr="00A55C88">
        <w:t>d</w:t>
      </w:r>
      <w:r w:rsidR="008F12E4" w:rsidRPr="00A55C88">
        <w:t xml:space="preserve"> and the </w:t>
      </w:r>
      <w:r w:rsidR="00C9347C" w:rsidRPr="00A55C88">
        <w:t>S</w:t>
      </w:r>
      <w:r w:rsidR="008F12E4" w:rsidRPr="00A55C88">
        <w:t xml:space="preserve">tate of </w:t>
      </w:r>
      <w:r w:rsidR="00C9347C" w:rsidRPr="00A55C88">
        <w:t>E</w:t>
      </w:r>
      <w:r w:rsidR="008F12E4" w:rsidRPr="00A55C88">
        <w:t xml:space="preserve">mergency was lifted by Vermont’s Governor, the Agency of Education </w:t>
      </w:r>
      <w:r w:rsidR="00C9347C" w:rsidRPr="00A55C88">
        <w:t xml:space="preserve">had already engaged </w:t>
      </w:r>
      <w:r w:rsidR="00622642" w:rsidRPr="00A55C88">
        <w:t xml:space="preserve">schools in </w:t>
      </w:r>
      <w:r w:rsidR="00BA1C8B" w:rsidRPr="00A55C88">
        <w:t xml:space="preserve">a process of assessing needs and consultation </w:t>
      </w:r>
      <w:r w:rsidR="006C6AAE" w:rsidRPr="00A55C88">
        <w:t>to prepare for the return to full in-person student learning. As part of this process</w:t>
      </w:r>
      <w:r w:rsidR="00AA66FA" w:rsidRPr="00A55C88">
        <w:t xml:space="preserve"> named “education recovery</w:t>
      </w:r>
      <w:r w:rsidR="006C6AAE" w:rsidRPr="00A55C88">
        <w:t>,</w:t>
      </w:r>
      <w:r w:rsidR="00AA66FA" w:rsidRPr="00A55C88">
        <w:t>”</w:t>
      </w:r>
      <w:r w:rsidR="006C6AAE" w:rsidRPr="00A55C88">
        <w:t xml:space="preserve"> the AOE </w:t>
      </w:r>
      <w:r w:rsidR="0009371D" w:rsidRPr="00A55C88">
        <w:t>released materials to schools, Career Technical Education centers, and AEL providers</w:t>
      </w:r>
      <w:r w:rsidR="000B13DA" w:rsidRPr="00A55C88">
        <w:t>.</w:t>
      </w:r>
      <w:r w:rsidR="0009371D" w:rsidRPr="00A55C88">
        <w:t xml:space="preserve"> We did not </w:t>
      </w:r>
      <w:r w:rsidR="00516E45" w:rsidRPr="00A55C88">
        <w:t xml:space="preserve">anticipate that the COVID-19 variants would </w:t>
      </w:r>
      <w:r w:rsidR="00FB1280" w:rsidRPr="00A55C88">
        <w:t>impact</w:t>
      </w:r>
      <w:r w:rsidR="00516E45" w:rsidRPr="00A55C88">
        <w:t xml:space="preserve"> </w:t>
      </w:r>
      <w:r w:rsidR="00831C8E" w:rsidRPr="00A55C88">
        <w:t>the aggressive recovery</w:t>
      </w:r>
      <w:r w:rsidR="00384FA7" w:rsidRPr="00A55C88">
        <w:t xml:space="preserve"> planned for</w:t>
      </w:r>
      <w:r w:rsidR="00831C8E" w:rsidRPr="00A55C88">
        <w:t xml:space="preserve"> in education</w:t>
      </w:r>
      <w:r w:rsidR="00FE0688" w:rsidRPr="00A55C88">
        <w:t xml:space="preserve">. </w:t>
      </w:r>
      <w:r w:rsidR="00FB1280" w:rsidRPr="00A55C88">
        <w:t xml:space="preserve">AEL providers were also asked to review the </w:t>
      </w:r>
      <w:hyperlink r:id="rId12" w:history="1">
        <w:r w:rsidR="005F591D" w:rsidRPr="00A55C88">
          <w:rPr>
            <w:rStyle w:val="Hyperlink"/>
            <w:rFonts w:cs="Calibri"/>
          </w:rPr>
          <w:t>Framework and Overview</w:t>
        </w:r>
      </w:hyperlink>
      <w:r w:rsidR="005F591D" w:rsidRPr="00A55C88">
        <w:t xml:space="preserve"> of the </w:t>
      </w:r>
      <w:r w:rsidR="00C51534" w:rsidRPr="00A55C88">
        <w:t xml:space="preserve">COVID-19 Education Recovery Toolkit </w:t>
      </w:r>
      <w:r w:rsidR="00177280" w:rsidRPr="00A55C88">
        <w:t>Contents as</w:t>
      </w:r>
      <w:r w:rsidR="00A30E4D" w:rsidRPr="00A55C88">
        <w:t xml:space="preserve"> they planned for program year 2021. </w:t>
      </w:r>
      <w:r w:rsidR="00334B97" w:rsidRPr="00A55C88">
        <w:t>Despite surges</w:t>
      </w:r>
      <w:r w:rsidR="004C2098" w:rsidRPr="00A55C88">
        <w:t xml:space="preserve"> of COVID</w:t>
      </w:r>
      <w:r w:rsidR="00F6054A">
        <w:t xml:space="preserve"> variants</w:t>
      </w:r>
      <w:r w:rsidR="00FE0688" w:rsidRPr="00A55C88">
        <w:t>, at th</w:t>
      </w:r>
      <w:r w:rsidR="00D26374" w:rsidRPr="00A55C88">
        <w:t xml:space="preserve">e time of the writing of this report, AEL providers are </w:t>
      </w:r>
      <w:r w:rsidR="00ED6445" w:rsidRPr="00A55C88">
        <w:t xml:space="preserve">experiencing a modest </w:t>
      </w:r>
      <w:r w:rsidR="00D26374" w:rsidRPr="00A55C88">
        <w:t>increase</w:t>
      </w:r>
      <w:r w:rsidR="00ED6445" w:rsidRPr="00A55C88">
        <w:t xml:space="preserve"> in the</w:t>
      </w:r>
      <w:r w:rsidR="00D26374" w:rsidRPr="00A55C88">
        <w:t xml:space="preserve"> number of students returning to </w:t>
      </w:r>
      <w:r w:rsidR="00ED6445" w:rsidRPr="00A55C88">
        <w:t>learning centers to receive both in-person and remote services.</w:t>
      </w:r>
    </w:p>
    <w:p w14:paraId="28A8C21D" w14:textId="79915032" w:rsidR="00F12074" w:rsidRPr="00AC24C7" w:rsidRDefault="007505C7" w:rsidP="00AC24C7">
      <w:pPr>
        <w:widowControl w:val="0"/>
      </w:pPr>
      <w:r w:rsidRPr="00A55C88">
        <w:t xml:space="preserve">Finally, the AOE engaged with the GED Testing Service to </w:t>
      </w:r>
      <w:r w:rsidR="00E55C59" w:rsidRPr="00A55C88">
        <w:t>participate in an online proctoring pilot from May 2020-August 2021. This</w:t>
      </w:r>
      <w:r w:rsidR="00235902" w:rsidRPr="00A55C88">
        <w:t xml:space="preserve"> pilot made it possible for Vermont resident test takers </w:t>
      </w:r>
      <w:r w:rsidR="00235902" w:rsidRPr="00A55C88">
        <w:lastRenderedPageBreak/>
        <w:t xml:space="preserve">who had the required equipment available to take the tests </w:t>
      </w:r>
      <w:r w:rsidR="00DD6F12" w:rsidRPr="00A55C88">
        <w:t xml:space="preserve">from the safety of their homes. Though this service was greatly needed, the </w:t>
      </w:r>
      <w:r w:rsidR="00A55C88" w:rsidRPr="00A55C88">
        <w:t>TA to</w:t>
      </w:r>
      <w:r w:rsidR="00D02C16" w:rsidRPr="00A55C88">
        <w:t xml:space="preserve"> </w:t>
      </w:r>
      <w:r w:rsidR="00D906ED" w:rsidRPr="00A55C88">
        <w:t xml:space="preserve">providers </w:t>
      </w:r>
      <w:r w:rsidR="00A55C88" w:rsidRPr="00A55C88">
        <w:t xml:space="preserve">was offered </w:t>
      </w:r>
      <w:r w:rsidR="00D02C16" w:rsidRPr="00A55C88">
        <w:t xml:space="preserve">to </w:t>
      </w:r>
      <w:r w:rsidR="00D906ED" w:rsidRPr="00A55C88">
        <w:t xml:space="preserve">ensure that the </w:t>
      </w:r>
      <w:r w:rsidR="00EB724A" w:rsidRPr="00A55C88">
        <w:t xml:space="preserve">physical </w:t>
      </w:r>
      <w:r w:rsidR="00D906ED" w:rsidRPr="00A55C88">
        <w:t xml:space="preserve">testing centers </w:t>
      </w:r>
      <w:r w:rsidR="00EB724A" w:rsidRPr="00A55C88">
        <w:t>remained</w:t>
      </w:r>
      <w:r w:rsidR="00D906ED" w:rsidRPr="00A55C88">
        <w:t xml:space="preserve"> </w:t>
      </w:r>
      <w:r w:rsidR="00EB724A" w:rsidRPr="00A55C88">
        <w:t xml:space="preserve">open </w:t>
      </w:r>
      <w:r w:rsidR="00D906ED" w:rsidRPr="00A55C88">
        <w:t xml:space="preserve">for those who could not take advantage of online proctoring due to lack of equipment </w:t>
      </w:r>
      <w:r w:rsidR="00005DC2" w:rsidRPr="00A55C88">
        <w:t>and/</w:t>
      </w:r>
      <w:r w:rsidR="00D906ED" w:rsidRPr="00A55C88">
        <w:t xml:space="preserve">or </w:t>
      </w:r>
      <w:r w:rsidR="00005DC2" w:rsidRPr="00A55C88">
        <w:t>reliable internet access.</w:t>
      </w:r>
      <w:r w:rsidR="004C2098">
        <w:t xml:space="preserve"> </w:t>
      </w:r>
    </w:p>
    <w:p w14:paraId="38E20CE7" w14:textId="0F189081" w:rsidR="00D95DD5" w:rsidRDefault="00AC24C7" w:rsidP="003529BA">
      <w:pPr>
        <w:widowControl w:val="0"/>
      </w:pPr>
      <w:r w:rsidRPr="00AC24C7">
        <w:rPr>
          <w:b/>
          <w:bCs w:val="0"/>
        </w:rPr>
        <w:t>Monitoring and evaluation:</w:t>
      </w:r>
      <w:r>
        <w:t xml:space="preserve"> </w:t>
      </w:r>
      <w:r w:rsidR="00D95DD5">
        <w:t xml:space="preserve">The AEL team at the AOE continued </w:t>
      </w:r>
      <w:r w:rsidR="00C803BB">
        <w:t xml:space="preserve">remote </w:t>
      </w:r>
      <w:r w:rsidR="00504D87">
        <w:t xml:space="preserve">quarterly </w:t>
      </w:r>
      <w:r w:rsidR="00D95DD5">
        <w:t xml:space="preserve">desk monitoring </w:t>
      </w:r>
      <w:r w:rsidR="00504D87">
        <w:t xml:space="preserve">of student records, progress toward performance targets, </w:t>
      </w:r>
      <w:r w:rsidR="00342EF0">
        <w:t xml:space="preserve">and provided TA to develop narrative plans and budgets for </w:t>
      </w:r>
      <w:r w:rsidR="00B96033">
        <w:t xml:space="preserve">the </w:t>
      </w:r>
      <w:r w:rsidR="00342EF0">
        <w:t xml:space="preserve">upcoming fiscal year. </w:t>
      </w:r>
      <w:r w:rsidR="008D75B3">
        <w:t xml:space="preserve">Monitoring of program performance also included reviews of final expenditures and </w:t>
      </w:r>
      <w:r w:rsidR="005B53FD">
        <w:t xml:space="preserve">narrative reports. Quarterly meetings with providers </w:t>
      </w:r>
      <w:r w:rsidR="00865FBC">
        <w:t xml:space="preserve">included technical assistance </w:t>
      </w:r>
      <w:r w:rsidR="00353A31">
        <w:t>on the topics of engagement</w:t>
      </w:r>
      <w:r w:rsidR="00045BC9">
        <w:t xml:space="preserve"> of higher-skilled </w:t>
      </w:r>
      <w:r w:rsidR="00353A31">
        <w:t xml:space="preserve">students with NRS 6 </w:t>
      </w:r>
      <w:r w:rsidR="002328A8">
        <w:t xml:space="preserve">educational functioning levels </w:t>
      </w:r>
      <w:r w:rsidR="00353A31">
        <w:t xml:space="preserve">to completion through </w:t>
      </w:r>
      <w:r w:rsidR="00045BC9">
        <w:t>the GED or the High School Completion Program.</w:t>
      </w:r>
      <w:r w:rsidR="002328A8">
        <w:t xml:space="preserve"> The AOE also closely monitored </w:t>
      </w:r>
      <w:r w:rsidR="0098104E">
        <w:t>post assessment rates</w:t>
      </w:r>
      <w:r w:rsidR="005C4CDD">
        <w:t>.</w:t>
      </w:r>
      <w:r w:rsidR="005A5EF2">
        <w:t xml:space="preserve"> </w:t>
      </w:r>
    </w:p>
    <w:p w14:paraId="7DD81C47" w14:textId="50BA69CF" w:rsidR="00B06E00" w:rsidRDefault="005C4CDD" w:rsidP="00517158">
      <w:pPr>
        <w:widowControl w:val="0"/>
      </w:pPr>
      <w:r>
        <w:t xml:space="preserve">An initiative to more closely monitor the quality of IET programs resulted in </w:t>
      </w:r>
      <w:hyperlink r:id="rId13" w:history="1">
        <w:r w:rsidR="00264278" w:rsidRPr="003A04C6">
          <w:rPr>
            <w:rStyle w:val="Hyperlink"/>
            <w:rFonts w:cs="Calibri"/>
          </w:rPr>
          <w:t>guidance</w:t>
        </w:r>
        <w:r w:rsidR="000D7B18" w:rsidRPr="003A04C6">
          <w:rPr>
            <w:rStyle w:val="Hyperlink"/>
            <w:rFonts w:cs="Calibri"/>
          </w:rPr>
          <w:t xml:space="preserve"> describing </w:t>
        </w:r>
        <w:r w:rsidR="008873AF" w:rsidRPr="003A04C6">
          <w:rPr>
            <w:rStyle w:val="Hyperlink"/>
            <w:rFonts w:cs="Calibri"/>
          </w:rPr>
          <w:t>a process</w:t>
        </w:r>
      </w:hyperlink>
      <w:r w:rsidR="008873AF">
        <w:t xml:space="preserve"> for review and approval of proposed IET programs. The process includes the submission OCTAE’s IET checklist for review by AOE staff. If approved, the provider then submits an </w:t>
      </w:r>
      <w:hyperlink r:id="rId14" w:history="1">
        <w:r w:rsidR="008873AF" w:rsidRPr="00A56363">
          <w:rPr>
            <w:rStyle w:val="Hyperlink"/>
            <w:rFonts w:cs="Calibri"/>
          </w:rPr>
          <w:t>IET registration form</w:t>
        </w:r>
      </w:hyperlink>
      <w:r w:rsidR="008873AF">
        <w:t xml:space="preserve"> for every cohort of the IET</w:t>
      </w:r>
      <w:r w:rsidR="00DA2EBA">
        <w:t xml:space="preserve">. </w:t>
      </w:r>
    </w:p>
    <w:p w14:paraId="051D5C4E" w14:textId="03442A32" w:rsidR="003039FE" w:rsidRDefault="00DA2EBA" w:rsidP="00517158">
      <w:pPr>
        <w:widowControl w:val="0"/>
      </w:pPr>
      <w:r>
        <w:t xml:space="preserve">Finally, each year the AOE will go over the IET cohort events with the provider to ensure </w:t>
      </w:r>
      <w:r w:rsidR="00484B02">
        <w:t xml:space="preserve">compliance before determining that the IET can be included in the Federal report. This process has led the AOE to identify areas of concern in the way IETs are </w:t>
      </w:r>
      <w:r w:rsidR="00B66455">
        <w:t>understood</w:t>
      </w:r>
      <w:r w:rsidR="00484B02">
        <w:t xml:space="preserve"> by the field, </w:t>
      </w:r>
      <w:r w:rsidR="00177280">
        <w:t>developed,</w:t>
      </w:r>
      <w:r w:rsidR="00484B02">
        <w:t xml:space="preserve"> and implemented. As a result, </w:t>
      </w:r>
      <w:r w:rsidR="002951BF">
        <w:t xml:space="preserve">the AOE is receiving targeted technical assistance </w:t>
      </w:r>
      <w:r w:rsidR="00521943">
        <w:t xml:space="preserve">through OCTAE </w:t>
      </w:r>
      <w:r w:rsidR="002951BF">
        <w:t xml:space="preserve">to develop strategies that will </w:t>
      </w:r>
      <w:r w:rsidR="005A5EF2">
        <w:t>improve the provision of IET programs in Vermont.</w:t>
      </w:r>
    </w:p>
    <w:p w14:paraId="124B7E86" w14:textId="3B01B124" w:rsidR="001F7193" w:rsidRDefault="00393C9F" w:rsidP="00517158">
      <w:pPr>
        <w:widowControl w:val="0"/>
      </w:pPr>
      <w:r w:rsidRPr="007F7003">
        <w:t xml:space="preserve">The AOE has developed a uniform process for both Career Technical Education and AEL </w:t>
      </w:r>
      <w:r w:rsidR="007F70E3" w:rsidRPr="007F7003">
        <w:t xml:space="preserve">systems to propose Industry Recognized Credentials. </w:t>
      </w:r>
      <w:r w:rsidR="00BE28CA" w:rsidRPr="007F7003">
        <w:t xml:space="preserve">Field staff may submit a completed form that provides the information needed for a thorough </w:t>
      </w:r>
      <w:r w:rsidR="003D4079" w:rsidRPr="007F7003">
        <w:t xml:space="preserve">review by members of both AOE teams </w:t>
      </w:r>
      <w:r w:rsidR="000569EC" w:rsidRPr="007F7003">
        <w:t>to</w:t>
      </w:r>
      <w:r w:rsidR="000569EC">
        <w:t xml:space="preserve"> determine whether the </w:t>
      </w:r>
      <w:r w:rsidR="008C05E4">
        <w:t xml:space="preserve">credential meets the requirements for Federal reporting (for AEL, using </w:t>
      </w:r>
      <w:r w:rsidR="00361C46">
        <w:t xml:space="preserve">OCTAE </w:t>
      </w:r>
      <w:r w:rsidR="000476B9">
        <w:t xml:space="preserve">PM 17-2). </w:t>
      </w:r>
      <w:r w:rsidR="00B91B17">
        <w:t>C</w:t>
      </w:r>
      <w:r w:rsidR="004233FB">
        <w:t xml:space="preserve">redentials that do not meet the </w:t>
      </w:r>
      <w:r w:rsidR="00B91B17">
        <w:t xml:space="preserve">threshold for Federal reporting may </w:t>
      </w:r>
      <w:r w:rsidR="007F7003">
        <w:t>be approved</w:t>
      </w:r>
      <w:r w:rsidR="004233FB">
        <w:t xml:space="preserve"> at the State-level</w:t>
      </w:r>
      <w:r w:rsidR="00B91B17">
        <w:t xml:space="preserve"> and tracked </w:t>
      </w:r>
      <w:r w:rsidR="00207A74">
        <w:t>in the AEL student’s record as an achievement.</w:t>
      </w:r>
    </w:p>
    <w:p w14:paraId="55EFBF82" w14:textId="113E4A76" w:rsidR="00B66455" w:rsidRDefault="00B245B9" w:rsidP="00B66455">
      <w:r w:rsidRPr="00EE50F5">
        <w:rPr>
          <w:b/>
          <w:bCs w:val="0"/>
        </w:rPr>
        <w:t>Permissi</w:t>
      </w:r>
      <w:r w:rsidR="00EE50F5" w:rsidRPr="00EE50F5">
        <w:rPr>
          <w:b/>
          <w:bCs w:val="0"/>
        </w:rPr>
        <w:t>ble activities:</w:t>
      </w:r>
      <w:r w:rsidR="00EE50F5">
        <w:t xml:space="preserve"> </w:t>
      </w:r>
      <w:r w:rsidR="00E636CF">
        <w:t xml:space="preserve">Participation in the </w:t>
      </w:r>
      <w:r w:rsidR="00C42B1F">
        <w:t xml:space="preserve">New England </w:t>
      </w:r>
      <w:r w:rsidR="00776E18">
        <w:t xml:space="preserve">Literacy </w:t>
      </w:r>
      <w:r w:rsidR="00C42B1F">
        <w:t xml:space="preserve">Resource </w:t>
      </w:r>
      <w:r w:rsidR="00776E18">
        <w:t xml:space="preserve">Center (NELRC) </w:t>
      </w:r>
      <w:r w:rsidR="00E636CF">
        <w:t>included three virtual meetings of the board</w:t>
      </w:r>
      <w:r w:rsidR="0025154E">
        <w:t xml:space="preserve"> and monthly meetings of the member state directors.</w:t>
      </w:r>
      <w:r w:rsidR="0076707D">
        <w:t xml:space="preserve"> Each of Vermont’s </w:t>
      </w:r>
      <w:r w:rsidR="004E27D1">
        <w:t>provider executive directors serve on the board, granting them direct access to the resources shared by NELRC, professional development opportunities</w:t>
      </w:r>
      <w:r w:rsidR="004670EF">
        <w:t xml:space="preserve">, and </w:t>
      </w:r>
      <w:r w:rsidR="00480341">
        <w:t xml:space="preserve">a </w:t>
      </w:r>
      <w:r w:rsidR="004670EF">
        <w:t>venue for sharing practices and strategies with providers from the other New England states.</w:t>
      </w:r>
    </w:p>
    <w:p w14:paraId="53147FAC" w14:textId="675FD630" w:rsidR="007B7077" w:rsidRDefault="00480341" w:rsidP="006A2B1C">
      <w:pPr>
        <w:widowControl w:val="0"/>
      </w:pPr>
      <w:r>
        <w:t xml:space="preserve">Other permissible activities include </w:t>
      </w:r>
      <w:r w:rsidR="00AE6D7F">
        <w:t>the below e</w:t>
      </w:r>
      <w:r w:rsidR="006A2B1C">
        <w:t>xample</w:t>
      </w:r>
      <w:r w:rsidR="007B7077">
        <w:t>s</w:t>
      </w:r>
      <w:r w:rsidR="006A2B1C">
        <w:t xml:space="preserve"> of </w:t>
      </w:r>
      <w:r w:rsidR="00B757AA">
        <w:t>processes</w:t>
      </w:r>
      <w:r w:rsidR="00B42713">
        <w:t>/</w:t>
      </w:r>
      <w:r w:rsidR="006A2B1C">
        <w:t>database improvement</w:t>
      </w:r>
      <w:r w:rsidR="00B757AA">
        <w:t>s</w:t>
      </w:r>
      <w:r w:rsidR="006A2B1C">
        <w:t xml:space="preserve"> to assist the field</w:t>
      </w:r>
      <w:r w:rsidR="007B7077">
        <w:t xml:space="preserve"> </w:t>
      </w:r>
      <w:r w:rsidR="00FE5470">
        <w:t>while often</w:t>
      </w:r>
      <w:r w:rsidR="00B42713">
        <w:t xml:space="preserve"> improv</w:t>
      </w:r>
      <w:r w:rsidR="00FE5470">
        <w:t>ing</w:t>
      </w:r>
      <w:r w:rsidR="00B42713">
        <w:t xml:space="preserve"> </w:t>
      </w:r>
      <w:r w:rsidR="0054572C">
        <w:t>the ability of the AOE to report the impact of AEL in Vermont</w:t>
      </w:r>
      <w:r w:rsidR="00FE5470">
        <w:t>.</w:t>
      </w:r>
    </w:p>
    <w:p w14:paraId="2C0732DE" w14:textId="3FDC08B3" w:rsidR="00491F28" w:rsidRPr="006F16D0" w:rsidRDefault="00491F28" w:rsidP="00491F28">
      <w:pPr>
        <w:pStyle w:val="ListParagraph"/>
        <w:widowControl w:val="0"/>
        <w:numPr>
          <w:ilvl w:val="0"/>
          <w:numId w:val="16"/>
        </w:numPr>
      </w:pPr>
      <w:r w:rsidRPr="006F16D0">
        <w:t xml:space="preserve">Programming to reflect </w:t>
      </w:r>
      <w:r w:rsidR="002B3DF7" w:rsidRPr="006F16D0">
        <w:t>Vermont’s</w:t>
      </w:r>
      <w:r w:rsidRPr="006F16D0">
        <w:t xml:space="preserve"> </w:t>
      </w:r>
      <w:r w:rsidR="002B3DF7" w:rsidRPr="006F16D0">
        <w:t xml:space="preserve">new </w:t>
      </w:r>
      <w:r w:rsidRPr="006F16D0">
        <w:t>distance education policy, which allows both synchronous and asynchronous</w:t>
      </w:r>
      <w:r w:rsidR="00142742" w:rsidRPr="006F16D0">
        <w:t xml:space="preserve"> (</w:t>
      </w:r>
      <w:r w:rsidRPr="006F16D0">
        <w:t>proxy</w:t>
      </w:r>
      <w:r w:rsidR="00142742" w:rsidRPr="006F16D0">
        <w:t>)</w:t>
      </w:r>
      <w:r w:rsidRPr="006F16D0">
        <w:t xml:space="preserve"> hours to qualify for instructional hours toward post assessment</w:t>
      </w:r>
      <w:r w:rsidR="002B3DF7" w:rsidRPr="006F16D0">
        <w:t>.</w:t>
      </w:r>
      <w:r w:rsidR="00DC48A9" w:rsidRPr="006F16D0">
        <w:t xml:space="preserve"> </w:t>
      </w:r>
      <w:r w:rsidR="000E0649" w:rsidRPr="006F16D0">
        <w:t xml:space="preserve">The programming </w:t>
      </w:r>
      <w:r w:rsidR="00032690" w:rsidRPr="006F16D0">
        <w:t>also ensured that Federal report tables are accurate</w:t>
      </w:r>
      <w:r w:rsidR="002E539D">
        <w:t>;</w:t>
      </w:r>
    </w:p>
    <w:p w14:paraId="707FA97C" w14:textId="6E086990" w:rsidR="007B2F96" w:rsidRDefault="00B757AA" w:rsidP="007B01A7">
      <w:pPr>
        <w:pStyle w:val="ListParagraph"/>
        <w:widowControl w:val="0"/>
        <w:numPr>
          <w:ilvl w:val="0"/>
          <w:numId w:val="16"/>
        </w:numPr>
      </w:pPr>
      <w:r>
        <w:t>T</w:t>
      </w:r>
      <w:r w:rsidR="006A2B1C">
        <w:t xml:space="preserve">he improvement of a report that shows when students have received 40 hours of instruction and qualify for post-testing. The AOE continues to emphasize post-testing as a primary means to contribute to the state’s overall measurable skill gains target. For many years, the AOE has </w:t>
      </w:r>
      <w:r w:rsidR="006A2B1C">
        <w:lastRenderedPageBreak/>
        <w:t xml:space="preserve">noticed that some students are not post-tested </w:t>
      </w:r>
      <w:r w:rsidR="00D51795">
        <w:t>after receiving 40 or more hours of instruction</w:t>
      </w:r>
      <w:r w:rsidR="006A2B1C">
        <w:t>. This is in direct contradiction to the providers’ assertion that students are not engaging sufficiently to reach the 40 hours of instruction minimum</w:t>
      </w:r>
      <w:r w:rsidR="00BE7DDB">
        <w:t xml:space="preserve">. This tool helps providers identify students ready for progress assessment </w:t>
      </w:r>
      <w:r w:rsidR="009E5FFC">
        <w:t>readily.</w:t>
      </w:r>
    </w:p>
    <w:p w14:paraId="4393B80F" w14:textId="67958673" w:rsidR="00B85503" w:rsidRPr="006F16D0" w:rsidRDefault="00B757AA" w:rsidP="007B01A7">
      <w:pPr>
        <w:pStyle w:val="ListParagraph"/>
        <w:widowControl w:val="0"/>
        <w:numPr>
          <w:ilvl w:val="0"/>
          <w:numId w:val="16"/>
        </w:numPr>
      </w:pPr>
      <w:r>
        <w:t xml:space="preserve">In order to improve collection of post-exit data, the AOE convened a work </w:t>
      </w:r>
      <w:r w:rsidRPr="00C85B36">
        <w:t xml:space="preserve">group with </w:t>
      </w:r>
      <w:r w:rsidR="00C85B36" w:rsidRPr="00C85B36">
        <w:t>nine</w:t>
      </w:r>
      <w:r>
        <w:t xml:space="preserve"> AEL provider staff to explore best practices for initial student data collection with an emphasis on obtaining Social Security numbers. The group met four times virtually, used the NRS Technical Assistance Guide to adapt a post-exit survey, and published a document on best practices for student data collection. The AOE developed reports in the database that show the </w:t>
      </w:r>
      <w:r w:rsidRPr="006F16D0">
        <w:t>cohorts of students to be surveyed for employment data (if no SSN is available) and for credential indicator (for those with</w:t>
      </w:r>
      <w:r w:rsidR="005514EF">
        <w:t xml:space="preserve"> the</w:t>
      </w:r>
      <w:r w:rsidRPr="006F16D0">
        <w:t xml:space="preserve"> “enter postsecondary”</w:t>
      </w:r>
      <w:r w:rsidR="005514EF">
        <w:t xml:space="preserve"> goal</w:t>
      </w:r>
      <w:r w:rsidRPr="006F16D0">
        <w:t xml:space="preserve"> at exit that was not achieved). </w:t>
      </w:r>
      <w:r w:rsidR="00861C73" w:rsidRPr="006F16D0">
        <w:t>The final guidance d</w:t>
      </w:r>
      <w:r w:rsidRPr="006F16D0">
        <w:t>oc</w:t>
      </w:r>
      <w:r w:rsidR="00861C73" w:rsidRPr="006F16D0">
        <w:t>ument</w:t>
      </w:r>
      <w:r w:rsidRPr="006F16D0">
        <w:t xml:space="preserve"> include</w:t>
      </w:r>
      <w:r w:rsidR="00861C73" w:rsidRPr="006F16D0">
        <w:t>s</w:t>
      </w:r>
      <w:r w:rsidRPr="006F16D0">
        <w:t xml:space="preserve"> information on which cohorts to survey according to time of exit, adapted from </w:t>
      </w:r>
      <w:r w:rsidR="006F16D0" w:rsidRPr="006F16D0">
        <w:t xml:space="preserve">the NRS </w:t>
      </w:r>
      <w:r w:rsidRPr="006F16D0">
        <w:t>TA guide</w:t>
      </w:r>
      <w:r w:rsidR="009E5FFC">
        <w:t>.</w:t>
      </w:r>
    </w:p>
    <w:p w14:paraId="77B2FF36" w14:textId="55ABB8FD" w:rsidR="00A55261" w:rsidRPr="00CB656F" w:rsidRDefault="00BD5F76" w:rsidP="006A2B1C">
      <w:pPr>
        <w:pStyle w:val="ListParagraph"/>
        <w:widowControl w:val="0"/>
        <w:numPr>
          <w:ilvl w:val="0"/>
          <w:numId w:val="16"/>
        </w:numPr>
      </w:pPr>
      <w:r w:rsidRPr="00CB656F">
        <w:t>B</w:t>
      </w:r>
      <w:r w:rsidR="00041797" w:rsidRPr="00CB656F">
        <w:t>eginning in April of 2020, t</w:t>
      </w:r>
      <w:r w:rsidR="005B241F" w:rsidRPr="00CB656F">
        <w:t xml:space="preserve">he AOE </w:t>
      </w:r>
      <w:r w:rsidR="00844CEB" w:rsidRPr="00CB656F">
        <w:t>entered</w:t>
      </w:r>
      <w:r w:rsidR="005B241F" w:rsidRPr="00CB656F">
        <w:t xml:space="preserve"> a contract with the Vermont </w:t>
      </w:r>
      <w:r w:rsidR="009F64D5" w:rsidRPr="00CB656F">
        <w:t>Virtual Learning Cooperative</w:t>
      </w:r>
      <w:r w:rsidR="00CB656F" w:rsidRPr="00CB656F">
        <w:t xml:space="preserve"> (VTVLC)</w:t>
      </w:r>
      <w:r w:rsidR="00B36743" w:rsidRPr="00CB656F">
        <w:t xml:space="preserve"> to </w:t>
      </w:r>
      <w:r w:rsidR="0077665E">
        <w:t>deliver</w:t>
      </w:r>
      <w:r w:rsidR="00B36743" w:rsidRPr="00CB656F">
        <w:t xml:space="preserve"> their </w:t>
      </w:r>
      <w:r w:rsidR="004E75A5" w:rsidRPr="00CB656F">
        <w:t xml:space="preserve">online </w:t>
      </w:r>
      <w:r w:rsidR="00B36743" w:rsidRPr="00CB656F">
        <w:t xml:space="preserve">standards-based courses to </w:t>
      </w:r>
      <w:r w:rsidR="00E861C6">
        <w:t>K-12</w:t>
      </w:r>
      <w:r w:rsidR="00B36743" w:rsidRPr="00CB656F">
        <w:t xml:space="preserve"> and AEL </w:t>
      </w:r>
      <w:r w:rsidR="00E861C6">
        <w:t>students</w:t>
      </w:r>
      <w:r w:rsidR="00835B0C">
        <w:t xml:space="preserve"> at no cost to schools and providers</w:t>
      </w:r>
      <w:r w:rsidR="00B36743" w:rsidRPr="00CB656F">
        <w:t xml:space="preserve">. </w:t>
      </w:r>
      <w:r w:rsidR="00E8653A" w:rsidRPr="00CB656F">
        <w:t xml:space="preserve">The contract </w:t>
      </w:r>
      <w:r w:rsidR="006F16D0" w:rsidRPr="00CB656F">
        <w:t xml:space="preserve">continued in the reporting period and </w:t>
      </w:r>
      <w:r w:rsidR="00E8653A" w:rsidRPr="00CB656F">
        <w:t xml:space="preserve">included access to Canvas as a learning platform that </w:t>
      </w:r>
      <w:r w:rsidR="006E2387" w:rsidRPr="00CB656F">
        <w:t xml:space="preserve">over 30 </w:t>
      </w:r>
      <w:r w:rsidR="004E75A5" w:rsidRPr="00CB656F">
        <w:t xml:space="preserve">AEL </w:t>
      </w:r>
      <w:r w:rsidR="006E2387" w:rsidRPr="00CB656F">
        <w:t xml:space="preserve">instructors have </w:t>
      </w:r>
      <w:r w:rsidR="00E8653A" w:rsidRPr="00CB656F">
        <w:t>utilize</w:t>
      </w:r>
      <w:r w:rsidR="006E2387" w:rsidRPr="00CB656F">
        <w:t>d</w:t>
      </w:r>
      <w:r w:rsidR="00E8653A" w:rsidRPr="00CB656F">
        <w:t xml:space="preserve"> </w:t>
      </w:r>
      <w:r w:rsidR="00B55F53" w:rsidRPr="00CB656F">
        <w:t>for</w:t>
      </w:r>
      <w:r w:rsidR="007B7077" w:rsidRPr="00CB656F">
        <w:t xml:space="preserve"> distance learning services</w:t>
      </w:r>
      <w:r w:rsidR="00B55F53" w:rsidRPr="00CB656F">
        <w:t xml:space="preserve">. </w:t>
      </w:r>
      <w:r w:rsidR="0080771C" w:rsidRPr="00CB656F">
        <w:t>VTVLC also conducted free courses to instructors</w:t>
      </w:r>
      <w:r w:rsidR="00E21EA4" w:rsidRPr="00CB656F">
        <w:t>, “</w:t>
      </w:r>
      <w:r w:rsidR="0080771C" w:rsidRPr="00CB656F">
        <w:t>Online Teaching Best Practices</w:t>
      </w:r>
      <w:r w:rsidR="00556116" w:rsidRPr="00CB656F">
        <w:t xml:space="preserve">” – over </w:t>
      </w:r>
      <w:r w:rsidR="00820FB0" w:rsidRPr="00CB656F">
        <w:t xml:space="preserve">50 AEL instructors have taken advantage of this </w:t>
      </w:r>
      <w:r w:rsidR="00556116" w:rsidRPr="00CB656F">
        <w:t xml:space="preserve">professional development </w:t>
      </w:r>
      <w:r w:rsidR="006E2387" w:rsidRPr="00CB656F">
        <w:t>opportunity since the beginning of the pandemic.</w:t>
      </w:r>
    </w:p>
    <w:p w14:paraId="66D5CD5E" w14:textId="7AB0CFED" w:rsidR="00EA148F" w:rsidRPr="00CB656F" w:rsidRDefault="00DC3847" w:rsidP="00A24E95">
      <w:pPr>
        <w:pStyle w:val="ListParagraph"/>
        <w:numPr>
          <w:ilvl w:val="0"/>
          <w:numId w:val="16"/>
        </w:numPr>
      </w:pPr>
      <w:r w:rsidRPr="00CB656F">
        <w:t xml:space="preserve">Assistance to provide </w:t>
      </w:r>
      <w:r w:rsidR="00F50DDE" w:rsidRPr="00CB656F">
        <w:t>access to up to two college classes (</w:t>
      </w:r>
      <w:r w:rsidR="00CE5F30" w:rsidRPr="00CB656F">
        <w:t>identified</w:t>
      </w:r>
      <w:r w:rsidR="00F50DDE" w:rsidRPr="00CB656F">
        <w:t xml:space="preserve"> in Vermont as the </w:t>
      </w:r>
      <w:r w:rsidR="00EA148F" w:rsidRPr="00CB656F">
        <w:t xml:space="preserve">Dual </w:t>
      </w:r>
      <w:r w:rsidR="00CE5F30" w:rsidRPr="00CB656F">
        <w:t>E</w:t>
      </w:r>
      <w:r w:rsidR="00EA148F" w:rsidRPr="00CB656F">
        <w:t>nrollment program</w:t>
      </w:r>
      <w:r w:rsidR="00F50DDE" w:rsidRPr="00CB656F">
        <w:t>) for</w:t>
      </w:r>
      <w:r w:rsidR="00EA148F" w:rsidRPr="00CB656F">
        <w:t xml:space="preserve"> those at NRS 5 or above</w:t>
      </w:r>
      <w:r w:rsidR="00F50DDE" w:rsidRPr="00CB656F">
        <w:t>.</w:t>
      </w:r>
      <w:r w:rsidR="00EA148F" w:rsidRPr="00CB656F">
        <w:t xml:space="preserve"> </w:t>
      </w:r>
      <w:r w:rsidR="00C76AFD" w:rsidRPr="00CB656F">
        <w:t xml:space="preserve">The AOE </w:t>
      </w:r>
      <w:r w:rsidR="00EA148F" w:rsidRPr="00CB656F">
        <w:t>worked with the Community College of Vermont this past year to provide technical assistance to best support students to succeed when taking dual enrollment classes.</w:t>
      </w:r>
      <w:r w:rsidR="00A24E95" w:rsidRPr="00CB656F">
        <w:t xml:space="preserve"> TA included </w:t>
      </w:r>
      <w:r w:rsidR="00246060" w:rsidRPr="00CB656F">
        <w:t xml:space="preserve">assuring </w:t>
      </w:r>
      <w:r w:rsidR="002B5877" w:rsidRPr="00CB656F">
        <w:t>student readiness for college content</w:t>
      </w:r>
      <w:r w:rsidR="007E4293">
        <w:t>,</w:t>
      </w:r>
      <w:r w:rsidR="008C5237" w:rsidRPr="00CB656F">
        <w:t xml:space="preserve"> understanding </w:t>
      </w:r>
      <w:r w:rsidR="00BB3E39" w:rsidRPr="00CB656F">
        <w:t xml:space="preserve">of how grades </w:t>
      </w:r>
      <w:r w:rsidR="006D7899" w:rsidRPr="00CB656F">
        <w:t>impact GPA and transcripts</w:t>
      </w:r>
      <w:r w:rsidR="002B5877" w:rsidRPr="00CB656F">
        <w:t xml:space="preserve">, </w:t>
      </w:r>
      <w:r w:rsidR="00246060" w:rsidRPr="00CB656F">
        <w:t>staff aware</w:t>
      </w:r>
      <w:r w:rsidR="00164C69" w:rsidRPr="00CB656F">
        <w:t>ness</w:t>
      </w:r>
      <w:r w:rsidR="00246060" w:rsidRPr="00CB656F">
        <w:t xml:space="preserve"> of the add/drop period, </w:t>
      </w:r>
      <w:r w:rsidR="00164C69" w:rsidRPr="00CB656F">
        <w:t xml:space="preserve">staff/student </w:t>
      </w:r>
      <w:r w:rsidR="002B5877" w:rsidRPr="00CB656F">
        <w:t>communicat</w:t>
      </w:r>
      <w:r w:rsidR="00164C69" w:rsidRPr="00CB656F">
        <w:t>ions</w:t>
      </w:r>
      <w:r w:rsidR="002B5877" w:rsidRPr="00CB656F">
        <w:t xml:space="preserve"> about </w:t>
      </w:r>
      <w:r w:rsidR="008C5237" w:rsidRPr="00CB656F">
        <w:t>the college experience and progress in the c</w:t>
      </w:r>
      <w:r w:rsidR="002D3AA0">
        <w:t>ourse.</w:t>
      </w:r>
    </w:p>
    <w:p w14:paraId="56BC8D2C" w14:textId="44FC8877" w:rsidR="006A2B1C" w:rsidRDefault="00B55F53" w:rsidP="00F4088A">
      <w:pPr>
        <w:widowControl w:val="0"/>
      </w:pPr>
      <w:r w:rsidRPr="00F0599C">
        <w:t xml:space="preserve">Vermont was in a declared State of Emergency for the entirety of the </w:t>
      </w:r>
      <w:r w:rsidR="00106EBC" w:rsidRPr="00F0599C">
        <w:t>program year</w:t>
      </w:r>
      <w:r w:rsidR="00F4088A" w:rsidRPr="00F0599C">
        <w:t xml:space="preserve">. </w:t>
      </w:r>
      <w:r w:rsidR="00AC0ABE" w:rsidRPr="00F0599C">
        <w:t>L</w:t>
      </w:r>
      <w:r w:rsidR="006E0AB7" w:rsidRPr="00F0599C">
        <w:t>ocal surges</w:t>
      </w:r>
      <w:r w:rsidR="00F4113E" w:rsidRPr="00F0599C">
        <w:t xml:space="preserve"> in COVID-19 cases</w:t>
      </w:r>
      <w:r w:rsidR="00AC0ABE" w:rsidRPr="00F0599C">
        <w:t xml:space="preserve"> demanded that </w:t>
      </w:r>
      <w:r w:rsidR="00F4113E" w:rsidRPr="00F0599C">
        <w:t xml:space="preserve">the providers </w:t>
      </w:r>
      <w:r w:rsidR="00AC0ABE" w:rsidRPr="00F0599C">
        <w:t>pivot quickly to remote services when necessary</w:t>
      </w:r>
      <w:r w:rsidR="00A2261A" w:rsidRPr="00F0599C">
        <w:t>.</w:t>
      </w:r>
      <w:r w:rsidR="000E6089" w:rsidRPr="00F0599C">
        <w:t xml:space="preserve"> </w:t>
      </w:r>
      <w:r w:rsidR="00123C18" w:rsidRPr="00F0599C">
        <w:t>The providers reported that</w:t>
      </w:r>
      <w:r w:rsidR="00F8260C" w:rsidRPr="00F0599C">
        <w:t xml:space="preserve"> some instructors were not able to adjust to the provision of online instruction, which lead to resignations and retirements at a record number. </w:t>
      </w:r>
      <w:r w:rsidR="001D6881" w:rsidRPr="00F0599C">
        <w:t>However</w:t>
      </w:r>
      <w:r w:rsidR="001D6881">
        <w:t>, over 200 courses available from VTVLC on the Canvas platform were requested by AEL instructors</w:t>
      </w:r>
      <w:r w:rsidR="004F3D8B">
        <w:t xml:space="preserve">, with over 10,000 assignments to students since </w:t>
      </w:r>
      <w:r w:rsidR="007C4EC8">
        <w:t xml:space="preserve">March of 2020. Many instructors took advantage of the opportunities made available to them to learn how to deliver instruction in what was a completely new and different way using online platforms. </w:t>
      </w:r>
    </w:p>
    <w:p w14:paraId="44A59549" w14:textId="71D90EFA" w:rsidR="00545899" w:rsidRDefault="00545899" w:rsidP="00545899">
      <w:pPr>
        <w:pStyle w:val="Heading1"/>
      </w:pPr>
      <w:r>
        <w:t>2. Performance Data Analysis</w:t>
      </w:r>
    </w:p>
    <w:p w14:paraId="3446076B" w14:textId="5391BCD1" w:rsidR="00412C8E" w:rsidRDefault="00D80319" w:rsidP="001E3C3B">
      <w:r>
        <w:t>Vermont experience</w:t>
      </w:r>
      <w:r w:rsidR="005F4EBA">
        <w:t>d</w:t>
      </w:r>
      <w:r>
        <w:t xml:space="preserve"> a</w:t>
      </w:r>
      <w:r w:rsidR="005F4EBA">
        <w:t xml:space="preserve"> 25.45% </w:t>
      </w:r>
      <w:r>
        <w:t>decline in AEL student</w:t>
      </w:r>
      <w:r w:rsidR="00A042FD">
        <w:t xml:space="preserve">s qualifying for the Federal report </w:t>
      </w:r>
      <w:r w:rsidR="00992F1C">
        <w:t>for PY20</w:t>
      </w:r>
      <w:r w:rsidR="00CC3CF7">
        <w:t>. C</w:t>
      </w:r>
      <w:r w:rsidR="008F04D7">
        <w:t>ompared to the 1</w:t>
      </w:r>
      <w:r w:rsidR="00BA2C6D">
        <w:t>5.</w:t>
      </w:r>
      <w:r w:rsidR="00DE737A">
        <w:t>97</w:t>
      </w:r>
      <w:r w:rsidR="008F04D7">
        <w:t>% dec</w:t>
      </w:r>
      <w:r w:rsidR="009206DC">
        <w:t>rease</w:t>
      </w:r>
      <w:r w:rsidR="008F04D7">
        <w:t xml:space="preserve"> in PY19 and </w:t>
      </w:r>
      <w:r w:rsidR="007F5425">
        <w:t>the .89% increase in PY18</w:t>
      </w:r>
      <w:r w:rsidR="00CC3CF7">
        <w:t>, it appears that conditions related to the pandemic contributed to the decline</w:t>
      </w:r>
      <w:r w:rsidR="00201F4E">
        <w:t xml:space="preserve">: shutdowns of learning centers due to </w:t>
      </w:r>
      <w:r w:rsidR="00647928">
        <w:t xml:space="preserve">local COVID-19 surges, lack of student access to reliable internet services, </w:t>
      </w:r>
      <w:r w:rsidR="00E0154C">
        <w:t xml:space="preserve">lack of adequate computer equipment, fear of being infected at physical locations, lack of childcare </w:t>
      </w:r>
      <w:r w:rsidR="00964C73">
        <w:t xml:space="preserve">that would allow uninterrupted time receiving distance learning services and studying, </w:t>
      </w:r>
      <w:r w:rsidR="00A74310">
        <w:t xml:space="preserve">and </w:t>
      </w:r>
      <w:r w:rsidR="00964C73">
        <w:t>high anxiety levels</w:t>
      </w:r>
      <w:r w:rsidR="00A74310">
        <w:t xml:space="preserve"> </w:t>
      </w:r>
      <w:r w:rsidR="00D30484">
        <w:t xml:space="preserve">– all </w:t>
      </w:r>
      <w:r w:rsidR="00964C73">
        <w:t xml:space="preserve">were reported as </w:t>
      </w:r>
      <w:r w:rsidR="00A74310">
        <w:t xml:space="preserve">new barriers to student engagement. </w:t>
      </w:r>
      <w:r w:rsidR="00D30484">
        <w:t xml:space="preserve">Despite these </w:t>
      </w:r>
      <w:r w:rsidR="00D30484">
        <w:lastRenderedPageBreak/>
        <w:t xml:space="preserve">challenges, the AOE continued to emphasize the importance of exploring </w:t>
      </w:r>
      <w:r w:rsidR="00ED4C28">
        <w:t>new ways to recruit and compile</w:t>
      </w:r>
      <w:r w:rsidR="00822FC4">
        <w:t>d</w:t>
      </w:r>
      <w:r w:rsidR="00ED4C28">
        <w:t xml:space="preserve"> a list of marketing and recruitment strategies</w:t>
      </w:r>
      <w:r w:rsidR="0049162D">
        <w:t xml:space="preserve"> being used by all four providers</w:t>
      </w:r>
      <w:r w:rsidR="00ED4C28">
        <w:t xml:space="preserve"> that was disseminated </w:t>
      </w:r>
      <w:r w:rsidR="00822FC4">
        <w:t xml:space="preserve">to all four providers. </w:t>
      </w:r>
    </w:p>
    <w:p w14:paraId="49696711" w14:textId="0049F450" w:rsidR="005A3FFD" w:rsidRDefault="00822FC4" w:rsidP="005A3FFD">
      <w:r>
        <w:t xml:space="preserve">The AOE promoted the use of virtual </w:t>
      </w:r>
      <w:r w:rsidR="0053640B">
        <w:t>test proctoring</w:t>
      </w:r>
      <w:r w:rsidR="00AD21B8">
        <w:t xml:space="preserve">, which was impacted as well by many of the barriers listed above. </w:t>
      </w:r>
      <w:r w:rsidR="001E7319">
        <w:t>AEL providers consistently reported having difficulty recruiting and engaging students enough to meet the required 40 hours of instruction between assessments. Nonetheless, t</w:t>
      </w:r>
      <w:r w:rsidR="004F2B48">
        <w:t>he rates of progress assessment</w:t>
      </w:r>
      <w:r w:rsidR="00A33BE1">
        <w:t xml:space="preserve"> (</w:t>
      </w:r>
      <w:r w:rsidR="00096252">
        <w:t>a.k.a. post-testing)</w:t>
      </w:r>
      <w:r w:rsidR="004F2B48">
        <w:t xml:space="preserve"> </w:t>
      </w:r>
      <w:r w:rsidR="00355149">
        <w:t>were</w:t>
      </w:r>
      <w:r w:rsidR="004D6D4B">
        <w:t xml:space="preserve"> higher than the previous program year (</w:t>
      </w:r>
      <w:r w:rsidR="003E2FA0">
        <w:t xml:space="preserve">43.39% in PY20 compared to </w:t>
      </w:r>
      <w:r w:rsidR="00412C8E">
        <w:t xml:space="preserve">38.03% in PY19), but </w:t>
      </w:r>
      <w:r w:rsidR="00041725">
        <w:t xml:space="preserve">three out of four providers </w:t>
      </w:r>
      <w:r w:rsidR="00412C8E">
        <w:t xml:space="preserve">missed the 50% progress </w:t>
      </w:r>
      <w:r w:rsidR="00501C12">
        <w:t xml:space="preserve">assessment </w:t>
      </w:r>
      <w:r w:rsidR="00412C8E">
        <w:t>rate required by the AOE</w:t>
      </w:r>
      <w:r w:rsidR="005A3FFD">
        <w:t xml:space="preserve">. Lower progress assessment rates contributed to the missed Measurable Skill Gain (MSG) </w:t>
      </w:r>
      <w:r w:rsidR="006E730C">
        <w:t xml:space="preserve">statewide </w:t>
      </w:r>
      <w:r w:rsidR="005A3FFD">
        <w:t>target of 39.5%.</w:t>
      </w:r>
    </w:p>
    <w:tbl>
      <w:tblPr>
        <w:tblStyle w:val="TableGrid"/>
        <w:tblW w:w="0" w:type="auto"/>
        <w:jc w:val="center"/>
        <w:tblLook w:val="04A0" w:firstRow="1" w:lastRow="0" w:firstColumn="1" w:lastColumn="0" w:noHBand="0" w:noVBand="1"/>
      </w:tblPr>
      <w:tblGrid>
        <w:gridCol w:w="3155"/>
        <w:gridCol w:w="1127"/>
        <w:gridCol w:w="1005"/>
        <w:gridCol w:w="1005"/>
        <w:gridCol w:w="1005"/>
        <w:gridCol w:w="1005"/>
      </w:tblGrid>
      <w:tr w:rsidR="00D21DB3" w:rsidRPr="0015533B" w14:paraId="7EFE3C01" w14:textId="77777777" w:rsidTr="002A6558">
        <w:trPr>
          <w:jc w:val="center"/>
        </w:trPr>
        <w:tc>
          <w:tcPr>
            <w:tcW w:w="3155" w:type="dxa"/>
          </w:tcPr>
          <w:p w14:paraId="303B9B4D" w14:textId="77777777" w:rsidR="00D21DB3" w:rsidRPr="0038638B" w:rsidRDefault="00D21DB3" w:rsidP="00AB6528">
            <w:pPr>
              <w:jc w:val="center"/>
              <w:rPr>
                <w:b/>
                <w:bCs w:val="0"/>
                <w:sz w:val="20"/>
                <w:szCs w:val="20"/>
              </w:rPr>
            </w:pPr>
            <w:r w:rsidRPr="0038638B">
              <w:rPr>
                <w:b/>
                <w:bCs w:val="0"/>
                <w:sz w:val="20"/>
                <w:szCs w:val="20"/>
              </w:rPr>
              <w:t>Provider</w:t>
            </w:r>
          </w:p>
        </w:tc>
        <w:tc>
          <w:tcPr>
            <w:tcW w:w="1005" w:type="dxa"/>
          </w:tcPr>
          <w:p w14:paraId="5B859285" w14:textId="77777777" w:rsidR="00D21DB3" w:rsidRDefault="00F0084C" w:rsidP="00AB6528">
            <w:pPr>
              <w:jc w:val="center"/>
              <w:rPr>
                <w:b/>
                <w:bCs w:val="0"/>
                <w:sz w:val="20"/>
                <w:szCs w:val="20"/>
              </w:rPr>
            </w:pPr>
            <w:r>
              <w:rPr>
                <w:b/>
                <w:bCs w:val="0"/>
                <w:sz w:val="20"/>
                <w:szCs w:val="20"/>
              </w:rPr>
              <w:t>PY20</w:t>
            </w:r>
          </w:p>
          <w:p w14:paraId="259F0D56" w14:textId="0B3AABFD" w:rsidR="00F0084C" w:rsidRDefault="00F0084C" w:rsidP="00F0084C">
            <w:pPr>
              <w:rPr>
                <w:b/>
                <w:bCs w:val="0"/>
                <w:sz w:val="20"/>
                <w:szCs w:val="20"/>
              </w:rPr>
            </w:pPr>
            <w:r>
              <w:rPr>
                <w:b/>
                <w:bCs w:val="0"/>
                <w:sz w:val="20"/>
                <w:szCs w:val="20"/>
              </w:rPr>
              <w:t>Statewide</w:t>
            </w:r>
          </w:p>
        </w:tc>
        <w:tc>
          <w:tcPr>
            <w:tcW w:w="1005" w:type="dxa"/>
          </w:tcPr>
          <w:p w14:paraId="14692498" w14:textId="3219DF7A" w:rsidR="00D21DB3" w:rsidRPr="0015533B" w:rsidRDefault="00D21DB3" w:rsidP="00AB6528">
            <w:pPr>
              <w:jc w:val="center"/>
              <w:rPr>
                <w:b/>
                <w:bCs w:val="0"/>
                <w:sz w:val="20"/>
                <w:szCs w:val="20"/>
              </w:rPr>
            </w:pPr>
            <w:r>
              <w:rPr>
                <w:b/>
                <w:bCs w:val="0"/>
                <w:sz w:val="20"/>
                <w:szCs w:val="20"/>
              </w:rPr>
              <w:t>Provider 1</w:t>
            </w:r>
          </w:p>
        </w:tc>
        <w:tc>
          <w:tcPr>
            <w:tcW w:w="1005" w:type="dxa"/>
          </w:tcPr>
          <w:p w14:paraId="20AD9D15" w14:textId="4D12D48F" w:rsidR="00D21DB3" w:rsidRPr="0015533B" w:rsidRDefault="00D21DB3" w:rsidP="00AB6528">
            <w:pPr>
              <w:jc w:val="center"/>
              <w:rPr>
                <w:b/>
                <w:bCs w:val="0"/>
                <w:sz w:val="20"/>
                <w:szCs w:val="20"/>
              </w:rPr>
            </w:pPr>
            <w:r>
              <w:rPr>
                <w:b/>
                <w:bCs w:val="0"/>
                <w:sz w:val="20"/>
                <w:szCs w:val="20"/>
              </w:rPr>
              <w:t>Provider 2</w:t>
            </w:r>
          </w:p>
        </w:tc>
        <w:tc>
          <w:tcPr>
            <w:tcW w:w="1005" w:type="dxa"/>
          </w:tcPr>
          <w:p w14:paraId="3F6FFB81" w14:textId="57657CCA" w:rsidR="00D21DB3" w:rsidRPr="0015533B" w:rsidRDefault="00D21DB3" w:rsidP="00AB6528">
            <w:pPr>
              <w:jc w:val="center"/>
              <w:rPr>
                <w:b/>
                <w:bCs w:val="0"/>
                <w:sz w:val="20"/>
                <w:szCs w:val="20"/>
              </w:rPr>
            </w:pPr>
            <w:r>
              <w:rPr>
                <w:b/>
                <w:bCs w:val="0"/>
                <w:sz w:val="20"/>
                <w:szCs w:val="20"/>
              </w:rPr>
              <w:t>Provider 3</w:t>
            </w:r>
          </w:p>
        </w:tc>
        <w:tc>
          <w:tcPr>
            <w:tcW w:w="1005" w:type="dxa"/>
          </w:tcPr>
          <w:p w14:paraId="46106BA4" w14:textId="3405241A" w:rsidR="00D21DB3" w:rsidRPr="0015533B" w:rsidRDefault="00D21DB3" w:rsidP="00AB6528">
            <w:pPr>
              <w:jc w:val="center"/>
              <w:rPr>
                <w:b/>
                <w:bCs w:val="0"/>
                <w:sz w:val="20"/>
                <w:szCs w:val="20"/>
              </w:rPr>
            </w:pPr>
            <w:r>
              <w:rPr>
                <w:b/>
                <w:bCs w:val="0"/>
                <w:sz w:val="20"/>
                <w:szCs w:val="20"/>
              </w:rPr>
              <w:t>Provider 4</w:t>
            </w:r>
          </w:p>
        </w:tc>
      </w:tr>
      <w:tr w:rsidR="00D21DB3" w:rsidRPr="0015533B" w14:paraId="2F7FA34D" w14:textId="77777777" w:rsidTr="002A6558">
        <w:trPr>
          <w:jc w:val="center"/>
        </w:trPr>
        <w:tc>
          <w:tcPr>
            <w:tcW w:w="3155" w:type="dxa"/>
          </w:tcPr>
          <w:p w14:paraId="7A50F2DD" w14:textId="77777777" w:rsidR="00D21DB3" w:rsidRPr="0015533B" w:rsidRDefault="00D21DB3" w:rsidP="00AB6528">
            <w:pPr>
              <w:rPr>
                <w:b/>
                <w:bCs w:val="0"/>
                <w:sz w:val="20"/>
                <w:szCs w:val="20"/>
              </w:rPr>
            </w:pPr>
            <w:r w:rsidRPr="0015533B">
              <w:rPr>
                <w:b/>
                <w:sz w:val="20"/>
                <w:szCs w:val="20"/>
              </w:rPr>
              <w:t>Progress Assessment Rate</w:t>
            </w:r>
          </w:p>
        </w:tc>
        <w:tc>
          <w:tcPr>
            <w:tcW w:w="1005" w:type="dxa"/>
          </w:tcPr>
          <w:p w14:paraId="35099CD5" w14:textId="410759D4" w:rsidR="00D21DB3" w:rsidRPr="0015533B" w:rsidRDefault="00365F02" w:rsidP="00AB6528">
            <w:pPr>
              <w:jc w:val="center"/>
              <w:rPr>
                <w:sz w:val="20"/>
                <w:szCs w:val="20"/>
              </w:rPr>
            </w:pPr>
            <w:r>
              <w:rPr>
                <w:sz w:val="20"/>
                <w:szCs w:val="20"/>
              </w:rPr>
              <w:t>43.39%</w:t>
            </w:r>
          </w:p>
        </w:tc>
        <w:tc>
          <w:tcPr>
            <w:tcW w:w="1005" w:type="dxa"/>
          </w:tcPr>
          <w:p w14:paraId="2AC3953B" w14:textId="5B505CEB" w:rsidR="00D21DB3" w:rsidRPr="0015533B" w:rsidRDefault="00D21DB3" w:rsidP="00AB6528">
            <w:pPr>
              <w:jc w:val="center"/>
              <w:rPr>
                <w:sz w:val="20"/>
                <w:szCs w:val="20"/>
              </w:rPr>
            </w:pPr>
            <w:r w:rsidRPr="0015533B">
              <w:rPr>
                <w:sz w:val="20"/>
                <w:szCs w:val="20"/>
              </w:rPr>
              <w:t>51.74%</w:t>
            </w:r>
          </w:p>
        </w:tc>
        <w:tc>
          <w:tcPr>
            <w:tcW w:w="1005" w:type="dxa"/>
          </w:tcPr>
          <w:p w14:paraId="2C40CB02" w14:textId="77777777" w:rsidR="00D21DB3" w:rsidRPr="0015533B" w:rsidRDefault="00D21DB3" w:rsidP="00AB6528">
            <w:pPr>
              <w:jc w:val="center"/>
              <w:rPr>
                <w:sz w:val="20"/>
                <w:szCs w:val="20"/>
              </w:rPr>
            </w:pPr>
            <w:r w:rsidRPr="0015533B">
              <w:rPr>
                <w:sz w:val="20"/>
                <w:szCs w:val="20"/>
              </w:rPr>
              <w:t>43.59%</w:t>
            </w:r>
          </w:p>
        </w:tc>
        <w:tc>
          <w:tcPr>
            <w:tcW w:w="1005" w:type="dxa"/>
          </w:tcPr>
          <w:p w14:paraId="4CB8C5A5" w14:textId="77777777" w:rsidR="00D21DB3" w:rsidRPr="0015533B" w:rsidRDefault="00D21DB3" w:rsidP="00AB6528">
            <w:pPr>
              <w:jc w:val="center"/>
              <w:rPr>
                <w:sz w:val="20"/>
                <w:szCs w:val="20"/>
              </w:rPr>
            </w:pPr>
            <w:r w:rsidRPr="0015533B">
              <w:rPr>
                <w:sz w:val="20"/>
                <w:szCs w:val="20"/>
              </w:rPr>
              <w:t>38.24%</w:t>
            </w:r>
          </w:p>
        </w:tc>
        <w:tc>
          <w:tcPr>
            <w:tcW w:w="1005" w:type="dxa"/>
          </w:tcPr>
          <w:p w14:paraId="67833470" w14:textId="77777777" w:rsidR="00D21DB3" w:rsidRPr="0015533B" w:rsidRDefault="00D21DB3" w:rsidP="00AB6528">
            <w:pPr>
              <w:jc w:val="center"/>
              <w:rPr>
                <w:sz w:val="20"/>
                <w:szCs w:val="20"/>
              </w:rPr>
            </w:pPr>
            <w:r w:rsidRPr="0015533B">
              <w:rPr>
                <w:sz w:val="20"/>
                <w:szCs w:val="20"/>
              </w:rPr>
              <w:t>41.68%</w:t>
            </w:r>
          </w:p>
        </w:tc>
      </w:tr>
      <w:tr w:rsidR="00D21DB3" w:rsidRPr="00665036" w14:paraId="76B599B6" w14:textId="77777777" w:rsidTr="002A6558">
        <w:tblPrEx>
          <w:jc w:val="left"/>
        </w:tblPrEx>
        <w:tc>
          <w:tcPr>
            <w:tcW w:w="3155" w:type="dxa"/>
          </w:tcPr>
          <w:p w14:paraId="5AF962B9" w14:textId="0497B7EB" w:rsidR="00D21DB3" w:rsidRPr="00665036" w:rsidRDefault="00D21DB3" w:rsidP="00AB6528">
            <w:pPr>
              <w:rPr>
                <w:b/>
                <w:bCs w:val="0"/>
                <w:sz w:val="20"/>
                <w:szCs w:val="20"/>
              </w:rPr>
            </w:pPr>
            <w:r w:rsidRPr="00665036">
              <w:rPr>
                <w:b/>
                <w:sz w:val="20"/>
                <w:szCs w:val="20"/>
              </w:rPr>
              <w:t>MSG Rate</w:t>
            </w:r>
          </w:p>
        </w:tc>
        <w:tc>
          <w:tcPr>
            <w:tcW w:w="1005" w:type="dxa"/>
          </w:tcPr>
          <w:p w14:paraId="7D57477F" w14:textId="29B768EE" w:rsidR="00D21DB3" w:rsidRPr="00665036" w:rsidRDefault="00C9264A" w:rsidP="00AB6528">
            <w:pPr>
              <w:jc w:val="center"/>
              <w:rPr>
                <w:sz w:val="20"/>
                <w:szCs w:val="20"/>
              </w:rPr>
            </w:pPr>
            <w:r>
              <w:rPr>
                <w:sz w:val="20"/>
                <w:szCs w:val="20"/>
              </w:rPr>
              <w:t>28.14%</w:t>
            </w:r>
          </w:p>
        </w:tc>
        <w:tc>
          <w:tcPr>
            <w:tcW w:w="1005" w:type="dxa"/>
          </w:tcPr>
          <w:p w14:paraId="2C4D4985" w14:textId="747D1338" w:rsidR="00D21DB3" w:rsidRPr="00665036" w:rsidRDefault="00D21DB3" w:rsidP="00AB6528">
            <w:pPr>
              <w:jc w:val="center"/>
              <w:rPr>
                <w:sz w:val="20"/>
                <w:szCs w:val="20"/>
              </w:rPr>
            </w:pPr>
            <w:r w:rsidRPr="00665036">
              <w:rPr>
                <w:sz w:val="20"/>
                <w:szCs w:val="20"/>
              </w:rPr>
              <w:t>29.65%</w:t>
            </w:r>
          </w:p>
        </w:tc>
        <w:tc>
          <w:tcPr>
            <w:tcW w:w="1005" w:type="dxa"/>
          </w:tcPr>
          <w:p w14:paraId="2C0A45E4" w14:textId="77777777" w:rsidR="00D21DB3" w:rsidRPr="00665036" w:rsidRDefault="00D21DB3" w:rsidP="00AB6528">
            <w:pPr>
              <w:jc w:val="center"/>
              <w:rPr>
                <w:sz w:val="20"/>
                <w:szCs w:val="20"/>
              </w:rPr>
            </w:pPr>
            <w:r w:rsidRPr="00665036">
              <w:rPr>
                <w:sz w:val="20"/>
                <w:szCs w:val="20"/>
              </w:rPr>
              <w:t>37.18%</w:t>
            </w:r>
          </w:p>
        </w:tc>
        <w:tc>
          <w:tcPr>
            <w:tcW w:w="1005" w:type="dxa"/>
          </w:tcPr>
          <w:p w14:paraId="2127F5C0" w14:textId="77777777" w:rsidR="00D21DB3" w:rsidRPr="00665036" w:rsidRDefault="00D21DB3" w:rsidP="00AB6528">
            <w:pPr>
              <w:jc w:val="center"/>
              <w:rPr>
                <w:sz w:val="20"/>
                <w:szCs w:val="20"/>
              </w:rPr>
            </w:pPr>
            <w:r w:rsidRPr="00665036">
              <w:rPr>
                <w:sz w:val="20"/>
                <w:szCs w:val="20"/>
              </w:rPr>
              <w:t>25%</w:t>
            </w:r>
          </w:p>
        </w:tc>
        <w:tc>
          <w:tcPr>
            <w:tcW w:w="1005" w:type="dxa"/>
          </w:tcPr>
          <w:p w14:paraId="150B89E4" w14:textId="77777777" w:rsidR="00D21DB3" w:rsidRPr="00665036" w:rsidRDefault="00D21DB3" w:rsidP="00AB6528">
            <w:pPr>
              <w:jc w:val="center"/>
              <w:rPr>
                <w:sz w:val="20"/>
                <w:szCs w:val="20"/>
              </w:rPr>
            </w:pPr>
            <w:r w:rsidRPr="00665036">
              <w:rPr>
                <w:sz w:val="20"/>
                <w:szCs w:val="20"/>
              </w:rPr>
              <w:t>26.97%</w:t>
            </w:r>
          </w:p>
        </w:tc>
      </w:tr>
    </w:tbl>
    <w:p w14:paraId="2ED1BE0F" w14:textId="6BEFB9A1" w:rsidR="00665036" w:rsidRDefault="00FF72E5" w:rsidP="001E3C3B">
      <w:r>
        <w:t xml:space="preserve">Provider 4 is the largest </w:t>
      </w:r>
      <w:r w:rsidR="00513194">
        <w:t>serving 7 out of 14 counties in Vermont</w:t>
      </w:r>
      <w:r w:rsidR="00FB7DD3">
        <w:t xml:space="preserve"> while Provider 3 is the smallest serving only one county. </w:t>
      </w:r>
      <w:r w:rsidR="005C0165">
        <w:t xml:space="preserve">Starting in PY21, </w:t>
      </w:r>
      <w:r w:rsidR="00917DF9">
        <w:t xml:space="preserve">grant agreements include a process of monitoring progress using “benchmarks” </w:t>
      </w:r>
      <w:r w:rsidR="00DB413C">
        <w:t xml:space="preserve">towards </w:t>
      </w:r>
      <w:r w:rsidR="00AA43B1">
        <w:t xml:space="preserve">annual targets </w:t>
      </w:r>
      <w:r w:rsidR="00917DF9">
        <w:t xml:space="preserve">at mid-year and after the third quarter. Any provider </w:t>
      </w:r>
      <w:r w:rsidR="00DB413C">
        <w:t>missing</w:t>
      </w:r>
      <w:r w:rsidR="003E113D">
        <w:t xml:space="preserve"> at</w:t>
      </w:r>
      <w:r w:rsidR="00DB413C">
        <w:t xml:space="preserve"> </w:t>
      </w:r>
      <w:r w:rsidR="00917DF9">
        <w:t xml:space="preserve">least two </w:t>
      </w:r>
      <w:r w:rsidR="00DB413C">
        <w:t>or more</w:t>
      </w:r>
      <w:r w:rsidR="00917DF9">
        <w:t xml:space="preserve"> benchmarks must submit a Continuous Improvement Plan</w:t>
      </w:r>
      <w:r w:rsidR="00C10014">
        <w:t xml:space="preserve"> (CIP)</w:t>
      </w:r>
      <w:r w:rsidR="00383879">
        <w:t>. If sufficient progress is not made</w:t>
      </w:r>
      <w:r w:rsidR="00455194">
        <w:t xml:space="preserve"> </w:t>
      </w:r>
      <w:r w:rsidR="00C10014">
        <w:t>within a reasonable timeframe described in the CIP</w:t>
      </w:r>
      <w:r w:rsidR="00455194">
        <w:t>, a Corrective Action Plan will be implemented.</w:t>
      </w:r>
      <w:r w:rsidR="00C10014">
        <w:t xml:space="preserve"> This process will</w:t>
      </w:r>
      <w:r w:rsidR="006E0F7E">
        <w:t xml:space="preserve"> ensure continuous monitoring and technical assistance is available to providers</w:t>
      </w:r>
      <w:r w:rsidR="001242DD">
        <w:t xml:space="preserve"> and it will also help the AOE identify the barriers and challenges that are impacting local performance.</w:t>
      </w:r>
    </w:p>
    <w:p w14:paraId="4F345E07" w14:textId="496F877A" w:rsidR="0046030F" w:rsidRDefault="00B67F18" w:rsidP="001E3C3B">
      <w:r>
        <w:t xml:space="preserve">The MSG for the IELCE population increased </w:t>
      </w:r>
      <w:r w:rsidR="00322A60">
        <w:t xml:space="preserve">from a low in </w:t>
      </w:r>
      <w:r w:rsidR="00FB1039">
        <w:t xml:space="preserve">PY19 of </w:t>
      </w:r>
      <w:r w:rsidR="002341B0">
        <w:t xml:space="preserve">18.42% to the pre-pandemic level of </w:t>
      </w:r>
      <w:r w:rsidR="00106747">
        <w:t xml:space="preserve">roughly 30%. </w:t>
      </w:r>
      <w:r w:rsidR="009C0B01">
        <w:t>However, t</w:t>
      </w:r>
      <w:r w:rsidR="0055602E">
        <w:t xml:space="preserve">he decline </w:t>
      </w:r>
      <w:r w:rsidR="00250E8E">
        <w:t>in the IELCE population served was 36% in PY20 compared to</w:t>
      </w:r>
      <w:r w:rsidR="0074232A">
        <w:t xml:space="preserve"> only a 7% decline in PY19. </w:t>
      </w:r>
      <w:r w:rsidR="005C3ED0">
        <w:t xml:space="preserve">English language learners confronted </w:t>
      </w:r>
      <w:r w:rsidR="00305B60">
        <w:t xml:space="preserve">unique </w:t>
      </w:r>
      <w:r w:rsidR="005C3ED0">
        <w:t xml:space="preserve">barriers to </w:t>
      </w:r>
      <w:r w:rsidR="00305B60">
        <w:t>participation in their education in addition to other</w:t>
      </w:r>
      <w:r w:rsidR="00B67056">
        <w:t>s such as lower digital literacy skills and language barriers that made it difficult to follow instructions</w:t>
      </w:r>
      <w:r w:rsidR="00D36A52">
        <w:t xml:space="preserve"> on such</w:t>
      </w:r>
      <w:r w:rsidR="009D419A">
        <w:t xml:space="preserve"> tasks as setting up computer equipment</w:t>
      </w:r>
      <w:r w:rsidR="00B67056">
        <w:t xml:space="preserve"> in a remote setting.</w:t>
      </w:r>
      <w:r w:rsidR="003706B0">
        <w:t xml:space="preserve"> Providers made every attempt to </w:t>
      </w:r>
      <w:r w:rsidR="00D36A52">
        <w:t xml:space="preserve">meet with students in-person whenever possible, </w:t>
      </w:r>
      <w:r w:rsidR="009D419A">
        <w:t xml:space="preserve">provide IT support, and </w:t>
      </w:r>
      <w:r w:rsidR="006A411F">
        <w:t>make interpreter services available</w:t>
      </w:r>
      <w:r w:rsidR="00F80943">
        <w:t>.</w:t>
      </w:r>
      <w:r w:rsidR="00A61AC0">
        <w:t xml:space="preserve"> </w:t>
      </w:r>
      <w:r w:rsidR="00A07DAF">
        <w:t>In the reporting period, t</w:t>
      </w:r>
      <w:r w:rsidR="00A61AC0">
        <w:t xml:space="preserve">he AOE </w:t>
      </w:r>
      <w:r w:rsidR="00A2275E">
        <w:t>started</w:t>
      </w:r>
      <w:r w:rsidR="00A61AC0">
        <w:t xml:space="preserve"> allow</w:t>
      </w:r>
      <w:r w:rsidR="00A2275E">
        <w:t>ing</w:t>
      </w:r>
      <w:r w:rsidR="00A61AC0">
        <w:t xml:space="preserve"> BEST Plus 2.0 assessments administered by Migrant Education Program </w:t>
      </w:r>
      <w:r w:rsidR="00610BBA">
        <w:t xml:space="preserve">(MEP) </w:t>
      </w:r>
      <w:r w:rsidR="00A61AC0">
        <w:t xml:space="preserve">staff </w:t>
      </w:r>
      <w:r w:rsidR="00261B5E">
        <w:t xml:space="preserve">with certification from the Center for Applied Linguistics to be entered into the AEL database as approved baseline assessments. This </w:t>
      </w:r>
      <w:r w:rsidR="00E40FBF">
        <w:t>eliminates</w:t>
      </w:r>
      <w:r w:rsidR="00610BBA">
        <w:t xml:space="preserve"> a barrier to transitioning to AEL services from the MEP.</w:t>
      </w:r>
    </w:p>
    <w:p w14:paraId="122C4565" w14:textId="77777777" w:rsidR="00BE3B07" w:rsidRDefault="00BE3B07">
      <w:pPr>
        <w:spacing w:before="0" w:after="200" w:line="276" w:lineRule="auto"/>
      </w:pPr>
      <w:r>
        <w:br w:type="page"/>
      </w:r>
    </w:p>
    <w:p w14:paraId="669386B2" w14:textId="2953E2B0" w:rsidR="00AE44B7" w:rsidRDefault="00E94086" w:rsidP="001E3C3B">
      <w:r>
        <w:lastRenderedPageBreak/>
        <w:t xml:space="preserve">Follow-up indicators </w:t>
      </w:r>
      <w:r w:rsidR="0010475C">
        <w:t xml:space="preserve">show </w:t>
      </w:r>
      <w:r w:rsidR="00AE44B7">
        <w:t xml:space="preserve">that Vermont was able to meet two out of four </w:t>
      </w:r>
      <w:r w:rsidR="00D61960">
        <w:t xml:space="preserve">statewide </w:t>
      </w:r>
      <w:r w:rsidR="00AE44B7">
        <w:t>targets</w:t>
      </w:r>
      <w:r w:rsidR="00D61960">
        <w:t>.</w:t>
      </w:r>
      <w:r w:rsidR="0003305B">
        <w:t xml:space="preserve"> </w:t>
      </w:r>
    </w:p>
    <w:tbl>
      <w:tblPr>
        <w:tblStyle w:val="TableGrid"/>
        <w:tblW w:w="9458" w:type="dxa"/>
        <w:jc w:val="center"/>
        <w:tblLook w:val="04A0" w:firstRow="1" w:lastRow="0" w:firstColumn="1" w:lastColumn="0" w:noHBand="0" w:noVBand="1"/>
      </w:tblPr>
      <w:tblGrid>
        <w:gridCol w:w="2952"/>
        <w:gridCol w:w="1180"/>
        <w:gridCol w:w="1201"/>
        <w:gridCol w:w="1040"/>
        <w:gridCol w:w="1040"/>
        <w:gridCol w:w="1040"/>
        <w:gridCol w:w="1005"/>
      </w:tblGrid>
      <w:tr w:rsidR="00E545DD" w:rsidRPr="004A6632" w14:paraId="448BF5E6" w14:textId="50F18E43" w:rsidTr="00E545DD">
        <w:trPr>
          <w:trHeight w:val="422"/>
          <w:jc w:val="center"/>
        </w:trPr>
        <w:tc>
          <w:tcPr>
            <w:tcW w:w="2974" w:type="dxa"/>
          </w:tcPr>
          <w:p w14:paraId="44A33EC5" w14:textId="77777777" w:rsidR="00E545DD" w:rsidRPr="00615500" w:rsidRDefault="00E545DD" w:rsidP="00E545DD">
            <w:pPr>
              <w:jc w:val="center"/>
              <w:rPr>
                <w:b/>
                <w:bCs w:val="0"/>
                <w:sz w:val="20"/>
                <w:szCs w:val="20"/>
              </w:rPr>
            </w:pPr>
            <w:r w:rsidRPr="00615500">
              <w:rPr>
                <w:b/>
                <w:sz w:val="20"/>
                <w:szCs w:val="20"/>
              </w:rPr>
              <w:t>Performance Indicators</w:t>
            </w:r>
          </w:p>
        </w:tc>
        <w:tc>
          <w:tcPr>
            <w:tcW w:w="1185" w:type="dxa"/>
          </w:tcPr>
          <w:p w14:paraId="45ABD8D1" w14:textId="77777777" w:rsidR="00E545DD" w:rsidRPr="00615500" w:rsidRDefault="00E545DD" w:rsidP="00E545DD">
            <w:pPr>
              <w:jc w:val="center"/>
              <w:rPr>
                <w:b/>
                <w:bCs w:val="0"/>
                <w:sz w:val="20"/>
                <w:szCs w:val="20"/>
              </w:rPr>
            </w:pPr>
            <w:r w:rsidRPr="00615500">
              <w:rPr>
                <w:b/>
                <w:sz w:val="20"/>
                <w:szCs w:val="20"/>
              </w:rPr>
              <w:t>PY20 Target</w:t>
            </w:r>
          </w:p>
        </w:tc>
        <w:tc>
          <w:tcPr>
            <w:tcW w:w="1202" w:type="dxa"/>
          </w:tcPr>
          <w:p w14:paraId="6CA9AE2D" w14:textId="228D439A" w:rsidR="00E545DD" w:rsidRPr="00615500" w:rsidRDefault="00E545DD" w:rsidP="00E545DD">
            <w:pPr>
              <w:jc w:val="center"/>
              <w:rPr>
                <w:b/>
                <w:bCs w:val="0"/>
                <w:sz w:val="20"/>
                <w:szCs w:val="20"/>
              </w:rPr>
            </w:pPr>
            <w:r w:rsidRPr="00615500">
              <w:rPr>
                <w:b/>
                <w:sz w:val="20"/>
                <w:szCs w:val="20"/>
              </w:rPr>
              <w:t xml:space="preserve">PY20 </w:t>
            </w:r>
            <w:r w:rsidR="00005B5D">
              <w:rPr>
                <w:b/>
                <w:sz w:val="20"/>
                <w:szCs w:val="20"/>
              </w:rPr>
              <w:t>Statewide</w:t>
            </w:r>
          </w:p>
        </w:tc>
        <w:tc>
          <w:tcPr>
            <w:tcW w:w="1041" w:type="dxa"/>
          </w:tcPr>
          <w:p w14:paraId="772199EA" w14:textId="137FECAF" w:rsidR="00E545DD" w:rsidRPr="00B84F91" w:rsidRDefault="00E545DD" w:rsidP="00E545DD">
            <w:pPr>
              <w:jc w:val="center"/>
              <w:rPr>
                <w:b/>
                <w:sz w:val="20"/>
                <w:szCs w:val="20"/>
              </w:rPr>
            </w:pPr>
            <w:r w:rsidRPr="00B84F91">
              <w:rPr>
                <w:b/>
                <w:sz w:val="20"/>
                <w:szCs w:val="20"/>
              </w:rPr>
              <w:t>Provider 1</w:t>
            </w:r>
          </w:p>
        </w:tc>
        <w:tc>
          <w:tcPr>
            <w:tcW w:w="1041" w:type="dxa"/>
          </w:tcPr>
          <w:p w14:paraId="5F1AACA7" w14:textId="002BD7FA" w:rsidR="00E545DD" w:rsidRPr="00B84F91" w:rsidRDefault="00E545DD" w:rsidP="00E545DD">
            <w:pPr>
              <w:jc w:val="center"/>
              <w:rPr>
                <w:b/>
                <w:sz w:val="20"/>
                <w:szCs w:val="20"/>
              </w:rPr>
            </w:pPr>
            <w:r w:rsidRPr="00B84F91">
              <w:rPr>
                <w:b/>
                <w:sz w:val="20"/>
                <w:szCs w:val="20"/>
              </w:rPr>
              <w:t>Provider 2</w:t>
            </w:r>
          </w:p>
        </w:tc>
        <w:tc>
          <w:tcPr>
            <w:tcW w:w="1041" w:type="dxa"/>
          </w:tcPr>
          <w:p w14:paraId="1D5E6C3F" w14:textId="5294918F" w:rsidR="00E545DD" w:rsidRPr="00B84F91" w:rsidRDefault="00E545DD" w:rsidP="00E545DD">
            <w:pPr>
              <w:jc w:val="center"/>
              <w:rPr>
                <w:b/>
                <w:sz w:val="20"/>
                <w:szCs w:val="20"/>
              </w:rPr>
            </w:pPr>
            <w:r w:rsidRPr="00B84F91">
              <w:rPr>
                <w:b/>
                <w:sz w:val="20"/>
                <w:szCs w:val="20"/>
              </w:rPr>
              <w:t>Provider 3</w:t>
            </w:r>
          </w:p>
        </w:tc>
        <w:tc>
          <w:tcPr>
            <w:tcW w:w="974" w:type="dxa"/>
          </w:tcPr>
          <w:p w14:paraId="4A6B5DBD" w14:textId="7028EB9B" w:rsidR="00E545DD" w:rsidRPr="00B84F91" w:rsidRDefault="00E545DD" w:rsidP="00E545DD">
            <w:pPr>
              <w:jc w:val="center"/>
              <w:rPr>
                <w:b/>
                <w:sz w:val="20"/>
                <w:szCs w:val="20"/>
              </w:rPr>
            </w:pPr>
            <w:r w:rsidRPr="00B84F91">
              <w:rPr>
                <w:b/>
                <w:sz w:val="20"/>
                <w:szCs w:val="20"/>
              </w:rPr>
              <w:t>Provider 4</w:t>
            </w:r>
          </w:p>
        </w:tc>
      </w:tr>
      <w:tr w:rsidR="00E545DD" w14:paraId="70B725BA" w14:textId="3489C9A7" w:rsidTr="00E545DD">
        <w:trPr>
          <w:jc w:val="center"/>
        </w:trPr>
        <w:tc>
          <w:tcPr>
            <w:tcW w:w="2974" w:type="dxa"/>
          </w:tcPr>
          <w:p w14:paraId="486554A4" w14:textId="77777777" w:rsidR="00E545DD" w:rsidRPr="00615500" w:rsidRDefault="00E545DD" w:rsidP="00E545DD">
            <w:pPr>
              <w:rPr>
                <w:b/>
                <w:bCs w:val="0"/>
                <w:sz w:val="20"/>
                <w:szCs w:val="20"/>
              </w:rPr>
            </w:pPr>
            <w:r w:rsidRPr="00615500">
              <w:rPr>
                <w:b/>
                <w:sz w:val="20"/>
                <w:szCs w:val="20"/>
              </w:rPr>
              <w:t>Employment Rate (Q2)</w:t>
            </w:r>
          </w:p>
        </w:tc>
        <w:tc>
          <w:tcPr>
            <w:tcW w:w="1185" w:type="dxa"/>
          </w:tcPr>
          <w:p w14:paraId="726CFA7B" w14:textId="77777777" w:rsidR="00E545DD" w:rsidRPr="00615500" w:rsidRDefault="00E545DD" w:rsidP="00E545DD">
            <w:pPr>
              <w:jc w:val="center"/>
              <w:rPr>
                <w:sz w:val="20"/>
                <w:szCs w:val="20"/>
              </w:rPr>
            </w:pPr>
            <w:r w:rsidRPr="00615500">
              <w:rPr>
                <w:sz w:val="20"/>
                <w:szCs w:val="20"/>
              </w:rPr>
              <w:t>44%</w:t>
            </w:r>
          </w:p>
        </w:tc>
        <w:tc>
          <w:tcPr>
            <w:tcW w:w="1202" w:type="dxa"/>
          </w:tcPr>
          <w:p w14:paraId="59D237E5" w14:textId="77777777" w:rsidR="00E545DD" w:rsidRPr="00615500" w:rsidRDefault="00E545DD" w:rsidP="00E545DD">
            <w:pPr>
              <w:jc w:val="center"/>
              <w:rPr>
                <w:sz w:val="20"/>
                <w:szCs w:val="20"/>
              </w:rPr>
            </w:pPr>
            <w:r w:rsidRPr="00615500">
              <w:rPr>
                <w:sz w:val="20"/>
                <w:szCs w:val="20"/>
              </w:rPr>
              <w:t>38.81%</w:t>
            </w:r>
          </w:p>
        </w:tc>
        <w:tc>
          <w:tcPr>
            <w:tcW w:w="1041" w:type="dxa"/>
          </w:tcPr>
          <w:p w14:paraId="1FE5F3B6" w14:textId="267B1FEA" w:rsidR="00E545DD" w:rsidRPr="00B84F91" w:rsidRDefault="00E545DD" w:rsidP="00E545DD">
            <w:pPr>
              <w:jc w:val="center"/>
              <w:rPr>
                <w:sz w:val="20"/>
                <w:szCs w:val="20"/>
              </w:rPr>
            </w:pPr>
            <w:r w:rsidRPr="00B84F91">
              <w:rPr>
                <w:sz w:val="20"/>
                <w:szCs w:val="20"/>
              </w:rPr>
              <w:t>39.02%</w:t>
            </w:r>
          </w:p>
        </w:tc>
        <w:tc>
          <w:tcPr>
            <w:tcW w:w="1041" w:type="dxa"/>
          </w:tcPr>
          <w:p w14:paraId="53C35161" w14:textId="5C840C81" w:rsidR="00E545DD" w:rsidRPr="00B84F91" w:rsidRDefault="00E545DD" w:rsidP="00E545DD">
            <w:pPr>
              <w:jc w:val="center"/>
              <w:rPr>
                <w:sz w:val="20"/>
                <w:szCs w:val="20"/>
              </w:rPr>
            </w:pPr>
            <w:r w:rsidRPr="00B84F91">
              <w:rPr>
                <w:sz w:val="20"/>
                <w:szCs w:val="20"/>
              </w:rPr>
              <w:t>51.9%</w:t>
            </w:r>
          </w:p>
        </w:tc>
        <w:tc>
          <w:tcPr>
            <w:tcW w:w="1041" w:type="dxa"/>
          </w:tcPr>
          <w:p w14:paraId="0715D2EE" w14:textId="50E0890E" w:rsidR="00E545DD" w:rsidRPr="00B84F91" w:rsidRDefault="00E545DD" w:rsidP="00E545DD">
            <w:pPr>
              <w:jc w:val="center"/>
              <w:rPr>
                <w:sz w:val="20"/>
                <w:szCs w:val="20"/>
              </w:rPr>
            </w:pPr>
            <w:r w:rsidRPr="00B84F91">
              <w:rPr>
                <w:sz w:val="20"/>
                <w:szCs w:val="20"/>
              </w:rPr>
              <w:t>37.88%</w:t>
            </w:r>
          </w:p>
        </w:tc>
        <w:tc>
          <w:tcPr>
            <w:tcW w:w="974" w:type="dxa"/>
          </w:tcPr>
          <w:p w14:paraId="6B499C05" w14:textId="50F6AFE8" w:rsidR="00E545DD" w:rsidRPr="00B84F91" w:rsidRDefault="00E545DD" w:rsidP="00E545DD">
            <w:pPr>
              <w:jc w:val="center"/>
              <w:rPr>
                <w:sz w:val="20"/>
                <w:szCs w:val="20"/>
              </w:rPr>
            </w:pPr>
            <w:r w:rsidRPr="00B84F91">
              <w:rPr>
                <w:sz w:val="20"/>
                <w:szCs w:val="20"/>
              </w:rPr>
              <w:t>37.12%</w:t>
            </w:r>
          </w:p>
        </w:tc>
      </w:tr>
      <w:tr w:rsidR="00E545DD" w14:paraId="1D310989" w14:textId="4E538BF3" w:rsidTr="00E545DD">
        <w:trPr>
          <w:jc w:val="center"/>
        </w:trPr>
        <w:tc>
          <w:tcPr>
            <w:tcW w:w="2974" w:type="dxa"/>
          </w:tcPr>
          <w:p w14:paraId="3D2F5319" w14:textId="77777777" w:rsidR="00E545DD" w:rsidRPr="00615500" w:rsidRDefault="00E545DD" w:rsidP="00E545DD">
            <w:pPr>
              <w:rPr>
                <w:b/>
                <w:bCs w:val="0"/>
                <w:sz w:val="20"/>
                <w:szCs w:val="20"/>
              </w:rPr>
            </w:pPr>
            <w:r w:rsidRPr="00615500">
              <w:rPr>
                <w:b/>
                <w:sz w:val="20"/>
                <w:szCs w:val="20"/>
              </w:rPr>
              <w:t>Employment Rate (Q4)</w:t>
            </w:r>
          </w:p>
        </w:tc>
        <w:tc>
          <w:tcPr>
            <w:tcW w:w="1185" w:type="dxa"/>
          </w:tcPr>
          <w:p w14:paraId="5B93A9BE" w14:textId="77777777" w:rsidR="00E545DD" w:rsidRPr="00615500" w:rsidRDefault="00E545DD" w:rsidP="00E545DD">
            <w:pPr>
              <w:jc w:val="center"/>
              <w:rPr>
                <w:sz w:val="20"/>
                <w:szCs w:val="20"/>
              </w:rPr>
            </w:pPr>
            <w:r w:rsidRPr="00615500">
              <w:rPr>
                <w:sz w:val="20"/>
                <w:szCs w:val="20"/>
              </w:rPr>
              <w:t>45%</w:t>
            </w:r>
          </w:p>
        </w:tc>
        <w:tc>
          <w:tcPr>
            <w:tcW w:w="1202" w:type="dxa"/>
          </w:tcPr>
          <w:p w14:paraId="4AE3B8B0" w14:textId="77777777" w:rsidR="00E545DD" w:rsidRPr="00615500" w:rsidRDefault="00E545DD" w:rsidP="00E545DD">
            <w:pPr>
              <w:jc w:val="center"/>
              <w:rPr>
                <w:sz w:val="20"/>
                <w:szCs w:val="20"/>
              </w:rPr>
            </w:pPr>
            <w:r w:rsidRPr="00615500">
              <w:rPr>
                <w:sz w:val="20"/>
                <w:szCs w:val="20"/>
              </w:rPr>
              <w:t>37.3%</w:t>
            </w:r>
          </w:p>
        </w:tc>
        <w:tc>
          <w:tcPr>
            <w:tcW w:w="1041" w:type="dxa"/>
          </w:tcPr>
          <w:p w14:paraId="2068B6F0" w14:textId="22C73E9C" w:rsidR="00E545DD" w:rsidRPr="00B84F91" w:rsidRDefault="00E545DD" w:rsidP="00E545DD">
            <w:pPr>
              <w:jc w:val="center"/>
              <w:rPr>
                <w:sz w:val="20"/>
                <w:szCs w:val="20"/>
              </w:rPr>
            </w:pPr>
            <w:r w:rsidRPr="00B84F91">
              <w:rPr>
                <w:sz w:val="20"/>
                <w:szCs w:val="20"/>
              </w:rPr>
              <w:t>36.8%</w:t>
            </w:r>
          </w:p>
        </w:tc>
        <w:tc>
          <w:tcPr>
            <w:tcW w:w="1041" w:type="dxa"/>
          </w:tcPr>
          <w:p w14:paraId="6C3EC870" w14:textId="50B9ACA7" w:rsidR="00E545DD" w:rsidRPr="00B84F91" w:rsidRDefault="00E545DD" w:rsidP="00E545DD">
            <w:pPr>
              <w:jc w:val="center"/>
              <w:rPr>
                <w:sz w:val="20"/>
                <w:szCs w:val="20"/>
              </w:rPr>
            </w:pPr>
            <w:r w:rsidRPr="00B84F91">
              <w:rPr>
                <w:sz w:val="20"/>
                <w:szCs w:val="20"/>
              </w:rPr>
              <w:t>36.21%</w:t>
            </w:r>
          </w:p>
        </w:tc>
        <w:tc>
          <w:tcPr>
            <w:tcW w:w="1041" w:type="dxa"/>
          </w:tcPr>
          <w:p w14:paraId="3F9C53D1" w14:textId="7E217588" w:rsidR="00E545DD" w:rsidRPr="00B84F91" w:rsidRDefault="00E545DD" w:rsidP="00E545DD">
            <w:pPr>
              <w:jc w:val="center"/>
              <w:rPr>
                <w:sz w:val="20"/>
                <w:szCs w:val="20"/>
              </w:rPr>
            </w:pPr>
            <w:r w:rsidRPr="00B84F91">
              <w:rPr>
                <w:sz w:val="20"/>
                <w:szCs w:val="20"/>
              </w:rPr>
              <w:t>34.74%</w:t>
            </w:r>
          </w:p>
        </w:tc>
        <w:tc>
          <w:tcPr>
            <w:tcW w:w="974" w:type="dxa"/>
          </w:tcPr>
          <w:p w14:paraId="6B485EC0" w14:textId="64A6CDB4" w:rsidR="00E545DD" w:rsidRPr="00B84F91" w:rsidRDefault="00E545DD" w:rsidP="00E545DD">
            <w:pPr>
              <w:jc w:val="center"/>
              <w:rPr>
                <w:sz w:val="20"/>
                <w:szCs w:val="20"/>
              </w:rPr>
            </w:pPr>
            <w:r w:rsidRPr="00B84F91">
              <w:rPr>
                <w:sz w:val="20"/>
                <w:szCs w:val="20"/>
              </w:rPr>
              <w:t>37.92%</w:t>
            </w:r>
          </w:p>
        </w:tc>
      </w:tr>
      <w:tr w:rsidR="00E545DD" w14:paraId="1ED13872" w14:textId="108B1E53" w:rsidTr="00E545DD">
        <w:trPr>
          <w:jc w:val="center"/>
        </w:trPr>
        <w:tc>
          <w:tcPr>
            <w:tcW w:w="2974" w:type="dxa"/>
          </w:tcPr>
          <w:p w14:paraId="7D479F30" w14:textId="77777777" w:rsidR="00E545DD" w:rsidRPr="00615500" w:rsidRDefault="00E545DD" w:rsidP="00E545DD">
            <w:pPr>
              <w:rPr>
                <w:b/>
                <w:bCs w:val="0"/>
                <w:sz w:val="20"/>
                <w:szCs w:val="20"/>
              </w:rPr>
            </w:pPr>
            <w:r w:rsidRPr="00615500">
              <w:rPr>
                <w:b/>
                <w:sz w:val="20"/>
                <w:szCs w:val="20"/>
              </w:rPr>
              <w:t>Median Earnings</w:t>
            </w:r>
          </w:p>
        </w:tc>
        <w:tc>
          <w:tcPr>
            <w:tcW w:w="1185" w:type="dxa"/>
          </w:tcPr>
          <w:p w14:paraId="3FB2ED26" w14:textId="77777777" w:rsidR="00E545DD" w:rsidRPr="00615500" w:rsidRDefault="00E545DD" w:rsidP="00E545DD">
            <w:pPr>
              <w:jc w:val="center"/>
              <w:rPr>
                <w:sz w:val="20"/>
                <w:szCs w:val="20"/>
              </w:rPr>
            </w:pPr>
            <w:r w:rsidRPr="00615500">
              <w:rPr>
                <w:sz w:val="20"/>
                <w:szCs w:val="20"/>
              </w:rPr>
              <w:t>$3800</w:t>
            </w:r>
          </w:p>
        </w:tc>
        <w:tc>
          <w:tcPr>
            <w:tcW w:w="1202" w:type="dxa"/>
          </w:tcPr>
          <w:p w14:paraId="4E409642" w14:textId="77777777" w:rsidR="00E545DD" w:rsidRPr="00615500" w:rsidRDefault="00E545DD" w:rsidP="00E545DD">
            <w:pPr>
              <w:jc w:val="center"/>
              <w:rPr>
                <w:sz w:val="20"/>
                <w:szCs w:val="20"/>
              </w:rPr>
            </w:pPr>
            <w:r w:rsidRPr="00615500">
              <w:rPr>
                <w:sz w:val="20"/>
                <w:szCs w:val="20"/>
              </w:rPr>
              <w:t>$3896.84</w:t>
            </w:r>
          </w:p>
        </w:tc>
        <w:tc>
          <w:tcPr>
            <w:tcW w:w="1041" w:type="dxa"/>
          </w:tcPr>
          <w:p w14:paraId="6B402BAE" w14:textId="6E2E506C" w:rsidR="00E545DD" w:rsidRPr="00B84F91" w:rsidRDefault="00E545DD" w:rsidP="00E545DD">
            <w:pPr>
              <w:jc w:val="center"/>
              <w:rPr>
                <w:sz w:val="20"/>
                <w:szCs w:val="20"/>
              </w:rPr>
            </w:pPr>
            <w:r w:rsidRPr="00B84F91">
              <w:rPr>
                <w:sz w:val="20"/>
                <w:szCs w:val="20"/>
              </w:rPr>
              <w:t>$4012.50</w:t>
            </w:r>
          </w:p>
        </w:tc>
        <w:tc>
          <w:tcPr>
            <w:tcW w:w="1041" w:type="dxa"/>
          </w:tcPr>
          <w:p w14:paraId="17D8B5A3" w14:textId="01D03DDE" w:rsidR="00E545DD" w:rsidRPr="00B84F91" w:rsidRDefault="00E545DD" w:rsidP="00E545DD">
            <w:pPr>
              <w:jc w:val="center"/>
              <w:rPr>
                <w:sz w:val="20"/>
                <w:szCs w:val="20"/>
              </w:rPr>
            </w:pPr>
            <w:r w:rsidRPr="00B84F91">
              <w:rPr>
                <w:sz w:val="20"/>
                <w:szCs w:val="20"/>
              </w:rPr>
              <w:t>$3266.09</w:t>
            </w:r>
          </w:p>
        </w:tc>
        <w:tc>
          <w:tcPr>
            <w:tcW w:w="1041" w:type="dxa"/>
          </w:tcPr>
          <w:p w14:paraId="6FBCF8C4" w14:textId="2CE2203A" w:rsidR="00E545DD" w:rsidRPr="00B84F91" w:rsidRDefault="00E545DD" w:rsidP="00E545DD">
            <w:pPr>
              <w:jc w:val="center"/>
              <w:rPr>
                <w:sz w:val="20"/>
                <w:szCs w:val="20"/>
              </w:rPr>
            </w:pPr>
            <w:r w:rsidRPr="00B84F91">
              <w:rPr>
                <w:sz w:val="20"/>
                <w:szCs w:val="20"/>
              </w:rPr>
              <w:t>$2724.77</w:t>
            </w:r>
          </w:p>
        </w:tc>
        <w:tc>
          <w:tcPr>
            <w:tcW w:w="974" w:type="dxa"/>
          </w:tcPr>
          <w:p w14:paraId="3FA06D24" w14:textId="79FB1BD9" w:rsidR="00E545DD" w:rsidRPr="00B84F91" w:rsidRDefault="00E545DD" w:rsidP="00E545DD">
            <w:pPr>
              <w:jc w:val="center"/>
              <w:rPr>
                <w:sz w:val="20"/>
                <w:szCs w:val="20"/>
              </w:rPr>
            </w:pPr>
            <w:r w:rsidRPr="00B84F91">
              <w:rPr>
                <w:sz w:val="20"/>
                <w:szCs w:val="20"/>
              </w:rPr>
              <w:t>$4032</w:t>
            </w:r>
          </w:p>
        </w:tc>
      </w:tr>
      <w:tr w:rsidR="00E545DD" w14:paraId="48915FB9" w14:textId="5C09DF77" w:rsidTr="00E545DD">
        <w:trPr>
          <w:jc w:val="center"/>
        </w:trPr>
        <w:tc>
          <w:tcPr>
            <w:tcW w:w="2974" w:type="dxa"/>
          </w:tcPr>
          <w:p w14:paraId="5B6F386A" w14:textId="77777777" w:rsidR="00E545DD" w:rsidRPr="00615500" w:rsidRDefault="00E545DD" w:rsidP="00E545DD">
            <w:pPr>
              <w:rPr>
                <w:b/>
                <w:bCs w:val="0"/>
                <w:sz w:val="20"/>
                <w:szCs w:val="20"/>
              </w:rPr>
            </w:pPr>
            <w:r w:rsidRPr="00615500">
              <w:rPr>
                <w:b/>
                <w:sz w:val="20"/>
                <w:szCs w:val="20"/>
              </w:rPr>
              <w:t>Credential Rate</w:t>
            </w:r>
          </w:p>
        </w:tc>
        <w:tc>
          <w:tcPr>
            <w:tcW w:w="1185" w:type="dxa"/>
          </w:tcPr>
          <w:p w14:paraId="54D433E4" w14:textId="77777777" w:rsidR="00E545DD" w:rsidRPr="00615500" w:rsidRDefault="00E545DD" w:rsidP="00E545DD">
            <w:pPr>
              <w:jc w:val="center"/>
              <w:rPr>
                <w:sz w:val="20"/>
                <w:szCs w:val="20"/>
              </w:rPr>
            </w:pPr>
            <w:r w:rsidRPr="00615500">
              <w:rPr>
                <w:sz w:val="20"/>
                <w:szCs w:val="20"/>
              </w:rPr>
              <w:t>27%</w:t>
            </w:r>
          </w:p>
        </w:tc>
        <w:tc>
          <w:tcPr>
            <w:tcW w:w="1202" w:type="dxa"/>
          </w:tcPr>
          <w:p w14:paraId="6BD7958E" w14:textId="77777777" w:rsidR="00E545DD" w:rsidRPr="00615500" w:rsidRDefault="00E545DD" w:rsidP="00E545DD">
            <w:pPr>
              <w:jc w:val="center"/>
              <w:rPr>
                <w:sz w:val="20"/>
                <w:szCs w:val="20"/>
              </w:rPr>
            </w:pPr>
            <w:r w:rsidRPr="00615500">
              <w:rPr>
                <w:sz w:val="20"/>
                <w:szCs w:val="20"/>
              </w:rPr>
              <w:t>73.4%</w:t>
            </w:r>
          </w:p>
        </w:tc>
        <w:tc>
          <w:tcPr>
            <w:tcW w:w="1041" w:type="dxa"/>
          </w:tcPr>
          <w:p w14:paraId="7DE60174" w14:textId="31684F51" w:rsidR="00E545DD" w:rsidRPr="00B84F91" w:rsidRDefault="00E545DD" w:rsidP="00E545DD">
            <w:pPr>
              <w:jc w:val="center"/>
              <w:rPr>
                <w:sz w:val="20"/>
                <w:szCs w:val="20"/>
              </w:rPr>
            </w:pPr>
            <w:r w:rsidRPr="00B84F91">
              <w:rPr>
                <w:sz w:val="20"/>
                <w:szCs w:val="20"/>
              </w:rPr>
              <w:t>68.97%</w:t>
            </w:r>
          </w:p>
        </w:tc>
        <w:tc>
          <w:tcPr>
            <w:tcW w:w="1041" w:type="dxa"/>
          </w:tcPr>
          <w:p w14:paraId="7BD2C0D7" w14:textId="09B79718" w:rsidR="00E545DD" w:rsidRPr="00B84F91" w:rsidRDefault="00E545DD" w:rsidP="00E545DD">
            <w:pPr>
              <w:jc w:val="center"/>
              <w:rPr>
                <w:sz w:val="20"/>
                <w:szCs w:val="20"/>
              </w:rPr>
            </w:pPr>
            <w:r w:rsidRPr="00B84F91">
              <w:rPr>
                <w:sz w:val="20"/>
                <w:szCs w:val="20"/>
              </w:rPr>
              <w:t>56.52%</w:t>
            </w:r>
          </w:p>
        </w:tc>
        <w:tc>
          <w:tcPr>
            <w:tcW w:w="1041" w:type="dxa"/>
          </w:tcPr>
          <w:p w14:paraId="5F3CE221" w14:textId="632C1DD4" w:rsidR="00E545DD" w:rsidRPr="00B84F91" w:rsidRDefault="00E545DD" w:rsidP="00E545DD">
            <w:pPr>
              <w:jc w:val="center"/>
              <w:rPr>
                <w:sz w:val="20"/>
                <w:szCs w:val="20"/>
              </w:rPr>
            </w:pPr>
            <w:r w:rsidRPr="00B84F91">
              <w:rPr>
                <w:sz w:val="20"/>
                <w:szCs w:val="20"/>
              </w:rPr>
              <w:t>66.67%</w:t>
            </w:r>
          </w:p>
        </w:tc>
        <w:tc>
          <w:tcPr>
            <w:tcW w:w="974" w:type="dxa"/>
          </w:tcPr>
          <w:p w14:paraId="3DBBE6BA" w14:textId="2E812B01" w:rsidR="00E545DD" w:rsidRPr="00B84F91" w:rsidRDefault="00E545DD" w:rsidP="00E545DD">
            <w:pPr>
              <w:jc w:val="center"/>
              <w:rPr>
                <w:sz w:val="20"/>
                <w:szCs w:val="20"/>
              </w:rPr>
            </w:pPr>
            <w:r w:rsidRPr="00B84F91">
              <w:rPr>
                <w:sz w:val="20"/>
                <w:szCs w:val="20"/>
              </w:rPr>
              <w:t>78.69%</w:t>
            </w:r>
          </w:p>
        </w:tc>
      </w:tr>
    </w:tbl>
    <w:p w14:paraId="62E7ED09" w14:textId="5782B0A3" w:rsidR="00170C4C" w:rsidRDefault="00BB410D" w:rsidP="001E3C3B">
      <w:r>
        <w:t xml:space="preserve">Employment rates can vary by </w:t>
      </w:r>
      <w:r w:rsidR="00844CEB">
        <w:t>region;</w:t>
      </w:r>
      <w:r w:rsidR="00BE1C29">
        <w:t xml:space="preserve"> </w:t>
      </w:r>
      <w:r w:rsidR="00844CEB">
        <w:t>however,</w:t>
      </w:r>
      <w:r w:rsidR="00BE1C29">
        <w:t xml:space="preserve"> no pattern emerges in this data. For example, Provider 4 serves more students than the other three providers combined</w:t>
      </w:r>
      <w:r w:rsidR="003D5F86">
        <w:t>, including the more popul</w:t>
      </w:r>
      <w:r w:rsidR="00E375D2">
        <w:t>ated</w:t>
      </w:r>
      <w:r w:rsidR="003D5F86">
        <w:t xml:space="preserve"> region of Chittenden County.</w:t>
      </w:r>
      <w:r w:rsidR="00005B5D">
        <w:t xml:space="preserve"> Yet </w:t>
      </w:r>
      <w:r w:rsidR="00E375D2">
        <w:t xml:space="preserve">the highest employment rates in the second quarter were in </w:t>
      </w:r>
      <w:r w:rsidR="009F3BA4">
        <w:t>a</w:t>
      </w:r>
      <w:r w:rsidR="00B26F30">
        <w:t xml:space="preserve"> lower population and</w:t>
      </w:r>
      <w:r w:rsidR="009F3BA4">
        <w:t xml:space="preserve"> high</w:t>
      </w:r>
      <w:r w:rsidR="00B26F30">
        <w:t>er</w:t>
      </w:r>
      <w:r w:rsidR="009F3BA4">
        <w:t xml:space="preserve"> unemployment </w:t>
      </w:r>
      <w:r w:rsidR="00E375D2">
        <w:t xml:space="preserve">region called the Northeast Kingdom. </w:t>
      </w:r>
      <w:r w:rsidR="00275540" w:rsidRPr="00B113B2">
        <w:t>Credential rates surpassed the target in each region.</w:t>
      </w:r>
    </w:p>
    <w:p w14:paraId="58D1D6EF" w14:textId="58B62DF6" w:rsidR="00B90E66" w:rsidRPr="00D80319" w:rsidRDefault="00170C4C" w:rsidP="001E3C3B">
      <w:r w:rsidRPr="009C3EA3">
        <w:t xml:space="preserve">Those served by IET programs were very few as providers struggled to implement </w:t>
      </w:r>
      <w:r w:rsidR="00872284" w:rsidRPr="009C3EA3">
        <w:t xml:space="preserve">during the pandemic. An error was </w:t>
      </w:r>
      <w:r w:rsidR="00630C68">
        <w:t>discovered</w:t>
      </w:r>
      <w:r w:rsidR="00872284" w:rsidRPr="009C3EA3">
        <w:t xml:space="preserve"> in the database tables when the AOE conducted file audits on IET participants. </w:t>
      </w:r>
      <w:r w:rsidR="00241CB9" w:rsidRPr="009C3EA3">
        <w:t>Federal Table 11 was including all students enrolled in IET programs even if they did not comple</w:t>
      </w:r>
      <w:r w:rsidR="00800AAC" w:rsidRPr="009C3EA3">
        <w:t>te the entire program. This was corrected to accurately reflect program participation in the reports</w:t>
      </w:r>
      <w:r w:rsidR="003A2698">
        <w:t>.</w:t>
      </w:r>
      <w:r w:rsidR="0003305B">
        <w:t xml:space="preserve"> </w:t>
      </w:r>
    </w:p>
    <w:p w14:paraId="474846F3" w14:textId="112E40BB" w:rsidR="00866F8E" w:rsidRDefault="00866F8E" w:rsidP="00866F8E">
      <w:pPr>
        <w:pStyle w:val="Heading1"/>
      </w:pPr>
      <w:r>
        <w:t>3. Integration with One-</w:t>
      </w:r>
      <w:r w:rsidR="00226E8E">
        <w:t>S</w:t>
      </w:r>
      <w:r>
        <w:t>top Partners</w:t>
      </w:r>
    </w:p>
    <w:p w14:paraId="5857437D" w14:textId="05225E0F" w:rsidR="005024FC" w:rsidRDefault="00E560F6" w:rsidP="006904BF">
      <w:pPr>
        <w:widowControl w:val="0"/>
      </w:pPr>
      <w:r>
        <w:t>AEL providers are designated to collaborate with local one-stop partners to provide the best possible services to students, based on</w:t>
      </w:r>
      <w:r w:rsidR="00857F38">
        <w:t xml:space="preserve"> their individual needs identified at intake</w:t>
      </w:r>
      <w:r w:rsidR="001863AB">
        <w:t xml:space="preserve"> (barriers to employment). </w:t>
      </w:r>
      <w:r w:rsidR="004D6DB5">
        <w:t xml:space="preserve">This designation is made clear in the grant agreements and in the competitive grant process. </w:t>
      </w:r>
      <w:r w:rsidR="001E2202">
        <w:t xml:space="preserve">Providers are required to track career services provided under Title II to each student in the AEL </w:t>
      </w:r>
      <w:r w:rsidR="001E2202" w:rsidRPr="00662DCA">
        <w:t>database</w:t>
      </w:r>
      <w:r w:rsidR="001E2202" w:rsidRPr="0018212D">
        <w:t xml:space="preserve">. </w:t>
      </w:r>
      <w:r w:rsidR="00A31EF6" w:rsidRPr="0018212D">
        <w:t xml:space="preserve">Although in-person services were limited during PY20, </w:t>
      </w:r>
      <w:r w:rsidR="00B77E64" w:rsidRPr="0018212D">
        <w:t xml:space="preserve">AEL providers continued both in-person and </w:t>
      </w:r>
      <w:r w:rsidR="00531740" w:rsidRPr="0018212D">
        <w:t xml:space="preserve">remote communications with partners. </w:t>
      </w:r>
      <w:r w:rsidR="00CB73BB">
        <w:t>Examples include</w:t>
      </w:r>
      <w:r w:rsidR="00531740" w:rsidRPr="0018212D">
        <w:t xml:space="preserve">, </w:t>
      </w:r>
      <w:r w:rsidR="002A5AB3" w:rsidRPr="0018212D">
        <w:t>both DOL and VR staff join</w:t>
      </w:r>
      <w:r w:rsidR="00A00439">
        <w:t>ing</w:t>
      </w:r>
      <w:r w:rsidR="002A5AB3" w:rsidRPr="0018212D">
        <w:t xml:space="preserve"> </w:t>
      </w:r>
      <w:r w:rsidR="00531740" w:rsidRPr="0018212D">
        <w:t xml:space="preserve">one </w:t>
      </w:r>
      <w:r w:rsidR="00E718C7" w:rsidRPr="0018212D">
        <w:t>provider</w:t>
      </w:r>
      <w:r w:rsidR="00531740" w:rsidRPr="0018212D">
        <w:t>’s</w:t>
      </w:r>
      <w:r w:rsidR="00E718C7" w:rsidRPr="0018212D">
        <w:t xml:space="preserve"> staff meetings to stay informed of AEL service</w:t>
      </w:r>
      <w:r w:rsidR="00DE5D94" w:rsidRPr="0018212D">
        <w:t>s;</w:t>
      </w:r>
      <w:r w:rsidR="00E718C7" w:rsidRPr="0018212D">
        <w:t xml:space="preserve"> </w:t>
      </w:r>
      <w:r w:rsidR="00CB73BB">
        <w:t xml:space="preserve">the </w:t>
      </w:r>
      <w:r w:rsidR="00BA4802">
        <w:t xml:space="preserve">AEL </w:t>
      </w:r>
      <w:r w:rsidR="00CB73BB">
        <w:t xml:space="preserve">transition coordinator </w:t>
      </w:r>
      <w:r w:rsidR="00BA4802">
        <w:t xml:space="preserve">presenting to </w:t>
      </w:r>
      <w:r w:rsidR="005C2D62">
        <w:t xml:space="preserve">a </w:t>
      </w:r>
      <w:r w:rsidR="00BA4802">
        <w:t xml:space="preserve">group of </w:t>
      </w:r>
      <w:r w:rsidR="005C2D62">
        <w:t xml:space="preserve">local </w:t>
      </w:r>
      <w:r w:rsidR="00BA4802">
        <w:t>VR case managers;</w:t>
      </w:r>
      <w:r w:rsidR="005C2D62">
        <w:t xml:space="preserve"> </w:t>
      </w:r>
      <w:r w:rsidR="00844CEB">
        <w:t>and</w:t>
      </w:r>
      <w:r w:rsidR="00676F78">
        <w:t xml:space="preserve"> </w:t>
      </w:r>
      <w:r w:rsidR="00DE5D94" w:rsidRPr="0018212D">
        <w:t>c</w:t>
      </w:r>
      <w:r w:rsidR="00803DF8" w:rsidRPr="0018212D">
        <w:t>areer services provided through online synchronous meetings with students</w:t>
      </w:r>
      <w:r w:rsidR="00676F78">
        <w:t xml:space="preserve"> and</w:t>
      </w:r>
      <w:r w:rsidR="006628E2">
        <w:t xml:space="preserve"> during </w:t>
      </w:r>
      <w:r w:rsidR="00676F78">
        <w:t xml:space="preserve">student </w:t>
      </w:r>
      <w:r w:rsidR="006628E2">
        <w:t>orientations</w:t>
      </w:r>
      <w:r w:rsidR="007E6289" w:rsidRPr="0018212D">
        <w:t>.</w:t>
      </w:r>
      <w:r w:rsidR="00CB1C69">
        <w:t xml:space="preserve"> </w:t>
      </w:r>
      <w:r w:rsidR="00323462">
        <w:t xml:space="preserve">Assessments of skill levels were provided both in-person and virtually according to </w:t>
      </w:r>
      <w:hyperlink r:id="rId15" w:history="1">
        <w:r w:rsidR="00100E58" w:rsidRPr="000F4ABA">
          <w:rPr>
            <w:rStyle w:val="Hyperlink"/>
            <w:rFonts w:cs="Calibri"/>
          </w:rPr>
          <w:t xml:space="preserve">virtual </w:t>
        </w:r>
        <w:r w:rsidR="000F4ABA" w:rsidRPr="000F4ABA">
          <w:rPr>
            <w:rStyle w:val="Hyperlink"/>
            <w:rFonts w:cs="Calibri"/>
          </w:rPr>
          <w:t>test proctoring procedures</w:t>
        </w:r>
      </w:hyperlink>
      <w:r w:rsidR="00D57261">
        <w:t>.</w:t>
      </w:r>
    </w:p>
    <w:p w14:paraId="01B22A3D" w14:textId="7D85C8C3" w:rsidR="006458B5" w:rsidRDefault="006458B5" w:rsidP="006904BF">
      <w:pPr>
        <w:widowControl w:val="0"/>
      </w:pPr>
      <w:r>
        <w:t xml:space="preserve">Vermont does not have local workforce development boards that are </w:t>
      </w:r>
      <w:r w:rsidR="008273BF">
        <w:t>Federally recognized</w:t>
      </w:r>
      <w:r>
        <w:t xml:space="preserve">, but rather has a single State Workforce Development Board </w:t>
      </w:r>
      <w:r w:rsidR="003D2410">
        <w:t xml:space="preserve">(SWDB) </w:t>
      </w:r>
      <w:r>
        <w:t>that oversees WIOA performance. The AOE has representation on this board</w:t>
      </w:r>
      <w:r w:rsidR="00056989">
        <w:t xml:space="preserve"> and other AOE staff</w:t>
      </w:r>
      <w:r w:rsidR="004311A5">
        <w:t>, including the State Director,</w:t>
      </w:r>
      <w:r w:rsidR="00056989">
        <w:t xml:space="preserve"> also attend meetings</w:t>
      </w:r>
      <w:r w:rsidR="003303C8">
        <w:t xml:space="preserve">. </w:t>
      </w:r>
      <w:r w:rsidR="003D2410">
        <w:t>A sub-committee of the SWDB reviewed Title II proposals in the spring of 2021</w:t>
      </w:r>
      <w:r w:rsidR="0058099A">
        <w:t xml:space="preserve"> and submitted feedback on how the proposals aligned to the state plan.</w:t>
      </w:r>
    </w:p>
    <w:p w14:paraId="566C711E" w14:textId="1C6E0BB4" w:rsidR="0098312C" w:rsidRDefault="00D57261" w:rsidP="006904BF">
      <w:pPr>
        <w:widowControl w:val="0"/>
      </w:pPr>
      <w:r>
        <w:t>T</w:t>
      </w:r>
      <w:r w:rsidR="0098312C" w:rsidRPr="005332BD">
        <w:t xml:space="preserve">he </w:t>
      </w:r>
      <w:r w:rsidR="0098312C">
        <w:t>one-stop partner MOU</w:t>
      </w:r>
      <w:r w:rsidR="0098312C" w:rsidRPr="005332BD">
        <w:t xml:space="preserve"> was not officially renewed after July 1, 2019</w:t>
      </w:r>
      <w:r w:rsidR="00A55555">
        <w:t>;</w:t>
      </w:r>
      <w:r w:rsidR="0098312C" w:rsidRPr="005332BD">
        <w:t xml:space="preserve"> </w:t>
      </w:r>
      <w:r>
        <w:t xml:space="preserve">however, </w:t>
      </w:r>
      <w:r w:rsidR="0098312C" w:rsidRPr="005332BD">
        <w:t xml:space="preserve">the State </w:t>
      </w:r>
      <w:r w:rsidR="00145407">
        <w:t xml:space="preserve">has </w:t>
      </w:r>
      <w:r w:rsidR="0098312C" w:rsidRPr="005332BD">
        <w:t xml:space="preserve">directed local AEL providers to continue to operate </w:t>
      </w:r>
      <w:r w:rsidR="0098312C">
        <w:t xml:space="preserve">as outlined in the expired MOU </w:t>
      </w:r>
      <w:r w:rsidR="0098312C" w:rsidRPr="005332BD">
        <w:t>to ensure</w:t>
      </w:r>
      <w:r w:rsidR="0098312C">
        <w:t xml:space="preserve"> continuity of operations under the WIOA </w:t>
      </w:r>
      <w:r w:rsidR="00984874">
        <w:t>Combined</w:t>
      </w:r>
      <w:r w:rsidR="0098312C">
        <w:t xml:space="preserve"> State Plan.</w:t>
      </w:r>
    </w:p>
    <w:p w14:paraId="4B3F4CA7" w14:textId="2E60C668" w:rsidR="0098312C" w:rsidRDefault="0098312C" w:rsidP="00F13194">
      <w:pPr>
        <w:shd w:val="clear" w:color="auto" w:fill="FFFFFF" w:themeFill="background1"/>
      </w:pPr>
      <w:r>
        <w:lastRenderedPageBreak/>
        <w:t xml:space="preserve">An infrastructure cost agreement was not in effect for </w:t>
      </w:r>
      <w:r w:rsidR="00145407">
        <w:t>PY20</w:t>
      </w:r>
      <w:r>
        <w:t>. It is the responsibility of the one-stop operator (Vermont Department of Labor) to initiate negotiations on infrastructure costs</w:t>
      </w:r>
      <w:r w:rsidR="002647A7">
        <w:t xml:space="preserve"> and </w:t>
      </w:r>
      <w:r w:rsidR="00A32BC6">
        <w:t>work with partners to develop a one-stop partner MOU.</w:t>
      </w:r>
      <w:r>
        <w:t xml:space="preserve"> The </w:t>
      </w:r>
      <w:r w:rsidR="00285FDE">
        <w:t xml:space="preserve">AOE </w:t>
      </w:r>
      <w:r>
        <w:t>sets aside funds to cover infrastructure costs each year, but the D</w:t>
      </w:r>
      <w:r w:rsidR="00285FDE">
        <w:t>OL</w:t>
      </w:r>
      <w:r>
        <w:t xml:space="preserve"> </w:t>
      </w:r>
      <w:r w:rsidR="00F97E92">
        <w:t xml:space="preserve">has to date </w:t>
      </w:r>
      <w:r>
        <w:t>failed to invoice the AOE. This result</w:t>
      </w:r>
      <w:r w:rsidR="00F97E92">
        <w:t>ed</w:t>
      </w:r>
      <w:r>
        <w:t xml:space="preserve"> in IFA-allocated federal AEFLA funds that</w:t>
      </w:r>
      <w:r w:rsidR="00F97E92">
        <w:t xml:space="preserve"> were not expended and </w:t>
      </w:r>
      <w:r w:rsidR="00BB39D5">
        <w:t xml:space="preserve">are therefore carried forward into PY21. The DOL has recently begun </w:t>
      </w:r>
      <w:r w:rsidR="00A55A9D">
        <w:t xml:space="preserve">convening meetings with one-stop partners to develop a new MOU </w:t>
      </w:r>
      <w:r w:rsidR="00F13194">
        <w:t>that will include a negotiated infrastructure cost agreement.</w:t>
      </w:r>
    </w:p>
    <w:p w14:paraId="53D35332" w14:textId="38F25D9E" w:rsidR="00022DE6" w:rsidRDefault="00A55555" w:rsidP="00984874">
      <w:pPr>
        <w:widowControl w:val="0"/>
      </w:pPr>
      <w:r>
        <w:t xml:space="preserve">A significant state-level collaboration included </w:t>
      </w:r>
      <w:r w:rsidR="000B1E02">
        <w:t xml:space="preserve">AOE </w:t>
      </w:r>
      <w:r w:rsidR="00661743" w:rsidRPr="007559F2">
        <w:t>participat</w:t>
      </w:r>
      <w:r w:rsidR="000B1E02">
        <w:t>ion</w:t>
      </w:r>
      <w:r w:rsidR="00661743" w:rsidRPr="007559F2">
        <w:t xml:space="preserve"> on the Adult Reentry Strategies Cross-Disciplinary workgroup to </w:t>
      </w:r>
      <w:r w:rsidR="00661743">
        <w:t>improve</w:t>
      </w:r>
      <w:r w:rsidR="00661743" w:rsidRPr="007559F2">
        <w:t xml:space="preserve"> </w:t>
      </w:r>
      <w:r w:rsidR="00661743">
        <w:t xml:space="preserve">transition of moderate to high-risk </w:t>
      </w:r>
      <w:r w:rsidR="000B1E02">
        <w:t xml:space="preserve">incarcerated </w:t>
      </w:r>
      <w:r w:rsidR="00661743">
        <w:t>offenders who are re-entering the community. The Department of Corrections</w:t>
      </w:r>
      <w:r w:rsidR="000B1E02">
        <w:t xml:space="preserve"> (DOC)</w:t>
      </w:r>
      <w:r w:rsidR="00661743">
        <w:t xml:space="preserve"> has </w:t>
      </w:r>
      <w:r w:rsidR="00515D9B">
        <w:t>contracted with</w:t>
      </w:r>
      <w:r w:rsidR="00661743">
        <w:t xml:space="preserve"> a regional team to identify barriers to serving those re-entering, </w:t>
      </w:r>
      <w:r w:rsidR="00044E54">
        <w:t xml:space="preserve">and </w:t>
      </w:r>
      <w:r w:rsidR="00661743">
        <w:t xml:space="preserve">data needed from the DOC to provide the best services to finding and retaining employment, training, and educational services. The </w:t>
      </w:r>
      <w:r w:rsidR="00F35E5E">
        <w:t>regional team</w:t>
      </w:r>
      <w:r w:rsidR="00661743">
        <w:t xml:space="preserve"> will also </w:t>
      </w:r>
      <w:r w:rsidR="00F35E5E">
        <w:t xml:space="preserve">help DOC </w:t>
      </w:r>
      <w:r w:rsidR="00661743">
        <w:t xml:space="preserve">describe effective strategies that can be duplicated in other regions for sharing information, removing barriers, and ensuring access to employment as a recidivism reduction strategy. </w:t>
      </w:r>
    </w:p>
    <w:p w14:paraId="01B68EC9" w14:textId="0CFE5911" w:rsidR="00661743" w:rsidRDefault="00661743" w:rsidP="00F45884">
      <w:pPr>
        <w:widowControl w:val="0"/>
        <w:spacing w:after="0"/>
      </w:pPr>
      <w:r>
        <w:t xml:space="preserve">Community High School (CHS), the independent high school that serves the incarcerated population, has improved their transcripts to better describe educational activities and training opportunities that its students took part in, which mitigates barriers to transitioning to AEL services and the state-funded High School Completion Program. Collaborative activities between </w:t>
      </w:r>
      <w:r w:rsidR="00CF07B4">
        <w:t xml:space="preserve">AOE, </w:t>
      </w:r>
      <w:r>
        <w:t xml:space="preserve">AEL </w:t>
      </w:r>
      <w:r w:rsidR="00CF07B4">
        <w:t xml:space="preserve">providers </w:t>
      </w:r>
      <w:r>
        <w:t xml:space="preserve">and CHS included </w:t>
      </w:r>
      <w:r w:rsidR="000205C7">
        <w:t xml:space="preserve">developing </w:t>
      </w:r>
      <w:r w:rsidR="0041726D">
        <w:t>process</w:t>
      </w:r>
      <w:r w:rsidR="000205C7">
        <w:t>es</w:t>
      </w:r>
      <w:r w:rsidR="0041726D">
        <w:t xml:space="preserve"> </w:t>
      </w:r>
      <w:r w:rsidR="000205C7">
        <w:t>for</w:t>
      </w:r>
      <w:r>
        <w:t xml:space="preserve"> warm referrals that result in student success in pursuing education and training. As a result, </w:t>
      </w:r>
      <w:r w:rsidR="005F029A">
        <w:t xml:space="preserve">AEL providers will make </w:t>
      </w:r>
      <w:r w:rsidR="003C01FF">
        <w:t xml:space="preserve">remote </w:t>
      </w:r>
      <w:r w:rsidR="005F029A">
        <w:t xml:space="preserve">connections with </w:t>
      </w:r>
      <w:r w:rsidR="003C01FF">
        <w:t xml:space="preserve">those re-entering prior to release to begin intake procedures and </w:t>
      </w:r>
      <w:r>
        <w:t>the CHS has agreed to transition their assessment tool from the CASAS ECS to the TABE 11/12, which will significantly improve transition and access for those students re-entering.</w:t>
      </w:r>
    </w:p>
    <w:p w14:paraId="0452B16D" w14:textId="77777777" w:rsidR="00AC4E86" w:rsidRPr="00AC4E86" w:rsidRDefault="006136CC" w:rsidP="00AC4E86">
      <w:pPr>
        <w:spacing w:before="240" w:line="240" w:lineRule="auto"/>
        <w:rPr>
          <w:sz w:val="4"/>
          <w:szCs w:val="4"/>
        </w:rPr>
      </w:pPr>
      <w:r w:rsidRPr="0030517E">
        <w:rPr>
          <w:rStyle w:val="Heading1Char"/>
        </w:rPr>
        <w:t>4. Integrated English Literacy and Civics Education (IELCE) Program (Section 243)</w:t>
      </w:r>
      <w:r w:rsidRPr="0030517E">
        <w:rPr>
          <w:rStyle w:val="Heading1Char"/>
        </w:rPr>
        <w:br/>
      </w:r>
    </w:p>
    <w:p w14:paraId="1AAC6E95" w14:textId="1728690C" w:rsidR="00B34337" w:rsidRDefault="00160473" w:rsidP="00AC4E86">
      <w:pPr>
        <w:spacing w:before="240" w:line="240" w:lineRule="auto"/>
      </w:pPr>
      <w:r>
        <w:t xml:space="preserve">The competition for grant funds under Section 243 in Vermont was held in the spring of 2021. Two grantees were awarded funds with one provider </w:t>
      </w:r>
      <w:r w:rsidRPr="00863F16">
        <w:t xml:space="preserve">receiving </w:t>
      </w:r>
      <w:r w:rsidR="00863F16" w:rsidRPr="00863F16">
        <w:t>92.6</w:t>
      </w:r>
      <w:r w:rsidR="00765C93" w:rsidRPr="00863F16">
        <w:t>% of the funds for</w:t>
      </w:r>
      <w:r w:rsidR="00765C93">
        <w:t xml:space="preserve"> a two</w:t>
      </w:r>
      <w:r w:rsidR="00AC301D">
        <w:t>-</w:t>
      </w:r>
      <w:r w:rsidR="00765C93">
        <w:t xml:space="preserve">year grant period beginning July 1, 2021. </w:t>
      </w:r>
    </w:p>
    <w:p w14:paraId="5BF507D4" w14:textId="48A71381" w:rsidR="006E265B" w:rsidRDefault="00B34337" w:rsidP="002A0B57">
      <w:r>
        <w:t>PY20</w:t>
      </w:r>
      <w:r w:rsidR="00656AD8">
        <w:t xml:space="preserve"> </w:t>
      </w:r>
      <w:r w:rsidR="006F7DDB">
        <w:t xml:space="preserve">was the </w:t>
      </w:r>
      <w:r w:rsidR="0047537C">
        <w:t>final</w:t>
      </w:r>
      <w:r w:rsidR="00590230">
        <w:t xml:space="preserve"> year</w:t>
      </w:r>
      <w:r w:rsidR="006F7DDB">
        <w:t xml:space="preserve"> in a grant period that lasted four years due to </w:t>
      </w:r>
      <w:r w:rsidR="00590230">
        <w:t xml:space="preserve">PY19 </w:t>
      </w:r>
      <w:r w:rsidR="00E4184D">
        <w:t xml:space="preserve">suspension in the competition </w:t>
      </w:r>
      <w:r w:rsidR="008273BF">
        <w:t>because of</w:t>
      </w:r>
      <w:r w:rsidR="00E4184D">
        <w:t xml:space="preserve"> the pandemic. </w:t>
      </w:r>
      <w:r w:rsidR="00DE4AE5">
        <w:t xml:space="preserve">To achieve the maximum benefit of the limited funds received for IELCE in </w:t>
      </w:r>
      <w:r w:rsidR="00DE4AE5" w:rsidRPr="00136C51">
        <w:t>Vermont (</w:t>
      </w:r>
      <w:r w:rsidR="00083F1B" w:rsidRPr="00136C51">
        <w:t>$60,447</w:t>
      </w:r>
      <w:r w:rsidR="002A0B57" w:rsidRPr="00136C51">
        <w:t xml:space="preserve"> in program year 2020</w:t>
      </w:r>
      <w:r w:rsidR="00260850" w:rsidRPr="00136C51">
        <w:t xml:space="preserve"> plus </w:t>
      </w:r>
      <w:r w:rsidR="00CF7B00" w:rsidRPr="00136C51">
        <w:t>$11,3</w:t>
      </w:r>
      <w:r w:rsidR="00365DE8">
        <w:t>52</w:t>
      </w:r>
      <w:r w:rsidR="00260850" w:rsidRPr="00136C51">
        <w:t xml:space="preserve"> in carryover</w:t>
      </w:r>
      <w:r w:rsidR="00CF7B00" w:rsidRPr="00136C51">
        <w:t xml:space="preserve"> from PY19</w:t>
      </w:r>
      <w:r w:rsidR="002A0B57" w:rsidRPr="00136C51">
        <w:t>) t</w:t>
      </w:r>
      <w:r w:rsidR="00CE5DFE" w:rsidRPr="00136C51">
        <w:t>he funds were made av</w:t>
      </w:r>
      <w:r w:rsidR="00CE5DFE">
        <w:t xml:space="preserve">ailable to </w:t>
      </w:r>
      <w:r w:rsidR="00021DE3">
        <w:t xml:space="preserve">the two providers who </w:t>
      </w:r>
      <w:r w:rsidR="00BA79A9">
        <w:t xml:space="preserve">serve </w:t>
      </w:r>
      <w:r w:rsidR="00136C51">
        <w:t xml:space="preserve">approximately 99% </w:t>
      </w:r>
      <w:r w:rsidR="00BA79A9">
        <w:t>of ESL students in Vermont</w:t>
      </w:r>
      <w:r w:rsidR="00021DE3">
        <w:t>.</w:t>
      </w:r>
      <w:r w:rsidR="00DE4AE5">
        <w:t xml:space="preserve"> </w:t>
      </w:r>
      <w:r w:rsidR="00860B78">
        <w:t>P</w:t>
      </w:r>
      <w:r w:rsidR="00BC64B9">
        <w:t>rovider</w:t>
      </w:r>
      <w:r w:rsidR="00860B78">
        <w:t xml:space="preserve"> 1</w:t>
      </w:r>
      <w:r w:rsidR="00BC64B9">
        <w:t xml:space="preserve"> received </w:t>
      </w:r>
      <w:r w:rsidR="00BB1E98">
        <w:t xml:space="preserve">$8,737 </w:t>
      </w:r>
      <w:r w:rsidR="00984EA8">
        <w:t>to</w:t>
      </w:r>
      <w:r w:rsidR="00BB1E98">
        <w:t xml:space="preserve"> serve </w:t>
      </w:r>
      <w:r w:rsidR="00E37720">
        <w:t xml:space="preserve">12% of </w:t>
      </w:r>
      <w:r w:rsidR="00D82CF2">
        <w:t>IELCE</w:t>
      </w:r>
      <w:r w:rsidR="00E37720">
        <w:t xml:space="preserve"> students; </w:t>
      </w:r>
      <w:r w:rsidR="00860B78">
        <w:t xml:space="preserve">Provider 4 received </w:t>
      </w:r>
      <w:r w:rsidR="0084452B">
        <w:t xml:space="preserve">$63,062 </w:t>
      </w:r>
      <w:r w:rsidR="00984EA8">
        <w:t>to serve</w:t>
      </w:r>
      <w:r w:rsidR="0084452B">
        <w:t xml:space="preserve"> </w:t>
      </w:r>
      <w:r w:rsidR="00D82CF2">
        <w:t>88% of IELCE students.</w:t>
      </w:r>
      <w:r w:rsidR="00860B78">
        <w:t xml:space="preserve"> </w:t>
      </w:r>
    </w:p>
    <w:p w14:paraId="3A57D237" w14:textId="4E010AA4" w:rsidR="006A0C44" w:rsidRDefault="001E09F0" w:rsidP="00532C9C">
      <w:r>
        <w:t xml:space="preserve">Local programs in Vermont </w:t>
      </w:r>
      <w:r w:rsidR="00676FE3">
        <w:t>continue to experience roadblocks</w:t>
      </w:r>
      <w:r>
        <w:t xml:space="preserve"> </w:t>
      </w:r>
      <w:r w:rsidR="00676FE3">
        <w:t xml:space="preserve">in </w:t>
      </w:r>
      <w:r>
        <w:t>develop</w:t>
      </w:r>
      <w:r w:rsidR="00676FE3">
        <w:t>ing</w:t>
      </w:r>
      <w:r>
        <w:t xml:space="preserve"> IET programs</w:t>
      </w:r>
      <w:r w:rsidR="00152B96">
        <w:t xml:space="preserve"> as the </w:t>
      </w:r>
      <w:r w:rsidR="00676FE3">
        <w:t xml:space="preserve">IELCE </w:t>
      </w:r>
      <w:r w:rsidR="00152B96">
        <w:t xml:space="preserve">population served varies in their interests, geographic location, and schedule availability. It is challenging to identify enough ESL students interested in the same career cluster </w:t>
      </w:r>
      <w:r w:rsidR="008273BF">
        <w:t>to</w:t>
      </w:r>
      <w:r w:rsidR="00152B96">
        <w:t xml:space="preserve"> create a critical mass that would help to ensure a cost effective and successful program.</w:t>
      </w:r>
      <w:r w:rsidR="007B1826">
        <w:t xml:space="preserve"> </w:t>
      </w:r>
      <w:r w:rsidR="005E6ED5" w:rsidRPr="000B556A">
        <w:t xml:space="preserve">According to census </w:t>
      </w:r>
      <w:r w:rsidR="0004440D" w:rsidRPr="000B556A">
        <w:t>estimates</w:t>
      </w:r>
      <w:r w:rsidR="005E6ED5" w:rsidRPr="000B556A">
        <w:t xml:space="preserve">, </w:t>
      </w:r>
      <w:r w:rsidR="00BF5B0E" w:rsidRPr="000B556A">
        <w:t xml:space="preserve">roughly 10,000 Vermont residents speak English “less than very well”. Providers work with local </w:t>
      </w:r>
      <w:r w:rsidR="00D45A91" w:rsidRPr="000B556A">
        <w:t>organizations that serve refugees</w:t>
      </w:r>
      <w:r w:rsidR="002921E9" w:rsidRPr="000B556A">
        <w:t xml:space="preserve">, the Migrant Education Program, </w:t>
      </w:r>
      <w:r w:rsidR="000D05DD">
        <w:t>the U.S. Committee for Refugees and Immigrants</w:t>
      </w:r>
      <w:r w:rsidR="003D7C67">
        <w:t xml:space="preserve"> (USCRI) Vermont</w:t>
      </w:r>
      <w:r w:rsidR="00910A3C" w:rsidRPr="000B556A">
        <w:t>,</w:t>
      </w:r>
      <w:r w:rsidR="00A77696">
        <w:t xml:space="preserve"> the </w:t>
      </w:r>
      <w:r w:rsidR="00A77696">
        <w:lastRenderedPageBreak/>
        <w:t xml:space="preserve">State Refugee Office, </w:t>
      </w:r>
      <w:r w:rsidR="00AE2905">
        <w:t>African Americans Living in Vermont,</w:t>
      </w:r>
      <w:r w:rsidR="00910A3C" w:rsidRPr="000B556A">
        <w:t xml:space="preserve"> social service organizations, and </w:t>
      </w:r>
      <w:r w:rsidR="002921E9" w:rsidRPr="000B556A">
        <w:t>employers</w:t>
      </w:r>
      <w:r w:rsidR="00910A3C" w:rsidRPr="000B556A">
        <w:t xml:space="preserve"> to identify those who could benefit from </w:t>
      </w:r>
      <w:r w:rsidR="00B837E4" w:rsidRPr="000B556A">
        <w:t>ESL services and the IELCE program.</w:t>
      </w:r>
      <w:r w:rsidR="00876725" w:rsidRPr="000B556A">
        <w:t xml:space="preserve"> In PY20, 23</w:t>
      </w:r>
      <w:r w:rsidR="007F43EE" w:rsidRPr="000B556A">
        <w:t>4</w:t>
      </w:r>
      <w:r w:rsidR="00876725" w:rsidRPr="000B556A">
        <w:t xml:space="preserve"> students participated in the IELC</w:t>
      </w:r>
      <w:r w:rsidR="004138C5" w:rsidRPr="000B556A">
        <w:t>E</w:t>
      </w:r>
      <w:r w:rsidR="007F43EE" w:rsidRPr="000B556A">
        <w:t xml:space="preserve"> with 237 ESL students served statewide. Serving roughly </w:t>
      </w:r>
      <w:r w:rsidR="00D114A8" w:rsidRPr="000B556A">
        <w:t>2.3% of the population who could benefit from IELCE</w:t>
      </w:r>
      <w:r w:rsidR="00862BB4" w:rsidRPr="000B556A">
        <w:t xml:space="preserve">, Vermont providers are </w:t>
      </w:r>
      <w:r w:rsidR="00A7010B" w:rsidRPr="000B556A">
        <w:t>increasing outreach at a time when more refugees are resettling in the state.</w:t>
      </w:r>
    </w:p>
    <w:p w14:paraId="6ECB07D4" w14:textId="20142E2B" w:rsidR="00C469F3" w:rsidRDefault="00C469F3" w:rsidP="00532C9C">
      <w:r>
        <w:t>T</w:t>
      </w:r>
      <w:r w:rsidR="006D0BC9">
        <w:t>able</w:t>
      </w:r>
      <w:r w:rsidR="00187206">
        <w:t xml:space="preserve"> 9 demonstrates </w:t>
      </w:r>
      <w:r w:rsidR="00C84316">
        <w:t>that 21</w:t>
      </w:r>
      <w:r w:rsidR="0001087A">
        <w:t>.5</w:t>
      </w:r>
      <w:r w:rsidR="00C84316">
        <w:t xml:space="preserve">% of IELCE students served in Vermont were employed second quarter after exit and </w:t>
      </w:r>
      <w:r w:rsidR="0001087A">
        <w:t>19.</w:t>
      </w:r>
      <w:r w:rsidR="007F63B1">
        <w:t xml:space="preserve">35% were employed fourth quarter after exit. Compared to the overall AEL population </w:t>
      </w:r>
      <w:r w:rsidR="004422F1">
        <w:t>(</w:t>
      </w:r>
      <w:r w:rsidR="009F6516">
        <w:t xml:space="preserve">38.81% and </w:t>
      </w:r>
      <w:r w:rsidR="00D0259A">
        <w:t>37.</w:t>
      </w:r>
      <w:r w:rsidR="002B4727">
        <w:t xml:space="preserve">3% respectively), </w:t>
      </w:r>
      <w:r w:rsidR="00A0144B">
        <w:t>these rates are low.</w:t>
      </w:r>
      <w:r w:rsidR="00240E32">
        <w:t xml:space="preserve"> </w:t>
      </w:r>
      <w:r w:rsidR="00D81A68">
        <w:t xml:space="preserve">One possible explanation is that some IELCE students do not have social security numbers that can be included in the data share with the Department of Labor. For those students, we have </w:t>
      </w:r>
      <w:r w:rsidR="00C94554">
        <w:t xml:space="preserve">implemented a new follow-up survey process, which should demonstrate better results </w:t>
      </w:r>
      <w:r w:rsidR="006424B0">
        <w:t xml:space="preserve">for subsequent program years. Regardless, we are surprised and pleased to see that the median </w:t>
      </w:r>
      <w:r w:rsidR="009F03E6">
        <w:t xml:space="preserve">earnings for second quarter after exit </w:t>
      </w:r>
      <w:r w:rsidR="00802221">
        <w:t>is</w:t>
      </w:r>
      <w:r w:rsidR="009F03E6">
        <w:t xml:space="preserve"> $8,486.87 for IELCE students as compared to </w:t>
      </w:r>
      <w:r w:rsidR="00CC73A7">
        <w:t>$3,896</w:t>
      </w:r>
      <w:r w:rsidR="00817E3B">
        <w:t xml:space="preserve">.84 for the overall AEL population. </w:t>
      </w:r>
      <w:r w:rsidR="00A36A7F">
        <w:t xml:space="preserve">Possibly, it is due to </w:t>
      </w:r>
      <w:r w:rsidR="007F18BE">
        <w:t xml:space="preserve">a </w:t>
      </w:r>
      <w:r w:rsidR="00A36A7F">
        <w:t xml:space="preserve">number of IELCE students entering our program who </w:t>
      </w:r>
      <w:r w:rsidR="000D33C9">
        <w:t xml:space="preserve">already </w:t>
      </w:r>
      <w:r w:rsidR="00A36A7F">
        <w:t>have higher degrees</w:t>
      </w:r>
      <w:r w:rsidR="005545BC">
        <w:t xml:space="preserve">. New Americans </w:t>
      </w:r>
      <w:r w:rsidR="00566EDF">
        <w:t xml:space="preserve">entering </w:t>
      </w:r>
      <w:r w:rsidR="00D85899">
        <w:t>Title II</w:t>
      </w:r>
      <w:r w:rsidR="00566EDF">
        <w:t xml:space="preserve">-funded services </w:t>
      </w:r>
      <w:r w:rsidR="00D85899">
        <w:t>in Vermont</w:t>
      </w:r>
      <w:r w:rsidR="00566EDF">
        <w:t xml:space="preserve"> have a wide range of English skills and educational backgrounds, </w:t>
      </w:r>
      <w:r w:rsidR="00C02BDA">
        <w:t xml:space="preserve">yet the vast majority depend on English language instruction </w:t>
      </w:r>
      <w:r w:rsidR="009B0CD0">
        <w:t>to help them achieve academic, citizenship, and career goals.</w:t>
      </w:r>
    </w:p>
    <w:p w14:paraId="3B126817" w14:textId="57C7F087" w:rsidR="00F13BB9" w:rsidRDefault="00F13BB9" w:rsidP="00F13BB9">
      <w:r>
        <w:t xml:space="preserve">IELCE providers use Ventures and Interchange curricula for ESL students, which are aligned to </w:t>
      </w:r>
      <w:r w:rsidR="00DF0C2F">
        <w:t>Federally approved</w:t>
      </w:r>
      <w:r>
        <w:t xml:space="preserve"> assessments used in Vermont. To provide civics education and citizenship preparation, students are introduced to various community and local services, including the public library system, banks, post office, local theater, community events, town clerk’s offices to register to vote, and visits to the Vermont State House. As these services have been harder to provide during the pandemic, virtual visits have taken place. Students are assisted in navigating health care, financial and education systems for themselves and their children. Financial literacy instruction is provided to all students, introductions to postsecondary institutions are made through actual or virtual tours and assistance with applications, resumes, mock </w:t>
      </w:r>
      <w:r w:rsidR="00DF0C2F">
        <w:t>interviews,</w:t>
      </w:r>
      <w:r>
        <w:t xml:space="preserve"> and other workforce preparation activities are provided – all contextualized as much as possible according to each student’s personalized learning plan</w:t>
      </w:r>
      <w:r w:rsidR="004C1EFC">
        <w:t xml:space="preserve"> and interests. </w:t>
      </w:r>
      <w:r>
        <w:t>For individuals preparing to become U.S. citizens, materials provided by United States Citizen and Immigration Services are integrated with ESL instruction to prepare for the exam process.</w:t>
      </w:r>
    </w:p>
    <w:p w14:paraId="01DEFAFD" w14:textId="27F67781" w:rsidR="007D1926" w:rsidRDefault="00AF7D5F" w:rsidP="00532C9C">
      <w:r>
        <w:t xml:space="preserve">Though an IET program was available to all IELCE students of Provider 1, </w:t>
      </w:r>
      <w:r w:rsidR="00C62289">
        <w:t xml:space="preserve">only </w:t>
      </w:r>
      <w:r>
        <w:t>t</w:t>
      </w:r>
      <w:r w:rsidR="00CC5784">
        <w:t xml:space="preserve">wo IELCE students participated </w:t>
      </w:r>
      <w:r>
        <w:t>in the IET</w:t>
      </w:r>
      <w:r w:rsidR="0036651E">
        <w:t xml:space="preserve"> called</w:t>
      </w:r>
      <w:r w:rsidR="00DB090C">
        <w:t xml:space="preserve"> </w:t>
      </w:r>
      <w:r w:rsidR="0036651E">
        <w:t>“</w:t>
      </w:r>
      <w:r w:rsidR="00DB090C">
        <w:t>Community Kitchen Academy</w:t>
      </w:r>
      <w:r w:rsidR="0036651E">
        <w:t>”</w:t>
      </w:r>
      <w:r w:rsidR="00DB090C">
        <w:t>, a culinary arts program.</w:t>
      </w:r>
      <w:r w:rsidR="00652502">
        <w:t xml:space="preserve"> The IET was geared toward</w:t>
      </w:r>
      <w:r w:rsidR="00CC5784">
        <w:t xml:space="preserve"> </w:t>
      </w:r>
      <w:r w:rsidR="00B63A5A">
        <w:t xml:space="preserve">providing employment opportunities in cafeterias, restaurants, home food businesses, </w:t>
      </w:r>
      <w:r w:rsidR="003252C1">
        <w:t>catering kitchens, and food trucks. ServSafe</w:t>
      </w:r>
      <w:r w:rsidR="007D1926">
        <w:t xml:space="preserve"> </w:t>
      </w:r>
      <w:r w:rsidR="001553A5">
        <w:t xml:space="preserve">Food </w:t>
      </w:r>
      <w:r w:rsidR="007D1926">
        <w:t>Manager Certificates were obtained by both participants.</w:t>
      </w:r>
    </w:p>
    <w:p w14:paraId="2B999EA1" w14:textId="6CF677B8" w:rsidR="007D1926" w:rsidRDefault="007D1926" w:rsidP="00532C9C">
      <w:r>
        <w:t>The largest recipient of IELCE funds did not implement an IET in</w:t>
      </w:r>
      <w:r w:rsidR="00E8638A">
        <w:t xml:space="preserve"> PY20</w:t>
      </w:r>
      <w:r w:rsidR="00B031CD">
        <w:t xml:space="preserve">, stating that the hands-on nature of IET programs was not possible to implement </w:t>
      </w:r>
      <w:r w:rsidR="00854024">
        <w:t>due to the pandemic</w:t>
      </w:r>
      <w:r w:rsidR="00E8638A">
        <w:t>. The</w:t>
      </w:r>
      <w:r w:rsidR="00B031CD">
        <w:t xml:space="preserve">y did, however, use the time for planning and resource accumulation. They secured a two-year, $300,000 grant from the Vermont Low Income Trust for Energy (VLITE) to design, implement and evaluate an IET program preparing individuals for entry level jobs in solar panel installation, heat pump installation and/or weatherization. </w:t>
      </w:r>
      <w:r w:rsidR="00854024">
        <w:t>Title</w:t>
      </w:r>
      <w:r w:rsidR="00C54DEC">
        <w:t>d</w:t>
      </w:r>
      <w:r w:rsidR="00854024">
        <w:t xml:space="preserve"> “</w:t>
      </w:r>
      <w:r w:rsidR="00B031CD">
        <w:t>Energy Works</w:t>
      </w:r>
      <w:r w:rsidR="00854024">
        <w:t>”</w:t>
      </w:r>
      <w:r w:rsidR="00C54DEC">
        <w:t>,</w:t>
      </w:r>
      <w:r w:rsidR="00B031CD">
        <w:t xml:space="preserve"> </w:t>
      </w:r>
      <w:r w:rsidR="00854024">
        <w:t xml:space="preserve">the IET </w:t>
      </w:r>
      <w:r w:rsidR="00B031CD">
        <w:t xml:space="preserve">will launch in </w:t>
      </w:r>
      <w:r w:rsidR="00F672F7">
        <w:t xml:space="preserve">Rutland County in </w:t>
      </w:r>
      <w:r w:rsidR="00854024">
        <w:t xml:space="preserve">PY21 </w:t>
      </w:r>
      <w:r w:rsidR="00C54DEC">
        <w:t>with plans</w:t>
      </w:r>
      <w:r w:rsidR="00F672F7">
        <w:t xml:space="preserve"> </w:t>
      </w:r>
      <w:r w:rsidR="00B031CD">
        <w:t>to replicate it in Franklin/Grand Isle Counties.</w:t>
      </w:r>
    </w:p>
    <w:p w14:paraId="27BEA802" w14:textId="25B8839E" w:rsidR="0086141D" w:rsidRDefault="00A14D9D" w:rsidP="00A73AAE">
      <w:r>
        <w:lastRenderedPageBreak/>
        <w:t xml:space="preserve">The </w:t>
      </w:r>
      <w:r w:rsidR="0036651E">
        <w:t>low incidence</w:t>
      </w:r>
      <w:r>
        <w:t xml:space="preserve"> of IET program availability for </w:t>
      </w:r>
      <w:r w:rsidR="0036651E">
        <w:t>IELCE students is of significant concern to the AOE.</w:t>
      </w:r>
      <w:r w:rsidR="00456C2E">
        <w:t xml:space="preserve"> </w:t>
      </w:r>
      <w:r w:rsidR="00A73AAE">
        <w:t xml:space="preserve">We are not making progress </w:t>
      </w:r>
      <w:r w:rsidR="00102A5D">
        <w:t xml:space="preserve">as expected and </w:t>
      </w:r>
      <w:r w:rsidR="00D55A49">
        <w:t>providers</w:t>
      </w:r>
      <w:r w:rsidR="00A73AAE">
        <w:t xml:space="preserve"> need more focused technical assistance and direct support in planning both IELCE and IET activities. </w:t>
      </w:r>
      <w:r w:rsidR="00B613C2">
        <w:t xml:space="preserve">A focus of PY21 is to increase capacity at the state level to </w:t>
      </w:r>
      <w:r w:rsidR="006D6C1C">
        <w:t xml:space="preserve">implement increased technical assistance and oversight </w:t>
      </w:r>
      <w:r w:rsidR="00651911">
        <w:t>of</w:t>
      </w:r>
      <w:r w:rsidR="006D6C1C">
        <w:t xml:space="preserve"> </w:t>
      </w:r>
      <w:r w:rsidR="00301604">
        <w:t>these programs by restructuring current positions</w:t>
      </w:r>
      <w:r w:rsidR="006D6C1C">
        <w:t xml:space="preserve"> on the AEL team</w:t>
      </w:r>
      <w:r w:rsidR="00301604">
        <w:t>.</w:t>
      </w:r>
      <w:r w:rsidR="00286A6A">
        <w:t xml:space="preserve"> This new pos</w:t>
      </w:r>
      <w:r w:rsidR="006074D8">
        <w:t xml:space="preserve">ition would help IELCE providers develop new partnerships </w:t>
      </w:r>
      <w:r w:rsidR="00BC02AB">
        <w:t>(i.e., Migrant Justice</w:t>
      </w:r>
      <w:r w:rsidR="00D03BEB">
        <w:t xml:space="preserve">) </w:t>
      </w:r>
      <w:r w:rsidR="00BC02AB">
        <w:t xml:space="preserve">and </w:t>
      </w:r>
      <w:r w:rsidR="00D53B98">
        <w:t xml:space="preserve">high-quality </w:t>
      </w:r>
      <w:r w:rsidR="00BC02AB">
        <w:t>transition services.</w:t>
      </w:r>
    </w:p>
    <w:p w14:paraId="49B48EA0" w14:textId="72719014" w:rsidR="00A43D35" w:rsidRPr="00A43D35" w:rsidRDefault="00A43D35" w:rsidP="00A43D35">
      <w:r w:rsidRPr="00D53B98">
        <w:t xml:space="preserve">AEL providers participate in regional workforce groups including </w:t>
      </w:r>
      <w:r w:rsidR="00655B9E" w:rsidRPr="00D53B98">
        <w:t>V</w:t>
      </w:r>
      <w:r w:rsidR="0097081E">
        <w:t>R</w:t>
      </w:r>
      <w:r w:rsidR="00655B9E" w:rsidRPr="00D53B98">
        <w:t xml:space="preserve">’s Creative Workforce Solutions, which match employers with </w:t>
      </w:r>
      <w:r w:rsidR="007011D8" w:rsidRPr="00D53B98">
        <w:t>job seekers who have disabilities.</w:t>
      </w:r>
      <w:r w:rsidR="00487FA1" w:rsidRPr="00D53B98">
        <w:t xml:space="preserve"> Some regions convene “workforce development boards” that are independently striving to </w:t>
      </w:r>
      <w:r w:rsidR="0007240C" w:rsidRPr="00D53B98">
        <w:t xml:space="preserve">mitigate workforce shortages by increasing access to training and </w:t>
      </w:r>
      <w:r w:rsidR="00CF3ECC" w:rsidRPr="00D53B98">
        <w:t>meeting employer needs. These groups are not overseen by a state entity and vary in the</w:t>
      </w:r>
      <w:r w:rsidR="003B40D6" w:rsidRPr="00D53B98">
        <w:t xml:space="preserve">ir degree of engagement and efficacy. Providers communicate with local employers to recruit students </w:t>
      </w:r>
      <w:r w:rsidR="00D55A49" w:rsidRPr="00D53B98">
        <w:t>and</w:t>
      </w:r>
      <w:r w:rsidR="003B40D6" w:rsidRPr="00D53B98">
        <w:t xml:space="preserve"> to </w:t>
      </w:r>
      <w:r w:rsidR="00D02AD1" w:rsidRPr="00D53B98">
        <w:t>match</w:t>
      </w:r>
      <w:r w:rsidR="003B40D6" w:rsidRPr="00D53B98">
        <w:t xml:space="preserve"> employers</w:t>
      </w:r>
      <w:r w:rsidR="00D02AD1" w:rsidRPr="00D53B98">
        <w:t>’ workforce</w:t>
      </w:r>
      <w:r w:rsidR="003B40D6" w:rsidRPr="00D53B98">
        <w:t xml:space="preserve"> needs </w:t>
      </w:r>
      <w:r w:rsidR="00221F9D" w:rsidRPr="00D53B98">
        <w:t xml:space="preserve">with </w:t>
      </w:r>
      <w:r w:rsidR="005B6399" w:rsidRPr="00D53B98">
        <w:t xml:space="preserve">students </w:t>
      </w:r>
      <w:r w:rsidR="00E5688D" w:rsidRPr="00D53B98">
        <w:t xml:space="preserve">who </w:t>
      </w:r>
      <w:r w:rsidR="005B6399" w:rsidRPr="00D53B98">
        <w:t xml:space="preserve">possess or can </w:t>
      </w:r>
      <w:r w:rsidR="00E5688D" w:rsidRPr="00D53B98">
        <w:t>attain t</w:t>
      </w:r>
      <w:r w:rsidR="00ED4DF3" w:rsidRPr="00D53B98">
        <w:t>he</w:t>
      </w:r>
      <w:r w:rsidR="00E5688D" w:rsidRPr="00D53B98">
        <w:t xml:space="preserve"> skills</w:t>
      </w:r>
      <w:r w:rsidR="00ED4DF3" w:rsidRPr="00D53B98">
        <w:t xml:space="preserve"> to fill those needs.</w:t>
      </w:r>
    </w:p>
    <w:p w14:paraId="0AFDDA3E" w14:textId="15200837" w:rsidR="000C072B" w:rsidRDefault="000C072B" w:rsidP="00FF3CC2">
      <w:pPr>
        <w:pStyle w:val="Heading1"/>
      </w:pPr>
      <w:r>
        <w:t>5. Adult Education Standards</w:t>
      </w:r>
    </w:p>
    <w:p w14:paraId="1DF75AA0" w14:textId="077508A1" w:rsidR="00B13A3C" w:rsidRDefault="004C3B69" w:rsidP="00FF3CC2">
      <w:r>
        <w:rPr>
          <w:rStyle w:val="normaltextrun"/>
          <w:color w:val="000000"/>
          <w:shd w:val="clear" w:color="auto" w:fill="FFFFFF"/>
        </w:rPr>
        <w:t>AEL content standards continue to be aligned with Vermont’s K-12 </w:t>
      </w:r>
      <w:hyperlink r:id="rId16" w:tgtFrame="_blank" w:history="1">
        <w:r w:rsidRPr="0022323E">
          <w:rPr>
            <w:rStyle w:val="normaltextrun"/>
            <w:color w:val="0000FF"/>
            <w:u w:val="single"/>
            <w:shd w:val="clear" w:color="auto" w:fill="FFFFFF"/>
          </w:rPr>
          <w:t>Education Quality Standards</w:t>
        </w:r>
      </w:hyperlink>
      <w:r>
        <w:rPr>
          <w:rStyle w:val="normaltextrun"/>
          <w:color w:val="000000"/>
          <w:shd w:val="clear" w:color="auto" w:fill="FFFFFF"/>
        </w:rPr>
        <w:t xml:space="preserve"> (EQS). </w:t>
      </w:r>
      <w:r w:rsidR="00431035">
        <w:rPr>
          <w:rStyle w:val="normaltextrun"/>
          <w:color w:val="000000"/>
          <w:shd w:val="clear" w:color="auto" w:fill="FFFFFF"/>
        </w:rPr>
        <w:t xml:space="preserve">The EQS adopts the Common Core Standards, </w:t>
      </w:r>
      <w:r w:rsidR="00431035">
        <w:t>w</w:t>
      </w:r>
      <w:r w:rsidRPr="00193EB7">
        <w:t>hich incorporates the College and Career Readiness Standards (CCRS).</w:t>
      </w:r>
      <w:r w:rsidR="00FA282A">
        <w:t xml:space="preserve"> At the beginning of the reporting period, Vermont </w:t>
      </w:r>
      <w:r w:rsidR="00D76348">
        <w:t xml:space="preserve">completed </w:t>
      </w:r>
      <w:r w:rsidR="00FA282A">
        <w:t xml:space="preserve">the </w:t>
      </w:r>
      <w:r w:rsidR="00D76348">
        <w:t xml:space="preserve">transition </w:t>
      </w:r>
      <w:r w:rsidR="00FA282A">
        <w:t xml:space="preserve">begun in the prior year </w:t>
      </w:r>
      <w:r w:rsidR="00D76348">
        <w:t>from Equipped for the Future</w:t>
      </w:r>
      <w:r w:rsidR="006F3CFA">
        <w:t xml:space="preserve"> (EFF)</w:t>
      </w:r>
      <w:r w:rsidR="00D76348">
        <w:t xml:space="preserve"> Standards to Vermont’s </w:t>
      </w:r>
      <w:hyperlink r:id="rId17" w:history="1">
        <w:r w:rsidR="00BB620C" w:rsidRPr="00907261">
          <w:rPr>
            <w:rStyle w:val="Hyperlink"/>
            <w:rFonts w:cs="Calibri"/>
          </w:rPr>
          <w:t xml:space="preserve">EQS </w:t>
        </w:r>
        <w:r w:rsidR="00D76348" w:rsidRPr="00907261">
          <w:rPr>
            <w:rStyle w:val="Hyperlink"/>
            <w:rFonts w:cs="Calibri"/>
          </w:rPr>
          <w:t>Transferable Skills</w:t>
        </w:r>
      </w:hyperlink>
      <w:r w:rsidR="00D76348">
        <w:t xml:space="preserve">. </w:t>
      </w:r>
      <w:r w:rsidR="00F707E4">
        <w:t xml:space="preserve">The alignment required </w:t>
      </w:r>
      <w:r w:rsidR="00C24B5C">
        <w:t xml:space="preserve">updates in the database that no longer allow EFF standards. Every hour of instruction tracked in the database must </w:t>
      </w:r>
      <w:r w:rsidR="00491FC3">
        <w:t xml:space="preserve">display the predominant standard </w:t>
      </w:r>
      <w:r w:rsidR="008D6A7D">
        <w:t>addressed</w:t>
      </w:r>
      <w:r w:rsidR="00A366D5">
        <w:t xml:space="preserve"> in the </w:t>
      </w:r>
      <w:r w:rsidR="008C2610">
        <w:t>session</w:t>
      </w:r>
      <w:r w:rsidR="00491FC3">
        <w:t xml:space="preserve"> – whether it is a transferable skill or a CCRS for Adult Education standard.</w:t>
      </w:r>
      <w:r w:rsidR="006F3CFA">
        <w:t xml:space="preserve"> </w:t>
      </w:r>
      <w:r w:rsidR="00C26500">
        <w:t>AEL is now completely aligned with K-12 state standards.</w:t>
      </w:r>
    </w:p>
    <w:p w14:paraId="31F42159" w14:textId="456CF235" w:rsidR="00C26500" w:rsidRDefault="00C26500" w:rsidP="00FF3CC2">
      <w:r>
        <w:t xml:space="preserve">The AOE continues to </w:t>
      </w:r>
      <w:r w:rsidR="00C34FF8">
        <w:t xml:space="preserve">uphold a minimum of NRS 5 skills in reading, writing, and math for all graduates of the state-funded High School Completion Program (HSCP). </w:t>
      </w:r>
      <w:r w:rsidR="00B948AF">
        <w:t xml:space="preserve">Through this program, AEL providers work with local schools to develop personalized learning plans that meet the school’s </w:t>
      </w:r>
      <w:hyperlink r:id="rId18" w:history="1">
        <w:r w:rsidR="00B948AF" w:rsidRPr="00315137">
          <w:rPr>
            <w:rStyle w:val="Hyperlink"/>
            <w:rFonts w:cs="Calibri"/>
          </w:rPr>
          <w:t>Prof</w:t>
        </w:r>
        <w:r w:rsidR="00FA5CDD" w:rsidRPr="00315137">
          <w:rPr>
            <w:rStyle w:val="Hyperlink"/>
            <w:rFonts w:cs="Calibri"/>
          </w:rPr>
          <w:t>iciency Based Graduation Requirements</w:t>
        </w:r>
      </w:hyperlink>
      <w:r w:rsidR="00315137">
        <w:t xml:space="preserve">. </w:t>
      </w:r>
      <w:r w:rsidR="00835C2E">
        <w:t>This is another way that there is alignment with K-12 standards</w:t>
      </w:r>
      <w:r w:rsidR="00233607">
        <w:t xml:space="preserve"> and </w:t>
      </w:r>
      <w:r w:rsidR="009514B7">
        <w:t>Vermont residents are afforded the option of a diploma</w:t>
      </w:r>
      <w:r w:rsidR="008C4560">
        <w:t xml:space="preserve"> from a local high school </w:t>
      </w:r>
      <w:r w:rsidR="005F4680">
        <w:t>as an unenrolled from school student</w:t>
      </w:r>
      <w:r w:rsidR="00233607">
        <w:t xml:space="preserve">. AEL students also have the option of </w:t>
      </w:r>
      <w:r w:rsidR="00DD7F1E">
        <w:t xml:space="preserve">pursuing the </w:t>
      </w:r>
      <w:r w:rsidR="008C4560">
        <w:t>GED</w:t>
      </w:r>
      <w:r w:rsidR="005F4680">
        <w:t xml:space="preserve"> with preparation support from their local AEL provider.</w:t>
      </w:r>
    </w:p>
    <w:p w14:paraId="61469D37" w14:textId="5ACBF8FF" w:rsidR="00622DB4" w:rsidRPr="00FA05B2" w:rsidRDefault="00DD7F1E" w:rsidP="00FA05B2">
      <w:r>
        <w:t xml:space="preserve">In addition, </w:t>
      </w:r>
      <w:r w:rsidR="00DF6E85">
        <w:t>t</w:t>
      </w:r>
      <w:r w:rsidR="00C167D1">
        <w:t xml:space="preserve">he distance education policy, updated for PY21, </w:t>
      </w:r>
      <w:r w:rsidR="00794741">
        <w:t xml:space="preserve">is expanding to allow </w:t>
      </w:r>
      <w:r w:rsidR="00E533FA">
        <w:t xml:space="preserve">only </w:t>
      </w:r>
      <w:r w:rsidR="00794741">
        <w:t xml:space="preserve">platforms and </w:t>
      </w:r>
      <w:r w:rsidR="00E533FA">
        <w:t xml:space="preserve">course </w:t>
      </w:r>
      <w:r w:rsidR="00794741">
        <w:t>content that are aligned with CCRS and/or the Common Core.</w:t>
      </w:r>
      <w:r w:rsidR="00FD0156">
        <w:t xml:space="preserve"> Platforms permitted for PY20 included GED Academy, Burlington English, VTVLC</w:t>
      </w:r>
      <w:r w:rsidR="00776FE1">
        <w:t xml:space="preserve">, and high school online courses. </w:t>
      </w:r>
    </w:p>
    <w:p w14:paraId="21D62E0F" w14:textId="29EEAE68" w:rsidR="00F867CC" w:rsidRDefault="00F867CC" w:rsidP="00F867CC">
      <w:pPr>
        <w:pStyle w:val="Heading1"/>
      </w:pPr>
      <w:r>
        <w:t>6. Programs for Corrections Education</w:t>
      </w:r>
      <w:r w:rsidR="0013250A">
        <w:t>/</w:t>
      </w:r>
      <w:r>
        <w:t xml:space="preserve">Education of Other Institutionalized Individuals </w:t>
      </w:r>
    </w:p>
    <w:p w14:paraId="351E0ED0" w14:textId="3DA75DE6" w:rsidR="00332092" w:rsidRPr="00332092" w:rsidRDefault="00B61F93" w:rsidP="00BF0A79">
      <w:r w:rsidRPr="00F85EC3">
        <w:rPr>
          <w:color w:val="000000"/>
        </w:rPr>
        <w:t xml:space="preserve">Per </w:t>
      </w:r>
      <w:r w:rsidR="00A64CCC">
        <w:rPr>
          <w:color w:val="000000"/>
        </w:rPr>
        <w:t xml:space="preserve">Vermont’s </w:t>
      </w:r>
      <w:r w:rsidRPr="00F85EC3">
        <w:rPr>
          <w:color w:val="000000"/>
        </w:rPr>
        <w:t xml:space="preserve">WIOA </w:t>
      </w:r>
      <w:r w:rsidR="00A64CCC">
        <w:rPr>
          <w:color w:val="000000"/>
        </w:rPr>
        <w:t xml:space="preserve">Combined </w:t>
      </w:r>
      <w:r w:rsidRPr="00F85EC3">
        <w:rPr>
          <w:color w:val="000000"/>
        </w:rPr>
        <w:t xml:space="preserve">State Plan, Title II funds are not used to </w:t>
      </w:r>
      <w:r>
        <w:rPr>
          <w:color w:val="000000"/>
        </w:rPr>
        <w:t>fund</w:t>
      </w:r>
      <w:r w:rsidRPr="00F85EC3">
        <w:rPr>
          <w:color w:val="000000"/>
        </w:rPr>
        <w:t xml:space="preserve"> corrections education</w:t>
      </w:r>
      <w:r>
        <w:rPr>
          <w:color w:val="000000"/>
        </w:rPr>
        <w:t xml:space="preserve"> for incarcerated individuals. However, AEL services are provided to adults upon re-entry.</w:t>
      </w:r>
    </w:p>
    <w:sectPr w:rsidR="00332092" w:rsidRPr="00332092" w:rsidSect="00B66234">
      <w:footerReference w:type="default" r:id="rId19"/>
      <w:headerReference w:type="first" r:id="rId20"/>
      <w:footerReference w:type="first" r:id="rId21"/>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D4305" w14:textId="77777777" w:rsidR="00DE776A" w:rsidRDefault="00DE776A" w:rsidP="004062C7">
      <w:r>
        <w:separator/>
      </w:r>
    </w:p>
  </w:endnote>
  <w:endnote w:type="continuationSeparator" w:id="0">
    <w:p w14:paraId="4B03BD98" w14:textId="77777777" w:rsidR="00DE776A" w:rsidRDefault="00DE776A" w:rsidP="004062C7">
      <w:r>
        <w:continuationSeparator/>
      </w:r>
    </w:p>
  </w:endnote>
  <w:endnote w:type="continuationNotice" w:id="1">
    <w:p w14:paraId="6D088B7D" w14:textId="77777777" w:rsidR="00DE776A" w:rsidRDefault="00DE776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6"/>
      <w:gridCol w:w="1583"/>
      <w:gridCol w:w="3651"/>
    </w:tblGrid>
    <w:tr w:rsidR="00796D5F" w14:paraId="0114C2F4" w14:textId="77777777" w:rsidTr="00774ECD">
      <w:trPr>
        <w:cantSplit/>
        <w:trHeight w:val="633"/>
        <w:tblHeader/>
      </w:trPr>
      <w:tc>
        <w:tcPr>
          <w:tcW w:w="4248" w:type="dxa"/>
        </w:tcPr>
        <w:p w14:paraId="2A85F7E8" w14:textId="3370CF4D" w:rsidR="00796D5F" w:rsidRPr="00937FFC" w:rsidRDefault="00B04DD1" w:rsidP="004460D4">
          <w:pPr>
            <w:pStyle w:val="Footer"/>
          </w:pPr>
          <w:r>
            <w:t>AEL Federal Narrative</w:t>
          </w:r>
          <w:r w:rsidR="00617D55">
            <w:t xml:space="preserve"> Report</w:t>
          </w:r>
          <w:r>
            <w:t xml:space="preserve"> </w:t>
          </w:r>
          <w:r w:rsidR="00BB2B45">
            <w:t>PY20</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D55A49">
            <w:rPr>
              <w:noProof/>
            </w:rPr>
            <w:t>December 30, 2021</w:t>
          </w:r>
          <w:r w:rsidR="00796D5F">
            <w:fldChar w:fldCharType="end"/>
          </w:r>
          <w:r w:rsidR="00796D5F"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7998" w14:textId="77777777" w:rsidR="00B66234" w:rsidRDefault="00B66234" w:rsidP="00B66234">
    <w:pPr>
      <w:pStyle w:val="Heading1"/>
    </w:pPr>
    <w:r>
      <w:t>Contact Information:</w:t>
    </w:r>
    <w:r w:rsidR="001D11ED">
      <w:t xml:space="preserve"> </w:t>
    </w:r>
  </w:p>
  <w:p w14:paraId="03A48068" w14:textId="39E4884C" w:rsidR="00B66234" w:rsidRDefault="00B66234" w:rsidP="00B66234">
    <w:r>
      <w:t xml:space="preserve">If you have questions about this document or would like additional </w:t>
    </w:r>
    <w:r w:rsidR="00D55A49">
      <w:t>information,</w:t>
    </w:r>
    <w:r>
      <w:t xml:space="preserve"> please contact:</w:t>
    </w:r>
  </w:p>
  <w:p w14:paraId="58DED47F" w14:textId="6B6E1CA5" w:rsidR="00B66234" w:rsidRPr="00B66234" w:rsidRDefault="00B6266E" w:rsidP="00B66234">
    <w:r>
      <w:t>Robin Castle</w:t>
    </w:r>
    <w:r w:rsidR="00B66234">
      <w:t xml:space="preserve">, </w:t>
    </w:r>
    <w:r>
      <w:t>Student Pathways Division</w:t>
    </w:r>
    <w:r w:rsidR="00B66234">
      <w:t xml:space="preserve">, at </w:t>
    </w:r>
    <w:r w:rsidR="00EE51C8">
      <w:t>Robin.Castle@Vermont.gov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F08CA" w14:textId="77777777" w:rsidR="00DE776A" w:rsidRDefault="00DE776A" w:rsidP="004062C7">
      <w:r>
        <w:separator/>
      </w:r>
    </w:p>
  </w:footnote>
  <w:footnote w:type="continuationSeparator" w:id="0">
    <w:p w14:paraId="163144CC" w14:textId="77777777" w:rsidR="00DE776A" w:rsidRDefault="00DE776A" w:rsidP="004062C7">
      <w:r>
        <w:continuationSeparator/>
      </w:r>
    </w:p>
  </w:footnote>
  <w:footnote w:type="continuationNotice" w:id="1">
    <w:p w14:paraId="702C47F1" w14:textId="77777777" w:rsidR="00DE776A" w:rsidRDefault="00DE776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834865">
      <w:tc>
        <w:tcPr>
          <w:tcW w:w="4320" w:type="dxa"/>
        </w:tcPr>
        <w:p w14:paraId="711CE569"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0"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0"/>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A26E9"/>
    <w:multiLevelType w:val="hybridMultilevel"/>
    <w:tmpl w:val="CB5A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E2944"/>
    <w:multiLevelType w:val="hybridMultilevel"/>
    <w:tmpl w:val="A5A4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A7A31"/>
    <w:multiLevelType w:val="hybridMultilevel"/>
    <w:tmpl w:val="36E8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B5836"/>
    <w:multiLevelType w:val="hybridMultilevel"/>
    <w:tmpl w:val="ABC6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E7689"/>
    <w:multiLevelType w:val="hybridMultilevel"/>
    <w:tmpl w:val="5C20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73EC"/>
    <w:multiLevelType w:val="hybridMultilevel"/>
    <w:tmpl w:val="D7B2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50428"/>
    <w:multiLevelType w:val="hybridMultilevel"/>
    <w:tmpl w:val="5E5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33A3A"/>
    <w:multiLevelType w:val="hybridMultilevel"/>
    <w:tmpl w:val="0726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8610C"/>
    <w:multiLevelType w:val="hybridMultilevel"/>
    <w:tmpl w:val="CDD6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F5433"/>
    <w:multiLevelType w:val="hybridMultilevel"/>
    <w:tmpl w:val="ED9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819EE"/>
    <w:multiLevelType w:val="hybridMultilevel"/>
    <w:tmpl w:val="F35C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37C73"/>
    <w:multiLevelType w:val="hybridMultilevel"/>
    <w:tmpl w:val="2D52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00FA1"/>
    <w:multiLevelType w:val="hybridMultilevel"/>
    <w:tmpl w:val="81AA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21B27"/>
    <w:multiLevelType w:val="hybridMultilevel"/>
    <w:tmpl w:val="AE88385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10"/>
  </w:num>
  <w:num w:numId="6">
    <w:abstractNumId w:val="12"/>
  </w:num>
  <w:num w:numId="7">
    <w:abstractNumId w:val="15"/>
  </w:num>
  <w:num w:numId="8">
    <w:abstractNumId w:val="2"/>
  </w:num>
  <w:num w:numId="9">
    <w:abstractNumId w:val="6"/>
  </w:num>
  <w:num w:numId="10">
    <w:abstractNumId w:val="3"/>
  </w:num>
  <w:num w:numId="11">
    <w:abstractNumId w:val="8"/>
  </w:num>
  <w:num w:numId="12">
    <w:abstractNumId w:val="5"/>
  </w:num>
  <w:num w:numId="13">
    <w:abstractNumId w:val="11"/>
  </w:num>
  <w:num w:numId="14">
    <w:abstractNumId w:val="14"/>
  </w:num>
  <w:num w:numId="15">
    <w:abstractNumId w:val="7"/>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35C8"/>
    <w:rsid w:val="00005B5D"/>
    <w:rsid w:val="00005CBF"/>
    <w:rsid w:val="00005DC2"/>
    <w:rsid w:val="0001087A"/>
    <w:rsid w:val="00011117"/>
    <w:rsid w:val="00011E0F"/>
    <w:rsid w:val="00014ECB"/>
    <w:rsid w:val="00015925"/>
    <w:rsid w:val="00017B6F"/>
    <w:rsid w:val="00017FFC"/>
    <w:rsid w:val="000205C7"/>
    <w:rsid w:val="00021DE3"/>
    <w:rsid w:val="00022DE6"/>
    <w:rsid w:val="00023037"/>
    <w:rsid w:val="000253EA"/>
    <w:rsid w:val="000258A7"/>
    <w:rsid w:val="000269C2"/>
    <w:rsid w:val="000270FE"/>
    <w:rsid w:val="00030823"/>
    <w:rsid w:val="000310B4"/>
    <w:rsid w:val="000321FC"/>
    <w:rsid w:val="00032690"/>
    <w:rsid w:val="0003305B"/>
    <w:rsid w:val="00035BB7"/>
    <w:rsid w:val="000361C7"/>
    <w:rsid w:val="00041725"/>
    <w:rsid w:val="00041797"/>
    <w:rsid w:val="00042FE5"/>
    <w:rsid w:val="0004440D"/>
    <w:rsid w:val="00044E54"/>
    <w:rsid w:val="00044FC8"/>
    <w:rsid w:val="00045BC9"/>
    <w:rsid w:val="000464C6"/>
    <w:rsid w:val="000476B9"/>
    <w:rsid w:val="00050E6D"/>
    <w:rsid w:val="000514C9"/>
    <w:rsid w:val="00051575"/>
    <w:rsid w:val="00051D35"/>
    <w:rsid w:val="00053709"/>
    <w:rsid w:val="00056989"/>
    <w:rsid w:val="000569EC"/>
    <w:rsid w:val="00062DFA"/>
    <w:rsid w:val="000646C4"/>
    <w:rsid w:val="00064FC4"/>
    <w:rsid w:val="0007240C"/>
    <w:rsid w:val="000806B4"/>
    <w:rsid w:val="0008301F"/>
    <w:rsid w:val="0008376C"/>
    <w:rsid w:val="00083F1B"/>
    <w:rsid w:val="000851BF"/>
    <w:rsid w:val="0009371D"/>
    <w:rsid w:val="00096252"/>
    <w:rsid w:val="00096C72"/>
    <w:rsid w:val="000978C9"/>
    <w:rsid w:val="000A2266"/>
    <w:rsid w:val="000A3CD3"/>
    <w:rsid w:val="000A5C11"/>
    <w:rsid w:val="000A66F8"/>
    <w:rsid w:val="000B13DA"/>
    <w:rsid w:val="000B1E02"/>
    <w:rsid w:val="000B3621"/>
    <w:rsid w:val="000B3CEF"/>
    <w:rsid w:val="000B556A"/>
    <w:rsid w:val="000C072B"/>
    <w:rsid w:val="000C12B5"/>
    <w:rsid w:val="000C3575"/>
    <w:rsid w:val="000D05DD"/>
    <w:rsid w:val="000D12DD"/>
    <w:rsid w:val="000D1BE6"/>
    <w:rsid w:val="000D1E5C"/>
    <w:rsid w:val="000D250F"/>
    <w:rsid w:val="000D33C9"/>
    <w:rsid w:val="000D6F5C"/>
    <w:rsid w:val="000D7B18"/>
    <w:rsid w:val="000E063B"/>
    <w:rsid w:val="000E0649"/>
    <w:rsid w:val="000E0D06"/>
    <w:rsid w:val="000E2CAB"/>
    <w:rsid w:val="000E3013"/>
    <w:rsid w:val="000E4162"/>
    <w:rsid w:val="000E5061"/>
    <w:rsid w:val="000E6089"/>
    <w:rsid w:val="000F3A23"/>
    <w:rsid w:val="000F4ABA"/>
    <w:rsid w:val="000F5C97"/>
    <w:rsid w:val="000F7573"/>
    <w:rsid w:val="000F7B7D"/>
    <w:rsid w:val="000F7F54"/>
    <w:rsid w:val="00100E58"/>
    <w:rsid w:val="00102A5D"/>
    <w:rsid w:val="00102EA8"/>
    <w:rsid w:val="00103E65"/>
    <w:rsid w:val="0010475C"/>
    <w:rsid w:val="00104EFB"/>
    <w:rsid w:val="00106747"/>
    <w:rsid w:val="00106EBC"/>
    <w:rsid w:val="001142F2"/>
    <w:rsid w:val="00114BE8"/>
    <w:rsid w:val="00115172"/>
    <w:rsid w:val="001154C2"/>
    <w:rsid w:val="00116BDD"/>
    <w:rsid w:val="001234C1"/>
    <w:rsid w:val="00123C18"/>
    <w:rsid w:val="00124275"/>
    <w:rsid w:val="001242DD"/>
    <w:rsid w:val="001260D8"/>
    <w:rsid w:val="0013250A"/>
    <w:rsid w:val="00132595"/>
    <w:rsid w:val="00133417"/>
    <w:rsid w:val="00133628"/>
    <w:rsid w:val="00134E6F"/>
    <w:rsid w:val="00134F1F"/>
    <w:rsid w:val="00136C51"/>
    <w:rsid w:val="00140AE6"/>
    <w:rsid w:val="00142742"/>
    <w:rsid w:val="00145407"/>
    <w:rsid w:val="00147A67"/>
    <w:rsid w:val="00147E9D"/>
    <w:rsid w:val="00151C40"/>
    <w:rsid w:val="00152B96"/>
    <w:rsid w:val="0015533B"/>
    <w:rsid w:val="001553A5"/>
    <w:rsid w:val="00160473"/>
    <w:rsid w:val="00161760"/>
    <w:rsid w:val="00161F11"/>
    <w:rsid w:val="00162FE8"/>
    <w:rsid w:val="001645D6"/>
    <w:rsid w:val="00164805"/>
    <w:rsid w:val="00164C69"/>
    <w:rsid w:val="00164D9E"/>
    <w:rsid w:val="00166579"/>
    <w:rsid w:val="00167AA0"/>
    <w:rsid w:val="00170C4C"/>
    <w:rsid w:val="0017176D"/>
    <w:rsid w:val="00173FDC"/>
    <w:rsid w:val="0017473C"/>
    <w:rsid w:val="00174B46"/>
    <w:rsid w:val="001755FD"/>
    <w:rsid w:val="00175DFA"/>
    <w:rsid w:val="0017612B"/>
    <w:rsid w:val="00177280"/>
    <w:rsid w:val="00181813"/>
    <w:rsid w:val="0018212D"/>
    <w:rsid w:val="001863AB"/>
    <w:rsid w:val="00186ADB"/>
    <w:rsid w:val="00187206"/>
    <w:rsid w:val="00193EB7"/>
    <w:rsid w:val="001A2D75"/>
    <w:rsid w:val="001A2E9B"/>
    <w:rsid w:val="001A7C20"/>
    <w:rsid w:val="001A7C5D"/>
    <w:rsid w:val="001B1922"/>
    <w:rsid w:val="001B2358"/>
    <w:rsid w:val="001B5C1E"/>
    <w:rsid w:val="001B65ED"/>
    <w:rsid w:val="001C1F88"/>
    <w:rsid w:val="001C25E3"/>
    <w:rsid w:val="001C5A10"/>
    <w:rsid w:val="001D07C0"/>
    <w:rsid w:val="001D11ED"/>
    <w:rsid w:val="001D18DB"/>
    <w:rsid w:val="001D3047"/>
    <w:rsid w:val="001D35CB"/>
    <w:rsid w:val="001D6881"/>
    <w:rsid w:val="001E09F0"/>
    <w:rsid w:val="001E1486"/>
    <w:rsid w:val="001E2202"/>
    <w:rsid w:val="001E3C3B"/>
    <w:rsid w:val="001E444C"/>
    <w:rsid w:val="001E4821"/>
    <w:rsid w:val="001E7319"/>
    <w:rsid w:val="001E7C56"/>
    <w:rsid w:val="001E7FBE"/>
    <w:rsid w:val="001F1F83"/>
    <w:rsid w:val="001F22D0"/>
    <w:rsid w:val="001F3ABC"/>
    <w:rsid w:val="001F4BA5"/>
    <w:rsid w:val="001F7193"/>
    <w:rsid w:val="001F723C"/>
    <w:rsid w:val="00201F4E"/>
    <w:rsid w:val="0020308D"/>
    <w:rsid w:val="00204A8C"/>
    <w:rsid w:val="00206B5D"/>
    <w:rsid w:val="00207A74"/>
    <w:rsid w:val="00210F91"/>
    <w:rsid w:val="002112F8"/>
    <w:rsid w:val="00211675"/>
    <w:rsid w:val="00217F09"/>
    <w:rsid w:val="002214B1"/>
    <w:rsid w:val="00221659"/>
    <w:rsid w:val="00221F9D"/>
    <w:rsid w:val="00222B1E"/>
    <w:rsid w:val="0022323E"/>
    <w:rsid w:val="002237E0"/>
    <w:rsid w:val="00226A59"/>
    <w:rsid w:val="00226E8E"/>
    <w:rsid w:val="00231D57"/>
    <w:rsid w:val="002328A8"/>
    <w:rsid w:val="002328F5"/>
    <w:rsid w:val="00233607"/>
    <w:rsid w:val="002341B0"/>
    <w:rsid w:val="00234DC3"/>
    <w:rsid w:val="00235902"/>
    <w:rsid w:val="00240E32"/>
    <w:rsid w:val="00241CB9"/>
    <w:rsid w:val="00244C6B"/>
    <w:rsid w:val="0024600A"/>
    <w:rsid w:val="00246060"/>
    <w:rsid w:val="0024786D"/>
    <w:rsid w:val="002505CA"/>
    <w:rsid w:val="00250E8E"/>
    <w:rsid w:val="0025154E"/>
    <w:rsid w:val="00252072"/>
    <w:rsid w:val="00256309"/>
    <w:rsid w:val="00260850"/>
    <w:rsid w:val="00261B5E"/>
    <w:rsid w:val="00263429"/>
    <w:rsid w:val="00263EBD"/>
    <w:rsid w:val="00264278"/>
    <w:rsid w:val="002647A7"/>
    <w:rsid w:val="002669DD"/>
    <w:rsid w:val="00271D01"/>
    <w:rsid w:val="0027438C"/>
    <w:rsid w:val="00275540"/>
    <w:rsid w:val="00275FD3"/>
    <w:rsid w:val="002768DB"/>
    <w:rsid w:val="002768E8"/>
    <w:rsid w:val="00277BD5"/>
    <w:rsid w:val="00283825"/>
    <w:rsid w:val="00285434"/>
    <w:rsid w:val="00285FDE"/>
    <w:rsid w:val="0028626E"/>
    <w:rsid w:val="00286A6A"/>
    <w:rsid w:val="002921E9"/>
    <w:rsid w:val="002936D6"/>
    <w:rsid w:val="002951BF"/>
    <w:rsid w:val="002960D7"/>
    <w:rsid w:val="002A0B57"/>
    <w:rsid w:val="002A0C81"/>
    <w:rsid w:val="002A0C9D"/>
    <w:rsid w:val="002A181F"/>
    <w:rsid w:val="002A5AB3"/>
    <w:rsid w:val="002A7742"/>
    <w:rsid w:val="002B3230"/>
    <w:rsid w:val="002B3DF7"/>
    <w:rsid w:val="002B4727"/>
    <w:rsid w:val="002B47B6"/>
    <w:rsid w:val="002B50A6"/>
    <w:rsid w:val="002B5877"/>
    <w:rsid w:val="002C0492"/>
    <w:rsid w:val="002C1E6D"/>
    <w:rsid w:val="002C2419"/>
    <w:rsid w:val="002C2B80"/>
    <w:rsid w:val="002C2D1A"/>
    <w:rsid w:val="002C3428"/>
    <w:rsid w:val="002C3F47"/>
    <w:rsid w:val="002D1F28"/>
    <w:rsid w:val="002D3AA0"/>
    <w:rsid w:val="002D43E2"/>
    <w:rsid w:val="002D461D"/>
    <w:rsid w:val="002D5AF0"/>
    <w:rsid w:val="002D6A73"/>
    <w:rsid w:val="002D7238"/>
    <w:rsid w:val="002D7A41"/>
    <w:rsid w:val="002E0106"/>
    <w:rsid w:val="002E0D40"/>
    <w:rsid w:val="002E215B"/>
    <w:rsid w:val="002E3710"/>
    <w:rsid w:val="002E539D"/>
    <w:rsid w:val="002E6CAE"/>
    <w:rsid w:val="002E6FF3"/>
    <w:rsid w:val="002E7E11"/>
    <w:rsid w:val="002F00E8"/>
    <w:rsid w:val="002F0692"/>
    <w:rsid w:val="002F1359"/>
    <w:rsid w:val="002F22B5"/>
    <w:rsid w:val="002F33CB"/>
    <w:rsid w:val="002F3D95"/>
    <w:rsid w:val="002F6DEF"/>
    <w:rsid w:val="002F78D3"/>
    <w:rsid w:val="002F7E75"/>
    <w:rsid w:val="003000A9"/>
    <w:rsid w:val="00300E82"/>
    <w:rsid w:val="00301604"/>
    <w:rsid w:val="00302C74"/>
    <w:rsid w:val="003039FE"/>
    <w:rsid w:val="0030517E"/>
    <w:rsid w:val="00305B60"/>
    <w:rsid w:val="00314055"/>
    <w:rsid w:val="00315137"/>
    <w:rsid w:val="00316FA0"/>
    <w:rsid w:val="00322A60"/>
    <w:rsid w:val="00323462"/>
    <w:rsid w:val="003252C1"/>
    <w:rsid w:val="00326074"/>
    <w:rsid w:val="003274F5"/>
    <w:rsid w:val="003275FD"/>
    <w:rsid w:val="003303C8"/>
    <w:rsid w:val="0033085B"/>
    <w:rsid w:val="00331854"/>
    <w:rsid w:val="00332092"/>
    <w:rsid w:val="00332368"/>
    <w:rsid w:val="00333BF4"/>
    <w:rsid w:val="00334B97"/>
    <w:rsid w:val="00334D48"/>
    <w:rsid w:val="0033547D"/>
    <w:rsid w:val="00336D40"/>
    <w:rsid w:val="00340C04"/>
    <w:rsid w:val="003426EA"/>
    <w:rsid w:val="00342EF0"/>
    <w:rsid w:val="00344723"/>
    <w:rsid w:val="00345106"/>
    <w:rsid w:val="0034628B"/>
    <w:rsid w:val="003478B4"/>
    <w:rsid w:val="00351CAD"/>
    <w:rsid w:val="003529BA"/>
    <w:rsid w:val="00353A31"/>
    <w:rsid w:val="0035500E"/>
    <w:rsid w:val="00355149"/>
    <w:rsid w:val="003617B9"/>
    <w:rsid w:val="00361C46"/>
    <w:rsid w:val="00365035"/>
    <w:rsid w:val="00365D23"/>
    <w:rsid w:val="00365DE8"/>
    <w:rsid w:val="00365F02"/>
    <w:rsid w:val="0036651E"/>
    <w:rsid w:val="003668CA"/>
    <w:rsid w:val="00367A3B"/>
    <w:rsid w:val="003706B0"/>
    <w:rsid w:val="0037295A"/>
    <w:rsid w:val="003749CE"/>
    <w:rsid w:val="00375392"/>
    <w:rsid w:val="00380311"/>
    <w:rsid w:val="00380A6A"/>
    <w:rsid w:val="003834FF"/>
    <w:rsid w:val="00383879"/>
    <w:rsid w:val="00384810"/>
    <w:rsid w:val="00384FA7"/>
    <w:rsid w:val="0038638B"/>
    <w:rsid w:val="00390B5C"/>
    <w:rsid w:val="00393C9F"/>
    <w:rsid w:val="003977EC"/>
    <w:rsid w:val="003A04C6"/>
    <w:rsid w:val="003A1121"/>
    <w:rsid w:val="003A2698"/>
    <w:rsid w:val="003A4761"/>
    <w:rsid w:val="003A77C3"/>
    <w:rsid w:val="003B0D9C"/>
    <w:rsid w:val="003B1BCA"/>
    <w:rsid w:val="003B3923"/>
    <w:rsid w:val="003B40D6"/>
    <w:rsid w:val="003B5BA5"/>
    <w:rsid w:val="003B717F"/>
    <w:rsid w:val="003B7F81"/>
    <w:rsid w:val="003C01FF"/>
    <w:rsid w:val="003C5014"/>
    <w:rsid w:val="003C6553"/>
    <w:rsid w:val="003D0155"/>
    <w:rsid w:val="003D090F"/>
    <w:rsid w:val="003D213F"/>
    <w:rsid w:val="003D2410"/>
    <w:rsid w:val="003D2D31"/>
    <w:rsid w:val="003D4079"/>
    <w:rsid w:val="003D4B24"/>
    <w:rsid w:val="003D4B89"/>
    <w:rsid w:val="003D5F86"/>
    <w:rsid w:val="003D6DB4"/>
    <w:rsid w:val="003D7AA8"/>
    <w:rsid w:val="003D7C67"/>
    <w:rsid w:val="003E00C5"/>
    <w:rsid w:val="003E113D"/>
    <w:rsid w:val="003E2FA0"/>
    <w:rsid w:val="003E2FFB"/>
    <w:rsid w:val="003E736C"/>
    <w:rsid w:val="003F6EDA"/>
    <w:rsid w:val="003F746A"/>
    <w:rsid w:val="00400007"/>
    <w:rsid w:val="00402440"/>
    <w:rsid w:val="00403C50"/>
    <w:rsid w:val="00404C18"/>
    <w:rsid w:val="004062C7"/>
    <w:rsid w:val="00410700"/>
    <w:rsid w:val="00412C8E"/>
    <w:rsid w:val="004138C5"/>
    <w:rsid w:val="00414BB8"/>
    <w:rsid w:val="00415E75"/>
    <w:rsid w:val="0041726D"/>
    <w:rsid w:val="0041728B"/>
    <w:rsid w:val="0042089F"/>
    <w:rsid w:val="00421EFB"/>
    <w:rsid w:val="004233C8"/>
    <w:rsid w:val="004233FB"/>
    <w:rsid w:val="00427189"/>
    <w:rsid w:val="00427DDD"/>
    <w:rsid w:val="00431035"/>
    <w:rsid w:val="004311A5"/>
    <w:rsid w:val="004343ED"/>
    <w:rsid w:val="00434B60"/>
    <w:rsid w:val="00436E17"/>
    <w:rsid w:val="004422F1"/>
    <w:rsid w:val="00442899"/>
    <w:rsid w:val="00442CF5"/>
    <w:rsid w:val="00444A7A"/>
    <w:rsid w:val="004460D4"/>
    <w:rsid w:val="00447462"/>
    <w:rsid w:val="00455194"/>
    <w:rsid w:val="00456C2E"/>
    <w:rsid w:val="0046030F"/>
    <w:rsid w:val="00462BDF"/>
    <w:rsid w:val="004670EF"/>
    <w:rsid w:val="00470B02"/>
    <w:rsid w:val="004739FF"/>
    <w:rsid w:val="0047537C"/>
    <w:rsid w:val="00475385"/>
    <w:rsid w:val="004800FF"/>
    <w:rsid w:val="00480341"/>
    <w:rsid w:val="004811D7"/>
    <w:rsid w:val="00483C89"/>
    <w:rsid w:val="00484A92"/>
    <w:rsid w:val="00484B02"/>
    <w:rsid w:val="00487FA1"/>
    <w:rsid w:val="00490247"/>
    <w:rsid w:val="00490A7D"/>
    <w:rsid w:val="0049162D"/>
    <w:rsid w:val="004916FF"/>
    <w:rsid w:val="00491F28"/>
    <w:rsid w:val="00491FC3"/>
    <w:rsid w:val="00493EDF"/>
    <w:rsid w:val="00495D6E"/>
    <w:rsid w:val="004A095C"/>
    <w:rsid w:val="004A0DAD"/>
    <w:rsid w:val="004A575A"/>
    <w:rsid w:val="004A7AD0"/>
    <w:rsid w:val="004B23BB"/>
    <w:rsid w:val="004B7F41"/>
    <w:rsid w:val="004C0A0E"/>
    <w:rsid w:val="004C1113"/>
    <w:rsid w:val="004C1EFC"/>
    <w:rsid w:val="004C1F1C"/>
    <w:rsid w:val="004C2098"/>
    <w:rsid w:val="004C3B69"/>
    <w:rsid w:val="004C627F"/>
    <w:rsid w:val="004D1880"/>
    <w:rsid w:val="004D1CA2"/>
    <w:rsid w:val="004D6293"/>
    <w:rsid w:val="004D6D4B"/>
    <w:rsid w:val="004D6DB5"/>
    <w:rsid w:val="004E0D87"/>
    <w:rsid w:val="004E1066"/>
    <w:rsid w:val="004E21FC"/>
    <w:rsid w:val="004E27D1"/>
    <w:rsid w:val="004E308C"/>
    <w:rsid w:val="004E65A6"/>
    <w:rsid w:val="004E6DD3"/>
    <w:rsid w:val="004E75A5"/>
    <w:rsid w:val="004F2B48"/>
    <w:rsid w:val="004F3D8B"/>
    <w:rsid w:val="004F42C2"/>
    <w:rsid w:val="004F751E"/>
    <w:rsid w:val="00500232"/>
    <w:rsid w:val="00501C12"/>
    <w:rsid w:val="00502471"/>
    <w:rsid w:val="005024FC"/>
    <w:rsid w:val="005032F4"/>
    <w:rsid w:val="00503694"/>
    <w:rsid w:val="00504D87"/>
    <w:rsid w:val="00505A69"/>
    <w:rsid w:val="005061DC"/>
    <w:rsid w:val="00513194"/>
    <w:rsid w:val="00515D9B"/>
    <w:rsid w:val="00516E45"/>
    <w:rsid w:val="00517158"/>
    <w:rsid w:val="00517F70"/>
    <w:rsid w:val="00521160"/>
    <w:rsid w:val="00521943"/>
    <w:rsid w:val="00526CC6"/>
    <w:rsid w:val="00527FD5"/>
    <w:rsid w:val="00531740"/>
    <w:rsid w:val="00532C9C"/>
    <w:rsid w:val="0053640B"/>
    <w:rsid w:val="00536AA0"/>
    <w:rsid w:val="0054572C"/>
    <w:rsid w:val="00545899"/>
    <w:rsid w:val="005464E9"/>
    <w:rsid w:val="005514EF"/>
    <w:rsid w:val="005545BC"/>
    <w:rsid w:val="005554D4"/>
    <w:rsid w:val="00555DC6"/>
    <w:rsid w:val="0055602E"/>
    <w:rsid w:val="00556116"/>
    <w:rsid w:val="00560E87"/>
    <w:rsid w:val="0056195D"/>
    <w:rsid w:val="00562601"/>
    <w:rsid w:val="00562C2D"/>
    <w:rsid w:val="00562F31"/>
    <w:rsid w:val="00565134"/>
    <w:rsid w:val="00566B8A"/>
    <w:rsid w:val="00566EDF"/>
    <w:rsid w:val="0056727F"/>
    <w:rsid w:val="0056760D"/>
    <w:rsid w:val="005702AB"/>
    <w:rsid w:val="00575711"/>
    <w:rsid w:val="00575C00"/>
    <w:rsid w:val="00575C83"/>
    <w:rsid w:val="00580679"/>
    <w:rsid w:val="005807AE"/>
    <w:rsid w:val="0058099A"/>
    <w:rsid w:val="00580AF5"/>
    <w:rsid w:val="00583A81"/>
    <w:rsid w:val="0058515E"/>
    <w:rsid w:val="00586A62"/>
    <w:rsid w:val="00590230"/>
    <w:rsid w:val="0059023E"/>
    <w:rsid w:val="005931AC"/>
    <w:rsid w:val="005934FA"/>
    <w:rsid w:val="0059538A"/>
    <w:rsid w:val="00595440"/>
    <w:rsid w:val="00595F2B"/>
    <w:rsid w:val="005A2F07"/>
    <w:rsid w:val="005A3FFD"/>
    <w:rsid w:val="005A5EF2"/>
    <w:rsid w:val="005A7269"/>
    <w:rsid w:val="005A7D2F"/>
    <w:rsid w:val="005B17AF"/>
    <w:rsid w:val="005B241F"/>
    <w:rsid w:val="005B40D8"/>
    <w:rsid w:val="005B5138"/>
    <w:rsid w:val="005B513E"/>
    <w:rsid w:val="005B53FD"/>
    <w:rsid w:val="005B5528"/>
    <w:rsid w:val="005B61CD"/>
    <w:rsid w:val="005B6399"/>
    <w:rsid w:val="005C0165"/>
    <w:rsid w:val="005C0FB7"/>
    <w:rsid w:val="005C2D62"/>
    <w:rsid w:val="005C3ED0"/>
    <w:rsid w:val="005C481C"/>
    <w:rsid w:val="005C4CDD"/>
    <w:rsid w:val="005D1A81"/>
    <w:rsid w:val="005D1E3B"/>
    <w:rsid w:val="005D2114"/>
    <w:rsid w:val="005D2488"/>
    <w:rsid w:val="005D249E"/>
    <w:rsid w:val="005D6AB1"/>
    <w:rsid w:val="005D7389"/>
    <w:rsid w:val="005D7ABB"/>
    <w:rsid w:val="005D7C9D"/>
    <w:rsid w:val="005E15F7"/>
    <w:rsid w:val="005E4F09"/>
    <w:rsid w:val="005E544F"/>
    <w:rsid w:val="005E6644"/>
    <w:rsid w:val="005E6ED5"/>
    <w:rsid w:val="005F029A"/>
    <w:rsid w:val="005F4680"/>
    <w:rsid w:val="005F4738"/>
    <w:rsid w:val="005F4EBA"/>
    <w:rsid w:val="005F591D"/>
    <w:rsid w:val="005F73E0"/>
    <w:rsid w:val="005F7DA5"/>
    <w:rsid w:val="00600880"/>
    <w:rsid w:val="006046B0"/>
    <w:rsid w:val="006055C1"/>
    <w:rsid w:val="006062D9"/>
    <w:rsid w:val="006074D8"/>
    <w:rsid w:val="00610BBA"/>
    <w:rsid w:val="00611180"/>
    <w:rsid w:val="00611C65"/>
    <w:rsid w:val="006136CC"/>
    <w:rsid w:val="00614481"/>
    <w:rsid w:val="00614C49"/>
    <w:rsid w:val="00615500"/>
    <w:rsid w:val="00617D55"/>
    <w:rsid w:val="0062055D"/>
    <w:rsid w:val="00622456"/>
    <w:rsid w:val="00622642"/>
    <w:rsid w:val="00622DB4"/>
    <w:rsid w:val="00626212"/>
    <w:rsid w:val="0063049A"/>
    <w:rsid w:val="00630C68"/>
    <w:rsid w:val="00631BEF"/>
    <w:rsid w:val="00634FD4"/>
    <w:rsid w:val="006352CF"/>
    <w:rsid w:val="006379D3"/>
    <w:rsid w:val="00637A26"/>
    <w:rsid w:val="006407A2"/>
    <w:rsid w:val="00640D91"/>
    <w:rsid w:val="006424B0"/>
    <w:rsid w:val="00642E68"/>
    <w:rsid w:val="006457C2"/>
    <w:rsid w:val="006458B5"/>
    <w:rsid w:val="0064639C"/>
    <w:rsid w:val="00647928"/>
    <w:rsid w:val="00651911"/>
    <w:rsid w:val="00651E8D"/>
    <w:rsid w:val="00652502"/>
    <w:rsid w:val="00655B9E"/>
    <w:rsid w:val="0065656E"/>
    <w:rsid w:val="00656AD8"/>
    <w:rsid w:val="00660FA9"/>
    <w:rsid w:val="00661743"/>
    <w:rsid w:val="006628E2"/>
    <w:rsid w:val="0066462D"/>
    <w:rsid w:val="00664AA9"/>
    <w:rsid w:val="00665036"/>
    <w:rsid w:val="006654F1"/>
    <w:rsid w:val="006657D4"/>
    <w:rsid w:val="006703F6"/>
    <w:rsid w:val="006718C9"/>
    <w:rsid w:val="00676F78"/>
    <w:rsid w:val="00676FE3"/>
    <w:rsid w:val="00677D2A"/>
    <w:rsid w:val="0068120E"/>
    <w:rsid w:val="006864ED"/>
    <w:rsid w:val="00690246"/>
    <w:rsid w:val="006904BF"/>
    <w:rsid w:val="0069467C"/>
    <w:rsid w:val="00695917"/>
    <w:rsid w:val="006A0C44"/>
    <w:rsid w:val="006A2B1C"/>
    <w:rsid w:val="006A2EEA"/>
    <w:rsid w:val="006A411F"/>
    <w:rsid w:val="006A5972"/>
    <w:rsid w:val="006A783B"/>
    <w:rsid w:val="006B0CCB"/>
    <w:rsid w:val="006B0D72"/>
    <w:rsid w:val="006B758D"/>
    <w:rsid w:val="006C0CBA"/>
    <w:rsid w:val="006C29AA"/>
    <w:rsid w:val="006C5C82"/>
    <w:rsid w:val="006C6AAE"/>
    <w:rsid w:val="006D0795"/>
    <w:rsid w:val="006D0BC9"/>
    <w:rsid w:val="006D4D46"/>
    <w:rsid w:val="006D6C1C"/>
    <w:rsid w:val="006D7899"/>
    <w:rsid w:val="006E0AB7"/>
    <w:rsid w:val="006E0F7E"/>
    <w:rsid w:val="006E2387"/>
    <w:rsid w:val="006E265B"/>
    <w:rsid w:val="006E3080"/>
    <w:rsid w:val="006E6897"/>
    <w:rsid w:val="006E730C"/>
    <w:rsid w:val="006F16D0"/>
    <w:rsid w:val="006F3CFA"/>
    <w:rsid w:val="006F5080"/>
    <w:rsid w:val="006F698F"/>
    <w:rsid w:val="006F7DDB"/>
    <w:rsid w:val="007011D8"/>
    <w:rsid w:val="00701B3D"/>
    <w:rsid w:val="00710FE3"/>
    <w:rsid w:val="0071194F"/>
    <w:rsid w:val="00713339"/>
    <w:rsid w:val="0071374E"/>
    <w:rsid w:val="007178CE"/>
    <w:rsid w:val="00721DF9"/>
    <w:rsid w:val="00723F63"/>
    <w:rsid w:val="007328C8"/>
    <w:rsid w:val="00734368"/>
    <w:rsid w:val="00736693"/>
    <w:rsid w:val="007376C5"/>
    <w:rsid w:val="0074232A"/>
    <w:rsid w:val="00746838"/>
    <w:rsid w:val="007505C7"/>
    <w:rsid w:val="007509A7"/>
    <w:rsid w:val="00750DF8"/>
    <w:rsid w:val="007559F2"/>
    <w:rsid w:val="00765C8C"/>
    <w:rsid w:val="00765C93"/>
    <w:rsid w:val="00765FDB"/>
    <w:rsid w:val="0076707D"/>
    <w:rsid w:val="0077034A"/>
    <w:rsid w:val="00773E3E"/>
    <w:rsid w:val="00774ECD"/>
    <w:rsid w:val="0077665E"/>
    <w:rsid w:val="00776E18"/>
    <w:rsid w:val="00776FE1"/>
    <w:rsid w:val="00781CCF"/>
    <w:rsid w:val="00781D4F"/>
    <w:rsid w:val="0078280D"/>
    <w:rsid w:val="007866F0"/>
    <w:rsid w:val="0078742B"/>
    <w:rsid w:val="007914E1"/>
    <w:rsid w:val="00793038"/>
    <w:rsid w:val="00794741"/>
    <w:rsid w:val="007963EC"/>
    <w:rsid w:val="00796D5F"/>
    <w:rsid w:val="007A0A83"/>
    <w:rsid w:val="007A0ACE"/>
    <w:rsid w:val="007A124D"/>
    <w:rsid w:val="007A13DB"/>
    <w:rsid w:val="007A40C8"/>
    <w:rsid w:val="007A4182"/>
    <w:rsid w:val="007B01A7"/>
    <w:rsid w:val="007B1826"/>
    <w:rsid w:val="007B203D"/>
    <w:rsid w:val="007B2F96"/>
    <w:rsid w:val="007B3023"/>
    <w:rsid w:val="007B637F"/>
    <w:rsid w:val="007B7077"/>
    <w:rsid w:val="007C0BE7"/>
    <w:rsid w:val="007C4EC8"/>
    <w:rsid w:val="007C5990"/>
    <w:rsid w:val="007C6114"/>
    <w:rsid w:val="007D0B40"/>
    <w:rsid w:val="007D17B1"/>
    <w:rsid w:val="007D1926"/>
    <w:rsid w:val="007D2F20"/>
    <w:rsid w:val="007D425D"/>
    <w:rsid w:val="007D5E67"/>
    <w:rsid w:val="007D7A07"/>
    <w:rsid w:val="007E07C9"/>
    <w:rsid w:val="007E0C8C"/>
    <w:rsid w:val="007E3BD6"/>
    <w:rsid w:val="007E4293"/>
    <w:rsid w:val="007E61A7"/>
    <w:rsid w:val="007E6289"/>
    <w:rsid w:val="007F18BE"/>
    <w:rsid w:val="007F2680"/>
    <w:rsid w:val="007F26A3"/>
    <w:rsid w:val="007F3AED"/>
    <w:rsid w:val="007F43EE"/>
    <w:rsid w:val="007F5425"/>
    <w:rsid w:val="007F63B1"/>
    <w:rsid w:val="007F7003"/>
    <w:rsid w:val="007F70E3"/>
    <w:rsid w:val="0080057D"/>
    <w:rsid w:val="00800AAC"/>
    <w:rsid w:val="008020B0"/>
    <w:rsid w:val="00802221"/>
    <w:rsid w:val="008026C4"/>
    <w:rsid w:val="00803B4E"/>
    <w:rsid w:val="00803C3C"/>
    <w:rsid w:val="00803DF8"/>
    <w:rsid w:val="00804ED3"/>
    <w:rsid w:val="0080771C"/>
    <w:rsid w:val="00812C71"/>
    <w:rsid w:val="00815A05"/>
    <w:rsid w:val="00817E3B"/>
    <w:rsid w:val="00820FB0"/>
    <w:rsid w:val="0082162E"/>
    <w:rsid w:val="00822FC4"/>
    <w:rsid w:val="008236F9"/>
    <w:rsid w:val="00823F00"/>
    <w:rsid w:val="00824486"/>
    <w:rsid w:val="0082450B"/>
    <w:rsid w:val="00824A96"/>
    <w:rsid w:val="00826203"/>
    <w:rsid w:val="008273BF"/>
    <w:rsid w:val="00830C66"/>
    <w:rsid w:val="00831039"/>
    <w:rsid w:val="00831B8E"/>
    <w:rsid w:val="00831C8E"/>
    <w:rsid w:val="00831D63"/>
    <w:rsid w:val="00834865"/>
    <w:rsid w:val="00835B0C"/>
    <w:rsid w:val="00835C2E"/>
    <w:rsid w:val="00837EFC"/>
    <w:rsid w:val="00841730"/>
    <w:rsid w:val="008418AE"/>
    <w:rsid w:val="00841CBA"/>
    <w:rsid w:val="0084214D"/>
    <w:rsid w:val="0084452B"/>
    <w:rsid w:val="00844CEB"/>
    <w:rsid w:val="00844EB9"/>
    <w:rsid w:val="008533A2"/>
    <w:rsid w:val="00854024"/>
    <w:rsid w:val="00857F38"/>
    <w:rsid w:val="00860B78"/>
    <w:rsid w:val="0086141D"/>
    <w:rsid w:val="008614D8"/>
    <w:rsid w:val="00861C73"/>
    <w:rsid w:val="00862BB4"/>
    <w:rsid w:val="00863E47"/>
    <w:rsid w:val="00863F16"/>
    <w:rsid w:val="00865020"/>
    <w:rsid w:val="0086504B"/>
    <w:rsid w:val="008659D2"/>
    <w:rsid w:val="00865A62"/>
    <w:rsid w:val="00865FBC"/>
    <w:rsid w:val="00866F8E"/>
    <w:rsid w:val="00872284"/>
    <w:rsid w:val="008739D8"/>
    <w:rsid w:val="0087530E"/>
    <w:rsid w:val="00875E9E"/>
    <w:rsid w:val="0087647A"/>
    <w:rsid w:val="00876725"/>
    <w:rsid w:val="00880557"/>
    <w:rsid w:val="00880D2A"/>
    <w:rsid w:val="0088105F"/>
    <w:rsid w:val="0088161D"/>
    <w:rsid w:val="008873AF"/>
    <w:rsid w:val="00890652"/>
    <w:rsid w:val="00892ECC"/>
    <w:rsid w:val="0089369A"/>
    <w:rsid w:val="008977CF"/>
    <w:rsid w:val="008A0832"/>
    <w:rsid w:val="008A3921"/>
    <w:rsid w:val="008A5D40"/>
    <w:rsid w:val="008A716C"/>
    <w:rsid w:val="008B2262"/>
    <w:rsid w:val="008B3812"/>
    <w:rsid w:val="008B744F"/>
    <w:rsid w:val="008C01F9"/>
    <w:rsid w:val="008C05E4"/>
    <w:rsid w:val="008C0AB4"/>
    <w:rsid w:val="008C231C"/>
    <w:rsid w:val="008C2610"/>
    <w:rsid w:val="008C332D"/>
    <w:rsid w:val="008C4560"/>
    <w:rsid w:val="008C5237"/>
    <w:rsid w:val="008D02A9"/>
    <w:rsid w:val="008D23C1"/>
    <w:rsid w:val="008D563A"/>
    <w:rsid w:val="008D5DCB"/>
    <w:rsid w:val="008D6A7D"/>
    <w:rsid w:val="008D75B3"/>
    <w:rsid w:val="008D79F6"/>
    <w:rsid w:val="008E14EF"/>
    <w:rsid w:val="008E6BA5"/>
    <w:rsid w:val="008E78F3"/>
    <w:rsid w:val="008F04D7"/>
    <w:rsid w:val="008F12E4"/>
    <w:rsid w:val="008F232E"/>
    <w:rsid w:val="008F27B0"/>
    <w:rsid w:val="008F6F90"/>
    <w:rsid w:val="009006C1"/>
    <w:rsid w:val="00907261"/>
    <w:rsid w:val="00910A3C"/>
    <w:rsid w:val="00912389"/>
    <w:rsid w:val="00917221"/>
    <w:rsid w:val="009172A2"/>
    <w:rsid w:val="00917DF9"/>
    <w:rsid w:val="009206DC"/>
    <w:rsid w:val="00922394"/>
    <w:rsid w:val="00925D14"/>
    <w:rsid w:val="0092656D"/>
    <w:rsid w:val="00936C55"/>
    <w:rsid w:val="00937F53"/>
    <w:rsid w:val="00937FFC"/>
    <w:rsid w:val="009402A1"/>
    <w:rsid w:val="0094350D"/>
    <w:rsid w:val="00945B5C"/>
    <w:rsid w:val="00946FBA"/>
    <w:rsid w:val="009514B7"/>
    <w:rsid w:val="00953B28"/>
    <w:rsid w:val="009617BE"/>
    <w:rsid w:val="00961A6D"/>
    <w:rsid w:val="00961CDA"/>
    <w:rsid w:val="009647C9"/>
    <w:rsid w:val="00964C73"/>
    <w:rsid w:val="0097081E"/>
    <w:rsid w:val="009716DA"/>
    <w:rsid w:val="00972E48"/>
    <w:rsid w:val="00973B1D"/>
    <w:rsid w:val="00974893"/>
    <w:rsid w:val="009756E6"/>
    <w:rsid w:val="0098104E"/>
    <w:rsid w:val="0098126D"/>
    <w:rsid w:val="0098312C"/>
    <w:rsid w:val="00984874"/>
    <w:rsid w:val="00984EA8"/>
    <w:rsid w:val="00992F1C"/>
    <w:rsid w:val="0099643C"/>
    <w:rsid w:val="00996818"/>
    <w:rsid w:val="009A0DF6"/>
    <w:rsid w:val="009A1B30"/>
    <w:rsid w:val="009A4BD4"/>
    <w:rsid w:val="009A551C"/>
    <w:rsid w:val="009A6291"/>
    <w:rsid w:val="009B00E1"/>
    <w:rsid w:val="009B0CD0"/>
    <w:rsid w:val="009B3293"/>
    <w:rsid w:val="009B3373"/>
    <w:rsid w:val="009B43D3"/>
    <w:rsid w:val="009B651E"/>
    <w:rsid w:val="009B7BD1"/>
    <w:rsid w:val="009C014D"/>
    <w:rsid w:val="009C06EE"/>
    <w:rsid w:val="009C0B01"/>
    <w:rsid w:val="009C0E29"/>
    <w:rsid w:val="009C0E9C"/>
    <w:rsid w:val="009C1324"/>
    <w:rsid w:val="009C3EA3"/>
    <w:rsid w:val="009C410C"/>
    <w:rsid w:val="009D0F43"/>
    <w:rsid w:val="009D24B2"/>
    <w:rsid w:val="009D34F3"/>
    <w:rsid w:val="009D419A"/>
    <w:rsid w:val="009D4528"/>
    <w:rsid w:val="009D7FF7"/>
    <w:rsid w:val="009E20A6"/>
    <w:rsid w:val="009E2C46"/>
    <w:rsid w:val="009E5FFC"/>
    <w:rsid w:val="009E6D83"/>
    <w:rsid w:val="009E7957"/>
    <w:rsid w:val="009F0231"/>
    <w:rsid w:val="009F03E6"/>
    <w:rsid w:val="009F1637"/>
    <w:rsid w:val="009F3697"/>
    <w:rsid w:val="009F3BA4"/>
    <w:rsid w:val="009F42A9"/>
    <w:rsid w:val="009F4E04"/>
    <w:rsid w:val="009F64D5"/>
    <w:rsid w:val="009F6516"/>
    <w:rsid w:val="009F689E"/>
    <w:rsid w:val="00A00439"/>
    <w:rsid w:val="00A0144B"/>
    <w:rsid w:val="00A01CE9"/>
    <w:rsid w:val="00A042FD"/>
    <w:rsid w:val="00A06F5D"/>
    <w:rsid w:val="00A07DAF"/>
    <w:rsid w:val="00A1111B"/>
    <w:rsid w:val="00A13B26"/>
    <w:rsid w:val="00A14D9D"/>
    <w:rsid w:val="00A1507F"/>
    <w:rsid w:val="00A15125"/>
    <w:rsid w:val="00A15450"/>
    <w:rsid w:val="00A1547A"/>
    <w:rsid w:val="00A211A8"/>
    <w:rsid w:val="00A2261A"/>
    <w:rsid w:val="00A2275E"/>
    <w:rsid w:val="00A22D22"/>
    <w:rsid w:val="00A24AEB"/>
    <w:rsid w:val="00A24E95"/>
    <w:rsid w:val="00A25014"/>
    <w:rsid w:val="00A264DC"/>
    <w:rsid w:val="00A2732A"/>
    <w:rsid w:val="00A30E4D"/>
    <w:rsid w:val="00A31EF6"/>
    <w:rsid w:val="00A32BC6"/>
    <w:rsid w:val="00A33BE1"/>
    <w:rsid w:val="00A3408E"/>
    <w:rsid w:val="00A348C3"/>
    <w:rsid w:val="00A34EF3"/>
    <w:rsid w:val="00A366D5"/>
    <w:rsid w:val="00A36A7F"/>
    <w:rsid w:val="00A414A8"/>
    <w:rsid w:val="00A42993"/>
    <w:rsid w:val="00A42CEF"/>
    <w:rsid w:val="00A43216"/>
    <w:rsid w:val="00A43D35"/>
    <w:rsid w:val="00A50037"/>
    <w:rsid w:val="00A50823"/>
    <w:rsid w:val="00A513A7"/>
    <w:rsid w:val="00A519C1"/>
    <w:rsid w:val="00A52917"/>
    <w:rsid w:val="00A55261"/>
    <w:rsid w:val="00A55555"/>
    <w:rsid w:val="00A55A9D"/>
    <w:rsid w:val="00A55C88"/>
    <w:rsid w:val="00A56363"/>
    <w:rsid w:val="00A60455"/>
    <w:rsid w:val="00A61AC0"/>
    <w:rsid w:val="00A64CCC"/>
    <w:rsid w:val="00A67F96"/>
    <w:rsid w:val="00A7010B"/>
    <w:rsid w:val="00A73AAE"/>
    <w:rsid w:val="00A74310"/>
    <w:rsid w:val="00A77696"/>
    <w:rsid w:val="00A77F44"/>
    <w:rsid w:val="00A812C7"/>
    <w:rsid w:val="00A830FC"/>
    <w:rsid w:val="00A84F5C"/>
    <w:rsid w:val="00A907C9"/>
    <w:rsid w:val="00A91C57"/>
    <w:rsid w:val="00A92164"/>
    <w:rsid w:val="00A93BCC"/>
    <w:rsid w:val="00A94B1E"/>
    <w:rsid w:val="00A9790E"/>
    <w:rsid w:val="00AA0207"/>
    <w:rsid w:val="00AA1E4B"/>
    <w:rsid w:val="00AA1EB1"/>
    <w:rsid w:val="00AA216D"/>
    <w:rsid w:val="00AA43B1"/>
    <w:rsid w:val="00AA66FA"/>
    <w:rsid w:val="00AB1DB2"/>
    <w:rsid w:val="00AB44DA"/>
    <w:rsid w:val="00AB5591"/>
    <w:rsid w:val="00AB6987"/>
    <w:rsid w:val="00AC0ABE"/>
    <w:rsid w:val="00AC1071"/>
    <w:rsid w:val="00AC24C7"/>
    <w:rsid w:val="00AC301D"/>
    <w:rsid w:val="00AC4911"/>
    <w:rsid w:val="00AC4E86"/>
    <w:rsid w:val="00AC7241"/>
    <w:rsid w:val="00AD1A62"/>
    <w:rsid w:val="00AD21B8"/>
    <w:rsid w:val="00AD414D"/>
    <w:rsid w:val="00AD4B66"/>
    <w:rsid w:val="00AE2905"/>
    <w:rsid w:val="00AE44B7"/>
    <w:rsid w:val="00AE6D7F"/>
    <w:rsid w:val="00AF0A1F"/>
    <w:rsid w:val="00AF0BF8"/>
    <w:rsid w:val="00AF33BA"/>
    <w:rsid w:val="00AF438E"/>
    <w:rsid w:val="00AF600F"/>
    <w:rsid w:val="00AF602B"/>
    <w:rsid w:val="00AF7D5F"/>
    <w:rsid w:val="00B031CD"/>
    <w:rsid w:val="00B03DC1"/>
    <w:rsid w:val="00B04C63"/>
    <w:rsid w:val="00B04DD1"/>
    <w:rsid w:val="00B06E00"/>
    <w:rsid w:val="00B10A4A"/>
    <w:rsid w:val="00B11236"/>
    <w:rsid w:val="00B113B2"/>
    <w:rsid w:val="00B114D1"/>
    <w:rsid w:val="00B12E72"/>
    <w:rsid w:val="00B13A3C"/>
    <w:rsid w:val="00B163AA"/>
    <w:rsid w:val="00B203CE"/>
    <w:rsid w:val="00B205C3"/>
    <w:rsid w:val="00B20740"/>
    <w:rsid w:val="00B23B29"/>
    <w:rsid w:val="00B245B9"/>
    <w:rsid w:val="00B25921"/>
    <w:rsid w:val="00B25D38"/>
    <w:rsid w:val="00B25DEC"/>
    <w:rsid w:val="00B26F30"/>
    <w:rsid w:val="00B270CD"/>
    <w:rsid w:val="00B30E9E"/>
    <w:rsid w:val="00B3280F"/>
    <w:rsid w:val="00B338CC"/>
    <w:rsid w:val="00B34337"/>
    <w:rsid w:val="00B34D86"/>
    <w:rsid w:val="00B36743"/>
    <w:rsid w:val="00B37F9D"/>
    <w:rsid w:val="00B42713"/>
    <w:rsid w:val="00B44B32"/>
    <w:rsid w:val="00B46917"/>
    <w:rsid w:val="00B46BD7"/>
    <w:rsid w:val="00B505AA"/>
    <w:rsid w:val="00B5178B"/>
    <w:rsid w:val="00B52A18"/>
    <w:rsid w:val="00B540C0"/>
    <w:rsid w:val="00B55F53"/>
    <w:rsid w:val="00B6001B"/>
    <w:rsid w:val="00B60B30"/>
    <w:rsid w:val="00B613C2"/>
    <w:rsid w:val="00B61F93"/>
    <w:rsid w:val="00B6266E"/>
    <w:rsid w:val="00B63A5A"/>
    <w:rsid w:val="00B63ADC"/>
    <w:rsid w:val="00B64734"/>
    <w:rsid w:val="00B65294"/>
    <w:rsid w:val="00B66234"/>
    <w:rsid w:val="00B66455"/>
    <w:rsid w:val="00B67056"/>
    <w:rsid w:val="00B676CE"/>
    <w:rsid w:val="00B679AF"/>
    <w:rsid w:val="00B67F18"/>
    <w:rsid w:val="00B73CF2"/>
    <w:rsid w:val="00B757AA"/>
    <w:rsid w:val="00B7690D"/>
    <w:rsid w:val="00B77AC0"/>
    <w:rsid w:val="00B77E64"/>
    <w:rsid w:val="00B81C40"/>
    <w:rsid w:val="00B837E4"/>
    <w:rsid w:val="00B84E48"/>
    <w:rsid w:val="00B84F91"/>
    <w:rsid w:val="00B85503"/>
    <w:rsid w:val="00B90E66"/>
    <w:rsid w:val="00B91B17"/>
    <w:rsid w:val="00B948AF"/>
    <w:rsid w:val="00B96033"/>
    <w:rsid w:val="00B974A5"/>
    <w:rsid w:val="00BA0A70"/>
    <w:rsid w:val="00BA1C8B"/>
    <w:rsid w:val="00BA1DF4"/>
    <w:rsid w:val="00BA234F"/>
    <w:rsid w:val="00BA23DC"/>
    <w:rsid w:val="00BA2C6D"/>
    <w:rsid w:val="00BA3B50"/>
    <w:rsid w:val="00BA4802"/>
    <w:rsid w:val="00BA4888"/>
    <w:rsid w:val="00BA79A9"/>
    <w:rsid w:val="00BA7A05"/>
    <w:rsid w:val="00BB1E98"/>
    <w:rsid w:val="00BB24F1"/>
    <w:rsid w:val="00BB268E"/>
    <w:rsid w:val="00BB2B45"/>
    <w:rsid w:val="00BB39D5"/>
    <w:rsid w:val="00BB3E39"/>
    <w:rsid w:val="00BB3ED1"/>
    <w:rsid w:val="00BB410D"/>
    <w:rsid w:val="00BB620C"/>
    <w:rsid w:val="00BB7298"/>
    <w:rsid w:val="00BC02AB"/>
    <w:rsid w:val="00BC0BC0"/>
    <w:rsid w:val="00BC3504"/>
    <w:rsid w:val="00BC64B9"/>
    <w:rsid w:val="00BC6DE3"/>
    <w:rsid w:val="00BC762B"/>
    <w:rsid w:val="00BC7743"/>
    <w:rsid w:val="00BD2142"/>
    <w:rsid w:val="00BD3026"/>
    <w:rsid w:val="00BD31B8"/>
    <w:rsid w:val="00BD38FD"/>
    <w:rsid w:val="00BD5F76"/>
    <w:rsid w:val="00BD77AA"/>
    <w:rsid w:val="00BD7835"/>
    <w:rsid w:val="00BD7ABE"/>
    <w:rsid w:val="00BE1972"/>
    <w:rsid w:val="00BE1C29"/>
    <w:rsid w:val="00BE28CA"/>
    <w:rsid w:val="00BE3B07"/>
    <w:rsid w:val="00BE3F84"/>
    <w:rsid w:val="00BE43B0"/>
    <w:rsid w:val="00BE53AF"/>
    <w:rsid w:val="00BE7DDB"/>
    <w:rsid w:val="00BF0A79"/>
    <w:rsid w:val="00BF1CEC"/>
    <w:rsid w:val="00BF3638"/>
    <w:rsid w:val="00BF5B0E"/>
    <w:rsid w:val="00BF5FDB"/>
    <w:rsid w:val="00C01026"/>
    <w:rsid w:val="00C01AD7"/>
    <w:rsid w:val="00C02BDA"/>
    <w:rsid w:val="00C0383E"/>
    <w:rsid w:val="00C03B1C"/>
    <w:rsid w:val="00C10014"/>
    <w:rsid w:val="00C109A3"/>
    <w:rsid w:val="00C11C13"/>
    <w:rsid w:val="00C1215C"/>
    <w:rsid w:val="00C12291"/>
    <w:rsid w:val="00C13786"/>
    <w:rsid w:val="00C16010"/>
    <w:rsid w:val="00C167D1"/>
    <w:rsid w:val="00C17C1F"/>
    <w:rsid w:val="00C22B18"/>
    <w:rsid w:val="00C24B5C"/>
    <w:rsid w:val="00C26500"/>
    <w:rsid w:val="00C3182B"/>
    <w:rsid w:val="00C34FF8"/>
    <w:rsid w:val="00C3556A"/>
    <w:rsid w:val="00C42B1F"/>
    <w:rsid w:val="00C43786"/>
    <w:rsid w:val="00C45437"/>
    <w:rsid w:val="00C469F3"/>
    <w:rsid w:val="00C513F8"/>
    <w:rsid w:val="00C51534"/>
    <w:rsid w:val="00C51A79"/>
    <w:rsid w:val="00C52D70"/>
    <w:rsid w:val="00C52EC0"/>
    <w:rsid w:val="00C540CC"/>
    <w:rsid w:val="00C546DF"/>
    <w:rsid w:val="00C54DEC"/>
    <w:rsid w:val="00C559A4"/>
    <w:rsid w:val="00C57134"/>
    <w:rsid w:val="00C62289"/>
    <w:rsid w:val="00C64F21"/>
    <w:rsid w:val="00C66F96"/>
    <w:rsid w:val="00C70133"/>
    <w:rsid w:val="00C712A7"/>
    <w:rsid w:val="00C75BB5"/>
    <w:rsid w:val="00C76386"/>
    <w:rsid w:val="00C763C4"/>
    <w:rsid w:val="00C76AFD"/>
    <w:rsid w:val="00C7780F"/>
    <w:rsid w:val="00C803BB"/>
    <w:rsid w:val="00C83424"/>
    <w:rsid w:val="00C84316"/>
    <w:rsid w:val="00C85B36"/>
    <w:rsid w:val="00C86487"/>
    <w:rsid w:val="00C9264A"/>
    <w:rsid w:val="00C9347C"/>
    <w:rsid w:val="00C94554"/>
    <w:rsid w:val="00C97560"/>
    <w:rsid w:val="00C97F02"/>
    <w:rsid w:val="00CA32C3"/>
    <w:rsid w:val="00CA4EA9"/>
    <w:rsid w:val="00CA6726"/>
    <w:rsid w:val="00CA71B2"/>
    <w:rsid w:val="00CA75C8"/>
    <w:rsid w:val="00CB1C69"/>
    <w:rsid w:val="00CB1E8C"/>
    <w:rsid w:val="00CB29BB"/>
    <w:rsid w:val="00CB2DE7"/>
    <w:rsid w:val="00CB36B3"/>
    <w:rsid w:val="00CB656F"/>
    <w:rsid w:val="00CB6F5E"/>
    <w:rsid w:val="00CB73BB"/>
    <w:rsid w:val="00CC168C"/>
    <w:rsid w:val="00CC230C"/>
    <w:rsid w:val="00CC3043"/>
    <w:rsid w:val="00CC3CF7"/>
    <w:rsid w:val="00CC5784"/>
    <w:rsid w:val="00CC73A7"/>
    <w:rsid w:val="00CD0100"/>
    <w:rsid w:val="00CD07FF"/>
    <w:rsid w:val="00CD0DE1"/>
    <w:rsid w:val="00CD125B"/>
    <w:rsid w:val="00CD12F5"/>
    <w:rsid w:val="00CD21BC"/>
    <w:rsid w:val="00CD660E"/>
    <w:rsid w:val="00CE0F87"/>
    <w:rsid w:val="00CE5DFE"/>
    <w:rsid w:val="00CE5F30"/>
    <w:rsid w:val="00CE79D5"/>
    <w:rsid w:val="00CF07B4"/>
    <w:rsid w:val="00CF1D9B"/>
    <w:rsid w:val="00CF3ECC"/>
    <w:rsid w:val="00CF4807"/>
    <w:rsid w:val="00CF4EFE"/>
    <w:rsid w:val="00CF7B00"/>
    <w:rsid w:val="00D01353"/>
    <w:rsid w:val="00D0259A"/>
    <w:rsid w:val="00D02AD1"/>
    <w:rsid w:val="00D02C16"/>
    <w:rsid w:val="00D03BEB"/>
    <w:rsid w:val="00D04EC2"/>
    <w:rsid w:val="00D064CA"/>
    <w:rsid w:val="00D07AE7"/>
    <w:rsid w:val="00D114A8"/>
    <w:rsid w:val="00D12391"/>
    <w:rsid w:val="00D12AED"/>
    <w:rsid w:val="00D15649"/>
    <w:rsid w:val="00D170A8"/>
    <w:rsid w:val="00D21341"/>
    <w:rsid w:val="00D21DB3"/>
    <w:rsid w:val="00D22EA0"/>
    <w:rsid w:val="00D23E70"/>
    <w:rsid w:val="00D26374"/>
    <w:rsid w:val="00D30484"/>
    <w:rsid w:val="00D31C42"/>
    <w:rsid w:val="00D33781"/>
    <w:rsid w:val="00D3384E"/>
    <w:rsid w:val="00D33F20"/>
    <w:rsid w:val="00D367E9"/>
    <w:rsid w:val="00D36A52"/>
    <w:rsid w:val="00D41020"/>
    <w:rsid w:val="00D45389"/>
    <w:rsid w:val="00D45A91"/>
    <w:rsid w:val="00D51795"/>
    <w:rsid w:val="00D53B98"/>
    <w:rsid w:val="00D5567A"/>
    <w:rsid w:val="00D55A49"/>
    <w:rsid w:val="00D57261"/>
    <w:rsid w:val="00D61960"/>
    <w:rsid w:val="00D6242A"/>
    <w:rsid w:val="00D630CD"/>
    <w:rsid w:val="00D641BC"/>
    <w:rsid w:val="00D65661"/>
    <w:rsid w:val="00D701D8"/>
    <w:rsid w:val="00D72AAF"/>
    <w:rsid w:val="00D73F28"/>
    <w:rsid w:val="00D76348"/>
    <w:rsid w:val="00D80319"/>
    <w:rsid w:val="00D81A68"/>
    <w:rsid w:val="00D82CF2"/>
    <w:rsid w:val="00D85899"/>
    <w:rsid w:val="00D85D7F"/>
    <w:rsid w:val="00D906ED"/>
    <w:rsid w:val="00D91768"/>
    <w:rsid w:val="00D92BB2"/>
    <w:rsid w:val="00D93860"/>
    <w:rsid w:val="00D95DD5"/>
    <w:rsid w:val="00DA2EBA"/>
    <w:rsid w:val="00DA50E2"/>
    <w:rsid w:val="00DA5AC0"/>
    <w:rsid w:val="00DA7837"/>
    <w:rsid w:val="00DB090C"/>
    <w:rsid w:val="00DB413C"/>
    <w:rsid w:val="00DB4BD3"/>
    <w:rsid w:val="00DC2F80"/>
    <w:rsid w:val="00DC3847"/>
    <w:rsid w:val="00DC3C47"/>
    <w:rsid w:val="00DC48A9"/>
    <w:rsid w:val="00DC6745"/>
    <w:rsid w:val="00DC6D3A"/>
    <w:rsid w:val="00DD0DB6"/>
    <w:rsid w:val="00DD2B1E"/>
    <w:rsid w:val="00DD413B"/>
    <w:rsid w:val="00DD6F12"/>
    <w:rsid w:val="00DD7746"/>
    <w:rsid w:val="00DD7F1E"/>
    <w:rsid w:val="00DE1217"/>
    <w:rsid w:val="00DE18CA"/>
    <w:rsid w:val="00DE36BF"/>
    <w:rsid w:val="00DE4AE5"/>
    <w:rsid w:val="00DE52BF"/>
    <w:rsid w:val="00DE5D94"/>
    <w:rsid w:val="00DE643B"/>
    <w:rsid w:val="00DE64B3"/>
    <w:rsid w:val="00DE737A"/>
    <w:rsid w:val="00DE776A"/>
    <w:rsid w:val="00DE7FA2"/>
    <w:rsid w:val="00DF03A4"/>
    <w:rsid w:val="00DF07FA"/>
    <w:rsid w:val="00DF0C2F"/>
    <w:rsid w:val="00DF31D6"/>
    <w:rsid w:val="00DF4838"/>
    <w:rsid w:val="00DF4AE1"/>
    <w:rsid w:val="00DF6869"/>
    <w:rsid w:val="00DF6E85"/>
    <w:rsid w:val="00DF7A10"/>
    <w:rsid w:val="00E0154C"/>
    <w:rsid w:val="00E0223F"/>
    <w:rsid w:val="00E02E35"/>
    <w:rsid w:val="00E04543"/>
    <w:rsid w:val="00E0520B"/>
    <w:rsid w:val="00E07E36"/>
    <w:rsid w:val="00E14F7A"/>
    <w:rsid w:val="00E174A8"/>
    <w:rsid w:val="00E2171D"/>
    <w:rsid w:val="00E21EA4"/>
    <w:rsid w:val="00E30534"/>
    <w:rsid w:val="00E325A4"/>
    <w:rsid w:val="00E328B4"/>
    <w:rsid w:val="00E375D2"/>
    <w:rsid w:val="00E37720"/>
    <w:rsid w:val="00E40FBF"/>
    <w:rsid w:val="00E4184D"/>
    <w:rsid w:val="00E41BF5"/>
    <w:rsid w:val="00E50015"/>
    <w:rsid w:val="00E51B3E"/>
    <w:rsid w:val="00E533FA"/>
    <w:rsid w:val="00E545DD"/>
    <w:rsid w:val="00E55C59"/>
    <w:rsid w:val="00E560F6"/>
    <w:rsid w:val="00E5688D"/>
    <w:rsid w:val="00E5744C"/>
    <w:rsid w:val="00E578B2"/>
    <w:rsid w:val="00E606BA"/>
    <w:rsid w:val="00E636CF"/>
    <w:rsid w:val="00E647E5"/>
    <w:rsid w:val="00E6491C"/>
    <w:rsid w:val="00E67879"/>
    <w:rsid w:val="00E71676"/>
    <w:rsid w:val="00E718C7"/>
    <w:rsid w:val="00E71F9C"/>
    <w:rsid w:val="00E7284F"/>
    <w:rsid w:val="00E72C95"/>
    <w:rsid w:val="00E755DF"/>
    <w:rsid w:val="00E773E9"/>
    <w:rsid w:val="00E775F6"/>
    <w:rsid w:val="00E80C62"/>
    <w:rsid w:val="00E861C6"/>
    <w:rsid w:val="00E8638A"/>
    <w:rsid w:val="00E8653A"/>
    <w:rsid w:val="00E875A0"/>
    <w:rsid w:val="00E87E66"/>
    <w:rsid w:val="00E91792"/>
    <w:rsid w:val="00E9189B"/>
    <w:rsid w:val="00E9291F"/>
    <w:rsid w:val="00E94086"/>
    <w:rsid w:val="00E94F21"/>
    <w:rsid w:val="00EA0C52"/>
    <w:rsid w:val="00EA148F"/>
    <w:rsid w:val="00EB134E"/>
    <w:rsid w:val="00EB724A"/>
    <w:rsid w:val="00EC7221"/>
    <w:rsid w:val="00ED0420"/>
    <w:rsid w:val="00ED09EF"/>
    <w:rsid w:val="00ED16A8"/>
    <w:rsid w:val="00ED3880"/>
    <w:rsid w:val="00ED3A89"/>
    <w:rsid w:val="00ED49D5"/>
    <w:rsid w:val="00ED4C28"/>
    <w:rsid w:val="00ED4DF3"/>
    <w:rsid w:val="00ED6445"/>
    <w:rsid w:val="00ED6752"/>
    <w:rsid w:val="00EE024F"/>
    <w:rsid w:val="00EE0B46"/>
    <w:rsid w:val="00EE50F5"/>
    <w:rsid w:val="00EE51C8"/>
    <w:rsid w:val="00EF5099"/>
    <w:rsid w:val="00EF7176"/>
    <w:rsid w:val="00F0084C"/>
    <w:rsid w:val="00F016A6"/>
    <w:rsid w:val="00F0303D"/>
    <w:rsid w:val="00F0369D"/>
    <w:rsid w:val="00F04E6C"/>
    <w:rsid w:val="00F0599C"/>
    <w:rsid w:val="00F07643"/>
    <w:rsid w:val="00F1063F"/>
    <w:rsid w:val="00F106BF"/>
    <w:rsid w:val="00F12074"/>
    <w:rsid w:val="00F13194"/>
    <w:rsid w:val="00F13432"/>
    <w:rsid w:val="00F13BB9"/>
    <w:rsid w:val="00F14465"/>
    <w:rsid w:val="00F169F5"/>
    <w:rsid w:val="00F170A8"/>
    <w:rsid w:val="00F178C8"/>
    <w:rsid w:val="00F17C77"/>
    <w:rsid w:val="00F234A0"/>
    <w:rsid w:val="00F23F87"/>
    <w:rsid w:val="00F330F7"/>
    <w:rsid w:val="00F35E5E"/>
    <w:rsid w:val="00F37967"/>
    <w:rsid w:val="00F4088A"/>
    <w:rsid w:val="00F4113E"/>
    <w:rsid w:val="00F417D2"/>
    <w:rsid w:val="00F41E27"/>
    <w:rsid w:val="00F42AD0"/>
    <w:rsid w:val="00F45884"/>
    <w:rsid w:val="00F50057"/>
    <w:rsid w:val="00F50DDE"/>
    <w:rsid w:val="00F511F2"/>
    <w:rsid w:val="00F517B7"/>
    <w:rsid w:val="00F57BBE"/>
    <w:rsid w:val="00F6054A"/>
    <w:rsid w:val="00F61589"/>
    <w:rsid w:val="00F63218"/>
    <w:rsid w:val="00F63B24"/>
    <w:rsid w:val="00F6486E"/>
    <w:rsid w:val="00F65CB1"/>
    <w:rsid w:val="00F661E5"/>
    <w:rsid w:val="00F66C0F"/>
    <w:rsid w:val="00F672F7"/>
    <w:rsid w:val="00F707E4"/>
    <w:rsid w:val="00F73446"/>
    <w:rsid w:val="00F757D2"/>
    <w:rsid w:val="00F76AD8"/>
    <w:rsid w:val="00F77CC6"/>
    <w:rsid w:val="00F80943"/>
    <w:rsid w:val="00F8260C"/>
    <w:rsid w:val="00F867CC"/>
    <w:rsid w:val="00F86FB5"/>
    <w:rsid w:val="00F90A87"/>
    <w:rsid w:val="00F926EB"/>
    <w:rsid w:val="00F9322A"/>
    <w:rsid w:val="00F97E92"/>
    <w:rsid w:val="00FA0052"/>
    <w:rsid w:val="00FA01E5"/>
    <w:rsid w:val="00FA05B2"/>
    <w:rsid w:val="00FA084B"/>
    <w:rsid w:val="00FA282A"/>
    <w:rsid w:val="00FA47FB"/>
    <w:rsid w:val="00FA5CDD"/>
    <w:rsid w:val="00FA6143"/>
    <w:rsid w:val="00FA70C3"/>
    <w:rsid w:val="00FB1039"/>
    <w:rsid w:val="00FB1280"/>
    <w:rsid w:val="00FB18A5"/>
    <w:rsid w:val="00FB531F"/>
    <w:rsid w:val="00FB7DD3"/>
    <w:rsid w:val="00FB7E2B"/>
    <w:rsid w:val="00FC0D4F"/>
    <w:rsid w:val="00FC627F"/>
    <w:rsid w:val="00FD0156"/>
    <w:rsid w:val="00FD16CE"/>
    <w:rsid w:val="00FD17A2"/>
    <w:rsid w:val="00FD7C0A"/>
    <w:rsid w:val="00FE0688"/>
    <w:rsid w:val="00FE2356"/>
    <w:rsid w:val="00FE4D8F"/>
    <w:rsid w:val="00FE5470"/>
    <w:rsid w:val="00FF2A80"/>
    <w:rsid w:val="00FF3CC2"/>
    <w:rsid w:val="00FF72E5"/>
    <w:rsid w:val="00FF7E65"/>
    <w:rsid w:val="0489C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50C0"/>
  <w15:docId w15:val="{E4816E6E-5A81-4C91-9C0D-64C5CD06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customStyle="1" w:styleId="normaltextrun">
    <w:name w:val="normaltextrun"/>
    <w:basedOn w:val="DefaultParagraphFont"/>
    <w:rsid w:val="004C3B69"/>
  </w:style>
  <w:style w:type="character" w:styleId="CommentReference">
    <w:name w:val="annotation reference"/>
    <w:basedOn w:val="DefaultParagraphFont"/>
    <w:uiPriority w:val="99"/>
    <w:semiHidden/>
    <w:unhideWhenUsed/>
    <w:rsid w:val="005B40D8"/>
    <w:rPr>
      <w:sz w:val="16"/>
      <w:szCs w:val="16"/>
    </w:rPr>
  </w:style>
  <w:style w:type="paragraph" w:styleId="CommentText">
    <w:name w:val="annotation text"/>
    <w:basedOn w:val="Normal"/>
    <w:link w:val="CommentTextChar"/>
    <w:uiPriority w:val="99"/>
    <w:semiHidden/>
    <w:unhideWhenUsed/>
    <w:rsid w:val="005B40D8"/>
    <w:pPr>
      <w:spacing w:line="240" w:lineRule="auto"/>
    </w:pPr>
    <w:rPr>
      <w:sz w:val="20"/>
      <w:szCs w:val="20"/>
    </w:rPr>
  </w:style>
  <w:style w:type="character" w:customStyle="1" w:styleId="CommentTextChar">
    <w:name w:val="Comment Text Char"/>
    <w:basedOn w:val="DefaultParagraphFont"/>
    <w:link w:val="CommentText"/>
    <w:uiPriority w:val="99"/>
    <w:semiHidden/>
    <w:rsid w:val="005B40D8"/>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5B40D8"/>
    <w:rPr>
      <w:b/>
    </w:rPr>
  </w:style>
  <w:style w:type="character" w:customStyle="1" w:styleId="CommentSubjectChar">
    <w:name w:val="Comment Subject Char"/>
    <w:basedOn w:val="CommentTextChar"/>
    <w:link w:val="CommentSubject"/>
    <w:uiPriority w:val="99"/>
    <w:semiHidden/>
    <w:rsid w:val="005B40D8"/>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18161">
      <w:bodyDiv w:val="1"/>
      <w:marLeft w:val="0"/>
      <w:marRight w:val="0"/>
      <w:marTop w:val="0"/>
      <w:marBottom w:val="0"/>
      <w:divBdr>
        <w:top w:val="none" w:sz="0" w:space="0" w:color="auto"/>
        <w:left w:val="none" w:sz="0" w:space="0" w:color="auto"/>
        <w:bottom w:val="none" w:sz="0" w:space="0" w:color="auto"/>
        <w:right w:val="none" w:sz="0" w:space="0" w:color="auto"/>
      </w:divBdr>
      <w:divsChild>
        <w:div w:id="792552991">
          <w:marLeft w:val="0"/>
          <w:marRight w:val="0"/>
          <w:marTop w:val="0"/>
          <w:marBottom w:val="0"/>
          <w:divBdr>
            <w:top w:val="none" w:sz="0" w:space="0" w:color="auto"/>
            <w:left w:val="none" w:sz="0" w:space="0" w:color="auto"/>
            <w:bottom w:val="none" w:sz="0" w:space="0" w:color="auto"/>
            <w:right w:val="none" w:sz="0" w:space="0" w:color="auto"/>
          </w:divBdr>
        </w:div>
        <w:div w:id="1365014019">
          <w:marLeft w:val="0"/>
          <w:marRight w:val="0"/>
          <w:marTop w:val="0"/>
          <w:marBottom w:val="0"/>
          <w:divBdr>
            <w:top w:val="none" w:sz="0" w:space="0" w:color="auto"/>
            <w:left w:val="none" w:sz="0" w:space="0" w:color="auto"/>
            <w:bottom w:val="none" w:sz="0" w:space="0" w:color="auto"/>
            <w:right w:val="none" w:sz="0" w:space="0" w:color="auto"/>
          </w:divBdr>
        </w:div>
        <w:div w:id="112552951">
          <w:marLeft w:val="0"/>
          <w:marRight w:val="0"/>
          <w:marTop w:val="0"/>
          <w:marBottom w:val="0"/>
          <w:divBdr>
            <w:top w:val="none" w:sz="0" w:space="0" w:color="auto"/>
            <w:left w:val="none" w:sz="0" w:space="0" w:color="auto"/>
            <w:bottom w:val="none" w:sz="0" w:space="0" w:color="auto"/>
            <w:right w:val="none" w:sz="0" w:space="0" w:color="auto"/>
          </w:divBdr>
        </w:div>
        <w:div w:id="430509600">
          <w:marLeft w:val="0"/>
          <w:marRight w:val="0"/>
          <w:marTop w:val="0"/>
          <w:marBottom w:val="0"/>
          <w:divBdr>
            <w:top w:val="none" w:sz="0" w:space="0" w:color="auto"/>
            <w:left w:val="none" w:sz="0" w:space="0" w:color="auto"/>
            <w:bottom w:val="none" w:sz="0" w:space="0" w:color="auto"/>
            <w:right w:val="none" w:sz="0" w:space="0" w:color="auto"/>
          </w:divBdr>
        </w:div>
        <w:div w:id="1820612439">
          <w:marLeft w:val="0"/>
          <w:marRight w:val="0"/>
          <w:marTop w:val="0"/>
          <w:marBottom w:val="0"/>
          <w:divBdr>
            <w:top w:val="none" w:sz="0" w:space="0" w:color="auto"/>
            <w:left w:val="none" w:sz="0" w:space="0" w:color="auto"/>
            <w:bottom w:val="none" w:sz="0" w:space="0" w:color="auto"/>
            <w:right w:val="none" w:sz="0" w:space="0" w:color="auto"/>
          </w:divBdr>
        </w:div>
        <w:div w:id="1161847362">
          <w:marLeft w:val="0"/>
          <w:marRight w:val="0"/>
          <w:marTop w:val="0"/>
          <w:marBottom w:val="0"/>
          <w:divBdr>
            <w:top w:val="none" w:sz="0" w:space="0" w:color="auto"/>
            <w:left w:val="none" w:sz="0" w:space="0" w:color="auto"/>
            <w:bottom w:val="none" w:sz="0" w:space="0" w:color="auto"/>
            <w:right w:val="none" w:sz="0" w:space="0" w:color="auto"/>
          </w:divBdr>
        </w:div>
        <w:div w:id="320037956">
          <w:marLeft w:val="0"/>
          <w:marRight w:val="0"/>
          <w:marTop w:val="0"/>
          <w:marBottom w:val="0"/>
          <w:divBdr>
            <w:top w:val="none" w:sz="0" w:space="0" w:color="auto"/>
            <w:left w:val="none" w:sz="0" w:space="0" w:color="auto"/>
            <w:bottom w:val="none" w:sz="0" w:space="0" w:color="auto"/>
            <w:right w:val="none" w:sz="0" w:space="0" w:color="auto"/>
          </w:divBdr>
        </w:div>
        <w:div w:id="925698696">
          <w:marLeft w:val="0"/>
          <w:marRight w:val="0"/>
          <w:marTop w:val="0"/>
          <w:marBottom w:val="0"/>
          <w:divBdr>
            <w:top w:val="none" w:sz="0" w:space="0" w:color="auto"/>
            <w:left w:val="none" w:sz="0" w:space="0" w:color="auto"/>
            <w:bottom w:val="none" w:sz="0" w:space="0" w:color="auto"/>
            <w:right w:val="none" w:sz="0" w:space="0" w:color="auto"/>
          </w:divBdr>
        </w:div>
        <w:div w:id="420563733">
          <w:marLeft w:val="0"/>
          <w:marRight w:val="0"/>
          <w:marTop w:val="0"/>
          <w:marBottom w:val="0"/>
          <w:divBdr>
            <w:top w:val="none" w:sz="0" w:space="0" w:color="auto"/>
            <w:left w:val="none" w:sz="0" w:space="0" w:color="auto"/>
            <w:bottom w:val="none" w:sz="0" w:space="0" w:color="auto"/>
            <w:right w:val="none" w:sz="0" w:space="0" w:color="auto"/>
          </w:divBdr>
        </w:div>
      </w:divsChild>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684820860">
      <w:bodyDiv w:val="1"/>
      <w:marLeft w:val="0"/>
      <w:marRight w:val="0"/>
      <w:marTop w:val="0"/>
      <w:marBottom w:val="0"/>
      <w:divBdr>
        <w:top w:val="none" w:sz="0" w:space="0" w:color="auto"/>
        <w:left w:val="none" w:sz="0" w:space="0" w:color="auto"/>
        <w:bottom w:val="none" w:sz="0" w:space="0" w:color="auto"/>
        <w:right w:val="none" w:sz="0" w:space="0" w:color="auto"/>
      </w:divBdr>
      <w:divsChild>
        <w:div w:id="1691296688">
          <w:marLeft w:val="0"/>
          <w:marRight w:val="0"/>
          <w:marTop w:val="0"/>
          <w:marBottom w:val="0"/>
          <w:divBdr>
            <w:top w:val="none" w:sz="0" w:space="0" w:color="auto"/>
            <w:left w:val="none" w:sz="0" w:space="0" w:color="auto"/>
            <w:bottom w:val="none" w:sz="0" w:space="0" w:color="auto"/>
            <w:right w:val="none" w:sz="0" w:space="0" w:color="auto"/>
          </w:divBdr>
        </w:div>
        <w:div w:id="1017197449">
          <w:marLeft w:val="0"/>
          <w:marRight w:val="0"/>
          <w:marTop w:val="0"/>
          <w:marBottom w:val="0"/>
          <w:divBdr>
            <w:top w:val="none" w:sz="0" w:space="0" w:color="auto"/>
            <w:left w:val="none" w:sz="0" w:space="0" w:color="auto"/>
            <w:bottom w:val="none" w:sz="0" w:space="0" w:color="auto"/>
            <w:right w:val="none" w:sz="0" w:space="0" w:color="auto"/>
          </w:divBdr>
        </w:div>
        <w:div w:id="796335882">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ael-iet-approval-and-documentation-process" TargetMode="External"/><Relationship Id="rId18" Type="http://schemas.openxmlformats.org/officeDocument/2006/relationships/hyperlink" Target="https://education.vermont.gov/student-learning/proficiency-based-learning/proficiency-based-graduation-requireme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vermont.gov/documents/recovery-framework-03-12-2021" TargetMode="External"/><Relationship Id="rId17" Type="http://schemas.openxmlformats.org/officeDocument/2006/relationships/hyperlink" Target="https://education.vermont.gov/documents/proficiency-based-education-eqs-transferable-skills" TargetMode="External"/><Relationship Id="rId2" Type="http://schemas.openxmlformats.org/officeDocument/2006/relationships/customXml" Target="../customXml/item2.xml"/><Relationship Id="rId16" Type="http://schemas.openxmlformats.org/officeDocument/2006/relationships/hyperlink" Target="https://education.vermont.gov/documents/state-board-rules-series-2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content/sel-vt" TargetMode="External"/><Relationship Id="rId5" Type="http://schemas.openxmlformats.org/officeDocument/2006/relationships/numbering" Target="numbering.xml"/><Relationship Id="rId15" Type="http://schemas.openxmlformats.org/officeDocument/2006/relationships/hyperlink" Target="https://education.vermont.gov/documents/ael-virtual-test-proctoring-procedures-for-contiunity-of-lear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ael-iet-program-registration-for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0547929-38ae-46c8-aa81-a96df9918dbf">
      <UserInfo>
        <DisplayName>Connizzo, Kate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D97D124A2F364AB0526FE76D62CC48" ma:contentTypeVersion="12" ma:contentTypeDescription="Create a new document." ma:contentTypeScope="" ma:versionID="ae4970cb0953078512d7949944835f11">
  <xsd:schema xmlns:xsd="http://www.w3.org/2001/XMLSchema" xmlns:xs="http://www.w3.org/2001/XMLSchema" xmlns:p="http://schemas.microsoft.com/office/2006/metadata/properties" xmlns:ns1="http://schemas.microsoft.com/sharepoint/v3" xmlns:ns2="fe80acd4-015f-4547-bc62-9c1801f5fb88" xmlns:ns3="a0547929-38ae-46c8-aa81-a96df9918dbf" targetNamespace="http://schemas.microsoft.com/office/2006/metadata/properties" ma:root="true" ma:fieldsID="6a3ee909391edc6d4eed9a6f31ea7afe" ns1:_="" ns2:_="" ns3:_="">
    <xsd:import namespace="http://schemas.microsoft.com/sharepoint/v3"/>
    <xsd:import namespace="fe80acd4-015f-4547-bc62-9c1801f5fb88"/>
    <xsd:import namespace="a0547929-38ae-46c8-aa81-a96df9918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0acd4-015f-4547-bc62-9c1801f5f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47929-38ae-46c8-aa81-a96df9918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a0547929-38ae-46c8-aa81-a96df9918dbf"/>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5B75C661-2DA4-4413-B598-6170354F1472}">
  <ds:schemaRefs>
    <ds:schemaRef ds:uri="http://schemas.openxmlformats.org/officeDocument/2006/bibliography"/>
  </ds:schemaRefs>
</ds:datastoreItem>
</file>

<file path=customXml/itemProps4.xml><?xml version="1.0" encoding="utf-8"?>
<ds:datastoreItem xmlns:ds="http://schemas.openxmlformats.org/officeDocument/2006/customXml" ds:itemID="{9C626864-7A83-4F70-B9C8-FDB8802E6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80acd4-015f-4547-bc62-9c1801f5fb88"/>
    <ds:schemaRef ds:uri="a0547929-38ae-46c8-aa81-a96df9918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10</Pages>
  <Words>4896</Words>
  <Characters>27910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32741</CharactersWithSpaces>
  <SharedDoc>false</SharedDoc>
  <HLinks>
    <vt:vector size="30" baseType="variant">
      <vt:variant>
        <vt:i4>2424888</vt:i4>
      </vt:variant>
      <vt:variant>
        <vt:i4>12</vt:i4>
      </vt:variant>
      <vt:variant>
        <vt:i4>0</vt:i4>
      </vt:variant>
      <vt:variant>
        <vt:i4>5</vt:i4>
      </vt:variant>
      <vt:variant>
        <vt:lpwstr>https://education.vermont.gov/student-learning/proficiency-based-learning/proficiency-based-graduation-requirements</vt:lpwstr>
      </vt:variant>
      <vt:variant>
        <vt:lpwstr/>
      </vt:variant>
      <vt:variant>
        <vt:i4>7209078</vt:i4>
      </vt:variant>
      <vt:variant>
        <vt:i4>9</vt:i4>
      </vt:variant>
      <vt:variant>
        <vt:i4>0</vt:i4>
      </vt:variant>
      <vt:variant>
        <vt:i4>5</vt:i4>
      </vt:variant>
      <vt:variant>
        <vt:lpwstr>https://education.vermont.gov/documents/proficiency-based-education-eqs-transferable-skills</vt:lpwstr>
      </vt:variant>
      <vt:variant>
        <vt:lpwstr/>
      </vt:variant>
      <vt:variant>
        <vt:i4>5374027</vt:i4>
      </vt:variant>
      <vt:variant>
        <vt:i4>6</vt:i4>
      </vt:variant>
      <vt:variant>
        <vt:i4>0</vt:i4>
      </vt:variant>
      <vt:variant>
        <vt:i4>5</vt:i4>
      </vt:variant>
      <vt:variant>
        <vt:lpwstr>https://education.vermont.gov/documents/state-board-rules-series-2000</vt:lpwstr>
      </vt:variant>
      <vt:variant>
        <vt:lpwstr/>
      </vt:variant>
      <vt:variant>
        <vt:i4>327746</vt:i4>
      </vt:variant>
      <vt:variant>
        <vt:i4>3</vt:i4>
      </vt:variant>
      <vt:variant>
        <vt:i4>0</vt:i4>
      </vt:variant>
      <vt:variant>
        <vt:i4>5</vt:i4>
      </vt:variant>
      <vt:variant>
        <vt:lpwstr>https://education.vermont.gov/documents/ael-virtual-test-proctoring-procedures-for-contiunity-of-learning</vt:lpwstr>
      </vt:variant>
      <vt:variant>
        <vt:lpwstr/>
      </vt:variant>
      <vt:variant>
        <vt:i4>5242975</vt:i4>
      </vt:variant>
      <vt:variant>
        <vt:i4>0</vt:i4>
      </vt:variant>
      <vt:variant>
        <vt:i4>0</vt:i4>
      </vt:variant>
      <vt:variant>
        <vt:i4>5</vt:i4>
      </vt:variant>
      <vt:variant>
        <vt:lpwstr>https://education.vermont.gov/documents/recovery-framework-03-12-2021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Vermont Agency of Education</dc:creator>
  <cp:keywords/>
  <cp:lastModifiedBy>Castle, Robin</cp:lastModifiedBy>
  <cp:revision>1174</cp:revision>
  <cp:lastPrinted>2015-09-09T16:37:00Z</cp:lastPrinted>
  <dcterms:created xsi:type="dcterms:W3CDTF">2021-11-12T16:19:00Z</dcterms:created>
  <dcterms:modified xsi:type="dcterms:W3CDTF">2021-12-30T19:01:00Z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0x01010041D97D124A2F364AB0526FE76D62CC48</vt:lpwstr>
  </property>
  <property fmtid="{D5CDD505-2E9C-101B-9397-08002B2CF9AE}" pid="3" name="Order">
    <vt:r8>291800</vt:r8>
  </property>
  <property fmtid="{D5CDD505-2E9C-101B-9397-08002B2CF9AE}" pid="4" name="xd_Signature">
    <vt:bool>false</vt:bool>
  </property>
  <property fmtid="{D5CDD505-2E9C-101B-9397-08002B2CF9AE}" pid="5" name="SharedWithUsers">
    <vt:lpwstr>13;#Connizzo, Kate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