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636D" w14:textId="77777777" w:rsidR="00BA7B74" w:rsidRPr="00080195" w:rsidRDefault="2D724D8C" w:rsidP="2D724D8C">
      <w:pPr>
        <w:pStyle w:val="Title"/>
        <w:rPr>
          <w:rFonts w:ascii="Times New Roman" w:hAnsi="Times New Roman" w:cs="Times New Roman"/>
          <w:sz w:val="24"/>
        </w:rPr>
      </w:pPr>
      <w:r w:rsidRPr="00080195">
        <w:rPr>
          <w:rFonts w:ascii="Times New Roman" w:hAnsi="Times New Roman" w:cs="Times New Roman"/>
          <w:sz w:val="24"/>
        </w:rPr>
        <w:t>South Carolina Department of Education</w:t>
      </w:r>
    </w:p>
    <w:p w14:paraId="4A4B4DA0" w14:textId="77777777" w:rsidR="00BA7B74" w:rsidRPr="00080195" w:rsidRDefault="00BA7B74" w:rsidP="2D724D8C">
      <w:pPr>
        <w:jc w:val="center"/>
        <w:rPr>
          <w:b/>
          <w:bCs/>
          <w:smallCaps/>
        </w:rPr>
      </w:pPr>
    </w:p>
    <w:p w14:paraId="45EDC4DF" w14:textId="77777777" w:rsidR="00BA7B74" w:rsidRPr="00080195" w:rsidRDefault="2D724D8C" w:rsidP="00D245F9">
      <w:pPr>
        <w:jc w:val="center"/>
        <w:rPr>
          <w:b/>
          <w:bCs/>
          <w:smallCaps/>
        </w:rPr>
      </w:pPr>
      <w:r w:rsidRPr="00080195">
        <w:rPr>
          <w:b/>
          <w:bCs/>
          <w:smallCaps/>
        </w:rPr>
        <w:t>Office of Adult Education</w:t>
      </w:r>
    </w:p>
    <w:p w14:paraId="4DA67F5E" w14:textId="21513279" w:rsidR="00BA7B74" w:rsidRPr="00080195" w:rsidRDefault="00D245F9" w:rsidP="00D245F9">
      <w:pPr>
        <w:pStyle w:val="Heading1"/>
        <w:rPr>
          <w:rFonts w:ascii="Times New Roman" w:hAnsi="Times New Roman" w:cs="Times New Roman"/>
          <w:smallCaps/>
          <w:sz w:val="24"/>
        </w:rPr>
      </w:pPr>
      <w:r w:rsidRPr="00080195">
        <w:rPr>
          <w:rFonts w:ascii="Arial" w:hAnsi="Arial" w:cs="Arial"/>
          <w:b w:val="0"/>
          <w:bCs w:val="0"/>
          <w:smallCaps/>
          <w:noProof/>
          <w:color w:val="2B579A"/>
          <w:shd w:val="clear" w:color="auto" w:fill="E6E6E6"/>
        </w:rPr>
        <mc:AlternateContent>
          <mc:Choice Requires="wps">
            <w:drawing>
              <wp:anchor distT="0" distB="0" distL="114300" distR="114300" simplePos="0" relativeHeight="251658240" behindDoc="0" locked="0" layoutInCell="1" allowOverlap="1" wp14:anchorId="657FAC07" wp14:editId="76398F70">
                <wp:simplePos x="0" y="0"/>
                <wp:positionH relativeFrom="column">
                  <wp:posOffset>1651000</wp:posOffset>
                </wp:positionH>
                <wp:positionV relativeFrom="paragraph">
                  <wp:posOffset>173990</wp:posOffset>
                </wp:positionV>
                <wp:extent cx="2971800" cy="0"/>
                <wp:effectExtent l="19050" t="21590" r="1905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FBE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13.7pt" to="3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" strokeweight="3pt">
                <v:stroke linestyle="thinThin"/>
              </v:line>
            </w:pict>
          </mc:Fallback>
        </mc:AlternateContent>
      </w:r>
      <w:r w:rsidR="2D724D8C" w:rsidRPr="00080195">
        <w:rPr>
          <w:rFonts w:ascii="Times New Roman" w:hAnsi="Times New Roman" w:cs="Times New Roman"/>
          <w:smallCaps/>
          <w:sz w:val="24"/>
        </w:rPr>
        <w:t>Annual Performance Report</w:t>
      </w:r>
    </w:p>
    <w:p w14:paraId="0771299F" w14:textId="4217ACE9" w:rsidR="00BA7B74" w:rsidRPr="00080195" w:rsidRDefault="00BA7B74" w:rsidP="2D724D8C">
      <w:pPr>
        <w:jc w:val="center"/>
        <w:rPr>
          <w:b/>
          <w:bCs/>
          <w:smallCaps/>
        </w:rPr>
      </w:pPr>
    </w:p>
    <w:p w14:paraId="1B565E87" w14:textId="303FE5EA" w:rsidR="00BA7B74" w:rsidRPr="003B4712" w:rsidRDefault="2D724D8C" w:rsidP="053E4143">
      <w:pPr>
        <w:pStyle w:val="Heading1"/>
        <w:rPr>
          <w:rFonts w:ascii="Times New Roman" w:hAnsi="Times New Roman" w:cs="Times New Roman"/>
          <w:smallCaps/>
          <w:sz w:val="24"/>
        </w:rPr>
      </w:pPr>
      <w:r w:rsidRPr="003B4712">
        <w:rPr>
          <w:rFonts w:ascii="Times New Roman" w:hAnsi="Times New Roman" w:cs="Times New Roman"/>
          <w:smallCaps/>
          <w:sz w:val="24"/>
        </w:rPr>
        <w:t xml:space="preserve">South Carolina Narrative Report </w:t>
      </w:r>
      <w:r w:rsidR="7CC7217D" w:rsidRPr="003B4712">
        <w:rPr>
          <w:rFonts w:ascii="Times New Roman" w:hAnsi="Times New Roman" w:cs="Times New Roman"/>
          <w:smallCaps/>
          <w:sz w:val="24"/>
        </w:rPr>
        <w:t>20</w:t>
      </w:r>
      <w:r w:rsidR="23013BE8" w:rsidRPr="003B4712">
        <w:rPr>
          <w:rFonts w:ascii="Times New Roman" w:hAnsi="Times New Roman" w:cs="Times New Roman"/>
          <w:smallCaps/>
          <w:sz w:val="24"/>
        </w:rPr>
        <w:t>20-2021</w:t>
      </w:r>
    </w:p>
    <w:p w14:paraId="5B75297F" w14:textId="77777777" w:rsidR="00BA7B74" w:rsidRPr="003B4712" w:rsidRDefault="00BA7B74" w:rsidP="2D724D8C"/>
    <w:p w14:paraId="38C5DFC7" w14:textId="57760F9C" w:rsidR="00BA7B74" w:rsidRPr="003B4712" w:rsidRDefault="2D724D8C" w:rsidP="2D724D8C">
      <w:pPr>
        <w:autoSpaceDE w:val="0"/>
        <w:autoSpaceDN w:val="0"/>
        <w:adjustRightInd w:val="0"/>
        <w:rPr>
          <w:sz w:val="22"/>
          <w:szCs w:val="22"/>
        </w:rPr>
      </w:pPr>
      <w:r w:rsidRPr="003B4712">
        <w:rPr>
          <w:b/>
          <w:sz w:val="22"/>
          <w:szCs w:val="22"/>
        </w:rPr>
        <w:t xml:space="preserve">1. State Leadership Funds </w:t>
      </w:r>
      <w:r w:rsidRPr="003B4712">
        <w:rPr>
          <w:sz w:val="22"/>
          <w:szCs w:val="22"/>
        </w:rPr>
        <w:t>(AEFLA Section 223)</w:t>
      </w:r>
    </w:p>
    <w:p w14:paraId="1A26ABB0" w14:textId="77777777" w:rsidR="00850BD5" w:rsidRPr="003B4712" w:rsidRDefault="00850BD5" w:rsidP="2D724D8C">
      <w:pPr>
        <w:autoSpaceDE w:val="0"/>
        <w:autoSpaceDN w:val="0"/>
        <w:adjustRightInd w:val="0"/>
        <w:rPr>
          <w:sz w:val="22"/>
          <w:szCs w:val="22"/>
        </w:rPr>
      </w:pPr>
    </w:p>
    <w:p w14:paraId="589542F9" w14:textId="77777777" w:rsidR="00BA7B74" w:rsidRPr="003B4712" w:rsidRDefault="2D724D8C" w:rsidP="2D724D8C">
      <w:pPr>
        <w:autoSpaceDE w:val="0"/>
        <w:autoSpaceDN w:val="0"/>
        <w:adjustRightInd w:val="0"/>
        <w:rPr>
          <w:b/>
          <w:sz w:val="22"/>
          <w:szCs w:val="22"/>
        </w:rPr>
      </w:pPr>
      <w:r w:rsidRPr="003B4712">
        <w:rPr>
          <w:b/>
          <w:sz w:val="22"/>
          <w:szCs w:val="22"/>
        </w:rPr>
        <w:t>(a) Describe how the State has used funds made available under section 223 (State Leadership activities) for each the following required activities:</w:t>
      </w:r>
    </w:p>
    <w:p w14:paraId="6B10CDEF" w14:textId="77777777" w:rsidR="00BA7B74" w:rsidRPr="003B4712" w:rsidRDefault="2D724D8C" w:rsidP="2D724D8C">
      <w:pPr>
        <w:pStyle w:val="ListParagraph"/>
        <w:numPr>
          <w:ilvl w:val="0"/>
          <w:numId w:val="5"/>
        </w:numPr>
        <w:autoSpaceDE w:val="0"/>
        <w:autoSpaceDN w:val="0"/>
        <w:adjustRightInd w:val="0"/>
        <w:rPr>
          <w:rFonts w:ascii="Arial" w:eastAsiaTheme="minorEastAsia" w:hAnsi="Arial" w:cs="Arial"/>
          <w:b/>
          <w:sz w:val="22"/>
          <w:szCs w:val="22"/>
        </w:rPr>
      </w:pPr>
      <w:r w:rsidRPr="003B4712">
        <w:rPr>
          <w:b/>
          <w:sz w:val="22"/>
          <w:szCs w:val="22"/>
        </w:rPr>
        <w:t>Alignment of adult education and literacy activities with other one-stop required partners to implement the strategies in the Unified or Combined State Plan as described in section 223(1)(a).</w:t>
      </w:r>
    </w:p>
    <w:p w14:paraId="7EB944A1" w14:textId="77777777" w:rsidR="00CC61F2" w:rsidRPr="003B4712" w:rsidRDefault="2D724D8C" w:rsidP="2D724D8C">
      <w:pPr>
        <w:pStyle w:val="ListParagraph"/>
        <w:numPr>
          <w:ilvl w:val="0"/>
          <w:numId w:val="5"/>
        </w:numPr>
        <w:autoSpaceDE w:val="0"/>
        <w:autoSpaceDN w:val="0"/>
        <w:adjustRightInd w:val="0"/>
        <w:rPr>
          <w:rFonts w:ascii="Arial" w:eastAsiaTheme="minorEastAsia" w:hAnsi="Arial" w:cs="Arial"/>
          <w:b/>
          <w:sz w:val="22"/>
          <w:szCs w:val="22"/>
        </w:rPr>
      </w:pPr>
      <w:r w:rsidRPr="003B4712">
        <w:rPr>
          <w:b/>
          <w:sz w:val="22"/>
          <w:szCs w:val="22"/>
        </w:rPr>
        <w:t>Establishment or operation of high-quality professional development programs as described in section 223(1) (b).</w:t>
      </w:r>
    </w:p>
    <w:p w14:paraId="248AC99A" w14:textId="77777777" w:rsidR="00CC61F2" w:rsidRPr="003B4712" w:rsidRDefault="2D724D8C" w:rsidP="2D724D8C">
      <w:pPr>
        <w:pStyle w:val="ListParagraph"/>
        <w:numPr>
          <w:ilvl w:val="0"/>
          <w:numId w:val="5"/>
        </w:numPr>
        <w:autoSpaceDE w:val="0"/>
        <w:autoSpaceDN w:val="0"/>
        <w:adjustRightInd w:val="0"/>
        <w:rPr>
          <w:rFonts w:ascii="Arial" w:eastAsiaTheme="minorEastAsia" w:hAnsi="Arial" w:cs="Arial"/>
          <w:b/>
          <w:sz w:val="22"/>
          <w:szCs w:val="22"/>
        </w:rPr>
      </w:pPr>
      <w:r w:rsidRPr="003B4712">
        <w:rPr>
          <w:b/>
          <w:sz w:val="22"/>
          <w:szCs w:val="22"/>
        </w:rPr>
        <w:t>Provision of technical assistance to funded eligible providers as described in section 223(1) (c).</w:t>
      </w:r>
    </w:p>
    <w:p w14:paraId="7B64EF2F" w14:textId="77777777" w:rsidR="00CC61F2" w:rsidRPr="003B4712" w:rsidRDefault="2D724D8C" w:rsidP="2D724D8C">
      <w:pPr>
        <w:pStyle w:val="ListParagraph"/>
        <w:numPr>
          <w:ilvl w:val="0"/>
          <w:numId w:val="5"/>
        </w:numPr>
        <w:autoSpaceDE w:val="0"/>
        <w:autoSpaceDN w:val="0"/>
        <w:adjustRightInd w:val="0"/>
        <w:rPr>
          <w:rFonts w:ascii="Arial" w:eastAsiaTheme="minorEastAsia" w:hAnsi="Arial" w:cs="Arial"/>
          <w:b/>
          <w:sz w:val="22"/>
          <w:szCs w:val="22"/>
        </w:rPr>
      </w:pPr>
      <w:r w:rsidRPr="003B4712">
        <w:rPr>
          <w:b/>
          <w:sz w:val="22"/>
          <w:szCs w:val="22"/>
        </w:rPr>
        <w:t>Monitoring and evaluation of the quality and improvement of adult education activities as described in section 223(1) (d).</w:t>
      </w:r>
    </w:p>
    <w:p w14:paraId="6A38E0E6" w14:textId="77777777" w:rsidR="002A2000" w:rsidRPr="003B4712" w:rsidRDefault="002A2000" w:rsidP="2D724D8C">
      <w:pPr>
        <w:autoSpaceDE w:val="0"/>
        <w:autoSpaceDN w:val="0"/>
        <w:adjustRightInd w:val="0"/>
        <w:rPr>
          <w:b/>
          <w:bCs/>
          <w:sz w:val="20"/>
          <w:szCs w:val="20"/>
        </w:rPr>
      </w:pPr>
    </w:p>
    <w:p w14:paraId="2318B717" w14:textId="77777777" w:rsidR="12BF6099" w:rsidRPr="003B4712" w:rsidRDefault="12BF6099" w:rsidP="053E4143">
      <w:pPr>
        <w:rPr>
          <w:sz w:val="20"/>
          <w:szCs w:val="20"/>
          <w:u w:val="single"/>
        </w:rPr>
      </w:pPr>
      <w:r w:rsidRPr="003B4712">
        <w:rPr>
          <w:sz w:val="20"/>
          <w:szCs w:val="20"/>
          <w:u w:val="single"/>
        </w:rPr>
        <w:t>Alignment of Adult Education and Literacy Activities</w:t>
      </w:r>
    </w:p>
    <w:p w14:paraId="0634B78A" w14:textId="77777777" w:rsidR="12BF6099" w:rsidRPr="003B4712" w:rsidRDefault="12BF6099" w:rsidP="053E4143">
      <w:pPr>
        <w:rPr>
          <w:sz w:val="20"/>
          <w:szCs w:val="20"/>
        </w:rPr>
      </w:pPr>
      <w:r w:rsidRPr="003B4712">
        <w:rPr>
          <w:sz w:val="20"/>
          <w:szCs w:val="20"/>
        </w:rPr>
        <w:t xml:space="preserve">The South Carolina Department of Education’s (SCDE) Office of Adult Education (OAE) has used funds made available under section 223 to work diligently and collaboratively to align adult education and literacy activities with core and required one-stop partners in the following ways: </w:t>
      </w:r>
    </w:p>
    <w:p w14:paraId="1CD0B81F" w14:textId="04E10591" w:rsidR="12BF6099" w:rsidRPr="003B4712" w:rsidRDefault="12BF6099" w:rsidP="053E4143">
      <w:pPr>
        <w:rPr>
          <w:sz w:val="20"/>
          <w:szCs w:val="20"/>
        </w:rPr>
      </w:pPr>
      <w:r w:rsidRPr="003B4712">
        <w:rPr>
          <w:sz w:val="20"/>
          <w:szCs w:val="20"/>
        </w:rPr>
        <w:t xml:space="preserve"> </w:t>
      </w:r>
    </w:p>
    <w:p w14:paraId="3D2669FC" w14:textId="5517BA6C" w:rsidR="12BF6099" w:rsidRPr="003B4712" w:rsidRDefault="12BF6099" w:rsidP="053E4143">
      <w:pPr>
        <w:rPr>
          <w:sz w:val="20"/>
          <w:szCs w:val="20"/>
        </w:rPr>
      </w:pPr>
      <w:r w:rsidRPr="003B4712">
        <w:rPr>
          <w:sz w:val="20"/>
          <w:szCs w:val="20"/>
        </w:rPr>
        <w:t>During FY 2020-21, OAE staff continued to review and provide support to local adult education programs in their efforts to develop fully executed MOUs and infrastructure funding agreements for all twelve local workforce development areas. The OAE assisted programs in the negotiation process and provided guidance on services that can be rendered and received through the one-stop system. Office staff also worked to ensure that one-stop infrastructure costs were distributed fairly.</w:t>
      </w:r>
    </w:p>
    <w:p w14:paraId="69318676" w14:textId="484F2218" w:rsidR="12BF6099" w:rsidRPr="003B4712" w:rsidRDefault="12BF6099" w:rsidP="053E4143">
      <w:pPr>
        <w:rPr>
          <w:sz w:val="20"/>
          <w:szCs w:val="20"/>
        </w:rPr>
      </w:pPr>
      <w:r w:rsidRPr="003B4712">
        <w:rPr>
          <w:sz w:val="20"/>
          <w:szCs w:val="20"/>
        </w:rPr>
        <w:t xml:space="preserve"> </w:t>
      </w:r>
    </w:p>
    <w:p w14:paraId="33803866" w14:textId="3077B1D1" w:rsidR="12BF6099" w:rsidRPr="003B4712" w:rsidRDefault="12BF6099" w:rsidP="053E4143">
      <w:pPr>
        <w:rPr>
          <w:sz w:val="20"/>
          <w:szCs w:val="20"/>
        </w:rPr>
      </w:pPr>
      <w:r w:rsidRPr="003B4712">
        <w:rPr>
          <w:sz w:val="20"/>
          <w:szCs w:val="20"/>
        </w:rPr>
        <w:t xml:space="preserve">OAE staff continues to work with 12 local Adult Education Directors (one from each of the 12 local workforce areas) identified as Workforce Liaisons. The Workforce Liaisons are members of their respective Local Workforce Development Boards (LWDB). Meetings between this group and OAE staff were held to keep the OAE apprised of LWDB activity and plans, </w:t>
      </w:r>
      <w:proofErr w:type="gramStart"/>
      <w:r w:rsidRPr="003B4712">
        <w:rPr>
          <w:sz w:val="20"/>
          <w:szCs w:val="20"/>
        </w:rPr>
        <w:t>in order to</w:t>
      </w:r>
      <w:proofErr w:type="gramEnd"/>
      <w:r w:rsidRPr="003B4712">
        <w:rPr>
          <w:sz w:val="20"/>
          <w:szCs w:val="20"/>
        </w:rPr>
        <w:t xml:space="preserve"> improve the services being provided to individuals in SC, and to determine where workplace literacy activity may be needed to assist employers.</w:t>
      </w:r>
    </w:p>
    <w:p w14:paraId="2F34100C" w14:textId="7D48ECAE" w:rsidR="12BF6099" w:rsidRPr="003B4712" w:rsidRDefault="12BF6099" w:rsidP="053E4143">
      <w:pPr>
        <w:rPr>
          <w:sz w:val="20"/>
          <w:szCs w:val="20"/>
        </w:rPr>
      </w:pPr>
      <w:r w:rsidRPr="003B4712">
        <w:rPr>
          <w:sz w:val="20"/>
          <w:szCs w:val="20"/>
        </w:rPr>
        <w:t xml:space="preserve"> </w:t>
      </w:r>
    </w:p>
    <w:p w14:paraId="01DC3BDA" w14:textId="505FEAC4" w:rsidR="12BF6099" w:rsidRPr="003B4712" w:rsidRDefault="12BF6099" w:rsidP="053E4143">
      <w:pPr>
        <w:rPr>
          <w:sz w:val="20"/>
          <w:szCs w:val="20"/>
        </w:rPr>
      </w:pPr>
      <w:r w:rsidRPr="003B4712">
        <w:rPr>
          <w:sz w:val="20"/>
          <w:szCs w:val="20"/>
        </w:rPr>
        <w:t xml:space="preserve">The OAE continues to participate in collaborative planning activities and workgroups comprised of representatives from each of the core partners identified in the State Combined Plan. During PY 20, OAE worked with SCDEW and other state partners to address employer needs for job retention surrounding essential soft skills. During these meetings core program providers agreed on a set of essential soft skills and measurement criteria needed to develop and market a SC Soft Skills credential that is recognized by employers in the state. The activities and services related to essential soft skills training and a state-recognized credential help to support employer and jobseeker needs. By aligning with this initiative, OAE hopes to improve WIOA employment outcomes for individuals served by Title II participants and individuals who are co-enrolled in Title I, Title III, and Title IV programs. The Office of Adult Education also helped to support the alignment of adult education programs and services with WIOA Title I and III through employer engagement and services meetings. OAE collected data from local programs on appropriate adult education services that support employer needs. The data was used report data for WIOA Performance Measure 6: Effectiveness in Serving Employers. Adult education providers served 566 employers during the 2020-21 PY. During PY 2020, the OAE worked with SC Department of Employment and Workforce and Workforce System Operators to facilitate enrollment of local frontline staff into the SC Works 101 cross-training program. It is designed to equip staff working in the centers, or in the field, who provide services to jobseekers or businesses, with knowledge and understanding of the SC Works system to ensure that customers receive high-quality services each time they engage with the system. The training initiative is a collaborative effort to development a strong unified partner referral process. The SC Works 101 course is delivered in partnership with Midlands Technical College. In PY 2020, 10 adult education providers </w:t>
      </w:r>
      <w:r w:rsidRPr="003B4712">
        <w:rPr>
          <w:sz w:val="20"/>
          <w:szCs w:val="20"/>
        </w:rPr>
        <w:lastRenderedPageBreak/>
        <w:t xml:space="preserve">from eight of the 12 SC Workforce Development Regions completed the training program. To date, 48 adult education providers have completed the SC Works 101 course. </w:t>
      </w:r>
    </w:p>
    <w:p w14:paraId="79C21FCC" w14:textId="0162803F" w:rsidR="12BF6099" w:rsidRPr="003B4712" w:rsidRDefault="12BF6099" w:rsidP="053E4143">
      <w:pPr>
        <w:rPr>
          <w:sz w:val="20"/>
          <w:szCs w:val="20"/>
        </w:rPr>
      </w:pPr>
      <w:r w:rsidRPr="003B4712">
        <w:rPr>
          <w:sz w:val="20"/>
          <w:szCs w:val="20"/>
        </w:rPr>
        <w:t xml:space="preserve"> </w:t>
      </w:r>
    </w:p>
    <w:p w14:paraId="47D89F20" w14:textId="2ACD04D3" w:rsidR="12BF6099" w:rsidRPr="003B4712" w:rsidRDefault="12BF6099" w:rsidP="053E4143">
      <w:pPr>
        <w:rPr>
          <w:sz w:val="20"/>
          <w:szCs w:val="20"/>
        </w:rPr>
      </w:pPr>
      <w:r w:rsidRPr="003B4712">
        <w:rPr>
          <w:sz w:val="20"/>
          <w:szCs w:val="20"/>
        </w:rPr>
        <w:t>The OAE continued its effort to develop and be a part of partnership efforts to establish career pathways that provide access to employment and training services for individuals in adult education and literacy activities. During PY 20, the OAE provided training to local adult education programs on career pathways. OAE provided technical assistance in the development of IET programs. OAE also worked to create links to existing career pathways through a partnership with SC Technical College System (SCTCS), Apprenticeship Carolina Division. In this partnership, OAE and SCTCS worked to identify common elements of IET programs and the development of pre-apprenticeships to support adult education student enrollment into Registered Apprenticeship Programs (RAPs). OAE is a primary partner in three DOL grants for RAPs with SCTCS Apprenticeship Carolina Division- SC Youth Apprenticeship Readiness Initiative Grant, and State Apprenticeship Expansion Grant. The grant activities include the development or expansion of career pathways in the Health Care, Manufacturing, and Information Technology industries which targeted the development of RAPs in three SC high-demand Workforce Development Regions and the provision of support services to individual participants and business affected by COVID closures. OAE activities in the Apprenticeship grants include the development of Apprenticeship Councils in three Workforce Development Regions and the alignment of WIOA, OAE, DOL and SCTCS policies to create greater access to RAPs for adult education participants and to support students in the completion of RAPs. Local programs are monitored on the development of their career pathways and are required to outline or describe their plan for developing a career pathway as a part of the request for proposal/competitive grant award. OAE uses the LACES database to monitor local career pathway activities using College and Career Navigator Accountability Report (CNAR) codes.</w:t>
      </w:r>
    </w:p>
    <w:p w14:paraId="7F3DCE74" w14:textId="2A86A6D3" w:rsidR="12BF6099" w:rsidRPr="003B4712" w:rsidRDefault="12BF6099" w:rsidP="053E4143">
      <w:pPr>
        <w:rPr>
          <w:sz w:val="20"/>
          <w:szCs w:val="20"/>
        </w:rPr>
      </w:pPr>
      <w:r w:rsidRPr="003B4712">
        <w:rPr>
          <w:sz w:val="20"/>
          <w:szCs w:val="20"/>
        </w:rPr>
        <w:t xml:space="preserve"> </w:t>
      </w:r>
    </w:p>
    <w:p w14:paraId="0EE8F1CC" w14:textId="41B04235" w:rsidR="12BF6099" w:rsidRPr="003B4712" w:rsidRDefault="12BF6099" w:rsidP="053E4143">
      <w:pPr>
        <w:rPr>
          <w:sz w:val="20"/>
          <w:szCs w:val="20"/>
        </w:rPr>
      </w:pPr>
      <w:r w:rsidRPr="003B4712">
        <w:rPr>
          <w:sz w:val="20"/>
          <w:szCs w:val="20"/>
        </w:rPr>
        <w:t>The OAE sustained a collaborative effort with the South Carolina Vocational Rehabilitation (VR) Department, a core WIOA partner, to provide Career Readiness Certificate (CRC) preparation classes and skill-building classes at 23 VR training centers or adult education sites around the state. During the COVID Pandemic, adult education programs also provided students with free access to online CRC prep using the Worldwide Interactive Network (WIN) Learning Ready to Work Courseware. As a part of the partnership, Adult Education offered instruction in preparation for earning the CRC. During the 2020-21 PY, 170 students attended CRC preparation and skill-building classes at VR adult education sites, or through WIN Distance Education software. Of the total population served, 60%</w:t>
      </w:r>
      <w:r w:rsidRPr="003B4712">
        <w:rPr>
          <w:strike/>
          <w:sz w:val="20"/>
          <w:szCs w:val="20"/>
        </w:rPr>
        <w:t xml:space="preserve"> </w:t>
      </w:r>
      <w:r w:rsidRPr="003B4712">
        <w:rPr>
          <w:sz w:val="20"/>
          <w:szCs w:val="20"/>
        </w:rPr>
        <w:t>of participants achieved a Silver or higher CRC level, 23% achieved at least one educational functioning level gain, and approximately 2% earned a secondary credential.</w:t>
      </w:r>
    </w:p>
    <w:p w14:paraId="1990EB04" w14:textId="55C717D8" w:rsidR="12BF6099" w:rsidRPr="003B4712" w:rsidRDefault="12BF6099" w:rsidP="053E4143">
      <w:pPr>
        <w:rPr>
          <w:color w:val="000000" w:themeColor="text1"/>
          <w:sz w:val="20"/>
          <w:szCs w:val="20"/>
        </w:rPr>
      </w:pPr>
      <w:r w:rsidRPr="003B4712">
        <w:rPr>
          <w:color w:val="000000" w:themeColor="text1"/>
          <w:sz w:val="20"/>
          <w:szCs w:val="20"/>
        </w:rPr>
        <w:t xml:space="preserve">Another successful partnership is with the South Carolina Department of Social Services (SCDSS). SCDSS administers the Supplemental Nutrition Assistance Program (SNAP) Employment and Training (E &amp; T) initiative. The OAE signed an updated MOU with SCDSS in summer 2020. This MOU, which provides additional funds from SCDSS, allows local adult education providers to expand adult education services. </w:t>
      </w:r>
    </w:p>
    <w:p w14:paraId="30A5CEB6" w14:textId="46BA5C1C" w:rsidR="606F44B3" w:rsidRPr="003B4712" w:rsidRDefault="606F44B3" w:rsidP="053E4143">
      <w:pPr>
        <w:rPr>
          <w:sz w:val="20"/>
          <w:szCs w:val="20"/>
        </w:rPr>
      </w:pPr>
    </w:p>
    <w:p w14:paraId="6794AC00" w14:textId="72386508" w:rsidR="12BF6099" w:rsidRPr="003B4712" w:rsidRDefault="12BF6099" w:rsidP="053E4143">
      <w:pPr>
        <w:rPr>
          <w:sz w:val="20"/>
          <w:szCs w:val="20"/>
        </w:rPr>
      </w:pPr>
      <w:r w:rsidRPr="003B4712">
        <w:rPr>
          <w:sz w:val="20"/>
          <w:szCs w:val="20"/>
        </w:rPr>
        <w:t>In addition, the Director of the OAE serves as a member of the State Workforce Development Board and career pathway development workgroup committee member. His participation on the state board further facilitates alignment of adult education and literacy activities with other required one-stop partners. Both the State Board and workgroup subcommittee members meet on a quarterly basis.</w:t>
      </w:r>
    </w:p>
    <w:p w14:paraId="5B17A3F5" w14:textId="075046C1" w:rsidR="606F44B3" w:rsidRPr="003B4712" w:rsidRDefault="606F44B3" w:rsidP="606F44B3"/>
    <w:p w14:paraId="62DCD773" w14:textId="77777777" w:rsidR="00D13673" w:rsidRPr="003B4712" w:rsidRDefault="2D724D8C" w:rsidP="2D724D8C">
      <w:pPr>
        <w:autoSpaceDE w:val="0"/>
        <w:autoSpaceDN w:val="0"/>
        <w:adjustRightInd w:val="0"/>
        <w:rPr>
          <w:sz w:val="20"/>
          <w:szCs w:val="20"/>
        </w:rPr>
      </w:pPr>
      <w:r w:rsidRPr="003B4712">
        <w:rPr>
          <w:sz w:val="20"/>
          <w:szCs w:val="20"/>
          <w:u w:val="single"/>
        </w:rPr>
        <w:t>High Quality Professional Development</w:t>
      </w:r>
    </w:p>
    <w:p w14:paraId="374E99A2" w14:textId="2330D650" w:rsidR="00906BD9" w:rsidRPr="003B4712" w:rsidRDefault="2D724D8C" w:rsidP="00B12DEE">
      <w:pPr>
        <w:rPr>
          <w:sz w:val="20"/>
          <w:szCs w:val="20"/>
        </w:rPr>
      </w:pPr>
      <w:r w:rsidRPr="003B4712">
        <w:rPr>
          <w:sz w:val="20"/>
          <w:szCs w:val="20"/>
        </w:rPr>
        <w:t xml:space="preserve">The </w:t>
      </w:r>
      <w:r w:rsidR="47F28667" w:rsidRPr="003B4712">
        <w:rPr>
          <w:sz w:val="20"/>
          <w:szCs w:val="20"/>
        </w:rPr>
        <w:t xml:space="preserve">OAE </w:t>
      </w:r>
      <w:r w:rsidRPr="003B4712">
        <w:rPr>
          <w:sz w:val="20"/>
          <w:szCs w:val="20"/>
        </w:rPr>
        <w:t>continues its efforts to establish and provide high quality professional development to improve the instruction provided pursuant to local activities required under Section 231(b)</w:t>
      </w:r>
      <w:r w:rsidR="002D1E0E" w:rsidRPr="003B4712">
        <w:rPr>
          <w:sz w:val="20"/>
          <w:szCs w:val="20"/>
        </w:rPr>
        <w:t xml:space="preserve">. Professional development </w:t>
      </w:r>
      <w:r w:rsidR="00906BD9" w:rsidRPr="003B4712">
        <w:rPr>
          <w:sz w:val="20"/>
          <w:szCs w:val="20"/>
        </w:rPr>
        <w:t xml:space="preserve">opportunities </w:t>
      </w:r>
      <w:r w:rsidR="002D1E0E" w:rsidRPr="003B4712">
        <w:rPr>
          <w:sz w:val="20"/>
          <w:szCs w:val="20"/>
        </w:rPr>
        <w:t>included</w:t>
      </w:r>
      <w:r w:rsidR="004938DA" w:rsidRPr="003B4712">
        <w:rPr>
          <w:sz w:val="20"/>
          <w:szCs w:val="20"/>
        </w:rPr>
        <w:t xml:space="preserve"> resources and strategies for transitioning to virtual instruction,</w:t>
      </w:r>
      <w:r w:rsidR="002D1E0E" w:rsidRPr="003B4712">
        <w:rPr>
          <w:sz w:val="20"/>
          <w:szCs w:val="20"/>
        </w:rPr>
        <w:t xml:space="preserve"> </w:t>
      </w:r>
      <w:r w:rsidR="00906BD9" w:rsidRPr="003B4712">
        <w:rPr>
          <w:sz w:val="20"/>
          <w:szCs w:val="20"/>
        </w:rPr>
        <w:t>t</w:t>
      </w:r>
      <w:r w:rsidRPr="003B4712">
        <w:rPr>
          <w:sz w:val="20"/>
          <w:szCs w:val="20"/>
        </w:rPr>
        <w:t xml:space="preserve">he essential components of reading, instruction related to the specific needs of adult learners, </w:t>
      </w:r>
      <w:r w:rsidR="00906BD9" w:rsidRPr="003B4712">
        <w:rPr>
          <w:sz w:val="20"/>
          <w:szCs w:val="20"/>
        </w:rPr>
        <w:t xml:space="preserve">and the </w:t>
      </w:r>
      <w:r w:rsidRPr="003B4712">
        <w:rPr>
          <w:sz w:val="20"/>
          <w:szCs w:val="20"/>
        </w:rPr>
        <w:t>dissemination of information about models and promising practices related to these programs</w:t>
      </w:r>
      <w:r w:rsidR="002D1E0E" w:rsidRPr="003B4712">
        <w:rPr>
          <w:sz w:val="20"/>
          <w:szCs w:val="20"/>
        </w:rPr>
        <w:t>.</w:t>
      </w:r>
    </w:p>
    <w:p w14:paraId="4D42455F" w14:textId="239A706A" w:rsidR="68DA7DD0" w:rsidRPr="003B4712" w:rsidRDefault="68DA7DD0" w:rsidP="00B12DEE">
      <w:pPr>
        <w:rPr>
          <w:b/>
          <w:strike/>
          <w:sz w:val="20"/>
          <w:szCs w:val="20"/>
        </w:rPr>
      </w:pPr>
    </w:p>
    <w:p w14:paraId="0AC3F2A5" w14:textId="5DADD009" w:rsidR="687389D3" w:rsidRPr="003B4712" w:rsidRDefault="687389D3" w:rsidP="4973836A">
      <w:pPr>
        <w:rPr>
          <w:sz w:val="20"/>
          <w:szCs w:val="20"/>
        </w:rPr>
      </w:pPr>
      <w:r w:rsidRPr="003B4712">
        <w:rPr>
          <w:color w:val="000000" w:themeColor="text1"/>
          <w:sz w:val="20"/>
          <w:szCs w:val="20"/>
        </w:rPr>
        <w:t xml:space="preserve">The OAE used funds made available under section 223 to provide high quality professional development to </w:t>
      </w:r>
      <w:r w:rsidR="4921975F" w:rsidRPr="003B4712">
        <w:rPr>
          <w:color w:val="000000" w:themeColor="text1"/>
          <w:sz w:val="20"/>
          <w:szCs w:val="20"/>
        </w:rPr>
        <w:t xml:space="preserve">support </w:t>
      </w:r>
      <w:r w:rsidRPr="003B4712">
        <w:rPr>
          <w:color w:val="000000" w:themeColor="text1"/>
          <w:sz w:val="20"/>
          <w:szCs w:val="20"/>
        </w:rPr>
        <w:t xml:space="preserve">providers </w:t>
      </w:r>
      <w:r w:rsidRPr="003B4712">
        <w:rPr>
          <w:sz w:val="20"/>
          <w:szCs w:val="20"/>
        </w:rPr>
        <w:t xml:space="preserve">through the Adult Education Technical Assistance Network (TAN). </w:t>
      </w:r>
      <w:r w:rsidR="007758EA" w:rsidRPr="003B4712">
        <w:rPr>
          <w:sz w:val="20"/>
          <w:szCs w:val="20"/>
        </w:rPr>
        <w:t>T</w:t>
      </w:r>
      <w:r w:rsidRPr="003B4712">
        <w:rPr>
          <w:sz w:val="20"/>
          <w:szCs w:val="20"/>
        </w:rPr>
        <w:t xml:space="preserve">he response to delivering professional development programs virtually due to the COVID-19 pandemic was </w:t>
      </w:r>
      <w:r w:rsidR="007758EA" w:rsidRPr="003B4712">
        <w:rPr>
          <w:sz w:val="20"/>
          <w:szCs w:val="20"/>
        </w:rPr>
        <w:t xml:space="preserve">quickly </w:t>
      </w:r>
      <w:r w:rsidRPr="003B4712">
        <w:rPr>
          <w:sz w:val="20"/>
          <w:szCs w:val="20"/>
        </w:rPr>
        <w:t>coordinated throughout the state</w:t>
      </w:r>
      <w:r w:rsidR="007758EA" w:rsidRPr="003B4712">
        <w:rPr>
          <w:sz w:val="20"/>
          <w:szCs w:val="20"/>
        </w:rPr>
        <w:t xml:space="preserve"> because of the organized TAN system</w:t>
      </w:r>
      <w:r w:rsidRPr="003B4712">
        <w:rPr>
          <w:sz w:val="20"/>
          <w:szCs w:val="20"/>
        </w:rPr>
        <w:t xml:space="preserve">. </w:t>
      </w:r>
      <w:r w:rsidR="007A246F" w:rsidRPr="003B4712">
        <w:rPr>
          <w:sz w:val="20"/>
          <w:szCs w:val="20"/>
        </w:rPr>
        <w:t xml:space="preserve">The OAE surveyed local programs prior to the governor’s order for statewide school closures to </w:t>
      </w:r>
      <w:r w:rsidR="00F4424B" w:rsidRPr="003B4712">
        <w:rPr>
          <w:sz w:val="20"/>
          <w:szCs w:val="20"/>
        </w:rPr>
        <w:t>assess</w:t>
      </w:r>
      <w:r w:rsidR="007A246F" w:rsidRPr="003B4712">
        <w:rPr>
          <w:sz w:val="20"/>
          <w:szCs w:val="20"/>
        </w:rPr>
        <w:t xml:space="preserve"> program needs and distance learning plans.</w:t>
      </w:r>
      <w:r w:rsidRPr="003B4712">
        <w:rPr>
          <w:sz w:val="20"/>
          <w:szCs w:val="20"/>
        </w:rPr>
        <w:t xml:space="preserve"> </w:t>
      </w:r>
      <w:r w:rsidR="007758EA" w:rsidRPr="003B4712">
        <w:rPr>
          <w:sz w:val="20"/>
          <w:szCs w:val="20"/>
        </w:rPr>
        <w:t xml:space="preserve">The OAE </w:t>
      </w:r>
      <w:r w:rsidR="1BA5A1A0" w:rsidRPr="003B4712">
        <w:rPr>
          <w:sz w:val="20"/>
          <w:szCs w:val="20"/>
        </w:rPr>
        <w:t xml:space="preserve">continues to </w:t>
      </w:r>
      <w:r w:rsidR="007758EA" w:rsidRPr="003B4712">
        <w:rPr>
          <w:sz w:val="20"/>
          <w:szCs w:val="20"/>
        </w:rPr>
        <w:t>use</w:t>
      </w:r>
      <w:r w:rsidR="007A246F" w:rsidRPr="003B4712">
        <w:rPr>
          <w:sz w:val="20"/>
          <w:szCs w:val="20"/>
        </w:rPr>
        <w:t xml:space="preserve"> </w:t>
      </w:r>
      <w:r w:rsidRPr="003B4712">
        <w:rPr>
          <w:sz w:val="20"/>
          <w:szCs w:val="20"/>
        </w:rPr>
        <w:t>feedback from survey</w:t>
      </w:r>
      <w:r w:rsidR="2D5F8351" w:rsidRPr="003B4712">
        <w:rPr>
          <w:sz w:val="20"/>
          <w:szCs w:val="20"/>
        </w:rPr>
        <w:t>s</w:t>
      </w:r>
      <w:r w:rsidRPr="003B4712">
        <w:rPr>
          <w:sz w:val="20"/>
          <w:szCs w:val="20"/>
        </w:rPr>
        <w:t xml:space="preserve"> </w:t>
      </w:r>
      <w:r w:rsidR="007758EA" w:rsidRPr="003B4712">
        <w:rPr>
          <w:sz w:val="20"/>
          <w:szCs w:val="20"/>
        </w:rPr>
        <w:t>develop</w:t>
      </w:r>
      <w:r w:rsidR="1F8A9E67" w:rsidRPr="003B4712">
        <w:rPr>
          <w:sz w:val="20"/>
          <w:szCs w:val="20"/>
        </w:rPr>
        <w:t>ed</w:t>
      </w:r>
      <w:r w:rsidR="007758EA" w:rsidRPr="003B4712">
        <w:rPr>
          <w:sz w:val="20"/>
          <w:szCs w:val="20"/>
        </w:rPr>
        <w:t xml:space="preserve"> </w:t>
      </w:r>
      <w:r w:rsidR="71196110" w:rsidRPr="003B4712">
        <w:rPr>
          <w:sz w:val="20"/>
          <w:szCs w:val="20"/>
        </w:rPr>
        <w:t xml:space="preserve">to </w:t>
      </w:r>
      <w:r w:rsidR="007758EA" w:rsidRPr="003B4712">
        <w:rPr>
          <w:sz w:val="20"/>
          <w:szCs w:val="20"/>
        </w:rPr>
        <w:t xml:space="preserve">provide </w:t>
      </w:r>
      <w:r w:rsidR="0BA8A633" w:rsidRPr="003B4712">
        <w:rPr>
          <w:sz w:val="20"/>
          <w:szCs w:val="20"/>
        </w:rPr>
        <w:t xml:space="preserve">information on </w:t>
      </w:r>
      <w:r w:rsidRPr="003B4712">
        <w:rPr>
          <w:sz w:val="20"/>
          <w:szCs w:val="20"/>
        </w:rPr>
        <w:t xml:space="preserve">virtual professional development activities </w:t>
      </w:r>
      <w:r w:rsidR="31B5FD4F" w:rsidRPr="003B4712">
        <w:rPr>
          <w:sz w:val="20"/>
          <w:szCs w:val="20"/>
        </w:rPr>
        <w:t>that are needed</w:t>
      </w:r>
      <w:r w:rsidRPr="003B4712">
        <w:rPr>
          <w:sz w:val="20"/>
          <w:szCs w:val="20"/>
        </w:rPr>
        <w:t xml:space="preserve"> to support instructors and local programs</w:t>
      </w:r>
      <w:r w:rsidR="667AA609" w:rsidRPr="003B4712">
        <w:rPr>
          <w:sz w:val="20"/>
          <w:szCs w:val="20"/>
        </w:rPr>
        <w:t>.</w:t>
      </w:r>
      <w:r w:rsidRPr="003B4712">
        <w:rPr>
          <w:sz w:val="20"/>
          <w:szCs w:val="20"/>
        </w:rPr>
        <w:t xml:space="preserve"> </w:t>
      </w:r>
      <w:r w:rsidR="205FA2FA" w:rsidRPr="003B4712">
        <w:rPr>
          <w:sz w:val="20"/>
          <w:szCs w:val="20"/>
        </w:rPr>
        <w:t xml:space="preserve">Local adult education practitioners </w:t>
      </w:r>
      <w:r w:rsidR="007758EA" w:rsidRPr="003B4712">
        <w:rPr>
          <w:sz w:val="20"/>
          <w:szCs w:val="20"/>
        </w:rPr>
        <w:t xml:space="preserve">were </w:t>
      </w:r>
      <w:r w:rsidR="205FA2FA" w:rsidRPr="003B4712">
        <w:rPr>
          <w:sz w:val="20"/>
          <w:szCs w:val="20"/>
        </w:rPr>
        <w:t xml:space="preserve">also encouraged to utilize </w:t>
      </w:r>
      <w:r w:rsidR="007758EA" w:rsidRPr="003B4712">
        <w:rPr>
          <w:sz w:val="20"/>
          <w:szCs w:val="20"/>
        </w:rPr>
        <w:t xml:space="preserve">national </w:t>
      </w:r>
      <w:r w:rsidR="205FA2FA" w:rsidRPr="003B4712">
        <w:rPr>
          <w:sz w:val="20"/>
          <w:szCs w:val="20"/>
        </w:rPr>
        <w:t>professional development resources such as the Coalition for Adult Basic Education (COABE), the Literacy Information and Communication System (LINCS)</w:t>
      </w:r>
      <w:r w:rsidR="007758EA" w:rsidRPr="003B4712">
        <w:rPr>
          <w:sz w:val="20"/>
          <w:szCs w:val="20"/>
        </w:rPr>
        <w:t>,</w:t>
      </w:r>
      <w:r w:rsidR="205FA2FA" w:rsidRPr="003B4712">
        <w:rPr>
          <w:sz w:val="20"/>
          <w:szCs w:val="20"/>
        </w:rPr>
        <w:t xml:space="preserve"> and </w:t>
      </w:r>
      <w:proofErr w:type="spellStart"/>
      <w:r w:rsidR="205FA2FA" w:rsidRPr="003B4712">
        <w:rPr>
          <w:sz w:val="20"/>
          <w:szCs w:val="20"/>
        </w:rPr>
        <w:t>WorkforceGPS</w:t>
      </w:r>
      <w:proofErr w:type="spellEnd"/>
      <w:r w:rsidR="205FA2FA" w:rsidRPr="003B4712">
        <w:rPr>
          <w:sz w:val="20"/>
          <w:szCs w:val="20"/>
        </w:rPr>
        <w:t>.</w:t>
      </w:r>
    </w:p>
    <w:p w14:paraId="1A4066DB" w14:textId="77777777" w:rsidR="4973836A" w:rsidRPr="003B4712" w:rsidRDefault="4973836A" w:rsidP="4973836A">
      <w:pPr>
        <w:rPr>
          <w:sz w:val="20"/>
          <w:szCs w:val="20"/>
        </w:rPr>
      </w:pPr>
    </w:p>
    <w:p w14:paraId="33B6B1E6" w14:textId="6EF754EB" w:rsidR="3F49F590" w:rsidRPr="003B4712" w:rsidRDefault="3F49F590" w:rsidP="00F4424B">
      <w:pPr>
        <w:rPr>
          <w:sz w:val="20"/>
          <w:szCs w:val="20"/>
        </w:rPr>
      </w:pPr>
      <w:r w:rsidRPr="003B4712">
        <w:rPr>
          <w:sz w:val="20"/>
          <w:szCs w:val="20"/>
        </w:rPr>
        <w:lastRenderedPageBreak/>
        <w:t>The O</w:t>
      </w:r>
      <w:r w:rsidR="1A2C6C47" w:rsidRPr="003B4712">
        <w:rPr>
          <w:sz w:val="20"/>
          <w:szCs w:val="20"/>
        </w:rPr>
        <w:t>AE</w:t>
      </w:r>
      <w:r w:rsidRPr="003B4712">
        <w:rPr>
          <w:sz w:val="20"/>
          <w:szCs w:val="20"/>
        </w:rPr>
        <w:t xml:space="preserve"> </w:t>
      </w:r>
      <w:r w:rsidR="0193469D" w:rsidRPr="003B4712">
        <w:rPr>
          <w:sz w:val="20"/>
          <w:szCs w:val="20"/>
        </w:rPr>
        <w:t xml:space="preserve">continues to </w:t>
      </w:r>
      <w:r w:rsidRPr="003B4712">
        <w:rPr>
          <w:sz w:val="20"/>
          <w:szCs w:val="20"/>
        </w:rPr>
        <w:t>develop webinars</w:t>
      </w:r>
      <w:r w:rsidR="0E4DD743" w:rsidRPr="003B4712">
        <w:rPr>
          <w:sz w:val="20"/>
          <w:szCs w:val="20"/>
        </w:rPr>
        <w:t xml:space="preserve"> and</w:t>
      </w:r>
      <w:r w:rsidR="5D6BB638" w:rsidRPr="003B4712">
        <w:rPr>
          <w:sz w:val="20"/>
          <w:szCs w:val="20"/>
        </w:rPr>
        <w:t xml:space="preserve"> virtual</w:t>
      </w:r>
      <w:r w:rsidR="0E4DD743" w:rsidRPr="003B4712">
        <w:rPr>
          <w:sz w:val="20"/>
          <w:szCs w:val="20"/>
        </w:rPr>
        <w:t xml:space="preserve"> training</w:t>
      </w:r>
      <w:r w:rsidR="6E95E13A" w:rsidRPr="003B4712">
        <w:rPr>
          <w:sz w:val="20"/>
          <w:szCs w:val="20"/>
        </w:rPr>
        <w:t>s</w:t>
      </w:r>
      <w:r w:rsidRPr="003B4712">
        <w:rPr>
          <w:sz w:val="20"/>
          <w:szCs w:val="20"/>
        </w:rPr>
        <w:t xml:space="preserve"> as an </w:t>
      </w:r>
      <w:r w:rsidR="007758EA" w:rsidRPr="003B4712">
        <w:rPr>
          <w:sz w:val="20"/>
          <w:szCs w:val="20"/>
        </w:rPr>
        <w:t xml:space="preserve">ongoing </w:t>
      </w:r>
      <w:r w:rsidRPr="003B4712">
        <w:rPr>
          <w:sz w:val="20"/>
          <w:szCs w:val="20"/>
        </w:rPr>
        <w:t>means to inform, train, and support adult education programs</w:t>
      </w:r>
      <w:r w:rsidR="2007A02B" w:rsidRPr="003B4712">
        <w:rPr>
          <w:sz w:val="20"/>
          <w:szCs w:val="20"/>
        </w:rPr>
        <w:t>.</w:t>
      </w:r>
      <w:r w:rsidRPr="003B4712">
        <w:rPr>
          <w:sz w:val="20"/>
          <w:szCs w:val="20"/>
        </w:rPr>
        <w:t xml:space="preserve"> The goals of these </w:t>
      </w:r>
      <w:r w:rsidR="13930B88" w:rsidRPr="003B4712">
        <w:rPr>
          <w:sz w:val="20"/>
          <w:szCs w:val="20"/>
        </w:rPr>
        <w:t xml:space="preserve">professional development activities </w:t>
      </w:r>
      <w:r w:rsidR="007758EA" w:rsidRPr="003B4712">
        <w:rPr>
          <w:sz w:val="20"/>
          <w:szCs w:val="20"/>
        </w:rPr>
        <w:t xml:space="preserve">were </w:t>
      </w:r>
      <w:r w:rsidR="13930B88" w:rsidRPr="003B4712">
        <w:rPr>
          <w:sz w:val="20"/>
          <w:szCs w:val="20"/>
        </w:rPr>
        <w:t>to</w:t>
      </w:r>
      <w:r w:rsidR="00F4424B" w:rsidRPr="003B4712">
        <w:rPr>
          <w:sz w:val="20"/>
          <w:szCs w:val="20"/>
        </w:rPr>
        <w:t>:</w:t>
      </w:r>
    </w:p>
    <w:p w14:paraId="02D380B0" w14:textId="77777777" w:rsidR="007758EA" w:rsidRPr="003B4712" w:rsidRDefault="002232F3" w:rsidP="00062CF9">
      <w:pPr>
        <w:pStyle w:val="ListParagraph"/>
        <w:numPr>
          <w:ilvl w:val="0"/>
          <w:numId w:val="3"/>
        </w:numPr>
        <w:rPr>
          <w:sz w:val="20"/>
          <w:szCs w:val="20"/>
        </w:rPr>
      </w:pPr>
      <w:r w:rsidRPr="003B4712">
        <w:rPr>
          <w:sz w:val="20"/>
          <w:szCs w:val="20"/>
        </w:rPr>
        <w:t>provide instructors with resources and strategies for transitioning to virtual instruction</w:t>
      </w:r>
    </w:p>
    <w:p w14:paraId="06FC9DA5" w14:textId="77777777" w:rsidR="3F49F590" w:rsidRPr="003B4712" w:rsidRDefault="3F49F590" w:rsidP="00062CF9">
      <w:pPr>
        <w:pStyle w:val="ListParagraph"/>
        <w:numPr>
          <w:ilvl w:val="0"/>
          <w:numId w:val="3"/>
        </w:numPr>
        <w:rPr>
          <w:sz w:val="20"/>
          <w:szCs w:val="20"/>
        </w:rPr>
      </w:pPr>
      <w:r w:rsidRPr="003B4712">
        <w:rPr>
          <w:sz w:val="20"/>
          <w:szCs w:val="20"/>
        </w:rPr>
        <w:t xml:space="preserve">reiterate and clarify adult education policies, </w:t>
      </w:r>
      <w:proofErr w:type="gramStart"/>
      <w:r w:rsidRPr="003B4712">
        <w:rPr>
          <w:sz w:val="20"/>
          <w:szCs w:val="20"/>
        </w:rPr>
        <w:t>procedures</w:t>
      </w:r>
      <w:proofErr w:type="gramEnd"/>
      <w:r w:rsidRPr="003B4712">
        <w:rPr>
          <w:sz w:val="20"/>
          <w:szCs w:val="20"/>
        </w:rPr>
        <w:t xml:space="preserve"> and guidelines,</w:t>
      </w:r>
    </w:p>
    <w:p w14:paraId="24387988" w14:textId="77777777" w:rsidR="3F49F590" w:rsidRPr="003B4712" w:rsidRDefault="3F49F590" w:rsidP="00062CF9">
      <w:pPr>
        <w:pStyle w:val="ListParagraph"/>
        <w:numPr>
          <w:ilvl w:val="0"/>
          <w:numId w:val="3"/>
        </w:numPr>
        <w:rPr>
          <w:sz w:val="20"/>
          <w:szCs w:val="20"/>
        </w:rPr>
      </w:pPr>
      <w:r w:rsidRPr="003B4712">
        <w:rPr>
          <w:sz w:val="20"/>
          <w:szCs w:val="20"/>
        </w:rPr>
        <w:t xml:space="preserve">provide answers to questions from adult education practitioners, </w:t>
      </w:r>
    </w:p>
    <w:p w14:paraId="259B1A2C" w14:textId="77777777" w:rsidR="3F49F590" w:rsidRPr="003B4712" w:rsidRDefault="3F49F590" w:rsidP="00062CF9">
      <w:pPr>
        <w:pStyle w:val="ListParagraph"/>
        <w:numPr>
          <w:ilvl w:val="0"/>
          <w:numId w:val="3"/>
        </w:numPr>
        <w:rPr>
          <w:sz w:val="20"/>
          <w:szCs w:val="20"/>
        </w:rPr>
      </w:pPr>
      <w:r w:rsidRPr="003B4712">
        <w:rPr>
          <w:sz w:val="20"/>
          <w:szCs w:val="20"/>
        </w:rPr>
        <w:t>strengthen the implementation of adult education, and</w:t>
      </w:r>
    </w:p>
    <w:p w14:paraId="4A47CCAC" w14:textId="5252FD86" w:rsidR="3F49F590" w:rsidRPr="003B4712" w:rsidRDefault="3F49F590" w:rsidP="00062CF9">
      <w:pPr>
        <w:pStyle w:val="ListParagraph"/>
        <w:numPr>
          <w:ilvl w:val="0"/>
          <w:numId w:val="3"/>
        </w:numPr>
        <w:rPr>
          <w:sz w:val="20"/>
          <w:szCs w:val="20"/>
        </w:rPr>
      </w:pPr>
      <w:r w:rsidRPr="003B4712">
        <w:rPr>
          <w:sz w:val="20"/>
          <w:szCs w:val="20"/>
        </w:rPr>
        <w:t>present new and innovative information that affect</w:t>
      </w:r>
      <w:r w:rsidR="002232F3" w:rsidRPr="003B4712">
        <w:rPr>
          <w:sz w:val="20"/>
          <w:szCs w:val="20"/>
        </w:rPr>
        <w:t>s</w:t>
      </w:r>
      <w:r w:rsidRPr="003B4712">
        <w:rPr>
          <w:sz w:val="20"/>
          <w:szCs w:val="20"/>
        </w:rPr>
        <w:t xml:space="preserve"> adult education programs.</w:t>
      </w:r>
    </w:p>
    <w:p w14:paraId="5D6B3DF0" w14:textId="77777777" w:rsidR="4973836A" w:rsidRPr="003B4712" w:rsidRDefault="4973836A" w:rsidP="00F4424B">
      <w:pPr>
        <w:rPr>
          <w:sz w:val="20"/>
          <w:szCs w:val="20"/>
        </w:rPr>
      </w:pPr>
    </w:p>
    <w:p w14:paraId="76341140" w14:textId="47E4B130" w:rsidR="00A73C81" w:rsidRPr="003B4712" w:rsidRDefault="002232F3" w:rsidP="2D724D8C">
      <w:pPr>
        <w:pStyle w:val="BodyText"/>
        <w:jc w:val="left"/>
        <w:rPr>
          <w:rFonts w:ascii="Times New Roman" w:hAnsi="Times New Roman"/>
          <w:b w:val="0"/>
          <w:sz w:val="20"/>
          <w:szCs w:val="20"/>
        </w:rPr>
      </w:pPr>
      <w:r w:rsidRPr="003B4712">
        <w:rPr>
          <w:rFonts w:ascii="Times New Roman" w:hAnsi="Times New Roman"/>
          <w:b w:val="0"/>
          <w:sz w:val="20"/>
          <w:szCs w:val="20"/>
        </w:rPr>
        <w:t>S</w:t>
      </w:r>
      <w:r w:rsidR="2D724D8C" w:rsidRPr="003B4712">
        <w:rPr>
          <w:rFonts w:ascii="Times New Roman" w:hAnsi="Times New Roman"/>
          <w:b w:val="0"/>
          <w:sz w:val="20"/>
          <w:szCs w:val="20"/>
        </w:rPr>
        <w:t xml:space="preserve">tatewide training opportunities are offered </w:t>
      </w:r>
      <w:r w:rsidRPr="003B4712">
        <w:rPr>
          <w:rFonts w:ascii="Times New Roman" w:hAnsi="Times New Roman"/>
          <w:b w:val="0"/>
          <w:sz w:val="20"/>
          <w:szCs w:val="20"/>
        </w:rPr>
        <w:t xml:space="preserve">annually </w:t>
      </w:r>
      <w:r w:rsidR="2D724D8C" w:rsidRPr="003B4712">
        <w:rPr>
          <w:rFonts w:ascii="Times New Roman" w:hAnsi="Times New Roman"/>
          <w:b w:val="0"/>
          <w:sz w:val="20"/>
          <w:szCs w:val="20"/>
        </w:rPr>
        <w:t xml:space="preserve">during the spring and fall for both paid and volunteer adult education practitioners. These training institutes are a platform to inform adult education practitioners of priorities and changes and to educate them on new practices and tools. </w:t>
      </w:r>
      <w:r w:rsidRPr="003B4712">
        <w:rPr>
          <w:rFonts w:ascii="Times New Roman" w:hAnsi="Times New Roman"/>
          <w:b w:val="0"/>
          <w:sz w:val="20"/>
          <w:szCs w:val="20"/>
        </w:rPr>
        <w:t xml:space="preserve">During PY </w:t>
      </w:r>
      <w:r w:rsidRPr="003B4712">
        <w:rPr>
          <w:rFonts w:ascii="Times New Roman" w:hAnsi="Times New Roman"/>
          <w:b w:val="0"/>
          <w:bCs w:val="0"/>
          <w:sz w:val="20"/>
          <w:szCs w:val="20"/>
        </w:rPr>
        <w:t>20</w:t>
      </w:r>
      <w:r w:rsidR="7794E730" w:rsidRPr="003B4712">
        <w:rPr>
          <w:rFonts w:ascii="Times New Roman" w:hAnsi="Times New Roman"/>
          <w:b w:val="0"/>
          <w:bCs w:val="0"/>
          <w:sz w:val="20"/>
          <w:szCs w:val="20"/>
        </w:rPr>
        <w:t>20</w:t>
      </w:r>
      <w:r w:rsidRPr="003B4712">
        <w:rPr>
          <w:rFonts w:ascii="Times New Roman" w:hAnsi="Times New Roman"/>
          <w:b w:val="0"/>
          <w:sz w:val="20"/>
          <w:szCs w:val="20"/>
        </w:rPr>
        <w:t>, p</w:t>
      </w:r>
      <w:r w:rsidR="2D724D8C" w:rsidRPr="003B4712">
        <w:rPr>
          <w:rFonts w:ascii="Times New Roman" w:hAnsi="Times New Roman"/>
          <w:b w:val="0"/>
          <w:sz w:val="20"/>
          <w:szCs w:val="20"/>
        </w:rPr>
        <w:t xml:space="preserve">rofessional development focused on </w:t>
      </w:r>
      <w:r w:rsidRPr="003B4712">
        <w:rPr>
          <w:rFonts w:ascii="Times New Roman" w:hAnsi="Times New Roman"/>
          <w:b w:val="0"/>
          <w:sz w:val="20"/>
          <w:szCs w:val="20"/>
        </w:rPr>
        <w:t>distance learning</w:t>
      </w:r>
      <w:r w:rsidR="00F4424B" w:rsidRPr="003B4712">
        <w:rPr>
          <w:rFonts w:ascii="Times New Roman" w:hAnsi="Times New Roman"/>
          <w:b w:val="0"/>
          <w:sz w:val="20"/>
          <w:szCs w:val="20"/>
        </w:rPr>
        <w:t xml:space="preserve"> resources and strategies</w:t>
      </w:r>
      <w:r w:rsidRPr="003B4712">
        <w:rPr>
          <w:rFonts w:ascii="Times New Roman" w:hAnsi="Times New Roman"/>
          <w:b w:val="0"/>
          <w:sz w:val="20"/>
          <w:szCs w:val="20"/>
        </w:rPr>
        <w:t xml:space="preserve">, </w:t>
      </w:r>
      <w:r w:rsidR="2D724D8C" w:rsidRPr="003B4712">
        <w:rPr>
          <w:rFonts w:ascii="Times New Roman" w:hAnsi="Times New Roman"/>
          <w:b w:val="0"/>
          <w:sz w:val="20"/>
          <w:szCs w:val="20"/>
        </w:rPr>
        <w:t>WIOA, standards</w:t>
      </w:r>
      <w:r w:rsidRPr="003B4712">
        <w:rPr>
          <w:rFonts w:ascii="Times New Roman" w:hAnsi="Times New Roman"/>
          <w:b w:val="0"/>
          <w:sz w:val="20"/>
          <w:szCs w:val="20"/>
        </w:rPr>
        <w:t>-based instruction</w:t>
      </w:r>
      <w:r w:rsidR="2D724D8C" w:rsidRPr="003B4712">
        <w:rPr>
          <w:rFonts w:ascii="Times New Roman" w:hAnsi="Times New Roman"/>
          <w:b w:val="0"/>
          <w:sz w:val="20"/>
          <w:szCs w:val="20"/>
        </w:rPr>
        <w:t xml:space="preserve">, career pathways, digital literacy, math and reading instruction, </w:t>
      </w:r>
      <w:r w:rsidR="712E50CC" w:rsidRPr="003B4712">
        <w:rPr>
          <w:rFonts w:ascii="Times New Roman" w:hAnsi="Times New Roman"/>
          <w:b w:val="0"/>
          <w:bCs w:val="0"/>
          <w:sz w:val="20"/>
          <w:szCs w:val="20"/>
        </w:rPr>
        <w:t xml:space="preserve">workplace literacy, integrated education and training, </w:t>
      </w:r>
      <w:r w:rsidR="2D724D8C" w:rsidRPr="003B4712">
        <w:rPr>
          <w:rFonts w:ascii="Times New Roman" w:hAnsi="Times New Roman"/>
          <w:b w:val="0"/>
          <w:bCs w:val="0"/>
          <w:sz w:val="20"/>
          <w:szCs w:val="20"/>
        </w:rPr>
        <w:t xml:space="preserve">and </w:t>
      </w:r>
      <w:r w:rsidR="3B2935D8" w:rsidRPr="003B4712">
        <w:rPr>
          <w:rFonts w:ascii="Times New Roman" w:hAnsi="Times New Roman"/>
          <w:b w:val="0"/>
          <w:bCs w:val="0"/>
          <w:sz w:val="20"/>
          <w:szCs w:val="20"/>
        </w:rPr>
        <w:t>additional</w:t>
      </w:r>
      <w:r w:rsidR="2D724D8C" w:rsidRPr="003B4712">
        <w:rPr>
          <w:rFonts w:ascii="Times New Roman" w:hAnsi="Times New Roman"/>
          <w:b w:val="0"/>
          <w:sz w:val="20"/>
          <w:szCs w:val="20"/>
        </w:rPr>
        <w:t xml:space="preserve"> topics related to the specific needs of adult learners.</w:t>
      </w:r>
    </w:p>
    <w:p w14:paraId="4686C820" w14:textId="77777777" w:rsidR="00A73C81" w:rsidRPr="003B4712" w:rsidRDefault="00A73C81" w:rsidP="2D724D8C">
      <w:pPr>
        <w:pStyle w:val="BodyText"/>
        <w:rPr>
          <w:rFonts w:ascii="Times New Roman" w:hAnsi="Times New Roman"/>
          <w:b w:val="0"/>
          <w:bCs w:val="0"/>
          <w:sz w:val="20"/>
          <w:szCs w:val="20"/>
        </w:rPr>
      </w:pPr>
    </w:p>
    <w:p w14:paraId="3BB8417A" w14:textId="264DFBCA" w:rsidR="552DB5F2" w:rsidRPr="003B4712" w:rsidRDefault="2D724D8C" w:rsidP="4973836A">
      <w:pPr>
        <w:pStyle w:val="BodyText"/>
        <w:jc w:val="left"/>
        <w:rPr>
          <w:rFonts w:ascii="Times New Roman" w:hAnsi="Times New Roman"/>
          <w:b w:val="0"/>
          <w:sz w:val="20"/>
          <w:szCs w:val="20"/>
        </w:rPr>
      </w:pPr>
      <w:r w:rsidRPr="003B4712">
        <w:rPr>
          <w:rFonts w:ascii="Times New Roman" w:hAnsi="Times New Roman"/>
          <w:b w:val="0"/>
          <w:sz w:val="20"/>
          <w:szCs w:val="20"/>
        </w:rPr>
        <w:t xml:space="preserve">Graduate level courses are offered each summer as an additional learning opportunity for all adult education practitioners at low to no cost. </w:t>
      </w:r>
      <w:r w:rsidR="6C0D75BC" w:rsidRPr="003B4712">
        <w:rPr>
          <w:rFonts w:ascii="Times New Roman" w:hAnsi="Times New Roman"/>
          <w:b w:val="0"/>
          <w:bCs w:val="0"/>
          <w:sz w:val="20"/>
          <w:szCs w:val="20"/>
        </w:rPr>
        <w:t xml:space="preserve">The following </w:t>
      </w:r>
      <w:r w:rsidR="16B93AEE" w:rsidRPr="003B4712">
        <w:rPr>
          <w:rFonts w:ascii="Times New Roman" w:hAnsi="Times New Roman"/>
          <w:b w:val="0"/>
          <w:bCs w:val="0"/>
          <w:sz w:val="20"/>
          <w:szCs w:val="20"/>
        </w:rPr>
        <w:t>six</w:t>
      </w:r>
      <w:r w:rsidR="63B9F26C" w:rsidRPr="003B4712">
        <w:rPr>
          <w:rFonts w:ascii="Times New Roman" w:hAnsi="Times New Roman"/>
          <w:b w:val="0"/>
          <w:bCs w:val="0"/>
          <w:sz w:val="20"/>
          <w:szCs w:val="20"/>
        </w:rPr>
        <w:t xml:space="preserve"> </w:t>
      </w:r>
      <w:r w:rsidR="01742028" w:rsidRPr="003B4712">
        <w:rPr>
          <w:rFonts w:ascii="Times New Roman" w:hAnsi="Times New Roman"/>
          <w:b w:val="0"/>
          <w:bCs w:val="0"/>
          <w:sz w:val="20"/>
          <w:szCs w:val="20"/>
        </w:rPr>
        <w:t>(</w:t>
      </w:r>
      <w:r w:rsidR="34D7CEED" w:rsidRPr="003B4712">
        <w:rPr>
          <w:rFonts w:ascii="Times New Roman" w:hAnsi="Times New Roman"/>
          <w:b w:val="0"/>
          <w:bCs w:val="0"/>
          <w:sz w:val="20"/>
          <w:szCs w:val="20"/>
        </w:rPr>
        <w:t>6</w:t>
      </w:r>
      <w:r w:rsidR="01742028" w:rsidRPr="003B4712">
        <w:rPr>
          <w:rFonts w:ascii="Times New Roman" w:hAnsi="Times New Roman"/>
          <w:b w:val="0"/>
          <w:sz w:val="20"/>
          <w:szCs w:val="20"/>
        </w:rPr>
        <w:t>)</w:t>
      </w:r>
      <w:r w:rsidR="27D46F03" w:rsidRPr="003B4712">
        <w:rPr>
          <w:rFonts w:ascii="Times New Roman" w:hAnsi="Times New Roman"/>
          <w:b w:val="0"/>
          <w:sz w:val="20"/>
          <w:szCs w:val="20"/>
        </w:rPr>
        <w:t xml:space="preserve"> </w:t>
      </w:r>
      <w:r w:rsidRPr="003B4712">
        <w:rPr>
          <w:rFonts w:ascii="Times New Roman" w:hAnsi="Times New Roman"/>
          <w:b w:val="0"/>
          <w:sz w:val="20"/>
          <w:szCs w:val="20"/>
        </w:rPr>
        <w:t xml:space="preserve">courses were offered </w:t>
      </w:r>
      <w:r w:rsidR="0CBBE6E8" w:rsidRPr="003B4712">
        <w:rPr>
          <w:rFonts w:ascii="Times New Roman" w:hAnsi="Times New Roman"/>
          <w:b w:val="0"/>
          <w:sz w:val="20"/>
          <w:szCs w:val="20"/>
        </w:rPr>
        <w:t xml:space="preserve">virtually </w:t>
      </w:r>
      <w:r w:rsidRPr="003B4712">
        <w:rPr>
          <w:rFonts w:ascii="Times New Roman" w:hAnsi="Times New Roman"/>
          <w:b w:val="0"/>
          <w:sz w:val="20"/>
          <w:szCs w:val="20"/>
        </w:rPr>
        <w:t xml:space="preserve">during the </w:t>
      </w:r>
      <w:r w:rsidRPr="003B4712">
        <w:rPr>
          <w:rFonts w:ascii="Times New Roman" w:hAnsi="Times New Roman"/>
          <w:b w:val="0"/>
          <w:bCs w:val="0"/>
          <w:sz w:val="20"/>
          <w:szCs w:val="20"/>
        </w:rPr>
        <w:t>20</w:t>
      </w:r>
      <w:r w:rsidR="54A7DED1" w:rsidRPr="003B4712">
        <w:rPr>
          <w:rFonts w:ascii="Times New Roman" w:hAnsi="Times New Roman"/>
          <w:b w:val="0"/>
          <w:bCs w:val="0"/>
          <w:sz w:val="20"/>
          <w:szCs w:val="20"/>
        </w:rPr>
        <w:t>2</w:t>
      </w:r>
      <w:r w:rsidR="5BD6C33F" w:rsidRPr="003B4712">
        <w:rPr>
          <w:rFonts w:ascii="Times New Roman" w:hAnsi="Times New Roman"/>
          <w:b w:val="0"/>
          <w:bCs w:val="0"/>
          <w:sz w:val="20"/>
          <w:szCs w:val="20"/>
        </w:rPr>
        <w:t>1</w:t>
      </w:r>
      <w:r w:rsidRPr="003B4712">
        <w:rPr>
          <w:rFonts w:ascii="Times New Roman" w:hAnsi="Times New Roman"/>
          <w:b w:val="0"/>
          <w:sz w:val="20"/>
          <w:szCs w:val="20"/>
        </w:rPr>
        <w:t xml:space="preserve"> SC Adult Education Summer Academy:</w:t>
      </w:r>
      <w:r w:rsidRPr="003B4712">
        <w:rPr>
          <w:rFonts w:ascii="Times New Roman" w:hAnsi="Times New Roman"/>
          <w:b w:val="0"/>
          <w:bCs w:val="0"/>
          <w:sz w:val="20"/>
          <w:szCs w:val="20"/>
        </w:rPr>
        <w:t xml:space="preserve"> </w:t>
      </w:r>
    </w:p>
    <w:p w14:paraId="26B4B499" w14:textId="77777777" w:rsidR="552DB5F2" w:rsidRPr="003B4712" w:rsidRDefault="552DB5F2" w:rsidP="2D724D8C">
      <w:pPr>
        <w:pStyle w:val="BodyText"/>
        <w:jc w:val="left"/>
        <w:rPr>
          <w:rFonts w:ascii="Times New Roman" w:hAnsi="Times New Roman"/>
          <w:b w:val="0"/>
          <w:sz w:val="20"/>
          <w:szCs w:val="20"/>
        </w:rPr>
      </w:pPr>
    </w:p>
    <w:p w14:paraId="7D810BCC" w14:textId="120643EE" w:rsidR="552DB5F2" w:rsidRPr="003B4712" w:rsidRDefault="2D724D8C" w:rsidP="2D724D8C">
      <w:pPr>
        <w:pStyle w:val="BodyText"/>
        <w:numPr>
          <w:ilvl w:val="0"/>
          <w:numId w:val="24"/>
        </w:numPr>
        <w:jc w:val="left"/>
        <w:rPr>
          <w:rFonts w:ascii="Arial" w:hAnsi="Arial" w:cs="Arial"/>
          <w:b w:val="0"/>
          <w:bCs w:val="0"/>
          <w:sz w:val="20"/>
          <w:szCs w:val="20"/>
        </w:rPr>
      </w:pPr>
      <w:r w:rsidRPr="003B4712">
        <w:rPr>
          <w:rFonts w:ascii="Times New Roman" w:hAnsi="Times New Roman"/>
          <w:b w:val="0"/>
          <w:sz w:val="20"/>
          <w:szCs w:val="20"/>
        </w:rPr>
        <w:t xml:space="preserve">Fundamentals of Adult Education: Program Development, </w:t>
      </w:r>
      <w:proofErr w:type="gramStart"/>
      <w:r w:rsidRPr="003B4712">
        <w:rPr>
          <w:rFonts w:ascii="Times New Roman" w:hAnsi="Times New Roman"/>
          <w:b w:val="0"/>
          <w:sz w:val="20"/>
          <w:szCs w:val="20"/>
        </w:rPr>
        <w:t>Design</w:t>
      </w:r>
      <w:proofErr w:type="gramEnd"/>
      <w:r w:rsidRPr="003B4712">
        <w:rPr>
          <w:rFonts w:ascii="Times New Roman" w:hAnsi="Times New Roman"/>
          <w:b w:val="0"/>
          <w:sz w:val="20"/>
          <w:szCs w:val="20"/>
        </w:rPr>
        <w:t xml:space="preserve"> and Implementation</w:t>
      </w:r>
      <w:r w:rsidRPr="003B4712">
        <w:rPr>
          <w:rFonts w:ascii="Times New Roman" w:hAnsi="Times New Roman"/>
          <w:b w:val="0"/>
          <w:bCs w:val="0"/>
          <w:sz w:val="20"/>
          <w:szCs w:val="20"/>
        </w:rPr>
        <w:t xml:space="preserve"> </w:t>
      </w:r>
    </w:p>
    <w:p w14:paraId="5AAE967B" w14:textId="77777777" w:rsidR="552DB5F2" w:rsidRPr="003B4712" w:rsidRDefault="2D724D8C" w:rsidP="2D724D8C">
      <w:pPr>
        <w:pStyle w:val="BodyText"/>
        <w:numPr>
          <w:ilvl w:val="0"/>
          <w:numId w:val="24"/>
        </w:numPr>
        <w:jc w:val="left"/>
        <w:rPr>
          <w:rFonts w:ascii="Arial" w:hAnsi="Arial" w:cs="Arial"/>
          <w:b w:val="0"/>
          <w:bCs w:val="0"/>
          <w:sz w:val="20"/>
          <w:szCs w:val="20"/>
        </w:rPr>
      </w:pPr>
      <w:r w:rsidRPr="003B4712">
        <w:rPr>
          <w:rFonts w:ascii="Times New Roman" w:hAnsi="Times New Roman"/>
          <w:b w:val="0"/>
          <w:sz w:val="20"/>
          <w:szCs w:val="20"/>
        </w:rPr>
        <w:t>Digital Literacy in Adult Education</w:t>
      </w:r>
      <w:r w:rsidRPr="003B4712">
        <w:rPr>
          <w:rFonts w:ascii="Times New Roman" w:hAnsi="Times New Roman"/>
          <w:b w:val="0"/>
          <w:bCs w:val="0"/>
          <w:sz w:val="20"/>
          <w:szCs w:val="20"/>
        </w:rPr>
        <w:t xml:space="preserve"> </w:t>
      </w:r>
    </w:p>
    <w:p w14:paraId="76CFD2CF" w14:textId="7BDE0D8E" w:rsidR="552DB5F2" w:rsidRPr="003B4712" w:rsidRDefault="7C7243EA" w:rsidP="2D724D8C">
      <w:pPr>
        <w:pStyle w:val="BodyText"/>
        <w:numPr>
          <w:ilvl w:val="0"/>
          <w:numId w:val="24"/>
        </w:numPr>
        <w:jc w:val="left"/>
        <w:rPr>
          <w:rFonts w:ascii="Arial" w:hAnsi="Arial" w:cs="Arial"/>
          <w:b w:val="0"/>
          <w:bCs w:val="0"/>
          <w:sz w:val="20"/>
          <w:szCs w:val="20"/>
        </w:rPr>
      </w:pPr>
      <w:r w:rsidRPr="003B4712">
        <w:rPr>
          <w:rFonts w:ascii="Times New Roman" w:hAnsi="Times New Roman"/>
          <w:b w:val="0"/>
          <w:bCs w:val="0"/>
          <w:sz w:val="20"/>
          <w:szCs w:val="20"/>
        </w:rPr>
        <w:t xml:space="preserve">ESL Academy I - </w:t>
      </w:r>
      <w:r w:rsidR="2D724D8C" w:rsidRPr="003B4712">
        <w:rPr>
          <w:rFonts w:ascii="Times New Roman" w:hAnsi="Times New Roman"/>
          <w:b w:val="0"/>
          <w:sz w:val="20"/>
          <w:szCs w:val="20"/>
        </w:rPr>
        <w:t>Teaching English Literacy to Adult Learners</w:t>
      </w:r>
      <w:r w:rsidR="2D724D8C" w:rsidRPr="003B4712">
        <w:rPr>
          <w:rFonts w:ascii="Times New Roman" w:hAnsi="Times New Roman"/>
          <w:b w:val="0"/>
          <w:bCs w:val="0"/>
          <w:sz w:val="20"/>
          <w:szCs w:val="20"/>
        </w:rPr>
        <w:t xml:space="preserve"> </w:t>
      </w:r>
    </w:p>
    <w:p w14:paraId="659E304D" w14:textId="77777777" w:rsidR="552DB5F2" w:rsidRPr="003B4712" w:rsidRDefault="2D724D8C" w:rsidP="2D724D8C">
      <w:pPr>
        <w:pStyle w:val="BodyText"/>
        <w:numPr>
          <w:ilvl w:val="0"/>
          <w:numId w:val="24"/>
        </w:numPr>
        <w:jc w:val="left"/>
        <w:rPr>
          <w:rFonts w:ascii="Arial" w:hAnsi="Arial" w:cs="Arial"/>
          <w:b w:val="0"/>
          <w:bCs w:val="0"/>
          <w:sz w:val="20"/>
          <w:szCs w:val="20"/>
        </w:rPr>
      </w:pPr>
      <w:r w:rsidRPr="003B4712">
        <w:rPr>
          <w:rFonts w:ascii="Times New Roman" w:hAnsi="Times New Roman"/>
          <w:b w:val="0"/>
          <w:sz w:val="20"/>
          <w:szCs w:val="20"/>
        </w:rPr>
        <w:t>Content Area Reading &amp; Writing for Adult Educators</w:t>
      </w:r>
    </w:p>
    <w:p w14:paraId="00AFED37" w14:textId="1D4044CE" w:rsidR="553B118F" w:rsidRPr="003B4712" w:rsidRDefault="553B118F" w:rsidP="4973836A">
      <w:pPr>
        <w:pStyle w:val="BodyText"/>
        <w:numPr>
          <w:ilvl w:val="0"/>
          <w:numId w:val="24"/>
        </w:numPr>
        <w:jc w:val="left"/>
        <w:rPr>
          <w:b w:val="0"/>
          <w:bCs w:val="0"/>
          <w:sz w:val="20"/>
          <w:szCs w:val="20"/>
        </w:rPr>
      </w:pPr>
      <w:r w:rsidRPr="003B4712">
        <w:rPr>
          <w:rFonts w:ascii="Times New Roman" w:hAnsi="Times New Roman"/>
          <w:b w:val="0"/>
          <w:sz w:val="20"/>
          <w:szCs w:val="20"/>
        </w:rPr>
        <w:t xml:space="preserve">Instructional </w:t>
      </w:r>
      <w:r w:rsidR="3766C855" w:rsidRPr="003B4712">
        <w:rPr>
          <w:rFonts w:ascii="Times New Roman" w:hAnsi="Times New Roman"/>
          <w:b w:val="0"/>
          <w:bCs w:val="0"/>
          <w:sz w:val="20"/>
          <w:szCs w:val="20"/>
        </w:rPr>
        <w:t>Practices: Reading in</w:t>
      </w:r>
      <w:r w:rsidRPr="003B4712">
        <w:rPr>
          <w:rFonts w:ascii="Times New Roman" w:hAnsi="Times New Roman"/>
          <w:b w:val="0"/>
          <w:sz w:val="20"/>
          <w:szCs w:val="20"/>
        </w:rPr>
        <w:t xml:space="preserve"> Adult Education</w:t>
      </w:r>
    </w:p>
    <w:p w14:paraId="782C1864" w14:textId="77777777" w:rsidR="65C0D1C1" w:rsidRPr="003B4712" w:rsidRDefault="65C0D1C1" w:rsidP="4973836A">
      <w:pPr>
        <w:pStyle w:val="BodyText"/>
        <w:numPr>
          <w:ilvl w:val="0"/>
          <w:numId w:val="24"/>
        </w:numPr>
        <w:jc w:val="left"/>
        <w:rPr>
          <w:b w:val="0"/>
          <w:bCs w:val="0"/>
          <w:sz w:val="20"/>
          <w:szCs w:val="20"/>
          <w:u w:val="single"/>
        </w:rPr>
      </w:pPr>
      <w:r w:rsidRPr="003B4712">
        <w:rPr>
          <w:rFonts w:ascii="Times New Roman" w:hAnsi="Times New Roman"/>
          <w:b w:val="0"/>
          <w:sz w:val="20"/>
          <w:szCs w:val="20"/>
        </w:rPr>
        <w:t>Global Career Development Facilitator</w:t>
      </w:r>
    </w:p>
    <w:p w14:paraId="4EB0A41F" w14:textId="77777777" w:rsidR="552DB5F2" w:rsidRPr="003B4712" w:rsidRDefault="552DB5F2" w:rsidP="2D724D8C">
      <w:pPr>
        <w:pStyle w:val="BodyText"/>
        <w:jc w:val="left"/>
        <w:rPr>
          <w:rFonts w:ascii="Times New Roman" w:hAnsi="Times New Roman"/>
          <w:b w:val="0"/>
          <w:bCs w:val="0"/>
          <w:sz w:val="20"/>
          <w:szCs w:val="20"/>
        </w:rPr>
      </w:pPr>
    </w:p>
    <w:p w14:paraId="69951EF0" w14:textId="609D6623" w:rsidR="68DA7DD0" w:rsidRPr="003B4712" w:rsidRDefault="2D724D8C" w:rsidP="2D724D8C">
      <w:pPr>
        <w:pStyle w:val="BodyText"/>
        <w:jc w:val="left"/>
        <w:rPr>
          <w:rFonts w:ascii="Times New Roman" w:hAnsi="Times New Roman"/>
          <w:b w:val="0"/>
          <w:sz w:val="20"/>
          <w:szCs w:val="20"/>
        </w:rPr>
      </w:pPr>
      <w:r w:rsidRPr="003B4712">
        <w:rPr>
          <w:rFonts w:ascii="Times New Roman" w:hAnsi="Times New Roman"/>
          <w:b w:val="0"/>
          <w:sz w:val="20"/>
          <w:szCs w:val="20"/>
        </w:rPr>
        <w:t xml:space="preserve">In addition to large scale professional development activities, small group and regional/local trainings, meetings, and webinars </w:t>
      </w:r>
      <w:r w:rsidR="00F4424B" w:rsidRPr="003B4712">
        <w:rPr>
          <w:rFonts w:ascii="Times New Roman" w:hAnsi="Times New Roman"/>
          <w:b w:val="0"/>
          <w:sz w:val="20"/>
          <w:szCs w:val="20"/>
        </w:rPr>
        <w:t>were provided</w:t>
      </w:r>
      <w:r w:rsidRPr="003B4712">
        <w:rPr>
          <w:rFonts w:ascii="Times New Roman" w:hAnsi="Times New Roman"/>
          <w:b w:val="0"/>
          <w:sz w:val="20"/>
          <w:szCs w:val="20"/>
        </w:rPr>
        <w:t xml:space="preserve"> to share information on national and local models and promising practices. Training will continue for local adult education and literacy providers using the many resources available locally, </w:t>
      </w:r>
      <w:r w:rsidR="00F4424B" w:rsidRPr="003B4712">
        <w:rPr>
          <w:rFonts w:ascii="Times New Roman" w:hAnsi="Times New Roman"/>
          <w:b w:val="0"/>
          <w:sz w:val="20"/>
          <w:szCs w:val="20"/>
        </w:rPr>
        <w:t>statewide</w:t>
      </w:r>
      <w:r w:rsidRPr="003B4712">
        <w:rPr>
          <w:rFonts w:ascii="Times New Roman" w:hAnsi="Times New Roman"/>
          <w:b w:val="0"/>
          <w:sz w:val="20"/>
          <w:szCs w:val="20"/>
        </w:rPr>
        <w:t>, and nationally</w:t>
      </w:r>
      <w:r w:rsidR="002D1E0E" w:rsidRPr="003B4712">
        <w:rPr>
          <w:rFonts w:ascii="Times New Roman" w:hAnsi="Times New Roman"/>
          <w:b w:val="0"/>
          <w:sz w:val="20"/>
          <w:szCs w:val="20"/>
        </w:rPr>
        <w:t xml:space="preserve">. </w:t>
      </w:r>
      <w:r w:rsidRPr="003B4712">
        <w:rPr>
          <w:rFonts w:ascii="Times New Roman" w:hAnsi="Times New Roman"/>
          <w:b w:val="0"/>
          <w:sz w:val="20"/>
          <w:szCs w:val="20"/>
        </w:rPr>
        <w:t xml:space="preserve">OAE has worked to place a stronger emphasis to ensure that training and materials </w:t>
      </w:r>
      <w:r w:rsidR="00F4424B" w:rsidRPr="003B4712">
        <w:rPr>
          <w:rFonts w:ascii="Times New Roman" w:hAnsi="Times New Roman"/>
          <w:b w:val="0"/>
          <w:sz w:val="20"/>
          <w:szCs w:val="20"/>
        </w:rPr>
        <w:t xml:space="preserve">incorporate data- and </w:t>
      </w:r>
      <w:r w:rsidRPr="003B4712">
        <w:rPr>
          <w:rFonts w:ascii="Times New Roman" w:hAnsi="Times New Roman"/>
          <w:b w:val="0"/>
          <w:sz w:val="20"/>
          <w:szCs w:val="20"/>
        </w:rPr>
        <w:t>research-based components</w:t>
      </w:r>
      <w:r w:rsidR="00F4424B" w:rsidRPr="003B4712">
        <w:rPr>
          <w:rFonts w:ascii="Times New Roman" w:hAnsi="Times New Roman"/>
          <w:b w:val="0"/>
          <w:sz w:val="20"/>
          <w:szCs w:val="20"/>
        </w:rPr>
        <w:t>.</w:t>
      </w:r>
    </w:p>
    <w:p w14:paraId="18D0C9B0" w14:textId="77777777" w:rsidR="00A73C81" w:rsidRPr="003B4712" w:rsidRDefault="00A73C81" w:rsidP="2D724D8C">
      <w:pPr>
        <w:pStyle w:val="BodyText"/>
        <w:jc w:val="left"/>
        <w:rPr>
          <w:rFonts w:ascii="Times New Roman" w:hAnsi="Times New Roman"/>
          <w:b w:val="0"/>
          <w:sz w:val="20"/>
          <w:szCs w:val="20"/>
        </w:rPr>
      </w:pPr>
    </w:p>
    <w:p w14:paraId="1CD61904" w14:textId="78CF8BE2" w:rsidR="00A73C81" w:rsidRPr="003B4712" w:rsidRDefault="2D724D8C" w:rsidP="2D724D8C">
      <w:pPr>
        <w:pStyle w:val="BodyText"/>
        <w:jc w:val="left"/>
        <w:rPr>
          <w:rFonts w:ascii="Times New Roman" w:hAnsi="Times New Roman"/>
          <w:b w:val="0"/>
          <w:strike/>
          <w:sz w:val="20"/>
          <w:szCs w:val="20"/>
        </w:rPr>
      </w:pPr>
      <w:r w:rsidRPr="003B4712">
        <w:rPr>
          <w:rFonts w:ascii="Times New Roman" w:hAnsi="Times New Roman"/>
          <w:b w:val="0"/>
          <w:sz w:val="20"/>
          <w:szCs w:val="20"/>
        </w:rPr>
        <w:t xml:space="preserve">Participants </w:t>
      </w:r>
      <w:r w:rsidR="00F4424B" w:rsidRPr="003B4712">
        <w:rPr>
          <w:rFonts w:ascii="Times New Roman" w:hAnsi="Times New Roman"/>
          <w:b w:val="0"/>
          <w:sz w:val="20"/>
          <w:szCs w:val="20"/>
        </w:rPr>
        <w:t xml:space="preserve">were </w:t>
      </w:r>
      <w:r w:rsidRPr="003B4712">
        <w:rPr>
          <w:rFonts w:ascii="Times New Roman" w:hAnsi="Times New Roman"/>
          <w:b w:val="0"/>
          <w:sz w:val="20"/>
          <w:szCs w:val="20"/>
        </w:rPr>
        <w:t>surveyed after workshops, conference presentations, and training webinars to evaluate the activity/event</w:t>
      </w:r>
      <w:r w:rsidR="00F4424B" w:rsidRPr="003B4712">
        <w:rPr>
          <w:rFonts w:ascii="Times New Roman" w:hAnsi="Times New Roman"/>
          <w:b w:val="0"/>
          <w:sz w:val="20"/>
          <w:szCs w:val="20"/>
        </w:rPr>
        <w:t xml:space="preserve"> for relevance and effectiveness</w:t>
      </w:r>
      <w:r w:rsidRPr="003B4712">
        <w:rPr>
          <w:rFonts w:ascii="Times New Roman" w:hAnsi="Times New Roman"/>
          <w:b w:val="0"/>
          <w:sz w:val="20"/>
          <w:szCs w:val="20"/>
        </w:rPr>
        <w:t xml:space="preserve">. </w:t>
      </w:r>
      <w:r w:rsidR="00F4424B" w:rsidRPr="003B4712">
        <w:rPr>
          <w:rFonts w:ascii="Times New Roman" w:hAnsi="Times New Roman"/>
          <w:b w:val="0"/>
          <w:sz w:val="20"/>
          <w:szCs w:val="20"/>
        </w:rPr>
        <w:t>S</w:t>
      </w:r>
      <w:r w:rsidRPr="003B4712">
        <w:rPr>
          <w:rFonts w:ascii="Times New Roman" w:hAnsi="Times New Roman"/>
          <w:b w:val="0"/>
          <w:sz w:val="20"/>
          <w:szCs w:val="20"/>
        </w:rPr>
        <w:t xml:space="preserve">urvey results </w:t>
      </w:r>
      <w:r w:rsidR="0471A0EA" w:rsidRPr="003B4712">
        <w:rPr>
          <w:rFonts w:ascii="Times New Roman" w:hAnsi="Times New Roman"/>
          <w:b w:val="0"/>
          <w:sz w:val="20"/>
          <w:szCs w:val="20"/>
        </w:rPr>
        <w:t xml:space="preserve">and feedback are </w:t>
      </w:r>
      <w:r w:rsidR="00513540" w:rsidRPr="003B4712">
        <w:rPr>
          <w:rFonts w:ascii="Times New Roman" w:hAnsi="Times New Roman"/>
          <w:b w:val="0"/>
          <w:sz w:val="20"/>
          <w:szCs w:val="20"/>
        </w:rPr>
        <w:t>used to plan</w:t>
      </w:r>
      <w:r w:rsidR="0471A0EA" w:rsidRPr="003B4712">
        <w:rPr>
          <w:rFonts w:ascii="Times New Roman" w:hAnsi="Times New Roman"/>
          <w:b w:val="0"/>
          <w:sz w:val="20"/>
          <w:szCs w:val="20"/>
        </w:rPr>
        <w:t xml:space="preserve"> future professional development activities</w:t>
      </w:r>
      <w:r w:rsidR="00F4424B" w:rsidRPr="003B4712">
        <w:rPr>
          <w:rFonts w:ascii="Times New Roman" w:hAnsi="Times New Roman"/>
          <w:b w:val="0"/>
          <w:sz w:val="20"/>
          <w:szCs w:val="20"/>
        </w:rPr>
        <w:t xml:space="preserve"> </w:t>
      </w:r>
      <w:r w:rsidR="00513540" w:rsidRPr="003B4712">
        <w:rPr>
          <w:rFonts w:ascii="Times New Roman" w:hAnsi="Times New Roman"/>
          <w:b w:val="0"/>
          <w:sz w:val="20"/>
          <w:szCs w:val="20"/>
        </w:rPr>
        <w:t xml:space="preserve">and </w:t>
      </w:r>
      <w:r w:rsidR="00F4424B" w:rsidRPr="003B4712">
        <w:rPr>
          <w:rFonts w:ascii="Times New Roman" w:hAnsi="Times New Roman"/>
          <w:b w:val="0"/>
          <w:sz w:val="20"/>
          <w:szCs w:val="20"/>
        </w:rPr>
        <w:t>to ensure continuous improvement</w:t>
      </w:r>
      <w:r w:rsidR="6BDA7029" w:rsidRPr="003B4712">
        <w:rPr>
          <w:rFonts w:ascii="Times New Roman" w:hAnsi="Times New Roman"/>
          <w:b w:val="0"/>
          <w:bCs w:val="0"/>
          <w:sz w:val="20"/>
          <w:szCs w:val="20"/>
        </w:rPr>
        <w:t>.</w:t>
      </w:r>
    </w:p>
    <w:p w14:paraId="5C8A6B25" w14:textId="77777777" w:rsidR="30F37B06" w:rsidRDefault="30F37B06" w:rsidP="2D724D8C">
      <w:pPr>
        <w:pStyle w:val="BodyText"/>
        <w:jc w:val="left"/>
        <w:rPr>
          <w:rFonts w:ascii="Times New Roman" w:hAnsi="Times New Roman"/>
          <w:b w:val="0"/>
          <w:bCs w:val="0"/>
          <w:sz w:val="20"/>
          <w:szCs w:val="20"/>
        </w:rPr>
      </w:pPr>
    </w:p>
    <w:p w14:paraId="36379E31" w14:textId="77777777" w:rsidR="00D13673" w:rsidRPr="008D3539" w:rsidRDefault="2D724D8C" w:rsidP="2D724D8C">
      <w:pPr>
        <w:autoSpaceDE w:val="0"/>
        <w:autoSpaceDN w:val="0"/>
        <w:adjustRightInd w:val="0"/>
        <w:rPr>
          <w:sz w:val="20"/>
          <w:szCs w:val="20"/>
          <w:u w:val="single"/>
        </w:rPr>
      </w:pPr>
      <w:r w:rsidRPr="2D724D8C">
        <w:rPr>
          <w:sz w:val="20"/>
          <w:szCs w:val="20"/>
          <w:u w:val="single"/>
        </w:rPr>
        <w:t>Technical Assistance to Funded Eligible Providers</w:t>
      </w:r>
    </w:p>
    <w:p w14:paraId="0EBC7E64" w14:textId="77777777" w:rsidR="001878CF" w:rsidRDefault="2D724D8C" w:rsidP="2D724D8C">
      <w:pPr>
        <w:autoSpaceDE w:val="0"/>
        <w:autoSpaceDN w:val="0"/>
        <w:adjustRightInd w:val="0"/>
        <w:rPr>
          <w:sz w:val="20"/>
          <w:szCs w:val="20"/>
        </w:rPr>
      </w:pPr>
      <w:r w:rsidRPr="2D724D8C">
        <w:rPr>
          <w:sz w:val="20"/>
          <w:szCs w:val="20"/>
        </w:rPr>
        <w:t>The OAE used funds made available under section 223 to provide technical assistance to funded providers in the following ways:</w:t>
      </w:r>
    </w:p>
    <w:p w14:paraId="70498BD5" w14:textId="77777777" w:rsidR="001878CF" w:rsidRDefault="001878CF" w:rsidP="2D724D8C">
      <w:pPr>
        <w:autoSpaceDE w:val="0"/>
        <w:autoSpaceDN w:val="0"/>
        <w:adjustRightInd w:val="0"/>
        <w:rPr>
          <w:sz w:val="20"/>
          <w:szCs w:val="20"/>
        </w:rPr>
      </w:pPr>
    </w:p>
    <w:p w14:paraId="50864B7C" w14:textId="0E049934" w:rsidR="00095664" w:rsidRPr="001878CF" w:rsidRDefault="032D7E9F" w:rsidP="2D724D8C">
      <w:pPr>
        <w:autoSpaceDE w:val="0"/>
        <w:autoSpaceDN w:val="0"/>
        <w:adjustRightInd w:val="0"/>
        <w:rPr>
          <w:sz w:val="20"/>
          <w:szCs w:val="20"/>
        </w:rPr>
      </w:pPr>
      <w:r w:rsidRPr="1C1D7E4D">
        <w:rPr>
          <w:sz w:val="20"/>
          <w:szCs w:val="20"/>
        </w:rPr>
        <w:t>Last school year, t</w:t>
      </w:r>
      <w:r w:rsidR="2D724D8C" w:rsidRPr="1C1D7E4D">
        <w:rPr>
          <w:sz w:val="20"/>
          <w:szCs w:val="20"/>
        </w:rPr>
        <w:t>echnical</w:t>
      </w:r>
      <w:r w:rsidR="2D724D8C" w:rsidRPr="28C8B343">
        <w:rPr>
          <w:sz w:val="20"/>
          <w:szCs w:val="20"/>
        </w:rPr>
        <w:t xml:space="preserve"> assistance was provided </w:t>
      </w:r>
      <w:r w:rsidR="7C0665B6" w:rsidRPr="1C1D7E4D">
        <w:rPr>
          <w:sz w:val="20"/>
          <w:szCs w:val="20"/>
        </w:rPr>
        <w:t xml:space="preserve">primarily through Microsoft Teams </w:t>
      </w:r>
      <w:r w:rsidR="2D724D8C" w:rsidRPr="28C8B343">
        <w:rPr>
          <w:sz w:val="20"/>
          <w:szCs w:val="20"/>
        </w:rPr>
        <w:t>to</w:t>
      </w:r>
      <w:r w:rsidR="006A74B5">
        <w:rPr>
          <w:sz w:val="20"/>
          <w:szCs w:val="20"/>
        </w:rPr>
        <w:t xml:space="preserve"> both</w:t>
      </w:r>
      <w:r w:rsidR="2D724D8C" w:rsidRPr="28C8B343">
        <w:rPr>
          <w:sz w:val="20"/>
          <w:szCs w:val="20"/>
        </w:rPr>
        <w:t xml:space="preserve"> individual </w:t>
      </w:r>
      <w:r w:rsidR="006A74B5">
        <w:rPr>
          <w:sz w:val="20"/>
          <w:szCs w:val="20"/>
        </w:rPr>
        <w:t>and</w:t>
      </w:r>
      <w:r w:rsidR="2D724D8C" w:rsidRPr="28C8B343">
        <w:rPr>
          <w:sz w:val="20"/>
          <w:szCs w:val="20"/>
        </w:rPr>
        <w:t xml:space="preserve"> groups of providers </w:t>
      </w:r>
      <w:r w:rsidR="006A74B5">
        <w:rPr>
          <w:sz w:val="20"/>
          <w:szCs w:val="20"/>
        </w:rPr>
        <w:t xml:space="preserve">via </w:t>
      </w:r>
      <w:r w:rsidR="2D7666F1" w:rsidRPr="1C1D7E4D">
        <w:rPr>
          <w:sz w:val="20"/>
          <w:szCs w:val="20"/>
        </w:rPr>
        <w:t xml:space="preserve">Deep Dive sessions, </w:t>
      </w:r>
      <w:r w:rsidR="005B6079">
        <w:rPr>
          <w:sz w:val="20"/>
          <w:szCs w:val="20"/>
        </w:rPr>
        <w:t xml:space="preserve">statewide training sessions, regional </w:t>
      </w:r>
      <w:r w:rsidR="006A74B5">
        <w:rPr>
          <w:sz w:val="20"/>
          <w:szCs w:val="20"/>
        </w:rPr>
        <w:t>meetings</w:t>
      </w:r>
      <w:r w:rsidR="2D724D8C" w:rsidRPr="28C8B343">
        <w:rPr>
          <w:sz w:val="20"/>
          <w:szCs w:val="20"/>
        </w:rPr>
        <w:t xml:space="preserve">, </w:t>
      </w:r>
      <w:r w:rsidR="000B0EB6">
        <w:rPr>
          <w:sz w:val="20"/>
          <w:szCs w:val="20"/>
        </w:rPr>
        <w:t>and</w:t>
      </w:r>
      <w:r w:rsidR="000B0EB6" w:rsidRPr="28C8B343">
        <w:rPr>
          <w:sz w:val="20"/>
          <w:szCs w:val="20"/>
        </w:rPr>
        <w:t xml:space="preserve"> </w:t>
      </w:r>
      <w:r w:rsidR="000B0EB6" w:rsidRPr="1C1D7E4D">
        <w:rPr>
          <w:sz w:val="20"/>
          <w:szCs w:val="20"/>
        </w:rPr>
        <w:t xml:space="preserve">individual </w:t>
      </w:r>
      <w:r w:rsidR="000B0EB6" w:rsidRPr="28C8B343">
        <w:rPr>
          <w:sz w:val="20"/>
          <w:szCs w:val="20"/>
        </w:rPr>
        <w:t>web meetings</w:t>
      </w:r>
      <w:r w:rsidR="000B0EB6">
        <w:rPr>
          <w:sz w:val="20"/>
          <w:szCs w:val="20"/>
        </w:rPr>
        <w:t>. C</w:t>
      </w:r>
      <w:r w:rsidR="2D724D8C" w:rsidRPr="28C8B343">
        <w:rPr>
          <w:sz w:val="20"/>
          <w:szCs w:val="20"/>
        </w:rPr>
        <w:t>onference calls</w:t>
      </w:r>
      <w:r w:rsidR="00037436">
        <w:rPr>
          <w:sz w:val="20"/>
          <w:szCs w:val="20"/>
        </w:rPr>
        <w:t xml:space="preserve"> were also conducted</w:t>
      </w:r>
      <w:r w:rsidR="002D1E0E" w:rsidRPr="28C8B343">
        <w:rPr>
          <w:sz w:val="20"/>
          <w:szCs w:val="20"/>
        </w:rPr>
        <w:t xml:space="preserve">. </w:t>
      </w:r>
      <w:r w:rsidR="2D724D8C" w:rsidRPr="28C8B343">
        <w:rPr>
          <w:sz w:val="20"/>
          <w:szCs w:val="20"/>
        </w:rPr>
        <w:t xml:space="preserve">With input from OAE, regional </w:t>
      </w:r>
      <w:r w:rsidR="1911D430" w:rsidRPr="1C1D7E4D">
        <w:rPr>
          <w:sz w:val="20"/>
          <w:szCs w:val="20"/>
        </w:rPr>
        <w:t>training</w:t>
      </w:r>
      <w:r w:rsidR="00037436">
        <w:rPr>
          <w:sz w:val="20"/>
          <w:szCs w:val="20"/>
        </w:rPr>
        <w:t>s</w:t>
      </w:r>
      <w:r w:rsidR="1911D430" w:rsidRPr="1C1D7E4D">
        <w:rPr>
          <w:sz w:val="20"/>
          <w:szCs w:val="20"/>
        </w:rPr>
        <w:t xml:space="preserve"> </w:t>
      </w:r>
      <w:r w:rsidR="2D724D8C" w:rsidRPr="28C8B343">
        <w:rPr>
          <w:sz w:val="20"/>
          <w:szCs w:val="20"/>
        </w:rPr>
        <w:t>w</w:t>
      </w:r>
      <w:r w:rsidR="005B6079">
        <w:rPr>
          <w:sz w:val="20"/>
          <w:szCs w:val="20"/>
        </w:rPr>
        <w:t>ere</w:t>
      </w:r>
      <w:r w:rsidR="2D724D8C" w:rsidRPr="28C8B343">
        <w:rPr>
          <w:sz w:val="20"/>
          <w:szCs w:val="20"/>
        </w:rPr>
        <w:t xml:space="preserve"> conducted by the TAN staff. </w:t>
      </w:r>
      <w:r w:rsidR="00513540">
        <w:rPr>
          <w:sz w:val="20"/>
          <w:szCs w:val="20"/>
        </w:rPr>
        <w:t>L</w:t>
      </w:r>
      <w:r w:rsidR="2D724D8C" w:rsidRPr="28C8B343">
        <w:rPr>
          <w:sz w:val="20"/>
          <w:szCs w:val="20"/>
        </w:rPr>
        <w:t xml:space="preserve">ocal programs </w:t>
      </w:r>
      <w:r w:rsidR="00513540">
        <w:rPr>
          <w:sz w:val="20"/>
          <w:szCs w:val="20"/>
        </w:rPr>
        <w:t xml:space="preserve">were notified of trainings via </w:t>
      </w:r>
      <w:r w:rsidR="2D724D8C" w:rsidRPr="28C8B343">
        <w:rPr>
          <w:sz w:val="20"/>
          <w:szCs w:val="20"/>
        </w:rPr>
        <w:t>Training Calendar</w:t>
      </w:r>
      <w:r w:rsidR="005B6079">
        <w:rPr>
          <w:sz w:val="20"/>
          <w:szCs w:val="20"/>
        </w:rPr>
        <w:t xml:space="preserve"> </w:t>
      </w:r>
      <w:r w:rsidR="15D76C71" w:rsidRPr="1C1D7E4D">
        <w:rPr>
          <w:sz w:val="20"/>
          <w:szCs w:val="20"/>
        </w:rPr>
        <w:t xml:space="preserve">schedules </w:t>
      </w:r>
      <w:r w:rsidR="005B6079">
        <w:rPr>
          <w:sz w:val="20"/>
          <w:szCs w:val="20"/>
        </w:rPr>
        <w:t xml:space="preserve">that </w:t>
      </w:r>
      <w:r w:rsidR="005B6079" w:rsidRPr="1C1D7E4D">
        <w:rPr>
          <w:sz w:val="20"/>
          <w:szCs w:val="20"/>
        </w:rPr>
        <w:t>w</w:t>
      </w:r>
      <w:r w:rsidR="06317872" w:rsidRPr="1C1D7E4D">
        <w:rPr>
          <w:sz w:val="20"/>
          <w:szCs w:val="20"/>
        </w:rPr>
        <w:t>ere</w:t>
      </w:r>
      <w:r w:rsidR="005B6079" w:rsidRPr="1C1D7E4D">
        <w:rPr>
          <w:sz w:val="20"/>
          <w:szCs w:val="20"/>
        </w:rPr>
        <w:t xml:space="preserve"> </w:t>
      </w:r>
      <w:r w:rsidR="2D724D8C" w:rsidRPr="28C8B343">
        <w:rPr>
          <w:sz w:val="20"/>
          <w:szCs w:val="20"/>
        </w:rPr>
        <w:t>created</w:t>
      </w:r>
      <w:r w:rsidR="00513540">
        <w:rPr>
          <w:sz w:val="20"/>
          <w:szCs w:val="20"/>
        </w:rPr>
        <w:t xml:space="preserve"> and disseminated</w:t>
      </w:r>
      <w:r w:rsidR="2D724D8C" w:rsidRPr="28C8B343">
        <w:rPr>
          <w:sz w:val="20"/>
          <w:szCs w:val="20"/>
        </w:rPr>
        <w:t xml:space="preserve"> by the OAE</w:t>
      </w:r>
      <w:r w:rsidR="5E1D4FC5" w:rsidRPr="1C1D7E4D">
        <w:rPr>
          <w:sz w:val="20"/>
          <w:szCs w:val="20"/>
        </w:rPr>
        <w:t xml:space="preserve"> quarterly</w:t>
      </w:r>
      <w:r w:rsidR="2D724D8C" w:rsidRPr="1C1D7E4D">
        <w:rPr>
          <w:sz w:val="20"/>
          <w:szCs w:val="20"/>
        </w:rPr>
        <w:t>.</w:t>
      </w:r>
      <w:r w:rsidR="2D724D8C" w:rsidRPr="28C8B343">
        <w:rPr>
          <w:sz w:val="20"/>
          <w:szCs w:val="20"/>
        </w:rPr>
        <w:t xml:space="preserve"> The training calendar was organized to reflect the date, </w:t>
      </w:r>
      <w:proofErr w:type="gramStart"/>
      <w:r w:rsidR="2D724D8C" w:rsidRPr="28C8B343">
        <w:rPr>
          <w:sz w:val="20"/>
          <w:szCs w:val="20"/>
        </w:rPr>
        <w:t>time</w:t>
      </w:r>
      <w:proofErr w:type="gramEnd"/>
      <w:r w:rsidR="2D724D8C" w:rsidRPr="28C8B343">
        <w:rPr>
          <w:sz w:val="20"/>
          <w:szCs w:val="20"/>
        </w:rPr>
        <w:t xml:space="preserve"> and location of each training </w:t>
      </w:r>
      <w:r w:rsidR="00D842BF">
        <w:rPr>
          <w:sz w:val="20"/>
          <w:szCs w:val="20"/>
        </w:rPr>
        <w:t xml:space="preserve">event, </w:t>
      </w:r>
      <w:r w:rsidR="007B1391">
        <w:rPr>
          <w:sz w:val="20"/>
          <w:szCs w:val="20"/>
        </w:rPr>
        <w:t xml:space="preserve">and included </w:t>
      </w:r>
      <w:r w:rsidR="00615A87">
        <w:rPr>
          <w:sz w:val="20"/>
          <w:szCs w:val="20"/>
        </w:rPr>
        <w:t xml:space="preserve">session criteria </w:t>
      </w:r>
      <w:r w:rsidR="2D724D8C" w:rsidRPr="28C8B343">
        <w:rPr>
          <w:sz w:val="20"/>
          <w:szCs w:val="20"/>
        </w:rPr>
        <w:t xml:space="preserve">and intended audience. Interested participants registered for individual trainings through a professional </w:t>
      </w:r>
      <w:r w:rsidR="2D724D8C" w:rsidRPr="0095476F">
        <w:rPr>
          <w:sz w:val="20"/>
          <w:szCs w:val="20"/>
        </w:rPr>
        <w:t xml:space="preserve">development system utilized by OAE. In addition, OAE convened three required Statewide Director’s meetings </w:t>
      </w:r>
      <w:proofErr w:type="gramStart"/>
      <w:r w:rsidR="2D724D8C" w:rsidRPr="0095476F">
        <w:rPr>
          <w:sz w:val="20"/>
          <w:szCs w:val="20"/>
        </w:rPr>
        <w:t>during the course of</w:t>
      </w:r>
      <w:proofErr w:type="gramEnd"/>
      <w:r w:rsidR="2D724D8C" w:rsidRPr="0095476F">
        <w:rPr>
          <w:sz w:val="20"/>
          <w:szCs w:val="20"/>
        </w:rPr>
        <w:t xml:space="preserve"> PY </w:t>
      </w:r>
      <w:r w:rsidR="2D724D8C" w:rsidRPr="1C1D7E4D">
        <w:rPr>
          <w:sz w:val="20"/>
          <w:szCs w:val="20"/>
        </w:rPr>
        <w:t>20</w:t>
      </w:r>
      <w:r w:rsidR="2C89B5C7" w:rsidRPr="1C1D7E4D">
        <w:rPr>
          <w:sz w:val="20"/>
          <w:szCs w:val="20"/>
        </w:rPr>
        <w:t>20</w:t>
      </w:r>
      <w:r w:rsidR="66710D08" w:rsidRPr="1C1D7E4D">
        <w:rPr>
          <w:sz w:val="20"/>
          <w:szCs w:val="20"/>
        </w:rPr>
        <w:t>-2</w:t>
      </w:r>
      <w:r w:rsidR="0A12A3ED" w:rsidRPr="1C1D7E4D">
        <w:rPr>
          <w:sz w:val="20"/>
          <w:szCs w:val="20"/>
        </w:rPr>
        <w:t>1</w:t>
      </w:r>
      <w:r w:rsidR="2D724D8C" w:rsidRPr="1C1D7E4D">
        <w:rPr>
          <w:sz w:val="20"/>
          <w:szCs w:val="20"/>
        </w:rPr>
        <w:t>.</w:t>
      </w:r>
      <w:r w:rsidR="2D724D8C" w:rsidRPr="0095476F">
        <w:rPr>
          <w:sz w:val="20"/>
          <w:szCs w:val="20"/>
        </w:rPr>
        <w:t xml:space="preserve"> These meetings were held to keep local AE Directors updated on information that could </w:t>
      </w:r>
      <w:r w:rsidR="002D1E0E" w:rsidRPr="0095476F">
        <w:rPr>
          <w:sz w:val="20"/>
          <w:szCs w:val="20"/>
        </w:rPr>
        <w:t>affect</w:t>
      </w:r>
      <w:r w:rsidR="2D724D8C" w:rsidRPr="0095476F">
        <w:rPr>
          <w:sz w:val="20"/>
          <w:szCs w:val="20"/>
        </w:rPr>
        <w:t xml:space="preserve"> program policies, </w:t>
      </w:r>
      <w:proofErr w:type="gramStart"/>
      <w:r w:rsidR="2D724D8C" w:rsidRPr="0095476F">
        <w:rPr>
          <w:sz w:val="20"/>
          <w:szCs w:val="20"/>
        </w:rPr>
        <w:t>performance</w:t>
      </w:r>
      <w:proofErr w:type="gramEnd"/>
      <w:r w:rsidR="2D724D8C" w:rsidRPr="0095476F">
        <w:rPr>
          <w:sz w:val="20"/>
          <w:szCs w:val="20"/>
        </w:rPr>
        <w:t xml:space="preserve"> and partnerships.</w:t>
      </w:r>
    </w:p>
    <w:p w14:paraId="4B0ABD78" w14:textId="77777777" w:rsidR="00095664" w:rsidRDefault="00095664" w:rsidP="2D724D8C">
      <w:pPr>
        <w:autoSpaceDE w:val="0"/>
        <w:autoSpaceDN w:val="0"/>
        <w:adjustRightInd w:val="0"/>
        <w:rPr>
          <w:sz w:val="20"/>
          <w:szCs w:val="20"/>
        </w:rPr>
      </w:pPr>
    </w:p>
    <w:p w14:paraId="7613943C" w14:textId="1A643997" w:rsidR="00B85B62" w:rsidRPr="00B85B62" w:rsidRDefault="2D724D8C" w:rsidP="2D724D8C">
      <w:pPr>
        <w:autoSpaceDE w:val="0"/>
        <w:autoSpaceDN w:val="0"/>
        <w:adjustRightInd w:val="0"/>
        <w:rPr>
          <w:strike/>
          <w:sz w:val="20"/>
          <w:szCs w:val="20"/>
          <w:highlight w:val="red"/>
        </w:rPr>
      </w:pPr>
      <w:r w:rsidRPr="2D724D8C">
        <w:rPr>
          <w:sz w:val="20"/>
          <w:szCs w:val="20"/>
        </w:rPr>
        <w:t>Overall program performance is measured by the Desktop Monitoring Tool (DMT)</w:t>
      </w:r>
      <w:r w:rsidR="002D1E0E" w:rsidRPr="2D724D8C">
        <w:rPr>
          <w:sz w:val="20"/>
          <w:szCs w:val="20"/>
        </w:rPr>
        <w:t xml:space="preserve">. </w:t>
      </w:r>
      <w:r w:rsidRPr="2D724D8C">
        <w:rPr>
          <w:sz w:val="20"/>
          <w:szCs w:val="20"/>
        </w:rPr>
        <w:t xml:space="preserve">Providers that perform at aggregate averages of </w:t>
      </w:r>
      <w:r w:rsidR="30FE02FD" w:rsidRPr="1C1D7E4D">
        <w:rPr>
          <w:sz w:val="20"/>
          <w:szCs w:val="20"/>
        </w:rPr>
        <w:t xml:space="preserve">less than </w:t>
      </w:r>
      <w:r w:rsidRPr="1C1D7E4D">
        <w:rPr>
          <w:sz w:val="20"/>
          <w:szCs w:val="20"/>
        </w:rPr>
        <w:t>65%</w:t>
      </w:r>
      <w:r w:rsidRPr="2D724D8C">
        <w:rPr>
          <w:sz w:val="20"/>
          <w:szCs w:val="20"/>
        </w:rPr>
        <w:t xml:space="preserve"> for Adult Basic Education (ABE) and/or English as a Second Language (ESL) enter an ITAP (Intensive Technical Assistance Program) proc</w:t>
      </w:r>
      <w:r w:rsidR="002D1E0E">
        <w:rPr>
          <w:sz w:val="20"/>
          <w:szCs w:val="20"/>
        </w:rPr>
        <w:t xml:space="preserve">ess. The ITAP process includes onsite visits, individualized program staff training based on the deficiencies of the program, and the development and implementation of a program improvement plan. ITAP programs </w:t>
      </w:r>
      <w:r w:rsidRPr="2D724D8C">
        <w:rPr>
          <w:sz w:val="20"/>
          <w:szCs w:val="20"/>
        </w:rPr>
        <w:t xml:space="preserve">remain in the process until program performance improves to levels </w:t>
      </w:r>
      <w:r w:rsidRPr="1C1D7E4D">
        <w:rPr>
          <w:sz w:val="20"/>
          <w:szCs w:val="20"/>
        </w:rPr>
        <w:t xml:space="preserve">65% </w:t>
      </w:r>
      <w:r w:rsidR="69D3DF2F" w:rsidRPr="1C1D7E4D">
        <w:rPr>
          <w:sz w:val="20"/>
          <w:szCs w:val="20"/>
        </w:rPr>
        <w:t xml:space="preserve">and </w:t>
      </w:r>
      <w:r w:rsidR="004B22E1">
        <w:rPr>
          <w:sz w:val="20"/>
          <w:szCs w:val="20"/>
        </w:rPr>
        <w:t>greater</w:t>
      </w:r>
      <w:r w:rsidRPr="2D724D8C">
        <w:rPr>
          <w:sz w:val="20"/>
          <w:szCs w:val="20"/>
        </w:rPr>
        <w:t xml:space="preserve"> for both ABE and ESL students</w:t>
      </w:r>
      <w:r w:rsidR="002D1E0E" w:rsidRPr="2D724D8C">
        <w:rPr>
          <w:sz w:val="20"/>
          <w:szCs w:val="20"/>
        </w:rPr>
        <w:t xml:space="preserve">. </w:t>
      </w:r>
      <w:r w:rsidRPr="2D724D8C">
        <w:rPr>
          <w:sz w:val="20"/>
          <w:szCs w:val="20"/>
        </w:rPr>
        <w:t xml:space="preserve">This process was modified </w:t>
      </w:r>
      <w:r w:rsidR="002D1E0E">
        <w:rPr>
          <w:sz w:val="20"/>
          <w:szCs w:val="20"/>
        </w:rPr>
        <w:t xml:space="preserve">to meet </w:t>
      </w:r>
      <w:r w:rsidRPr="2D724D8C">
        <w:rPr>
          <w:sz w:val="20"/>
          <w:szCs w:val="20"/>
        </w:rPr>
        <w:t xml:space="preserve">WIOA performance requirements that could lead to sanctions. </w:t>
      </w:r>
    </w:p>
    <w:p w14:paraId="682AB45C" w14:textId="77777777" w:rsidR="002C3D67" w:rsidRDefault="002C3D67" w:rsidP="2D724D8C">
      <w:pPr>
        <w:autoSpaceDE w:val="0"/>
        <w:autoSpaceDN w:val="0"/>
        <w:adjustRightInd w:val="0"/>
        <w:rPr>
          <w:sz w:val="20"/>
          <w:szCs w:val="20"/>
        </w:rPr>
      </w:pPr>
    </w:p>
    <w:p w14:paraId="04122F13" w14:textId="77777777" w:rsidR="00810864" w:rsidRDefault="00810864" w:rsidP="19942F40">
      <w:pPr>
        <w:autoSpaceDE w:val="0"/>
        <w:autoSpaceDN w:val="0"/>
        <w:adjustRightInd w:val="0"/>
        <w:rPr>
          <w:sz w:val="20"/>
          <w:szCs w:val="20"/>
          <w:highlight w:val="green"/>
          <w:u w:val="single"/>
        </w:rPr>
      </w:pPr>
    </w:p>
    <w:p w14:paraId="42986A96" w14:textId="1DF2BB8F" w:rsidR="00D13673" w:rsidRPr="00497E7D" w:rsidRDefault="2D724D8C" w:rsidP="19942F40">
      <w:pPr>
        <w:autoSpaceDE w:val="0"/>
        <w:autoSpaceDN w:val="0"/>
        <w:adjustRightInd w:val="0"/>
        <w:rPr>
          <w:sz w:val="20"/>
          <w:szCs w:val="20"/>
          <w:u w:val="single"/>
        </w:rPr>
      </w:pPr>
      <w:r w:rsidRPr="00497E7D">
        <w:rPr>
          <w:sz w:val="20"/>
          <w:szCs w:val="20"/>
          <w:u w:val="single"/>
        </w:rPr>
        <w:lastRenderedPageBreak/>
        <w:t>Monitoring and Evaluation of Adult Education Activities</w:t>
      </w:r>
    </w:p>
    <w:p w14:paraId="6C3DE3BE" w14:textId="77777777" w:rsidR="007E3CCA" w:rsidRPr="00497E7D" w:rsidRDefault="2D724D8C" w:rsidP="19942F40">
      <w:pPr>
        <w:autoSpaceDE w:val="0"/>
        <w:autoSpaceDN w:val="0"/>
        <w:adjustRightInd w:val="0"/>
        <w:rPr>
          <w:sz w:val="20"/>
          <w:szCs w:val="20"/>
        </w:rPr>
      </w:pPr>
      <w:r w:rsidRPr="00497E7D">
        <w:rPr>
          <w:sz w:val="20"/>
          <w:szCs w:val="20"/>
        </w:rPr>
        <w:t>The OAE used funds made available under section 223 to monitor and evaluate funded providers in the following ways:</w:t>
      </w:r>
    </w:p>
    <w:p w14:paraId="1D56D567" w14:textId="77777777" w:rsidR="007E3CCA" w:rsidRPr="00497E7D" w:rsidRDefault="007E3CCA" w:rsidP="19942F40">
      <w:pPr>
        <w:autoSpaceDE w:val="0"/>
        <w:autoSpaceDN w:val="0"/>
        <w:adjustRightInd w:val="0"/>
        <w:rPr>
          <w:sz w:val="20"/>
          <w:szCs w:val="20"/>
        </w:rPr>
      </w:pPr>
    </w:p>
    <w:p w14:paraId="2745A11E" w14:textId="14874552" w:rsidR="007001E8" w:rsidRPr="00497E7D" w:rsidRDefault="002D1E0E" w:rsidP="19942F40">
      <w:pPr>
        <w:rPr>
          <w:sz w:val="20"/>
          <w:szCs w:val="20"/>
        </w:rPr>
      </w:pPr>
      <w:r w:rsidRPr="00497E7D">
        <w:rPr>
          <w:sz w:val="20"/>
          <w:szCs w:val="20"/>
        </w:rPr>
        <w:t>T</w:t>
      </w:r>
      <w:r w:rsidR="2D724D8C" w:rsidRPr="00497E7D">
        <w:rPr>
          <w:sz w:val="20"/>
          <w:szCs w:val="20"/>
        </w:rPr>
        <w:t xml:space="preserve">he State Director of Adult Education assigns a Compliance Monitoring </w:t>
      </w:r>
      <w:r w:rsidR="5655F463" w:rsidRPr="00497E7D">
        <w:rPr>
          <w:sz w:val="20"/>
          <w:szCs w:val="20"/>
        </w:rPr>
        <w:t xml:space="preserve">Review </w:t>
      </w:r>
      <w:r w:rsidR="2D724D8C" w:rsidRPr="00497E7D">
        <w:rPr>
          <w:sz w:val="20"/>
          <w:szCs w:val="20"/>
        </w:rPr>
        <w:t>(CM</w:t>
      </w:r>
      <w:r w:rsidR="29036691" w:rsidRPr="00497E7D">
        <w:rPr>
          <w:sz w:val="20"/>
          <w:szCs w:val="20"/>
        </w:rPr>
        <w:t>R</w:t>
      </w:r>
      <w:r w:rsidR="2D724D8C" w:rsidRPr="00497E7D">
        <w:rPr>
          <w:sz w:val="20"/>
          <w:szCs w:val="20"/>
        </w:rPr>
        <w:t xml:space="preserve">) </w:t>
      </w:r>
      <w:r w:rsidR="1EDAE7C2" w:rsidRPr="00497E7D">
        <w:rPr>
          <w:sz w:val="20"/>
          <w:szCs w:val="20"/>
        </w:rPr>
        <w:t>T</w:t>
      </w:r>
      <w:r w:rsidR="2D724D8C" w:rsidRPr="00497E7D">
        <w:rPr>
          <w:sz w:val="20"/>
          <w:szCs w:val="20"/>
        </w:rPr>
        <w:t>eam t</w:t>
      </w:r>
      <w:r w:rsidRPr="00497E7D">
        <w:rPr>
          <w:sz w:val="20"/>
          <w:szCs w:val="20"/>
        </w:rPr>
        <w:t xml:space="preserve">o formally monitor </w:t>
      </w:r>
      <w:r w:rsidR="2D724D8C" w:rsidRPr="00497E7D">
        <w:rPr>
          <w:sz w:val="20"/>
          <w:szCs w:val="20"/>
        </w:rPr>
        <w:t>all school district programs and community-based organizations (CBO) receiving federal funds and/or state aid to support approved adult learning services</w:t>
      </w:r>
      <w:r w:rsidR="2E7C626C" w:rsidRPr="00497E7D">
        <w:rPr>
          <w:sz w:val="20"/>
          <w:szCs w:val="20"/>
        </w:rPr>
        <w:t xml:space="preserve"> once every four years</w:t>
      </w:r>
      <w:r w:rsidR="2D724D8C" w:rsidRPr="00497E7D">
        <w:rPr>
          <w:sz w:val="20"/>
          <w:szCs w:val="20"/>
        </w:rPr>
        <w:t>.</w:t>
      </w:r>
    </w:p>
    <w:p w14:paraId="3542C76D" w14:textId="77777777" w:rsidR="007001E8" w:rsidRPr="00497E7D" w:rsidRDefault="007001E8" w:rsidP="19942F40">
      <w:pPr>
        <w:rPr>
          <w:sz w:val="20"/>
          <w:szCs w:val="20"/>
        </w:rPr>
      </w:pPr>
    </w:p>
    <w:p w14:paraId="5DE97E08" w14:textId="1CE473C1" w:rsidR="002A6C3B" w:rsidRPr="00497E7D" w:rsidRDefault="2D724D8C" w:rsidP="19942F40">
      <w:pPr>
        <w:rPr>
          <w:sz w:val="20"/>
          <w:szCs w:val="20"/>
        </w:rPr>
      </w:pPr>
      <w:r w:rsidRPr="00497E7D">
        <w:rPr>
          <w:sz w:val="20"/>
          <w:szCs w:val="20"/>
        </w:rPr>
        <w:t xml:space="preserve">The Compliance Monitoring </w:t>
      </w:r>
      <w:r w:rsidR="2ED9C023" w:rsidRPr="00497E7D">
        <w:rPr>
          <w:sz w:val="20"/>
          <w:szCs w:val="20"/>
        </w:rPr>
        <w:t xml:space="preserve">Review </w:t>
      </w:r>
      <w:r w:rsidRPr="00497E7D">
        <w:rPr>
          <w:sz w:val="20"/>
          <w:szCs w:val="20"/>
        </w:rPr>
        <w:t>(CM</w:t>
      </w:r>
      <w:r w:rsidR="77598F22" w:rsidRPr="00497E7D">
        <w:rPr>
          <w:sz w:val="20"/>
          <w:szCs w:val="20"/>
        </w:rPr>
        <w:t>R)</w:t>
      </w:r>
      <w:r w:rsidRPr="00497E7D">
        <w:rPr>
          <w:sz w:val="20"/>
          <w:szCs w:val="20"/>
        </w:rPr>
        <w:t xml:space="preserve"> process is a systematic approach designed to assess the educational opportunities and the effectiveness of adult education programs and services in the school districts and CBO’s</w:t>
      </w:r>
      <w:r w:rsidR="00BB28E7" w:rsidRPr="00497E7D">
        <w:rPr>
          <w:sz w:val="20"/>
          <w:szCs w:val="20"/>
        </w:rPr>
        <w:t xml:space="preserve">. </w:t>
      </w:r>
      <w:r w:rsidRPr="00497E7D">
        <w:rPr>
          <w:sz w:val="20"/>
          <w:szCs w:val="20"/>
        </w:rPr>
        <w:t>One-fourth of the programs are reviewed each year by a team of OAE staff</w:t>
      </w:r>
      <w:r w:rsidR="00BB28E7" w:rsidRPr="00497E7D">
        <w:rPr>
          <w:sz w:val="20"/>
          <w:szCs w:val="20"/>
        </w:rPr>
        <w:t xml:space="preserve">. </w:t>
      </w:r>
      <w:r w:rsidRPr="00497E7D">
        <w:rPr>
          <w:sz w:val="20"/>
          <w:szCs w:val="20"/>
        </w:rPr>
        <w:t>The other three-fourths of the programs are informally reviewed by desktop monitoring tools and informal site visits. To be successful, the CM</w:t>
      </w:r>
      <w:r w:rsidR="7FD9423B" w:rsidRPr="00497E7D">
        <w:rPr>
          <w:sz w:val="20"/>
          <w:szCs w:val="20"/>
        </w:rPr>
        <w:t>R</w:t>
      </w:r>
      <w:r w:rsidRPr="00497E7D">
        <w:rPr>
          <w:sz w:val="20"/>
          <w:szCs w:val="20"/>
        </w:rPr>
        <w:t xml:space="preserve"> effort requires continuous follow-up and support activities including professional development and on-site </w:t>
      </w:r>
      <w:r w:rsidR="721F1336" w:rsidRPr="00497E7D">
        <w:rPr>
          <w:sz w:val="20"/>
          <w:szCs w:val="20"/>
        </w:rPr>
        <w:t xml:space="preserve">technical </w:t>
      </w:r>
      <w:r w:rsidRPr="00497E7D">
        <w:rPr>
          <w:sz w:val="20"/>
          <w:szCs w:val="20"/>
        </w:rPr>
        <w:t xml:space="preserve">assistance. </w:t>
      </w:r>
      <w:r w:rsidR="00BB28E7" w:rsidRPr="00497E7D">
        <w:rPr>
          <w:sz w:val="20"/>
          <w:szCs w:val="20"/>
        </w:rPr>
        <w:t>Because</w:t>
      </w:r>
      <w:r w:rsidR="4DBA1753" w:rsidRPr="00497E7D">
        <w:rPr>
          <w:sz w:val="20"/>
          <w:szCs w:val="20"/>
        </w:rPr>
        <w:t xml:space="preserve"> of the COVID 19 pandemic, the formal </w:t>
      </w:r>
      <w:r w:rsidR="12AB5883" w:rsidRPr="00497E7D">
        <w:rPr>
          <w:sz w:val="20"/>
          <w:szCs w:val="20"/>
        </w:rPr>
        <w:t>review process</w:t>
      </w:r>
      <w:r w:rsidR="608DA5FF" w:rsidRPr="00497E7D">
        <w:rPr>
          <w:sz w:val="20"/>
          <w:szCs w:val="20"/>
        </w:rPr>
        <w:t xml:space="preserve"> </w:t>
      </w:r>
      <w:r w:rsidR="0DA2D995" w:rsidRPr="00497E7D">
        <w:rPr>
          <w:sz w:val="20"/>
          <w:szCs w:val="20"/>
        </w:rPr>
        <w:t>was</w:t>
      </w:r>
      <w:r w:rsidR="608DA5FF" w:rsidRPr="00497E7D">
        <w:rPr>
          <w:sz w:val="20"/>
          <w:szCs w:val="20"/>
        </w:rPr>
        <w:t xml:space="preserve"> modified to include both virtual and in-person processes</w:t>
      </w:r>
      <w:r w:rsidR="3999D12F" w:rsidRPr="00497E7D">
        <w:rPr>
          <w:sz w:val="20"/>
          <w:szCs w:val="20"/>
        </w:rPr>
        <w:t xml:space="preserve">. </w:t>
      </w:r>
      <w:r w:rsidR="14FEC6C2" w:rsidRPr="00497E7D">
        <w:rPr>
          <w:sz w:val="20"/>
          <w:szCs w:val="20"/>
        </w:rPr>
        <w:t xml:space="preserve">The updated process </w:t>
      </w:r>
      <w:r w:rsidR="0C91586C" w:rsidRPr="00497E7D">
        <w:rPr>
          <w:sz w:val="20"/>
          <w:szCs w:val="20"/>
        </w:rPr>
        <w:t>include</w:t>
      </w:r>
      <w:r w:rsidR="0E6CCA34" w:rsidRPr="00497E7D">
        <w:rPr>
          <w:sz w:val="20"/>
          <w:szCs w:val="20"/>
        </w:rPr>
        <w:t>s</w:t>
      </w:r>
      <w:r w:rsidR="00141749" w:rsidRPr="00497E7D">
        <w:rPr>
          <w:sz w:val="20"/>
          <w:szCs w:val="20"/>
        </w:rPr>
        <w:t xml:space="preserve"> </w:t>
      </w:r>
      <w:r w:rsidR="51FFB948" w:rsidRPr="00497E7D">
        <w:rPr>
          <w:sz w:val="20"/>
          <w:szCs w:val="20"/>
        </w:rPr>
        <w:t>a</w:t>
      </w:r>
      <w:r w:rsidR="616406F5" w:rsidRPr="00497E7D">
        <w:rPr>
          <w:sz w:val="20"/>
          <w:szCs w:val="20"/>
        </w:rPr>
        <w:t>n</w:t>
      </w:r>
      <w:r w:rsidR="51FFB948" w:rsidRPr="00497E7D">
        <w:rPr>
          <w:sz w:val="20"/>
          <w:szCs w:val="20"/>
        </w:rPr>
        <w:t xml:space="preserve"> </w:t>
      </w:r>
      <w:r w:rsidR="0CC2EFA4" w:rsidRPr="00497E7D">
        <w:rPr>
          <w:sz w:val="20"/>
          <w:szCs w:val="20"/>
        </w:rPr>
        <w:t xml:space="preserve">onsite </w:t>
      </w:r>
      <w:r w:rsidR="6AD6A8D1" w:rsidRPr="00497E7D">
        <w:rPr>
          <w:sz w:val="20"/>
          <w:szCs w:val="20"/>
        </w:rPr>
        <w:t>record</w:t>
      </w:r>
      <w:r w:rsidR="00141749" w:rsidRPr="00497E7D">
        <w:rPr>
          <w:sz w:val="20"/>
          <w:szCs w:val="20"/>
        </w:rPr>
        <w:t xml:space="preserve"> and </w:t>
      </w:r>
      <w:r w:rsidR="6AD6A8D1" w:rsidRPr="00497E7D">
        <w:rPr>
          <w:sz w:val="20"/>
          <w:szCs w:val="20"/>
        </w:rPr>
        <w:t>attendance</w:t>
      </w:r>
      <w:r w:rsidR="1CAA285E" w:rsidRPr="00497E7D">
        <w:rPr>
          <w:sz w:val="20"/>
          <w:szCs w:val="20"/>
        </w:rPr>
        <w:t xml:space="preserve"> review</w:t>
      </w:r>
      <w:r w:rsidR="3AFC100C" w:rsidRPr="00497E7D">
        <w:rPr>
          <w:sz w:val="20"/>
          <w:szCs w:val="20"/>
        </w:rPr>
        <w:t>.</w:t>
      </w:r>
    </w:p>
    <w:p w14:paraId="6194E626" w14:textId="77777777" w:rsidR="4973836A" w:rsidRDefault="4973836A" w:rsidP="4973836A">
      <w:pPr>
        <w:rPr>
          <w:sz w:val="20"/>
          <w:szCs w:val="20"/>
          <w:highlight w:val="yellow"/>
        </w:rPr>
      </w:pPr>
    </w:p>
    <w:p w14:paraId="284E3991" w14:textId="77777777" w:rsidR="00CC61F2" w:rsidRPr="00080195" w:rsidRDefault="2D724D8C" w:rsidP="2D724D8C">
      <w:pPr>
        <w:autoSpaceDE w:val="0"/>
        <w:autoSpaceDN w:val="0"/>
        <w:adjustRightInd w:val="0"/>
        <w:rPr>
          <w:b/>
          <w:sz w:val="20"/>
          <w:szCs w:val="20"/>
        </w:rPr>
      </w:pPr>
      <w:r w:rsidRPr="395EB91F">
        <w:rPr>
          <w:b/>
          <w:sz w:val="20"/>
          <w:szCs w:val="20"/>
        </w:rPr>
        <w:t>(b) As applicable, describe how the State has used funds for additional permissible activities described in section 223(a) (2).</w:t>
      </w:r>
    </w:p>
    <w:p w14:paraId="5C032985" w14:textId="77777777" w:rsidR="00850BD5" w:rsidRPr="002D1E40" w:rsidRDefault="00850BD5" w:rsidP="2D724D8C">
      <w:pPr>
        <w:autoSpaceDE w:val="0"/>
        <w:autoSpaceDN w:val="0"/>
        <w:adjustRightInd w:val="0"/>
        <w:rPr>
          <w:sz w:val="20"/>
          <w:szCs w:val="20"/>
        </w:rPr>
      </w:pPr>
    </w:p>
    <w:p w14:paraId="005CB5DA" w14:textId="461A992A" w:rsidR="00A73C81" w:rsidRPr="00B11B4B" w:rsidRDefault="2D724D8C" w:rsidP="2D724D8C">
      <w:pPr>
        <w:pStyle w:val="Default"/>
        <w:rPr>
          <w:rFonts w:ascii="Times New Roman" w:eastAsia="Times New Roman" w:hAnsi="Times New Roman" w:cs="Times New Roman"/>
          <w:color w:val="auto"/>
          <w:sz w:val="20"/>
          <w:szCs w:val="20"/>
        </w:rPr>
      </w:pPr>
      <w:r w:rsidRPr="2D724D8C">
        <w:rPr>
          <w:rFonts w:ascii="Times New Roman" w:eastAsia="Times New Roman" w:hAnsi="Times New Roman" w:cs="Times New Roman"/>
          <w:color w:val="auto"/>
          <w:sz w:val="20"/>
          <w:szCs w:val="20"/>
        </w:rPr>
        <w:t xml:space="preserve">The OAE used funds for permissible activities to enhance the quality of programming in the adult education system. The permissible activities that were supported with federal leadership funds included: </w:t>
      </w:r>
    </w:p>
    <w:p w14:paraId="7FB91A33" w14:textId="2F40DB3C" w:rsidR="00A73C81" w:rsidRPr="00DE3D8F" w:rsidRDefault="0EEF9CC3" w:rsidP="28C8B343">
      <w:pPr>
        <w:pStyle w:val="Default"/>
        <w:numPr>
          <w:ilvl w:val="0"/>
          <w:numId w:val="22"/>
        </w:numPr>
        <w:rPr>
          <w:color w:val="auto"/>
          <w:sz w:val="20"/>
          <w:szCs w:val="20"/>
        </w:rPr>
      </w:pPr>
      <w:r w:rsidRPr="00DE3D8F">
        <w:rPr>
          <w:rFonts w:ascii="Times New Roman" w:eastAsia="Times New Roman" w:hAnsi="Times New Roman" w:cs="Times New Roman"/>
          <w:color w:val="auto"/>
          <w:sz w:val="20"/>
          <w:szCs w:val="20"/>
        </w:rPr>
        <w:t xml:space="preserve">The </w:t>
      </w:r>
      <w:r w:rsidR="2D724D8C" w:rsidRPr="00DE3D8F">
        <w:rPr>
          <w:rFonts w:ascii="Times New Roman" w:eastAsia="Times New Roman" w:hAnsi="Times New Roman" w:cs="Times New Roman"/>
          <w:color w:val="auto"/>
          <w:sz w:val="20"/>
          <w:szCs w:val="20"/>
        </w:rPr>
        <w:t>SC Adult Education Technical Assistance Network (TAN)</w:t>
      </w:r>
      <w:r w:rsidR="00BB28E7" w:rsidRPr="00DE3D8F">
        <w:rPr>
          <w:rFonts w:ascii="Times New Roman" w:eastAsia="Times New Roman" w:hAnsi="Times New Roman" w:cs="Times New Roman"/>
          <w:color w:val="auto"/>
          <w:sz w:val="20"/>
          <w:szCs w:val="20"/>
        </w:rPr>
        <w:t xml:space="preserve">. </w:t>
      </w:r>
      <w:r w:rsidR="2D724D8C" w:rsidRPr="00DE3D8F">
        <w:rPr>
          <w:rFonts w:ascii="Times New Roman" w:eastAsia="Times New Roman" w:hAnsi="Times New Roman" w:cs="Times New Roman"/>
          <w:color w:val="auto"/>
          <w:sz w:val="20"/>
          <w:szCs w:val="20"/>
        </w:rPr>
        <w:t>The TAN, in collaboration with the OAE, developed and provided training to adult education practitioners on various adult education-related practices and models that support program development and instruction. Professional development activities through the TAN focused on</w:t>
      </w:r>
      <w:r w:rsidR="7003D211" w:rsidRPr="00DE3D8F">
        <w:rPr>
          <w:rFonts w:ascii="Times New Roman" w:eastAsia="Times New Roman" w:hAnsi="Times New Roman" w:cs="Times New Roman"/>
          <w:color w:val="auto"/>
          <w:sz w:val="20"/>
          <w:szCs w:val="20"/>
        </w:rPr>
        <w:t xml:space="preserve"> instructional strategies and resources,</w:t>
      </w:r>
      <w:r w:rsidR="2D724D8C" w:rsidRPr="00DE3D8F">
        <w:rPr>
          <w:rFonts w:ascii="Times New Roman" w:eastAsia="Times New Roman" w:hAnsi="Times New Roman" w:cs="Times New Roman"/>
          <w:color w:val="auto"/>
          <w:sz w:val="20"/>
          <w:szCs w:val="20"/>
        </w:rPr>
        <w:t xml:space="preserve"> integrated education and training,</w:t>
      </w:r>
      <w:r w:rsidR="296E35E1" w:rsidRPr="00DE3D8F">
        <w:rPr>
          <w:rFonts w:ascii="Times New Roman" w:eastAsia="Times New Roman" w:hAnsi="Times New Roman" w:cs="Times New Roman"/>
          <w:color w:val="auto"/>
          <w:sz w:val="20"/>
          <w:szCs w:val="20"/>
        </w:rPr>
        <w:t xml:space="preserve"> and</w:t>
      </w:r>
      <w:r w:rsidR="2D724D8C" w:rsidRPr="00DE3D8F">
        <w:rPr>
          <w:rFonts w:ascii="Times New Roman" w:eastAsia="Times New Roman" w:hAnsi="Times New Roman" w:cs="Times New Roman"/>
          <w:color w:val="auto"/>
          <w:sz w:val="20"/>
          <w:szCs w:val="20"/>
        </w:rPr>
        <w:t xml:space="preserve"> career pathways</w:t>
      </w:r>
      <w:r w:rsidR="205ADAA4" w:rsidRPr="00DE3D8F">
        <w:rPr>
          <w:rFonts w:ascii="Times New Roman" w:eastAsia="Times New Roman" w:hAnsi="Times New Roman" w:cs="Times New Roman"/>
          <w:color w:val="auto"/>
          <w:sz w:val="20"/>
          <w:szCs w:val="20"/>
        </w:rPr>
        <w:t>.</w:t>
      </w:r>
      <w:r w:rsidR="2D724D8C" w:rsidRPr="00DE3D8F">
        <w:rPr>
          <w:rFonts w:ascii="Times New Roman" w:eastAsia="Times New Roman" w:hAnsi="Times New Roman" w:cs="Times New Roman"/>
          <w:color w:val="auto"/>
          <w:sz w:val="20"/>
          <w:szCs w:val="20"/>
        </w:rPr>
        <w:t xml:space="preserve"> </w:t>
      </w:r>
    </w:p>
    <w:p w14:paraId="7B2F0498" w14:textId="69696568" w:rsidR="00B97FFE" w:rsidRPr="00DE3D8F" w:rsidRDefault="2D724D8C" w:rsidP="2D724D8C">
      <w:pPr>
        <w:pStyle w:val="Default"/>
        <w:numPr>
          <w:ilvl w:val="0"/>
          <w:numId w:val="22"/>
        </w:numPr>
        <w:rPr>
          <w:color w:val="auto"/>
          <w:sz w:val="20"/>
          <w:szCs w:val="20"/>
        </w:rPr>
      </w:pPr>
      <w:r w:rsidRPr="00DE3D8F">
        <w:rPr>
          <w:rFonts w:ascii="Times New Roman" w:eastAsia="Times New Roman" w:hAnsi="Times New Roman" w:cs="Times New Roman"/>
          <w:color w:val="auto"/>
          <w:sz w:val="20"/>
          <w:szCs w:val="20"/>
        </w:rPr>
        <w:t>Graduate Level Courses</w:t>
      </w:r>
      <w:r w:rsidR="00BB28E7" w:rsidRPr="00DE3D8F">
        <w:rPr>
          <w:rFonts w:ascii="Times New Roman" w:eastAsia="Times New Roman" w:hAnsi="Times New Roman" w:cs="Times New Roman"/>
          <w:color w:val="auto"/>
          <w:sz w:val="20"/>
          <w:szCs w:val="20"/>
        </w:rPr>
        <w:t xml:space="preserve">. </w:t>
      </w:r>
      <w:r w:rsidRPr="00DE3D8F">
        <w:rPr>
          <w:rFonts w:ascii="Times New Roman" w:eastAsia="Times New Roman" w:hAnsi="Times New Roman" w:cs="Times New Roman"/>
          <w:color w:val="auto"/>
          <w:sz w:val="20"/>
          <w:szCs w:val="20"/>
        </w:rPr>
        <w:t xml:space="preserve">The OAE used federal leadership funds to develop and execute graduate level college courses, for adult education practitioners. </w:t>
      </w:r>
      <w:r w:rsidR="00333BB7" w:rsidRPr="00DE3D8F">
        <w:rPr>
          <w:rFonts w:ascii="Times New Roman" w:eastAsia="Times New Roman" w:hAnsi="Times New Roman" w:cs="Times New Roman"/>
          <w:color w:val="auto"/>
          <w:sz w:val="20"/>
          <w:szCs w:val="20"/>
        </w:rPr>
        <w:t xml:space="preserve">The OAE plans to add additional course offerings </w:t>
      </w:r>
      <w:r w:rsidR="00D572F9" w:rsidRPr="00DE3D8F">
        <w:rPr>
          <w:rFonts w:ascii="Times New Roman" w:eastAsia="Times New Roman" w:hAnsi="Times New Roman" w:cs="Times New Roman"/>
          <w:color w:val="auto"/>
          <w:sz w:val="20"/>
          <w:szCs w:val="20"/>
        </w:rPr>
        <w:t xml:space="preserve">mainly </w:t>
      </w:r>
      <w:proofErr w:type="gramStart"/>
      <w:r w:rsidR="00D572F9" w:rsidRPr="00DE3D8F">
        <w:rPr>
          <w:rFonts w:ascii="Times New Roman" w:eastAsia="Times New Roman" w:hAnsi="Times New Roman" w:cs="Times New Roman"/>
          <w:color w:val="auto"/>
          <w:sz w:val="20"/>
          <w:szCs w:val="20"/>
        </w:rPr>
        <w:t>in the area of</w:t>
      </w:r>
      <w:proofErr w:type="gramEnd"/>
      <w:r w:rsidR="00D572F9" w:rsidRPr="00DE3D8F">
        <w:rPr>
          <w:rFonts w:ascii="Times New Roman" w:eastAsia="Times New Roman" w:hAnsi="Times New Roman" w:cs="Times New Roman"/>
          <w:color w:val="auto"/>
          <w:sz w:val="20"/>
          <w:szCs w:val="20"/>
        </w:rPr>
        <w:t xml:space="preserve"> digital literacy </w:t>
      </w:r>
      <w:r w:rsidR="008F65AB" w:rsidRPr="00DE3D8F">
        <w:rPr>
          <w:rFonts w:ascii="Times New Roman" w:eastAsia="Times New Roman" w:hAnsi="Times New Roman" w:cs="Times New Roman"/>
          <w:color w:val="auto"/>
          <w:sz w:val="20"/>
          <w:szCs w:val="20"/>
        </w:rPr>
        <w:t>to support state level a</w:t>
      </w:r>
      <w:r w:rsidR="0056101C" w:rsidRPr="00DE3D8F">
        <w:rPr>
          <w:rFonts w:ascii="Times New Roman" w:eastAsia="Times New Roman" w:hAnsi="Times New Roman" w:cs="Times New Roman"/>
          <w:color w:val="auto"/>
          <w:sz w:val="20"/>
          <w:szCs w:val="20"/>
        </w:rPr>
        <w:t>ctive around a newly created SC Soft Skills Certificate.</w:t>
      </w:r>
    </w:p>
    <w:p w14:paraId="55D0435D" w14:textId="7FF98561" w:rsidR="00A73C81" w:rsidRPr="00DE3D8F" w:rsidRDefault="2D724D8C" w:rsidP="2D724D8C">
      <w:pPr>
        <w:pStyle w:val="Default"/>
        <w:numPr>
          <w:ilvl w:val="0"/>
          <w:numId w:val="22"/>
        </w:numPr>
        <w:rPr>
          <w:color w:val="auto"/>
          <w:sz w:val="20"/>
          <w:szCs w:val="20"/>
        </w:rPr>
      </w:pPr>
      <w:r w:rsidRPr="00DE3D8F">
        <w:rPr>
          <w:rFonts w:ascii="Times New Roman" w:eastAsia="Times New Roman" w:hAnsi="Times New Roman" w:cs="Times New Roman"/>
          <w:color w:val="auto"/>
          <w:sz w:val="20"/>
          <w:szCs w:val="20"/>
        </w:rPr>
        <w:t>Standard</w:t>
      </w:r>
      <w:r w:rsidR="00BB28E7" w:rsidRPr="00DE3D8F">
        <w:rPr>
          <w:rFonts w:ascii="Times New Roman" w:eastAsia="Times New Roman" w:hAnsi="Times New Roman" w:cs="Times New Roman"/>
          <w:color w:val="auto"/>
          <w:sz w:val="20"/>
          <w:szCs w:val="20"/>
        </w:rPr>
        <w:t xml:space="preserve">s. </w:t>
      </w:r>
      <w:r w:rsidRPr="00DE3D8F">
        <w:rPr>
          <w:rFonts w:ascii="Times New Roman" w:eastAsia="Times New Roman" w:hAnsi="Times New Roman" w:cs="Times New Roman"/>
          <w:color w:val="auto"/>
          <w:sz w:val="20"/>
          <w:szCs w:val="20"/>
        </w:rPr>
        <w:t xml:space="preserve">The OAE </w:t>
      </w:r>
      <w:r w:rsidR="00DD0B51" w:rsidRPr="00DE3D8F">
        <w:rPr>
          <w:rFonts w:ascii="Times New Roman" w:eastAsia="Times New Roman" w:hAnsi="Times New Roman" w:cs="Times New Roman"/>
          <w:color w:val="auto"/>
          <w:sz w:val="20"/>
          <w:szCs w:val="20"/>
        </w:rPr>
        <w:t xml:space="preserve">continues to </w:t>
      </w:r>
      <w:r w:rsidR="3B1C9305" w:rsidRPr="00DE3D8F">
        <w:rPr>
          <w:rFonts w:ascii="Times New Roman" w:eastAsia="Times New Roman" w:hAnsi="Times New Roman" w:cs="Times New Roman"/>
          <w:color w:val="auto"/>
          <w:sz w:val="20"/>
          <w:szCs w:val="20"/>
        </w:rPr>
        <w:t>provide training on the use and implementation of</w:t>
      </w:r>
      <w:r w:rsidRPr="00DE3D8F">
        <w:rPr>
          <w:rFonts w:ascii="Times New Roman" w:eastAsia="Times New Roman" w:hAnsi="Times New Roman" w:cs="Times New Roman"/>
          <w:color w:val="auto"/>
          <w:sz w:val="20"/>
          <w:szCs w:val="20"/>
        </w:rPr>
        <w:t xml:space="preserve"> the </w:t>
      </w:r>
      <w:r w:rsidR="00E112F5" w:rsidRPr="00DE3D8F">
        <w:rPr>
          <w:rFonts w:ascii="Times New Roman" w:eastAsia="Times New Roman" w:hAnsi="Times New Roman" w:cs="Times New Roman"/>
          <w:color w:val="auto"/>
          <w:sz w:val="20"/>
          <w:szCs w:val="20"/>
        </w:rPr>
        <w:t>College and Career Ready standards</w:t>
      </w:r>
      <w:r w:rsidR="008C73E0" w:rsidRPr="00DE3D8F">
        <w:rPr>
          <w:rFonts w:ascii="Times New Roman" w:eastAsia="Times New Roman" w:hAnsi="Times New Roman" w:cs="Times New Roman"/>
          <w:color w:val="auto"/>
          <w:sz w:val="20"/>
          <w:szCs w:val="20"/>
        </w:rPr>
        <w:t>, and</w:t>
      </w:r>
      <w:r w:rsidR="00E112F5" w:rsidRPr="00DE3D8F">
        <w:rPr>
          <w:rFonts w:ascii="Times New Roman" w:eastAsia="Times New Roman" w:hAnsi="Times New Roman" w:cs="Times New Roman"/>
          <w:color w:val="auto"/>
          <w:sz w:val="20"/>
          <w:szCs w:val="20"/>
        </w:rPr>
        <w:t xml:space="preserve"> </w:t>
      </w:r>
      <w:r w:rsidRPr="00DE3D8F">
        <w:rPr>
          <w:rFonts w:ascii="Times New Roman" w:eastAsia="Times New Roman" w:hAnsi="Times New Roman" w:cs="Times New Roman"/>
          <w:color w:val="auto"/>
          <w:sz w:val="20"/>
          <w:szCs w:val="20"/>
        </w:rPr>
        <w:t>SC Adult English Language Proficiency Standards, which also align with the state’s K-12 standards and the OCTAE standards.</w:t>
      </w:r>
    </w:p>
    <w:p w14:paraId="31B52246" w14:textId="681D4850" w:rsidR="00A73C81" w:rsidRPr="00DE3D8F" w:rsidRDefault="2D724D8C" w:rsidP="58BEB63C">
      <w:pPr>
        <w:pStyle w:val="Default"/>
        <w:numPr>
          <w:ilvl w:val="0"/>
          <w:numId w:val="22"/>
        </w:numPr>
        <w:rPr>
          <w:rFonts w:asciiTheme="minorHAnsi" w:eastAsiaTheme="minorEastAsia" w:hAnsiTheme="minorHAnsi" w:cstheme="minorBidi"/>
          <w:color w:val="000000" w:themeColor="text1"/>
          <w:sz w:val="20"/>
          <w:szCs w:val="20"/>
        </w:rPr>
      </w:pPr>
      <w:r w:rsidRPr="00DE3D8F">
        <w:rPr>
          <w:rFonts w:ascii="Times New Roman" w:eastAsia="Times New Roman" w:hAnsi="Times New Roman" w:cs="Times New Roman"/>
          <w:color w:val="auto"/>
          <w:sz w:val="20"/>
          <w:szCs w:val="20"/>
        </w:rPr>
        <w:t>Distance Education</w:t>
      </w:r>
      <w:r w:rsidR="00BB28E7" w:rsidRPr="00DE3D8F">
        <w:rPr>
          <w:rFonts w:ascii="Times New Roman" w:eastAsia="Times New Roman" w:hAnsi="Times New Roman" w:cs="Times New Roman"/>
          <w:color w:val="auto"/>
          <w:sz w:val="20"/>
          <w:szCs w:val="20"/>
        </w:rPr>
        <w:t xml:space="preserve">. </w:t>
      </w:r>
      <w:r w:rsidR="0D16837E" w:rsidRPr="00DE3D8F">
        <w:rPr>
          <w:rFonts w:ascii="Times New Roman" w:eastAsia="Times New Roman" w:hAnsi="Times New Roman" w:cs="Times New Roman"/>
          <w:sz w:val="20"/>
          <w:szCs w:val="20"/>
        </w:rPr>
        <w:t xml:space="preserve">In response to school closings due to COVID-19, </w:t>
      </w:r>
      <w:r w:rsidR="00786CBF" w:rsidRPr="00DE3D8F">
        <w:rPr>
          <w:rFonts w:ascii="Times New Roman" w:eastAsia="Times New Roman" w:hAnsi="Times New Roman" w:cs="Times New Roman"/>
          <w:sz w:val="20"/>
          <w:szCs w:val="20"/>
        </w:rPr>
        <w:t xml:space="preserve">and </w:t>
      </w:r>
      <w:r w:rsidR="0042390B" w:rsidRPr="00DE3D8F">
        <w:rPr>
          <w:rFonts w:ascii="Times New Roman" w:eastAsia="Times New Roman" w:hAnsi="Times New Roman" w:cs="Times New Roman"/>
          <w:sz w:val="20"/>
          <w:szCs w:val="20"/>
        </w:rPr>
        <w:t xml:space="preserve">the accumulation of </w:t>
      </w:r>
      <w:r w:rsidR="002D1EF8" w:rsidRPr="00DE3D8F">
        <w:rPr>
          <w:rFonts w:ascii="Times New Roman" w:eastAsia="Times New Roman" w:hAnsi="Times New Roman" w:cs="Times New Roman"/>
          <w:sz w:val="20"/>
          <w:szCs w:val="20"/>
        </w:rPr>
        <w:t xml:space="preserve">portable technology such as tablets and laptops </w:t>
      </w:r>
      <w:r w:rsidR="00C81FB9" w:rsidRPr="00DE3D8F">
        <w:rPr>
          <w:rFonts w:ascii="Times New Roman" w:eastAsia="Times New Roman" w:hAnsi="Times New Roman" w:cs="Times New Roman"/>
          <w:sz w:val="20"/>
          <w:szCs w:val="20"/>
        </w:rPr>
        <w:t>used by students</w:t>
      </w:r>
      <w:r w:rsidR="001922A2" w:rsidRPr="00DE3D8F">
        <w:rPr>
          <w:rFonts w:ascii="Times New Roman" w:eastAsia="Times New Roman" w:hAnsi="Times New Roman" w:cs="Times New Roman"/>
          <w:sz w:val="20"/>
          <w:szCs w:val="20"/>
        </w:rPr>
        <w:t xml:space="preserve"> in PY 2019-20</w:t>
      </w:r>
      <w:r w:rsidR="00C81FB9" w:rsidRPr="00DE3D8F">
        <w:rPr>
          <w:rFonts w:ascii="Times New Roman" w:eastAsia="Times New Roman" w:hAnsi="Times New Roman" w:cs="Times New Roman"/>
          <w:sz w:val="20"/>
          <w:szCs w:val="20"/>
        </w:rPr>
        <w:t xml:space="preserve">, </w:t>
      </w:r>
      <w:r w:rsidR="0D16837E" w:rsidRPr="00DE3D8F">
        <w:rPr>
          <w:rFonts w:ascii="Times New Roman" w:eastAsia="Times New Roman" w:hAnsi="Times New Roman" w:cs="Times New Roman"/>
          <w:sz w:val="20"/>
          <w:szCs w:val="20"/>
        </w:rPr>
        <w:t xml:space="preserve">the OAE </w:t>
      </w:r>
      <w:r w:rsidR="001922A2" w:rsidRPr="00DE3D8F">
        <w:rPr>
          <w:rFonts w:ascii="Times New Roman" w:eastAsia="Times New Roman" w:hAnsi="Times New Roman" w:cs="Times New Roman"/>
          <w:sz w:val="20"/>
          <w:szCs w:val="20"/>
        </w:rPr>
        <w:t xml:space="preserve">did research </w:t>
      </w:r>
      <w:r w:rsidR="00B40C08" w:rsidRPr="00DE3D8F">
        <w:rPr>
          <w:rFonts w:ascii="Times New Roman" w:eastAsia="Times New Roman" w:hAnsi="Times New Roman" w:cs="Times New Roman"/>
          <w:sz w:val="20"/>
          <w:szCs w:val="20"/>
        </w:rPr>
        <w:t>during 2020-21 and is planning to purchase di</w:t>
      </w:r>
      <w:r w:rsidR="0D16837E" w:rsidRPr="00DE3D8F">
        <w:rPr>
          <w:rFonts w:ascii="Times New Roman" w:eastAsia="Times New Roman" w:hAnsi="Times New Roman" w:cs="Times New Roman"/>
          <w:sz w:val="20"/>
          <w:szCs w:val="20"/>
        </w:rPr>
        <w:t xml:space="preserve">stance </w:t>
      </w:r>
      <w:r w:rsidR="00B40C08" w:rsidRPr="00DE3D8F">
        <w:rPr>
          <w:rFonts w:ascii="Times New Roman" w:eastAsia="Times New Roman" w:hAnsi="Times New Roman" w:cs="Times New Roman"/>
          <w:sz w:val="20"/>
          <w:szCs w:val="20"/>
        </w:rPr>
        <w:t>e</w:t>
      </w:r>
      <w:r w:rsidR="0D16837E" w:rsidRPr="00DE3D8F">
        <w:rPr>
          <w:rFonts w:ascii="Times New Roman" w:eastAsia="Times New Roman" w:hAnsi="Times New Roman" w:cs="Times New Roman"/>
          <w:sz w:val="20"/>
          <w:szCs w:val="20"/>
        </w:rPr>
        <w:t xml:space="preserve">ducation </w:t>
      </w:r>
      <w:r w:rsidR="00B40C08" w:rsidRPr="00DE3D8F">
        <w:rPr>
          <w:rFonts w:ascii="Times New Roman" w:eastAsia="Times New Roman" w:hAnsi="Times New Roman" w:cs="Times New Roman"/>
          <w:sz w:val="20"/>
          <w:szCs w:val="20"/>
        </w:rPr>
        <w:t xml:space="preserve">packages </w:t>
      </w:r>
      <w:r w:rsidR="001A710A" w:rsidRPr="00DE3D8F">
        <w:rPr>
          <w:rFonts w:ascii="Times New Roman" w:eastAsia="Times New Roman" w:hAnsi="Times New Roman" w:cs="Times New Roman"/>
          <w:sz w:val="20"/>
          <w:szCs w:val="20"/>
        </w:rPr>
        <w:t xml:space="preserve">and a learning management system </w:t>
      </w:r>
      <w:r w:rsidR="00BE1E76" w:rsidRPr="00DE3D8F">
        <w:rPr>
          <w:rFonts w:ascii="Times New Roman" w:eastAsia="Times New Roman" w:hAnsi="Times New Roman" w:cs="Times New Roman"/>
          <w:sz w:val="20"/>
          <w:szCs w:val="20"/>
        </w:rPr>
        <w:t xml:space="preserve">that will hold </w:t>
      </w:r>
      <w:r w:rsidR="00316743" w:rsidRPr="00DE3D8F">
        <w:rPr>
          <w:rFonts w:ascii="Times New Roman" w:eastAsia="Times New Roman" w:hAnsi="Times New Roman" w:cs="Times New Roman"/>
          <w:sz w:val="20"/>
          <w:szCs w:val="20"/>
        </w:rPr>
        <w:t xml:space="preserve">curriculum based on </w:t>
      </w:r>
      <w:r w:rsidR="00690D08" w:rsidRPr="00DE3D8F">
        <w:rPr>
          <w:rFonts w:ascii="Times New Roman" w:eastAsia="Times New Roman" w:hAnsi="Times New Roman" w:cs="Times New Roman"/>
          <w:color w:val="auto"/>
          <w:sz w:val="20"/>
          <w:szCs w:val="20"/>
        </w:rPr>
        <w:t>College and Career Ready standards</w:t>
      </w:r>
      <w:r w:rsidR="00BC1C07" w:rsidRPr="00DE3D8F">
        <w:rPr>
          <w:rFonts w:ascii="Times New Roman" w:eastAsia="Times New Roman" w:hAnsi="Times New Roman" w:cs="Times New Roman"/>
          <w:sz w:val="20"/>
          <w:szCs w:val="20"/>
        </w:rPr>
        <w:t>.  This curriculum will support GED preparation</w:t>
      </w:r>
      <w:r w:rsidR="00C51CD1" w:rsidRPr="00DE3D8F">
        <w:rPr>
          <w:rFonts w:ascii="Times New Roman" w:eastAsia="Times New Roman" w:hAnsi="Times New Roman" w:cs="Times New Roman"/>
          <w:sz w:val="20"/>
          <w:szCs w:val="20"/>
        </w:rPr>
        <w:t xml:space="preserve"> and high school diploma completion. </w:t>
      </w:r>
      <w:r w:rsidR="008D67F8" w:rsidRPr="00DE3D8F">
        <w:rPr>
          <w:rFonts w:ascii="Times New Roman" w:eastAsia="Times New Roman" w:hAnsi="Times New Roman" w:cs="Times New Roman"/>
          <w:sz w:val="20"/>
          <w:szCs w:val="20"/>
        </w:rPr>
        <w:t>The OAE also plans to purchase s</w:t>
      </w:r>
      <w:r w:rsidR="0094035B" w:rsidRPr="00DE3D8F">
        <w:rPr>
          <w:rFonts w:ascii="Times New Roman" w:eastAsia="Times New Roman" w:hAnsi="Times New Roman" w:cs="Times New Roman"/>
          <w:sz w:val="20"/>
          <w:szCs w:val="20"/>
        </w:rPr>
        <w:t>oft</w:t>
      </w:r>
      <w:r w:rsidR="00B21B1E" w:rsidRPr="00DE3D8F">
        <w:rPr>
          <w:rFonts w:ascii="Times New Roman" w:eastAsia="Times New Roman" w:hAnsi="Times New Roman" w:cs="Times New Roman"/>
          <w:sz w:val="20"/>
          <w:szCs w:val="20"/>
        </w:rPr>
        <w:t>ware that supports digital literacy training</w:t>
      </w:r>
      <w:r w:rsidR="007E62D1" w:rsidRPr="00DE3D8F">
        <w:rPr>
          <w:rFonts w:ascii="Times New Roman" w:eastAsia="Times New Roman" w:hAnsi="Times New Roman" w:cs="Times New Roman"/>
          <w:sz w:val="20"/>
          <w:szCs w:val="20"/>
        </w:rPr>
        <w:t xml:space="preserve"> </w:t>
      </w:r>
      <w:r w:rsidR="0D16837E" w:rsidRPr="00DE3D8F">
        <w:rPr>
          <w:rFonts w:ascii="Times New Roman" w:eastAsia="Times New Roman" w:hAnsi="Times New Roman" w:cs="Times New Roman"/>
          <w:color w:val="auto"/>
          <w:sz w:val="20"/>
          <w:szCs w:val="20"/>
        </w:rPr>
        <w:t>for use by local adult education providers</w:t>
      </w:r>
      <w:r w:rsidR="00A5076E" w:rsidRPr="00DE3D8F">
        <w:rPr>
          <w:rFonts w:ascii="Times New Roman" w:eastAsia="Times New Roman" w:hAnsi="Times New Roman" w:cs="Times New Roman"/>
          <w:color w:val="auto"/>
          <w:sz w:val="20"/>
          <w:szCs w:val="20"/>
        </w:rPr>
        <w:t xml:space="preserve">. </w:t>
      </w:r>
    </w:p>
    <w:p w14:paraId="0CF0A8F5" w14:textId="5D268CCA" w:rsidR="00CB6A33" w:rsidRPr="00DE3D8F" w:rsidRDefault="2D724D8C" w:rsidP="2D724D8C">
      <w:pPr>
        <w:pStyle w:val="BodyText"/>
        <w:numPr>
          <w:ilvl w:val="0"/>
          <w:numId w:val="22"/>
        </w:numPr>
        <w:jc w:val="left"/>
        <w:rPr>
          <w:rFonts w:ascii="Arial" w:hAnsi="Arial" w:cs="Arial"/>
          <w:b w:val="0"/>
          <w:bCs w:val="0"/>
          <w:sz w:val="20"/>
          <w:szCs w:val="20"/>
        </w:rPr>
      </w:pPr>
      <w:r w:rsidRPr="00DE3D8F">
        <w:rPr>
          <w:rFonts w:ascii="Times New Roman" w:hAnsi="Times New Roman"/>
          <w:b w:val="0"/>
          <w:bCs w:val="0"/>
          <w:sz w:val="20"/>
          <w:szCs w:val="20"/>
        </w:rPr>
        <w:t>Transition Services</w:t>
      </w:r>
      <w:r w:rsidR="00BB28E7" w:rsidRPr="00DE3D8F">
        <w:rPr>
          <w:rFonts w:ascii="Times New Roman" w:hAnsi="Times New Roman"/>
          <w:b w:val="0"/>
          <w:bCs w:val="0"/>
          <w:sz w:val="20"/>
          <w:szCs w:val="20"/>
        </w:rPr>
        <w:t>. T</w:t>
      </w:r>
      <w:r w:rsidRPr="00DE3D8F">
        <w:rPr>
          <w:rFonts w:ascii="Times New Roman" w:hAnsi="Times New Roman"/>
          <w:b w:val="0"/>
          <w:bCs w:val="0"/>
          <w:sz w:val="20"/>
          <w:szCs w:val="20"/>
        </w:rPr>
        <w:t xml:space="preserve">he OAE </w:t>
      </w:r>
      <w:r w:rsidR="00547417" w:rsidRPr="00DE3D8F">
        <w:rPr>
          <w:rFonts w:ascii="Times New Roman" w:hAnsi="Times New Roman"/>
          <w:b w:val="0"/>
          <w:bCs w:val="0"/>
          <w:sz w:val="20"/>
          <w:szCs w:val="20"/>
        </w:rPr>
        <w:t xml:space="preserve">continued </w:t>
      </w:r>
      <w:r w:rsidR="0050566C" w:rsidRPr="00DE3D8F">
        <w:rPr>
          <w:rFonts w:ascii="Times New Roman" w:hAnsi="Times New Roman"/>
          <w:b w:val="0"/>
          <w:bCs w:val="0"/>
          <w:sz w:val="20"/>
          <w:szCs w:val="20"/>
        </w:rPr>
        <w:t>to provide</w:t>
      </w:r>
      <w:r w:rsidR="00BC770B" w:rsidRPr="00DE3D8F">
        <w:rPr>
          <w:rFonts w:ascii="Times New Roman" w:hAnsi="Times New Roman"/>
          <w:b w:val="0"/>
          <w:bCs w:val="0"/>
          <w:sz w:val="20"/>
          <w:szCs w:val="20"/>
        </w:rPr>
        <w:t xml:space="preserve"> career and </w:t>
      </w:r>
      <w:r w:rsidRPr="00DE3D8F">
        <w:rPr>
          <w:rFonts w:ascii="Times New Roman" w:hAnsi="Times New Roman"/>
          <w:b w:val="0"/>
          <w:bCs w:val="0"/>
          <w:sz w:val="20"/>
          <w:szCs w:val="20"/>
        </w:rPr>
        <w:t xml:space="preserve">transition service training </w:t>
      </w:r>
      <w:r w:rsidR="00CC5F80" w:rsidRPr="00DE3D8F">
        <w:rPr>
          <w:rFonts w:ascii="Times New Roman" w:hAnsi="Times New Roman"/>
          <w:b w:val="0"/>
          <w:bCs w:val="0"/>
          <w:sz w:val="20"/>
          <w:szCs w:val="20"/>
        </w:rPr>
        <w:t>to local</w:t>
      </w:r>
      <w:r w:rsidRPr="00DE3D8F">
        <w:rPr>
          <w:rFonts w:ascii="Times New Roman" w:hAnsi="Times New Roman"/>
          <w:b w:val="0"/>
          <w:bCs w:val="0"/>
          <w:sz w:val="20"/>
          <w:szCs w:val="20"/>
        </w:rPr>
        <w:t xml:space="preserve"> College and Career Navigators.</w:t>
      </w:r>
    </w:p>
    <w:p w14:paraId="2FD4B1CC" w14:textId="1E8F708F" w:rsidR="006823FD" w:rsidRPr="00062CF9" w:rsidRDefault="00093A31" w:rsidP="006823FD">
      <w:pPr>
        <w:pStyle w:val="BodyText"/>
        <w:keepNext/>
        <w:numPr>
          <w:ilvl w:val="0"/>
          <w:numId w:val="22"/>
        </w:numPr>
        <w:jc w:val="left"/>
        <w:outlineLvl w:val="2"/>
        <w:rPr>
          <w:sz w:val="20"/>
          <w:szCs w:val="20"/>
        </w:rPr>
      </w:pPr>
      <w:r>
        <w:rPr>
          <w:rFonts w:ascii="Times New Roman" w:hAnsi="Times New Roman"/>
          <w:b w:val="0"/>
          <w:bCs w:val="0"/>
          <w:sz w:val="20"/>
          <w:szCs w:val="20"/>
        </w:rPr>
        <w:t xml:space="preserve">Although the lack </w:t>
      </w:r>
      <w:r w:rsidR="00D90A3E">
        <w:rPr>
          <w:rFonts w:ascii="Times New Roman" w:hAnsi="Times New Roman"/>
          <w:b w:val="0"/>
          <w:bCs w:val="0"/>
          <w:sz w:val="20"/>
          <w:szCs w:val="20"/>
        </w:rPr>
        <w:t xml:space="preserve">of virtual occupational training </w:t>
      </w:r>
      <w:r w:rsidR="00A32348">
        <w:rPr>
          <w:rFonts w:ascii="Times New Roman" w:hAnsi="Times New Roman"/>
          <w:b w:val="0"/>
          <w:bCs w:val="0"/>
          <w:sz w:val="20"/>
          <w:szCs w:val="20"/>
        </w:rPr>
        <w:t xml:space="preserve">slowed IET progress from PY 2019-20, the </w:t>
      </w:r>
      <w:r w:rsidR="006823FD" w:rsidRPr="00062CF9">
        <w:rPr>
          <w:rFonts w:ascii="Times New Roman" w:hAnsi="Times New Roman"/>
          <w:b w:val="0"/>
          <w:bCs w:val="0"/>
          <w:sz w:val="20"/>
          <w:szCs w:val="20"/>
        </w:rPr>
        <w:t xml:space="preserve">OAE staff </w:t>
      </w:r>
      <w:r w:rsidR="00C346A4">
        <w:rPr>
          <w:rFonts w:ascii="Times New Roman" w:hAnsi="Times New Roman"/>
          <w:b w:val="0"/>
          <w:bCs w:val="0"/>
          <w:sz w:val="20"/>
          <w:szCs w:val="20"/>
        </w:rPr>
        <w:t xml:space="preserve">continues to </w:t>
      </w:r>
      <w:r w:rsidR="006823FD" w:rsidRPr="00062CF9">
        <w:rPr>
          <w:rFonts w:ascii="Times New Roman" w:hAnsi="Times New Roman"/>
          <w:b w:val="0"/>
          <w:bCs w:val="0"/>
          <w:sz w:val="20"/>
          <w:szCs w:val="20"/>
        </w:rPr>
        <w:t xml:space="preserve">work with local programs to develop IET programs that meet the requirements as set forth by WIOA legislation. </w:t>
      </w:r>
      <w:r w:rsidR="00F35961">
        <w:rPr>
          <w:rFonts w:ascii="Times New Roman" w:hAnsi="Times New Roman"/>
          <w:b w:val="0"/>
          <w:bCs w:val="0"/>
          <w:sz w:val="20"/>
          <w:szCs w:val="20"/>
        </w:rPr>
        <w:t xml:space="preserve">There are currently </w:t>
      </w:r>
      <w:r w:rsidR="005A50E6">
        <w:rPr>
          <w:rFonts w:ascii="Times New Roman" w:hAnsi="Times New Roman"/>
          <w:b w:val="0"/>
          <w:bCs w:val="0"/>
          <w:sz w:val="20"/>
          <w:szCs w:val="20"/>
        </w:rPr>
        <w:t>more than 50 approved IETs</w:t>
      </w:r>
      <w:r w:rsidR="0013131B">
        <w:rPr>
          <w:rFonts w:ascii="Times New Roman" w:hAnsi="Times New Roman"/>
          <w:b w:val="0"/>
          <w:bCs w:val="0"/>
          <w:sz w:val="20"/>
          <w:szCs w:val="20"/>
        </w:rPr>
        <w:t xml:space="preserve">, </w:t>
      </w:r>
      <w:r w:rsidR="00F27FD4">
        <w:rPr>
          <w:rFonts w:ascii="Times New Roman" w:hAnsi="Times New Roman"/>
          <w:b w:val="0"/>
          <w:bCs w:val="0"/>
          <w:sz w:val="20"/>
          <w:szCs w:val="20"/>
        </w:rPr>
        <w:t>with more than 350</w:t>
      </w:r>
      <w:r w:rsidR="006823FD" w:rsidRPr="00062CF9">
        <w:rPr>
          <w:rFonts w:ascii="Times New Roman" w:hAnsi="Times New Roman"/>
          <w:b w:val="0"/>
          <w:bCs w:val="0"/>
          <w:sz w:val="20"/>
          <w:szCs w:val="20"/>
        </w:rPr>
        <w:t xml:space="preserve"> participants.</w:t>
      </w:r>
    </w:p>
    <w:p w14:paraId="7CA2C32F" w14:textId="77777777" w:rsidR="000A30C1" w:rsidRDefault="000A30C1" w:rsidP="2D724D8C">
      <w:pPr>
        <w:keepNext/>
        <w:outlineLvl w:val="2"/>
        <w:rPr>
          <w:sz w:val="20"/>
          <w:szCs w:val="20"/>
        </w:rPr>
      </w:pPr>
    </w:p>
    <w:p w14:paraId="0B26D372" w14:textId="77777777" w:rsidR="00BA7B74" w:rsidRPr="00080195" w:rsidRDefault="2D724D8C" w:rsidP="2D724D8C">
      <w:pPr>
        <w:autoSpaceDE w:val="0"/>
        <w:autoSpaceDN w:val="0"/>
        <w:adjustRightInd w:val="0"/>
        <w:rPr>
          <w:b/>
          <w:bCs/>
          <w:szCs w:val="20"/>
        </w:rPr>
      </w:pPr>
      <w:r w:rsidRPr="00080195">
        <w:rPr>
          <w:b/>
          <w:bCs/>
          <w:szCs w:val="20"/>
        </w:rPr>
        <w:t>2. Performance Data Analysis</w:t>
      </w:r>
    </w:p>
    <w:p w14:paraId="6B8A6925" w14:textId="77777777" w:rsidR="00850BD5" w:rsidRPr="00080195" w:rsidRDefault="00850BD5" w:rsidP="2D724D8C">
      <w:pPr>
        <w:autoSpaceDE w:val="0"/>
        <w:autoSpaceDN w:val="0"/>
        <w:adjustRightInd w:val="0"/>
        <w:rPr>
          <w:szCs w:val="20"/>
        </w:rPr>
      </w:pPr>
    </w:p>
    <w:p w14:paraId="37F09B24" w14:textId="77777777" w:rsidR="00BA7B74" w:rsidRPr="00080195" w:rsidRDefault="2D724D8C" w:rsidP="4B353BA5">
      <w:pPr>
        <w:autoSpaceDE w:val="0"/>
        <w:autoSpaceDN w:val="0"/>
        <w:adjustRightInd w:val="0"/>
        <w:rPr>
          <w:b/>
          <w:bCs/>
        </w:rPr>
      </w:pPr>
      <w:r w:rsidRPr="4B353BA5">
        <w:rPr>
          <w:b/>
          <w:bCs/>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8C28704" w14:textId="7D422EC8" w:rsidR="4B353BA5" w:rsidRDefault="4B353BA5" w:rsidP="4B353BA5">
      <w:pPr>
        <w:rPr>
          <w:b/>
          <w:bCs/>
        </w:rPr>
      </w:pPr>
    </w:p>
    <w:p w14:paraId="5A8F0854" w14:textId="27CC9AF4" w:rsidR="00167100" w:rsidRPr="00DE3D8F" w:rsidRDefault="2E917CB8" w:rsidP="1C1D7E4D">
      <w:pPr>
        <w:autoSpaceDE w:val="0"/>
        <w:autoSpaceDN w:val="0"/>
        <w:adjustRightInd w:val="0"/>
        <w:rPr>
          <w:sz w:val="20"/>
          <w:szCs w:val="20"/>
        </w:rPr>
      </w:pPr>
      <w:r w:rsidRPr="00DE3D8F">
        <w:rPr>
          <w:sz w:val="20"/>
          <w:szCs w:val="20"/>
        </w:rPr>
        <w:t xml:space="preserve">The OAE formally and informally assesses each local program throughout the year via Desktop Monitoring, subgrant Interim and Final Reports, Compliance Monitoring, and a variety of informal data reviews via the state’s data management system, LACES. </w:t>
      </w:r>
    </w:p>
    <w:p w14:paraId="3487A62A" w14:textId="32F821BC" w:rsidR="00167100" w:rsidRPr="00DE3D8F" w:rsidRDefault="2E917CB8" w:rsidP="1C1D7E4D">
      <w:pPr>
        <w:autoSpaceDE w:val="0"/>
        <w:autoSpaceDN w:val="0"/>
        <w:adjustRightInd w:val="0"/>
        <w:rPr>
          <w:sz w:val="20"/>
          <w:szCs w:val="20"/>
        </w:rPr>
      </w:pPr>
      <w:r w:rsidRPr="00DE3D8F">
        <w:rPr>
          <w:sz w:val="20"/>
          <w:szCs w:val="20"/>
        </w:rPr>
        <w:t xml:space="preserve"> </w:t>
      </w:r>
    </w:p>
    <w:p w14:paraId="4BB7E132" w14:textId="06E201FA"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lastRenderedPageBreak/>
        <w:t>The Desktop Monitoring Tool (DMT) is a quarterly report that ensures that collects data from NRS Tables, as well as secondary credentials and Career Readiness Certificates (CRC). Each local program completes and submits a quarterly DMT. At the end of each year, a program overview report is completed at the state level using the DMT data. This report provides a snapshot of each local program and assists the state with developing goals for the next year by identifying promising practices and professional development and technical assistance needs for the coming year.</w:t>
      </w:r>
    </w:p>
    <w:p w14:paraId="78B29A4A" w14:textId="56FE8A7F"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 </w:t>
      </w:r>
    </w:p>
    <w:p w14:paraId="7A469F81" w14:textId="00576B82" w:rsidR="00AF22F0" w:rsidRPr="00DE3D8F" w:rsidRDefault="2D724D8C" w:rsidP="1C1D7E4D">
      <w:pPr>
        <w:autoSpaceDE w:val="0"/>
        <w:autoSpaceDN w:val="0"/>
        <w:adjustRightInd w:val="0"/>
        <w:rPr>
          <w:color w:val="000000" w:themeColor="text1"/>
          <w:sz w:val="20"/>
          <w:szCs w:val="20"/>
        </w:rPr>
      </w:pPr>
      <w:r w:rsidRPr="00DE3D8F">
        <w:rPr>
          <w:color w:val="000000" w:themeColor="text1"/>
          <w:sz w:val="20"/>
          <w:szCs w:val="20"/>
        </w:rPr>
        <w:t xml:space="preserve">All programs receiving </w:t>
      </w:r>
      <w:r w:rsidR="06FF18F3" w:rsidRPr="00DE3D8F">
        <w:rPr>
          <w:color w:val="000000" w:themeColor="text1"/>
          <w:sz w:val="20"/>
          <w:szCs w:val="20"/>
        </w:rPr>
        <w:t xml:space="preserve">federal </w:t>
      </w:r>
      <w:r w:rsidR="6A4FF507" w:rsidRPr="00DE3D8F">
        <w:rPr>
          <w:color w:val="000000" w:themeColor="text1"/>
          <w:sz w:val="20"/>
          <w:szCs w:val="20"/>
        </w:rPr>
        <w:t>sub</w:t>
      </w:r>
      <w:r w:rsidR="06FF18F3" w:rsidRPr="00DE3D8F">
        <w:rPr>
          <w:color w:val="000000" w:themeColor="text1"/>
          <w:sz w:val="20"/>
          <w:szCs w:val="20"/>
        </w:rPr>
        <w:t>grant</w:t>
      </w:r>
      <w:r w:rsidR="11D9D0B0" w:rsidRPr="00DE3D8F">
        <w:rPr>
          <w:color w:val="000000" w:themeColor="text1"/>
          <w:sz w:val="20"/>
          <w:szCs w:val="20"/>
        </w:rPr>
        <w:t>(</w:t>
      </w:r>
      <w:r w:rsidR="06FF18F3" w:rsidRPr="00DE3D8F">
        <w:rPr>
          <w:color w:val="000000" w:themeColor="text1"/>
          <w:sz w:val="20"/>
          <w:szCs w:val="20"/>
        </w:rPr>
        <w:t>s</w:t>
      </w:r>
      <w:r w:rsidR="4DBC8CC2" w:rsidRPr="00DE3D8F">
        <w:rPr>
          <w:color w:val="000000" w:themeColor="text1"/>
          <w:sz w:val="20"/>
          <w:szCs w:val="20"/>
        </w:rPr>
        <w:t>)</w:t>
      </w:r>
      <w:r w:rsidR="101E3D01" w:rsidRPr="00DE3D8F">
        <w:rPr>
          <w:color w:val="000000" w:themeColor="text1"/>
          <w:sz w:val="20"/>
          <w:szCs w:val="20"/>
        </w:rPr>
        <w:t>—</w:t>
      </w:r>
      <w:r w:rsidR="06FF18F3" w:rsidRPr="00DE3D8F">
        <w:rPr>
          <w:color w:val="000000" w:themeColor="text1"/>
          <w:sz w:val="20"/>
          <w:szCs w:val="20"/>
        </w:rPr>
        <w:t>Adult Education, Generational Family Services, Corrections</w:t>
      </w:r>
      <w:r w:rsidR="3458C705" w:rsidRPr="00DE3D8F">
        <w:rPr>
          <w:color w:val="000000" w:themeColor="text1"/>
          <w:sz w:val="20"/>
          <w:szCs w:val="20"/>
        </w:rPr>
        <w:t xml:space="preserve"> Education and </w:t>
      </w:r>
      <w:r w:rsidRPr="00DE3D8F">
        <w:rPr>
          <w:color w:val="000000" w:themeColor="text1"/>
          <w:sz w:val="20"/>
          <w:szCs w:val="20"/>
        </w:rPr>
        <w:t>Integrated English Literacy and Civics Education (IEL/CE) grant</w:t>
      </w:r>
      <w:r w:rsidR="6CC0C8A2" w:rsidRPr="00DE3D8F">
        <w:rPr>
          <w:color w:val="000000" w:themeColor="text1"/>
          <w:sz w:val="20"/>
          <w:szCs w:val="20"/>
        </w:rPr>
        <w:t>s</w:t>
      </w:r>
      <w:r w:rsidR="245D82AA" w:rsidRPr="00DE3D8F">
        <w:rPr>
          <w:color w:val="000000" w:themeColor="text1"/>
          <w:sz w:val="20"/>
          <w:szCs w:val="20"/>
        </w:rPr>
        <w:t>—</w:t>
      </w:r>
      <w:r w:rsidRPr="00DE3D8F">
        <w:rPr>
          <w:color w:val="000000" w:themeColor="text1"/>
          <w:sz w:val="20"/>
          <w:szCs w:val="20"/>
        </w:rPr>
        <w:t xml:space="preserve">completed </w:t>
      </w:r>
      <w:r w:rsidR="66B77F09" w:rsidRPr="00DE3D8F">
        <w:rPr>
          <w:color w:val="000000" w:themeColor="text1"/>
          <w:sz w:val="20"/>
          <w:szCs w:val="20"/>
        </w:rPr>
        <w:t>an Interim</w:t>
      </w:r>
      <w:r w:rsidRPr="00DE3D8F">
        <w:rPr>
          <w:color w:val="000000" w:themeColor="text1"/>
          <w:sz w:val="20"/>
          <w:szCs w:val="20"/>
        </w:rPr>
        <w:t xml:space="preserve"> Report and a year-</w:t>
      </w:r>
      <w:r w:rsidR="2F0C419C" w:rsidRPr="00DE3D8F">
        <w:rPr>
          <w:color w:val="000000" w:themeColor="text1"/>
          <w:sz w:val="20"/>
          <w:szCs w:val="20"/>
        </w:rPr>
        <w:t>end Final</w:t>
      </w:r>
      <w:r w:rsidRPr="00DE3D8F">
        <w:rPr>
          <w:color w:val="000000" w:themeColor="text1"/>
          <w:sz w:val="20"/>
          <w:szCs w:val="20"/>
        </w:rPr>
        <w:t xml:space="preserve"> Annual Report, designed specifically for </w:t>
      </w:r>
      <w:r w:rsidR="6DFF05F1" w:rsidRPr="00DE3D8F">
        <w:rPr>
          <w:color w:val="000000" w:themeColor="text1"/>
          <w:sz w:val="20"/>
          <w:szCs w:val="20"/>
        </w:rPr>
        <w:t xml:space="preserve">each </w:t>
      </w:r>
      <w:r w:rsidRPr="00DE3D8F">
        <w:rPr>
          <w:color w:val="000000" w:themeColor="text1"/>
          <w:sz w:val="20"/>
          <w:szCs w:val="20"/>
        </w:rPr>
        <w:t>grant.</w:t>
      </w:r>
      <w:r w:rsidR="7B22D1E1" w:rsidRPr="00DE3D8F">
        <w:rPr>
          <w:color w:val="000000" w:themeColor="text1"/>
          <w:sz w:val="20"/>
          <w:szCs w:val="20"/>
        </w:rPr>
        <w:t xml:space="preserve"> Data from th</w:t>
      </w:r>
      <w:r w:rsidR="719F5F45" w:rsidRPr="00DE3D8F">
        <w:rPr>
          <w:color w:val="000000" w:themeColor="text1"/>
          <w:sz w:val="20"/>
          <w:szCs w:val="20"/>
        </w:rPr>
        <w:t>ese</w:t>
      </w:r>
      <w:r w:rsidR="7B22D1E1" w:rsidRPr="00DE3D8F">
        <w:rPr>
          <w:color w:val="000000" w:themeColor="text1"/>
          <w:sz w:val="20"/>
          <w:szCs w:val="20"/>
        </w:rPr>
        <w:t xml:space="preserve"> report</w:t>
      </w:r>
      <w:r w:rsidR="7B3929E0" w:rsidRPr="00DE3D8F">
        <w:rPr>
          <w:color w:val="000000" w:themeColor="text1"/>
          <w:sz w:val="20"/>
          <w:szCs w:val="20"/>
        </w:rPr>
        <w:t>s</w:t>
      </w:r>
      <w:r w:rsidR="7B22D1E1" w:rsidRPr="00DE3D8F">
        <w:rPr>
          <w:color w:val="000000" w:themeColor="text1"/>
          <w:sz w:val="20"/>
          <w:szCs w:val="20"/>
        </w:rPr>
        <w:t xml:space="preserve"> guide specific technical assistance delivery for programs receiving this grant.</w:t>
      </w:r>
    </w:p>
    <w:p w14:paraId="5B0655A3" w14:textId="49AFD18D"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 </w:t>
      </w:r>
    </w:p>
    <w:p w14:paraId="2DFA221F" w14:textId="1B71706B"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In addition to the DMT and subgrant reports, the OAE conducted data reviews </w:t>
      </w:r>
      <w:proofErr w:type="gramStart"/>
      <w:r w:rsidRPr="00DE3D8F">
        <w:rPr>
          <w:color w:val="000000" w:themeColor="text1"/>
          <w:sz w:val="20"/>
          <w:szCs w:val="20"/>
        </w:rPr>
        <w:t>in order to</w:t>
      </w:r>
      <w:proofErr w:type="gramEnd"/>
      <w:r w:rsidRPr="00DE3D8F">
        <w:rPr>
          <w:color w:val="000000" w:themeColor="text1"/>
          <w:sz w:val="20"/>
          <w:szCs w:val="20"/>
        </w:rPr>
        <w:t xml:space="preserve"> identify areas of strength and weakness. A report is generated that analyzes all TABE pre- and post-tests. The analysis identifies on which test levels for each NRS Level students are achieving EFL </w:t>
      </w:r>
      <w:proofErr w:type="gramStart"/>
      <w:r w:rsidRPr="00DE3D8F">
        <w:rPr>
          <w:color w:val="000000" w:themeColor="text1"/>
          <w:sz w:val="20"/>
          <w:szCs w:val="20"/>
        </w:rPr>
        <w:t>gains</w:t>
      </w:r>
      <w:proofErr w:type="gramEnd"/>
      <w:r w:rsidRPr="00DE3D8F">
        <w:rPr>
          <w:color w:val="000000" w:themeColor="text1"/>
          <w:sz w:val="20"/>
          <w:szCs w:val="20"/>
        </w:rPr>
        <w:t xml:space="preserve"> and which are in need of improvement. This analysis also allows the OAE to identify irregularities in test administration and violations of the Assessment Policy. A local program and statewide report </w:t>
      </w:r>
      <w:proofErr w:type="gramStart"/>
      <w:r w:rsidRPr="00DE3D8F">
        <w:rPr>
          <w:color w:val="000000" w:themeColor="text1"/>
          <w:sz w:val="20"/>
          <w:szCs w:val="20"/>
        </w:rPr>
        <w:t>was</w:t>
      </w:r>
      <w:proofErr w:type="gramEnd"/>
      <w:r w:rsidRPr="00DE3D8F">
        <w:rPr>
          <w:color w:val="000000" w:themeColor="text1"/>
          <w:sz w:val="20"/>
          <w:szCs w:val="20"/>
        </w:rPr>
        <w:t xml:space="preserve"> prepared that identifies the percentage of students in each program who agreed to data match along with the NRS Table 5 outcomes for each program. The NRS Table 5 analysis was used to determine if any correlation existed between the percentage of students who agreed to data match and the Q2 and Q4 employment outcomes. Data reviews </w:t>
      </w:r>
      <w:r w:rsidR="63B1D5FA" w:rsidRPr="00DE3D8F">
        <w:rPr>
          <w:color w:val="000000" w:themeColor="text1"/>
          <w:sz w:val="20"/>
          <w:szCs w:val="20"/>
        </w:rPr>
        <w:t>we</w:t>
      </w:r>
      <w:r w:rsidRPr="00DE3D8F">
        <w:rPr>
          <w:color w:val="000000" w:themeColor="text1"/>
          <w:sz w:val="20"/>
          <w:szCs w:val="20"/>
        </w:rPr>
        <w:t xml:space="preserve">re also conducted at least quarterly on the young adult population (YAP) </w:t>
      </w:r>
      <w:proofErr w:type="gramStart"/>
      <w:r w:rsidRPr="00DE3D8F">
        <w:rPr>
          <w:color w:val="000000" w:themeColor="text1"/>
          <w:sz w:val="20"/>
          <w:szCs w:val="20"/>
        </w:rPr>
        <w:t>in order to</w:t>
      </w:r>
      <w:proofErr w:type="gramEnd"/>
      <w:r w:rsidRPr="00DE3D8F">
        <w:rPr>
          <w:color w:val="000000" w:themeColor="text1"/>
          <w:sz w:val="20"/>
          <w:szCs w:val="20"/>
        </w:rPr>
        <w:t xml:space="preserve"> monitor performance and retention/completion rates.</w:t>
      </w:r>
    </w:p>
    <w:p w14:paraId="18000196" w14:textId="472F7254"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 </w:t>
      </w:r>
    </w:p>
    <w:p w14:paraId="0F801795" w14:textId="07DBCF30"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Based on the assessments of core programs, the S</w:t>
      </w:r>
      <w:r w:rsidR="1CF4B34D" w:rsidRPr="00DE3D8F">
        <w:rPr>
          <w:color w:val="000000" w:themeColor="text1"/>
          <w:sz w:val="20"/>
          <w:szCs w:val="20"/>
        </w:rPr>
        <w:t>CDE -</w:t>
      </w:r>
      <w:r w:rsidRPr="00DE3D8F">
        <w:rPr>
          <w:color w:val="000000" w:themeColor="text1"/>
          <w:sz w:val="20"/>
          <w:szCs w:val="20"/>
        </w:rPr>
        <w:t xml:space="preserve"> OAE set</w:t>
      </w:r>
      <w:r w:rsidR="36371BCB" w:rsidRPr="00DE3D8F">
        <w:rPr>
          <w:color w:val="000000" w:themeColor="text1"/>
          <w:sz w:val="20"/>
          <w:szCs w:val="20"/>
        </w:rPr>
        <w:t>s</w:t>
      </w:r>
      <w:r w:rsidRPr="00DE3D8F">
        <w:rPr>
          <w:color w:val="000000" w:themeColor="text1"/>
          <w:sz w:val="20"/>
          <w:szCs w:val="20"/>
        </w:rPr>
        <w:t xml:space="preserve"> four goals to determine the focus for each program year to meet the targets for measurable skill gains and core follow-up outcome indicators. Despite the ongoing effects that the COVID-19 pandemic had on the day-to-day operations of the local adult education programs, including a 71% decrease in participants compared to pre-pandemic levels, focusing on these goals assisted the local programs with streamlining their academic and career services and aligning the adult education and literacy activities with the SC One-Stop partners. </w:t>
      </w:r>
    </w:p>
    <w:p w14:paraId="6C67260E" w14:textId="067BCC8D"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 </w:t>
      </w:r>
    </w:p>
    <w:p w14:paraId="0A20A4E9" w14:textId="45E238B2"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The 2020-2021 </w:t>
      </w:r>
      <w:r w:rsidR="4D46951D" w:rsidRPr="00DE3D8F">
        <w:rPr>
          <w:color w:val="000000" w:themeColor="text1"/>
          <w:sz w:val="20"/>
          <w:szCs w:val="20"/>
        </w:rPr>
        <w:t>O</w:t>
      </w:r>
      <w:r w:rsidRPr="00DE3D8F">
        <w:rPr>
          <w:color w:val="000000" w:themeColor="text1"/>
          <w:sz w:val="20"/>
          <w:szCs w:val="20"/>
        </w:rPr>
        <w:t xml:space="preserve">AE Goals were to: </w:t>
      </w:r>
    </w:p>
    <w:p w14:paraId="0B103E2F" w14:textId="7108EE5B" w:rsidR="00167100" w:rsidRPr="00DE3D8F" w:rsidRDefault="2E917CB8" w:rsidP="1C1D7E4D">
      <w:pPr>
        <w:pStyle w:val="ListParagraph"/>
        <w:numPr>
          <w:ilvl w:val="0"/>
          <w:numId w:val="38"/>
        </w:numPr>
        <w:autoSpaceDE w:val="0"/>
        <w:autoSpaceDN w:val="0"/>
        <w:adjustRightInd w:val="0"/>
        <w:rPr>
          <w:rFonts w:asciiTheme="minorHAnsi" w:eastAsiaTheme="minorEastAsia" w:hAnsiTheme="minorHAnsi" w:cstheme="minorBidi"/>
          <w:color w:val="000000" w:themeColor="text1"/>
          <w:sz w:val="20"/>
          <w:szCs w:val="20"/>
        </w:rPr>
      </w:pPr>
      <w:r w:rsidRPr="00DE3D8F">
        <w:rPr>
          <w:color w:val="000000" w:themeColor="text1"/>
          <w:sz w:val="20"/>
          <w:szCs w:val="20"/>
        </w:rPr>
        <w:t>Strengthen distance education processes</w:t>
      </w:r>
    </w:p>
    <w:p w14:paraId="627AD6F5" w14:textId="1CB13ABB" w:rsidR="00167100" w:rsidRPr="00DE3D8F" w:rsidRDefault="2E917CB8" w:rsidP="1C1D7E4D">
      <w:pPr>
        <w:pStyle w:val="ListParagraph"/>
        <w:numPr>
          <w:ilvl w:val="0"/>
          <w:numId w:val="38"/>
        </w:numPr>
        <w:autoSpaceDE w:val="0"/>
        <w:autoSpaceDN w:val="0"/>
        <w:adjustRightInd w:val="0"/>
        <w:rPr>
          <w:rFonts w:asciiTheme="minorHAnsi" w:eastAsiaTheme="minorEastAsia" w:hAnsiTheme="minorHAnsi" w:cstheme="minorBidi"/>
          <w:color w:val="000000" w:themeColor="text1"/>
          <w:sz w:val="20"/>
          <w:szCs w:val="20"/>
        </w:rPr>
      </w:pPr>
      <w:r w:rsidRPr="00DE3D8F">
        <w:rPr>
          <w:color w:val="000000" w:themeColor="text1"/>
          <w:sz w:val="20"/>
          <w:szCs w:val="20"/>
        </w:rPr>
        <w:t>Strengthen GED testing</w:t>
      </w:r>
    </w:p>
    <w:p w14:paraId="4CAA296C" w14:textId="108F193C" w:rsidR="00167100" w:rsidRPr="00DE3D8F" w:rsidRDefault="2E917CB8" w:rsidP="1C1D7E4D">
      <w:pPr>
        <w:pStyle w:val="ListParagraph"/>
        <w:numPr>
          <w:ilvl w:val="0"/>
          <w:numId w:val="38"/>
        </w:numPr>
        <w:autoSpaceDE w:val="0"/>
        <w:autoSpaceDN w:val="0"/>
        <w:adjustRightInd w:val="0"/>
        <w:rPr>
          <w:rFonts w:asciiTheme="minorHAnsi" w:eastAsiaTheme="minorEastAsia" w:hAnsiTheme="minorHAnsi" w:cstheme="minorBidi"/>
          <w:color w:val="000000" w:themeColor="text1"/>
          <w:sz w:val="20"/>
          <w:szCs w:val="20"/>
        </w:rPr>
      </w:pPr>
      <w:r w:rsidRPr="00DE3D8F">
        <w:rPr>
          <w:color w:val="000000" w:themeColor="text1"/>
          <w:sz w:val="20"/>
          <w:szCs w:val="20"/>
        </w:rPr>
        <w:t>Market and promote Skills Upgrade training</w:t>
      </w:r>
    </w:p>
    <w:p w14:paraId="30873BA4" w14:textId="35670E11" w:rsidR="00167100" w:rsidRPr="00DE3D8F" w:rsidRDefault="2E917CB8" w:rsidP="1C1D7E4D">
      <w:pPr>
        <w:pStyle w:val="ListParagraph"/>
        <w:numPr>
          <w:ilvl w:val="0"/>
          <w:numId w:val="38"/>
        </w:numPr>
        <w:autoSpaceDE w:val="0"/>
        <w:autoSpaceDN w:val="0"/>
        <w:adjustRightInd w:val="0"/>
        <w:rPr>
          <w:rFonts w:asciiTheme="minorHAnsi" w:eastAsiaTheme="minorEastAsia" w:hAnsiTheme="minorHAnsi" w:cstheme="minorBidi"/>
          <w:color w:val="000000" w:themeColor="text1"/>
          <w:sz w:val="20"/>
          <w:szCs w:val="20"/>
        </w:rPr>
      </w:pPr>
      <w:r w:rsidRPr="00DE3D8F">
        <w:rPr>
          <w:color w:val="000000" w:themeColor="text1"/>
          <w:sz w:val="20"/>
          <w:szCs w:val="20"/>
        </w:rPr>
        <w:t>Expand services delivered through SC Works Comprehensive Sites</w:t>
      </w:r>
    </w:p>
    <w:p w14:paraId="3EBD7F21" w14:textId="2FEED371" w:rsidR="00167100" w:rsidRPr="00DE3D8F" w:rsidRDefault="2E917CB8" w:rsidP="1C1D7E4D">
      <w:pPr>
        <w:autoSpaceDE w:val="0"/>
        <w:autoSpaceDN w:val="0"/>
        <w:adjustRightInd w:val="0"/>
        <w:rPr>
          <w:color w:val="000000" w:themeColor="text1"/>
          <w:sz w:val="20"/>
          <w:szCs w:val="20"/>
        </w:rPr>
      </w:pPr>
      <w:r w:rsidRPr="00DE3D8F">
        <w:rPr>
          <w:color w:val="000000" w:themeColor="text1"/>
          <w:sz w:val="20"/>
          <w:szCs w:val="20"/>
        </w:rPr>
        <w:t xml:space="preserve"> </w:t>
      </w:r>
    </w:p>
    <w:p w14:paraId="771456D0" w14:textId="38011366" w:rsidR="00167100" w:rsidRPr="00DE3D8F" w:rsidRDefault="2E917CB8" w:rsidP="1C1D7E4D">
      <w:pPr>
        <w:autoSpaceDE w:val="0"/>
        <w:autoSpaceDN w:val="0"/>
        <w:adjustRightInd w:val="0"/>
        <w:rPr>
          <w:sz w:val="20"/>
          <w:szCs w:val="20"/>
        </w:rPr>
      </w:pPr>
      <w:r w:rsidRPr="00DE3D8F">
        <w:rPr>
          <w:sz w:val="20"/>
          <w:szCs w:val="20"/>
        </w:rPr>
        <w:t xml:space="preserve">In support of the four goals, the processes of data collection, entry, and analysis were incorporated into all conversations with the local programs. Performance and outcome data was shared with local program Directors </w:t>
      </w:r>
      <w:proofErr w:type="gramStart"/>
      <w:r w:rsidRPr="00DE3D8F">
        <w:rPr>
          <w:sz w:val="20"/>
          <w:szCs w:val="20"/>
        </w:rPr>
        <w:t>in order to</w:t>
      </w:r>
      <w:proofErr w:type="gramEnd"/>
      <w:r w:rsidRPr="00DE3D8F">
        <w:rPr>
          <w:sz w:val="20"/>
          <w:szCs w:val="20"/>
        </w:rPr>
        <w:t xml:space="preserve"> guide conversations and processes toward data-driven decision making at the local level. Training efforts on data collection and entry were further increased.</w:t>
      </w:r>
    </w:p>
    <w:p w14:paraId="783266B4" w14:textId="3D056A38" w:rsidR="00167100" w:rsidRPr="00DE3D8F" w:rsidRDefault="2E917CB8" w:rsidP="1C1D7E4D">
      <w:pPr>
        <w:autoSpaceDE w:val="0"/>
        <w:autoSpaceDN w:val="0"/>
        <w:adjustRightInd w:val="0"/>
        <w:rPr>
          <w:sz w:val="20"/>
          <w:szCs w:val="20"/>
        </w:rPr>
      </w:pPr>
      <w:r w:rsidRPr="00DE3D8F">
        <w:rPr>
          <w:sz w:val="20"/>
          <w:szCs w:val="20"/>
        </w:rPr>
        <w:t xml:space="preserve"> </w:t>
      </w:r>
    </w:p>
    <w:p w14:paraId="0C8D7F60" w14:textId="1071D8D1" w:rsidR="00167100" w:rsidRPr="00DE3D8F" w:rsidRDefault="2E917CB8" w:rsidP="1C1D7E4D">
      <w:pPr>
        <w:autoSpaceDE w:val="0"/>
        <w:autoSpaceDN w:val="0"/>
        <w:adjustRightInd w:val="0"/>
        <w:rPr>
          <w:b/>
          <w:bCs/>
          <w:sz w:val="20"/>
          <w:szCs w:val="20"/>
        </w:rPr>
      </w:pPr>
      <w:r w:rsidRPr="00DE3D8F">
        <w:rPr>
          <w:b/>
          <w:bCs/>
          <w:sz w:val="20"/>
          <w:szCs w:val="20"/>
        </w:rPr>
        <w:t>Goals Results</w:t>
      </w:r>
    </w:p>
    <w:p w14:paraId="31B2CB25" w14:textId="4E14B34E" w:rsidR="00167100" w:rsidRPr="00DE3D8F" w:rsidRDefault="2E917CB8" w:rsidP="1C1D7E4D">
      <w:pPr>
        <w:pStyle w:val="ListParagraph"/>
        <w:numPr>
          <w:ilvl w:val="0"/>
          <w:numId w:val="37"/>
        </w:numPr>
        <w:autoSpaceDE w:val="0"/>
        <w:autoSpaceDN w:val="0"/>
        <w:adjustRightInd w:val="0"/>
        <w:rPr>
          <w:rFonts w:asciiTheme="minorHAnsi" w:eastAsiaTheme="minorEastAsia" w:hAnsiTheme="minorHAnsi" w:cstheme="minorBidi"/>
          <w:sz w:val="20"/>
          <w:szCs w:val="20"/>
        </w:rPr>
      </w:pPr>
      <w:r w:rsidRPr="00DE3D8F">
        <w:rPr>
          <w:sz w:val="20"/>
          <w:szCs w:val="20"/>
        </w:rPr>
        <w:t>Strengthen distance education processes</w:t>
      </w:r>
    </w:p>
    <w:p w14:paraId="1E708C86" w14:textId="362F84D1" w:rsidR="00167100" w:rsidRPr="00DE3D8F" w:rsidRDefault="2E917CB8"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Distance education opportunities increased exponentially statewide and distance education participants increased 72% from pre-pandemic (2018-2019) levels.</w:t>
      </w:r>
    </w:p>
    <w:p w14:paraId="6C4549B4" w14:textId="29D475EE" w:rsidR="00167100" w:rsidRPr="00DE3D8F" w:rsidRDefault="2E917CB8" w:rsidP="1C1D7E4D">
      <w:pPr>
        <w:pStyle w:val="ListParagraph"/>
        <w:numPr>
          <w:ilvl w:val="0"/>
          <w:numId w:val="37"/>
        </w:numPr>
        <w:autoSpaceDE w:val="0"/>
        <w:autoSpaceDN w:val="0"/>
        <w:adjustRightInd w:val="0"/>
        <w:rPr>
          <w:rFonts w:asciiTheme="minorHAnsi" w:eastAsiaTheme="minorEastAsia" w:hAnsiTheme="minorHAnsi" w:cstheme="minorBidi"/>
          <w:sz w:val="20"/>
          <w:szCs w:val="20"/>
        </w:rPr>
      </w:pPr>
      <w:r w:rsidRPr="00DE3D8F">
        <w:rPr>
          <w:sz w:val="20"/>
          <w:szCs w:val="20"/>
        </w:rPr>
        <w:t>Strengthen GED testing</w:t>
      </w:r>
    </w:p>
    <w:p w14:paraId="5601B182" w14:textId="47C1CF9C" w:rsidR="00167100" w:rsidRPr="00DE3D8F" w:rsidRDefault="2E917CB8"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Despite widespread closures, the percentage of participants completing a secondary credential increased 14%.</w:t>
      </w:r>
    </w:p>
    <w:p w14:paraId="0D3F5220" w14:textId="25EC8E14" w:rsidR="00167100" w:rsidRPr="00DE3D8F" w:rsidRDefault="2E917CB8" w:rsidP="1C1D7E4D">
      <w:pPr>
        <w:pStyle w:val="ListParagraph"/>
        <w:numPr>
          <w:ilvl w:val="0"/>
          <w:numId w:val="37"/>
        </w:numPr>
        <w:autoSpaceDE w:val="0"/>
        <w:autoSpaceDN w:val="0"/>
        <w:adjustRightInd w:val="0"/>
        <w:rPr>
          <w:rFonts w:asciiTheme="minorHAnsi" w:eastAsiaTheme="minorEastAsia" w:hAnsiTheme="minorHAnsi" w:cstheme="minorBidi"/>
          <w:sz w:val="20"/>
          <w:szCs w:val="20"/>
        </w:rPr>
      </w:pPr>
      <w:r w:rsidRPr="00DE3D8F">
        <w:rPr>
          <w:sz w:val="20"/>
          <w:szCs w:val="20"/>
        </w:rPr>
        <w:t>Market and promote Skills Upgrade training</w:t>
      </w:r>
    </w:p>
    <w:p w14:paraId="78EB9AC9" w14:textId="2D5025BA" w:rsidR="00167100" w:rsidRPr="00DE3D8F" w:rsidRDefault="2E917CB8"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Integrated Education &amp; Training and Workplace Literacy participants increased by 90% and 94% respectively</w:t>
      </w:r>
    </w:p>
    <w:p w14:paraId="1AD5E8B3" w14:textId="5AD01397" w:rsidR="00167100" w:rsidRPr="00DE3D8F" w:rsidRDefault="2E917CB8"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Of the 398 Integrated Education and Training and Workplace Literacy participants in 2020-2021, 141 EFL gains were earned through the new MSG opportunities via passing a technical/occupational skills exam or progress toward milestones.</w:t>
      </w:r>
    </w:p>
    <w:p w14:paraId="363595F4" w14:textId="6875E165" w:rsidR="00167100" w:rsidRPr="00DE3D8F" w:rsidRDefault="2E917CB8"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Services provided to employers increased 50%</w:t>
      </w:r>
    </w:p>
    <w:p w14:paraId="0A9286B4" w14:textId="6D7535F5" w:rsidR="00167100" w:rsidRPr="00DE3D8F" w:rsidRDefault="2E917CB8" w:rsidP="1C1D7E4D">
      <w:pPr>
        <w:pStyle w:val="ListParagraph"/>
        <w:numPr>
          <w:ilvl w:val="0"/>
          <w:numId w:val="37"/>
        </w:numPr>
        <w:autoSpaceDE w:val="0"/>
        <w:autoSpaceDN w:val="0"/>
        <w:adjustRightInd w:val="0"/>
        <w:rPr>
          <w:rFonts w:asciiTheme="minorHAnsi" w:eastAsiaTheme="minorEastAsia" w:hAnsiTheme="minorHAnsi" w:cstheme="minorBidi"/>
          <w:sz w:val="20"/>
          <w:szCs w:val="20"/>
        </w:rPr>
      </w:pPr>
      <w:r w:rsidRPr="00DE3D8F">
        <w:rPr>
          <w:sz w:val="20"/>
          <w:szCs w:val="20"/>
        </w:rPr>
        <w:t>Expand services delivered through SC Works Comprehensive Sites</w:t>
      </w:r>
    </w:p>
    <w:p w14:paraId="305AF64A" w14:textId="67016B3A" w:rsidR="00167100" w:rsidRPr="00DE3D8F" w:rsidRDefault="4A0C2D5E" w:rsidP="1C1D7E4D">
      <w:pPr>
        <w:pStyle w:val="ListParagraph"/>
        <w:numPr>
          <w:ilvl w:val="1"/>
          <w:numId w:val="37"/>
        </w:numPr>
        <w:autoSpaceDE w:val="0"/>
        <w:autoSpaceDN w:val="0"/>
        <w:adjustRightInd w:val="0"/>
        <w:rPr>
          <w:rFonts w:asciiTheme="minorHAnsi" w:eastAsiaTheme="minorEastAsia" w:hAnsiTheme="minorHAnsi" w:cstheme="minorBidi"/>
          <w:sz w:val="20"/>
          <w:szCs w:val="20"/>
        </w:rPr>
      </w:pPr>
      <w:r w:rsidRPr="00DE3D8F">
        <w:rPr>
          <w:sz w:val="20"/>
          <w:szCs w:val="20"/>
        </w:rPr>
        <w:t xml:space="preserve">The OAE continues to oversee a pilot process that placed two </w:t>
      </w:r>
      <w:r w:rsidR="00AB8C77" w:rsidRPr="00DE3D8F">
        <w:rPr>
          <w:sz w:val="20"/>
          <w:szCs w:val="20"/>
        </w:rPr>
        <w:t>College and Career Navigators (</w:t>
      </w:r>
      <w:r w:rsidR="5CBBBE68" w:rsidRPr="00DE3D8F">
        <w:rPr>
          <w:sz w:val="20"/>
          <w:szCs w:val="20"/>
        </w:rPr>
        <w:t>CCN</w:t>
      </w:r>
      <w:r w:rsidR="2BEF7FE7" w:rsidRPr="00DE3D8F">
        <w:rPr>
          <w:sz w:val="20"/>
          <w:szCs w:val="20"/>
        </w:rPr>
        <w:t>)</w:t>
      </w:r>
      <w:r w:rsidR="5CBBBE68" w:rsidRPr="00DE3D8F">
        <w:rPr>
          <w:sz w:val="20"/>
          <w:szCs w:val="20"/>
        </w:rPr>
        <w:t xml:space="preserve"> at SC Works Comprehensive Sites. These CCNs are </w:t>
      </w:r>
      <w:r w:rsidR="02743FAF" w:rsidRPr="00DE3D8F">
        <w:rPr>
          <w:sz w:val="20"/>
          <w:szCs w:val="20"/>
        </w:rPr>
        <w:t xml:space="preserve">in place to align adult education services with other core </w:t>
      </w:r>
      <w:r w:rsidR="02743FAF" w:rsidRPr="00DE3D8F">
        <w:rPr>
          <w:sz w:val="20"/>
          <w:szCs w:val="20"/>
        </w:rPr>
        <w:lastRenderedPageBreak/>
        <w:t>partners</w:t>
      </w:r>
      <w:r w:rsidR="305F7A7F" w:rsidRPr="00DE3D8F">
        <w:rPr>
          <w:sz w:val="20"/>
          <w:szCs w:val="20"/>
        </w:rPr>
        <w:t xml:space="preserve">.  </w:t>
      </w:r>
      <w:r w:rsidR="20DC181A" w:rsidRPr="00DE3D8F">
        <w:rPr>
          <w:sz w:val="20"/>
          <w:szCs w:val="20"/>
        </w:rPr>
        <w:t>Duties included in this alignment are: TABE testing, career pathway develop</w:t>
      </w:r>
      <w:r w:rsidR="06952117" w:rsidRPr="00DE3D8F">
        <w:rPr>
          <w:sz w:val="20"/>
          <w:szCs w:val="20"/>
        </w:rPr>
        <w:t xml:space="preserve">ment, and </w:t>
      </w:r>
      <w:r w:rsidR="02743FAF" w:rsidRPr="00DE3D8F">
        <w:rPr>
          <w:sz w:val="20"/>
          <w:szCs w:val="20"/>
        </w:rPr>
        <w:t>navigat</w:t>
      </w:r>
      <w:r w:rsidR="00B2BCD5" w:rsidRPr="00DE3D8F">
        <w:rPr>
          <w:sz w:val="20"/>
          <w:szCs w:val="20"/>
        </w:rPr>
        <w:t xml:space="preserve">ing the </w:t>
      </w:r>
      <w:r w:rsidR="02743FAF" w:rsidRPr="00DE3D8F">
        <w:rPr>
          <w:sz w:val="20"/>
          <w:szCs w:val="20"/>
        </w:rPr>
        <w:t xml:space="preserve">public </w:t>
      </w:r>
      <w:r w:rsidR="7AD05892" w:rsidRPr="00DE3D8F">
        <w:rPr>
          <w:sz w:val="20"/>
          <w:szCs w:val="20"/>
        </w:rPr>
        <w:t xml:space="preserve">to appropriate local partners </w:t>
      </w:r>
      <w:r w:rsidR="02743FAF" w:rsidRPr="00DE3D8F">
        <w:rPr>
          <w:sz w:val="20"/>
          <w:szCs w:val="20"/>
        </w:rPr>
        <w:t xml:space="preserve">who come to </w:t>
      </w:r>
      <w:r w:rsidR="06FC10D9" w:rsidRPr="00DE3D8F">
        <w:rPr>
          <w:sz w:val="20"/>
          <w:szCs w:val="20"/>
        </w:rPr>
        <w:t>comprehensive sites seeking employment</w:t>
      </w:r>
      <w:r w:rsidR="00DE3D8F">
        <w:rPr>
          <w:sz w:val="20"/>
          <w:szCs w:val="20"/>
        </w:rPr>
        <w:t xml:space="preserve"> help</w:t>
      </w:r>
      <w:r w:rsidR="5B3057AE" w:rsidRPr="00DE3D8F">
        <w:rPr>
          <w:sz w:val="20"/>
          <w:szCs w:val="20"/>
        </w:rPr>
        <w:t>.</w:t>
      </w:r>
      <w:r w:rsidR="06FC10D9" w:rsidRPr="00DE3D8F">
        <w:rPr>
          <w:sz w:val="20"/>
          <w:szCs w:val="20"/>
        </w:rPr>
        <w:t xml:space="preserve"> </w:t>
      </w:r>
    </w:p>
    <w:p w14:paraId="1507C33C" w14:textId="7C037C16" w:rsidR="00167100" w:rsidRDefault="00167100" w:rsidP="395EB91F">
      <w:pPr>
        <w:autoSpaceDE w:val="0"/>
        <w:autoSpaceDN w:val="0"/>
        <w:adjustRightInd w:val="0"/>
        <w:ind w:left="720"/>
        <w:rPr>
          <w:highlight w:val="yellow"/>
        </w:rPr>
      </w:pPr>
    </w:p>
    <w:tbl>
      <w:tblPr>
        <w:tblW w:w="0" w:type="auto"/>
        <w:tblLayout w:type="fixed"/>
        <w:tblLook w:val="04A0" w:firstRow="1" w:lastRow="0" w:firstColumn="1" w:lastColumn="0" w:noHBand="0" w:noVBand="1"/>
      </w:tblPr>
      <w:tblGrid>
        <w:gridCol w:w="3990"/>
        <w:gridCol w:w="1080"/>
        <w:gridCol w:w="1110"/>
        <w:gridCol w:w="1125"/>
        <w:gridCol w:w="2910"/>
      </w:tblGrid>
      <w:tr w:rsidR="395EB91F" w14:paraId="3E387CBF" w14:textId="77777777" w:rsidTr="1C1D7E4D">
        <w:trPr>
          <w:trHeight w:val="510"/>
        </w:trPr>
        <w:tc>
          <w:tcPr>
            <w:tcW w:w="3990" w:type="dxa"/>
            <w:tcBorders>
              <w:top w:val="nil"/>
              <w:left w:val="nil"/>
              <w:bottom w:val="single" w:sz="8" w:space="0" w:color="auto"/>
              <w:right w:val="single" w:sz="8" w:space="0" w:color="auto"/>
            </w:tcBorders>
            <w:vAlign w:val="center"/>
          </w:tcPr>
          <w:p w14:paraId="2A29C7C4" w14:textId="20AF970C" w:rsidR="395EB91F" w:rsidRPr="00094E45" w:rsidRDefault="26BF11B4" w:rsidP="1C1D7E4D">
            <w:pPr>
              <w:rPr>
                <w:color w:val="000000" w:themeColor="text1"/>
                <w:sz w:val="20"/>
                <w:szCs w:val="20"/>
              </w:rPr>
            </w:pPr>
            <w:r w:rsidRPr="00094E45">
              <w:rPr>
                <w:color w:val="000000" w:themeColor="text1"/>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14:paraId="757D60EB" w14:textId="763CA197" w:rsidR="395EB91F" w:rsidRPr="00094E45" w:rsidRDefault="26BF11B4" w:rsidP="1C1D7E4D">
            <w:pPr>
              <w:jc w:val="center"/>
              <w:rPr>
                <w:color w:val="000000" w:themeColor="text1"/>
                <w:sz w:val="20"/>
                <w:szCs w:val="20"/>
              </w:rPr>
            </w:pPr>
            <w:r w:rsidRPr="00094E45">
              <w:rPr>
                <w:color w:val="000000" w:themeColor="text1"/>
                <w:sz w:val="20"/>
                <w:szCs w:val="20"/>
              </w:rPr>
              <w:t>2018-2019</w:t>
            </w:r>
          </w:p>
        </w:tc>
        <w:tc>
          <w:tcPr>
            <w:tcW w:w="1110" w:type="dxa"/>
            <w:tcBorders>
              <w:top w:val="single" w:sz="8" w:space="0" w:color="auto"/>
              <w:left w:val="single" w:sz="8" w:space="0" w:color="auto"/>
              <w:bottom w:val="single" w:sz="8" w:space="0" w:color="auto"/>
              <w:right w:val="single" w:sz="8" w:space="0" w:color="auto"/>
            </w:tcBorders>
            <w:vAlign w:val="center"/>
          </w:tcPr>
          <w:p w14:paraId="2E29574D" w14:textId="16754222" w:rsidR="395EB91F" w:rsidRPr="00094E45" w:rsidRDefault="26BF11B4" w:rsidP="1C1D7E4D">
            <w:pPr>
              <w:jc w:val="center"/>
              <w:rPr>
                <w:color w:val="000000" w:themeColor="text1"/>
                <w:sz w:val="20"/>
                <w:szCs w:val="20"/>
              </w:rPr>
            </w:pPr>
            <w:r w:rsidRPr="00094E45">
              <w:rPr>
                <w:color w:val="000000" w:themeColor="text1"/>
                <w:sz w:val="20"/>
                <w:szCs w:val="20"/>
              </w:rPr>
              <w:t>2019-2020</w:t>
            </w:r>
          </w:p>
        </w:tc>
        <w:tc>
          <w:tcPr>
            <w:tcW w:w="1125" w:type="dxa"/>
            <w:tcBorders>
              <w:top w:val="single" w:sz="8" w:space="0" w:color="auto"/>
              <w:left w:val="single" w:sz="8" w:space="0" w:color="auto"/>
              <w:bottom w:val="single" w:sz="8" w:space="0" w:color="auto"/>
              <w:right w:val="single" w:sz="8" w:space="0" w:color="auto"/>
            </w:tcBorders>
            <w:vAlign w:val="center"/>
          </w:tcPr>
          <w:p w14:paraId="1CA709AA" w14:textId="5567738A" w:rsidR="395EB91F" w:rsidRPr="00094E45" w:rsidRDefault="26BF11B4" w:rsidP="1C1D7E4D">
            <w:pPr>
              <w:jc w:val="center"/>
              <w:rPr>
                <w:color w:val="000000" w:themeColor="text1"/>
                <w:sz w:val="20"/>
                <w:szCs w:val="20"/>
              </w:rPr>
            </w:pPr>
            <w:r w:rsidRPr="00094E45">
              <w:rPr>
                <w:color w:val="000000" w:themeColor="text1"/>
                <w:sz w:val="20"/>
                <w:szCs w:val="20"/>
              </w:rPr>
              <w:t>2020-2021</w:t>
            </w:r>
          </w:p>
        </w:tc>
        <w:tc>
          <w:tcPr>
            <w:tcW w:w="2910" w:type="dxa"/>
            <w:tcBorders>
              <w:top w:val="single" w:sz="8" w:space="0" w:color="auto"/>
              <w:left w:val="single" w:sz="8" w:space="0" w:color="auto"/>
              <w:bottom w:val="single" w:sz="8" w:space="0" w:color="auto"/>
              <w:right w:val="single" w:sz="8" w:space="0" w:color="auto"/>
            </w:tcBorders>
            <w:vAlign w:val="center"/>
          </w:tcPr>
          <w:p w14:paraId="10276B3D" w14:textId="54CCDDAB" w:rsidR="395EB91F" w:rsidRPr="00094E45" w:rsidRDefault="26BF11B4" w:rsidP="1C1D7E4D">
            <w:pPr>
              <w:jc w:val="center"/>
              <w:rPr>
                <w:color w:val="000000" w:themeColor="text1"/>
                <w:sz w:val="20"/>
                <w:szCs w:val="20"/>
              </w:rPr>
            </w:pPr>
            <w:r w:rsidRPr="00094E45">
              <w:rPr>
                <w:color w:val="000000" w:themeColor="text1"/>
                <w:sz w:val="20"/>
                <w:szCs w:val="20"/>
              </w:rPr>
              <w:t xml:space="preserve">% </w:t>
            </w:r>
            <w:r w:rsidR="30257102" w:rsidRPr="00094E45">
              <w:rPr>
                <w:color w:val="000000" w:themeColor="text1"/>
                <w:sz w:val="20"/>
                <w:szCs w:val="20"/>
              </w:rPr>
              <w:t>C</w:t>
            </w:r>
            <w:r w:rsidRPr="00094E45">
              <w:rPr>
                <w:color w:val="000000" w:themeColor="text1"/>
                <w:sz w:val="20"/>
                <w:szCs w:val="20"/>
              </w:rPr>
              <w:t xml:space="preserve">hange from </w:t>
            </w:r>
            <w:r w:rsidR="2C08776A" w:rsidRPr="00094E45">
              <w:rPr>
                <w:color w:val="000000" w:themeColor="text1"/>
                <w:sz w:val="20"/>
                <w:szCs w:val="20"/>
              </w:rPr>
              <w:t>P</w:t>
            </w:r>
            <w:r w:rsidRPr="00094E45">
              <w:rPr>
                <w:color w:val="000000" w:themeColor="text1"/>
                <w:sz w:val="20"/>
                <w:szCs w:val="20"/>
              </w:rPr>
              <w:t>re-</w:t>
            </w:r>
            <w:r w:rsidR="2BBB9EC3" w:rsidRPr="00094E45">
              <w:rPr>
                <w:color w:val="000000" w:themeColor="text1"/>
                <w:sz w:val="20"/>
                <w:szCs w:val="20"/>
              </w:rPr>
              <w:t>P</w:t>
            </w:r>
            <w:r w:rsidRPr="00094E45">
              <w:rPr>
                <w:color w:val="000000" w:themeColor="text1"/>
                <w:sz w:val="20"/>
                <w:szCs w:val="20"/>
              </w:rPr>
              <w:t xml:space="preserve">andemic </w:t>
            </w:r>
            <w:r w:rsidR="2155BE87" w:rsidRPr="00094E45">
              <w:rPr>
                <w:color w:val="000000" w:themeColor="text1"/>
                <w:sz w:val="20"/>
                <w:szCs w:val="20"/>
              </w:rPr>
              <w:t>L</w:t>
            </w:r>
            <w:r w:rsidRPr="00094E45">
              <w:rPr>
                <w:color w:val="000000" w:themeColor="text1"/>
                <w:sz w:val="20"/>
                <w:szCs w:val="20"/>
              </w:rPr>
              <w:t>evels (2018-2019)</w:t>
            </w:r>
          </w:p>
        </w:tc>
      </w:tr>
      <w:tr w:rsidR="395EB91F" w14:paraId="36B9FCF3"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4ADF7DAA" w14:textId="376C4BDF" w:rsidR="395EB91F" w:rsidRPr="00094E45" w:rsidRDefault="26BF11B4" w:rsidP="1C1D7E4D">
            <w:pPr>
              <w:rPr>
                <w:color w:val="000000" w:themeColor="text1"/>
                <w:sz w:val="20"/>
                <w:szCs w:val="20"/>
              </w:rPr>
            </w:pPr>
            <w:r w:rsidRPr="00094E45">
              <w:rPr>
                <w:color w:val="000000" w:themeColor="text1"/>
                <w:sz w:val="20"/>
                <w:szCs w:val="20"/>
              </w:rPr>
              <w:t>NRS Participants</w:t>
            </w:r>
          </w:p>
        </w:tc>
        <w:tc>
          <w:tcPr>
            <w:tcW w:w="1080" w:type="dxa"/>
            <w:tcBorders>
              <w:top w:val="single" w:sz="8" w:space="0" w:color="auto"/>
              <w:left w:val="single" w:sz="8" w:space="0" w:color="auto"/>
              <w:bottom w:val="single" w:sz="8" w:space="0" w:color="auto"/>
              <w:right w:val="single" w:sz="8" w:space="0" w:color="auto"/>
            </w:tcBorders>
            <w:vAlign w:val="center"/>
          </w:tcPr>
          <w:p w14:paraId="31DFFBFF" w14:textId="2167DB08" w:rsidR="395EB91F" w:rsidRPr="00094E45" w:rsidRDefault="26BF11B4" w:rsidP="1C1D7E4D">
            <w:pPr>
              <w:jc w:val="center"/>
              <w:rPr>
                <w:color w:val="000000" w:themeColor="text1"/>
                <w:sz w:val="20"/>
                <w:szCs w:val="20"/>
              </w:rPr>
            </w:pPr>
            <w:r w:rsidRPr="00094E45">
              <w:rPr>
                <w:color w:val="000000" w:themeColor="text1"/>
                <w:sz w:val="20"/>
                <w:szCs w:val="20"/>
              </w:rPr>
              <w:t>19276</w:t>
            </w:r>
          </w:p>
        </w:tc>
        <w:tc>
          <w:tcPr>
            <w:tcW w:w="1110" w:type="dxa"/>
            <w:tcBorders>
              <w:top w:val="single" w:sz="8" w:space="0" w:color="auto"/>
              <w:left w:val="single" w:sz="8" w:space="0" w:color="auto"/>
              <w:bottom w:val="single" w:sz="8" w:space="0" w:color="auto"/>
              <w:right w:val="single" w:sz="8" w:space="0" w:color="auto"/>
            </w:tcBorders>
            <w:vAlign w:val="center"/>
          </w:tcPr>
          <w:p w14:paraId="3627710C" w14:textId="1318C163" w:rsidR="395EB91F" w:rsidRPr="00094E45" w:rsidRDefault="26BF11B4" w:rsidP="1C1D7E4D">
            <w:pPr>
              <w:jc w:val="center"/>
              <w:rPr>
                <w:color w:val="000000" w:themeColor="text1"/>
                <w:sz w:val="20"/>
                <w:szCs w:val="20"/>
              </w:rPr>
            </w:pPr>
            <w:r w:rsidRPr="00094E45">
              <w:rPr>
                <w:color w:val="000000" w:themeColor="text1"/>
                <w:sz w:val="20"/>
                <w:szCs w:val="20"/>
              </w:rPr>
              <w:t>16019</w:t>
            </w:r>
          </w:p>
        </w:tc>
        <w:tc>
          <w:tcPr>
            <w:tcW w:w="1125" w:type="dxa"/>
            <w:tcBorders>
              <w:top w:val="single" w:sz="8" w:space="0" w:color="auto"/>
              <w:left w:val="single" w:sz="8" w:space="0" w:color="auto"/>
              <w:bottom w:val="single" w:sz="8" w:space="0" w:color="auto"/>
              <w:right w:val="single" w:sz="8" w:space="0" w:color="auto"/>
            </w:tcBorders>
            <w:vAlign w:val="center"/>
          </w:tcPr>
          <w:p w14:paraId="570021D9" w14:textId="1C97D2BB" w:rsidR="395EB91F" w:rsidRPr="00094E45" w:rsidRDefault="26BF11B4" w:rsidP="1C1D7E4D">
            <w:pPr>
              <w:jc w:val="center"/>
              <w:rPr>
                <w:color w:val="000000" w:themeColor="text1"/>
                <w:sz w:val="20"/>
                <w:szCs w:val="20"/>
              </w:rPr>
            </w:pPr>
            <w:r w:rsidRPr="00094E45">
              <w:rPr>
                <w:color w:val="000000" w:themeColor="text1"/>
                <w:sz w:val="20"/>
                <w:szCs w:val="20"/>
              </w:rPr>
              <w:t>11295</w:t>
            </w:r>
          </w:p>
        </w:tc>
        <w:tc>
          <w:tcPr>
            <w:tcW w:w="2910" w:type="dxa"/>
            <w:tcBorders>
              <w:top w:val="single" w:sz="8" w:space="0" w:color="auto"/>
              <w:left w:val="single" w:sz="8" w:space="0" w:color="auto"/>
              <w:bottom w:val="single" w:sz="8" w:space="0" w:color="auto"/>
              <w:right w:val="single" w:sz="8" w:space="0" w:color="auto"/>
            </w:tcBorders>
            <w:vAlign w:val="center"/>
          </w:tcPr>
          <w:p w14:paraId="7DEDE348" w14:textId="3E54DF5B" w:rsidR="395EB91F" w:rsidRPr="00094E45" w:rsidRDefault="26BF11B4" w:rsidP="1C1D7E4D">
            <w:pPr>
              <w:jc w:val="center"/>
              <w:rPr>
                <w:color w:val="000000" w:themeColor="text1"/>
                <w:sz w:val="20"/>
                <w:szCs w:val="20"/>
              </w:rPr>
            </w:pPr>
            <w:r w:rsidRPr="00094E45">
              <w:rPr>
                <w:color w:val="000000" w:themeColor="text1"/>
                <w:sz w:val="20"/>
                <w:szCs w:val="20"/>
              </w:rPr>
              <w:t>-71%</w:t>
            </w:r>
          </w:p>
        </w:tc>
      </w:tr>
      <w:tr w:rsidR="395EB91F" w14:paraId="2C118C49"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67FD6C0C" w14:textId="751D38BD" w:rsidR="395EB91F" w:rsidRPr="00094E45" w:rsidRDefault="26BF11B4" w:rsidP="1C1D7E4D">
            <w:pPr>
              <w:rPr>
                <w:color w:val="000000" w:themeColor="text1"/>
                <w:sz w:val="20"/>
                <w:szCs w:val="20"/>
              </w:rPr>
            </w:pPr>
            <w:r w:rsidRPr="00094E45">
              <w:rPr>
                <w:color w:val="000000" w:themeColor="text1"/>
                <w:sz w:val="20"/>
                <w:szCs w:val="20"/>
              </w:rPr>
              <w:t>Employment Rate 2nd Quarter After Exit</w:t>
            </w:r>
          </w:p>
        </w:tc>
        <w:tc>
          <w:tcPr>
            <w:tcW w:w="1080" w:type="dxa"/>
            <w:tcBorders>
              <w:top w:val="single" w:sz="8" w:space="0" w:color="auto"/>
              <w:left w:val="single" w:sz="8" w:space="0" w:color="auto"/>
              <w:bottom w:val="single" w:sz="8" w:space="0" w:color="auto"/>
              <w:right w:val="single" w:sz="8" w:space="0" w:color="auto"/>
            </w:tcBorders>
            <w:vAlign w:val="center"/>
          </w:tcPr>
          <w:p w14:paraId="7B05A542" w14:textId="22252CFF" w:rsidR="395EB91F" w:rsidRPr="00094E45" w:rsidRDefault="26BF11B4" w:rsidP="1C1D7E4D">
            <w:pPr>
              <w:jc w:val="center"/>
              <w:rPr>
                <w:color w:val="000000" w:themeColor="text1"/>
                <w:sz w:val="20"/>
                <w:szCs w:val="20"/>
              </w:rPr>
            </w:pPr>
            <w:r w:rsidRPr="00094E45">
              <w:rPr>
                <w:color w:val="000000" w:themeColor="text1"/>
                <w:sz w:val="20"/>
                <w:szCs w:val="20"/>
              </w:rPr>
              <w:t>35%</w:t>
            </w:r>
          </w:p>
        </w:tc>
        <w:tc>
          <w:tcPr>
            <w:tcW w:w="1110" w:type="dxa"/>
            <w:tcBorders>
              <w:top w:val="single" w:sz="8" w:space="0" w:color="auto"/>
              <w:left w:val="single" w:sz="8" w:space="0" w:color="auto"/>
              <w:bottom w:val="single" w:sz="8" w:space="0" w:color="auto"/>
              <w:right w:val="single" w:sz="8" w:space="0" w:color="auto"/>
            </w:tcBorders>
            <w:vAlign w:val="center"/>
          </w:tcPr>
          <w:p w14:paraId="7AB73912" w14:textId="525606DF" w:rsidR="395EB91F" w:rsidRPr="00094E45" w:rsidRDefault="26BF11B4" w:rsidP="1C1D7E4D">
            <w:pPr>
              <w:jc w:val="center"/>
              <w:rPr>
                <w:color w:val="000000" w:themeColor="text1"/>
                <w:sz w:val="20"/>
                <w:szCs w:val="20"/>
              </w:rPr>
            </w:pPr>
            <w:r w:rsidRPr="00094E45">
              <w:rPr>
                <w:color w:val="000000" w:themeColor="text1"/>
                <w:sz w:val="20"/>
                <w:szCs w:val="20"/>
              </w:rPr>
              <w:t>36.49%</w:t>
            </w:r>
          </w:p>
        </w:tc>
        <w:tc>
          <w:tcPr>
            <w:tcW w:w="1125" w:type="dxa"/>
            <w:tcBorders>
              <w:top w:val="single" w:sz="8" w:space="0" w:color="auto"/>
              <w:left w:val="single" w:sz="8" w:space="0" w:color="auto"/>
              <w:bottom w:val="single" w:sz="8" w:space="0" w:color="auto"/>
              <w:right w:val="single" w:sz="8" w:space="0" w:color="auto"/>
            </w:tcBorders>
            <w:vAlign w:val="center"/>
          </w:tcPr>
          <w:p w14:paraId="6D42C783" w14:textId="73E27FA2" w:rsidR="395EB91F" w:rsidRPr="00094E45" w:rsidRDefault="26BF11B4" w:rsidP="1C1D7E4D">
            <w:pPr>
              <w:jc w:val="center"/>
              <w:rPr>
                <w:color w:val="000000" w:themeColor="text1"/>
                <w:sz w:val="20"/>
                <w:szCs w:val="20"/>
              </w:rPr>
            </w:pPr>
            <w:r w:rsidRPr="00094E45">
              <w:rPr>
                <w:color w:val="000000" w:themeColor="text1"/>
                <w:sz w:val="20"/>
                <w:szCs w:val="20"/>
              </w:rPr>
              <w:t>29.23%</w:t>
            </w:r>
          </w:p>
        </w:tc>
        <w:tc>
          <w:tcPr>
            <w:tcW w:w="2910" w:type="dxa"/>
            <w:tcBorders>
              <w:top w:val="single" w:sz="8" w:space="0" w:color="auto"/>
              <w:left w:val="single" w:sz="8" w:space="0" w:color="auto"/>
              <w:bottom w:val="single" w:sz="8" w:space="0" w:color="auto"/>
              <w:right w:val="single" w:sz="8" w:space="0" w:color="auto"/>
            </w:tcBorders>
            <w:vAlign w:val="center"/>
          </w:tcPr>
          <w:p w14:paraId="74CCA772" w14:textId="7A18CDD9" w:rsidR="395EB91F" w:rsidRPr="00094E45" w:rsidRDefault="26BF11B4" w:rsidP="1C1D7E4D">
            <w:pPr>
              <w:jc w:val="center"/>
              <w:rPr>
                <w:color w:val="000000" w:themeColor="text1"/>
                <w:sz w:val="20"/>
                <w:szCs w:val="20"/>
              </w:rPr>
            </w:pPr>
            <w:r w:rsidRPr="00094E45">
              <w:rPr>
                <w:color w:val="000000" w:themeColor="text1"/>
                <w:sz w:val="20"/>
                <w:szCs w:val="20"/>
              </w:rPr>
              <w:t>-18%</w:t>
            </w:r>
          </w:p>
        </w:tc>
      </w:tr>
      <w:tr w:rsidR="395EB91F" w14:paraId="1390E013"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69A45F96" w14:textId="398F137E" w:rsidR="395EB91F" w:rsidRPr="00094E45" w:rsidRDefault="26BF11B4" w:rsidP="1C1D7E4D">
            <w:pPr>
              <w:rPr>
                <w:color w:val="000000" w:themeColor="text1"/>
                <w:sz w:val="20"/>
                <w:szCs w:val="20"/>
              </w:rPr>
            </w:pPr>
            <w:r w:rsidRPr="00094E45">
              <w:rPr>
                <w:color w:val="000000" w:themeColor="text1"/>
                <w:sz w:val="20"/>
                <w:szCs w:val="20"/>
              </w:rPr>
              <w:t>Median Earnings 2nd Quarter After Exit</w:t>
            </w:r>
          </w:p>
        </w:tc>
        <w:tc>
          <w:tcPr>
            <w:tcW w:w="1080" w:type="dxa"/>
            <w:tcBorders>
              <w:top w:val="single" w:sz="8" w:space="0" w:color="auto"/>
              <w:left w:val="single" w:sz="8" w:space="0" w:color="auto"/>
              <w:bottom w:val="single" w:sz="8" w:space="0" w:color="auto"/>
              <w:right w:val="single" w:sz="8" w:space="0" w:color="auto"/>
            </w:tcBorders>
            <w:vAlign w:val="center"/>
          </w:tcPr>
          <w:p w14:paraId="036449FE" w14:textId="24FA2607" w:rsidR="395EB91F" w:rsidRPr="00094E45" w:rsidRDefault="26BF11B4" w:rsidP="1C1D7E4D">
            <w:pPr>
              <w:jc w:val="center"/>
              <w:rPr>
                <w:color w:val="000000" w:themeColor="text1"/>
                <w:sz w:val="20"/>
                <w:szCs w:val="20"/>
              </w:rPr>
            </w:pPr>
            <w:r w:rsidRPr="00094E45">
              <w:rPr>
                <w:color w:val="000000" w:themeColor="text1"/>
                <w:sz w:val="20"/>
                <w:szCs w:val="20"/>
              </w:rPr>
              <w:t xml:space="preserve">$2,650 </w:t>
            </w:r>
          </w:p>
        </w:tc>
        <w:tc>
          <w:tcPr>
            <w:tcW w:w="1110" w:type="dxa"/>
            <w:tcBorders>
              <w:top w:val="single" w:sz="8" w:space="0" w:color="auto"/>
              <w:left w:val="single" w:sz="8" w:space="0" w:color="auto"/>
              <w:bottom w:val="single" w:sz="8" w:space="0" w:color="auto"/>
              <w:right w:val="single" w:sz="8" w:space="0" w:color="auto"/>
            </w:tcBorders>
            <w:vAlign w:val="center"/>
          </w:tcPr>
          <w:p w14:paraId="3698DABD" w14:textId="58694143" w:rsidR="395EB91F" w:rsidRPr="00094E45" w:rsidRDefault="26BF11B4" w:rsidP="1C1D7E4D">
            <w:pPr>
              <w:jc w:val="center"/>
              <w:rPr>
                <w:color w:val="000000" w:themeColor="text1"/>
                <w:sz w:val="20"/>
                <w:szCs w:val="20"/>
              </w:rPr>
            </w:pPr>
            <w:r w:rsidRPr="00094E45">
              <w:rPr>
                <w:color w:val="000000" w:themeColor="text1"/>
                <w:sz w:val="20"/>
                <w:szCs w:val="20"/>
              </w:rPr>
              <w:t xml:space="preserve">$2,500 </w:t>
            </w:r>
          </w:p>
        </w:tc>
        <w:tc>
          <w:tcPr>
            <w:tcW w:w="1125" w:type="dxa"/>
            <w:tcBorders>
              <w:top w:val="single" w:sz="8" w:space="0" w:color="auto"/>
              <w:left w:val="single" w:sz="8" w:space="0" w:color="auto"/>
              <w:bottom w:val="single" w:sz="8" w:space="0" w:color="auto"/>
              <w:right w:val="single" w:sz="8" w:space="0" w:color="auto"/>
            </w:tcBorders>
            <w:vAlign w:val="center"/>
          </w:tcPr>
          <w:p w14:paraId="75C4B15E" w14:textId="5E9C6086" w:rsidR="395EB91F" w:rsidRPr="00094E45" w:rsidRDefault="26BF11B4" w:rsidP="1C1D7E4D">
            <w:pPr>
              <w:jc w:val="center"/>
              <w:rPr>
                <w:color w:val="000000" w:themeColor="text1"/>
                <w:sz w:val="20"/>
                <w:szCs w:val="20"/>
              </w:rPr>
            </w:pPr>
            <w:r w:rsidRPr="00094E45">
              <w:rPr>
                <w:color w:val="000000" w:themeColor="text1"/>
                <w:sz w:val="20"/>
                <w:szCs w:val="20"/>
              </w:rPr>
              <w:t xml:space="preserve">$3,330 </w:t>
            </w:r>
          </w:p>
        </w:tc>
        <w:tc>
          <w:tcPr>
            <w:tcW w:w="2910" w:type="dxa"/>
            <w:tcBorders>
              <w:top w:val="single" w:sz="8" w:space="0" w:color="auto"/>
              <w:left w:val="single" w:sz="8" w:space="0" w:color="auto"/>
              <w:bottom w:val="single" w:sz="8" w:space="0" w:color="auto"/>
              <w:right w:val="single" w:sz="8" w:space="0" w:color="auto"/>
            </w:tcBorders>
            <w:vAlign w:val="center"/>
          </w:tcPr>
          <w:p w14:paraId="251298C7" w14:textId="69A34179" w:rsidR="395EB91F" w:rsidRPr="00094E45" w:rsidRDefault="26BF11B4" w:rsidP="1C1D7E4D">
            <w:pPr>
              <w:jc w:val="center"/>
              <w:rPr>
                <w:color w:val="000000" w:themeColor="text1"/>
                <w:sz w:val="20"/>
                <w:szCs w:val="20"/>
              </w:rPr>
            </w:pPr>
            <w:r w:rsidRPr="00094E45">
              <w:rPr>
                <w:color w:val="000000" w:themeColor="text1"/>
                <w:sz w:val="20"/>
                <w:szCs w:val="20"/>
              </w:rPr>
              <w:t>20%</w:t>
            </w:r>
          </w:p>
        </w:tc>
      </w:tr>
      <w:tr w:rsidR="395EB91F" w14:paraId="4F043DE1"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0B9CFCC7" w14:textId="7765FE39" w:rsidR="395EB91F" w:rsidRPr="00094E45" w:rsidRDefault="26BF11B4" w:rsidP="1C1D7E4D">
            <w:pPr>
              <w:rPr>
                <w:color w:val="000000" w:themeColor="text1"/>
                <w:sz w:val="20"/>
                <w:szCs w:val="20"/>
              </w:rPr>
            </w:pPr>
            <w:r w:rsidRPr="00094E45">
              <w:rPr>
                <w:color w:val="000000" w:themeColor="text1"/>
                <w:sz w:val="20"/>
                <w:szCs w:val="20"/>
              </w:rPr>
              <w:t>Employment Rate 4th Quarter After Exit</w:t>
            </w:r>
          </w:p>
        </w:tc>
        <w:tc>
          <w:tcPr>
            <w:tcW w:w="1080" w:type="dxa"/>
            <w:tcBorders>
              <w:top w:val="single" w:sz="8" w:space="0" w:color="auto"/>
              <w:left w:val="single" w:sz="8" w:space="0" w:color="auto"/>
              <w:bottom w:val="single" w:sz="8" w:space="0" w:color="auto"/>
              <w:right w:val="single" w:sz="8" w:space="0" w:color="auto"/>
            </w:tcBorders>
            <w:vAlign w:val="center"/>
          </w:tcPr>
          <w:p w14:paraId="790DB3E0" w14:textId="221EDC5F" w:rsidR="395EB91F" w:rsidRPr="00094E45" w:rsidRDefault="26BF11B4" w:rsidP="1C1D7E4D">
            <w:pPr>
              <w:jc w:val="center"/>
              <w:rPr>
                <w:color w:val="000000" w:themeColor="text1"/>
                <w:sz w:val="20"/>
                <w:szCs w:val="20"/>
              </w:rPr>
            </w:pPr>
            <w:r w:rsidRPr="00094E45">
              <w:rPr>
                <w:color w:val="000000" w:themeColor="text1"/>
                <w:sz w:val="20"/>
                <w:szCs w:val="20"/>
              </w:rPr>
              <w:t>32%</w:t>
            </w:r>
          </w:p>
        </w:tc>
        <w:tc>
          <w:tcPr>
            <w:tcW w:w="1110" w:type="dxa"/>
            <w:tcBorders>
              <w:top w:val="single" w:sz="8" w:space="0" w:color="auto"/>
              <w:left w:val="single" w:sz="8" w:space="0" w:color="auto"/>
              <w:bottom w:val="single" w:sz="8" w:space="0" w:color="auto"/>
              <w:right w:val="single" w:sz="8" w:space="0" w:color="auto"/>
            </w:tcBorders>
            <w:vAlign w:val="center"/>
          </w:tcPr>
          <w:p w14:paraId="1D76C057" w14:textId="4813EC90" w:rsidR="395EB91F" w:rsidRPr="00094E45" w:rsidRDefault="26BF11B4" w:rsidP="1C1D7E4D">
            <w:pPr>
              <w:jc w:val="center"/>
              <w:rPr>
                <w:color w:val="000000" w:themeColor="text1"/>
                <w:sz w:val="20"/>
                <w:szCs w:val="20"/>
              </w:rPr>
            </w:pPr>
            <w:r w:rsidRPr="00094E45">
              <w:rPr>
                <w:color w:val="000000" w:themeColor="text1"/>
                <w:sz w:val="20"/>
                <w:szCs w:val="20"/>
              </w:rPr>
              <w:t>36.58%</w:t>
            </w:r>
          </w:p>
        </w:tc>
        <w:tc>
          <w:tcPr>
            <w:tcW w:w="1125" w:type="dxa"/>
            <w:tcBorders>
              <w:top w:val="single" w:sz="8" w:space="0" w:color="auto"/>
              <w:left w:val="single" w:sz="8" w:space="0" w:color="auto"/>
              <w:bottom w:val="single" w:sz="8" w:space="0" w:color="auto"/>
              <w:right w:val="single" w:sz="8" w:space="0" w:color="auto"/>
            </w:tcBorders>
            <w:vAlign w:val="center"/>
          </w:tcPr>
          <w:p w14:paraId="551B9EE3" w14:textId="2E78B721" w:rsidR="395EB91F" w:rsidRPr="00094E45" w:rsidRDefault="26BF11B4" w:rsidP="1C1D7E4D">
            <w:pPr>
              <w:jc w:val="center"/>
              <w:rPr>
                <w:color w:val="000000" w:themeColor="text1"/>
                <w:sz w:val="20"/>
                <w:szCs w:val="20"/>
              </w:rPr>
            </w:pPr>
            <w:r w:rsidRPr="00094E45">
              <w:rPr>
                <w:color w:val="000000" w:themeColor="text1"/>
                <w:sz w:val="20"/>
                <w:szCs w:val="20"/>
              </w:rPr>
              <w:t>27.23%</w:t>
            </w:r>
          </w:p>
        </w:tc>
        <w:tc>
          <w:tcPr>
            <w:tcW w:w="2910" w:type="dxa"/>
            <w:tcBorders>
              <w:top w:val="single" w:sz="8" w:space="0" w:color="auto"/>
              <w:left w:val="single" w:sz="8" w:space="0" w:color="auto"/>
              <w:bottom w:val="single" w:sz="8" w:space="0" w:color="auto"/>
              <w:right w:val="single" w:sz="8" w:space="0" w:color="auto"/>
            </w:tcBorders>
            <w:vAlign w:val="center"/>
          </w:tcPr>
          <w:p w14:paraId="5A82DD07" w14:textId="009A0042" w:rsidR="395EB91F" w:rsidRPr="00094E45" w:rsidRDefault="26BF11B4" w:rsidP="1C1D7E4D">
            <w:pPr>
              <w:jc w:val="center"/>
              <w:rPr>
                <w:color w:val="000000" w:themeColor="text1"/>
                <w:sz w:val="20"/>
                <w:szCs w:val="20"/>
              </w:rPr>
            </w:pPr>
            <w:r w:rsidRPr="00094E45">
              <w:rPr>
                <w:color w:val="000000" w:themeColor="text1"/>
                <w:sz w:val="20"/>
                <w:szCs w:val="20"/>
              </w:rPr>
              <w:t>-17%</w:t>
            </w:r>
          </w:p>
        </w:tc>
      </w:tr>
      <w:tr w:rsidR="395EB91F" w14:paraId="4BD20D2E"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6AB658BC" w14:textId="0CEEE776" w:rsidR="395EB91F" w:rsidRPr="00094E45" w:rsidRDefault="26BF11B4" w:rsidP="1C1D7E4D">
            <w:pPr>
              <w:rPr>
                <w:color w:val="000000" w:themeColor="text1"/>
                <w:sz w:val="20"/>
                <w:szCs w:val="20"/>
              </w:rPr>
            </w:pPr>
            <w:r w:rsidRPr="00094E45">
              <w:rPr>
                <w:color w:val="000000" w:themeColor="text1"/>
                <w:sz w:val="20"/>
                <w:szCs w:val="20"/>
              </w:rPr>
              <w:t>Credential Attainment</w:t>
            </w:r>
          </w:p>
        </w:tc>
        <w:tc>
          <w:tcPr>
            <w:tcW w:w="1080" w:type="dxa"/>
            <w:tcBorders>
              <w:top w:val="single" w:sz="8" w:space="0" w:color="auto"/>
              <w:left w:val="single" w:sz="8" w:space="0" w:color="auto"/>
              <w:bottom w:val="single" w:sz="8" w:space="0" w:color="auto"/>
              <w:right w:val="single" w:sz="8" w:space="0" w:color="auto"/>
            </w:tcBorders>
            <w:vAlign w:val="center"/>
          </w:tcPr>
          <w:p w14:paraId="66616F9F" w14:textId="18135CF8" w:rsidR="395EB91F" w:rsidRPr="00094E45" w:rsidRDefault="26BF11B4" w:rsidP="1C1D7E4D">
            <w:pPr>
              <w:jc w:val="center"/>
              <w:rPr>
                <w:color w:val="000000" w:themeColor="text1"/>
                <w:sz w:val="20"/>
                <w:szCs w:val="20"/>
              </w:rPr>
            </w:pPr>
            <w:r w:rsidRPr="00094E45">
              <w:rPr>
                <w:color w:val="000000" w:themeColor="text1"/>
                <w:sz w:val="20"/>
                <w:szCs w:val="20"/>
              </w:rPr>
              <w:t>21%</w:t>
            </w:r>
          </w:p>
        </w:tc>
        <w:tc>
          <w:tcPr>
            <w:tcW w:w="1110" w:type="dxa"/>
            <w:tcBorders>
              <w:top w:val="single" w:sz="8" w:space="0" w:color="auto"/>
              <w:left w:val="single" w:sz="8" w:space="0" w:color="auto"/>
              <w:bottom w:val="single" w:sz="8" w:space="0" w:color="auto"/>
              <w:right w:val="single" w:sz="8" w:space="0" w:color="auto"/>
            </w:tcBorders>
            <w:vAlign w:val="center"/>
          </w:tcPr>
          <w:p w14:paraId="02D4C33C" w14:textId="12C1879E" w:rsidR="395EB91F" w:rsidRPr="00094E45" w:rsidRDefault="26BF11B4" w:rsidP="1C1D7E4D">
            <w:pPr>
              <w:jc w:val="center"/>
              <w:rPr>
                <w:color w:val="000000" w:themeColor="text1"/>
                <w:sz w:val="20"/>
                <w:szCs w:val="20"/>
              </w:rPr>
            </w:pPr>
            <w:r w:rsidRPr="00094E45">
              <w:rPr>
                <w:color w:val="000000" w:themeColor="text1"/>
                <w:sz w:val="20"/>
                <w:szCs w:val="20"/>
              </w:rPr>
              <w:t>39.46%</w:t>
            </w:r>
          </w:p>
        </w:tc>
        <w:tc>
          <w:tcPr>
            <w:tcW w:w="1125" w:type="dxa"/>
            <w:tcBorders>
              <w:top w:val="single" w:sz="8" w:space="0" w:color="auto"/>
              <w:left w:val="single" w:sz="8" w:space="0" w:color="auto"/>
              <w:bottom w:val="single" w:sz="8" w:space="0" w:color="auto"/>
              <w:right w:val="single" w:sz="8" w:space="0" w:color="auto"/>
            </w:tcBorders>
            <w:vAlign w:val="center"/>
          </w:tcPr>
          <w:p w14:paraId="65746236" w14:textId="590C6452" w:rsidR="395EB91F" w:rsidRPr="00094E45" w:rsidRDefault="26BF11B4" w:rsidP="1C1D7E4D">
            <w:pPr>
              <w:jc w:val="center"/>
              <w:rPr>
                <w:color w:val="000000" w:themeColor="text1"/>
                <w:sz w:val="20"/>
                <w:szCs w:val="20"/>
              </w:rPr>
            </w:pPr>
            <w:r w:rsidRPr="00094E45">
              <w:rPr>
                <w:color w:val="000000" w:themeColor="text1"/>
                <w:sz w:val="20"/>
                <w:szCs w:val="20"/>
              </w:rPr>
              <w:t>40.29%</w:t>
            </w:r>
          </w:p>
        </w:tc>
        <w:tc>
          <w:tcPr>
            <w:tcW w:w="2910" w:type="dxa"/>
            <w:tcBorders>
              <w:top w:val="single" w:sz="8" w:space="0" w:color="auto"/>
              <w:left w:val="single" w:sz="8" w:space="0" w:color="auto"/>
              <w:bottom w:val="single" w:sz="8" w:space="0" w:color="auto"/>
              <w:right w:val="single" w:sz="8" w:space="0" w:color="auto"/>
            </w:tcBorders>
            <w:vAlign w:val="center"/>
          </w:tcPr>
          <w:p w14:paraId="010038DA" w14:textId="3F0E179E" w:rsidR="395EB91F" w:rsidRPr="00094E45" w:rsidRDefault="26BF11B4" w:rsidP="1C1D7E4D">
            <w:pPr>
              <w:jc w:val="center"/>
              <w:rPr>
                <w:color w:val="000000" w:themeColor="text1"/>
                <w:sz w:val="20"/>
                <w:szCs w:val="20"/>
              </w:rPr>
            </w:pPr>
            <w:r w:rsidRPr="00094E45">
              <w:rPr>
                <w:color w:val="000000" w:themeColor="text1"/>
                <w:sz w:val="20"/>
                <w:szCs w:val="20"/>
              </w:rPr>
              <w:t>49%</w:t>
            </w:r>
          </w:p>
        </w:tc>
      </w:tr>
      <w:tr w:rsidR="395EB91F" w14:paraId="3D78EE73"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3F2AC3FA" w14:textId="3D8B7B31" w:rsidR="395EB91F" w:rsidRPr="00094E45" w:rsidRDefault="26BF11B4" w:rsidP="1C1D7E4D">
            <w:pPr>
              <w:rPr>
                <w:color w:val="000000" w:themeColor="text1"/>
                <w:sz w:val="20"/>
                <w:szCs w:val="20"/>
              </w:rPr>
            </w:pPr>
            <w:r w:rsidRPr="00094E45">
              <w:rPr>
                <w:color w:val="000000" w:themeColor="text1"/>
                <w:sz w:val="20"/>
                <w:szCs w:val="20"/>
              </w:rPr>
              <w:t>Measurable Skill Gains</w:t>
            </w:r>
          </w:p>
        </w:tc>
        <w:tc>
          <w:tcPr>
            <w:tcW w:w="1080" w:type="dxa"/>
            <w:tcBorders>
              <w:top w:val="single" w:sz="8" w:space="0" w:color="auto"/>
              <w:left w:val="single" w:sz="8" w:space="0" w:color="auto"/>
              <w:bottom w:val="single" w:sz="8" w:space="0" w:color="auto"/>
              <w:right w:val="single" w:sz="8" w:space="0" w:color="auto"/>
            </w:tcBorders>
            <w:vAlign w:val="center"/>
          </w:tcPr>
          <w:p w14:paraId="169BA922" w14:textId="3E71A345" w:rsidR="395EB91F" w:rsidRPr="00094E45" w:rsidRDefault="26BF11B4" w:rsidP="1C1D7E4D">
            <w:pPr>
              <w:jc w:val="center"/>
              <w:rPr>
                <w:color w:val="000000" w:themeColor="text1"/>
                <w:sz w:val="20"/>
                <w:szCs w:val="20"/>
              </w:rPr>
            </w:pPr>
            <w:r w:rsidRPr="00094E45">
              <w:rPr>
                <w:color w:val="000000" w:themeColor="text1"/>
                <w:sz w:val="20"/>
                <w:szCs w:val="20"/>
              </w:rPr>
              <w:t>44%</w:t>
            </w:r>
          </w:p>
        </w:tc>
        <w:tc>
          <w:tcPr>
            <w:tcW w:w="1110" w:type="dxa"/>
            <w:tcBorders>
              <w:top w:val="single" w:sz="8" w:space="0" w:color="auto"/>
              <w:left w:val="single" w:sz="8" w:space="0" w:color="auto"/>
              <w:bottom w:val="single" w:sz="8" w:space="0" w:color="auto"/>
              <w:right w:val="single" w:sz="8" w:space="0" w:color="auto"/>
            </w:tcBorders>
            <w:vAlign w:val="center"/>
          </w:tcPr>
          <w:p w14:paraId="2B05EE1A" w14:textId="0B763077" w:rsidR="395EB91F" w:rsidRPr="00094E45" w:rsidRDefault="26BF11B4" w:rsidP="1C1D7E4D">
            <w:pPr>
              <w:jc w:val="center"/>
              <w:rPr>
                <w:color w:val="000000" w:themeColor="text1"/>
                <w:sz w:val="20"/>
                <w:szCs w:val="20"/>
              </w:rPr>
            </w:pPr>
            <w:r w:rsidRPr="00094E45">
              <w:rPr>
                <w:color w:val="000000" w:themeColor="text1"/>
                <w:sz w:val="20"/>
                <w:szCs w:val="20"/>
              </w:rPr>
              <w:t>35.90%</w:t>
            </w:r>
          </w:p>
        </w:tc>
        <w:tc>
          <w:tcPr>
            <w:tcW w:w="1125" w:type="dxa"/>
            <w:tcBorders>
              <w:top w:val="single" w:sz="8" w:space="0" w:color="auto"/>
              <w:left w:val="single" w:sz="8" w:space="0" w:color="auto"/>
              <w:bottom w:val="single" w:sz="8" w:space="0" w:color="auto"/>
              <w:right w:val="single" w:sz="8" w:space="0" w:color="auto"/>
            </w:tcBorders>
            <w:vAlign w:val="center"/>
          </w:tcPr>
          <w:p w14:paraId="5D4FEC06" w14:textId="75494010" w:rsidR="395EB91F" w:rsidRPr="00094E45" w:rsidRDefault="26BF11B4" w:rsidP="1C1D7E4D">
            <w:pPr>
              <w:jc w:val="center"/>
              <w:rPr>
                <w:color w:val="000000" w:themeColor="text1"/>
                <w:sz w:val="20"/>
                <w:szCs w:val="20"/>
              </w:rPr>
            </w:pPr>
            <w:r w:rsidRPr="00094E45">
              <w:rPr>
                <w:color w:val="000000" w:themeColor="text1"/>
                <w:sz w:val="20"/>
                <w:szCs w:val="20"/>
              </w:rPr>
              <w:t>39.63%</w:t>
            </w:r>
          </w:p>
        </w:tc>
        <w:tc>
          <w:tcPr>
            <w:tcW w:w="2910" w:type="dxa"/>
            <w:tcBorders>
              <w:top w:val="single" w:sz="8" w:space="0" w:color="auto"/>
              <w:left w:val="single" w:sz="8" w:space="0" w:color="auto"/>
              <w:bottom w:val="single" w:sz="8" w:space="0" w:color="auto"/>
              <w:right w:val="single" w:sz="8" w:space="0" w:color="auto"/>
            </w:tcBorders>
            <w:vAlign w:val="center"/>
          </w:tcPr>
          <w:p w14:paraId="3C1FA839" w14:textId="04B75A73" w:rsidR="395EB91F" w:rsidRPr="00094E45" w:rsidRDefault="26BF11B4" w:rsidP="1C1D7E4D">
            <w:pPr>
              <w:jc w:val="center"/>
              <w:rPr>
                <w:color w:val="000000" w:themeColor="text1"/>
                <w:sz w:val="20"/>
                <w:szCs w:val="20"/>
              </w:rPr>
            </w:pPr>
            <w:r w:rsidRPr="00094E45">
              <w:rPr>
                <w:color w:val="000000" w:themeColor="text1"/>
                <w:sz w:val="20"/>
                <w:szCs w:val="20"/>
              </w:rPr>
              <w:t>-11%</w:t>
            </w:r>
          </w:p>
        </w:tc>
      </w:tr>
      <w:tr w:rsidR="395EB91F" w14:paraId="4E9D6670"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24FA3F5E" w14:textId="3E05D094" w:rsidR="395EB91F" w:rsidRPr="00094E45" w:rsidRDefault="26BF11B4" w:rsidP="1C1D7E4D">
            <w:pPr>
              <w:rPr>
                <w:color w:val="000000" w:themeColor="text1"/>
                <w:sz w:val="20"/>
                <w:szCs w:val="20"/>
              </w:rPr>
            </w:pPr>
            <w:r w:rsidRPr="00094E45">
              <w:rPr>
                <w:color w:val="000000" w:themeColor="text1"/>
                <w:sz w:val="20"/>
                <w:szCs w:val="20"/>
              </w:rPr>
              <w:t>Effectiveness in Serving Employers</w:t>
            </w:r>
          </w:p>
        </w:tc>
        <w:tc>
          <w:tcPr>
            <w:tcW w:w="1080" w:type="dxa"/>
            <w:tcBorders>
              <w:top w:val="single" w:sz="8" w:space="0" w:color="auto"/>
              <w:left w:val="single" w:sz="8" w:space="0" w:color="auto"/>
              <w:bottom w:val="single" w:sz="8" w:space="0" w:color="auto"/>
              <w:right w:val="single" w:sz="8" w:space="0" w:color="auto"/>
            </w:tcBorders>
            <w:vAlign w:val="center"/>
          </w:tcPr>
          <w:p w14:paraId="4912ACC6" w14:textId="187BCDBD" w:rsidR="395EB91F" w:rsidRPr="00094E45" w:rsidRDefault="26BF11B4" w:rsidP="1C1D7E4D">
            <w:pPr>
              <w:jc w:val="center"/>
              <w:rPr>
                <w:color w:val="000000" w:themeColor="text1"/>
                <w:sz w:val="20"/>
                <w:szCs w:val="20"/>
              </w:rPr>
            </w:pPr>
            <w:r w:rsidRPr="00094E45">
              <w:rPr>
                <w:color w:val="000000" w:themeColor="text1"/>
                <w:sz w:val="20"/>
                <w:szCs w:val="20"/>
              </w:rPr>
              <w:t>285</w:t>
            </w:r>
          </w:p>
        </w:tc>
        <w:tc>
          <w:tcPr>
            <w:tcW w:w="1110" w:type="dxa"/>
            <w:tcBorders>
              <w:top w:val="single" w:sz="8" w:space="0" w:color="auto"/>
              <w:left w:val="single" w:sz="8" w:space="0" w:color="auto"/>
              <w:bottom w:val="single" w:sz="8" w:space="0" w:color="auto"/>
              <w:right w:val="single" w:sz="8" w:space="0" w:color="auto"/>
            </w:tcBorders>
            <w:vAlign w:val="center"/>
          </w:tcPr>
          <w:p w14:paraId="2A66CFEB" w14:textId="0A7DE6F4" w:rsidR="395EB91F" w:rsidRPr="00094E45" w:rsidRDefault="26BF11B4" w:rsidP="1C1D7E4D">
            <w:pPr>
              <w:jc w:val="center"/>
              <w:rPr>
                <w:color w:val="000000" w:themeColor="text1"/>
                <w:sz w:val="20"/>
                <w:szCs w:val="20"/>
              </w:rPr>
            </w:pPr>
            <w:r w:rsidRPr="00094E45">
              <w:rPr>
                <w:color w:val="000000" w:themeColor="text1"/>
                <w:sz w:val="20"/>
                <w:szCs w:val="20"/>
              </w:rPr>
              <w:t>411</w:t>
            </w:r>
          </w:p>
        </w:tc>
        <w:tc>
          <w:tcPr>
            <w:tcW w:w="1125" w:type="dxa"/>
            <w:tcBorders>
              <w:top w:val="single" w:sz="8" w:space="0" w:color="auto"/>
              <w:left w:val="single" w:sz="8" w:space="0" w:color="auto"/>
              <w:bottom w:val="single" w:sz="8" w:space="0" w:color="auto"/>
              <w:right w:val="single" w:sz="8" w:space="0" w:color="auto"/>
            </w:tcBorders>
            <w:vAlign w:val="center"/>
          </w:tcPr>
          <w:p w14:paraId="3FC7735D" w14:textId="2300C899" w:rsidR="395EB91F" w:rsidRPr="00094E45" w:rsidRDefault="26BF11B4" w:rsidP="1C1D7E4D">
            <w:pPr>
              <w:jc w:val="center"/>
              <w:rPr>
                <w:color w:val="000000" w:themeColor="text1"/>
                <w:sz w:val="20"/>
                <w:szCs w:val="20"/>
              </w:rPr>
            </w:pPr>
            <w:r w:rsidRPr="00094E45">
              <w:rPr>
                <w:color w:val="000000" w:themeColor="text1"/>
                <w:sz w:val="20"/>
                <w:szCs w:val="20"/>
              </w:rPr>
              <w:t>566</w:t>
            </w:r>
          </w:p>
        </w:tc>
        <w:tc>
          <w:tcPr>
            <w:tcW w:w="2910" w:type="dxa"/>
            <w:tcBorders>
              <w:top w:val="single" w:sz="8" w:space="0" w:color="auto"/>
              <w:left w:val="single" w:sz="8" w:space="0" w:color="auto"/>
              <w:bottom w:val="single" w:sz="8" w:space="0" w:color="auto"/>
              <w:right w:val="single" w:sz="8" w:space="0" w:color="auto"/>
            </w:tcBorders>
            <w:vAlign w:val="center"/>
          </w:tcPr>
          <w:p w14:paraId="1FA99947" w14:textId="393FB75D" w:rsidR="395EB91F" w:rsidRPr="00094E45" w:rsidRDefault="26BF11B4" w:rsidP="1C1D7E4D">
            <w:pPr>
              <w:jc w:val="center"/>
              <w:rPr>
                <w:color w:val="000000" w:themeColor="text1"/>
                <w:sz w:val="20"/>
                <w:szCs w:val="20"/>
              </w:rPr>
            </w:pPr>
            <w:r w:rsidRPr="00094E45">
              <w:rPr>
                <w:color w:val="000000" w:themeColor="text1"/>
                <w:sz w:val="20"/>
                <w:szCs w:val="20"/>
              </w:rPr>
              <w:t>50%</w:t>
            </w:r>
          </w:p>
        </w:tc>
      </w:tr>
      <w:tr w:rsidR="395EB91F" w14:paraId="7535470D"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36BCFCA9" w14:textId="27643492" w:rsidR="395EB91F" w:rsidRPr="00094E45" w:rsidRDefault="26BF11B4" w:rsidP="1C1D7E4D">
            <w:pPr>
              <w:rPr>
                <w:color w:val="000000" w:themeColor="text1"/>
                <w:sz w:val="20"/>
                <w:szCs w:val="20"/>
              </w:rPr>
            </w:pPr>
            <w:r w:rsidRPr="00094E45">
              <w:rPr>
                <w:color w:val="000000" w:themeColor="text1"/>
                <w:sz w:val="20"/>
                <w:szCs w:val="20"/>
              </w:rPr>
              <w:t>% of Secondary Credential Completers</w:t>
            </w:r>
          </w:p>
        </w:tc>
        <w:tc>
          <w:tcPr>
            <w:tcW w:w="1080" w:type="dxa"/>
            <w:tcBorders>
              <w:top w:val="single" w:sz="8" w:space="0" w:color="auto"/>
              <w:left w:val="single" w:sz="8" w:space="0" w:color="auto"/>
              <w:bottom w:val="single" w:sz="8" w:space="0" w:color="auto"/>
              <w:right w:val="single" w:sz="8" w:space="0" w:color="auto"/>
            </w:tcBorders>
            <w:vAlign w:val="center"/>
          </w:tcPr>
          <w:p w14:paraId="430E3FCB" w14:textId="3C87CFBB" w:rsidR="395EB91F" w:rsidRPr="00094E45" w:rsidRDefault="26BF11B4" w:rsidP="1C1D7E4D">
            <w:pPr>
              <w:jc w:val="center"/>
              <w:rPr>
                <w:color w:val="000000" w:themeColor="text1"/>
                <w:sz w:val="20"/>
                <w:szCs w:val="20"/>
              </w:rPr>
            </w:pPr>
            <w:r w:rsidRPr="00094E45">
              <w:rPr>
                <w:color w:val="000000" w:themeColor="text1"/>
                <w:sz w:val="20"/>
                <w:szCs w:val="20"/>
              </w:rPr>
              <w:t>20%</w:t>
            </w:r>
          </w:p>
        </w:tc>
        <w:tc>
          <w:tcPr>
            <w:tcW w:w="1110" w:type="dxa"/>
            <w:tcBorders>
              <w:top w:val="single" w:sz="8" w:space="0" w:color="auto"/>
              <w:left w:val="single" w:sz="8" w:space="0" w:color="auto"/>
              <w:bottom w:val="single" w:sz="8" w:space="0" w:color="auto"/>
              <w:right w:val="single" w:sz="8" w:space="0" w:color="auto"/>
            </w:tcBorders>
            <w:vAlign w:val="center"/>
          </w:tcPr>
          <w:p w14:paraId="7A8D12A8" w14:textId="68252CC6" w:rsidR="395EB91F" w:rsidRPr="00094E45" w:rsidRDefault="26BF11B4" w:rsidP="1C1D7E4D">
            <w:pPr>
              <w:jc w:val="center"/>
              <w:rPr>
                <w:color w:val="000000" w:themeColor="text1"/>
                <w:sz w:val="20"/>
                <w:szCs w:val="20"/>
              </w:rPr>
            </w:pPr>
            <w:r w:rsidRPr="00094E45">
              <w:rPr>
                <w:color w:val="000000" w:themeColor="text1"/>
                <w:sz w:val="20"/>
                <w:szCs w:val="20"/>
              </w:rPr>
              <w:t>18%</w:t>
            </w:r>
          </w:p>
        </w:tc>
        <w:tc>
          <w:tcPr>
            <w:tcW w:w="1125" w:type="dxa"/>
            <w:tcBorders>
              <w:top w:val="single" w:sz="8" w:space="0" w:color="auto"/>
              <w:left w:val="single" w:sz="8" w:space="0" w:color="auto"/>
              <w:bottom w:val="single" w:sz="8" w:space="0" w:color="auto"/>
              <w:right w:val="single" w:sz="8" w:space="0" w:color="auto"/>
            </w:tcBorders>
            <w:vAlign w:val="center"/>
          </w:tcPr>
          <w:p w14:paraId="125ED373" w14:textId="012E646B" w:rsidR="395EB91F" w:rsidRPr="00094E45" w:rsidRDefault="26BF11B4" w:rsidP="1C1D7E4D">
            <w:pPr>
              <w:jc w:val="center"/>
              <w:rPr>
                <w:color w:val="000000" w:themeColor="text1"/>
                <w:sz w:val="20"/>
                <w:szCs w:val="20"/>
              </w:rPr>
            </w:pPr>
            <w:r w:rsidRPr="00094E45">
              <w:rPr>
                <w:color w:val="000000" w:themeColor="text1"/>
                <w:sz w:val="20"/>
                <w:szCs w:val="20"/>
              </w:rPr>
              <w:t>23%</w:t>
            </w:r>
          </w:p>
        </w:tc>
        <w:tc>
          <w:tcPr>
            <w:tcW w:w="2910" w:type="dxa"/>
            <w:tcBorders>
              <w:top w:val="single" w:sz="8" w:space="0" w:color="auto"/>
              <w:left w:val="single" w:sz="8" w:space="0" w:color="auto"/>
              <w:bottom w:val="single" w:sz="8" w:space="0" w:color="auto"/>
              <w:right w:val="single" w:sz="8" w:space="0" w:color="auto"/>
            </w:tcBorders>
            <w:vAlign w:val="center"/>
          </w:tcPr>
          <w:p w14:paraId="7A7CDC8D" w14:textId="2AB784E8" w:rsidR="395EB91F" w:rsidRPr="00094E45" w:rsidRDefault="26BF11B4" w:rsidP="1C1D7E4D">
            <w:pPr>
              <w:jc w:val="center"/>
              <w:rPr>
                <w:color w:val="000000" w:themeColor="text1"/>
                <w:sz w:val="20"/>
                <w:szCs w:val="20"/>
              </w:rPr>
            </w:pPr>
            <w:r w:rsidRPr="00094E45">
              <w:rPr>
                <w:color w:val="000000" w:themeColor="text1"/>
                <w:sz w:val="20"/>
                <w:szCs w:val="20"/>
              </w:rPr>
              <w:t>14%</w:t>
            </w:r>
          </w:p>
        </w:tc>
      </w:tr>
      <w:tr w:rsidR="395EB91F" w14:paraId="4EBF71EA"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71F44E08" w14:textId="295603D4" w:rsidR="395EB91F" w:rsidRPr="00094E45" w:rsidRDefault="26BF11B4" w:rsidP="1C1D7E4D">
            <w:pPr>
              <w:rPr>
                <w:color w:val="000000" w:themeColor="text1"/>
                <w:sz w:val="20"/>
                <w:szCs w:val="20"/>
              </w:rPr>
            </w:pPr>
            <w:r w:rsidRPr="00094E45">
              <w:rPr>
                <w:color w:val="000000" w:themeColor="text1"/>
                <w:sz w:val="20"/>
                <w:szCs w:val="20"/>
              </w:rPr>
              <w:t>Integrated Education &amp; Training Participants</w:t>
            </w:r>
          </w:p>
        </w:tc>
        <w:tc>
          <w:tcPr>
            <w:tcW w:w="1080" w:type="dxa"/>
            <w:tcBorders>
              <w:top w:val="single" w:sz="8" w:space="0" w:color="auto"/>
              <w:left w:val="single" w:sz="8" w:space="0" w:color="auto"/>
              <w:bottom w:val="single" w:sz="8" w:space="0" w:color="auto"/>
              <w:right w:val="single" w:sz="8" w:space="0" w:color="auto"/>
            </w:tcBorders>
            <w:vAlign w:val="center"/>
          </w:tcPr>
          <w:p w14:paraId="33C35FBC" w14:textId="73A53E57" w:rsidR="395EB91F" w:rsidRPr="00094E45" w:rsidRDefault="26BF11B4" w:rsidP="1C1D7E4D">
            <w:pPr>
              <w:jc w:val="center"/>
              <w:rPr>
                <w:color w:val="000000" w:themeColor="text1"/>
                <w:sz w:val="20"/>
                <w:szCs w:val="20"/>
              </w:rPr>
            </w:pPr>
            <w:r w:rsidRPr="00094E45">
              <w:rPr>
                <w:color w:val="000000" w:themeColor="text1"/>
                <w:sz w:val="20"/>
                <w:szCs w:val="20"/>
              </w:rPr>
              <w:t>14</w:t>
            </w:r>
          </w:p>
        </w:tc>
        <w:tc>
          <w:tcPr>
            <w:tcW w:w="1110" w:type="dxa"/>
            <w:tcBorders>
              <w:top w:val="single" w:sz="8" w:space="0" w:color="auto"/>
              <w:left w:val="single" w:sz="8" w:space="0" w:color="auto"/>
              <w:bottom w:val="single" w:sz="8" w:space="0" w:color="auto"/>
              <w:right w:val="single" w:sz="8" w:space="0" w:color="auto"/>
            </w:tcBorders>
            <w:vAlign w:val="center"/>
          </w:tcPr>
          <w:p w14:paraId="29A87D2B" w14:textId="720431B6" w:rsidR="395EB91F" w:rsidRPr="00094E45" w:rsidRDefault="26BF11B4" w:rsidP="1C1D7E4D">
            <w:pPr>
              <w:jc w:val="center"/>
              <w:rPr>
                <w:color w:val="000000" w:themeColor="text1"/>
                <w:sz w:val="20"/>
                <w:szCs w:val="20"/>
              </w:rPr>
            </w:pPr>
            <w:r w:rsidRPr="00094E45">
              <w:rPr>
                <w:color w:val="000000" w:themeColor="text1"/>
                <w:sz w:val="20"/>
                <w:szCs w:val="20"/>
              </w:rPr>
              <w:t>213</w:t>
            </w:r>
          </w:p>
        </w:tc>
        <w:tc>
          <w:tcPr>
            <w:tcW w:w="1125" w:type="dxa"/>
            <w:tcBorders>
              <w:top w:val="single" w:sz="8" w:space="0" w:color="auto"/>
              <w:left w:val="single" w:sz="8" w:space="0" w:color="auto"/>
              <w:bottom w:val="single" w:sz="8" w:space="0" w:color="auto"/>
              <w:right w:val="single" w:sz="8" w:space="0" w:color="auto"/>
            </w:tcBorders>
            <w:vAlign w:val="center"/>
          </w:tcPr>
          <w:p w14:paraId="7760CB37" w14:textId="38F804CF" w:rsidR="395EB91F" w:rsidRPr="00094E45" w:rsidRDefault="26BF11B4" w:rsidP="1C1D7E4D">
            <w:pPr>
              <w:jc w:val="center"/>
              <w:rPr>
                <w:color w:val="000000" w:themeColor="text1"/>
                <w:sz w:val="20"/>
                <w:szCs w:val="20"/>
              </w:rPr>
            </w:pPr>
            <w:r w:rsidRPr="00094E45">
              <w:rPr>
                <w:color w:val="000000" w:themeColor="text1"/>
                <w:sz w:val="20"/>
                <w:szCs w:val="20"/>
              </w:rPr>
              <w:t>141</w:t>
            </w:r>
          </w:p>
        </w:tc>
        <w:tc>
          <w:tcPr>
            <w:tcW w:w="2910" w:type="dxa"/>
            <w:tcBorders>
              <w:top w:val="single" w:sz="8" w:space="0" w:color="auto"/>
              <w:left w:val="single" w:sz="8" w:space="0" w:color="auto"/>
              <w:bottom w:val="single" w:sz="8" w:space="0" w:color="auto"/>
              <w:right w:val="single" w:sz="8" w:space="0" w:color="auto"/>
            </w:tcBorders>
            <w:vAlign w:val="center"/>
          </w:tcPr>
          <w:p w14:paraId="6A0E6AF4" w14:textId="2776C810" w:rsidR="395EB91F" w:rsidRPr="00094E45" w:rsidRDefault="26BF11B4" w:rsidP="1C1D7E4D">
            <w:pPr>
              <w:jc w:val="center"/>
              <w:rPr>
                <w:color w:val="000000" w:themeColor="text1"/>
                <w:sz w:val="20"/>
                <w:szCs w:val="20"/>
              </w:rPr>
            </w:pPr>
            <w:r w:rsidRPr="00094E45">
              <w:rPr>
                <w:color w:val="000000" w:themeColor="text1"/>
                <w:sz w:val="20"/>
                <w:szCs w:val="20"/>
              </w:rPr>
              <w:t>90%</w:t>
            </w:r>
          </w:p>
        </w:tc>
      </w:tr>
      <w:tr w:rsidR="395EB91F" w14:paraId="43BBF2F0" w14:textId="77777777" w:rsidTr="1C1D7E4D">
        <w:trPr>
          <w:trHeight w:val="285"/>
        </w:trPr>
        <w:tc>
          <w:tcPr>
            <w:tcW w:w="3990" w:type="dxa"/>
            <w:tcBorders>
              <w:top w:val="single" w:sz="8" w:space="0" w:color="auto"/>
              <w:left w:val="single" w:sz="8" w:space="0" w:color="auto"/>
              <w:bottom w:val="single" w:sz="8" w:space="0" w:color="auto"/>
              <w:right w:val="single" w:sz="8" w:space="0" w:color="auto"/>
            </w:tcBorders>
            <w:vAlign w:val="center"/>
          </w:tcPr>
          <w:p w14:paraId="7560865D" w14:textId="6F28679C" w:rsidR="395EB91F" w:rsidRPr="00094E45" w:rsidRDefault="26BF11B4" w:rsidP="1C1D7E4D">
            <w:pPr>
              <w:rPr>
                <w:color w:val="000000" w:themeColor="text1"/>
                <w:sz w:val="20"/>
                <w:szCs w:val="20"/>
              </w:rPr>
            </w:pPr>
            <w:r w:rsidRPr="00094E45">
              <w:rPr>
                <w:color w:val="000000" w:themeColor="text1"/>
                <w:sz w:val="20"/>
                <w:szCs w:val="20"/>
              </w:rPr>
              <w:t>Workplace Literacy Participants</w:t>
            </w:r>
          </w:p>
        </w:tc>
        <w:tc>
          <w:tcPr>
            <w:tcW w:w="1080" w:type="dxa"/>
            <w:tcBorders>
              <w:top w:val="single" w:sz="8" w:space="0" w:color="auto"/>
              <w:left w:val="single" w:sz="8" w:space="0" w:color="auto"/>
              <w:bottom w:val="single" w:sz="8" w:space="0" w:color="auto"/>
              <w:right w:val="single" w:sz="8" w:space="0" w:color="auto"/>
            </w:tcBorders>
            <w:vAlign w:val="center"/>
          </w:tcPr>
          <w:p w14:paraId="70346F90" w14:textId="36A7B484" w:rsidR="395EB91F" w:rsidRPr="00094E45" w:rsidRDefault="26BF11B4" w:rsidP="1C1D7E4D">
            <w:pPr>
              <w:jc w:val="center"/>
              <w:rPr>
                <w:color w:val="000000" w:themeColor="text1"/>
                <w:sz w:val="20"/>
                <w:szCs w:val="20"/>
              </w:rPr>
            </w:pPr>
            <w:r w:rsidRPr="00094E45">
              <w:rPr>
                <w:color w:val="000000" w:themeColor="text1"/>
                <w:sz w:val="20"/>
                <w:szCs w:val="20"/>
              </w:rPr>
              <w:t>16</w:t>
            </w:r>
          </w:p>
        </w:tc>
        <w:tc>
          <w:tcPr>
            <w:tcW w:w="1110" w:type="dxa"/>
            <w:tcBorders>
              <w:top w:val="single" w:sz="8" w:space="0" w:color="auto"/>
              <w:left w:val="single" w:sz="8" w:space="0" w:color="auto"/>
              <w:bottom w:val="single" w:sz="8" w:space="0" w:color="auto"/>
              <w:right w:val="single" w:sz="8" w:space="0" w:color="auto"/>
            </w:tcBorders>
            <w:vAlign w:val="center"/>
          </w:tcPr>
          <w:p w14:paraId="3418FC62" w14:textId="5D3A7F88" w:rsidR="395EB91F" w:rsidRPr="00094E45" w:rsidRDefault="26BF11B4" w:rsidP="1C1D7E4D">
            <w:pPr>
              <w:jc w:val="center"/>
              <w:rPr>
                <w:color w:val="000000" w:themeColor="text1"/>
                <w:sz w:val="20"/>
                <w:szCs w:val="20"/>
              </w:rPr>
            </w:pPr>
            <w:r w:rsidRPr="00094E45">
              <w:rPr>
                <w:color w:val="000000" w:themeColor="text1"/>
                <w:sz w:val="20"/>
                <w:szCs w:val="20"/>
              </w:rPr>
              <w:t>99</w:t>
            </w:r>
          </w:p>
        </w:tc>
        <w:tc>
          <w:tcPr>
            <w:tcW w:w="1125" w:type="dxa"/>
            <w:tcBorders>
              <w:top w:val="single" w:sz="8" w:space="0" w:color="auto"/>
              <w:left w:val="single" w:sz="8" w:space="0" w:color="auto"/>
              <w:bottom w:val="single" w:sz="8" w:space="0" w:color="auto"/>
              <w:right w:val="single" w:sz="8" w:space="0" w:color="auto"/>
            </w:tcBorders>
            <w:vAlign w:val="center"/>
          </w:tcPr>
          <w:p w14:paraId="607A7E5E" w14:textId="30C109F4" w:rsidR="395EB91F" w:rsidRPr="00094E45" w:rsidRDefault="26BF11B4" w:rsidP="1C1D7E4D">
            <w:pPr>
              <w:jc w:val="center"/>
              <w:rPr>
                <w:color w:val="000000" w:themeColor="text1"/>
                <w:sz w:val="20"/>
                <w:szCs w:val="20"/>
              </w:rPr>
            </w:pPr>
            <w:r w:rsidRPr="00094E45">
              <w:rPr>
                <w:color w:val="000000" w:themeColor="text1"/>
                <w:sz w:val="20"/>
                <w:szCs w:val="20"/>
              </w:rPr>
              <w:t>257</w:t>
            </w:r>
          </w:p>
        </w:tc>
        <w:tc>
          <w:tcPr>
            <w:tcW w:w="2910" w:type="dxa"/>
            <w:tcBorders>
              <w:top w:val="single" w:sz="8" w:space="0" w:color="auto"/>
              <w:left w:val="single" w:sz="8" w:space="0" w:color="auto"/>
              <w:bottom w:val="single" w:sz="8" w:space="0" w:color="auto"/>
              <w:right w:val="single" w:sz="8" w:space="0" w:color="auto"/>
            </w:tcBorders>
            <w:vAlign w:val="center"/>
          </w:tcPr>
          <w:p w14:paraId="1F1A27E9" w14:textId="482E0E8E" w:rsidR="395EB91F" w:rsidRPr="00094E45" w:rsidRDefault="26BF11B4" w:rsidP="1C1D7E4D">
            <w:pPr>
              <w:jc w:val="center"/>
              <w:rPr>
                <w:color w:val="000000" w:themeColor="text1"/>
                <w:sz w:val="20"/>
                <w:szCs w:val="20"/>
              </w:rPr>
            </w:pPr>
            <w:r w:rsidRPr="00094E45">
              <w:rPr>
                <w:color w:val="000000" w:themeColor="text1"/>
                <w:sz w:val="20"/>
                <w:szCs w:val="20"/>
              </w:rPr>
              <w:t>94%</w:t>
            </w:r>
          </w:p>
        </w:tc>
      </w:tr>
    </w:tbl>
    <w:p w14:paraId="370AEA66" w14:textId="0F23972B" w:rsidR="00167100" w:rsidRDefault="2E917CB8" w:rsidP="1C1D7E4D">
      <w:pPr>
        <w:autoSpaceDE w:val="0"/>
        <w:autoSpaceDN w:val="0"/>
        <w:adjustRightInd w:val="0"/>
        <w:rPr>
          <w:color w:val="000000" w:themeColor="text1"/>
          <w:sz w:val="20"/>
          <w:szCs w:val="20"/>
          <w:highlight w:val="green"/>
        </w:rPr>
      </w:pPr>
      <w:r w:rsidRPr="1C1D7E4D">
        <w:rPr>
          <w:color w:val="000000" w:themeColor="text1"/>
          <w:sz w:val="20"/>
          <w:szCs w:val="20"/>
          <w:highlight w:val="green"/>
        </w:rPr>
        <w:t xml:space="preserve"> </w:t>
      </w:r>
    </w:p>
    <w:p w14:paraId="5211188F" w14:textId="5494A5A9" w:rsidR="00167100" w:rsidRPr="00094E45" w:rsidRDefault="2E917CB8" w:rsidP="1C1D7E4D">
      <w:pPr>
        <w:autoSpaceDE w:val="0"/>
        <w:autoSpaceDN w:val="0"/>
        <w:adjustRightInd w:val="0"/>
        <w:rPr>
          <w:sz w:val="20"/>
          <w:szCs w:val="20"/>
        </w:rPr>
      </w:pPr>
      <w:r w:rsidRPr="00094E45">
        <w:rPr>
          <w:sz w:val="20"/>
          <w:szCs w:val="20"/>
        </w:rPr>
        <w:t>For the 2021-2022 program year, the state plans to continue the use of Desktop Monitoring, the subgrant Interim and Final Reports, Compliance Monitoring, and a variety of informal data reviews via the state’s data management system, LACES. In addition, the state plans to implement informal</w:t>
      </w:r>
      <w:r w:rsidR="7373575F" w:rsidRPr="00094E45">
        <w:rPr>
          <w:sz w:val="20"/>
          <w:szCs w:val="20"/>
        </w:rPr>
        <w:t xml:space="preserve"> compliance</w:t>
      </w:r>
      <w:r w:rsidRPr="00094E45">
        <w:rPr>
          <w:sz w:val="20"/>
          <w:szCs w:val="20"/>
        </w:rPr>
        <w:t xml:space="preserve"> monitoring for each program not formally monitored</w:t>
      </w:r>
      <w:r w:rsidR="5E00D4CF" w:rsidRPr="00094E45">
        <w:rPr>
          <w:sz w:val="20"/>
          <w:szCs w:val="20"/>
        </w:rPr>
        <w:t>,</w:t>
      </w:r>
      <w:r w:rsidRPr="00094E45">
        <w:rPr>
          <w:sz w:val="20"/>
          <w:szCs w:val="20"/>
        </w:rPr>
        <w:t xml:space="preserve"> and to increase the support and training provided for data collection, entry, and analysis. </w:t>
      </w:r>
    </w:p>
    <w:p w14:paraId="43E102F8" w14:textId="25B9DAC5" w:rsidR="00167100" w:rsidRPr="00094E45" w:rsidRDefault="2E917CB8" w:rsidP="1C1D7E4D">
      <w:pPr>
        <w:autoSpaceDE w:val="0"/>
        <w:autoSpaceDN w:val="0"/>
        <w:adjustRightInd w:val="0"/>
        <w:rPr>
          <w:sz w:val="20"/>
          <w:szCs w:val="20"/>
        </w:rPr>
      </w:pPr>
      <w:r w:rsidRPr="00094E45">
        <w:rPr>
          <w:sz w:val="20"/>
          <w:szCs w:val="20"/>
        </w:rPr>
        <w:t xml:space="preserve"> </w:t>
      </w:r>
    </w:p>
    <w:p w14:paraId="6A1A6D70" w14:textId="1F1F9314" w:rsidR="00167100" w:rsidRPr="00094E45" w:rsidRDefault="2E917CB8" w:rsidP="1C1D7E4D">
      <w:pPr>
        <w:autoSpaceDE w:val="0"/>
        <w:autoSpaceDN w:val="0"/>
        <w:adjustRightInd w:val="0"/>
        <w:rPr>
          <w:sz w:val="20"/>
          <w:szCs w:val="20"/>
        </w:rPr>
      </w:pPr>
      <w:r w:rsidRPr="00094E45">
        <w:rPr>
          <w:sz w:val="20"/>
          <w:szCs w:val="20"/>
        </w:rPr>
        <w:t>The state’s 2021-2022 goals are to:</w:t>
      </w:r>
    </w:p>
    <w:p w14:paraId="5ACAF536" w14:textId="46305C6F" w:rsidR="00167100" w:rsidRPr="00094E45" w:rsidRDefault="2E917CB8" w:rsidP="1C1D7E4D">
      <w:pPr>
        <w:pStyle w:val="ListParagraph"/>
        <w:numPr>
          <w:ilvl w:val="0"/>
          <w:numId w:val="36"/>
        </w:numPr>
        <w:autoSpaceDE w:val="0"/>
        <w:autoSpaceDN w:val="0"/>
        <w:adjustRightInd w:val="0"/>
        <w:rPr>
          <w:rFonts w:asciiTheme="minorHAnsi" w:eastAsiaTheme="minorEastAsia" w:hAnsiTheme="minorHAnsi" w:cstheme="minorBidi"/>
          <w:color w:val="000000" w:themeColor="text1"/>
          <w:sz w:val="20"/>
          <w:szCs w:val="20"/>
        </w:rPr>
      </w:pPr>
      <w:r w:rsidRPr="00094E45">
        <w:rPr>
          <w:color w:val="000000" w:themeColor="text1"/>
          <w:sz w:val="20"/>
          <w:szCs w:val="20"/>
        </w:rPr>
        <w:t>Strengthen Distance Education through career services</w:t>
      </w:r>
    </w:p>
    <w:p w14:paraId="7602E1B0" w14:textId="4E99B449" w:rsidR="00167100" w:rsidRPr="00094E45" w:rsidRDefault="2E917CB8" w:rsidP="1C1D7E4D">
      <w:pPr>
        <w:pStyle w:val="ListParagraph"/>
        <w:numPr>
          <w:ilvl w:val="0"/>
          <w:numId w:val="36"/>
        </w:numPr>
        <w:autoSpaceDE w:val="0"/>
        <w:autoSpaceDN w:val="0"/>
        <w:adjustRightInd w:val="0"/>
        <w:rPr>
          <w:rFonts w:asciiTheme="minorHAnsi" w:eastAsiaTheme="minorEastAsia" w:hAnsiTheme="minorHAnsi" w:cstheme="minorBidi"/>
          <w:color w:val="000000" w:themeColor="text1"/>
          <w:sz w:val="20"/>
          <w:szCs w:val="20"/>
        </w:rPr>
      </w:pPr>
      <w:r w:rsidRPr="00094E45">
        <w:rPr>
          <w:color w:val="000000" w:themeColor="text1"/>
          <w:sz w:val="20"/>
          <w:szCs w:val="20"/>
        </w:rPr>
        <w:t xml:space="preserve">Market and promote the GED by 23 Initiative in partnership with the SC Technical College System </w:t>
      </w:r>
    </w:p>
    <w:p w14:paraId="7E7FE516" w14:textId="2E1699D8" w:rsidR="00167100" w:rsidRPr="00094E45" w:rsidRDefault="2E917CB8" w:rsidP="1C1D7E4D">
      <w:pPr>
        <w:pStyle w:val="ListParagraph"/>
        <w:numPr>
          <w:ilvl w:val="0"/>
          <w:numId w:val="36"/>
        </w:numPr>
        <w:autoSpaceDE w:val="0"/>
        <w:autoSpaceDN w:val="0"/>
        <w:adjustRightInd w:val="0"/>
        <w:rPr>
          <w:rFonts w:asciiTheme="minorHAnsi" w:eastAsiaTheme="minorEastAsia" w:hAnsiTheme="minorHAnsi" w:cstheme="minorBidi"/>
          <w:color w:val="000000" w:themeColor="text1"/>
          <w:sz w:val="20"/>
          <w:szCs w:val="20"/>
        </w:rPr>
      </w:pPr>
      <w:r w:rsidRPr="00094E45">
        <w:rPr>
          <w:color w:val="000000" w:themeColor="text1"/>
          <w:sz w:val="20"/>
          <w:szCs w:val="20"/>
        </w:rPr>
        <w:t xml:space="preserve">Advance workplace literacy opportunities and services </w:t>
      </w:r>
    </w:p>
    <w:p w14:paraId="2267BCF7" w14:textId="5F7B6437" w:rsidR="00167100" w:rsidRPr="00094E45" w:rsidRDefault="2E917CB8" w:rsidP="1C1D7E4D">
      <w:pPr>
        <w:pStyle w:val="ListParagraph"/>
        <w:numPr>
          <w:ilvl w:val="0"/>
          <w:numId w:val="36"/>
        </w:numPr>
        <w:autoSpaceDE w:val="0"/>
        <w:autoSpaceDN w:val="0"/>
        <w:adjustRightInd w:val="0"/>
        <w:rPr>
          <w:rFonts w:asciiTheme="minorHAnsi" w:eastAsiaTheme="minorEastAsia" w:hAnsiTheme="minorHAnsi" w:cstheme="minorBidi"/>
          <w:color w:val="000000" w:themeColor="text1"/>
          <w:sz w:val="20"/>
          <w:szCs w:val="20"/>
        </w:rPr>
      </w:pPr>
      <w:r w:rsidRPr="00094E45">
        <w:rPr>
          <w:color w:val="000000" w:themeColor="text1"/>
          <w:sz w:val="20"/>
          <w:szCs w:val="20"/>
        </w:rPr>
        <w:t>Create awareness of Integrated Education and Training (IET) among students and partners</w:t>
      </w:r>
    </w:p>
    <w:p w14:paraId="37B22363" w14:textId="1D44150A" w:rsidR="00167100" w:rsidRDefault="00167100" w:rsidP="2D724D8C">
      <w:pPr>
        <w:autoSpaceDE w:val="0"/>
        <w:autoSpaceDN w:val="0"/>
        <w:adjustRightInd w:val="0"/>
        <w:rPr>
          <w:b/>
        </w:rPr>
      </w:pPr>
    </w:p>
    <w:p w14:paraId="6811AABC" w14:textId="77777777" w:rsidR="00BA7B74" w:rsidRPr="00080195" w:rsidRDefault="2D724D8C" w:rsidP="2D724D8C">
      <w:pPr>
        <w:autoSpaceDE w:val="0"/>
        <w:autoSpaceDN w:val="0"/>
        <w:adjustRightInd w:val="0"/>
        <w:rPr>
          <w:b/>
          <w:bCs/>
          <w:szCs w:val="20"/>
        </w:rPr>
      </w:pPr>
      <w:r w:rsidRPr="00080195">
        <w:rPr>
          <w:b/>
          <w:bCs/>
          <w:szCs w:val="20"/>
        </w:rPr>
        <w:t>3. Integration with One-stop Partners</w:t>
      </w:r>
    </w:p>
    <w:p w14:paraId="08CFE403" w14:textId="77777777" w:rsidR="00850BD5" w:rsidRPr="00080195" w:rsidRDefault="00850BD5" w:rsidP="2D724D8C">
      <w:pPr>
        <w:autoSpaceDE w:val="0"/>
        <w:autoSpaceDN w:val="0"/>
        <w:adjustRightInd w:val="0"/>
        <w:rPr>
          <w:b/>
          <w:bCs/>
          <w:szCs w:val="20"/>
        </w:rPr>
      </w:pPr>
    </w:p>
    <w:p w14:paraId="2A6B0847" w14:textId="77777777" w:rsidR="00BA7B74" w:rsidRPr="00080195" w:rsidRDefault="2D724D8C" w:rsidP="2D724D8C">
      <w:pPr>
        <w:autoSpaceDE w:val="0"/>
        <w:autoSpaceDN w:val="0"/>
        <w:adjustRightInd w:val="0"/>
        <w:rPr>
          <w:b/>
          <w:bCs/>
          <w:szCs w:val="20"/>
        </w:rPr>
      </w:pPr>
      <w:r w:rsidRPr="00080195">
        <w:rPr>
          <w:b/>
          <w:bCs/>
          <w:szCs w:val="20"/>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672966AE" w14:textId="77777777" w:rsidR="00850BD5" w:rsidRPr="002D1E40" w:rsidRDefault="00850BD5" w:rsidP="2D724D8C">
      <w:pPr>
        <w:autoSpaceDE w:val="0"/>
        <w:autoSpaceDN w:val="0"/>
        <w:adjustRightInd w:val="0"/>
        <w:rPr>
          <w:sz w:val="20"/>
          <w:szCs w:val="20"/>
        </w:rPr>
      </w:pPr>
    </w:p>
    <w:p w14:paraId="41A22C9D" w14:textId="7FC5EA17" w:rsidR="008F4381" w:rsidRDefault="2D724D8C" w:rsidP="2D724D8C">
      <w:pPr>
        <w:autoSpaceDE w:val="0"/>
        <w:autoSpaceDN w:val="0"/>
        <w:adjustRightInd w:val="0"/>
        <w:rPr>
          <w:sz w:val="20"/>
          <w:szCs w:val="20"/>
        </w:rPr>
      </w:pPr>
      <w:r w:rsidRPr="2D724D8C">
        <w:rPr>
          <w:sz w:val="20"/>
          <w:szCs w:val="20"/>
        </w:rPr>
        <w:t>The Office of Adult Education delegate</w:t>
      </w:r>
      <w:r w:rsidR="00164535">
        <w:rPr>
          <w:sz w:val="20"/>
          <w:szCs w:val="20"/>
        </w:rPr>
        <w:t>s</w:t>
      </w:r>
      <w:r w:rsidRPr="2D724D8C">
        <w:rPr>
          <w:sz w:val="20"/>
          <w:szCs w:val="20"/>
        </w:rPr>
        <w:t xml:space="preserve"> its </w:t>
      </w:r>
      <w:r w:rsidR="00F503B5">
        <w:rPr>
          <w:sz w:val="20"/>
          <w:szCs w:val="20"/>
        </w:rPr>
        <w:t>re</w:t>
      </w:r>
      <w:r w:rsidR="00042AA3">
        <w:rPr>
          <w:sz w:val="20"/>
          <w:szCs w:val="20"/>
        </w:rPr>
        <w:t xml:space="preserve">quired </w:t>
      </w:r>
      <w:r w:rsidRPr="2D724D8C">
        <w:rPr>
          <w:sz w:val="20"/>
          <w:szCs w:val="20"/>
        </w:rPr>
        <w:t xml:space="preserve">one-stop </w:t>
      </w:r>
      <w:r w:rsidR="00660BFB">
        <w:rPr>
          <w:sz w:val="20"/>
          <w:szCs w:val="20"/>
        </w:rPr>
        <w:t>re</w:t>
      </w:r>
      <w:r w:rsidR="00042AA3">
        <w:rPr>
          <w:sz w:val="20"/>
          <w:szCs w:val="20"/>
        </w:rPr>
        <w:t>sponsibility</w:t>
      </w:r>
      <w:r w:rsidRPr="2D724D8C">
        <w:rPr>
          <w:sz w:val="20"/>
          <w:szCs w:val="20"/>
        </w:rPr>
        <w:t xml:space="preserve"> to local adult education pro</w:t>
      </w:r>
      <w:r w:rsidR="00660BFB">
        <w:rPr>
          <w:sz w:val="20"/>
          <w:szCs w:val="20"/>
        </w:rPr>
        <w:t>vider</w:t>
      </w:r>
      <w:r w:rsidRPr="2D724D8C">
        <w:rPr>
          <w:sz w:val="20"/>
          <w:szCs w:val="20"/>
        </w:rPr>
        <w:t xml:space="preserve">s. </w:t>
      </w:r>
      <w:r w:rsidR="009E4E9F">
        <w:rPr>
          <w:sz w:val="20"/>
          <w:szCs w:val="20"/>
        </w:rPr>
        <w:t>Within applications d</w:t>
      </w:r>
      <w:r w:rsidR="00DD6145">
        <w:rPr>
          <w:sz w:val="20"/>
          <w:szCs w:val="20"/>
        </w:rPr>
        <w:t xml:space="preserve">uring the </w:t>
      </w:r>
      <w:r w:rsidR="00E11657">
        <w:rPr>
          <w:sz w:val="20"/>
          <w:szCs w:val="20"/>
        </w:rPr>
        <w:t>r</w:t>
      </w:r>
      <w:r w:rsidR="00DD6145">
        <w:rPr>
          <w:sz w:val="20"/>
          <w:szCs w:val="20"/>
        </w:rPr>
        <w:t xml:space="preserve">equest </w:t>
      </w:r>
      <w:r w:rsidR="009E4E9F">
        <w:rPr>
          <w:sz w:val="20"/>
          <w:szCs w:val="20"/>
        </w:rPr>
        <w:t xml:space="preserve">for </w:t>
      </w:r>
      <w:r w:rsidR="00E11657">
        <w:rPr>
          <w:sz w:val="20"/>
          <w:szCs w:val="20"/>
        </w:rPr>
        <w:t>p</w:t>
      </w:r>
      <w:r w:rsidR="009E4E9F">
        <w:rPr>
          <w:sz w:val="20"/>
          <w:szCs w:val="20"/>
        </w:rPr>
        <w:t>roposal</w:t>
      </w:r>
      <w:r w:rsidR="00E11657">
        <w:rPr>
          <w:sz w:val="20"/>
          <w:szCs w:val="20"/>
        </w:rPr>
        <w:t xml:space="preserve"> that occurs </w:t>
      </w:r>
      <w:r w:rsidR="00D4507E">
        <w:rPr>
          <w:sz w:val="20"/>
          <w:szCs w:val="20"/>
        </w:rPr>
        <w:t>every four years</w:t>
      </w:r>
      <w:r w:rsidR="009E4E9F">
        <w:rPr>
          <w:sz w:val="20"/>
          <w:szCs w:val="20"/>
        </w:rPr>
        <w:t xml:space="preserve">, </w:t>
      </w:r>
      <w:r w:rsidR="00551D03">
        <w:rPr>
          <w:sz w:val="20"/>
          <w:szCs w:val="20"/>
        </w:rPr>
        <w:t xml:space="preserve">local providers </w:t>
      </w:r>
      <w:r w:rsidR="00D4507E">
        <w:rPr>
          <w:sz w:val="20"/>
          <w:szCs w:val="20"/>
        </w:rPr>
        <w:t>a</w:t>
      </w:r>
      <w:r w:rsidR="00551D03">
        <w:rPr>
          <w:sz w:val="20"/>
          <w:szCs w:val="20"/>
        </w:rPr>
        <w:t xml:space="preserve">re asked to share how they </w:t>
      </w:r>
      <w:r w:rsidR="0087144E">
        <w:rPr>
          <w:sz w:val="20"/>
          <w:szCs w:val="20"/>
        </w:rPr>
        <w:t xml:space="preserve">planned to carry </w:t>
      </w:r>
      <w:r w:rsidR="00C63A23">
        <w:rPr>
          <w:sz w:val="20"/>
          <w:szCs w:val="20"/>
        </w:rPr>
        <w:t xml:space="preserve">out </w:t>
      </w:r>
      <w:r w:rsidR="00AF6CFE">
        <w:rPr>
          <w:sz w:val="20"/>
          <w:szCs w:val="20"/>
        </w:rPr>
        <w:t xml:space="preserve">one-stop </w:t>
      </w:r>
      <w:r w:rsidR="00B0760E">
        <w:rPr>
          <w:sz w:val="20"/>
          <w:szCs w:val="20"/>
        </w:rPr>
        <w:t>responsibilities.</w:t>
      </w:r>
      <w:r w:rsidR="009E4E9F">
        <w:rPr>
          <w:sz w:val="20"/>
          <w:szCs w:val="20"/>
        </w:rPr>
        <w:t xml:space="preserve"> </w:t>
      </w:r>
      <w:r w:rsidR="00621387">
        <w:rPr>
          <w:sz w:val="20"/>
          <w:szCs w:val="20"/>
        </w:rPr>
        <w:t xml:space="preserve">Current services provided </w:t>
      </w:r>
      <w:r w:rsidR="008F4381">
        <w:rPr>
          <w:sz w:val="20"/>
          <w:szCs w:val="20"/>
        </w:rPr>
        <w:t>include</w:t>
      </w:r>
      <w:r w:rsidR="00B556C9">
        <w:rPr>
          <w:sz w:val="20"/>
          <w:szCs w:val="20"/>
        </w:rPr>
        <w:t xml:space="preserve"> TABE testing</w:t>
      </w:r>
      <w:r w:rsidR="00D84142">
        <w:rPr>
          <w:sz w:val="20"/>
          <w:szCs w:val="20"/>
        </w:rPr>
        <w:t xml:space="preserve"> </w:t>
      </w:r>
      <w:r w:rsidR="00826C04">
        <w:rPr>
          <w:sz w:val="20"/>
          <w:szCs w:val="20"/>
        </w:rPr>
        <w:t xml:space="preserve">for potential </w:t>
      </w:r>
      <w:r w:rsidR="005020C6">
        <w:rPr>
          <w:sz w:val="20"/>
          <w:szCs w:val="20"/>
        </w:rPr>
        <w:t xml:space="preserve">adult education </w:t>
      </w:r>
      <w:r w:rsidR="00826C04">
        <w:rPr>
          <w:sz w:val="20"/>
          <w:szCs w:val="20"/>
        </w:rPr>
        <w:t>participants</w:t>
      </w:r>
      <w:r w:rsidR="00B556C9">
        <w:rPr>
          <w:sz w:val="20"/>
          <w:szCs w:val="20"/>
        </w:rPr>
        <w:t xml:space="preserve">, </w:t>
      </w:r>
      <w:r w:rsidR="005020C6">
        <w:rPr>
          <w:sz w:val="20"/>
          <w:szCs w:val="20"/>
        </w:rPr>
        <w:t xml:space="preserve">and for </w:t>
      </w:r>
      <w:r w:rsidR="00D13DA8">
        <w:rPr>
          <w:sz w:val="20"/>
          <w:szCs w:val="20"/>
        </w:rPr>
        <w:t xml:space="preserve">job placement through the one-stop system.  </w:t>
      </w:r>
      <w:r w:rsidR="00D23256">
        <w:rPr>
          <w:sz w:val="20"/>
          <w:szCs w:val="20"/>
        </w:rPr>
        <w:t>Other services provided by local adult educa</w:t>
      </w:r>
      <w:r w:rsidR="006541F8">
        <w:rPr>
          <w:sz w:val="20"/>
          <w:szCs w:val="20"/>
        </w:rPr>
        <w:t>tion pro</w:t>
      </w:r>
      <w:r w:rsidR="00FC0D74">
        <w:rPr>
          <w:sz w:val="20"/>
          <w:szCs w:val="20"/>
        </w:rPr>
        <w:t xml:space="preserve">viders </w:t>
      </w:r>
      <w:r w:rsidR="00D23256">
        <w:rPr>
          <w:sz w:val="20"/>
          <w:szCs w:val="20"/>
        </w:rPr>
        <w:t>are as follows:</w:t>
      </w:r>
    </w:p>
    <w:p w14:paraId="5FEB0DD3"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B</w:t>
      </w:r>
      <w:r w:rsidRPr="00062CF9">
        <w:rPr>
          <w:sz w:val="20"/>
          <w:szCs w:val="20"/>
        </w:rPr>
        <w:t>asic skills and literacy assessments and training</w:t>
      </w:r>
    </w:p>
    <w:p w14:paraId="577E4652"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W</w:t>
      </w:r>
      <w:r w:rsidRPr="00062CF9">
        <w:rPr>
          <w:sz w:val="20"/>
          <w:szCs w:val="20"/>
        </w:rPr>
        <w:t>orkforce preparation and career readiness activities</w:t>
      </w:r>
    </w:p>
    <w:p w14:paraId="6A07BB6E"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O</w:t>
      </w:r>
      <w:r w:rsidRPr="00062CF9">
        <w:rPr>
          <w:sz w:val="20"/>
          <w:szCs w:val="20"/>
        </w:rPr>
        <w:t>rientation to information and other services available through the one-stop delivery system; partner referral</w:t>
      </w:r>
      <w:r>
        <w:rPr>
          <w:sz w:val="20"/>
          <w:szCs w:val="20"/>
        </w:rPr>
        <w:t>s</w:t>
      </w:r>
    </w:p>
    <w:p w14:paraId="45AE4925"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F</w:t>
      </w:r>
      <w:r w:rsidRPr="00062CF9">
        <w:rPr>
          <w:sz w:val="20"/>
          <w:szCs w:val="20"/>
        </w:rPr>
        <w:t>inancial aid assistance for training and education programs not provided under WIOA</w:t>
      </w:r>
    </w:p>
    <w:p w14:paraId="4A38F6A5" w14:textId="77777777" w:rsidR="00137443" w:rsidRPr="00934ADA" w:rsidRDefault="00137443" w:rsidP="00137443">
      <w:pPr>
        <w:pStyle w:val="ListParagraph"/>
        <w:numPr>
          <w:ilvl w:val="0"/>
          <w:numId w:val="34"/>
        </w:numPr>
        <w:autoSpaceDE w:val="0"/>
        <w:autoSpaceDN w:val="0"/>
        <w:adjustRightInd w:val="0"/>
        <w:rPr>
          <w:sz w:val="20"/>
          <w:szCs w:val="20"/>
        </w:rPr>
      </w:pPr>
      <w:r>
        <w:rPr>
          <w:sz w:val="20"/>
          <w:szCs w:val="20"/>
        </w:rPr>
        <w:t>L</w:t>
      </w:r>
      <w:r w:rsidRPr="00062CF9">
        <w:rPr>
          <w:sz w:val="20"/>
          <w:szCs w:val="20"/>
        </w:rPr>
        <w:t>abor exchange services</w:t>
      </w:r>
    </w:p>
    <w:p w14:paraId="065AE87E"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P</w:t>
      </w:r>
      <w:r w:rsidRPr="00062CF9">
        <w:rPr>
          <w:sz w:val="20"/>
          <w:szCs w:val="20"/>
        </w:rPr>
        <w:t>rovision of labor market information</w:t>
      </w:r>
    </w:p>
    <w:p w14:paraId="6895E75D" w14:textId="77777777" w:rsidR="00137443" w:rsidRDefault="00137443" w:rsidP="00137443">
      <w:pPr>
        <w:pStyle w:val="ListParagraph"/>
        <w:numPr>
          <w:ilvl w:val="0"/>
          <w:numId w:val="34"/>
        </w:numPr>
        <w:autoSpaceDE w:val="0"/>
        <w:autoSpaceDN w:val="0"/>
        <w:adjustRightInd w:val="0"/>
        <w:rPr>
          <w:sz w:val="20"/>
          <w:szCs w:val="20"/>
        </w:rPr>
      </w:pPr>
      <w:r>
        <w:rPr>
          <w:sz w:val="20"/>
          <w:szCs w:val="20"/>
        </w:rPr>
        <w:t>P</w:t>
      </w:r>
      <w:r w:rsidRPr="00062CF9">
        <w:rPr>
          <w:sz w:val="20"/>
          <w:szCs w:val="20"/>
        </w:rPr>
        <w:t>rovision of information relating to the availability of supportive services or assistance and appropriate referrals to those services and assistance</w:t>
      </w:r>
    </w:p>
    <w:p w14:paraId="59D9C076" w14:textId="77777777" w:rsidR="00137443" w:rsidRDefault="00137443" w:rsidP="00137443">
      <w:pPr>
        <w:pStyle w:val="ListParagraph"/>
        <w:numPr>
          <w:ilvl w:val="0"/>
          <w:numId w:val="34"/>
        </w:numPr>
        <w:autoSpaceDE w:val="0"/>
        <w:autoSpaceDN w:val="0"/>
        <w:adjustRightInd w:val="0"/>
        <w:rPr>
          <w:sz w:val="20"/>
          <w:szCs w:val="20"/>
        </w:rPr>
      </w:pPr>
      <w:r w:rsidRPr="00934ADA">
        <w:rPr>
          <w:sz w:val="20"/>
          <w:szCs w:val="20"/>
        </w:rPr>
        <w:t>Individualized</w:t>
      </w:r>
      <w:r w:rsidRPr="00062CF9">
        <w:rPr>
          <w:sz w:val="20"/>
          <w:szCs w:val="20"/>
        </w:rPr>
        <w:t xml:space="preserve"> and group career services</w:t>
      </w:r>
    </w:p>
    <w:p w14:paraId="4FEA2F4A" w14:textId="77777777" w:rsidR="001E1E61" w:rsidRDefault="001E1E61" w:rsidP="00A27B87">
      <w:pPr>
        <w:autoSpaceDE w:val="0"/>
        <w:autoSpaceDN w:val="0"/>
        <w:adjustRightInd w:val="0"/>
        <w:rPr>
          <w:sz w:val="20"/>
          <w:szCs w:val="20"/>
        </w:rPr>
      </w:pPr>
    </w:p>
    <w:p w14:paraId="69966E45" w14:textId="77777777" w:rsidR="000562C9" w:rsidRDefault="000562C9" w:rsidP="2D724D8C">
      <w:pPr>
        <w:autoSpaceDE w:val="0"/>
        <w:autoSpaceDN w:val="0"/>
        <w:adjustRightInd w:val="0"/>
        <w:rPr>
          <w:sz w:val="20"/>
          <w:szCs w:val="20"/>
        </w:rPr>
      </w:pPr>
    </w:p>
    <w:p w14:paraId="3A5507B7" w14:textId="0EBFA7D6" w:rsidR="00295D6C" w:rsidRPr="00612C57" w:rsidRDefault="00794CAE" w:rsidP="2D724D8C">
      <w:pPr>
        <w:autoSpaceDE w:val="0"/>
        <w:autoSpaceDN w:val="0"/>
        <w:adjustRightInd w:val="0"/>
        <w:rPr>
          <w:sz w:val="20"/>
          <w:szCs w:val="20"/>
        </w:rPr>
      </w:pPr>
      <w:r>
        <w:rPr>
          <w:sz w:val="20"/>
          <w:szCs w:val="20"/>
        </w:rPr>
        <w:lastRenderedPageBreak/>
        <w:t xml:space="preserve">Each </w:t>
      </w:r>
      <w:r w:rsidR="00231AF2">
        <w:rPr>
          <w:sz w:val="20"/>
          <w:szCs w:val="20"/>
        </w:rPr>
        <w:t xml:space="preserve">TAN has </w:t>
      </w:r>
      <w:r w:rsidR="00A80B67">
        <w:rPr>
          <w:sz w:val="20"/>
          <w:szCs w:val="20"/>
        </w:rPr>
        <w:t xml:space="preserve">two to four </w:t>
      </w:r>
      <w:r w:rsidR="00DD5BA8">
        <w:rPr>
          <w:sz w:val="20"/>
          <w:szCs w:val="20"/>
        </w:rPr>
        <w:t xml:space="preserve">one-stop </w:t>
      </w:r>
      <w:r w:rsidR="00AA05D6">
        <w:rPr>
          <w:sz w:val="20"/>
          <w:szCs w:val="20"/>
        </w:rPr>
        <w:t>comprehensive site</w:t>
      </w:r>
      <w:r w:rsidR="00B03360">
        <w:rPr>
          <w:sz w:val="20"/>
          <w:szCs w:val="20"/>
        </w:rPr>
        <w:t>s</w:t>
      </w:r>
      <w:r w:rsidR="00AA05D6">
        <w:rPr>
          <w:sz w:val="20"/>
          <w:szCs w:val="20"/>
        </w:rPr>
        <w:t xml:space="preserve"> </w:t>
      </w:r>
      <w:r w:rsidR="004C1696">
        <w:rPr>
          <w:sz w:val="20"/>
          <w:szCs w:val="20"/>
        </w:rPr>
        <w:t>in e</w:t>
      </w:r>
      <w:r w:rsidR="000A3F72">
        <w:rPr>
          <w:sz w:val="20"/>
          <w:szCs w:val="20"/>
        </w:rPr>
        <w:t>ach</w:t>
      </w:r>
      <w:r w:rsidR="004C1696">
        <w:rPr>
          <w:sz w:val="20"/>
          <w:szCs w:val="20"/>
        </w:rPr>
        <w:t xml:space="preserve"> </w:t>
      </w:r>
      <w:r w:rsidR="00BF58EA">
        <w:rPr>
          <w:sz w:val="20"/>
          <w:szCs w:val="20"/>
        </w:rPr>
        <w:t>training</w:t>
      </w:r>
      <w:r w:rsidR="004C1696">
        <w:rPr>
          <w:sz w:val="20"/>
          <w:szCs w:val="20"/>
        </w:rPr>
        <w:t xml:space="preserve"> area.  </w:t>
      </w:r>
      <w:r w:rsidR="005379CA">
        <w:rPr>
          <w:sz w:val="20"/>
          <w:szCs w:val="20"/>
        </w:rPr>
        <w:t xml:space="preserve">The OAE </w:t>
      </w:r>
      <w:r w:rsidR="005171D8">
        <w:rPr>
          <w:sz w:val="20"/>
          <w:szCs w:val="20"/>
        </w:rPr>
        <w:t xml:space="preserve">looks to improve </w:t>
      </w:r>
      <w:r w:rsidR="00B10E12">
        <w:rPr>
          <w:sz w:val="20"/>
          <w:szCs w:val="20"/>
        </w:rPr>
        <w:t>its</w:t>
      </w:r>
      <w:r w:rsidR="005171D8">
        <w:rPr>
          <w:sz w:val="20"/>
          <w:szCs w:val="20"/>
        </w:rPr>
        <w:t xml:space="preserve"> current process by placing </w:t>
      </w:r>
      <w:r w:rsidR="00163D30">
        <w:rPr>
          <w:sz w:val="20"/>
          <w:szCs w:val="20"/>
        </w:rPr>
        <w:t>a full</w:t>
      </w:r>
      <w:r w:rsidR="0036363C">
        <w:rPr>
          <w:sz w:val="20"/>
          <w:szCs w:val="20"/>
        </w:rPr>
        <w:t xml:space="preserve">-time </w:t>
      </w:r>
      <w:r w:rsidR="00F81974">
        <w:rPr>
          <w:sz w:val="20"/>
          <w:szCs w:val="20"/>
        </w:rPr>
        <w:t xml:space="preserve">CCN </w:t>
      </w:r>
      <w:r w:rsidR="00163D30">
        <w:rPr>
          <w:sz w:val="20"/>
          <w:szCs w:val="20"/>
        </w:rPr>
        <w:t xml:space="preserve">in </w:t>
      </w:r>
      <w:r w:rsidR="00B10041">
        <w:rPr>
          <w:sz w:val="20"/>
          <w:szCs w:val="20"/>
        </w:rPr>
        <w:t xml:space="preserve">each TAN </w:t>
      </w:r>
      <w:r w:rsidR="005F19AF">
        <w:rPr>
          <w:sz w:val="20"/>
          <w:szCs w:val="20"/>
        </w:rPr>
        <w:t xml:space="preserve">to perform necessary </w:t>
      </w:r>
      <w:r w:rsidR="00815A69">
        <w:rPr>
          <w:sz w:val="20"/>
          <w:szCs w:val="20"/>
        </w:rPr>
        <w:t>task</w:t>
      </w:r>
      <w:r w:rsidR="00B61752">
        <w:rPr>
          <w:sz w:val="20"/>
          <w:szCs w:val="20"/>
        </w:rPr>
        <w:t>s</w:t>
      </w:r>
      <w:r w:rsidR="00815A69">
        <w:rPr>
          <w:sz w:val="20"/>
          <w:szCs w:val="20"/>
        </w:rPr>
        <w:t xml:space="preserve"> </w:t>
      </w:r>
      <w:r w:rsidR="00AE4736">
        <w:rPr>
          <w:sz w:val="20"/>
          <w:szCs w:val="20"/>
        </w:rPr>
        <w:t xml:space="preserve">for </w:t>
      </w:r>
      <w:r w:rsidR="00E70B3B">
        <w:rPr>
          <w:sz w:val="20"/>
          <w:szCs w:val="20"/>
        </w:rPr>
        <w:t xml:space="preserve">the </w:t>
      </w:r>
      <w:r w:rsidR="00AE4736">
        <w:rPr>
          <w:sz w:val="20"/>
          <w:szCs w:val="20"/>
        </w:rPr>
        <w:t xml:space="preserve">OAE.  </w:t>
      </w:r>
      <w:r w:rsidR="00BE36FC">
        <w:rPr>
          <w:sz w:val="20"/>
          <w:szCs w:val="20"/>
        </w:rPr>
        <w:t>With oversight from the OAE, t</w:t>
      </w:r>
      <w:r w:rsidR="008F78A9">
        <w:rPr>
          <w:sz w:val="20"/>
          <w:szCs w:val="20"/>
        </w:rPr>
        <w:t>he</w:t>
      </w:r>
      <w:r w:rsidR="0012763A">
        <w:rPr>
          <w:sz w:val="20"/>
          <w:szCs w:val="20"/>
        </w:rPr>
        <w:t xml:space="preserve"> CCN will be placed </w:t>
      </w:r>
      <w:r w:rsidR="002646A4">
        <w:rPr>
          <w:sz w:val="20"/>
          <w:szCs w:val="20"/>
        </w:rPr>
        <w:t xml:space="preserve">in a local </w:t>
      </w:r>
      <w:r w:rsidR="00BC5FC9">
        <w:rPr>
          <w:sz w:val="20"/>
          <w:szCs w:val="20"/>
        </w:rPr>
        <w:t>pro</w:t>
      </w:r>
      <w:r w:rsidR="00C27C8C">
        <w:rPr>
          <w:sz w:val="20"/>
          <w:szCs w:val="20"/>
        </w:rPr>
        <w:t>gram</w:t>
      </w:r>
      <w:r w:rsidR="002C65E0">
        <w:rPr>
          <w:sz w:val="20"/>
          <w:szCs w:val="20"/>
        </w:rPr>
        <w:t xml:space="preserve"> and will operate as </w:t>
      </w:r>
      <w:r w:rsidR="008E5841">
        <w:rPr>
          <w:sz w:val="20"/>
          <w:szCs w:val="20"/>
        </w:rPr>
        <w:t xml:space="preserve">a lead CCN in the </w:t>
      </w:r>
      <w:r w:rsidR="00527097">
        <w:rPr>
          <w:sz w:val="20"/>
          <w:szCs w:val="20"/>
        </w:rPr>
        <w:t>training area</w:t>
      </w:r>
      <w:r w:rsidR="008E5841">
        <w:rPr>
          <w:sz w:val="20"/>
          <w:szCs w:val="20"/>
        </w:rPr>
        <w:t xml:space="preserve">. </w:t>
      </w:r>
      <w:r w:rsidR="00D276F4">
        <w:rPr>
          <w:sz w:val="20"/>
          <w:szCs w:val="20"/>
        </w:rPr>
        <w:t xml:space="preserve">CCN </w:t>
      </w:r>
      <w:r w:rsidR="000B29DF">
        <w:rPr>
          <w:sz w:val="20"/>
          <w:szCs w:val="20"/>
        </w:rPr>
        <w:t>t</w:t>
      </w:r>
      <w:r w:rsidR="00A225E4">
        <w:rPr>
          <w:sz w:val="20"/>
          <w:szCs w:val="20"/>
        </w:rPr>
        <w:t>ask</w:t>
      </w:r>
      <w:r w:rsidR="00B61752">
        <w:rPr>
          <w:sz w:val="20"/>
          <w:szCs w:val="20"/>
        </w:rPr>
        <w:t>s</w:t>
      </w:r>
      <w:r w:rsidR="00A225E4">
        <w:rPr>
          <w:sz w:val="20"/>
          <w:szCs w:val="20"/>
        </w:rPr>
        <w:t xml:space="preserve"> will include </w:t>
      </w:r>
      <w:r w:rsidR="00AC29D3">
        <w:rPr>
          <w:sz w:val="20"/>
          <w:szCs w:val="20"/>
        </w:rPr>
        <w:t xml:space="preserve">providing </w:t>
      </w:r>
      <w:r w:rsidR="00546078">
        <w:rPr>
          <w:sz w:val="20"/>
          <w:szCs w:val="20"/>
        </w:rPr>
        <w:t>training</w:t>
      </w:r>
      <w:r w:rsidR="00AC29D3">
        <w:rPr>
          <w:sz w:val="20"/>
          <w:szCs w:val="20"/>
        </w:rPr>
        <w:t xml:space="preserve"> </w:t>
      </w:r>
      <w:r w:rsidR="004721E7">
        <w:rPr>
          <w:sz w:val="20"/>
          <w:szCs w:val="20"/>
        </w:rPr>
        <w:t xml:space="preserve">and </w:t>
      </w:r>
      <w:r w:rsidR="007374CA">
        <w:rPr>
          <w:sz w:val="20"/>
          <w:szCs w:val="20"/>
        </w:rPr>
        <w:t>tec</w:t>
      </w:r>
      <w:r w:rsidR="004721E7">
        <w:rPr>
          <w:sz w:val="20"/>
          <w:szCs w:val="20"/>
        </w:rPr>
        <w:t xml:space="preserve">hnical support </w:t>
      </w:r>
      <w:r w:rsidR="00B30030">
        <w:rPr>
          <w:sz w:val="20"/>
          <w:szCs w:val="20"/>
        </w:rPr>
        <w:t xml:space="preserve">to </w:t>
      </w:r>
      <w:r w:rsidR="00423E25">
        <w:rPr>
          <w:sz w:val="20"/>
          <w:szCs w:val="20"/>
        </w:rPr>
        <w:t>local CCNs</w:t>
      </w:r>
      <w:r w:rsidR="001C1930">
        <w:rPr>
          <w:sz w:val="20"/>
          <w:szCs w:val="20"/>
        </w:rPr>
        <w:t>. They will also</w:t>
      </w:r>
      <w:r w:rsidR="00B15A36">
        <w:rPr>
          <w:sz w:val="20"/>
          <w:szCs w:val="20"/>
        </w:rPr>
        <w:t xml:space="preserve"> </w:t>
      </w:r>
      <w:r w:rsidR="008B7C05">
        <w:rPr>
          <w:sz w:val="20"/>
          <w:szCs w:val="20"/>
        </w:rPr>
        <w:t>provid</w:t>
      </w:r>
      <w:r w:rsidR="00B15A36">
        <w:rPr>
          <w:sz w:val="20"/>
          <w:szCs w:val="20"/>
        </w:rPr>
        <w:t>e</w:t>
      </w:r>
      <w:r w:rsidR="008B7C05">
        <w:rPr>
          <w:sz w:val="20"/>
          <w:szCs w:val="20"/>
        </w:rPr>
        <w:t xml:space="preserve"> guidance </w:t>
      </w:r>
      <w:r w:rsidR="00AE7C99">
        <w:rPr>
          <w:sz w:val="20"/>
          <w:szCs w:val="20"/>
        </w:rPr>
        <w:t>for</w:t>
      </w:r>
      <w:r w:rsidR="00D66530">
        <w:rPr>
          <w:sz w:val="20"/>
          <w:szCs w:val="20"/>
        </w:rPr>
        <w:t xml:space="preserve"> </w:t>
      </w:r>
      <w:r w:rsidR="00A74EF6">
        <w:rPr>
          <w:sz w:val="20"/>
          <w:szCs w:val="20"/>
        </w:rPr>
        <w:t>connect</w:t>
      </w:r>
      <w:r w:rsidR="00055D3C">
        <w:rPr>
          <w:sz w:val="20"/>
          <w:szCs w:val="20"/>
        </w:rPr>
        <w:t>ing</w:t>
      </w:r>
      <w:r w:rsidR="009F7E8D">
        <w:rPr>
          <w:sz w:val="20"/>
          <w:szCs w:val="20"/>
        </w:rPr>
        <w:t xml:space="preserve"> potential adult education student </w:t>
      </w:r>
      <w:r w:rsidR="00A74EF6">
        <w:rPr>
          <w:sz w:val="20"/>
          <w:szCs w:val="20"/>
        </w:rPr>
        <w:t xml:space="preserve">to the appropriate </w:t>
      </w:r>
      <w:r w:rsidR="00DB25EF">
        <w:rPr>
          <w:sz w:val="20"/>
          <w:szCs w:val="20"/>
        </w:rPr>
        <w:t xml:space="preserve">adult education </w:t>
      </w:r>
      <w:r w:rsidR="00743FAB">
        <w:rPr>
          <w:sz w:val="20"/>
          <w:szCs w:val="20"/>
        </w:rPr>
        <w:t>center</w:t>
      </w:r>
      <w:r w:rsidR="00DB25EF">
        <w:rPr>
          <w:sz w:val="20"/>
          <w:szCs w:val="20"/>
        </w:rPr>
        <w:t xml:space="preserve">, and to start the development of a </w:t>
      </w:r>
      <w:r w:rsidR="00B10E12">
        <w:rPr>
          <w:sz w:val="20"/>
          <w:szCs w:val="20"/>
        </w:rPr>
        <w:t>career pathway</w:t>
      </w:r>
      <w:r w:rsidR="00DD6BC0">
        <w:rPr>
          <w:sz w:val="20"/>
          <w:szCs w:val="20"/>
        </w:rPr>
        <w:t xml:space="preserve"> to one of the IETs</w:t>
      </w:r>
      <w:r w:rsidR="00C553C6">
        <w:rPr>
          <w:sz w:val="20"/>
          <w:szCs w:val="20"/>
        </w:rPr>
        <w:t xml:space="preserve"> that are required </w:t>
      </w:r>
      <w:r w:rsidR="00AC5734">
        <w:rPr>
          <w:sz w:val="20"/>
          <w:szCs w:val="20"/>
        </w:rPr>
        <w:t xml:space="preserve">to be developed </w:t>
      </w:r>
      <w:r w:rsidR="00F36813">
        <w:rPr>
          <w:sz w:val="20"/>
          <w:szCs w:val="20"/>
        </w:rPr>
        <w:t xml:space="preserve">in each workforce area </w:t>
      </w:r>
      <w:r w:rsidR="0051447F">
        <w:rPr>
          <w:sz w:val="20"/>
          <w:szCs w:val="20"/>
        </w:rPr>
        <w:t xml:space="preserve">by local adult education providers, </w:t>
      </w:r>
      <w:r w:rsidR="00AC5734">
        <w:rPr>
          <w:sz w:val="20"/>
          <w:szCs w:val="20"/>
        </w:rPr>
        <w:t xml:space="preserve">in employment need </w:t>
      </w:r>
      <w:r w:rsidR="005E2890">
        <w:rPr>
          <w:sz w:val="20"/>
          <w:szCs w:val="20"/>
        </w:rPr>
        <w:t>areas only</w:t>
      </w:r>
      <w:r w:rsidR="00DB25EF">
        <w:rPr>
          <w:sz w:val="20"/>
          <w:szCs w:val="20"/>
        </w:rPr>
        <w:t xml:space="preserve">. </w:t>
      </w:r>
    </w:p>
    <w:p w14:paraId="6B15BD89" w14:textId="77777777" w:rsidR="00E36851" w:rsidRPr="00A91BD8" w:rsidRDefault="00E36851" w:rsidP="2D724D8C">
      <w:pPr>
        <w:autoSpaceDE w:val="0"/>
        <w:autoSpaceDN w:val="0"/>
        <w:adjustRightInd w:val="0"/>
        <w:rPr>
          <w:sz w:val="20"/>
          <w:szCs w:val="20"/>
        </w:rPr>
      </w:pPr>
    </w:p>
    <w:p w14:paraId="7B269718" w14:textId="0B912386" w:rsidR="00713323" w:rsidRPr="00B11B4B" w:rsidRDefault="2D724D8C" w:rsidP="00CB67FE">
      <w:pPr>
        <w:rPr>
          <w:sz w:val="20"/>
          <w:szCs w:val="20"/>
        </w:rPr>
      </w:pPr>
      <w:r w:rsidRPr="2D724D8C">
        <w:rPr>
          <w:sz w:val="20"/>
          <w:szCs w:val="20"/>
        </w:rPr>
        <w:t xml:space="preserve">OAE staff </w:t>
      </w:r>
      <w:r w:rsidR="004F1879">
        <w:rPr>
          <w:sz w:val="20"/>
          <w:szCs w:val="20"/>
        </w:rPr>
        <w:t xml:space="preserve">continues to </w:t>
      </w:r>
      <w:r w:rsidR="006F2F95" w:rsidRPr="00791D80">
        <w:rPr>
          <w:sz w:val="20"/>
          <w:szCs w:val="20"/>
        </w:rPr>
        <w:t xml:space="preserve">attend local workforce development area Memorandums of Understanding (MOU) and </w:t>
      </w:r>
      <w:r w:rsidR="008E2664">
        <w:rPr>
          <w:sz w:val="20"/>
          <w:szCs w:val="20"/>
        </w:rPr>
        <w:t>i</w:t>
      </w:r>
      <w:r w:rsidR="006F2F95" w:rsidRPr="00791D80">
        <w:rPr>
          <w:sz w:val="20"/>
          <w:szCs w:val="20"/>
        </w:rPr>
        <w:t xml:space="preserve">nfrastructure </w:t>
      </w:r>
      <w:r w:rsidR="008E2664">
        <w:rPr>
          <w:sz w:val="20"/>
          <w:szCs w:val="20"/>
        </w:rPr>
        <w:t>f</w:t>
      </w:r>
      <w:r w:rsidR="006F2F95" w:rsidRPr="00791D80">
        <w:rPr>
          <w:sz w:val="20"/>
          <w:szCs w:val="20"/>
        </w:rPr>
        <w:t xml:space="preserve">unding </w:t>
      </w:r>
      <w:r w:rsidR="008E2664">
        <w:rPr>
          <w:sz w:val="20"/>
          <w:szCs w:val="20"/>
        </w:rPr>
        <w:t>a</w:t>
      </w:r>
      <w:r w:rsidR="006F2F95" w:rsidRPr="00791D80">
        <w:rPr>
          <w:sz w:val="20"/>
          <w:szCs w:val="20"/>
        </w:rPr>
        <w:t>greement (IFA) meetings to assist programs in the negotiation process</w:t>
      </w:r>
      <w:r w:rsidR="00093BA4">
        <w:rPr>
          <w:sz w:val="20"/>
          <w:szCs w:val="20"/>
        </w:rPr>
        <w:t>,</w:t>
      </w:r>
      <w:r w:rsidR="006F2F95" w:rsidRPr="00791D80">
        <w:rPr>
          <w:sz w:val="20"/>
          <w:szCs w:val="20"/>
        </w:rPr>
        <w:t xml:space="preserve"> and </w:t>
      </w:r>
      <w:r w:rsidR="006F2F95">
        <w:rPr>
          <w:sz w:val="20"/>
          <w:szCs w:val="20"/>
        </w:rPr>
        <w:t xml:space="preserve">to </w:t>
      </w:r>
      <w:r w:rsidR="004F1879">
        <w:rPr>
          <w:sz w:val="20"/>
          <w:szCs w:val="20"/>
        </w:rPr>
        <w:t xml:space="preserve">work with </w:t>
      </w:r>
      <w:r w:rsidRPr="2D724D8C">
        <w:rPr>
          <w:sz w:val="20"/>
          <w:szCs w:val="20"/>
        </w:rPr>
        <w:t xml:space="preserve">local </w:t>
      </w:r>
      <w:r w:rsidR="002A1E41">
        <w:rPr>
          <w:sz w:val="20"/>
          <w:szCs w:val="20"/>
        </w:rPr>
        <w:t>a</w:t>
      </w:r>
      <w:r w:rsidRPr="2D724D8C">
        <w:rPr>
          <w:sz w:val="20"/>
          <w:szCs w:val="20"/>
        </w:rPr>
        <w:t xml:space="preserve">dult </w:t>
      </w:r>
      <w:r w:rsidR="002A1E41">
        <w:rPr>
          <w:sz w:val="20"/>
          <w:szCs w:val="20"/>
        </w:rPr>
        <w:t>e</w:t>
      </w:r>
      <w:r w:rsidRPr="2D724D8C">
        <w:rPr>
          <w:sz w:val="20"/>
          <w:szCs w:val="20"/>
        </w:rPr>
        <w:t xml:space="preserve">ducation </w:t>
      </w:r>
      <w:r w:rsidR="002A1E41">
        <w:rPr>
          <w:sz w:val="20"/>
          <w:szCs w:val="20"/>
        </w:rPr>
        <w:t>d</w:t>
      </w:r>
      <w:r w:rsidRPr="2D724D8C">
        <w:rPr>
          <w:sz w:val="20"/>
          <w:szCs w:val="20"/>
        </w:rPr>
        <w:t xml:space="preserve">irectors </w:t>
      </w:r>
      <w:r w:rsidR="00131A4A">
        <w:rPr>
          <w:sz w:val="20"/>
          <w:szCs w:val="20"/>
        </w:rPr>
        <w:t xml:space="preserve">who are </w:t>
      </w:r>
      <w:r w:rsidR="002D4C38">
        <w:rPr>
          <w:sz w:val="20"/>
          <w:szCs w:val="20"/>
        </w:rPr>
        <w:t xml:space="preserve">members </w:t>
      </w:r>
      <w:r w:rsidRPr="2D724D8C">
        <w:rPr>
          <w:sz w:val="20"/>
          <w:szCs w:val="20"/>
        </w:rPr>
        <w:t xml:space="preserve">of their </w:t>
      </w:r>
      <w:r w:rsidR="00934ADA">
        <w:rPr>
          <w:sz w:val="20"/>
          <w:szCs w:val="20"/>
        </w:rPr>
        <w:t xml:space="preserve">respective </w:t>
      </w:r>
      <w:r w:rsidR="00786C30">
        <w:rPr>
          <w:sz w:val="20"/>
          <w:szCs w:val="20"/>
        </w:rPr>
        <w:t>l</w:t>
      </w:r>
      <w:r w:rsidRPr="2D724D8C">
        <w:rPr>
          <w:sz w:val="20"/>
          <w:szCs w:val="20"/>
        </w:rPr>
        <w:t xml:space="preserve">ocal </w:t>
      </w:r>
      <w:r w:rsidR="00786C30">
        <w:rPr>
          <w:sz w:val="20"/>
          <w:szCs w:val="20"/>
        </w:rPr>
        <w:t>w</w:t>
      </w:r>
      <w:r w:rsidRPr="2D724D8C">
        <w:rPr>
          <w:sz w:val="20"/>
          <w:szCs w:val="20"/>
        </w:rPr>
        <w:t xml:space="preserve">orkforce </w:t>
      </w:r>
      <w:r w:rsidR="00786C30">
        <w:rPr>
          <w:sz w:val="20"/>
          <w:szCs w:val="20"/>
        </w:rPr>
        <w:t>d</w:t>
      </w:r>
      <w:r w:rsidRPr="2D724D8C">
        <w:rPr>
          <w:sz w:val="20"/>
          <w:szCs w:val="20"/>
        </w:rPr>
        <w:t xml:space="preserve">evelopment </w:t>
      </w:r>
      <w:r w:rsidR="001D0DD5">
        <w:rPr>
          <w:sz w:val="20"/>
          <w:szCs w:val="20"/>
        </w:rPr>
        <w:t>b</w:t>
      </w:r>
      <w:r w:rsidR="001D0DD5" w:rsidRPr="2D724D8C">
        <w:rPr>
          <w:sz w:val="20"/>
          <w:szCs w:val="20"/>
        </w:rPr>
        <w:t>oard</w:t>
      </w:r>
      <w:r w:rsidR="001D0DD5">
        <w:rPr>
          <w:sz w:val="20"/>
          <w:szCs w:val="20"/>
        </w:rPr>
        <w:t xml:space="preserve"> </w:t>
      </w:r>
      <w:r w:rsidR="002E59E8">
        <w:rPr>
          <w:sz w:val="20"/>
          <w:szCs w:val="20"/>
        </w:rPr>
        <w:t>to dis</w:t>
      </w:r>
      <w:r w:rsidR="00201C40">
        <w:rPr>
          <w:sz w:val="20"/>
          <w:szCs w:val="20"/>
        </w:rPr>
        <w:t xml:space="preserve">perse </w:t>
      </w:r>
      <w:r w:rsidR="00D2697E">
        <w:rPr>
          <w:sz w:val="20"/>
          <w:szCs w:val="20"/>
        </w:rPr>
        <w:t xml:space="preserve">important information </w:t>
      </w:r>
      <w:r w:rsidR="00453014">
        <w:rPr>
          <w:sz w:val="20"/>
          <w:szCs w:val="20"/>
        </w:rPr>
        <w:t xml:space="preserve">gathered </w:t>
      </w:r>
      <w:r w:rsidR="00D2697E">
        <w:rPr>
          <w:sz w:val="20"/>
          <w:szCs w:val="20"/>
        </w:rPr>
        <w:t xml:space="preserve">from board </w:t>
      </w:r>
      <w:r w:rsidR="00453014">
        <w:rPr>
          <w:sz w:val="20"/>
          <w:szCs w:val="20"/>
        </w:rPr>
        <w:t>meeting</w:t>
      </w:r>
      <w:r w:rsidR="00D2697E">
        <w:rPr>
          <w:sz w:val="20"/>
          <w:szCs w:val="20"/>
        </w:rPr>
        <w:t>s</w:t>
      </w:r>
      <w:r w:rsidRPr="00791D80">
        <w:rPr>
          <w:sz w:val="20"/>
          <w:szCs w:val="20"/>
        </w:rPr>
        <w:t>.</w:t>
      </w:r>
      <w:r w:rsidR="00CB67FE">
        <w:rPr>
          <w:sz w:val="20"/>
          <w:szCs w:val="20"/>
        </w:rPr>
        <w:t xml:space="preserve"> P</w:t>
      </w:r>
      <w:r w:rsidRPr="00791D80">
        <w:rPr>
          <w:sz w:val="20"/>
          <w:szCs w:val="20"/>
        </w:rPr>
        <w:t>rograms are using a portion of their five percent administrative fund to contribute to the infrastructure costs of the one-stops in their local workforce development areas. The local workforce development boards have been willing to negotiate and keep costs at a minimum for adult education programs considering the limited administrative funds available to adult education programs. The Office of Adult Education has made state funding available to support local adult education programs where one-stop infrastructure costs create a financial burden; however, to date, no local adult education programs have requested state funding support.</w:t>
      </w:r>
    </w:p>
    <w:p w14:paraId="127F7F17" w14:textId="77777777" w:rsidR="00B413B7" w:rsidRPr="00B11B4B" w:rsidRDefault="00B413B7" w:rsidP="2D724D8C">
      <w:pPr>
        <w:autoSpaceDE w:val="0"/>
        <w:autoSpaceDN w:val="0"/>
        <w:adjustRightInd w:val="0"/>
        <w:rPr>
          <w:strike/>
          <w:sz w:val="20"/>
          <w:szCs w:val="20"/>
        </w:rPr>
      </w:pPr>
    </w:p>
    <w:p w14:paraId="3C8B6EE1" w14:textId="77777777" w:rsidR="00873F6E" w:rsidRDefault="00873F6E" w:rsidP="2D724D8C">
      <w:pPr>
        <w:autoSpaceDE w:val="0"/>
        <w:autoSpaceDN w:val="0"/>
        <w:adjustRightInd w:val="0"/>
        <w:rPr>
          <w:sz w:val="20"/>
          <w:szCs w:val="20"/>
        </w:rPr>
      </w:pPr>
    </w:p>
    <w:p w14:paraId="4C298D6C" w14:textId="77777777" w:rsidR="00BA7B74" w:rsidRPr="00080195" w:rsidRDefault="2D724D8C" w:rsidP="2D724D8C">
      <w:pPr>
        <w:autoSpaceDE w:val="0"/>
        <w:autoSpaceDN w:val="0"/>
        <w:adjustRightInd w:val="0"/>
        <w:rPr>
          <w:b/>
          <w:bCs/>
          <w:szCs w:val="20"/>
        </w:rPr>
      </w:pPr>
      <w:r w:rsidRPr="00080195">
        <w:rPr>
          <w:b/>
          <w:bCs/>
          <w:szCs w:val="20"/>
        </w:rPr>
        <w:t>4. Integrated English Literacy and Civics Education (IELCE) Program (AEFLA Section 243)</w:t>
      </w:r>
    </w:p>
    <w:p w14:paraId="71234059" w14:textId="77777777" w:rsidR="00850BD5" w:rsidRPr="00080195" w:rsidRDefault="00850BD5" w:rsidP="2D724D8C">
      <w:pPr>
        <w:autoSpaceDE w:val="0"/>
        <w:autoSpaceDN w:val="0"/>
        <w:adjustRightInd w:val="0"/>
        <w:rPr>
          <w:b/>
          <w:bCs/>
          <w:szCs w:val="20"/>
        </w:rPr>
      </w:pPr>
    </w:p>
    <w:p w14:paraId="7068878C" w14:textId="77777777" w:rsidR="00BA7B74" w:rsidRPr="00080195" w:rsidRDefault="2D724D8C" w:rsidP="2D724D8C">
      <w:pPr>
        <w:autoSpaceDE w:val="0"/>
        <w:autoSpaceDN w:val="0"/>
        <w:adjustRightInd w:val="0"/>
        <w:rPr>
          <w:b/>
          <w:bCs/>
          <w:szCs w:val="20"/>
        </w:rPr>
      </w:pPr>
      <w:r w:rsidRPr="00080195">
        <w:rPr>
          <w:b/>
          <w:bCs/>
          <w:szCs w:val="20"/>
        </w:rPr>
        <w:t>Describe how the state is using funds under Section 243 to support the following activities under the IELCE program:</w:t>
      </w:r>
    </w:p>
    <w:p w14:paraId="7524F161" w14:textId="77777777" w:rsidR="00850BD5" w:rsidRPr="00080195" w:rsidRDefault="00850BD5" w:rsidP="2D724D8C">
      <w:pPr>
        <w:autoSpaceDE w:val="0"/>
        <w:autoSpaceDN w:val="0"/>
        <w:adjustRightInd w:val="0"/>
        <w:rPr>
          <w:b/>
          <w:bCs/>
          <w:szCs w:val="20"/>
        </w:rPr>
      </w:pPr>
    </w:p>
    <w:p w14:paraId="254D0941" w14:textId="77777777" w:rsidR="00BA7B74" w:rsidRPr="00080195" w:rsidRDefault="2D724D8C" w:rsidP="2D724D8C">
      <w:pPr>
        <w:pStyle w:val="ListParagraph"/>
        <w:numPr>
          <w:ilvl w:val="0"/>
          <w:numId w:val="7"/>
        </w:numPr>
        <w:autoSpaceDE w:val="0"/>
        <w:autoSpaceDN w:val="0"/>
        <w:adjustRightInd w:val="0"/>
        <w:rPr>
          <w:rFonts w:ascii="Arial" w:eastAsiaTheme="minorEastAsia" w:hAnsi="Arial" w:cs="Arial"/>
          <w:b/>
          <w:bCs/>
          <w:szCs w:val="20"/>
        </w:rPr>
      </w:pPr>
      <w:r w:rsidRPr="00080195">
        <w:rPr>
          <w:b/>
          <w:bCs/>
          <w:szCs w:val="20"/>
        </w:rPr>
        <w:t>Describe when your State held a competition [the latest competition] for IELCE program funds and the number of grants awarded by your State to support IELCE programs.</w:t>
      </w:r>
    </w:p>
    <w:p w14:paraId="1768D590" w14:textId="77777777" w:rsidR="00BA7B74" w:rsidRPr="00080195" w:rsidRDefault="2D724D8C" w:rsidP="2D724D8C">
      <w:pPr>
        <w:pStyle w:val="ListParagraph"/>
        <w:numPr>
          <w:ilvl w:val="0"/>
          <w:numId w:val="7"/>
        </w:numPr>
        <w:autoSpaceDE w:val="0"/>
        <w:autoSpaceDN w:val="0"/>
        <w:adjustRightInd w:val="0"/>
        <w:rPr>
          <w:rFonts w:ascii="Arial" w:eastAsiaTheme="minorEastAsia" w:hAnsi="Arial" w:cs="Arial"/>
          <w:b/>
          <w:bCs/>
          <w:szCs w:val="20"/>
        </w:rPr>
      </w:pPr>
      <w:r w:rsidRPr="00080195">
        <w:rPr>
          <w:b/>
          <w:bCs/>
          <w:szCs w:val="20"/>
        </w:rPr>
        <w:t xml:space="preserve">Describe your State efforts in meeting the requirement to provide IELCE services in combination with integrated education and training </w:t>
      </w:r>
      <w:proofErr w:type="gramStart"/>
      <w:r w:rsidRPr="00080195">
        <w:rPr>
          <w:b/>
          <w:bCs/>
          <w:szCs w:val="20"/>
        </w:rPr>
        <w:t>activities;</w:t>
      </w:r>
      <w:proofErr w:type="gramEnd"/>
    </w:p>
    <w:p w14:paraId="2BD5ABB6" w14:textId="77777777" w:rsidR="00BA7B74" w:rsidRPr="00080195" w:rsidRDefault="2D724D8C" w:rsidP="2D724D8C">
      <w:pPr>
        <w:pStyle w:val="ListParagraph"/>
        <w:numPr>
          <w:ilvl w:val="0"/>
          <w:numId w:val="7"/>
        </w:numPr>
        <w:autoSpaceDE w:val="0"/>
        <w:autoSpaceDN w:val="0"/>
        <w:adjustRightInd w:val="0"/>
        <w:rPr>
          <w:rFonts w:ascii="Arial" w:eastAsiaTheme="minorEastAsia" w:hAnsi="Arial" w:cs="Arial"/>
          <w:b/>
          <w:bCs/>
          <w:szCs w:val="20"/>
        </w:rPr>
      </w:pPr>
      <w:r w:rsidRPr="00080195">
        <w:rPr>
          <w:b/>
          <w:bCs/>
          <w:szCs w:val="20"/>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3F293A03" w14:textId="77777777" w:rsidR="00BA7B74" w:rsidRPr="00080195" w:rsidRDefault="2D724D8C" w:rsidP="2D724D8C">
      <w:pPr>
        <w:pStyle w:val="ListParagraph"/>
        <w:numPr>
          <w:ilvl w:val="0"/>
          <w:numId w:val="7"/>
        </w:numPr>
        <w:autoSpaceDE w:val="0"/>
        <w:autoSpaceDN w:val="0"/>
        <w:adjustRightInd w:val="0"/>
        <w:rPr>
          <w:rFonts w:ascii="Arial" w:eastAsiaTheme="minorEastAsia" w:hAnsi="Arial" w:cs="Arial"/>
          <w:b/>
          <w:bCs/>
          <w:szCs w:val="20"/>
        </w:rPr>
      </w:pPr>
      <w:r w:rsidRPr="00080195">
        <w:rPr>
          <w:b/>
          <w:bCs/>
          <w:szCs w:val="20"/>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2BA35736" w14:textId="77777777" w:rsidR="00692A08" w:rsidRPr="00612C57" w:rsidRDefault="00692A08" w:rsidP="2D724D8C">
      <w:pPr>
        <w:rPr>
          <w:sz w:val="20"/>
          <w:szCs w:val="20"/>
        </w:rPr>
      </w:pPr>
    </w:p>
    <w:p w14:paraId="34558F74" w14:textId="1D9EAFC5" w:rsidR="00CB7B4A" w:rsidRPr="004F320A" w:rsidRDefault="2D724D8C" w:rsidP="2D724D8C">
      <w:pPr>
        <w:rPr>
          <w:sz w:val="20"/>
          <w:szCs w:val="20"/>
        </w:rPr>
      </w:pPr>
      <w:r w:rsidRPr="004F320A">
        <w:rPr>
          <w:sz w:val="20"/>
          <w:szCs w:val="20"/>
        </w:rPr>
        <w:t>The</w:t>
      </w:r>
      <w:r w:rsidR="05C40F0C" w:rsidRPr="004F320A">
        <w:rPr>
          <w:sz w:val="20"/>
          <w:szCs w:val="20"/>
        </w:rPr>
        <w:t xml:space="preserve"> SC</w:t>
      </w:r>
      <w:r w:rsidRPr="004F320A">
        <w:rPr>
          <w:sz w:val="20"/>
          <w:szCs w:val="20"/>
        </w:rPr>
        <w:t xml:space="preserve"> OAE, in collaboration with the SCDE Grants Program and General Counsel, created and distributed </w:t>
      </w:r>
      <w:r w:rsidR="28C90585" w:rsidRPr="004F320A">
        <w:rPr>
          <w:sz w:val="20"/>
          <w:szCs w:val="20"/>
        </w:rPr>
        <w:t>a</w:t>
      </w:r>
      <w:r w:rsidR="5BBDA4A5" w:rsidRPr="004F320A">
        <w:rPr>
          <w:sz w:val="20"/>
          <w:szCs w:val="20"/>
        </w:rPr>
        <w:t xml:space="preserve"> second</w:t>
      </w:r>
      <w:r w:rsidRPr="004F320A">
        <w:rPr>
          <w:sz w:val="20"/>
          <w:szCs w:val="20"/>
        </w:rPr>
        <w:t xml:space="preserve"> IEL/CE Request for Proposals (RFP) to select 12 subgrantees statewide to award funds allocated to the state by the federal IEL/CE grant. The competition was held in the spring of </w:t>
      </w:r>
      <w:r w:rsidR="28C90585" w:rsidRPr="004F320A">
        <w:rPr>
          <w:sz w:val="20"/>
          <w:szCs w:val="20"/>
        </w:rPr>
        <w:t>20</w:t>
      </w:r>
      <w:r w:rsidR="12D78DA1" w:rsidRPr="004F320A">
        <w:rPr>
          <w:sz w:val="20"/>
          <w:szCs w:val="20"/>
        </w:rPr>
        <w:t>21</w:t>
      </w:r>
      <w:r w:rsidR="28C90585" w:rsidRPr="004F320A">
        <w:rPr>
          <w:sz w:val="20"/>
          <w:szCs w:val="20"/>
        </w:rPr>
        <w:t>.</w:t>
      </w:r>
      <w:r w:rsidRPr="004F320A">
        <w:rPr>
          <w:sz w:val="20"/>
          <w:szCs w:val="20"/>
        </w:rPr>
        <w:t xml:space="preserve"> Comprehensive trainings were held for potential applicants and selected reviewers</w:t>
      </w:r>
      <w:r w:rsidR="00934ADA" w:rsidRPr="004F320A">
        <w:rPr>
          <w:sz w:val="20"/>
          <w:szCs w:val="20"/>
        </w:rPr>
        <w:t xml:space="preserve">. </w:t>
      </w:r>
      <w:r w:rsidRPr="004F320A">
        <w:rPr>
          <w:sz w:val="20"/>
          <w:szCs w:val="20"/>
        </w:rPr>
        <w:t>All applicants were required to demonstrate program effectiveness and respond to questions related to the thirteen considerations listed in WIOA, Title 2. It was necessary to hold two rounds of competition to achieve geographic equity in the distribution of funds</w:t>
      </w:r>
      <w:r w:rsidR="0B1E927F" w:rsidRPr="004F320A">
        <w:rPr>
          <w:sz w:val="20"/>
          <w:szCs w:val="20"/>
        </w:rPr>
        <w:t xml:space="preserve"> (this second round was held in Fall 2021)</w:t>
      </w:r>
      <w:r w:rsidR="28C90585" w:rsidRPr="004F320A">
        <w:rPr>
          <w:sz w:val="20"/>
          <w:szCs w:val="20"/>
        </w:rPr>
        <w:t>.</w:t>
      </w:r>
      <w:r w:rsidRPr="004F320A">
        <w:rPr>
          <w:sz w:val="20"/>
          <w:szCs w:val="20"/>
        </w:rPr>
        <w:t xml:space="preserve"> The grant application and review process culminated in awarding funds to one program in each of the twelve Workforce Development areas located in South Carolina. This grant cycle will continue for </w:t>
      </w:r>
      <w:r w:rsidR="2AD6D493" w:rsidRPr="004F320A">
        <w:rPr>
          <w:sz w:val="20"/>
          <w:szCs w:val="20"/>
        </w:rPr>
        <w:t>four</w:t>
      </w:r>
      <w:r w:rsidRPr="004F320A">
        <w:rPr>
          <w:sz w:val="20"/>
          <w:szCs w:val="20"/>
        </w:rPr>
        <w:t xml:space="preserve"> years</w:t>
      </w:r>
      <w:r w:rsidR="04B31735" w:rsidRPr="004F320A">
        <w:rPr>
          <w:sz w:val="20"/>
          <w:szCs w:val="20"/>
        </w:rPr>
        <w:t xml:space="preserve">, ending June 30, </w:t>
      </w:r>
      <w:r w:rsidR="0CB694A0" w:rsidRPr="004F320A">
        <w:rPr>
          <w:sz w:val="20"/>
          <w:szCs w:val="20"/>
        </w:rPr>
        <w:t>202</w:t>
      </w:r>
      <w:r w:rsidR="6C43DB29" w:rsidRPr="004F320A">
        <w:rPr>
          <w:sz w:val="20"/>
          <w:szCs w:val="20"/>
        </w:rPr>
        <w:t>5</w:t>
      </w:r>
      <w:r w:rsidRPr="004F320A">
        <w:rPr>
          <w:sz w:val="20"/>
          <w:szCs w:val="20"/>
        </w:rPr>
        <w:t>.</w:t>
      </w:r>
    </w:p>
    <w:p w14:paraId="516D3101" w14:textId="77777777" w:rsidR="552DB5F2" w:rsidRPr="004F320A" w:rsidRDefault="552DB5F2" w:rsidP="2D724D8C">
      <w:pPr>
        <w:rPr>
          <w:sz w:val="20"/>
          <w:szCs w:val="20"/>
        </w:rPr>
      </w:pPr>
    </w:p>
    <w:p w14:paraId="64FDC15D" w14:textId="00D33DD0" w:rsidR="552DB5F2" w:rsidRPr="004F320A" w:rsidRDefault="2D724D8C" w:rsidP="7413D43F">
      <w:pPr>
        <w:rPr>
          <w:sz w:val="20"/>
          <w:szCs w:val="20"/>
        </w:rPr>
      </w:pPr>
      <w:r w:rsidRPr="004F320A">
        <w:rPr>
          <w:sz w:val="20"/>
          <w:szCs w:val="20"/>
        </w:rPr>
        <w:t xml:space="preserve">Grant monies totaling </w:t>
      </w:r>
      <w:r w:rsidR="168124CD" w:rsidRPr="004F320A">
        <w:rPr>
          <w:sz w:val="20"/>
          <w:szCs w:val="20"/>
        </w:rPr>
        <w:t>$</w:t>
      </w:r>
      <w:r w:rsidR="034B1D64" w:rsidRPr="004F320A">
        <w:rPr>
          <w:sz w:val="20"/>
          <w:szCs w:val="20"/>
        </w:rPr>
        <w:t>3</w:t>
      </w:r>
      <w:r w:rsidR="06BB27C5" w:rsidRPr="004F320A">
        <w:rPr>
          <w:sz w:val="20"/>
          <w:szCs w:val="20"/>
        </w:rPr>
        <w:t>48,667.54</w:t>
      </w:r>
      <w:r w:rsidRPr="004F320A">
        <w:rPr>
          <w:sz w:val="20"/>
          <w:szCs w:val="20"/>
        </w:rPr>
        <w:t xml:space="preserve">, including </w:t>
      </w:r>
      <w:r w:rsidR="5A4D2661" w:rsidRPr="004F320A">
        <w:rPr>
          <w:sz w:val="20"/>
          <w:szCs w:val="20"/>
        </w:rPr>
        <w:t xml:space="preserve">reverted funds from PY </w:t>
      </w:r>
      <w:r w:rsidR="14597428" w:rsidRPr="004F320A">
        <w:rPr>
          <w:sz w:val="20"/>
          <w:szCs w:val="20"/>
        </w:rPr>
        <w:t>201</w:t>
      </w:r>
      <w:r w:rsidR="5EA13AB0" w:rsidRPr="004F320A">
        <w:rPr>
          <w:sz w:val="20"/>
          <w:szCs w:val="20"/>
        </w:rPr>
        <w:t>9-20</w:t>
      </w:r>
      <w:r w:rsidR="28C90585" w:rsidRPr="004F320A">
        <w:rPr>
          <w:sz w:val="20"/>
          <w:szCs w:val="20"/>
        </w:rPr>
        <w:t xml:space="preserve">, </w:t>
      </w:r>
      <w:r w:rsidRPr="004F320A">
        <w:rPr>
          <w:sz w:val="20"/>
          <w:szCs w:val="20"/>
        </w:rPr>
        <w:t xml:space="preserve">were awarded to twelve programs for fiscal year </w:t>
      </w:r>
      <w:r w:rsidR="28C90585" w:rsidRPr="004F320A">
        <w:rPr>
          <w:sz w:val="20"/>
          <w:szCs w:val="20"/>
        </w:rPr>
        <w:t>20</w:t>
      </w:r>
      <w:r w:rsidR="7CE02485" w:rsidRPr="004F320A">
        <w:rPr>
          <w:sz w:val="20"/>
          <w:szCs w:val="20"/>
        </w:rPr>
        <w:t>2</w:t>
      </w:r>
      <w:r w:rsidR="5046E70F" w:rsidRPr="004F320A">
        <w:rPr>
          <w:sz w:val="20"/>
          <w:szCs w:val="20"/>
        </w:rPr>
        <w:t>0</w:t>
      </w:r>
      <w:r w:rsidR="7CE02485" w:rsidRPr="004F320A">
        <w:rPr>
          <w:sz w:val="20"/>
          <w:szCs w:val="20"/>
        </w:rPr>
        <w:t>-</w:t>
      </w:r>
      <w:r w:rsidR="65DB0A05" w:rsidRPr="004F320A">
        <w:rPr>
          <w:sz w:val="20"/>
          <w:szCs w:val="20"/>
        </w:rPr>
        <w:t>2</w:t>
      </w:r>
      <w:r w:rsidR="7CE02485" w:rsidRPr="004F320A">
        <w:rPr>
          <w:sz w:val="20"/>
          <w:szCs w:val="20"/>
        </w:rPr>
        <w:t>1</w:t>
      </w:r>
      <w:r w:rsidR="2971F1DD" w:rsidRPr="004F320A">
        <w:rPr>
          <w:sz w:val="20"/>
          <w:szCs w:val="20"/>
        </w:rPr>
        <w:t>,</w:t>
      </w:r>
      <w:r w:rsidRPr="004F320A">
        <w:rPr>
          <w:sz w:val="20"/>
          <w:szCs w:val="20"/>
        </w:rPr>
        <w:t xml:space="preserve"> which include</w:t>
      </w:r>
      <w:r w:rsidR="50F4DE52" w:rsidRPr="004F320A">
        <w:rPr>
          <w:sz w:val="20"/>
          <w:szCs w:val="20"/>
        </w:rPr>
        <w:t>d</w:t>
      </w:r>
      <w:r w:rsidRPr="004F320A">
        <w:rPr>
          <w:sz w:val="20"/>
          <w:szCs w:val="20"/>
        </w:rPr>
        <w:t xml:space="preserve"> </w:t>
      </w:r>
      <w:r w:rsidR="04E6D48F" w:rsidRPr="004F320A">
        <w:rPr>
          <w:sz w:val="20"/>
          <w:szCs w:val="20"/>
        </w:rPr>
        <w:t xml:space="preserve">10 school district programs and </w:t>
      </w:r>
      <w:r w:rsidRPr="004F320A">
        <w:rPr>
          <w:sz w:val="20"/>
          <w:szCs w:val="20"/>
        </w:rPr>
        <w:t>two literacy associations benefitting directly from the grant. Awards ranged from $</w:t>
      </w:r>
      <w:r w:rsidR="28C90585" w:rsidRPr="004F320A">
        <w:rPr>
          <w:sz w:val="20"/>
          <w:szCs w:val="20"/>
        </w:rPr>
        <w:t>2</w:t>
      </w:r>
      <w:r w:rsidR="6C5EC749" w:rsidRPr="004F320A">
        <w:rPr>
          <w:sz w:val="20"/>
          <w:szCs w:val="20"/>
        </w:rPr>
        <w:t>2,544.58</w:t>
      </w:r>
      <w:r w:rsidRPr="004F320A">
        <w:rPr>
          <w:sz w:val="20"/>
          <w:szCs w:val="20"/>
        </w:rPr>
        <w:t xml:space="preserve"> to $</w:t>
      </w:r>
      <w:r w:rsidR="28C90585" w:rsidRPr="004F320A">
        <w:rPr>
          <w:sz w:val="20"/>
          <w:szCs w:val="20"/>
        </w:rPr>
        <w:t>3</w:t>
      </w:r>
      <w:r w:rsidR="45600CF6" w:rsidRPr="004F320A">
        <w:rPr>
          <w:sz w:val="20"/>
          <w:szCs w:val="20"/>
        </w:rPr>
        <w:t>5,375.30</w:t>
      </w:r>
      <w:r w:rsidRPr="004F320A">
        <w:rPr>
          <w:sz w:val="20"/>
          <w:szCs w:val="20"/>
        </w:rPr>
        <w:t xml:space="preserve">, with amounts based primarily on grant review scores, the previous year’s size of ESL population, performance, and student retention. </w:t>
      </w:r>
    </w:p>
    <w:p w14:paraId="30AC4CD1" w14:textId="26DC1DDF" w:rsidR="552DB5F2" w:rsidRPr="004F320A" w:rsidRDefault="552DB5F2" w:rsidP="1C1D7E4D">
      <w:pPr>
        <w:rPr>
          <w:sz w:val="20"/>
          <w:szCs w:val="20"/>
        </w:rPr>
      </w:pPr>
    </w:p>
    <w:p w14:paraId="591DBE74" w14:textId="0E0AE203" w:rsidR="552DB5F2" w:rsidRPr="004F320A" w:rsidRDefault="33127163" w:rsidP="1C1D7E4D">
      <w:pPr>
        <w:rPr>
          <w:sz w:val="20"/>
          <w:szCs w:val="20"/>
        </w:rPr>
      </w:pPr>
      <w:r w:rsidRPr="004F320A">
        <w:rPr>
          <w:sz w:val="20"/>
          <w:szCs w:val="20"/>
        </w:rPr>
        <w:lastRenderedPageBreak/>
        <w:t xml:space="preserve">Programs receiving IEL/CE grants directly served 1628 students with the IEL/CE funds, with 1279 of these students attending 12 hours or more. Of these 1279 IEL/CE students, eleven (11) received </w:t>
      </w:r>
      <w:r w:rsidR="3CECF95B" w:rsidRPr="004F320A">
        <w:rPr>
          <w:sz w:val="20"/>
          <w:szCs w:val="20"/>
        </w:rPr>
        <w:t>high</w:t>
      </w:r>
      <w:r w:rsidRPr="004F320A">
        <w:rPr>
          <w:sz w:val="20"/>
          <w:szCs w:val="20"/>
        </w:rPr>
        <w:t xml:space="preserve"> school credentials and </w:t>
      </w:r>
      <w:r w:rsidR="4F360204" w:rsidRPr="004F320A">
        <w:rPr>
          <w:sz w:val="20"/>
          <w:szCs w:val="20"/>
        </w:rPr>
        <w:t>19</w:t>
      </w:r>
      <w:r w:rsidRPr="004F320A">
        <w:rPr>
          <w:sz w:val="20"/>
          <w:szCs w:val="20"/>
        </w:rPr>
        <w:t xml:space="preserve"> earned Career Readiness Certificates</w:t>
      </w:r>
      <w:r w:rsidR="619A809D" w:rsidRPr="004F320A">
        <w:rPr>
          <w:sz w:val="20"/>
          <w:szCs w:val="20"/>
        </w:rPr>
        <w:t xml:space="preserve"> (CRCs)</w:t>
      </w:r>
      <w:r w:rsidRPr="004F320A">
        <w:rPr>
          <w:sz w:val="20"/>
          <w:szCs w:val="20"/>
        </w:rPr>
        <w:t xml:space="preserve">. </w:t>
      </w:r>
      <w:r w:rsidR="2F1AD0E3" w:rsidRPr="004F320A">
        <w:rPr>
          <w:sz w:val="20"/>
          <w:szCs w:val="20"/>
        </w:rPr>
        <w:t>Th</w:t>
      </w:r>
      <w:r w:rsidR="7CD251AA" w:rsidRPr="004F320A">
        <w:rPr>
          <w:sz w:val="20"/>
          <w:szCs w:val="20"/>
        </w:rPr>
        <w:t>e</w:t>
      </w:r>
      <w:r w:rsidR="2F1AD0E3" w:rsidRPr="004F320A">
        <w:rPr>
          <w:sz w:val="20"/>
          <w:szCs w:val="20"/>
        </w:rPr>
        <w:t xml:space="preserve"> number </w:t>
      </w:r>
      <w:r w:rsidR="1E1691E3" w:rsidRPr="004F320A">
        <w:rPr>
          <w:sz w:val="20"/>
          <w:szCs w:val="20"/>
        </w:rPr>
        <w:t>of CRCs</w:t>
      </w:r>
      <w:r w:rsidR="03F25C59" w:rsidRPr="004F320A">
        <w:rPr>
          <w:sz w:val="20"/>
          <w:szCs w:val="20"/>
        </w:rPr>
        <w:t xml:space="preserve"> </w:t>
      </w:r>
      <w:r w:rsidR="2F1AD0E3" w:rsidRPr="004F320A">
        <w:rPr>
          <w:sz w:val="20"/>
          <w:szCs w:val="20"/>
        </w:rPr>
        <w:t>was down significantly from 2019-20, p</w:t>
      </w:r>
      <w:r w:rsidR="0DBD3D75" w:rsidRPr="004F320A">
        <w:rPr>
          <w:sz w:val="20"/>
          <w:szCs w:val="20"/>
        </w:rPr>
        <w:t>ossibly</w:t>
      </w:r>
      <w:r w:rsidR="2F1AD0E3" w:rsidRPr="004F320A">
        <w:rPr>
          <w:sz w:val="20"/>
          <w:szCs w:val="20"/>
        </w:rPr>
        <w:t xml:space="preserve"> due to limitations to in-person instruction and CRC testing.</w:t>
      </w:r>
      <w:r w:rsidR="32FADC4F" w:rsidRPr="004F320A">
        <w:rPr>
          <w:sz w:val="20"/>
          <w:szCs w:val="20"/>
        </w:rPr>
        <w:t xml:space="preserve"> </w:t>
      </w:r>
      <w:r w:rsidR="215D1F90" w:rsidRPr="004F320A">
        <w:rPr>
          <w:sz w:val="20"/>
          <w:szCs w:val="20"/>
        </w:rPr>
        <w:t xml:space="preserve">109 IEL/CE students </w:t>
      </w:r>
      <w:r w:rsidR="0D675579" w:rsidRPr="004F320A">
        <w:rPr>
          <w:sz w:val="20"/>
          <w:szCs w:val="20"/>
        </w:rPr>
        <w:t xml:space="preserve">actively </w:t>
      </w:r>
      <w:r w:rsidR="1794E003" w:rsidRPr="004F320A">
        <w:rPr>
          <w:sz w:val="20"/>
          <w:szCs w:val="20"/>
        </w:rPr>
        <w:t>participated</w:t>
      </w:r>
      <w:r w:rsidR="215D1F90" w:rsidRPr="004F320A">
        <w:rPr>
          <w:sz w:val="20"/>
          <w:szCs w:val="20"/>
        </w:rPr>
        <w:t xml:space="preserve"> in ABE classes.</w:t>
      </w:r>
      <w:r w:rsidR="1CA4F5BE" w:rsidRPr="004F320A">
        <w:rPr>
          <w:sz w:val="20"/>
          <w:szCs w:val="20"/>
        </w:rPr>
        <w:t xml:space="preserve"> 48.</w:t>
      </w:r>
      <w:r w:rsidR="7792C627" w:rsidRPr="004F320A">
        <w:rPr>
          <w:sz w:val="20"/>
          <w:szCs w:val="20"/>
        </w:rPr>
        <w:t>71</w:t>
      </w:r>
      <w:r w:rsidR="1CA4F5BE" w:rsidRPr="004F320A">
        <w:rPr>
          <w:sz w:val="20"/>
          <w:szCs w:val="20"/>
        </w:rPr>
        <w:t xml:space="preserve">% of IEL/CE </w:t>
      </w:r>
      <w:r w:rsidR="59941D79" w:rsidRPr="004F320A">
        <w:rPr>
          <w:sz w:val="20"/>
          <w:szCs w:val="20"/>
        </w:rPr>
        <w:t>students</w:t>
      </w:r>
      <w:r w:rsidR="1CA4F5BE" w:rsidRPr="004F320A">
        <w:rPr>
          <w:sz w:val="20"/>
          <w:szCs w:val="20"/>
        </w:rPr>
        <w:t xml:space="preserve"> achieved a</w:t>
      </w:r>
      <w:r w:rsidR="6B69B829" w:rsidRPr="004F320A">
        <w:rPr>
          <w:sz w:val="20"/>
          <w:szCs w:val="20"/>
        </w:rPr>
        <w:t xml:space="preserve"> measurable skill gain</w:t>
      </w:r>
      <w:r w:rsidR="6F772E0C" w:rsidRPr="004F320A">
        <w:rPr>
          <w:sz w:val="20"/>
          <w:szCs w:val="20"/>
        </w:rPr>
        <w:t xml:space="preserve">, which </w:t>
      </w:r>
      <w:r w:rsidR="60B9BA2F" w:rsidRPr="004F320A">
        <w:rPr>
          <w:sz w:val="20"/>
          <w:szCs w:val="20"/>
        </w:rPr>
        <w:t>exceeded the state goal of 45%</w:t>
      </w:r>
      <w:r w:rsidR="6B69B829" w:rsidRPr="004F320A">
        <w:rPr>
          <w:sz w:val="20"/>
          <w:szCs w:val="20"/>
        </w:rPr>
        <w:t>.</w:t>
      </w:r>
      <w:r w:rsidR="1CA4F5BE" w:rsidRPr="004F320A">
        <w:rPr>
          <w:sz w:val="20"/>
          <w:szCs w:val="20"/>
        </w:rPr>
        <w:t xml:space="preserve"> </w:t>
      </w:r>
      <w:r w:rsidRPr="004F320A">
        <w:rPr>
          <w:sz w:val="20"/>
          <w:szCs w:val="20"/>
        </w:rPr>
        <w:t>18.3% of IEL/CE students had entered employment by the end of the second quarter with median earnings of $5687.50.</w:t>
      </w:r>
      <w:r w:rsidR="4F7F5828" w:rsidRPr="004F320A">
        <w:rPr>
          <w:sz w:val="20"/>
          <w:szCs w:val="20"/>
        </w:rPr>
        <w:t xml:space="preserve"> We anticipate that </w:t>
      </w:r>
      <w:r w:rsidR="3B0A8EF4" w:rsidRPr="004F320A">
        <w:rPr>
          <w:sz w:val="20"/>
          <w:szCs w:val="20"/>
        </w:rPr>
        <w:t>this</w:t>
      </w:r>
      <w:r w:rsidR="4F7F5828" w:rsidRPr="004F320A">
        <w:rPr>
          <w:sz w:val="20"/>
          <w:szCs w:val="20"/>
        </w:rPr>
        <w:t xml:space="preserve"> employment data will improve as individuals return to work after the COVID crisis diminishes.</w:t>
      </w:r>
    </w:p>
    <w:p w14:paraId="550699A5" w14:textId="0C550ADE" w:rsidR="552DB5F2" w:rsidRPr="004F320A" w:rsidRDefault="552DB5F2" w:rsidP="1C1D7E4D">
      <w:pPr>
        <w:rPr>
          <w:sz w:val="20"/>
          <w:szCs w:val="20"/>
        </w:rPr>
      </w:pPr>
    </w:p>
    <w:p w14:paraId="75EFE9FE" w14:textId="1A617ADD" w:rsidR="552DB5F2" w:rsidRPr="004F320A" w:rsidRDefault="33127163" w:rsidP="7413D43F">
      <w:pPr>
        <w:rPr>
          <w:sz w:val="20"/>
          <w:szCs w:val="20"/>
        </w:rPr>
      </w:pPr>
      <w:r w:rsidRPr="004F320A">
        <w:rPr>
          <w:sz w:val="20"/>
          <w:szCs w:val="20"/>
        </w:rPr>
        <w:t xml:space="preserve">During PY 2020-21, IEL/CE programs continued to develop new and locally </w:t>
      </w:r>
      <w:r w:rsidR="5D7FEDB9" w:rsidRPr="004F320A">
        <w:rPr>
          <w:sz w:val="20"/>
          <w:szCs w:val="20"/>
        </w:rPr>
        <w:t>relevant</w:t>
      </w:r>
      <w:r w:rsidRPr="004F320A">
        <w:rPr>
          <w:sz w:val="20"/>
          <w:szCs w:val="20"/>
        </w:rPr>
        <w:t xml:space="preserve"> IET programs, with assistance </w:t>
      </w:r>
      <w:r w:rsidR="1377E897" w:rsidRPr="004F320A">
        <w:rPr>
          <w:sz w:val="20"/>
          <w:szCs w:val="20"/>
        </w:rPr>
        <w:t>from</w:t>
      </w:r>
      <w:r w:rsidRPr="004F320A">
        <w:rPr>
          <w:sz w:val="20"/>
          <w:szCs w:val="20"/>
        </w:rPr>
        <w:t xml:space="preserve"> the</w:t>
      </w:r>
      <w:r w:rsidR="3FB707B7" w:rsidRPr="004F320A">
        <w:rPr>
          <w:sz w:val="20"/>
          <w:szCs w:val="20"/>
        </w:rPr>
        <w:t xml:space="preserve"> SC</w:t>
      </w:r>
      <w:r w:rsidR="08749CED" w:rsidRPr="004F320A">
        <w:rPr>
          <w:sz w:val="20"/>
          <w:szCs w:val="20"/>
        </w:rPr>
        <w:t>DE-</w:t>
      </w:r>
      <w:r w:rsidR="3FB707B7" w:rsidRPr="004F320A">
        <w:rPr>
          <w:sz w:val="20"/>
          <w:szCs w:val="20"/>
        </w:rPr>
        <w:t>OAE. Local program staff met with OAE staff to r</w:t>
      </w:r>
      <w:r w:rsidR="43E46A42" w:rsidRPr="004F320A">
        <w:rPr>
          <w:sz w:val="20"/>
          <w:szCs w:val="20"/>
        </w:rPr>
        <w:t>efine IET proposals to ensure alignment with WIOA goals for these programs</w:t>
      </w:r>
      <w:r w:rsidR="069D0811" w:rsidRPr="004F320A">
        <w:rPr>
          <w:sz w:val="20"/>
          <w:szCs w:val="20"/>
        </w:rPr>
        <w:t xml:space="preserve">. </w:t>
      </w:r>
      <w:r w:rsidRPr="004F320A">
        <w:rPr>
          <w:sz w:val="20"/>
          <w:szCs w:val="20"/>
        </w:rPr>
        <w:t xml:space="preserve">IEL/CE programs with approved IETs implemented these programs in the areas of manufacturing, healthcare, hospitality, </w:t>
      </w:r>
      <w:proofErr w:type="gramStart"/>
      <w:r w:rsidRPr="004F320A">
        <w:rPr>
          <w:sz w:val="20"/>
          <w:szCs w:val="20"/>
        </w:rPr>
        <w:t>construction</w:t>
      </w:r>
      <w:proofErr w:type="gramEnd"/>
      <w:r w:rsidRPr="004F320A">
        <w:rPr>
          <w:sz w:val="20"/>
          <w:szCs w:val="20"/>
        </w:rPr>
        <w:t xml:space="preserve"> and entrepreneurship, all of which align with identified local and/or state employment needs. </w:t>
      </w:r>
      <w:r w:rsidR="5D7EC858" w:rsidRPr="004F320A">
        <w:rPr>
          <w:sz w:val="20"/>
          <w:szCs w:val="20"/>
        </w:rPr>
        <w:t xml:space="preserve">The Workforce </w:t>
      </w:r>
      <w:r w:rsidR="24945FDB" w:rsidRPr="004F320A">
        <w:rPr>
          <w:sz w:val="20"/>
          <w:szCs w:val="20"/>
        </w:rPr>
        <w:t>L</w:t>
      </w:r>
      <w:r w:rsidR="1E2DC977" w:rsidRPr="004F320A">
        <w:rPr>
          <w:sz w:val="20"/>
          <w:szCs w:val="20"/>
        </w:rPr>
        <w:t>iaisons</w:t>
      </w:r>
      <w:r w:rsidR="5D7EC858" w:rsidRPr="004F320A">
        <w:rPr>
          <w:sz w:val="20"/>
          <w:szCs w:val="20"/>
        </w:rPr>
        <w:t xml:space="preserve"> (mentioned in </w:t>
      </w:r>
      <w:r w:rsidR="0620064D" w:rsidRPr="004F320A">
        <w:rPr>
          <w:sz w:val="20"/>
          <w:szCs w:val="20"/>
        </w:rPr>
        <w:t>S</w:t>
      </w:r>
      <w:r w:rsidR="5D7EC858" w:rsidRPr="004F320A">
        <w:rPr>
          <w:sz w:val="20"/>
          <w:szCs w:val="20"/>
        </w:rPr>
        <w:t xml:space="preserve">ection 1 of this report) </w:t>
      </w:r>
      <w:r w:rsidR="4F428117" w:rsidRPr="004F320A">
        <w:rPr>
          <w:sz w:val="20"/>
          <w:szCs w:val="20"/>
        </w:rPr>
        <w:t xml:space="preserve">met with and </w:t>
      </w:r>
      <w:r w:rsidR="7A0B8E42" w:rsidRPr="004F320A">
        <w:rPr>
          <w:sz w:val="20"/>
          <w:szCs w:val="20"/>
        </w:rPr>
        <w:t>assisted</w:t>
      </w:r>
      <w:r w:rsidR="5D7EC858" w:rsidRPr="004F320A">
        <w:rPr>
          <w:sz w:val="20"/>
          <w:szCs w:val="20"/>
        </w:rPr>
        <w:t xml:space="preserve"> the local programs with identifying the </w:t>
      </w:r>
      <w:r w:rsidR="0B5D6FDC" w:rsidRPr="004F320A">
        <w:rPr>
          <w:sz w:val="20"/>
          <w:szCs w:val="20"/>
        </w:rPr>
        <w:t>employment needs in their respective areas.</w:t>
      </w:r>
      <w:r w:rsidR="5D7EC858" w:rsidRPr="004F320A">
        <w:rPr>
          <w:sz w:val="20"/>
          <w:szCs w:val="20"/>
        </w:rPr>
        <w:t xml:space="preserve"> </w:t>
      </w:r>
      <w:r w:rsidRPr="004F320A">
        <w:rPr>
          <w:sz w:val="20"/>
          <w:szCs w:val="20"/>
        </w:rPr>
        <w:t xml:space="preserve">During PY 2020-21, 26 IEL/CE students participated in an IET program with </w:t>
      </w:r>
      <w:r w:rsidR="10141B0F" w:rsidRPr="004F320A">
        <w:rPr>
          <w:sz w:val="20"/>
          <w:szCs w:val="20"/>
        </w:rPr>
        <w:t xml:space="preserve">13 </w:t>
      </w:r>
      <w:r w:rsidR="1CAE349E" w:rsidRPr="004F320A">
        <w:rPr>
          <w:sz w:val="20"/>
          <w:szCs w:val="20"/>
        </w:rPr>
        <w:t xml:space="preserve">students </w:t>
      </w:r>
      <w:r w:rsidR="10141B0F" w:rsidRPr="004F320A">
        <w:rPr>
          <w:sz w:val="20"/>
          <w:szCs w:val="20"/>
        </w:rPr>
        <w:t xml:space="preserve">attaining </w:t>
      </w:r>
      <w:r w:rsidR="293D6ABC" w:rsidRPr="004F320A">
        <w:rPr>
          <w:sz w:val="20"/>
          <w:szCs w:val="20"/>
        </w:rPr>
        <w:t>post</w:t>
      </w:r>
      <w:r w:rsidR="10141B0F" w:rsidRPr="004F320A">
        <w:rPr>
          <w:sz w:val="20"/>
          <w:szCs w:val="20"/>
        </w:rPr>
        <w:t>-secondary credential</w:t>
      </w:r>
      <w:r w:rsidR="51E52EE5" w:rsidRPr="004F320A">
        <w:rPr>
          <w:sz w:val="20"/>
          <w:szCs w:val="20"/>
        </w:rPr>
        <w:t>s</w:t>
      </w:r>
      <w:r w:rsidR="10141B0F" w:rsidRPr="004F320A">
        <w:rPr>
          <w:sz w:val="20"/>
          <w:szCs w:val="20"/>
        </w:rPr>
        <w:t xml:space="preserve">. </w:t>
      </w:r>
      <w:r w:rsidR="738BD809" w:rsidRPr="004F320A">
        <w:rPr>
          <w:sz w:val="20"/>
          <w:szCs w:val="20"/>
        </w:rPr>
        <w:t>Surprisingly</w:t>
      </w:r>
      <w:r w:rsidR="10141B0F" w:rsidRPr="004F320A">
        <w:rPr>
          <w:sz w:val="20"/>
          <w:szCs w:val="20"/>
        </w:rPr>
        <w:t xml:space="preserve">, this number increased from last year, </w:t>
      </w:r>
      <w:r w:rsidR="2E7A3B83" w:rsidRPr="004F320A">
        <w:rPr>
          <w:sz w:val="20"/>
          <w:szCs w:val="20"/>
        </w:rPr>
        <w:t>despite</w:t>
      </w:r>
      <w:r w:rsidR="763BECB5" w:rsidRPr="004F320A">
        <w:rPr>
          <w:sz w:val="20"/>
          <w:szCs w:val="20"/>
        </w:rPr>
        <w:t xml:space="preserve"> the restrictions placed on in-person instruction due to COVID</w:t>
      </w:r>
      <w:r w:rsidR="7E39DB0F" w:rsidRPr="004F320A">
        <w:rPr>
          <w:sz w:val="20"/>
          <w:szCs w:val="20"/>
        </w:rPr>
        <w:t>;</w:t>
      </w:r>
      <w:r w:rsidR="763BECB5" w:rsidRPr="004F320A">
        <w:rPr>
          <w:sz w:val="20"/>
          <w:szCs w:val="20"/>
        </w:rPr>
        <w:t xml:space="preserve"> </w:t>
      </w:r>
      <w:r w:rsidR="53788094" w:rsidRPr="004F320A">
        <w:rPr>
          <w:sz w:val="20"/>
          <w:szCs w:val="20"/>
        </w:rPr>
        <w:t>t</w:t>
      </w:r>
      <w:r w:rsidR="763BECB5" w:rsidRPr="004F320A">
        <w:rPr>
          <w:sz w:val="20"/>
          <w:szCs w:val="20"/>
        </w:rPr>
        <w:t xml:space="preserve">his increase may be attributed to </w:t>
      </w:r>
      <w:r w:rsidR="10141B0F" w:rsidRPr="004F320A">
        <w:rPr>
          <w:sz w:val="20"/>
          <w:szCs w:val="20"/>
        </w:rPr>
        <w:t xml:space="preserve">more IET </w:t>
      </w:r>
      <w:r w:rsidR="5B01FAE6" w:rsidRPr="004F320A">
        <w:rPr>
          <w:sz w:val="20"/>
          <w:szCs w:val="20"/>
        </w:rPr>
        <w:t xml:space="preserve">programs being approved and implemented during </w:t>
      </w:r>
      <w:r w:rsidR="2FEC520F" w:rsidRPr="004F320A">
        <w:rPr>
          <w:sz w:val="20"/>
          <w:szCs w:val="20"/>
        </w:rPr>
        <w:t>PY</w:t>
      </w:r>
      <w:r w:rsidR="5B01FAE6" w:rsidRPr="004F320A">
        <w:rPr>
          <w:sz w:val="20"/>
          <w:szCs w:val="20"/>
        </w:rPr>
        <w:t xml:space="preserve"> 2020-21</w:t>
      </w:r>
      <w:r w:rsidR="0B5AFEB2" w:rsidRPr="004F320A">
        <w:rPr>
          <w:sz w:val="20"/>
          <w:szCs w:val="20"/>
        </w:rPr>
        <w:t>.</w:t>
      </w:r>
      <w:r w:rsidRPr="004F320A">
        <w:rPr>
          <w:sz w:val="20"/>
          <w:szCs w:val="20"/>
        </w:rPr>
        <w:t xml:space="preserve"> </w:t>
      </w:r>
      <w:r w:rsidR="5944E106" w:rsidRPr="004F320A">
        <w:rPr>
          <w:sz w:val="20"/>
          <w:szCs w:val="20"/>
        </w:rPr>
        <w:t xml:space="preserve">In addition, partnerships with local training providers </w:t>
      </w:r>
      <w:r w:rsidR="65EAA08E" w:rsidRPr="004F320A">
        <w:rPr>
          <w:sz w:val="20"/>
          <w:szCs w:val="20"/>
        </w:rPr>
        <w:t>have</w:t>
      </w:r>
      <w:r w:rsidR="5944E106" w:rsidRPr="004F320A">
        <w:rPr>
          <w:sz w:val="20"/>
          <w:szCs w:val="20"/>
        </w:rPr>
        <w:t xml:space="preserve"> been strengthened which has resulted in more IET activity.</w:t>
      </w:r>
      <w:r w:rsidR="2C4E58F9" w:rsidRPr="004F320A">
        <w:rPr>
          <w:sz w:val="20"/>
          <w:szCs w:val="20"/>
        </w:rPr>
        <w:t xml:space="preserve"> </w:t>
      </w:r>
      <w:r w:rsidRPr="004F320A">
        <w:rPr>
          <w:sz w:val="20"/>
          <w:szCs w:val="20"/>
        </w:rPr>
        <w:t xml:space="preserve">As the country moves beyond the COVID 19 crisis, the SCDE-OAE expects the number of IET </w:t>
      </w:r>
      <w:r w:rsidR="60A8FE70" w:rsidRPr="004F320A">
        <w:rPr>
          <w:sz w:val="20"/>
          <w:szCs w:val="20"/>
        </w:rPr>
        <w:t xml:space="preserve">programs offered and IET program </w:t>
      </w:r>
      <w:r w:rsidRPr="004F320A">
        <w:rPr>
          <w:sz w:val="20"/>
          <w:szCs w:val="20"/>
        </w:rPr>
        <w:t>completers to increase</w:t>
      </w:r>
      <w:r w:rsidR="72878F7E" w:rsidRPr="004F320A">
        <w:rPr>
          <w:sz w:val="20"/>
          <w:szCs w:val="20"/>
        </w:rPr>
        <w:t>.</w:t>
      </w:r>
      <w:r w:rsidR="03B83237" w:rsidRPr="004F320A">
        <w:rPr>
          <w:sz w:val="20"/>
          <w:szCs w:val="20"/>
        </w:rPr>
        <w:t xml:space="preserve"> SC continues to struggle with the large number of </w:t>
      </w:r>
      <w:r w:rsidR="29CB221C" w:rsidRPr="004F320A">
        <w:rPr>
          <w:sz w:val="20"/>
          <w:szCs w:val="20"/>
        </w:rPr>
        <w:t>undocumented</w:t>
      </w:r>
      <w:r w:rsidR="03B83237" w:rsidRPr="004F320A">
        <w:rPr>
          <w:sz w:val="20"/>
          <w:szCs w:val="20"/>
        </w:rPr>
        <w:t xml:space="preserve"> individuals who </w:t>
      </w:r>
      <w:r w:rsidR="7A9B6635" w:rsidRPr="004F320A">
        <w:rPr>
          <w:sz w:val="20"/>
          <w:szCs w:val="20"/>
        </w:rPr>
        <w:t>participate in</w:t>
      </w:r>
      <w:r w:rsidR="03B83237" w:rsidRPr="004F320A">
        <w:rPr>
          <w:sz w:val="20"/>
          <w:szCs w:val="20"/>
        </w:rPr>
        <w:t xml:space="preserve"> our programs; these individuals are not eligible to attend local technical colleges, which res</w:t>
      </w:r>
      <w:r w:rsidR="3368F1F8" w:rsidRPr="004F320A">
        <w:rPr>
          <w:sz w:val="20"/>
          <w:szCs w:val="20"/>
        </w:rPr>
        <w:t>ults in a portion of our Adult ELL population not having access to post-secondary training</w:t>
      </w:r>
      <w:r w:rsidR="785776CD" w:rsidRPr="004F320A">
        <w:rPr>
          <w:sz w:val="20"/>
          <w:szCs w:val="20"/>
        </w:rPr>
        <w:t xml:space="preserve">; </w:t>
      </w:r>
      <w:r w:rsidR="20D26F93" w:rsidRPr="004F320A">
        <w:rPr>
          <w:sz w:val="20"/>
          <w:szCs w:val="20"/>
        </w:rPr>
        <w:t xml:space="preserve">due to their status, </w:t>
      </w:r>
      <w:r w:rsidR="785776CD" w:rsidRPr="004F320A">
        <w:rPr>
          <w:sz w:val="20"/>
          <w:szCs w:val="20"/>
        </w:rPr>
        <w:t>t</w:t>
      </w:r>
      <w:r w:rsidR="7760FE76" w:rsidRPr="004F320A">
        <w:rPr>
          <w:sz w:val="20"/>
          <w:szCs w:val="20"/>
        </w:rPr>
        <w:t>hese students</w:t>
      </w:r>
      <w:r w:rsidR="1722BEBE" w:rsidRPr="004F320A">
        <w:rPr>
          <w:sz w:val="20"/>
          <w:szCs w:val="20"/>
        </w:rPr>
        <w:t xml:space="preserve"> </w:t>
      </w:r>
      <w:r w:rsidR="1892BE00" w:rsidRPr="004F320A">
        <w:rPr>
          <w:sz w:val="20"/>
          <w:szCs w:val="20"/>
        </w:rPr>
        <w:t>do not have the opportunity</w:t>
      </w:r>
      <w:r w:rsidR="1722BEBE" w:rsidRPr="004F320A">
        <w:rPr>
          <w:sz w:val="20"/>
          <w:szCs w:val="20"/>
        </w:rPr>
        <w:t xml:space="preserve"> participate in IET programs that partner with technical colleges for occupational training</w:t>
      </w:r>
      <w:r w:rsidR="5EAB61A4" w:rsidRPr="004F320A">
        <w:rPr>
          <w:sz w:val="20"/>
          <w:szCs w:val="20"/>
        </w:rPr>
        <w:t>.</w:t>
      </w:r>
    </w:p>
    <w:p w14:paraId="49BEE188" w14:textId="7E0AE5DF" w:rsidR="42BF7952" w:rsidRPr="004F320A" w:rsidRDefault="42BF7952" w:rsidP="2D724D8C">
      <w:pPr>
        <w:rPr>
          <w:sz w:val="20"/>
          <w:szCs w:val="20"/>
        </w:rPr>
      </w:pPr>
    </w:p>
    <w:p w14:paraId="2BE22C19" w14:textId="2DE7E896" w:rsidR="00F81756" w:rsidRPr="004F320A" w:rsidRDefault="2D724D8C" w:rsidP="2D724D8C">
      <w:pPr>
        <w:rPr>
          <w:sz w:val="20"/>
          <w:szCs w:val="20"/>
        </w:rPr>
      </w:pPr>
      <w:r w:rsidRPr="004F320A">
        <w:rPr>
          <w:sz w:val="20"/>
          <w:szCs w:val="20"/>
        </w:rPr>
        <w:t xml:space="preserve">The </w:t>
      </w:r>
      <w:r w:rsidR="298C6F98" w:rsidRPr="004F320A">
        <w:rPr>
          <w:sz w:val="20"/>
          <w:szCs w:val="20"/>
        </w:rPr>
        <w:t>OAE</w:t>
      </w:r>
      <w:r w:rsidRPr="004F320A">
        <w:rPr>
          <w:sz w:val="20"/>
          <w:szCs w:val="20"/>
        </w:rPr>
        <w:t xml:space="preserve"> ESL Consultant </w:t>
      </w:r>
      <w:r w:rsidR="04FE43A2" w:rsidRPr="004F320A">
        <w:rPr>
          <w:sz w:val="20"/>
          <w:szCs w:val="20"/>
        </w:rPr>
        <w:t>communicated with</w:t>
      </w:r>
      <w:r w:rsidRPr="004F320A">
        <w:rPr>
          <w:sz w:val="20"/>
          <w:szCs w:val="20"/>
        </w:rPr>
        <w:t xml:space="preserve"> many of the adult education sites offering ESL services, including </w:t>
      </w:r>
      <w:r w:rsidR="04FE43A2" w:rsidRPr="004F320A">
        <w:rPr>
          <w:sz w:val="20"/>
          <w:szCs w:val="20"/>
        </w:rPr>
        <w:t xml:space="preserve">all of </w:t>
      </w:r>
      <w:r w:rsidRPr="004F320A">
        <w:rPr>
          <w:sz w:val="20"/>
          <w:szCs w:val="20"/>
        </w:rPr>
        <w:t xml:space="preserve">those awarded with IEL/CE grants, </w:t>
      </w:r>
      <w:proofErr w:type="gramStart"/>
      <w:r w:rsidRPr="004F320A">
        <w:rPr>
          <w:sz w:val="20"/>
          <w:szCs w:val="20"/>
        </w:rPr>
        <w:t>in order to</w:t>
      </w:r>
      <w:proofErr w:type="gramEnd"/>
      <w:r w:rsidRPr="004F320A">
        <w:rPr>
          <w:sz w:val="20"/>
          <w:szCs w:val="20"/>
        </w:rPr>
        <w:t xml:space="preserve"> offer Technical Assistance and to monitor the programs informally. Additionally, an IEL/CE Interim Report and Final Annual Report (IEL/CE FAR) were completed and submitted by each grant recipient. Both reports contained information on program performance and documented progress toward full implementation of the IEL/CE program, including IET and other occupational goals. </w:t>
      </w:r>
      <w:r w:rsidR="04FE43A2" w:rsidRPr="004F320A">
        <w:rPr>
          <w:sz w:val="20"/>
          <w:szCs w:val="20"/>
        </w:rPr>
        <w:t xml:space="preserve">These reports were reviewed, and technical assistance was delivered as needed. </w:t>
      </w:r>
      <w:r w:rsidRPr="004F320A">
        <w:rPr>
          <w:sz w:val="20"/>
          <w:szCs w:val="20"/>
        </w:rPr>
        <w:t xml:space="preserve">The </w:t>
      </w:r>
      <w:r w:rsidR="78D07A1D" w:rsidRPr="004F320A">
        <w:rPr>
          <w:sz w:val="20"/>
          <w:szCs w:val="20"/>
        </w:rPr>
        <w:t>OAE</w:t>
      </w:r>
      <w:r w:rsidRPr="004F320A">
        <w:rPr>
          <w:sz w:val="20"/>
          <w:szCs w:val="20"/>
        </w:rPr>
        <w:t xml:space="preserve"> ESL Consultant and other state staff conducted multiple trainings for directors and ESL practitioners, both regionally and statewide, specifically directed at sharing information and strategies on the implementation of WIOA regulations as they relate to the Adult ESL population</w:t>
      </w:r>
      <w:r w:rsidR="04FE43A2" w:rsidRPr="004F320A">
        <w:rPr>
          <w:sz w:val="20"/>
          <w:szCs w:val="20"/>
        </w:rPr>
        <w:t xml:space="preserve"> and IEL/CE.</w:t>
      </w:r>
      <w:r w:rsidRPr="004F320A">
        <w:rPr>
          <w:sz w:val="20"/>
          <w:szCs w:val="20"/>
        </w:rPr>
        <w:t xml:space="preserve"> Specific technical assistance and training </w:t>
      </w:r>
      <w:r w:rsidR="04FE43A2" w:rsidRPr="004F320A">
        <w:rPr>
          <w:sz w:val="20"/>
          <w:szCs w:val="20"/>
        </w:rPr>
        <w:t>was delivered individually and at statewide meetings</w:t>
      </w:r>
      <w:r w:rsidRPr="004F320A">
        <w:rPr>
          <w:sz w:val="20"/>
          <w:szCs w:val="20"/>
        </w:rPr>
        <w:t xml:space="preserve"> regarding individual program planning and implementation of </w:t>
      </w:r>
      <w:r w:rsidR="434556A5" w:rsidRPr="004F320A">
        <w:rPr>
          <w:sz w:val="20"/>
          <w:szCs w:val="20"/>
        </w:rPr>
        <w:t xml:space="preserve">an </w:t>
      </w:r>
      <w:r w:rsidR="04FE43A2" w:rsidRPr="004F320A">
        <w:rPr>
          <w:sz w:val="20"/>
          <w:szCs w:val="20"/>
        </w:rPr>
        <w:t>IET, with particular emphasis on the challenges presented by COVID. For IEL/CE programs not yet in the IET implementation phase,</w:t>
      </w:r>
      <w:r w:rsidRPr="004F320A">
        <w:rPr>
          <w:sz w:val="20"/>
          <w:szCs w:val="20"/>
        </w:rPr>
        <w:t xml:space="preserve"> </w:t>
      </w:r>
      <w:r w:rsidR="4BD9F210" w:rsidRPr="004F320A">
        <w:rPr>
          <w:sz w:val="20"/>
          <w:szCs w:val="20"/>
        </w:rPr>
        <w:t xml:space="preserve">OAE </w:t>
      </w:r>
      <w:r w:rsidR="28F330D0" w:rsidRPr="004F320A">
        <w:rPr>
          <w:sz w:val="20"/>
          <w:szCs w:val="20"/>
        </w:rPr>
        <w:t>staff provided</w:t>
      </w:r>
      <w:r w:rsidRPr="004F320A">
        <w:rPr>
          <w:sz w:val="20"/>
          <w:szCs w:val="20"/>
        </w:rPr>
        <w:t xml:space="preserve"> information and t</w:t>
      </w:r>
      <w:r w:rsidR="70839DC5" w:rsidRPr="004F320A">
        <w:rPr>
          <w:sz w:val="20"/>
          <w:szCs w:val="20"/>
        </w:rPr>
        <w:t>echnical assistance</w:t>
      </w:r>
      <w:r w:rsidRPr="004F320A">
        <w:rPr>
          <w:sz w:val="20"/>
          <w:szCs w:val="20"/>
        </w:rPr>
        <w:t xml:space="preserve"> necessary to complete the process for submitting an IET proposal to the OAE for approval</w:t>
      </w:r>
      <w:r w:rsidR="00934ADA" w:rsidRPr="004F320A">
        <w:rPr>
          <w:sz w:val="20"/>
          <w:szCs w:val="20"/>
        </w:rPr>
        <w:t xml:space="preserve">. </w:t>
      </w:r>
      <w:r w:rsidRPr="004F320A">
        <w:rPr>
          <w:sz w:val="20"/>
          <w:szCs w:val="20"/>
        </w:rPr>
        <w:t>Criteria for approval included:</w:t>
      </w:r>
    </w:p>
    <w:p w14:paraId="79A0FFC6" w14:textId="77777777" w:rsidR="00F81756" w:rsidRPr="004F320A" w:rsidRDefault="2D724D8C" w:rsidP="2D724D8C">
      <w:pPr>
        <w:pStyle w:val="ListParagraph"/>
        <w:numPr>
          <w:ilvl w:val="0"/>
          <w:numId w:val="4"/>
        </w:numPr>
        <w:rPr>
          <w:sz w:val="20"/>
          <w:szCs w:val="20"/>
        </w:rPr>
      </w:pPr>
      <w:r w:rsidRPr="004F320A">
        <w:rPr>
          <w:sz w:val="20"/>
          <w:szCs w:val="20"/>
        </w:rPr>
        <w:t>Alignment with identified local workforce needs as detailed in the Local Workforce Development Plan or local employer need.</w:t>
      </w:r>
    </w:p>
    <w:p w14:paraId="060CF895" w14:textId="77777777" w:rsidR="00F81756" w:rsidRPr="004F320A" w:rsidRDefault="2D724D8C" w:rsidP="2D724D8C">
      <w:pPr>
        <w:pStyle w:val="ListParagraph"/>
        <w:numPr>
          <w:ilvl w:val="0"/>
          <w:numId w:val="4"/>
        </w:numPr>
        <w:rPr>
          <w:sz w:val="20"/>
          <w:szCs w:val="20"/>
        </w:rPr>
      </w:pPr>
      <w:r w:rsidRPr="004F320A">
        <w:rPr>
          <w:sz w:val="20"/>
          <w:szCs w:val="20"/>
        </w:rPr>
        <w:t>Contextual and concurrent English language instruction directly aligned with occupational training.</w:t>
      </w:r>
    </w:p>
    <w:p w14:paraId="755D6F6E" w14:textId="77777777" w:rsidR="00F81756" w:rsidRPr="004F320A" w:rsidRDefault="2D724D8C" w:rsidP="2D724D8C">
      <w:pPr>
        <w:pStyle w:val="ListParagraph"/>
        <w:numPr>
          <w:ilvl w:val="0"/>
          <w:numId w:val="4"/>
        </w:numPr>
        <w:rPr>
          <w:sz w:val="20"/>
          <w:szCs w:val="20"/>
        </w:rPr>
      </w:pPr>
      <w:r w:rsidRPr="004F320A">
        <w:rPr>
          <w:sz w:val="20"/>
          <w:szCs w:val="20"/>
        </w:rPr>
        <w:t>Workforce preparation activities.</w:t>
      </w:r>
    </w:p>
    <w:p w14:paraId="7FE818EE" w14:textId="77777777" w:rsidR="00F81756" w:rsidRPr="004F320A" w:rsidRDefault="2D724D8C" w:rsidP="2D724D8C">
      <w:pPr>
        <w:pStyle w:val="ListParagraph"/>
        <w:numPr>
          <w:ilvl w:val="0"/>
          <w:numId w:val="4"/>
        </w:numPr>
        <w:rPr>
          <w:sz w:val="20"/>
          <w:szCs w:val="20"/>
        </w:rPr>
      </w:pPr>
      <w:r w:rsidRPr="004F320A">
        <w:rPr>
          <w:sz w:val="20"/>
          <w:szCs w:val="20"/>
        </w:rPr>
        <w:t>Student attainment of a nationally recognized credential leading to self-sustaining employment.</w:t>
      </w:r>
    </w:p>
    <w:p w14:paraId="7C9C9041" w14:textId="76D132AC" w:rsidR="00F81756" w:rsidRPr="004F320A" w:rsidRDefault="00F81756" w:rsidP="2D724D8C">
      <w:pPr>
        <w:rPr>
          <w:sz w:val="20"/>
          <w:szCs w:val="20"/>
        </w:rPr>
      </w:pPr>
    </w:p>
    <w:p w14:paraId="2F84C565" w14:textId="6055FA02" w:rsidR="00F81756" w:rsidRPr="004F320A" w:rsidRDefault="2D724D8C" w:rsidP="1C1D7E4D">
      <w:pPr>
        <w:rPr>
          <w:sz w:val="20"/>
          <w:szCs w:val="20"/>
        </w:rPr>
      </w:pPr>
      <w:r w:rsidRPr="004F320A">
        <w:rPr>
          <w:sz w:val="20"/>
          <w:szCs w:val="20"/>
        </w:rPr>
        <w:t xml:space="preserve">Additionally, a database of South Carolina ESL practitioners was updated and used to disseminate information concerning all areas of IEL/CE grant implementation, instructional issues, upcoming trainings, and other communications unique and useful to this group of practitioners. </w:t>
      </w:r>
      <w:r w:rsidR="3826C557" w:rsidRPr="004F320A">
        <w:rPr>
          <w:sz w:val="20"/>
          <w:szCs w:val="20"/>
        </w:rPr>
        <w:t xml:space="preserve">In response to the COVID crisis, multiple </w:t>
      </w:r>
      <w:r w:rsidR="61164E7B" w:rsidRPr="004F320A">
        <w:rPr>
          <w:sz w:val="20"/>
          <w:szCs w:val="20"/>
        </w:rPr>
        <w:t>training sessions</w:t>
      </w:r>
      <w:r w:rsidR="3826C557" w:rsidRPr="004F320A">
        <w:rPr>
          <w:sz w:val="20"/>
          <w:szCs w:val="20"/>
        </w:rPr>
        <w:t xml:space="preserve"> were held to give local s</w:t>
      </w:r>
      <w:r w:rsidR="75BEEAF1" w:rsidRPr="004F320A">
        <w:rPr>
          <w:sz w:val="20"/>
          <w:szCs w:val="20"/>
        </w:rPr>
        <w:t>taff</w:t>
      </w:r>
      <w:r w:rsidR="3826C557" w:rsidRPr="004F320A">
        <w:rPr>
          <w:sz w:val="20"/>
          <w:szCs w:val="20"/>
        </w:rPr>
        <w:t xml:space="preserve"> information and resources to </w:t>
      </w:r>
      <w:r w:rsidR="32446115" w:rsidRPr="004F320A">
        <w:rPr>
          <w:sz w:val="20"/>
          <w:szCs w:val="20"/>
        </w:rPr>
        <w:t>provide instruction using virtual means</w:t>
      </w:r>
      <w:r w:rsidR="21F4001B" w:rsidRPr="004F320A">
        <w:rPr>
          <w:sz w:val="20"/>
          <w:szCs w:val="20"/>
        </w:rPr>
        <w:t>, either synchronous or asynchronous</w:t>
      </w:r>
      <w:r w:rsidR="32446115" w:rsidRPr="004F320A">
        <w:rPr>
          <w:sz w:val="20"/>
          <w:szCs w:val="20"/>
        </w:rPr>
        <w:t xml:space="preserve">. </w:t>
      </w:r>
      <w:r w:rsidR="2C5B2428" w:rsidRPr="004F320A">
        <w:rPr>
          <w:sz w:val="20"/>
          <w:szCs w:val="20"/>
        </w:rPr>
        <w:t xml:space="preserve">The expansion of the </w:t>
      </w:r>
      <w:r w:rsidR="08685CE2" w:rsidRPr="004F320A">
        <w:rPr>
          <w:sz w:val="20"/>
          <w:szCs w:val="20"/>
        </w:rPr>
        <w:t xml:space="preserve">approved </w:t>
      </w:r>
      <w:r w:rsidR="2C5B2428" w:rsidRPr="004F320A">
        <w:rPr>
          <w:sz w:val="20"/>
          <w:szCs w:val="20"/>
        </w:rPr>
        <w:t xml:space="preserve">methods in which programs could count </w:t>
      </w:r>
      <w:r w:rsidR="3F721D6D" w:rsidRPr="004F320A">
        <w:rPr>
          <w:sz w:val="20"/>
          <w:szCs w:val="20"/>
        </w:rPr>
        <w:t xml:space="preserve">instructional </w:t>
      </w:r>
      <w:r w:rsidR="2C5B2428" w:rsidRPr="004F320A">
        <w:rPr>
          <w:sz w:val="20"/>
          <w:szCs w:val="20"/>
        </w:rPr>
        <w:t xml:space="preserve">hours toward post-testing greatly improved the continuity of </w:t>
      </w:r>
      <w:r w:rsidR="3F0354C3" w:rsidRPr="004F320A">
        <w:rPr>
          <w:sz w:val="20"/>
          <w:szCs w:val="20"/>
        </w:rPr>
        <w:t xml:space="preserve">instructional </w:t>
      </w:r>
      <w:r w:rsidR="2C5B2428" w:rsidRPr="004F320A">
        <w:rPr>
          <w:sz w:val="20"/>
          <w:szCs w:val="20"/>
        </w:rPr>
        <w:t xml:space="preserve">services for </w:t>
      </w:r>
      <w:r w:rsidR="78707959" w:rsidRPr="004F320A">
        <w:rPr>
          <w:sz w:val="20"/>
          <w:szCs w:val="20"/>
        </w:rPr>
        <w:t xml:space="preserve">IEL/CE </w:t>
      </w:r>
      <w:r w:rsidR="2C5B2428" w:rsidRPr="004F320A">
        <w:rPr>
          <w:sz w:val="20"/>
          <w:szCs w:val="20"/>
        </w:rPr>
        <w:t>s</w:t>
      </w:r>
      <w:r w:rsidR="2C53C3B9" w:rsidRPr="004F320A">
        <w:rPr>
          <w:sz w:val="20"/>
          <w:szCs w:val="20"/>
        </w:rPr>
        <w:t>tudents.</w:t>
      </w:r>
      <w:r w:rsidR="7F4B90E0" w:rsidRPr="004F320A">
        <w:rPr>
          <w:sz w:val="20"/>
          <w:szCs w:val="20"/>
        </w:rPr>
        <w:t xml:space="preserve"> Asynchronous virtual English learning opportunities were also leveraged, including Rosetta Stone, </w:t>
      </w:r>
      <w:proofErr w:type="spellStart"/>
      <w:r w:rsidR="7F4B90E0" w:rsidRPr="004F320A">
        <w:rPr>
          <w:sz w:val="20"/>
          <w:szCs w:val="20"/>
        </w:rPr>
        <w:t>USALearns</w:t>
      </w:r>
      <w:proofErr w:type="spellEnd"/>
      <w:r w:rsidR="7F4B90E0" w:rsidRPr="004F320A">
        <w:rPr>
          <w:sz w:val="20"/>
          <w:szCs w:val="20"/>
        </w:rPr>
        <w:t xml:space="preserve"> and Schoology. Blended programs such as Burlington English further </w:t>
      </w:r>
      <w:r w:rsidR="14A31E6E" w:rsidRPr="004F320A">
        <w:rPr>
          <w:sz w:val="20"/>
          <w:szCs w:val="20"/>
        </w:rPr>
        <w:t>extended</w:t>
      </w:r>
      <w:r w:rsidR="7F4B90E0" w:rsidRPr="004F320A">
        <w:rPr>
          <w:sz w:val="20"/>
          <w:szCs w:val="20"/>
        </w:rPr>
        <w:t xml:space="preserve"> quality </w:t>
      </w:r>
      <w:r w:rsidR="5A84FAF9" w:rsidRPr="004F320A">
        <w:rPr>
          <w:sz w:val="20"/>
          <w:szCs w:val="20"/>
        </w:rPr>
        <w:t>instruction to our Adult English language learners.</w:t>
      </w:r>
      <w:r w:rsidR="7F4B90E0" w:rsidRPr="004F320A">
        <w:rPr>
          <w:sz w:val="20"/>
          <w:szCs w:val="20"/>
        </w:rPr>
        <w:t xml:space="preserve"> Programs utilized conferencing platforms (Google Meets, Zoom, Microsoft Teams, etc.) to continue to provide synchronous instruction to their students by virtual means.</w:t>
      </w:r>
      <w:r w:rsidR="33A9CD66" w:rsidRPr="004F320A">
        <w:rPr>
          <w:sz w:val="20"/>
          <w:szCs w:val="20"/>
        </w:rPr>
        <w:t xml:space="preserve"> </w:t>
      </w:r>
      <w:r w:rsidR="28D0F6F2" w:rsidRPr="004F320A">
        <w:rPr>
          <w:sz w:val="20"/>
          <w:szCs w:val="20"/>
        </w:rPr>
        <w:t>A challenge face</w:t>
      </w:r>
      <w:r w:rsidR="7A256D2D" w:rsidRPr="004F320A">
        <w:rPr>
          <w:sz w:val="20"/>
          <w:szCs w:val="20"/>
        </w:rPr>
        <w:t>d</w:t>
      </w:r>
      <w:r w:rsidR="28D0F6F2" w:rsidRPr="004F320A">
        <w:rPr>
          <w:sz w:val="20"/>
          <w:szCs w:val="20"/>
        </w:rPr>
        <w:t xml:space="preserve"> by </w:t>
      </w:r>
      <w:r w:rsidR="5871FC47" w:rsidRPr="004F320A">
        <w:rPr>
          <w:sz w:val="20"/>
          <w:szCs w:val="20"/>
        </w:rPr>
        <w:t>many</w:t>
      </w:r>
      <w:r w:rsidR="28D0F6F2" w:rsidRPr="004F320A">
        <w:rPr>
          <w:sz w:val="20"/>
          <w:szCs w:val="20"/>
        </w:rPr>
        <w:t xml:space="preserve"> IEL/CE programs was </w:t>
      </w:r>
      <w:r w:rsidR="0FF050FE" w:rsidRPr="004F320A">
        <w:rPr>
          <w:sz w:val="20"/>
          <w:szCs w:val="20"/>
        </w:rPr>
        <w:t xml:space="preserve">students’ </w:t>
      </w:r>
      <w:r w:rsidR="28D0F6F2" w:rsidRPr="004F320A">
        <w:rPr>
          <w:sz w:val="20"/>
          <w:szCs w:val="20"/>
        </w:rPr>
        <w:t>limited access to technology, which hampered access to virtual instruction. Programs met this challenge by providing loane</w:t>
      </w:r>
      <w:r w:rsidR="359E23BA" w:rsidRPr="004F320A">
        <w:rPr>
          <w:sz w:val="20"/>
          <w:szCs w:val="20"/>
        </w:rPr>
        <w:t xml:space="preserve">r devices, </w:t>
      </w:r>
      <w:proofErr w:type="spellStart"/>
      <w:r w:rsidR="359E23BA" w:rsidRPr="004F320A">
        <w:rPr>
          <w:sz w:val="20"/>
          <w:szCs w:val="20"/>
        </w:rPr>
        <w:t>mifis</w:t>
      </w:r>
      <w:proofErr w:type="spellEnd"/>
      <w:r w:rsidR="359E23BA" w:rsidRPr="004F320A">
        <w:rPr>
          <w:sz w:val="20"/>
          <w:szCs w:val="20"/>
        </w:rPr>
        <w:t xml:space="preserve"> and utilizing </w:t>
      </w:r>
      <w:r w:rsidR="40E5EA7A" w:rsidRPr="004F320A">
        <w:rPr>
          <w:sz w:val="20"/>
          <w:szCs w:val="20"/>
        </w:rPr>
        <w:t xml:space="preserve">mobile friendly </w:t>
      </w:r>
      <w:r w:rsidR="359E23BA" w:rsidRPr="004F320A">
        <w:rPr>
          <w:sz w:val="20"/>
          <w:szCs w:val="20"/>
        </w:rPr>
        <w:t>virtual platforms</w:t>
      </w:r>
      <w:r w:rsidR="5EF9D547" w:rsidRPr="004F320A">
        <w:rPr>
          <w:sz w:val="20"/>
          <w:szCs w:val="20"/>
        </w:rPr>
        <w:t xml:space="preserve"> when possible</w:t>
      </w:r>
      <w:r w:rsidR="359E23BA" w:rsidRPr="004F320A">
        <w:rPr>
          <w:sz w:val="20"/>
          <w:szCs w:val="20"/>
        </w:rPr>
        <w:t>.</w:t>
      </w:r>
    </w:p>
    <w:p w14:paraId="2115DAD7" w14:textId="5EA9DBF6" w:rsidR="00F81756" w:rsidRPr="004F320A" w:rsidRDefault="00F81756" w:rsidP="1C1D7E4D">
      <w:pPr>
        <w:rPr>
          <w:sz w:val="20"/>
          <w:szCs w:val="20"/>
        </w:rPr>
      </w:pPr>
    </w:p>
    <w:p w14:paraId="57A383A8" w14:textId="666C8285" w:rsidR="00F81756" w:rsidRPr="004F320A" w:rsidRDefault="0996E3A6" w:rsidP="1C1D7E4D">
      <w:pPr>
        <w:rPr>
          <w:sz w:val="20"/>
          <w:szCs w:val="20"/>
        </w:rPr>
      </w:pPr>
      <w:r w:rsidRPr="004F320A">
        <w:rPr>
          <w:sz w:val="20"/>
          <w:szCs w:val="20"/>
        </w:rPr>
        <w:t xml:space="preserve">Each IEL/CE program is required to have a College and Career </w:t>
      </w:r>
      <w:r w:rsidR="007A17A5" w:rsidRPr="004F320A">
        <w:rPr>
          <w:sz w:val="20"/>
          <w:szCs w:val="20"/>
        </w:rPr>
        <w:t>Navigator</w:t>
      </w:r>
      <w:r w:rsidRPr="004F320A">
        <w:rPr>
          <w:sz w:val="20"/>
          <w:szCs w:val="20"/>
        </w:rPr>
        <w:t xml:space="preserve"> </w:t>
      </w:r>
      <w:r w:rsidR="51B92468" w:rsidRPr="004F320A">
        <w:rPr>
          <w:sz w:val="20"/>
          <w:szCs w:val="20"/>
        </w:rPr>
        <w:t xml:space="preserve">(CCN) </w:t>
      </w:r>
      <w:r w:rsidRPr="004F320A">
        <w:rPr>
          <w:sz w:val="20"/>
          <w:szCs w:val="20"/>
        </w:rPr>
        <w:t xml:space="preserve">on staff to assist </w:t>
      </w:r>
      <w:r w:rsidR="0ABC3A40" w:rsidRPr="004F320A">
        <w:rPr>
          <w:sz w:val="20"/>
          <w:szCs w:val="20"/>
        </w:rPr>
        <w:t>students</w:t>
      </w:r>
      <w:r w:rsidRPr="004F320A">
        <w:rPr>
          <w:sz w:val="20"/>
          <w:szCs w:val="20"/>
        </w:rPr>
        <w:t xml:space="preserve"> in meeting their educational </w:t>
      </w:r>
      <w:r w:rsidR="50CD59FA" w:rsidRPr="004F320A">
        <w:rPr>
          <w:sz w:val="20"/>
          <w:szCs w:val="20"/>
        </w:rPr>
        <w:t xml:space="preserve">(secondary and post-secondary) </w:t>
      </w:r>
      <w:r w:rsidRPr="004F320A">
        <w:rPr>
          <w:sz w:val="20"/>
          <w:szCs w:val="20"/>
        </w:rPr>
        <w:t xml:space="preserve">and career goals. These staff members worked with students to </w:t>
      </w:r>
      <w:r w:rsidR="358C37CD" w:rsidRPr="004F320A">
        <w:rPr>
          <w:sz w:val="20"/>
          <w:szCs w:val="20"/>
        </w:rPr>
        <w:t xml:space="preserve">identify career goals, introduce </w:t>
      </w:r>
      <w:r w:rsidR="6FFE46EC" w:rsidRPr="004F320A">
        <w:rPr>
          <w:sz w:val="20"/>
          <w:szCs w:val="20"/>
        </w:rPr>
        <w:t>career</w:t>
      </w:r>
      <w:r w:rsidR="358C37CD" w:rsidRPr="004F320A">
        <w:rPr>
          <w:sz w:val="20"/>
          <w:szCs w:val="20"/>
        </w:rPr>
        <w:t xml:space="preserve"> pathways and to navigate various systems that would </w:t>
      </w:r>
      <w:r w:rsidR="316B8922" w:rsidRPr="004F320A">
        <w:rPr>
          <w:sz w:val="20"/>
          <w:szCs w:val="20"/>
        </w:rPr>
        <w:t>assist</w:t>
      </w:r>
      <w:r w:rsidR="358C37CD" w:rsidRPr="004F320A">
        <w:rPr>
          <w:sz w:val="20"/>
          <w:szCs w:val="20"/>
        </w:rPr>
        <w:t xml:space="preserve"> students to attain their goals.</w:t>
      </w:r>
      <w:r w:rsidR="62F8B8E2" w:rsidRPr="004F320A">
        <w:rPr>
          <w:sz w:val="20"/>
          <w:szCs w:val="20"/>
        </w:rPr>
        <w:t xml:space="preserve"> They were </w:t>
      </w:r>
      <w:r w:rsidR="198205F9" w:rsidRPr="004F320A">
        <w:rPr>
          <w:sz w:val="20"/>
          <w:szCs w:val="20"/>
        </w:rPr>
        <w:lastRenderedPageBreak/>
        <w:t xml:space="preserve">also </w:t>
      </w:r>
      <w:r w:rsidR="62F8B8E2" w:rsidRPr="004F320A">
        <w:rPr>
          <w:sz w:val="20"/>
          <w:szCs w:val="20"/>
        </w:rPr>
        <w:t>integral in delivering workforce preparation activities to students.</w:t>
      </w:r>
      <w:r w:rsidR="358C37CD" w:rsidRPr="004F320A">
        <w:rPr>
          <w:sz w:val="20"/>
          <w:szCs w:val="20"/>
        </w:rPr>
        <w:t xml:space="preserve"> </w:t>
      </w:r>
      <w:r w:rsidR="74982C23" w:rsidRPr="004F320A">
        <w:rPr>
          <w:sz w:val="20"/>
          <w:szCs w:val="20"/>
        </w:rPr>
        <w:t>In addition, t</w:t>
      </w:r>
      <w:r w:rsidR="42C82D3F" w:rsidRPr="004F320A">
        <w:rPr>
          <w:sz w:val="20"/>
          <w:szCs w:val="20"/>
        </w:rPr>
        <w:t>he CCNs</w:t>
      </w:r>
      <w:r w:rsidR="5C7C3615" w:rsidRPr="004F320A">
        <w:rPr>
          <w:sz w:val="20"/>
          <w:szCs w:val="20"/>
        </w:rPr>
        <w:t xml:space="preserve"> assisted students in addressing barriers to participation in the IEL/CE program.</w:t>
      </w:r>
      <w:r w:rsidR="2881363C" w:rsidRPr="004F320A">
        <w:rPr>
          <w:sz w:val="20"/>
          <w:szCs w:val="20"/>
        </w:rPr>
        <w:t xml:space="preserve"> </w:t>
      </w:r>
    </w:p>
    <w:p w14:paraId="41F71744" w14:textId="1E74C7D6" w:rsidR="00F81756" w:rsidRPr="004F320A" w:rsidRDefault="00F81756" w:rsidP="1C1D7E4D"/>
    <w:p w14:paraId="2BA22565" w14:textId="74C50027" w:rsidR="00F81756" w:rsidRPr="004F320A" w:rsidRDefault="1D04FE10" w:rsidP="1C1D7E4D">
      <w:pPr>
        <w:rPr>
          <w:sz w:val="20"/>
          <w:szCs w:val="20"/>
        </w:rPr>
      </w:pPr>
      <w:r w:rsidRPr="004F320A">
        <w:rPr>
          <w:color w:val="000000" w:themeColor="text1"/>
          <w:sz w:val="20"/>
          <w:szCs w:val="20"/>
        </w:rPr>
        <w:t>In attempts to meet the</w:t>
      </w:r>
      <w:r w:rsidR="54041C8C" w:rsidRPr="004F320A">
        <w:rPr>
          <w:color w:val="000000" w:themeColor="text1"/>
          <w:sz w:val="20"/>
          <w:szCs w:val="20"/>
        </w:rPr>
        <w:t xml:space="preserve"> needs of the ESL population participating in IEL/CE programs</w:t>
      </w:r>
      <w:r w:rsidR="3E36BD99" w:rsidRPr="004F320A">
        <w:rPr>
          <w:color w:val="000000" w:themeColor="text1"/>
          <w:sz w:val="20"/>
          <w:szCs w:val="20"/>
        </w:rPr>
        <w:t>, local program</w:t>
      </w:r>
      <w:r w:rsidR="2FCA1961" w:rsidRPr="004F320A">
        <w:rPr>
          <w:color w:val="000000" w:themeColor="text1"/>
          <w:sz w:val="20"/>
          <w:szCs w:val="20"/>
        </w:rPr>
        <w:t>s</w:t>
      </w:r>
      <w:r w:rsidR="3E36BD99" w:rsidRPr="004F320A">
        <w:rPr>
          <w:color w:val="000000" w:themeColor="text1"/>
          <w:sz w:val="20"/>
          <w:szCs w:val="20"/>
        </w:rPr>
        <w:t xml:space="preserve"> implemented flexible scheduling which included </w:t>
      </w:r>
      <w:r w:rsidR="54041C8C" w:rsidRPr="004F320A">
        <w:rPr>
          <w:color w:val="000000" w:themeColor="text1"/>
          <w:sz w:val="20"/>
          <w:szCs w:val="20"/>
        </w:rPr>
        <w:t>class offerings</w:t>
      </w:r>
      <w:r w:rsidR="29D22AD8" w:rsidRPr="004F320A">
        <w:rPr>
          <w:color w:val="000000" w:themeColor="text1"/>
          <w:sz w:val="20"/>
          <w:szCs w:val="20"/>
        </w:rPr>
        <w:t xml:space="preserve"> (in-person and virtual)</w:t>
      </w:r>
      <w:r w:rsidR="54041C8C" w:rsidRPr="004F320A">
        <w:rPr>
          <w:color w:val="000000" w:themeColor="text1"/>
          <w:sz w:val="20"/>
          <w:szCs w:val="20"/>
        </w:rPr>
        <w:t xml:space="preserve"> in the mornings, afternoons, evenings, and on weekends. The provision of transportation and childcare </w:t>
      </w:r>
      <w:r w:rsidR="61792F28" w:rsidRPr="004F320A">
        <w:rPr>
          <w:color w:val="000000" w:themeColor="text1"/>
          <w:sz w:val="20"/>
          <w:szCs w:val="20"/>
        </w:rPr>
        <w:t xml:space="preserve">for in-person classes </w:t>
      </w:r>
      <w:r w:rsidR="54041C8C" w:rsidRPr="004F320A">
        <w:rPr>
          <w:color w:val="000000" w:themeColor="text1"/>
          <w:sz w:val="20"/>
          <w:szCs w:val="20"/>
        </w:rPr>
        <w:t>were often the effect of collaborative efforts between Adult Education and churches, as well as other community-based organizations</w:t>
      </w:r>
      <w:r w:rsidR="54041C8C" w:rsidRPr="004F320A">
        <w:t>.</w:t>
      </w:r>
      <w:r w:rsidR="54041C8C" w:rsidRPr="004F320A">
        <w:rPr>
          <w:sz w:val="20"/>
          <w:szCs w:val="20"/>
        </w:rPr>
        <w:t xml:space="preserve"> Volunteers provided essential assistance with individualized tutoring and small group instruction, as well as with coordination of childcare services, transportation, and food provision. The total involvement of these community organizations and the adult education programs, as well as the full support of the school districts, </w:t>
      </w:r>
      <w:r w:rsidR="056D33EE" w:rsidRPr="004F320A">
        <w:rPr>
          <w:sz w:val="20"/>
          <w:szCs w:val="20"/>
        </w:rPr>
        <w:t>contributed to</w:t>
      </w:r>
      <w:r w:rsidR="54041C8C" w:rsidRPr="004F320A">
        <w:rPr>
          <w:sz w:val="20"/>
          <w:szCs w:val="20"/>
        </w:rPr>
        <w:t xml:space="preserve"> the success of </w:t>
      </w:r>
      <w:r w:rsidR="43E69F73" w:rsidRPr="004F320A">
        <w:rPr>
          <w:sz w:val="20"/>
          <w:szCs w:val="20"/>
        </w:rPr>
        <w:t xml:space="preserve">SC IEL/CE </w:t>
      </w:r>
      <w:r w:rsidR="54041C8C" w:rsidRPr="004F320A">
        <w:rPr>
          <w:sz w:val="20"/>
          <w:szCs w:val="20"/>
        </w:rPr>
        <w:t>programs.</w:t>
      </w:r>
    </w:p>
    <w:p w14:paraId="03DBA2C4" w14:textId="0F2F8C8B" w:rsidR="00F81756" w:rsidRPr="00791D80" w:rsidRDefault="00F81756" w:rsidP="2D724D8C"/>
    <w:p w14:paraId="4F87EB38" w14:textId="2FC6D3A9" w:rsidR="73AD4470" w:rsidRDefault="73AD4470" w:rsidP="21D8749D">
      <w:pPr>
        <w:rPr>
          <w:b/>
          <w:bCs/>
        </w:rPr>
      </w:pPr>
      <w:r w:rsidRPr="21D8749D">
        <w:rPr>
          <w:b/>
          <w:bCs/>
        </w:rPr>
        <w:t>5. If your State has adopted new challenging K-12 standards under title I of the Elementary and Secondary Education Act of 1965, as amended, describe how your Adult Education content standards are aligned with those K-12 standards.</w:t>
      </w:r>
    </w:p>
    <w:p w14:paraId="2BA3E883" w14:textId="167AF976" w:rsidR="73AD4470" w:rsidRDefault="73AD4470" w:rsidP="21D8749D">
      <w:pPr>
        <w:pStyle w:val="ListParagraph"/>
        <w:numPr>
          <w:ilvl w:val="0"/>
          <w:numId w:val="5"/>
        </w:numPr>
        <w:rPr>
          <w:rFonts w:asciiTheme="minorHAnsi" w:eastAsiaTheme="minorEastAsia" w:hAnsiTheme="minorHAnsi" w:cstheme="minorBidi"/>
          <w:b/>
          <w:bCs/>
        </w:rPr>
      </w:pPr>
      <w:r w:rsidRPr="21D8749D">
        <w:rPr>
          <w:b/>
          <w:bCs/>
        </w:rPr>
        <w:t>Optional – Describe implementation efforts, challenges, and any lessons learned.</w:t>
      </w:r>
    </w:p>
    <w:p w14:paraId="6C97F9DF" w14:textId="2C104F79" w:rsidR="73AD4470" w:rsidRDefault="73AD4470">
      <w:r w:rsidRPr="21D8749D">
        <w:t xml:space="preserve"> </w:t>
      </w:r>
    </w:p>
    <w:p w14:paraId="3C40AD32" w14:textId="1D2A8B50" w:rsidR="73AD4470" w:rsidRPr="004F320A" w:rsidRDefault="73AD4470" w:rsidP="053E4143">
      <w:pPr>
        <w:rPr>
          <w:sz w:val="20"/>
          <w:szCs w:val="20"/>
        </w:rPr>
      </w:pPr>
      <w:r w:rsidRPr="004F320A">
        <w:rPr>
          <w:sz w:val="20"/>
          <w:szCs w:val="20"/>
        </w:rPr>
        <w:t xml:space="preserve">The Curriculum Framework continued to be the driving force for instructional planning </w:t>
      </w:r>
      <w:proofErr w:type="gramStart"/>
      <w:r w:rsidRPr="004F320A">
        <w:rPr>
          <w:sz w:val="20"/>
          <w:szCs w:val="20"/>
        </w:rPr>
        <w:t>in regards to</w:t>
      </w:r>
      <w:proofErr w:type="gramEnd"/>
      <w:r w:rsidRPr="004F320A">
        <w:rPr>
          <w:sz w:val="20"/>
          <w:szCs w:val="20"/>
        </w:rPr>
        <w:t xml:space="preserve"> aligning adult education curriculum with the College and Career Ready Standards. The Curriculum Framework focuses on the identified skills that a student needs to obtain a measurable skill gain, career readiness certificate, high school equivalency diploma, and to prepare for postsecondary education and training. The framework is the result of a crosswalk between the South Carolina College- and Career-Ready Standards (SCCCRS) and the Office of Career, Technical, and Adult Education (OCTAE) College and Career Readiness (CCR) Standards. In addition, the framework provides the alignment of the standards with adult education assessments including the Test of Adult Basic Education (TABE), GED, WIN Ready 2 Work, and the Next Generation ACCUPLACER. </w:t>
      </w:r>
    </w:p>
    <w:p w14:paraId="5C769612" w14:textId="7EAD4932" w:rsidR="73AD4470" w:rsidRPr="004F320A" w:rsidRDefault="73AD4470" w:rsidP="053E4143">
      <w:pPr>
        <w:rPr>
          <w:sz w:val="20"/>
          <w:szCs w:val="20"/>
        </w:rPr>
      </w:pPr>
      <w:r w:rsidRPr="004F320A">
        <w:rPr>
          <w:sz w:val="20"/>
          <w:szCs w:val="20"/>
        </w:rPr>
        <w:t xml:space="preserve"> </w:t>
      </w:r>
    </w:p>
    <w:p w14:paraId="74FEBC53" w14:textId="7546A99D" w:rsidR="73AD4470" w:rsidRPr="004F320A" w:rsidRDefault="73AD4470" w:rsidP="053E4143">
      <w:pPr>
        <w:rPr>
          <w:sz w:val="20"/>
          <w:szCs w:val="20"/>
        </w:rPr>
      </w:pPr>
      <w:r w:rsidRPr="004F320A">
        <w:rPr>
          <w:sz w:val="20"/>
          <w:szCs w:val="20"/>
        </w:rPr>
        <w:t xml:space="preserve">The OAE staff, State Trainers, Curriculum Specialists, and other subject matter experts from local programs provided local, regional, and statewide workshops throughout the 2020-2021 school year. During each Professional Development session, educators examined standards-based instruction, the standards’ alignment to instructional resources, the TABE 11 &amp; 12 assessments, the GED assessment, and digital literacy integration to address Distance Education/Blended </w:t>
      </w:r>
      <w:r w:rsidR="5B9F8146" w:rsidRPr="004F320A">
        <w:rPr>
          <w:sz w:val="20"/>
          <w:szCs w:val="20"/>
        </w:rPr>
        <w:t>L</w:t>
      </w:r>
      <w:r w:rsidRPr="004F320A">
        <w:rPr>
          <w:sz w:val="20"/>
          <w:szCs w:val="20"/>
        </w:rPr>
        <w:t>earning instructional practices.</w:t>
      </w:r>
    </w:p>
    <w:p w14:paraId="6C5B9F43" w14:textId="46904A19" w:rsidR="21D8749D" w:rsidRDefault="21D8749D" w:rsidP="21D8749D"/>
    <w:p w14:paraId="7BDF9BDA" w14:textId="77777777" w:rsidR="367C59DD" w:rsidRDefault="367C59DD" w:rsidP="367C59DD">
      <w:pPr>
        <w:rPr>
          <w:sz w:val="20"/>
          <w:szCs w:val="20"/>
        </w:rPr>
      </w:pPr>
    </w:p>
    <w:p w14:paraId="4C6AFD9E" w14:textId="77777777" w:rsidR="00BA7B74" w:rsidRPr="00080195" w:rsidRDefault="2D724D8C" w:rsidP="2D724D8C">
      <w:pPr>
        <w:autoSpaceDE w:val="0"/>
        <w:autoSpaceDN w:val="0"/>
        <w:adjustRightInd w:val="0"/>
        <w:rPr>
          <w:b/>
          <w:bCs/>
          <w:szCs w:val="20"/>
        </w:rPr>
      </w:pPr>
      <w:r w:rsidRPr="00080195">
        <w:rPr>
          <w:b/>
          <w:bCs/>
          <w:szCs w:val="20"/>
        </w:rPr>
        <w:t>6. Programs for Corrections Education and the Education of Other Institutionalized Individuals (AEFLA Section 225)</w:t>
      </w:r>
    </w:p>
    <w:p w14:paraId="3F908751" w14:textId="77777777" w:rsidR="00850BD5" w:rsidRPr="00080195" w:rsidRDefault="00850BD5" w:rsidP="2D724D8C">
      <w:pPr>
        <w:autoSpaceDE w:val="0"/>
        <w:autoSpaceDN w:val="0"/>
        <w:adjustRightInd w:val="0"/>
        <w:rPr>
          <w:b/>
          <w:bCs/>
          <w:szCs w:val="20"/>
        </w:rPr>
      </w:pPr>
    </w:p>
    <w:p w14:paraId="26A3FE00" w14:textId="77777777" w:rsidR="00BA7B74" w:rsidRPr="00080195" w:rsidRDefault="2D724D8C" w:rsidP="2D724D8C">
      <w:pPr>
        <w:autoSpaceDE w:val="0"/>
        <w:autoSpaceDN w:val="0"/>
        <w:adjustRightInd w:val="0"/>
        <w:rPr>
          <w:b/>
          <w:bCs/>
          <w:szCs w:val="20"/>
        </w:rPr>
      </w:pPr>
      <w:r w:rsidRPr="00080195">
        <w:rPr>
          <w:b/>
          <w:bCs/>
          <w:szCs w:val="20"/>
        </w:rPr>
        <w:t>What was the relative rate of recidivism for criminal offenders served? Please describe the methods and factors used in calculating the rate for this reporting period.</w:t>
      </w:r>
    </w:p>
    <w:p w14:paraId="7C541C17" w14:textId="77777777" w:rsidR="008067B0" w:rsidRPr="00612C57" w:rsidRDefault="008067B0" w:rsidP="58BEB63C">
      <w:pPr>
        <w:autoSpaceDE w:val="0"/>
        <w:autoSpaceDN w:val="0"/>
        <w:adjustRightInd w:val="0"/>
        <w:rPr>
          <w:rFonts w:ascii="Arial" w:eastAsiaTheme="minorEastAsia" w:hAnsi="Arial" w:cs="Arial"/>
          <w:b/>
          <w:bCs/>
          <w:sz w:val="20"/>
          <w:szCs w:val="20"/>
          <w:highlight w:val="yellow"/>
        </w:rPr>
      </w:pPr>
    </w:p>
    <w:p w14:paraId="41C6933E" w14:textId="2ECBCEEB" w:rsidR="1651D86A" w:rsidRPr="004F320A" w:rsidRDefault="1651D86A" w:rsidP="58BEB63C">
      <w:pPr>
        <w:rPr>
          <w:sz w:val="20"/>
          <w:szCs w:val="20"/>
        </w:rPr>
      </w:pPr>
      <w:r w:rsidRPr="004F320A">
        <w:rPr>
          <w:sz w:val="20"/>
          <w:szCs w:val="20"/>
        </w:rPr>
        <w:t xml:space="preserve">The OAE, in collaboration with the SCDE Grants Program and General Counsel, created and distributed a Corrections Education Request for Proposals (RFP) </w:t>
      </w:r>
      <w:r w:rsidR="540D39A9" w:rsidRPr="004F320A">
        <w:rPr>
          <w:sz w:val="20"/>
          <w:szCs w:val="20"/>
        </w:rPr>
        <w:t xml:space="preserve">and </w:t>
      </w:r>
      <w:r w:rsidR="1658735D" w:rsidRPr="004F320A">
        <w:rPr>
          <w:sz w:val="20"/>
          <w:szCs w:val="20"/>
        </w:rPr>
        <w:t>five</w:t>
      </w:r>
      <w:r w:rsidR="0098137C" w:rsidRPr="004F320A">
        <w:rPr>
          <w:sz w:val="20"/>
          <w:szCs w:val="20"/>
        </w:rPr>
        <w:t xml:space="preserve"> </w:t>
      </w:r>
      <w:r w:rsidRPr="004F320A">
        <w:rPr>
          <w:sz w:val="20"/>
          <w:szCs w:val="20"/>
        </w:rPr>
        <w:t>subgrantees</w:t>
      </w:r>
      <w:r w:rsidR="56C96F78" w:rsidRPr="004F320A">
        <w:rPr>
          <w:sz w:val="20"/>
          <w:szCs w:val="20"/>
        </w:rPr>
        <w:t xml:space="preserve"> were selected</w:t>
      </w:r>
      <w:r w:rsidRPr="004F320A">
        <w:rPr>
          <w:sz w:val="20"/>
          <w:szCs w:val="20"/>
        </w:rPr>
        <w:t xml:space="preserve"> statewide</w:t>
      </w:r>
      <w:r w:rsidR="00934ADA" w:rsidRPr="004F320A">
        <w:rPr>
          <w:sz w:val="20"/>
          <w:szCs w:val="20"/>
        </w:rPr>
        <w:t xml:space="preserve">. </w:t>
      </w:r>
      <w:r w:rsidRPr="004F320A">
        <w:rPr>
          <w:sz w:val="20"/>
          <w:szCs w:val="20"/>
        </w:rPr>
        <w:t>The competition was held in the spring of 20</w:t>
      </w:r>
      <w:r w:rsidR="6A1C03C3" w:rsidRPr="004F320A">
        <w:rPr>
          <w:sz w:val="20"/>
          <w:szCs w:val="20"/>
        </w:rPr>
        <w:t>21</w:t>
      </w:r>
      <w:r w:rsidR="58F40D3D" w:rsidRPr="004F320A">
        <w:rPr>
          <w:sz w:val="20"/>
          <w:szCs w:val="20"/>
        </w:rPr>
        <w:t xml:space="preserve"> and the </w:t>
      </w:r>
      <w:r w:rsidRPr="004F320A">
        <w:rPr>
          <w:sz w:val="20"/>
          <w:szCs w:val="20"/>
        </w:rPr>
        <w:t xml:space="preserve">grant cycle </w:t>
      </w:r>
      <w:r w:rsidR="16B0FEBF" w:rsidRPr="004F320A">
        <w:rPr>
          <w:sz w:val="20"/>
          <w:szCs w:val="20"/>
        </w:rPr>
        <w:t xml:space="preserve">began July 1, 2021 and </w:t>
      </w:r>
      <w:r w:rsidRPr="004F320A">
        <w:rPr>
          <w:sz w:val="20"/>
          <w:szCs w:val="20"/>
        </w:rPr>
        <w:t>will</w:t>
      </w:r>
      <w:r w:rsidR="692B22A7" w:rsidRPr="004F320A">
        <w:rPr>
          <w:sz w:val="20"/>
          <w:szCs w:val="20"/>
        </w:rPr>
        <w:t xml:space="preserve"> continue until</w:t>
      </w:r>
      <w:r w:rsidRPr="004F320A">
        <w:rPr>
          <w:sz w:val="20"/>
          <w:szCs w:val="20"/>
        </w:rPr>
        <w:t xml:space="preserve"> June 30, 202</w:t>
      </w:r>
      <w:r w:rsidR="2DBE97E7" w:rsidRPr="004F320A">
        <w:rPr>
          <w:sz w:val="20"/>
          <w:szCs w:val="20"/>
        </w:rPr>
        <w:t>5</w:t>
      </w:r>
      <w:r w:rsidR="7E983478" w:rsidRPr="004F320A">
        <w:rPr>
          <w:sz w:val="20"/>
          <w:szCs w:val="20"/>
        </w:rPr>
        <w:t>.</w:t>
      </w:r>
      <w:r w:rsidR="7EBC54C3" w:rsidRPr="004F320A">
        <w:rPr>
          <w:sz w:val="20"/>
          <w:szCs w:val="20"/>
        </w:rPr>
        <w:t xml:space="preserve"> </w:t>
      </w:r>
    </w:p>
    <w:p w14:paraId="7A0B9925" w14:textId="77777777" w:rsidR="58BEB63C" w:rsidRPr="004F320A" w:rsidRDefault="58BEB63C" w:rsidP="58BEB63C">
      <w:pPr>
        <w:rPr>
          <w:rFonts w:ascii="Arial" w:eastAsiaTheme="minorEastAsia" w:hAnsi="Arial" w:cs="Arial"/>
          <w:b/>
          <w:sz w:val="20"/>
          <w:szCs w:val="20"/>
        </w:rPr>
      </w:pPr>
    </w:p>
    <w:p w14:paraId="29FF28AA" w14:textId="48F04FD6" w:rsidR="36A43709" w:rsidRPr="004F320A" w:rsidRDefault="36A43709" w:rsidP="0098137C">
      <w:pPr>
        <w:rPr>
          <w:sz w:val="20"/>
          <w:szCs w:val="20"/>
        </w:rPr>
      </w:pPr>
      <w:r w:rsidRPr="004F320A">
        <w:rPr>
          <w:sz w:val="20"/>
          <w:szCs w:val="20"/>
        </w:rPr>
        <w:t>Grant monies totaling $</w:t>
      </w:r>
      <w:r w:rsidR="7C69DCFD" w:rsidRPr="004F320A">
        <w:rPr>
          <w:sz w:val="20"/>
          <w:szCs w:val="20"/>
        </w:rPr>
        <w:t>502,000.00</w:t>
      </w:r>
      <w:r w:rsidRPr="004F320A">
        <w:rPr>
          <w:sz w:val="20"/>
          <w:szCs w:val="20"/>
        </w:rPr>
        <w:t xml:space="preserve">, were awarded to </w:t>
      </w:r>
      <w:r w:rsidR="68054A3C" w:rsidRPr="004F320A">
        <w:rPr>
          <w:sz w:val="20"/>
          <w:szCs w:val="20"/>
        </w:rPr>
        <w:t xml:space="preserve">seven </w:t>
      </w:r>
      <w:r w:rsidRPr="004F320A">
        <w:rPr>
          <w:sz w:val="20"/>
          <w:szCs w:val="20"/>
        </w:rPr>
        <w:t>programs for fiscal year 20</w:t>
      </w:r>
      <w:r w:rsidR="5FFA5AB5" w:rsidRPr="004F320A">
        <w:rPr>
          <w:sz w:val="20"/>
          <w:szCs w:val="20"/>
        </w:rPr>
        <w:t>20</w:t>
      </w:r>
      <w:r w:rsidRPr="004F320A">
        <w:rPr>
          <w:sz w:val="20"/>
          <w:szCs w:val="20"/>
        </w:rPr>
        <w:t>-2</w:t>
      </w:r>
      <w:r w:rsidR="2E2BEEDA" w:rsidRPr="004F320A">
        <w:rPr>
          <w:sz w:val="20"/>
          <w:szCs w:val="20"/>
        </w:rPr>
        <w:t>1</w:t>
      </w:r>
      <w:r w:rsidR="643ED3CF" w:rsidRPr="004F320A">
        <w:rPr>
          <w:sz w:val="20"/>
          <w:szCs w:val="20"/>
        </w:rPr>
        <w:t xml:space="preserve">. All programs were </w:t>
      </w:r>
      <w:r w:rsidRPr="004F320A">
        <w:rPr>
          <w:sz w:val="20"/>
          <w:szCs w:val="20"/>
        </w:rPr>
        <w:t>school district programs</w:t>
      </w:r>
      <w:r w:rsidR="1C413111" w:rsidRPr="004F320A">
        <w:rPr>
          <w:sz w:val="20"/>
          <w:szCs w:val="20"/>
        </w:rPr>
        <w:t xml:space="preserve"> includ</w:t>
      </w:r>
      <w:r w:rsidR="1062070F" w:rsidRPr="004F320A">
        <w:rPr>
          <w:sz w:val="20"/>
          <w:szCs w:val="20"/>
        </w:rPr>
        <w:t>ing</w:t>
      </w:r>
      <w:r w:rsidR="1C413111" w:rsidRPr="004F320A">
        <w:rPr>
          <w:sz w:val="20"/>
          <w:szCs w:val="20"/>
        </w:rPr>
        <w:t xml:space="preserve"> a</w:t>
      </w:r>
      <w:r w:rsidR="16D8C364" w:rsidRPr="004F320A">
        <w:rPr>
          <w:sz w:val="20"/>
          <w:szCs w:val="20"/>
        </w:rPr>
        <w:t xml:space="preserve"> </w:t>
      </w:r>
      <w:r w:rsidR="563C43A7" w:rsidRPr="004F320A">
        <w:rPr>
          <w:sz w:val="20"/>
          <w:szCs w:val="20"/>
        </w:rPr>
        <w:t xml:space="preserve">statewide </w:t>
      </w:r>
      <w:r w:rsidR="16D8C364" w:rsidRPr="004F320A">
        <w:rPr>
          <w:sz w:val="20"/>
          <w:szCs w:val="20"/>
        </w:rPr>
        <w:t>school distri</w:t>
      </w:r>
      <w:r w:rsidR="0A51C3B5" w:rsidRPr="004F320A">
        <w:rPr>
          <w:sz w:val="20"/>
          <w:szCs w:val="20"/>
        </w:rPr>
        <w:t>ct</w:t>
      </w:r>
      <w:r w:rsidR="0AD706DA" w:rsidRPr="004F320A">
        <w:rPr>
          <w:sz w:val="20"/>
          <w:szCs w:val="20"/>
        </w:rPr>
        <w:t xml:space="preserve"> governed by the SC Department of Corrections’ Division of Education. </w:t>
      </w:r>
      <w:proofErr w:type="gramStart"/>
      <w:r w:rsidR="0A9B3B5A" w:rsidRPr="004F320A">
        <w:rPr>
          <w:sz w:val="20"/>
          <w:szCs w:val="20"/>
        </w:rPr>
        <w:t xml:space="preserve">In </w:t>
      </w:r>
      <w:r w:rsidR="5E247272" w:rsidRPr="004F320A">
        <w:rPr>
          <w:sz w:val="20"/>
          <w:szCs w:val="20"/>
        </w:rPr>
        <w:t>an effort to</w:t>
      </w:r>
      <w:proofErr w:type="gramEnd"/>
      <w:r w:rsidR="5E247272" w:rsidRPr="004F320A">
        <w:rPr>
          <w:sz w:val="20"/>
          <w:szCs w:val="20"/>
        </w:rPr>
        <w:t xml:space="preserve"> reduce recidivism, </w:t>
      </w:r>
      <w:r w:rsidR="0098137C" w:rsidRPr="004F320A">
        <w:rPr>
          <w:sz w:val="20"/>
          <w:szCs w:val="20"/>
        </w:rPr>
        <w:t>College and Career Navigators and instructors provided Corrections Education students with academic and career services to assist students with obtaining secondary and postsecondary credentials prior to being released. A</w:t>
      </w:r>
      <w:r w:rsidR="6ADA87A5" w:rsidRPr="004F320A">
        <w:rPr>
          <w:sz w:val="20"/>
          <w:szCs w:val="20"/>
        </w:rPr>
        <w:t>cademic</w:t>
      </w:r>
      <w:r w:rsidR="2D317BBB" w:rsidRPr="004F320A">
        <w:rPr>
          <w:sz w:val="20"/>
          <w:szCs w:val="20"/>
        </w:rPr>
        <w:t xml:space="preserve"> and career services provided</w:t>
      </w:r>
      <w:r w:rsidR="0098137C" w:rsidRPr="004F320A">
        <w:rPr>
          <w:sz w:val="20"/>
          <w:szCs w:val="20"/>
        </w:rPr>
        <w:t xml:space="preserve"> include</w:t>
      </w:r>
      <w:r w:rsidR="2D317BBB" w:rsidRPr="004F320A">
        <w:rPr>
          <w:sz w:val="20"/>
          <w:szCs w:val="20"/>
        </w:rPr>
        <w:t>:</w:t>
      </w:r>
    </w:p>
    <w:p w14:paraId="25CEE6D0" w14:textId="77777777" w:rsidR="00425B58" w:rsidRPr="004F320A" w:rsidRDefault="00425B58" w:rsidP="0098137C">
      <w:pPr>
        <w:rPr>
          <w:sz w:val="20"/>
          <w:szCs w:val="20"/>
        </w:rPr>
      </w:pPr>
    </w:p>
    <w:p w14:paraId="3CC7BDED" w14:textId="77777777" w:rsidR="1A4D3056" w:rsidRPr="004F320A" w:rsidRDefault="1A4D3056" w:rsidP="58BEB63C">
      <w:pPr>
        <w:pStyle w:val="ListParagraph"/>
        <w:numPr>
          <w:ilvl w:val="0"/>
          <w:numId w:val="1"/>
        </w:numPr>
        <w:rPr>
          <w:rFonts w:asciiTheme="minorHAnsi" w:eastAsiaTheme="minorEastAsia" w:hAnsiTheme="minorHAnsi" w:cstheme="minorBidi"/>
          <w:sz w:val="20"/>
          <w:szCs w:val="20"/>
        </w:rPr>
      </w:pPr>
      <w:r w:rsidRPr="004F320A">
        <w:rPr>
          <w:sz w:val="20"/>
          <w:szCs w:val="20"/>
        </w:rPr>
        <w:t>H</w:t>
      </w:r>
      <w:r w:rsidR="660ED490" w:rsidRPr="004F320A">
        <w:rPr>
          <w:sz w:val="20"/>
          <w:szCs w:val="20"/>
        </w:rPr>
        <w:t xml:space="preserve">igh </w:t>
      </w:r>
      <w:r w:rsidR="67744406" w:rsidRPr="004F320A">
        <w:rPr>
          <w:sz w:val="20"/>
          <w:szCs w:val="20"/>
        </w:rPr>
        <w:t>S</w:t>
      </w:r>
      <w:r w:rsidR="660ED490" w:rsidRPr="004F320A">
        <w:rPr>
          <w:sz w:val="20"/>
          <w:szCs w:val="20"/>
        </w:rPr>
        <w:t xml:space="preserve">chool </w:t>
      </w:r>
      <w:r w:rsidR="33042F50" w:rsidRPr="004F320A">
        <w:rPr>
          <w:sz w:val="20"/>
          <w:szCs w:val="20"/>
        </w:rPr>
        <w:t>E</w:t>
      </w:r>
      <w:r w:rsidR="10BA6B4D" w:rsidRPr="004F320A">
        <w:rPr>
          <w:sz w:val="20"/>
          <w:szCs w:val="20"/>
        </w:rPr>
        <w:t xml:space="preserve">quivalency </w:t>
      </w:r>
      <w:r w:rsidR="7B74C703" w:rsidRPr="004F320A">
        <w:rPr>
          <w:sz w:val="20"/>
          <w:szCs w:val="20"/>
        </w:rPr>
        <w:t>D</w:t>
      </w:r>
      <w:r w:rsidR="10BA6B4D" w:rsidRPr="004F320A">
        <w:rPr>
          <w:sz w:val="20"/>
          <w:szCs w:val="20"/>
        </w:rPr>
        <w:t>iploma</w:t>
      </w:r>
      <w:r w:rsidR="15AB51D4" w:rsidRPr="004F320A">
        <w:rPr>
          <w:sz w:val="20"/>
          <w:szCs w:val="20"/>
        </w:rPr>
        <w:t xml:space="preserve"> </w:t>
      </w:r>
      <w:r w:rsidR="64BE0E69" w:rsidRPr="004F320A">
        <w:rPr>
          <w:sz w:val="20"/>
          <w:szCs w:val="20"/>
        </w:rPr>
        <w:t>(HSED</w:t>
      </w:r>
      <w:r w:rsidR="6A2370E7" w:rsidRPr="004F320A">
        <w:rPr>
          <w:sz w:val="20"/>
          <w:szCs w:val="20"/>
        </w:rPr>
        <w:t>)</w:t>
      </w:r>
    </w:p>
    <w:p w14:paraId="55CE0177" w14:textId="77777777" w:rsidR="10BA6B4D" w:rsidRPr="004F320A" w:rsidRDefault="10BA6B4D" w:rsidP="58BEB63C">
      <w:pPr>
        <w:pStyle w:val="ListParagraph"/>
        <w:numPr>
          <w:ilvl w:val="0"/>
          <w:numId w:val="1"/>
        </w:numPr>
        <w:rPr>
          <w:sz w:val="20"/>
          <w:szCs w:val="20"/>
        </w:rPr>
      </w:pPr>
      <w:r w:rsidRPr="004F320A">
        <w:rPr>
          <w:sz w:val="20"/>
          <w:szCs w:val="20"/>
        </w:rPr>
        <w:t xml:space="preserve">WIN Career Readiness </w:t>
      </w:r>
      <w:r w:rsidR="587D2969" w:rsidRPr="004F320A">
        <w:rPr>
          <w:sz w:val="20"/>
          <w:szCs w:val="20"/>
        </w:rPr>
        <w:t>Courseware and Credentials</w:t>
      </w:r>
    </w:p>
    <w:p w14:paraId="5B1B204C" w14:textId="77777777" w:rsidR="395D238E" w:rsidRPr="004F320A" w:rsidRDefault="395D238E" w:rsidP="58BEB63C">
      <w:pPr>
        <w:pStyle w:val="ListParagraph"/>
        <w:numPr>
          <w:ilvl w:val="0"/>
          <w:numId w:val="1"/>
        </w:numPr>
        <w:rPr>
          <w:sz w:val="20"/>
          <w:szCs w:val="20"/>
        </w:rPr>
      </w:pPr>
      <w:r w:rsidRPr="004F320A">
        <w:rPr>
          <w:sz w:val="20"/>
          <w:szCs w:val="20"/>
        </w:rPr>
        <w:t xml:space="preserve">Occupational Skills and </w:t>
      </w:r>
      <w:r w:rsidR="587D2969" w:rsidRPr="004F320A">
        <w:rPr>
          <w:sz w:val="20"/>
          <w:szCs w:val="20"/>
        </w:rPr>
        <w:t xml:space="preserve">On-the-Job Training </w:t>
      </w:r>
    </w:p>
    <w:p w14:paraId="3AB2FD4B" w14:textId="77777777" w:rsidR="587D2969" w:rsidRPr="004F320A" w:rsidRDefault="587D2969" w:rsidP="58BEB63C">
      <w:pPr>
        <w:pStyle w:val="ListParagraph"/>
        <w:numPr>
          <w:ilvl w:val="1"/>
          <w:numId w:val="1"/>
        </w:numPr>
        <w:rPr>
          <w:sz w:val="20"/>
          <w:szCs w:val="20"/>
        </w:rPr>
      </w:pPr>
      <w:r w:rsidRPr="004F320A">
        <w:rPr>
          <w:sz w:val="20"/>
          <w:szCs w:val="20"/>
        </w:rPr>
        <w:t>National Center for Constructions Education and Research (NCCER) coursework and credentials</w:t>
      </w:r>
    </w:p>
    <w:p w14:paraId="7FABFF7B" w14:textId="77777777" w:rsidR="58BEB63C" w:rsidRPr="004F320A" w:rsidRDefault="58BEB63C" w:rsidP="58BEB63C">
      <w:pPr>
        <w:rPr>
          <w:sz w:val="20"/>
          <w:szCs w:val="20"/>
        </w:rPr>
      </w:pPr>
    </w:p>
    <w:p w14:paraId="04751EB4" w14:textId="54ECCDA7" w:rsidR="5F54114D" w:rsidRPr="004F320A" w:rsidRDefault="5F54114D" w:rsidP="58BEB63C">
      <w:pPr>
        <w:rPr>
          <w:sz w:val="20"/>
          <w:szCs w:val="20"/>
        </w:rPr>
      </w:pPr>
      <w:r w:rsidRPr="004F320A">
        <w:rPr>
          <w:sz w:val="20"/>
          <w:szCs w:val="20"/>
        </w:rPr>
        <w:lastRenderedPageBreak/>
        <w:t xml:space="preserve">Corrections Education programs directly served </w:t>
      </w:r>
      <w:r w:rsidR="5B4B046D" w:rsidRPr="004F320A">
        <w:rPr>
          <w:sz w:val="20"/>
          <w:szCs w:val="20"/>
        </w:rPr>
        <w:t>764</w:t>
      </w:r>
      <w:r w:rsidRPr="004F320A">
        <w:rPr>
          <w:sz w:val="20"/>
          <w:szCs w:val="20"/>
        </w:rPr>
        <w:t xml:space="preserve"> students</w:t>
      </w:r>
      <w:r w:rsidR="0098137C" w:rsidRPr="004F320A">
        <w:rPr>
          <w:sz w:val="20"/>
          <w:szCs w:val="20"/>
        </w:rPr>
        <w:t xml:space="preserve">. </w:t>
      </w:r>
      <w:r w:rsidRPr="004F320A">
        <w:rPr>
          <w:sz w:val="20"/>
          <w:szCs w:val="20"/>
        </w:rPr>
        <w:t xml:space="preserve">Of these </w:t>
      </w:r>
      <w:r w:rsidR="0936D8AB" w:rsidRPr="004F320A">
        <w:rPr>
          <w:sz w:val="20"/>
          <w:szCs w:val="20"/>
        </w:rPr>
        <w:t>764</w:t>
      </w:r>
      <w:r w:rsidRPr="004F320A">
        <w:rPr>
          <w:sz w:val="20"/>
          <w:szCs w:val="20"/>
        </w:rPr>
        <w:t xml:space="preserve"> students, </w:t>
      </w:r>
      <w:r w:rsidR="66FC88A0" w:rsidRPr="004F320A">
        <w:rPr>
          <w:sz w:val="20"/>
          <w:szCs w:val="20"/>
        </w:rPr>
        <w:t>63</w:t>
      </w:r>
      <w:r w:rsidRPr="004F320A">
        <w:rPr>
          <w:sz w:val="20"/>
          <w:szCs w:val="20"/>
        </w:rPr>
        <w:t xml:space="preserve"> received a high school credential and </w:t>
      </w:r>
      <w:r w:rsidR="6399DE51" w:rsidRPr="004F320A">
        <w:rPr>
          <w:sz w:val="20"/>
          <w:szCs w:val="20"/>
        </w:rPr>
        <w:t>237</w:t>
      </w:r>
      <w:r w:rsidRPr="004F320A">
        <w:rPr>
          <w:sz w:val="20"/>
          <w:szCs w:val="20"/>
        </w:rPr>
        <w:t xml:space="preserve"> earned Career Readiness Certificates. </w:t>
      </w:r>
      <w:r w:rsidR="195B65C6" w:rsidRPr="004F320A">
        <w:rPr>
          <w:sz w:val="20"/>
          <w:szCs w:val="20"/>
        </w:rPr>
        <w:t xml:space="preserve">As with other AEFLA funded services, </w:t>
      </w:r>
      <w:r w:rsidR="14663176" w:rsidRPr="004F320A">
        <w:rPr>
          <w:sz w:val="20"/>
          <w:szCs w:val="20"/>
        </w:rPr>
        <w:t xml:space="preserve">Corrections Education programs were restricted </w:t>
      </w:r>
      <w:r w:rsidR="014DA29C" w:rsidRPr="004F320A">
        <w:rPr>
          <w:sz w:val="20"/>
          <w:szCs w:val="20"/>
        </w:rPr>
        <w:t>in providing face to face services to students</w:t>
      </w:r>
      <w:r w:rsidR="058FAE76" w:rsidRPr="004F320A">
        <w:rPr>
          <w:sz w:val="20"/>
          <w:szCs w:val="20"/>
        </w:rPr>
        <w:t xml:space="preserve"> due to the COVID-19 pandemic</w:t>
      </w:r>
      <w:r w:rsidR="014DA29C" w:rsidRPr="004F320A">
        <w:rPr>
          <w:sz w:val="20"/>
          <w:szCs w:val="20"/>
        </w:rPr>
        <w:t xml:space="preserve">. Most </w:t>
      </w:r>
      <w:proofErr w:type="gramStart"/>
      <w:r w:rsidR="014DA29C" w:rsidRPr="004F320A">
        <w:rPr>
          <w:sz w:val="20"/>
          <w:szCs w:val="20"/>
        </w:rPr>
        <w:t>correctional facilities</w:t>
      </w:r>
      <w:proofErr w:type="gramEnd"/>
      <w:r w:rsidR="014DA29C" w:rsidRPr="004F320A">
        <w:rPr>
          <w:sz w:val="20"/>
          <w:szCs w:val="20"/>
        </w:rPr>
        <w:t xml:space="preserve"> were </w:t>
      </w:r>
      <w:r w:rsidR="22EE2ACF" w:rsidRPr="004F320A">
        <w:rPr>
          <w:sz w:val="20"/>
          <w:szCs w:val="20"/>
        </w:rPr>
        <w:t>required to lock</w:t>
      </w:r>
      <w:r w:rsidR="014DA29C" w:rsidRPr="004F320A">
        <w:rPr>
          <w:sz w:val="20"/>
          <w:szCs w:val="20"/>
        </w:rPr>
        <w:t xml:space="preserve"> </w:t>
      </w:r>
      <w:r w:rsidR="7A3EC6F2" w:rsidRPr="004F320A">
        <w:rPr>
          <w:sz w:val="20"/>
          <w:szCs w:val="20"/>
        </w:rPr>
        <w:t xml:space="preserve">down </w:t>
      </w:r>
      <w:r w:rsidR="5E90F422" w:rsidRPr="004F320A">
        <w:rPr>
          <w:sz w:val="20"/>
          <w:szCs w:val="20"/>
        </w:rPr>
        <w:t xml:space="preserve">to </w:t>
      </w:r>
      <w:r w:rsidR="524BAC4F" w:rsidRPr="004F320A">
        <w:rPr>
          <w:sz w:val="20"/>
          <w:szCs w:val="20"/>
        </w:rPr>
        <w:t>ensure the safety of inmates and staff</w:t>
      </w:r>
      <w:r w:rsidR="7C0419CA" w:rsidRPr="004F320A">
        <w:rPr>
          <w:sz w:val="20"/>
          <w:szCs w:val="20"/>
        </w:rPr>
        <w:t>. As a result, i</w:t>
      </w:r>
      <w:r w:rsidR="524BAC4F" w:rsidRPr="004F320A">
        <w:rPr>
          <w:sz w:val="20"/>
          <w:szCs w:val="20"/>
        </w:rPr>
        <w:t xml:space="preserve">nstruction and </w:t>
      </w:r>
      <w:r w:rsidR="7DC90840" w:rsidRPr="004F320A">
        <w:rPr>
          <w:sz w:val="20"/>
          <w:szCs w:val="20"/>
        </w:rPr>
        <w:t xml:space="preserve">GED </w:t>
      </w:r>
      <w:r w:rsidR="524BAC4F" w:rsidRPr="004F320A">
        <w:rPr>
          <w:sz w:val="20"/>
          <w:szCs w:val="20"/>
        </w:rPr>
        <w:t>te</w:t>
      </w:r>
      <w:r w:rsidR="7C07CC9D" w:rsidRPr="004F320A">
        <w:rPr>
          <w:sz w:val="20"/>
          <w:szCs w:val="20"/>
        </w:rPr>
        <w:t>sting</w:t>
      </w:r>
      <w:r w:rsidR="1D164817" w:rsidRPr="004F320A">
        <w:rPr>
          <w:sz w:val="20"/>
          <w:szCs w:val="20"/>
        </w:rPr>
        <w:t xml:space="preserve"> </w:t>
      </w:r>
      <w:r w:rsidR="5DB5460B" w:rsidRPr="004F320A">
        <w:rPr>
          <w:sz w:val="20"/>
          <w:szCs w:val="20"/>
        </w:rPr>
        <w:t>halted immediately</w:t>
      </w:r>
      <w:r w:rsidR="7C07CC9D" w:rsidRPr="004F320A">
        <w:rPr>
          <w:sz w:val="20"/>
          <w:szCs w:val="20"/>
        </w:rPr>
        <w:t>. Due to additional security concerns</w:t>
      </w:r>
      <w:r w:rsidR="4B2104C3" w:rsidRPr="004F320A">
        <w:rPr>
          <w:sz w:val="20"/>
          <w:szCs w:val="20"/>
        </w:rPr>
        <w:t xml:space="preserve"> with technology</w:t>
      </w:r>
      <w:r w:rsidR="7C07CC9D" w:rsidRPr="004F320A">
        <w:rPr>
          <w:sz w:val="20"/>
          <w:szCs w:val="20"/>
        </w:rPr>
        <w:t>, most instructors were limit</w:t>
      </w:r>
      <w:r w:rsidR="5D93730F" w:rsidRPr="004F320A">
        <w:rPr>
          <w:sz w:val="20"/>
          <w:szCs w:val="20"/>
        </w:rPr>
        <w:t>ed in provid</w:t>
      </w:r>
      <w:r w:rsidR="4950B34A" w:rsidRPr="004F320A">
        <w:rPr>
          <w:sz w:val="20"/>
          <w:szCs w:val="20"/>
        </w:rPr>
        <w:t xml:space="preserve">ing </w:t>
      </w:r>
      <w:r w:rsidR="5D93730F" w:rsidRPr="004F320A">
        <w:rPr>
          <w:sz w:val="20"/>
          <w:szCs w:val="20"/>
        </w:rPr>
        <w:t xml:space="preserve">distance education options and </w:t>
      </w:r>
      <w:r w:rsidR="63397D77" w:rsidRPr="004F320A">
        <w:rPr>
          <w:sz w:val="20"/>
          <w:szCs w:val="20"/>
        </w:rPr>
        <w:t xml:space="preserve">used </w:t>
      </w:r>
      <w:r w:rsidR="5D93730F" w:rsidRPr="004F320A">
        <w:rPr>
          <w:sz w:val="20"/>
          <w:szCs w:val="20"/>
        </w:rPr>
        <w:t xml:space="preserve">paper-based instruction instead. With growing </w:t>
      </w:r>
      <w:r w:rsidR="016D2F1C" w:rsidRPr="004F320A">
        <w:rPr>
          <w:sz w:val="20"/>
          <w:szCs w:val="20"/>
        </w:rPr>
        <w:t xml:space="preserve">concern </w:t>
      </w:r>
      <w:r w:rsidR="2ADC59BC" w:rsidRPr="004F320A">
        <w:rPr>
          <w:sz w:val="20"/>
          <w:szCs w:val="20"/>
        </w:rPr>
        <w:t xml:space="preserve">of the pandemic </w:t>
      </w:r>
      <w:r w:rsidR="0098137C" w:rsidRPr="004F320A">
        <w:rPr>
          <w:sz w:val="20"/>
          <w:szCs w:val="20"/>
        </w:rPr>
        <w:t>affecting</w:t>
      </w:r>
      <w:r w:rsidR="2ADC59BC" w:rsidRPr="004F320A">
        <w:rPr>
          <w:sz w:val="20"/>
          <w:szCs w:val="20"/>
        </w:rPr>
        <w:t xml:space="preserve"> the Corrections Education community long-term, </w:t>
      </w:r>
      <w:r w:rsidR="4033E749" w:rsidRPr="004F320A">
        <w:rPr>
          <w:sz w:val="20"/>
          <w:szCs w:val="20"/>
        </w:rPr>
        <w:t xml:space="preserve">most of the facilities were able to provide limited live instructions using the Zoom </w:t>
      </w:r>
      <w:r w:rsidR="0098137C" w:rsidRPr="004F320A">
        <w:rPr>
          <w:sz w:val="20"/>
          <w:szCs w:val="20"/>
        </w:rPr>
        <w:t>platform</w:t>
      </w:r>
      <w:r w:rsidR="4033E749" w:rsidRPr="004F320A">
        <w:rPr>
          <w:sz w:val="20"/>
          <w:szCs w:val="20"/>
        </w:rPr>
        <w:t xml:space="preserve"> in addition to the </w:t>
      </w:r>
      <w:r w:rsidR="7ED8CC7A" w:rsidRPr="004F320A">
        <w:rPr>
          <w:sz w:val="20"/>
          <w:szCs w:val="20"/>
        </w:rPr>
        <w:t xml:space="preserve">paper-based options. </w:t>
      </w:r>
    </w:p>
    <w:p w14:paraId="1C278D2D" w14:textId="77777777" w:rsidR="58BEB63C" w:rsidRPr="004F320A" w:rsidRDefault="58BEB63C" w:rsidP="58BEB63C">
      <w:pPr>
        <w:rPr>
          <w:sz w:val="20"/>
          <w:szCs w:val="20"/>
        </w:rPr>
      </w:pPr>
    </w:p>
    <w:p w14:paraId="345FAA26" w14:textId="5D6C232A" w:rsidR="7ED8CC7A" w:rsidRPr="004F320A" w:rsidRDefault="7ED8CC7A" w:rsidP="58BEB63C">
      <w:pPr>
        <w:rPr>
          <w:sz w:val="20"/>
          <w:szCs w:val="20"/>
        </w:rPr>
      </w:pPr>
      <w:r w:rsidRPr="004F320A">
        <w:rPr>
          <w:sz w:val="20"/>
          <w:szCs w:val="20"/>
        </w:rPr>
        <w:t xml:space="preserve">The table </w:t>
      </w:r>
      <w:r w:rsidR="0098137C" w:rsidRPr="004F320A">
        <w:rPr>
          <w:sz w:val="20"/>
          <w:szCs w:val="20"/>
        </w:rPr>
        <w:t xml:space="preserve">below </w:t>
      </w:r>
      <w:r w:rsidRPr="004F320A">
        <w:rPr>
          <w:sz w:val="20"/>
          <w:szCs w:val="20"/>
        </w:rPr>
        <w:t>outlines the SC Department of Corrections Recidivism Rates of Inmates released during FY201</w:t>
      </w:r>
      <w:r w:rsidR="427EC8B2" w:rsidRPr="004F320A">
        <w:rPr>
          <w:sz w:val="20"/>
          <w:szCs w:val="20"/>
        </w:rPr>
        <w:t>4</w:t>
      </w:r>
      <w:r w:rsidRPr="004F320A">
        <w:rPr>
          <w:sz w:val="20"/>
          <w:szCs w:val="20"/>
        </w:rPr>
        <w:t xml:space="preserve"> – FY201</w:t>
      </w:r>
      <w:r w:rsidR="5618E1A6" w:rsidRPr="004F320A">
        <w:rPr>
          <w:sz w:val="20"/>
          <w:szCs w:val="20"/>
        </w:rPr>
        <w:t>8</w:t>
      </w:r>
      <w:r w:rsidR="14305A08" w:rsidRPr="004F320A">
        <w:rPr>
          <w:sz w:val="20"/>
          <w:szCs w:val="20"/>
        </w:rPr>
        <w:t xml:space="preserve"> and the explanation of how the recidivism rate is measured. </w:t>
      </w:r>
    </w:p>
    <w:p w14:paraId="550F537D" w14:textId="77777777" w:rsidR="58BEB63C" w:rsidRDefault="58BEB63C" w:rsidP="58BEB63C">
      <w:pPr>
        <w:rPr>
          <w:rFonts w:ascii="Arial" w:eastAsiaTheme="minorEastAsia" w:hAnsi="Arial" w:cs="Arial"/>
          <w:b/>
          <w:bCs/>
          <w:sz w:val="20"/>
          <w:szCs w:val="20"/>
        </w:rPr>
      </w:pPr>
    </w:p>
    <w:tbl>
      <w:tblPr>
        <w:tblW w:w="0" w:type="auto"/>
        <w:tblLayout w:type="fixed"/>
        <w:tblLook w:val="04A0" w:firstRow="1" w:lastRow="0" w:firstColumn="1" w:lastColumn="0" w:noHBand="0" w:noVBand="1"/>
      </w:tblPr>
      <w:tblGrid>
        <w:gridCol w:w="4800"/>
        <w:gridCol w:w="1020"/>
        <w:gridCol w:w="1020"/>
        <w:gridCol w:w="1020"/>
        <w:gridCol w:w="1020"/>
        <w:gridCol w:w="1020"/>
      </w:tblGrid>
      <w:tr w:rsidR="1C1D7E4D" w14:paraId="5890A686" w14:textId="77777777" w:rsidTr="1C1D7E4D">
        <w:trPr>
          <w:trHeight w:val="300"/>
        </w:trPr>
        <w:tc>
          <w:tcPr>
            <w:tcW w:w="4800" w:type="dxa"/>
            <w:vMerge w:val="restart"/>
            <w:tcBorders>
              <w:top w:val="nil"/>
              <w:left w:val="nil"/>
              <w:bottom w:val="nil"/>
              <w:right w:val="single" w:sz="12" w:space="0" w:color="000000" w:themeColor="text1"/>
            </w:tcBorders>
            <w:vAlign w:val="center"/>
          </w:tcPr>
          <w:p w14:paraId="08BEA5B1" w14:textId="60A2E62B" w:rsidR="1C1D7E4D" w:rsidRDefault="1C1D7E4D" w:rsidP="1C1D7E4D">
            <w:pPr>
              <w:spacing w:line="252" w:lineRule="auto"/>
              <w:rPr>
                <w:sz w:val="20"/>
                <w:szCs w:val="20"/>
              </w:rPr>
            </w:pPr>
          </w:p>
        </w:tc>
        <w:tc>
          <w:tcPr>
            <w:tcW w:w="51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EAD1"/>
            <w:vAlign w:val="center"/>
          </w:tcPr>
          <w:p w14:paraId="7939F2C3" w14:textId="3593269C" w:rsidR="1C1D7E4D" w:rsidRDefault="1C1D7E4D" w:rsidP="1C1D7E4D">
            <w:pPr>
              <w:spacing w:line="252" w:lineRule="auto"/>
              <w:jc w:val="center"/>
            </w:pPr>
            <w:r w:rsidRPr="1C1D7E4D">
              <w:rPr>
                <w:b/>
                <w:bCs/>
                <w:color w:val="000000" w:themeColor="text1"/>
                <w:sz w:val="20"/>
                <w:szCs w:val="20"/>
              </w:rPr>
              <w:t>Year of Release</w:t>
            </w:r>
            <w:r w:rsidRPr="1C1D7E4D">
              <w:rPr>
                <w:color w:val="000000" w:themeColor="text1"/>
                <w:sz w:val="20"/>
                <w:szCs w:val="20"/>
              </w:rPr>
              <w:t xml:space="preserve"> </w:t>
            </w:r>
          </w:p>
        </w:tc>
      </w:tr>
      <w:tr w:rsidR="1C1D7E4D" w14:paraId="7A40DA81" w14:textId="77777777" w:rsidTr="1C1D7E4D">
        <w:trPr>
          <w:trHeight w:val="300"/>
        </w:trPr>
        <w:tc>
          <w:tcPr>
            <w:tcW w:w="4800" w:type="dxa"/>
            <w:vMerge/>
            <w:tcBorders>
              <w:left w:val="nil"/>
              <w:right w:val="single" w:sz="0" w:space="0" w:color="000000" w:themeColor="text1"/>
            </w:tcBorders>
            <w:vAlign w:val="center"/>
          </w:tcPr>
          <w:p w14:paraId="4C991111" w14:textId="77777777" w:rsidR="00030865" w:rsidRDefault="00030865"/>
        </w:tc>
        <w:tc>
          <w:tcPr>
            <w:tcW w:w="1020" w:type="dxa"/>
            <w:tcBorders>
              <w:top w:val="single" w:sz="12" w:space="0" w:color="000000" w:themeColor="text1"/>
              <w:left w:val="nil"/>
              <w:bottom w:val="single" w:sz="12" w:space="0" w:color="000000" w:themeColor="text1"/>
              <w:right w:val="single" w:sz="12" w:space="0" w:color="000000" w:themeColor="text1"/>
            </w:tcBorders>
            <w:shd w:val="clear" w:color="auto" w:fill="A2B8EC"/>
            <w:vAlign w:val="center"/>
          </w:tcPr>
          <w:p w14:paraId="082704F2" w14:textId="5B1BC1DB" w:rsidR="1C1D7E4D" w:rsidRDefault="1C1D7E4D" w:rsidP="1C1D7E4D">
            <w:pPr>
              <w:spacing w:line="252" w:lineRule="auto"/>
              <w:jc w:val="center"/>
            </w:pPr>
            <w:r w:rsidRPr="1C1D7E4D">
              <w:rPr>
                <w:b/>
                <w:bCs/>
                <w:color w:val="000000" w:themeColor="text1"/>
                <w:sz w:val="20"/>
                <w:szCs w:val="20"/>
              </w:rPr>
              <w:t>FY 2014</w:t>
            </w:r>
            <w:r w:rsidRPr="1C1D7E4D">
              <w:rPr>
                <w:color w:val="000000" w:themeColor="text1"/>
                <w:sz w:val="20"/>
                <w:szCs w:val="20"/>
              </w:rPr>
              <w:t xml:space="preserve"> </w:t>
            </w:r>
          </w:p>
        </w:tc>
        <w:tc>
          <w:tcPr>
            <w:tcW w:w="10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2B8EC"/>
            <w:vAlign w:val="center"/>
          </w:tcPr>
          <w:p w14:paraId="1B3E7085" w14:textId="4BB218F5" w:rsidR="1C1D7E4D" w:rsidRDefault="1C1D7E4D" w:rsidP="1C1D7E4D">
            <w:pPr>
              <w:spacing w:line="252" w:lineRule="auto"/>
              <w:jc w:val="center"/>
            </w:pPr>
            <w:r w:rsidRPr="1C1D7E4D">
              <w:rPr>
                <w:b/>
                <w:bCs/>
                <w:color w:val="000000" w:themeColor="text1"/>
                <w:sz w:val="20"/>
                <w:szCs w:val="20"/>
              </w:rPr>
              <w:t>FY 2015</w:t>
            </w:r>
            <w:r w:rsidRPr="1C1D7E4D">
              <w:rPr>
                <w:color w:val="000000" w:themeColor="text1"/>
                <w:sz w:val="20"/>
                <w:szCs w:val="20"/>
              </w:rPr>
              <w:t xml:space="preserve"> </w:t>
            </w:r>
          </w:p>
        </w:tc>
        <w:tc>
          <w:tcPr>
            <w:tcW w:w="10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2B8EC"/>
            <w:vAlign w:val="center"/>
          </w:tcPr>
          <w:p w14:paraId="1FDD0A31" w14:textId="7C6A9D9C" w:rsidR="1C1D7E4D" w:rsidRDefault="1C1D7E4D" w:rsidP="1C1D7E4D">
            <w:pPr>
              <w:spacing w:line="252" w:lineRule="auto"/>
              <w:jc w:val="center"/>
            </w:pPr>
            <w:r w:rsidRPr="1C1D7E4D">
              <w:rPr>
                <w:b/>
                <w:bCs/>
                <w:color w:val="000000" w:themeColor="text1"/>
                <w:sz w:val="20"/>
                <w:szCs w:val="20"/>
              </w:rPr>
              <w:t>FY 2016</w:t>
            </w:r>
            <w:r w:rsidRPr="1C1D7E4D">
              <w:rPr>
                <w:color w:val="000000" w:themeColor="text1"/>
                <w:sz w:val="20"/>
                <w:szCs w:val="20"/>
              </w:rPr>
              <w:t xml:space="preserve"> </w:t>
            </w:r>
          </w:p>
        </w:tc>
        <w:tc>
          <w:tcPr>
            <w:tcW w:w="10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2B8EC"/>
            <w:vAlign w:val="center"/>
          </w:tcPr>
          <w:p w14:paraId="25FF981D" w14:textId="1E0E7119" w:rsidR="1C1D7E4D" w:rsidRDefault="1C1D7E4D" w:rsidP="1C1D7E4D">
            <w:pPr>
              <w:spacing w:line="252" w:lineRule="auto"/>
              <w:jc w:val="center"/>
            </w:pPr>
            <w:r w:rsidRPr="1C1D7E4D">
              <w:rPr>
                <w:b/>
                <w:bCs/>
                <w:color w:val="000000" w:themeColor="text1"/>
                <w:sz w:val="20"/>
                <w:szCs w:val="20"/>
              </w:rPr>
              <w:t>FY 2017</w:t>
            </w:r>
            <w:r w:rsidRPr="1C1D7E4D">
              <w:rPr>
                <w:color w:val="000000" w:themeColor="text1"/>
                <w:sz w:val="20"/>
                <w:szCs w:val="20"/>
              </w:rPr>
              <w:t xml:space="preserve"> </w:t>
            </w:r>
          </w:p>
        </w:tc>
        <w:tc>
          <w:tcPr>
            <w:tcW w:w="10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2B8EC"/>
            <w:vAlign w:val="center"/>
          </w:tcPr>
          <w:p w14:paraId="071AFA55" w14:textId="2132FEB6" w:rsidR="1C1D7E4D" w:rsidRDefault="1C1D7E4D" w:rsidP="1C1D7E4D">
            <w:pPr>
              <w:spacing w:line="252" w:lineRule="auto"/>
              <w:jc w:val="center"/>
            </w:pPr>
            <w:r w:rsidRPr="1C1D7E4D">
              <w:rPr>
                <w:b/>
                <w:bCs/>
                <w:color w:val="000000" w:themeColor="text1"/>
                <w:sz w:val="20"/>
                <w:szCs w:val="20"/>
              </w:rPr>
              <w:t>FY 2018</w:t>
            </w:r>
            <w:r w:rsidRPr="1C1D7E4D">
              <w:rPr>
                <w:color w:val="000000" w:themeColor="text1"/>
                <w:sz w:val="20"/>
                <w:szCs w:val="20"/>
              </w:rPr>
              <w:t xml:space="preserve"> </w:t>
            </w:r>
          </w:p>
        </w:tc>
      </w:tr>
      <w:tr w:rsidR="1C1D7E4D" w14:paraId="28D49014" w14:textId="77777777" w:rsidTr="1C1D7E4D">
        <w:trPr>
          <w:trHeight w:val="300"/>
        </w:trPr>
        <w:tc>
          <w:tcPr>
            <w:tcW w:w="480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shd w:val="clear" w:color="auto" w:fill="A2B8EC"/>
            <w:vAlign w:val="center"/>
          </w:tcPr>
          <w:p w14:paraId="77C2CFDB" w14:textId="6483532E" w:rsidR="1C1D7E4D" w:rsidRDefault="1C1D7E4D" w:rsidP="1C1D7E4D">
            <w:pPr>
              <w:spacing w:line="252" w:lineRule="auto"/>
            </w:pPr>
            <w:r w:rsidRPr="1C1D7E4D">
              <w:rPr>
                <w:b/>
                <w:bCs/>
                <w:color w:val="000000" w:themeColor="text1"/>
                <w:sz w:val="20"/>
                <w:szCs w:val="20"/>
              </w:rPr>
              <w:t>Total Number of Releases</w:t>
            </w:r>
            <w:r w:rsidRPr="1C1D7E4D">
              <w:rPr>
                <w:color w:val="000000" w:themeColor="text1"/>
                <w:sz w:val="20"/>
                <w:szCs w:val="20"/>
              </w:rPr>
              <w:t xml:space="preserve"> </w:t>
            </w:r>
          </w:p>
        </w:tc>
        <w:tc>
          <w:tcPr>
            <w:tcW w:w="102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6F8840F3" w14:textId="49C111CF" w:rsidR="1C1D7E4D" w:rsidRDefault="1C1D7E4D" w:rsidP="1C1D7E4D">
            <w:pPr>
              <w:spacing w:line="252" w:lineRule="auto"/>
              <w:jc w:val="center"/>
            </w:pPr>
            <w:r w:rsidRPr="1C1D7E4D">
              <w:rPr>
                <w:b/>
                <w:bCs/>
                <w:sz w:val="20"/>
                <w:szCs w:val="20"/>
              </w:rPr>
              <w:t>9,485</w:t>
            </w:r>
            <w:r w:rsidRPr="1C1D7E4D">
              <w:rPr>
                <w:sz w:val="20"/>
                <w:szCs w:val="20"/>
              </w:rPr>
              <w:t xml:space="preserve"> </w:t>
            </w:r>
          </w:p>
        </w:tc>
        <w:tc>
          <w:tcPr>
            <w:tcW w:w="102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6EAF0871" w14:textId="3CC585CC" w:rsidR="1C1D7E4D" w:rsidRDefault="1C1D7E4D" w:rsidP="1C1D7E4D">
            <w:pPr>
              <w:spacing w:line="252" w:lineRule="auto"/>
              <w:jc w:val="center"/>
            </w:pPr>
            <w:r w:rsidRPr="1C1D7E4D">
              <w:rPr>
                <w:b/>
                <w:bCs/>
                <w:sz w:val="20"/>
                <w:szCs w:val="20"/>
              </w:rPr>
              <w:t>9,354</w:t>
            </w:r>
          </w:p>
        </w:tc>
        <w:tc>
          <w:tcPr>
            <w:tcW w:w="102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45E7BEB1" w14:textId="0039E21B" w:rsidR="1C1D7E4D" w:rsidRDefault="1C1D7E4D" w:rsidP="1C1D7E4D">
            <w:pPr>
              <w:spacing w:line="252" w:lineRule="auto"/>
              <w:jc w:val="center"/>
            </w:pPr>
            <w:r w:rsidRPr="1C1D7E4D">
              <w:rPr>
                <w:b/>
                <w:bCs/>
                <w:sz w:val="20"/>
                <w:szCs w:val="20"/>
              </w:rPr>
              <w:t>9,147</w:t>
            </w:r>
            <w:r w:rsidRPr="1C1D7E4D">
              <w:rPr>
                <w:sz w:val="20"/>
                <w:szCs w:val="20"/>
              </w:rPr>
              <w:t xml:space="preserve"> </w:t>
            </w:r>
          </w:p>
        </w:tc>
        <w:tc>
          <w:tcPr>
            <w:tcW w:w="102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529E05E0" w14:textId="5ED8B6E1" w:rsidR="1C1D7E4D" w:rsidRDefault="1C1D7E4D" w:rsidP="1C1D7E4D">
            <w:pPr>
              <w:spacing w:line="252" w:lineRule="auto"/>
              <w:jc w:val="center"/>
            </w:pPr>
            <w:r w:rsidRPr="1C1D7E4D">
              <w:rPr>
                <w:b/>
                <w:bCs/>
                <w:sz w:val="20"/>
                <w:szCs w:val="20"/>
              </w:rPr>
              <w:t>9,305</w:t>
            </w:r>
            <w:r w:rsidRPr="1C1D7E4D">
              <w:rPr>
                <w:sz w:val="20"/>
                <w:szCs w:val="20"/>
              </w:rPr>
              <w:t xml:space="preserve"> </w:t>
            </w:r>
          </w:p>
        </w:tc>
        <w:tc>
          <w:tcPr>
            <w:tcW w:w="1020" w:type="dxa"/>
            <w:tcBorders>
              <w:top w:val="single" w:sz="12" w:space="0" w:color="000000" w:themeColor="text1"/>
              <w:left w:val="single" w:sz="12" w:space="0" w:color="000000" w:themeColor="text1"/>
              <w:bottom w:val="single" w:sz="18" w:space="0" w:color="000000" w:themeColor="text1"/>
              <w:right w:val="single" w:sz="12" w:space="0" w:color="000000" w:themeColor="text1"/>
            </w:tcBorders>
            <w:vAlign w:val="center"/>
          </w:tcPr>
          <w:p w14:paraId="5E8A97B5" w14:textId="1F8076D9" w:rsidR="1C1D7E4D" w:rsidRDefault="1C1D7E4D" w:rsidP="1C1D7E4D">
            <w:pPr>
              <w:spacing w:line="252" w:lineRule="auto"/>
              <w:jc w:val="center"/>
            </w:pPr>
            <w:r w:rsidRPr="1C1D7E4D">
              <w:rPr>
                <w:sz w:val="20"/>
                <w:szCs w:val="20"/>
              </w:rPr>
              <w:t xml:space="preserve">8,585 </w:t>
            </w:r>
          </w:p>
        </w:tc>
      </w:tr>
      <w:tr w:rsidR="1C1D7E4D" w14:paraId="221EE9E1" w14:textId="77777777" w:rsidTr="1C1D7E4D">
        <w:trPr>
          <w:trHeight w:val="300"/>
        </w:trPr>
        <w:tc>
          <w:tcPr>
            <w:tcW w:w="4800" w:type="dxa"/>
            <w:tcBorders>
              <w:top w:val="single" w:sz="18" w:space="0" w:color="000000" w:themeColor="text1"/>
              <w:left w:val="single" w:sz="12" w:space="0" w:color="000000" w:themeColor="text1"/>
              <w:bottom w:val="nil"/>
              <w:right w:val="single" w:sz="12" w:space="0" w:color="000000" w:themeColor="text1"/>
            </w:tcBorders>
            <w:shd w:val="clear" w:color="auto" w:fill="A2B8EC"/>
            <w:vAlign w:val="center"/>
          </w:tcPr>
          <w:p w14:paraId="408713FB" w14:textId="12F0D9FE" w:rsidR="1C1D7E4D" w:rsidRDefault="1C1D7E4D" w:rsidP="1C1D7E4D">
            <w:pPr>
              <w:spacing w:line="252" w:lineRule="auto"/>
            </w:pPr>
            <w:r w:rsidRPr="1C1D7E4D">
              <w:rPr>
                <w:b/>
                <w:bCs/>
                <w:color w:val="000000" w:themeColor="text1"/>
                <w:sz w:val="20"/>
                <w:szCs w:val="20"/>
              </w:rPr>
              <w:t>Percentage of Releasees who Returned to SCDC:</w:t>
            </w:r>
            <w:r w:rsidRPr="1C1D7E4D">
              <w:rPr>
                <w:color w:val="000000" w:themeColor="text1"/>
                <w:sz w:val="20"/>
                <w:szCs w:val="20"/>
              </w:rPr>
              <w:t xml:space="preserve"> </w:t>
            </w:r>
          </w:p>
        </w:tc>
        <w:tc>
          <w:tcPr>
            <w:tcW w:w="5100" w:type="dxa"/>
            <w:gridSpan w:val="5"/>
            <w:tcBorders>
              <w:top w:val="single" w:sz="18" w:space="0" w:color="000000" w:themeColor="text1"/>
              <w:left w:val="single" w:sz="12" w:space="0" w:color="000000" w:themeColor="text1"/>
              <w:bottom w:val="single" w:sz="12" w:space="0" w:color="000000" w:themeColor="text1"/>
              <w:right w:val="single" w:sz="12" w:space="0" w:color="000000" w:themeColor="text1"/>
            </w:tcBorders>
            <w:shd w:val="clear" w:color="auto" w:fill="F3EAD1"/>
            <w:vAlign w:val="center"/>
          </w:tcPr>
          <w:p w14:paraId="2CEAC303" w14:textId="5271BD49" w:rsidR="1C1D7E4D" w:rsidRDefault="1C1D7E4D" w:rsidP="1C1D7E4D">
            <w:pPr>
              <w:spacing w:line="252" w:lineRule="auto"/>
              <w:jc w:val="center"/>
            </w:pPr>
            <w:r w:rsidRPr="1C1D7E4D">
              <w:rPr>
                <w:b/>
                <w:bCs/>
                <w:color w:val="000000" w:themeColor="text1"/>
                <w:sz w:val="20"/>
                <w:szCs w:val="20"/>
              </w:rPr>
              <w:t>Recidivism Rate by Year of Release</w:t>
            </w:r>
            <w:r w:rsidRPr="1C1D7E4D">
              <w:rPr>
                <w:color w:val="000000" w:themeColor="text1"/>
                <w:sz w:val="20"/>
                <w:szCs w:val="20"/>
              </w:rPr>
              <w:t xml:space="preserve"> </w:t>
            </w:r>
          </w:p>
        </w:tc>
      </w:tr>
      <w:tr w:rsidR="1C1D7E4D" w14:paraId="6529D0DF" w14:textId="77777777" w:rsidTr="1C1D7E4D">
        <w:trPr>
          <w:trHeight w:val="300"/>
        </w:trPr>
        <w:tc>
          <w:tcPr>
            <w:tcW w:w="480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6D8BD9AA" w14:textId="1FE983F9" w:rsidR="1C1D7E4D" w:rsidRDefault="1C1D7E4D" w:rsidP="1C1D7E4D">
            <w:pPr>
              <w:spacing w:line="252" w:lineRule="auto"/>
            </w:pPr>
            <w:r w:rsidRPr="1C1D7E4D">
              <w:rPr>
                <w:sz w:val="20"/>
                <w:szCs w:val="20"/>
              </w:rPr>
              <w:t xml:space="preserve">Within One Year or Less </w:t>
            </w:r>
          </w:p>
        </w:tc>
        <w:tc>
          <w:tcPr>
            <w:tcW w:w="102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2E111CD2" w14:textId="6A8C37ED" w:rsidR="1C1D7E4D" w:rsidRDefault="1C1D7E4D" w:rsidP="1C1D7E4D">
            <w:pPr>
              <w:spacing w:line="252" w:lineRule="auto"/>
              <w:jc w:val="right"/>
            </w:pPr>
            <w:r w:rsidRPr="1C1D7E4D">
              <w:rPr>
                <w:sz w:val="20"/>
                <w:szCs w:val="20"/>
              </w:rPr>
              <w:t xml:space="preserve">5.6% </w:t>
            </w:r>
          </w:p>
        </w:tc>
        <w:tc>
          <w:tcPr>
            <w:tcW w:w="102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6BD44329" w14:textId="3ECB00DE" w:rsidR="1C1D7E4D" w:rsidRDefault="1C1D7E4D" w:rsidP="1C1D7E4D">
            <w:pPr>
              <w:spacing w:line="252" w:lineRule="auto"/>
              <w:jc w:val="right"/>
            </w:pPr>
            <w:r w:rsidRPr="1C1D7E4D">
              <w:rPr>
                <w:sz w:val="20"/>
                <w:szCs w:val="20"/>
              </w:rPr>
              <w:t xml:space="preserve">5.8% </w:t>
            </w:r>
          </w:p>
        </w:tc>
        <w:tc>
          <w:tcPr>
            <w:tcW w:w="102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4B290240" w14:textId="0445590B" w:rsidR="1C1D7E4D" w:rsidRDefault="1C1D7E4D" w:rsidP="1C1D7E4D">
            <w:pPr>
              <w:spacing w:line="252" w:lineRule="auto"/>
              <w:jc w:val="right"/>
            </w:pPr>
            <w:r w:rsidRPr="1C1D7E4D">
              <w:rPr>
                <w:sz w:val="20"/>
                <w:szCs w:val="20"/>
              </w:rPr>
              <w:t xml:space="preserve">5.5% </w:t>
            </w:r>
          </w:p>
        </w:tc>
        <w:tc>
          <w:tcPr>
            <w:tcW w:w="102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5DDA4F44" w14:textId="2BBC2C36" w:rsidR="1C1D7E4D" w:rsidRDefault="1C1D7E4D" w:rsidP="1C1D7E4D">
            <w:pPr>
              <w:spacing w:line="252" w:lineRule="auto"/>
              <w:jc w:val="right"/>
            </w:pPr>
            <w:r w:rsidRPr="1C1D7E4D">
              <w:rPr>
                <w:sz w:val="20"/>
                <w:szCs w:val="20"/>
              </w:rPr>
              <w:t xml:space="preserve">5.0% </w:t>
            </w:r>
          </w:p>
        </w:tc>
        <w:tc>
          <w:tcPr>
            <w:tcW w:w="1020" w:type="dxa"/>
            <w:tcBorders>
              <w:top w:val="single" w:sz="12" w:space="0" w:color="000000" w:themeColor="text1"/>
              <w:left w:val="single" w:sz="12" w:space="0" w:color="000000" w:themeColor="text1"/>
              <w:bottom w:val="single" w:sz="8" w:space="0" w:color="000000" w:themeColor="text1"/>
              <w:right w:val="single" w:sz="12" w:space="0" w:color="000000" w:themeColor="text1"/>
            </w:tcBorders>
            <w:vAlign w:val="center"/>
          </w:tcPr>
          <w:p w14:paraId="1B058F7E" w14:textId="40B6A3D5" w:rsidR="1C1D7E4D" w:rsidRDefault="1C1D7E4D" w:rsidP="1C1D7E4D">
            <w:pPr>
              <w:spacing w:line="252" w:lineRule="auto"/>
              <w:jc w:val="right"/>
            </w:pPr>
            <w:r w:rsidRPr="1C1D7E4D">
              <w:rPr>
                <w:sz w:val="20"/>
                <w:szCs w:val="20"/>
              </w:rPr>
              <w:t xml:space="preserve">5.7% </w:t>
            </w:r>
          </w:p>
        </w:tc>
      </w:tr>
      <w:tr w:rsidR="1C1D7E4D" w14:paraId="2FD8A9D2" w14:textId="77777777" w:rsidTr="1C1D7E4D">
        <w:trPr>
          <w:trHeight w:val="300"/>
        </w:trPr>
        <w:tc>
          <w:tcPr>
            <w:tcW w:w="480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04CE6224" w14:textId="60D4FBA2" w:rsidR="1C1D7E4D" w:rsidRDefault="1C1D7E4D" w:rsidP="1C1D7E4D">
            <w:pPr>
              <w:spacing w:line="252" w:lineRule="auto"/>
            </w:pPr>
            <w:r w:rsidRPr="1C1D7E4D">
              <w:rPr>
                <w:sz w:val="20"/>
                <w:szCs w:val="20"/>
              </w:rPr>
              <w:t xml:space="preserve">Within Two Years or Less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5224FFD7" w14:textId="2A2526CB" w:rsidR="1C1D7E4D" w:rsidRDefault="1C1D7E4D" w:rsidP="1C1D7E4D">
            <w:pPr>
              <w:spacing w:line="252" w:lineRule="auto"/>
              <w:jc w:val="right"/>
            </w:pPr>
            <w:r w:rsidRPr="1C1D7E4D">
              <w:rPr>
                <w:sz w:val="20"/>
                <w:szCs w:val="20"/>
              </w:rPr>
              <w:t xml:space="preserve">15.2%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72B06F72" w14:textId="3BF036AB" w:rsidR="1C1D7E4D" w:rsidRDefault="1C1D7E4D" w:rsidP="1C1D7E4D">
            <w:pPr>
              <w:spacing w:line="252" w:lineRule="auto"/>
              <w:jc w:val="right"/>
            </w:pPr>
            <w:r w:rsidRPr="1C1D7E4D">
              <w:rPr>
                <w:sz w:val="20"/>
                <w:szCs w:val="20"/>
              </w:rPr>
              <w:t xml:space="preserve">15.7%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6B709B5A" w14:textId="4449D60E" w:rsidR="1C1D7E4D" w:rsidRDefault="1C1D7E4D" w:rsidP="1C1D7E4D">
            <w:pPr>
              <w:spacing w:line="252" w:lineRule="auto"/>
              <w:jc w:val="right"/>
            </w:pPr>
            <w:r w:rsidRPr="1C1D7E4D">
              <w:rPr>
                <w:sz w:val="20"/>
                <w:szCs w:val="20"/>
              </w:rPr>
              <w:t xml:space="preserve">14.2%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2BDD2E01" w14:textId="4D313C93" w:rsidR="1C1D7E4D" w:rsidRDefault="1C1D7E4D" w:rsidP="1C1D7E4D">
            <w:pPr>
              <w:spacing w:line="252" w:lineRule="auto"/>
              <w:jc w:val="right"/>
            </w:pPr>
            <w:r w:rsidRPr="1C1D7E4D">
              <w:rPr>
                <w:sz w:val="20"/>
                <w:szCs w:val="20"/>
              </w:rPr>
              <w:t xml:space="preserve">13.8%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78147EAE" w14:textId="2D9FCD40" w:rsidR="1C1D7E4D" w:rsidRDefault="1C1D7E4D" w:rsidP="1C1D7E4D">
            <w:pPr>
              <w:spacing w:line="252" w:lineRule="auto"/>
              <w:jc w:val="right"/>
            </w:pPr>
            <w:r w:rsidRPr="1C1D7E4D">
              <w:rPr>
                <w:sz w:val="20"/>
                <w:szCs w:val="20"/>
              </w:rPr>
              <w:t xml:space="preserve">14.8% </w:t>
            </w:r>
          </w:p>
        </w:tc>
      </w:tr>
      <w:tr w:rsidR="1C1D7E4D" w14:paraId="541DC93E" w14:textId="77777777" w:rsidTr="1C1D7E4D">
        <w:trPr>
          <w:trHeight w:val="300"/>
        </w:trPr>
        <w:tc>
          <w:tcPr>
            <w:tcW w:w="480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3B451638" w14:textId="0DB30AEB" w:rsidR="1C1D7E4D" w:rsidRDefault="1C1D7E4D" w:rsidP="1C1D7E4D">
            <w:pPr>
              <w:spacing w:line="252" w:lineRule="auto"/>
            </w:pPr>
            <w:r w:rsidRPr="1C1D7E4D">
              <w:rPr>
                <w:sz w:val="20"/>
                <w:szCs w:val="20"/>
              </w:rPr>
              <w:t xml:space="preserve">Within Three Years or Less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19FC39F2" w14:textId="17203EEE" w:rsidR="1C1D7E4D" w:rsidRDefault="1C1D7E4D" w:rsidP="1C1D7E4D">
            <w:pPr>
              <w:spacing w:line="252" w:lineRule="auto"/>
              <w:jc w:val="right"/>
            </w:pPr>
            <w:r w:rsidRPr="1C1D7E4D">
              <w:rPr>
                <w:sz w:val="20"/>
                <w:szCs w:val="20"/>
              </w:rPr>
              <w:t xml:space="preserve">22.7%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746A949A" w14:textId="55302EEE" w:rsidR="1C1D7E4D" w:rsidRDefault="1C1D7E4D" w:rsidP="1C1D7E4D">
            <w:pPr>
              <w:spacing w:line="252" w:lineRule="auto"/>
              <w:jc w:val="right"/>
            </w:pPr>
            <w:r w:rsidRPr="1C1D7E4D">
              <w:rPr>
                <w:sz w:val="20"/>
                <w:szCs w:val="20"/>
              </w:rPr>
              <w:t xml:space="preserve">22.3%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5D06115D" w14:textId="5CC97105" w:rsidR="1C1D7E4D" w:rsidRDefault="1C1D7E4D" w:rsidP="1C1D7E4D">
            <w:pPr>
              <w:spacing w:line="252" w:lineRule="auto"/>
              <w:jc w:val="right"/>
            </w:pPr>
            <w:r w:rsidRPr="1C1D7E4D">
              <w:rPr>
                <w:sz w:val="20"/>
                <w:szCs w:val="20"/>
              </w:rPr>
              <w:t xml:space="preserve">21.2%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3D9DF779" w14:textId="347D8295" w:rsidR="1C1D7E4D" w:rsidRDefault="1C1D7E4D" w:rsidP="1C1D7E4D">
            <w:pPr>
              <w:spacing w:line="252" w:lineRule="auto"/>
              <w:jc w:val="right"/>
            </w:pPr>
            <w:r w:rsidRPr="1C1D7E4D">
              <w:rPr>
                <w:sz w:val="20"/>
                <w:szCs w:val="20"/>
              </w:rPr>
              <w:t xml:space="preserve">20.2% </w:t>
            </w:r>
          </w:p>
        </w:tc>
        <w:tc>
          <w:tcPr>
            <w:tcW w:w="102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618A3725" w14:textId="4033D601" w:rsidR="1C1D7E4D" w:rsidRDefault="1C1D7E4D" w:rsidP="1C1D7E4D">
            <w:pPr>
              <w:spacing w:line="252" w:lineRule="auto"/>
              <w:jc w:val="right"/>
            </w:pPr>
            <w:r w:rsidRPr="1C1D7E4D">
              <w:rPr>
                <w:sz w:val="20"/>
                <w:szCs w:val="20"/>
              </w:rPr>
              <w:t xml:space="preserve">19.4% </w:t>
            </w:r>
          </w:p>
        </w:tc>
      </w:tr>
      <w:tr w:rsidR="1C1D7E4D" w14:paraId="0690E4FB" w14:textId="77777777" w:rsidTr="1C1D7E4D">
        <w:trPr>
          <w:trHeight w:val="300"/>
        </w:trPr>
        <w:tc>
          <w:tcPr>
            <w:tcW w:w="9900" w:type="dxa"/>
            <w:gridSpan w:val="6"/>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731A18E7" w14:textId="18C5A5C6" w:rsidR="1C1D7E4D" w:rsidRDefault="1C1D7E4D" w:rsidP="1C1D7E4D">
            <w:pPr>
              <w:spacing w:line="252" w:lineRule="auto"/>
              <w:jc w:val="center"/>
            </w:pPr>
            <w:r w:rsidRPr="1C1D7E4D">
              <w:rPr>
                <w:b/>
                <w:bCs/>
                <w:sz w:val="20"/>
                <w:szCs w:val="20"/>
              </w:rPr>
              <w:t>Comparison of 3-Year Recidivism Rates by Inmate Attributes</w:t>
            </w:r>
            <w:r w:rsidRPr="1C1D7E4D">
              <w:rPr>
                <w:sz w:val="20"/>
                <w:szCs w:val="20"/>
              </w:rPr>
              <w:t xml:space="preserve"> </w:t>
            </w:r>
          </w:p>
        </w:tc>
      </w:tr>
      <w:tr w:rsidR="1C1D7E4D" w14:paraId="074754AC" w14:textId="77777777" w:rsidTr="1C1D7E4D">
        <w:trPr>
          <w:trHeight w:val="300"/>
        </w:trPr>
        <w:tc>
          <w:tcPr>
            <w:tcW w:w="4800" w:type="dxa"/>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14:paraId="3988AFD9" w14:textId="7D4F29D8" w:rsidR="1C1D7E4D" w:rsidRDefault="1C1D7E4D" w:rsidP="1C1D7E4D">
            <w:pPr>
              <w:spacing w:line="252" w:lineRule="auto"/>
            </w:pPr>
            <w:r w:rsidRPr="1C1D7E4D">
              <w:rPr>
                <w:sz w:val="20"/>
                <w:szCs w:val="20"/>
              </w:rPr>
              <w:t xml:space="preserve">GED Earned in SCDC Education Program </w:t>
            </w:r>
          </w:p>
        </w:tc>
        <w:tc>
          <w:tcPr>
            <w:tcW w:w="1020" w:type="dxa"/>
            <w:tcBorders>
              <w:top w:val="nil"/>
              <w:left w:val="single" w:sz="12" w:space="0" w:color="000000" w:themeColor="text1"/>
              <w:bottom w:val="single" w:sz="8" w:space="0" w:color="000000" w:themeColor="text1"/>
              <w:right w:val="single" w:sz="12" w:space="0" w:color="000000" w:themeColor="text1"/>
            </w:tcBorders>
            <w:vAlign w:val="center"/>
          </w:tcPr>
          <w:p w14:paraId="2C90332E" w14:textId="5BC004A6" w:rsidR="1C1D7E4D" w:rsidRDefault="1C1D7E4D" w:rsidP="1C1D7E4D">
            <w:pPr>
              <w:spacing w:line="252" w:lineRule="auto"/>
              <w:jc w:val="right"/>
            </w:pPr>
            <w:r w:rsidRPr="1C1D7E4D">
              <w:rPr>
                <w:sz w:val="20"/>
                <w:szCs w:val="20"/>
              </w:rPr>
              <w:t xml:space="preserve">21.3% </w:t>
            </w:r>
          </w:p>
        </w:tc>
        <w:tc>
          <w:tcPr>
            <w:tcW w:w="1020" w:type="dxa"/>
            <w:tcBorders>
              <w:top w:val="nil"/>
              <w:left w:val="single" w:sz="12" w:space="0" w:color="000000" w:themeColor="text1"/>
              <w:bottom w:val="single" w:sz="8" w:space="0" w:color="000000" w:themeColor="text1"/>
              <w:right w:val="single" w:sz="12" w:space="0" w:color="000000" w:themeColor="text1"/>
            </w:tcBorders>
            <w:vAlign w:val="center"/>
          </w:tcPr>
          <w:p w14:paraId="62BD9CBA" w14:textId="3729F79F" w:rsidR="1C1D7E4D" w:rsidRDefault="1C1D7E4D" w:rsidP="1C1D7E4D">
            <w:pPr>
              <w:spacing w:line="252" w:lineRule="auto"/>
              <w:jc w:val="right"/>
            </w:pPr>
            <w:r w:rsidRPr="1C1D7E4D">
              <w:rPr>
                <w:sz w:val="20"/>
                <w:szCs w:val="20"/>
              </w:rPr>
              <w:t xml:space="preserve">17.3% </w:t>
            </w:r>
          </w:p>
        </w:tc>
        <w:tc>
          <w:tcPr>
            <w:tcW w:w="1020" w:type="dxa"/>
            <w:tcBorders>
              <w:top w:val="nil"/>
              <w:left w:val="single" w:sz="12" w:space="0" w:color="000000" w:themeColor="text1"/>
              <w:bottom w:val="single" w:sz="8" w:space="0" w:color="000000" w:themeColor="text1"/>
              <w:right w:val="single" w:sz="12" w:space="0" w:color="000000" w:themeColor="text1"/>
            </w:tcBorders>
            <w:vAlign w:val="center"/>
          </w:tcPr>
          <w:p w14:paraId="1112220A" w14:textId="2A052A55" w:rsidR="1C1D7E4D" w:rsidRDefault="1C1D7E4D" w:rsidP="1C1D7E4D">
            <w:pPr>
              <w:spacing w:line="252" w:lineRule="auto"/>
              <w:jc w:val="right"/>
            </w:pPr>
            <w:r w:rsidRPr="1C1D7E4D">
              <w:rPr>
                <w:sz w:val="20"/>
                <w:szCs w:val="20"/>
              </w:rPr>
              <w:t xml:space="preserve">15.8% </w:t>
            </w:r>
          </w:p>
        </w:tc>
        <w:tc>
          <w:tcPr>
            <w:tcW w:w="1020" w:type="dxa"/>
            <w:tcBorders>
              <w:top w:val="nil"/>
              <w:left w:val="single" w:sz="12" w:space="0" w:color="000000" w:themeColor="text1"/>
              <w:bottom w:val="single" w:sz="8" w:space="0" w:color="000000" w:themeColor="text1"/>
              <w:right w:val="single" w:sz="12" w:space="0" w:color="000000" w:themeColor="text1"/>
            </w:tcBorders>
            <w:vAlign w:val="center"/>
          </w:tcPr>
          <w:p w14:paraId="06011166" w14:textId="0E5283E5" w:rsidR="1C1D7E4D" w:rsidRDefault="1C1D7E4D" w:rsidP="1C1D7E4D">
            <w:pPr>
              <w:spacing w:line="252" w:lineRule="auto"/>
              <w:jc w:val="right"/>
            </w:pPr>
            <w:r w:rsidRPr="1C1D7E4D">
              <w:rPr>
                <w:sz w:val="20"/>
                <w:szCs w:val="20"/>
              </w:rPr>
              <w:t xml:space="preserve">15.3% </w:t>
            </w:r>
          </w:p>
        </w:tc>
        <w:tc>
          <w:tcPr>
            <w:tcW w:w="1020" w:type="dxa"/>
            <w:tcBorders>
              <w:top w:val="nil"/>
              <w:left w:val="single" w:sz="12" w:space="0" w:color="000000" w:themeColor="text1"/>
              <w:bottom w:val="single" w:sz="8" w:space="0" w:color="000000" w:themeColor="text1"/>
              <w:right w:val="single" w:sz="12" w:space="0" w:color="000000" w:themeColor="text1"/>
            </w:tcBorders>
            <w:vAlign w:val="center"/>
          </w:tcPr>
          <w:p w14:paraId="7DF067A7" w14:textId="03B056AF" w:rsidR="1C1D7E4D" w:rsidRDefault="1C1D7E4D" w:rsidP="1C1D7E4D">
            <w:pPr>
              <w:spacing w:line="252" w:lineRule="auto"/>
              <w:jc w:val="right"/>
            </w:pPr>
            <w:r w:rsidRPr="1C1D7E4D">
              <w:rPr>
                <w:sz w:val="20"/>
                <w:szCs w:val="20"/>
              </w:rPr>
              <w:t>12.8%</w:t>
            </w:r>
          </w:p>
        </w:tc>
      </w:tr>
    </w:tbl>
    <w:p w14:paraId="0E243BF6" w14:textId="2AD9C3A1" w:rsidR="3421B56B" w:rsidRDefault="3421B56B" w:rsidP="2D724D8C">
      <w:pPr>
        <w:rPr>
          <w:rFonts w:eastAsiaTheme="minorEastAsia"/>
          <w:b/>
        </w:rPr>
      </w:pPr>
    </w:p>
    <w:p w14:paraId="1F1D1307" w14:textId="77777777" w:rsidR="009D118E" w:rsidRPr="00612C57" w:rsidRDefault="2D724D8C" w:rsidP="2D724D8C">
      <w:pPr>
        <w:autoSpaceDE w:val="0"/>
        <w:autoSpaceDN w:val="0"/>
        <w:adjustRightInd w:val="0"/>
        <w:rPr>
          <w:b/>
          <w:bCs/>
          <w:sz w:val="20"/>
          <w:szCs w:val="20"/>
          <w:u w:val="single"/>
        </w:rPr>
      </w:pPr>
      <w:r w:rsidRPr="2D724D8C">
        <w:rPr>
          <w:b/>
          <w:bCs/>
          <w:sz w:val="20"/>
          <w:szCs w:val="20"/>
          <w:u w:val="single"/>
        </w:rPr>
        <w:t>Terms/Definitions</w:t>
      </w:r>
    </w:p>
    <w:p w14:paraId="396FB209" w14:textId="77777777" w:rsidR="009D118E" w:rsidRPr="00612C57" w:rsidRDefault="009D118E" w:rsidP="2D724D8C">
      <w:pPr>
        <w:autoSpaceDE w:val="0"/>
        <w:autoSpaceDN w:val="0"/>
        <w:adjustRightInd w:val="0"/>
        <w:rPr>
          <w:sz w:val="20"/>
          <w:szCs w:val="20"/>
          <w:u w:val="single"/>
        </w:rPr>
      </w:pPr>
    </w:p>
    <w:p w14:paraId="0D0DC97B" w14:textId="474EA1DB" w:rsidR="009D118E" w:rsidRPr="004F320A" w:rsidRDefault="2D724D8C" w:rsidP="00062CF9">
      <w:pPr>
        <w:numPr>
          <w:ilvl w:val="0"/>
          <w:numId w:val="35"/>
        </w:numPr>
        <w:autoSpaceDE w:val="0"/>
        <w:autoSpaceDN w:val="0"/>
        <w:adjustRightInd w:val="0"/>
        <w:rPr>
          <w:rFonts w:ascii="Arial" w:hAnsi="Arial" w:cs="Arial"/>
          <w:sz w:val="20"/>
          <w:szCs w:val="20"/>
        </w:rPr>
      </w:pPr>
      <w:r w:rsidRPr="004F320A">
        <w:rPr>
          <w:sz w:val="20"/>
          <w:szCs w:val="20"/>
        </w:rPr>
        <w:t xml:space="preserve">Release/Releasee - An inmate </w:t>
      </w:r>
      <w:r w:rsidR="0098137C" w:rsidRPr="004F320A">
        <w:rPr>
          <w:sz w:val="20"/>
          <w:szCs w:val="20"/>
        </w:rPr>
        <w:t>becomes</w:t>
      </w:r>
      <w:r w:rsidRPr="004F320A">
        <w:rPr>
          <w:sz w:val="20"/>
          <w:szCs w:val="20"/>
        </w:rPr>
        <w:t xml:space="preserve"> a releasee when conditionally released via placement on probation</w:t>
      </w:r>
      <w:r w:rsidR="0098137C" w:rsidRPr="004F320A">
        <w:rPr>
          <w:sz w:val="20"/>
          <w:szCs w:val="20"/>
        </w:rPr>
        <w:t xml:space="preserve">, </w:t>
      </w:r>
      <w:r w:rsidRPr="004F320A">
        <w:rPr>
          <w:sz w:val="20"/>
          <w:szCs w:val="20"/>
        </w:rPr>
        <w:t>parole</w:t>
      </w:r>
      <w:r w:rsidR="0098137C" w:rsidRPr="004F320A">
        <w:rPr>
          <w:sz w:val="20"/>
          <w:szCs w:val="20"/>
        </w:rPr>
        <w:t xml:space="preserve">, </w:t>
      </w:r>
      <w:r w:rsidRPr="004F320A">
        <w:rPr>
          <w:sz w:val="20"/>
          <w:szCs w:val="20"/>
        </w:rPr>
        <w:t>community supervision</w:t>
      </w:r>
      <w:r w:rsidR="0098137C" w:rsidRPr="004F320A">
        <w:rPr>
          <w:sz w:val="20"/>
          <w:szCs w:val="20"/>
        </w:rPr>
        <w:t>, or sup</w:t>
      </w:r>
      <w:r w:rsidRPr="004F320A">
        <w:rPr>
          <w:sz w:val="20"/>
          <w:szCs w:val="20"/>
        </w:rPr>
        <w:t xml:space="preserve">ervised re-entry or </w:t>
      </w:r>
      <w:r w:rsidR="0098137C" w:rsidRPr="004F320A">
        <w:rPr>
          <w:sz w:val="20"/>
          <w:szCs w:val="20"/>
        </w:rPr>
        <w:t xml:space="preserve">has </w:t>
      </w:r>
      <w:r w:rsidRPr="004F320A">
        <w:rPr>
          <w:sz w:val="20"/>
          <w:szCs w:val="20"/>
        </w:rPr>
        <w:t xml:space="preserve">completed </w:t>
      </w:r>
      <w:r w:rsidR="0098137C" w:rsidRPr="004F320A">
        <w:rPr>
          <w:sz w:val="20"/>
          <w:szCs w:val="20"/>
        </w:rPr>
        <w:t xml:space="preserve">the </w:t>
      </w:r>
      <w:r w:rsidRPr="004F320A">
        <w:rPr>
          <w:sz w:val="20"/>
          <w:szCs w:val="20"/>
        </w:rPr>
        <w:t>sentence (</w:t>
      </w:r>
      <w:proofErr w:type="spellStart"/>
      <w:r w:rsidRPr="004F320A">
        <w:rPr>
          <w:sz w:val="20"/>
          <w:szCs w:val="20"/>
        </w:rPr>
        <w:t>maxout</w:t>
      </w:r>
      <w:proofErr w:type="spellEnd"/>
      <w:r w:rsidRPr="004F320A">
        <w:rPr>
          <w:sz w:val="20"/>
          <w:szCs w:val="20"/>
        </w:rPr>
        <w:t>)</w:t>
      </w:r>
      <w:r w:rsidR="0098137C" w:rsidRPr="004F320A">
        <w:rPr>
          <w:sz w:val="20"/>
          <w:szCs w:val="20"/>
        </w:rPr>
        <w:t xml:space="preserve">. </w:t>
      </w:r>
      <w:r w:rsidRPr="004F320A">
        <w:rPr>
          <w:sz w:val="20"/>
          <w:szCs w:val="20"/>
        </w:rPr>
        <w:t>Inmates who died</w:t>
      </w:r>
      <w:r w:rsidR="0098137C" w:rsidRPr="004F320A">
        <w:rPr>
          <w:sz w:val="20"/>
          <w:szCs w:val="20"/>
        </w:rPr>
        <w:t xml:space="preserve">, </w:t>
      </w:r>
      <w:r w:rsidRPr="004F320A">
        <w:rPr>
          <w:sz w:val="20"/>
          <w:szCs w:val="20"/>
        </w:rPr>
        <w:t>left SCDC for appeals, or whose sentences were remanded</w:t>
      </w:r>
      <w:r w:rsidR="0098137C" w:rsidRPr="004F320A">
        <w:rPr>
          <w:sz w:val="20"/>
          <w:szCs w:val="20"/>
        </w:rPr>
        <w:t xml:space="preserve"> </w:t>
      </w:r>
      <w:r w:rsidRPr="004F320A">
        <w:rPr>
          <w:sz w:val="20"/>
          <w:szCs w:val="20"/>
        </w:rPr>
        <w:t xml:space="preserve">are not included in recidivism analysis.  </w:t>
      </w:r>
    </w:p>
    <w:p w14:paraId="64F72EBA" w14:textId="2EA427E0" w:rsidR="009D118E" w:rsidRPr="004F320A" w:rsidRDefault="2D724D8C" w:rsidP="00062CF9">
      <w:pPr>
        <w:numPr>
          <w:ilvl w:val="0"/>
          <w:numId w:val="35"/>
        </w:numPr>
        <w:autoSpaceDE w:val="0"/>
        <w:autoSpaceDN w:val="0"/>
        <w:adjustRightInd w:val="0"/>
        <w:rPr>
          <w:rFonts w:ascii="Arial" w:hAnsi="Arial" w:cs="Arial"/>
          <w:sz w:val="20"/>
          <w:szCs w:val="20"/>
        </w:rPr>
      </w:pPr>
      <w:r w:rsidRPr="004F320A">
        <w:rPr>
          <w:sz w:val="20"/>
          <w:szCs w:val="20"/>
        </w:rPr>
        <w:t>Release Cohort - Releasees can be grouped according to a common factor</w:t>
      </w:r>
      <w:r w:rsidR="0098137C" w:rsidRPr="004F320A">
        <w:rPr>
          <w:sz w:val="20"/>
          <w:szCs w:val="20"/>
        </w:rPr>
        <w:t xml:space="preserve">. </w:t>
      </w:r>
      <w:r w:rsidRPr="004F320A">
        <w:rPr>
          <w:sz w:val="20"/>
          <w:szCs w:val="20"/>
        </w:rPr>
        <w:t>In recidivism analysis, release cohorts are distinguished by the fiscal year during which their release occurred (a fiscal year being July 1</w:t>
      </w:r>
      <w:r w:rsidRPr="004F320A">
        <w:rPr>
          <w:sz w:val="20"/>
          <w:szCs w:val="20"/>
          <w:vertAlign w:val="superscript"/>
        </w:rPr>
        <w:t>st</w:t>
      </w:r>
      <w:r w:rsidRPr="004F320A">
        <w:rPr>
          <w:sz w:val="20"/>
          <w:szCs w:val="20"/>
        </w:rPr>
        <w:t xml:space="preserve"> through June 30</w:t>
      </w:r>
      <w:r w:rsidRPr="004F320A">
        <w:rPr>
          <w:sz w:val="20"/>
          <w:szCs w:val="20"/>
          <w:vertAlign w:val="superscript"/>
        </w:rPr>
        <w:t>th</w:t>
      </w:r>
      <w:r w:rsidRPr="004F320A">
        <w:rPr>
          <w:sz w:val="20"/>
          <w:szCs w:val="20"/>
        </w:rPr>
        <w:t>)</w:t>
      </w:r>
    </w:p>
    <w:p w14:paraId="79C87480" w14:textId="77777777" w:rsidR="009D118E" w:rsidRPr="004F320A" w:rsidRDefault="2D724D8C" w:rsidP="00062CF9">
      <w:pPr>
        <w:numPr>
          <w:ilvl w:val="0"/>
          <w:numId w:val="35"/>
        </w:numPr>
        <w:autoSpaceDE w:val="0"/>
        <w:autoSpaceDN w:val="0"/>
        <w:adjustRightInd w:val="0"/>
        <w:rPr>
          <w:rFonts w:ascii="Arial" w:hAnsi="Arial" w:cs="Arial"/>
          <w:sz w:val="20"/>
          <w:szCs w:val="20"/>
        </w:rPr>
      </w:pPr>
      <w:r w:rsidRPr="004F320A">
        <w:rPr>
          <w:sz w:val="20"/>
          <w:szCs w:val="20"/>
        </w:rPr>
        <w:t>Recidivist - An SCDC releasee is considered a "recidivist" when he/she re-enters SCDC custody (but excludes those inmates convicted and returned to prison for a past offense only, an offense that occurred prior to their release.)</w:t>
      </w:r>
    </w:p>
    <w:p w14:paraId="1A2A5806" w14:textId="44B8ADBA" w:rsidR="009D118E" w:rsidRPr="004F320A" w:rsidRDefault="2D724D8C" w:rsidP="00062CF9">
      <w:pPr>
        <w:numPr>
          <w:ilvl w:val="0"/>
          <w:numId w:val="35"/>
        </w:numPr>
        <w:autoSpaceDE w:val="0"/>
        <w:autoSpaceDN w:val="0"/>
        <w:adjustRightInd w:val="0"/>
        <w:rPr>
          <w:rFonts w:ascii="Arial" w:hAnsi="Arial" w:cs="Arial"/>
          <w:sz w:val="20"/>
          <w:szCs w:val="20"/>
        </w:rPr>
      </w:pPr>
      <w:r w:rsidRPr="004F320A">
        <w:rPr>
          <w:sz w:val="20"/>
          <w:szCs w:val="20"/>
        </w:rPr>
        <w:t>Recidivism Rate - This rate is the percentage of releasees who recidivated</w:t>
      </w:r>
      <w:r w:rsidR="0098137C" w:rsidRPr="004F320A">
        <w:rPr>
          <w:sz w:val="20"/>
          <w:szCs w:val="20"/>
        </w:rPr>
        <w:t xml:space="preserve">. </w:t>
      </w:r>
      <w:r w:rsidRPr="004F320A">
        <w:rPr>
          <w:sz w:val="20"/>
          <w:szCs w:val="20"/>
        </w:rPr>
        <w:t>A one-year rate is based on the number who returned within 12 months of release; a two-year rate is based on the number returned with 24 months; and a 3-year rate is based on the number returned within 36 months</w:t>
      </w:r>
      <w:r w:rsidR="0098137C" w:rsidRPr="004F320A">
        <w:rPr>
          <w:sz w:val="20"/>
          <w:szCs w:val="20"/>
        </w:rPr>
        <w:t xml:space="preserve">. </w:t>
      </w:r>
      <w:r w:rsidRPr="004F320A">
        <w:rPr>
          <w:sz w:val="20"/>
          <w:szCs w:val="20"/>
        </w:rPr>
        <w:t>Recidivism rate comparison among release subgroups is applied to the 3-year rate, which is a standard recommended by the Commission on Criminal Justice Standards and Goals decades ago and subsequently applied by various correctional jurisdictions.</w:t>
      </w:r>
    </w:p>
    <w:sectPr w:rsidR="009D118E" w:rsidRPr="004F320A" w:rsidSect="00476CC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D8F1" w14:textId="77777777" w:rsidR="00192725" w:rsidRDefault="00192725" w:rsidP="00AF22F0">
      <w:r>
        <w:separator/>
      </w:r>
    </w:p>
  </w:endnote>
  <w:endnote w:type="continuationSeparator" w:id="0">
    <w:p w14:paraId="7B469614" w14:textId="77777777" w:rsidR="00192725" w:rsidRDefault="00192725" w:rsidP="00AF22F0">
      <w:r>
        <w:continuationSeparator/>
      </w:r>
    </w:p>
  </w:endnote>
  <w:endnote w:type="continuationNotice" w:id="1">
    <w:p w14:paraId="1E0F77A8" w14:textId="77777777" w:rsidR="00D85A72" w:rsidRDefault="00D85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doni Poster">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331258"/>
      <w:docPartObj>
        <w:docPartGallery w:val="Page Numbers (Bottom of Page)"/>
        <w:docPartUnique/>
      </w:docPartObj>
    </w:sdtPr>
    <w:sdtEndPr>
      <w:rPr>
        <w:noProof/>
        <w:sz w:val="20"/>
      </w:rPr>
    </w:sdtEndPr>
    <w:sdtContent>
      <w:p w14:paraId="57D24D30" w14:textId="49B5EE5D" w:rsidR="0098137C" w:rsidRPr="00062CF9" w:rsidRDefault="0098137C">
        <w:pPr>
          <w:pStyle w:val="Footer"/>
          <w:jc w:val="right"/>
          <w:rPr>
            <w:sz w:val="20"/>
          </w:rPr>
        </w:pPr>
        <w:r w:rsidRPr="00062CF9">
          <w:rPr>
            <w:color w:val="2B579A"/>
            <w:sz w:val="20"/>
            <w:shd w:val="clear" w:color="auto" w:fill="E6E6E6"/>
          </w:rPr>
          <w:fldChar w:fldCharType="begin"/>
        </w:r>
        <w:r w:rsidRPr="00062CF9">
          <w:rPr>
            <w:sz w:val="20"/>
          </w:rPr>
          <w:instrText xml:space="preserve"> PAGE   \* MERGEFORMAT </w:instrText>
        </w:r>
        <w:r w:rsidRPr="00062CF9">
          <w:rPr>
            <w:color w:val="2B579A"/>
            <w:sz w:val="20"/>
            <w:shd w:val="clear" w:color="auto" w:fill="E6E6E6"/>
          </w:rPr>
          <w:fldChar w:fldCharType="separate"/>
        </w:r>
        <w:r w:rsidR="00062CF9">
          <w:rPr>
            <w:noProof/>
            <w:sz w:val="20"/>
          </w:rPr>
          <w:t>1</w:t>
        </w:r>
        <w:r w:rsidRPr="00062CF9">
          <w:rPr>
            <w:noProof/>
            <w:color w:val="2B579A"/>
            <w:sz w:val="20"/>
            <w:shd w:val="clear" w:color="auto" w:fill="E6E6E6"/>
          </w:rPr>
          <w:fldChar w:fldCharType="end"/>
        </w:r>
      </w:p>
    </w:sdtContent>
  </w:sdt>
  <w:p w14:paraId="39E80FE4" w14:textId="77777777" w:rsidR="0098137C" w:rsidRDefault="00981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5B352" w14:textId="77777777" w:rsidR="00192725" w:rsidRDefault="00192725" w:rsidP="00AF22F0">
      <w:r>
        <w:separator/>
      </w:r>
    </w:p>
  </w:footnote>
  <w:footnote w:type="continuationSeparator" w:id="0">
    <w:p w14:paraId="3483385B" w14:textId="77777777" w:rsidR="00192725" w:rsidRDefault="00192725" w:rsidP="00AF22F0">
      <w:r>
        <w:continuationSeparator/>
      </w:r>
    </w:p>
  </w:footnote>
  <w:footnote w:type="continuationNotice" w:id="1">
    <w:p w14:paraId="44F73457" w14:textId="77777777" w:rsidR="00D85A72" w:rsidRDefault="00D85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98137C" w14:paraId="4BC9FC75" w14:textId="77777777" w:rsidTr="30F37B06">
      <w:tc>
        <w:tcPr>
          <w:tcW w:w="3360" w:type="dxa"/>
        </w:tcPr>
        <w:p w14:paraId="5A671794" w14:textId="77777777" w:rsidR="0098137C" w:rsidRDefault="0098137C" w:rsidP="30F37B06">
          <w:pPr>
            <w:pStyle w:val="Header"/>
            <w:ind w:left="-115"/>
          </w:pPr>
        </w:p>
      </w:tc>
      <w:tc>
        <w:tcPr>
          <w:tcW w:w="3360" w:type="dxa"/>
        </w:tcPr>
        <w:p w14:paraId="40007530" w14:textId="77777777" w:rsidR="0098137C" w:rsidRDefault="0098137C" w:rsidP="30F37B06">
          <w:pPr>
            <w:pStyle w:val="Header"/>
            <w:jc w:val="center"/>
          </w:pPr>
        </w:p>
      </w:tc>
      <w:tc>
        <w:tcPr>
          <w:tcW w:w="3360" w:type="dxa"/>
        </w:tcPr>
        <w:p w14:paraId="6C9C85E8" w14:textId="77777777" w:rsidR="0098137C" w:rsidRDefault="0098137C" w:rsidP="30F37B06">
          <w:pPr>
            <w:pStyle w:val="Header"/>
            <w:ind w:right="-115"/>
            <w:jc w:val="right"/>
          </w:pPr>
        </w:p>
      </w:tc>
    </w:tr>
  </w:tbl>
  <w:p w14:paraId="1EE6F2FE" w14:textId="77777777" w:rsidR="0098137C" w:rsidRDefault="0098137C" w:rsidP="30F37B06">
    <w:pPr>
      <w:pStyle w:val="Header"/>
    </w:pPr>
  </w:p>
</w:hdr>
</file>

<file path=word/intelligence.xml><?xml version="1.0" encoding="utf-8"?>
<int:Intelligence xmlns:int="http://schemas.microsoft.com/office/intelligence/2019/intelligence">
  <int:IntelligenceSettings/>
  <int:Manifest>
    <int:WordHash hashCode="G/bQ84hqpmr5c3" id="DCHGU4tz"/>
    <int:WordHash hashCode="kw18Zvs2rifoJp" id="71TQxP5d"/>
  </int:Manifest>
  <int:Observations>
    <int:Content id="DCHGU4tz">
      <int:Rejection type="AugLoop_Text_Critique"/>
    </int:Content>
    <int:Content id="71TQxP5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051"/>
    <w:multiLevelType w:val="hybridMultilevel"/>
    <w:tmpl w:val="54C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2704"/>
    <w:multiLevelType w:val="hybridMultilevel"/>
    <w:tmpl w:val="5E0C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7A23DA"/>
    <w:multiLevelType w:val="hybridMultilevel"/>
    <w:tmpl w:val="4600F23A"/>
    <w:lvl w:ilvl="0" w:tplc="1D606AF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B2F0A"/>
    <w:multiLevelType w:val="hybridMultilevel"/>
    <w:tmpl w:val="9B90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B0DBC"/>
    <w:multiLevelType w:val="hybridMultilevel"/>
    <w:tmpl w:val="3D92804A"/>
    <w:lvl w:ilvl="0" w:tplc="04090001">
      <w:start w:val="1"/>
      <w:numFmt w:val="bullet"/>
      <w:lvlText w:val=""/>
      <w:lvlJc w:val="left"/>
      <w:pPr>
        <w:ind w:left="720" w:hanging="360"/>
      </w:pPr>
      <w:rPr>
        <w:rFonts w:ascii="Symbol" w:hAnsi="Symbol" w:hint="default"/>
      </w:rPr>
    </w:lvl>
    <w:lvl w:ilvl="1" w:tplc="F452A6B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9193A"/>
    <w:multiLevelType w:val="hybridMultilevel"/>
    <w:tmpl w:val="DF5A2CF2"/>
    <w:lvl w:ilvl="0" w:tplc="04090001">
      <w:start w:val="1"/>
      <w:numFmt w:val="bullet"/>
      <w:lvlText w:val=""/>
      <w:lvlJc w:val="left"/>
      <w:pPr>
        <w:tabs>
          <w:tab w:val="num" w:pos="720"/>
        </w:tabs>
        <w:ind w:left="720" w:hanging="360"/>
      </w:pPr>
      <w:rPr>
        <w:rFonts w:ascii="Symbol" w:hAnsi="Symbol" w:hint="default"/>
      </w:rPr>
    </w:lvl>
    <w:lvl w:ilvl="1" w:tplc="513003B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85F02"/>
    <w:multiLevelType w:val="hybridMultilevel"/>
    <w:tmpl w:val="87FA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4296A"/>
    <w:multiLevelType w:val="hybridMultilevel"/>
    <w:tmpl w:val="10DAC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B2E80"/>
    <w:multiLevelType w:val="hybridMultilevel"/>
    <w:tmpl w:val="72CC878A"/>
    <w:lvl w:ilvl="0" w:tplc="0409000F">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B22146"/>
    <w:multiLevelType w:val="hybridMultilevel"/>
    <w:tmpl w:val="47D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C7E"/>
    <w:multiLevelType w:val="hybridMultilevel"/>
    <w:tmpl w:val="3D5A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527906"/>
    <w:multiLevelType w:val="hybridMultilevel"/>
    <w:tmpl w:val="3AB231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B69E6"/>
    <w:multiLevelType w:val="hybridMultilevel"/>
    <w:tmpl w:val="ED28AE00"/>
    <w:lvl w:ilvl="0" w:tplc="A96E7D30">
      <w:start w:val="1"/>
      <w:numFmt w:val="decimal"/>
      <w:lvlText w:val="%1."/>
      <w:lvlJc w:val="left"/>
      <w:pPr>
        <w:ind w:left="720" w:hanging="360"/>
      </w:pPr>
    </w:lvl>
    <w:lvl w:ilvl="1" w:tplc="1D6C3EB2">
      <w:start w:val="1"/>
      <w:numFmt w:val="lowerLetter"/>
      <w:lvlText w:val="%2."/>
      <w:lvlJc w:val="left"/>
      <w:pPr>
        <w:ind w:left="1440" w:hanging="360"/>
      </w:pPr>
    </w:lvl>
    <w:lvl w:ilvl="2" w:tplc="A5006416">
      <w:start w:val="1"/>
      <w:numFmt w:val="lowerRoman"/>
      <w:lvlText w:val="%3."/>
      <w:lvlJc w:val="right"/>
      <w:pPr>
        <w:ind w:left="2160" w:hanging="180"/>
      </w:pPr>
    </w:lvl>
    <w:lvl w:ilvl="3" w:tplc="27F41A2A">
      <w:start w:val="1"/>
      <w:numFmt w:val="decimal"/>
      <w:lvlText w:val="%4."/>
      <w:lvlJc w:val="left"/>
      <w:pPr>
        <w:ind w:left="2880" w:hanging="360"/>
      </w:pPr>
    </w:lvl>
    <w:lvl w:ilvl="4" w:tplc="2AF2F0C2">
      <w:start w:val="1"/>
      <w:numFmt w:val="lowerLetter"/>
      <w:lvlText w:val="%5."/>
      <w:lvlJc w:val="left"/>
      <w:pPr>
        <w:ind w:left="3600" w:hanging="360"/>
      </w:pPr>
    </w:lvl>
    <w:lvl w:ilvl="5" w:tplc="FC7E2FF4">
      <w:start w:val="1"/>
      <w:numFmt w:val="lowerRoman"/>
      <w:lvlText w:val="%6."/>
      <w:lvlJc w:val="right"/>
      <w:pPr>
        <w:ind w:left="4320" w:hanging="180"/>
      </w:pPr>
    </w:lvl>
    <w:lvl w:ilvl="6" w:tplc="027CB338">
      <w:start w:val="1"/>
      <w:numFmt w:val="decimal"/>
      <w:lvlText w:val="%7."/>
      <w:lvlJc w:val="left"/>
      <w:pPr>
        <w:ind w:left="5040" w:hanging="360"/>
      </w:pPr>
    </w:lvl>
    <w:lvl w:ilvl="7" w:tplc="EEFCF9AA">
      <w:start w:val="1"/>
      <w:numFmt w:val="lowerLetter"/>
      <w:lvlText w:val="%8."/>
      <w:lvlJc w:val="left"/>
      <w:pPr>
        <w:ind w:left="5760" w:hanging="360"/>
      </w:pPr>
    </w:lvl>
    <w:lvl w:ilvl="8" w:tplc="888A80FA">
      <w:start w:val="1"/>
      <w:numFmt w:val="lowerRoman"/>
      <w:lvlText w:val="%9."/>
      <w:lvlJc w:val="right"/>
      <w:pPr>
        <w:ind w:left="6480" w:hanging="180"/>
      </w:pPr>
    </w:lvl>
  </w:abstractNum>
  <w:abstractNum w:abstractNumId="13" w15:restartNumberingAfterBreak="0">
    <w:nsid w:val="1BFB1474"/>
    <w:multiLevelType w:val="hybridMultilevel"/>
    <w:tmpl w:val="A5A8A4C4"/>
    <w:lvl w:ilvl="0" w:tplc="04090001">
      <w:start w:val="1"/>
      <w:numFmt w:val="bullet"/>
      <w:lvlText w:val=""/>
      <w:lvlJc w:val="left"/>
      <w:pPr>
        <w:tabs>
          <w:tab w:val="num" w:pos="360"/>
        </w:tabs>
        <w:ind w:left="360" w:hanging="360"/>
      </w:pPr>
      <w:rPr>
        <w:rFonts w:ascii="Symbol" w:hAnsi="Symbol" w:hint="default"/>
      </w:rPr>
    </w:lvl>
    <w:lvl w:ilvl="1" w:tplc="767CDEDE">
      <w:numFmt w:val="decimal"/>
      <w:lvlText w:val=""/>
      <w:lvlJc w:val="left"/>
    </w:lvl>
    <w:lvl w:ilvl="2" w:tplc="7A1276D6">
      <w:numFmt w:val="decimal"/>
      <w:lvlText w:val=""/>
      <w:lvlJc w:val="left"/>
    </w:lvl>
    <w:lvl w:ilvl="3" w:tplc="823E2CF4">
      <w:numFmt w:val="decimal"/>
      <w:lvlText w:val=""/>
      <w:lvlJc w:val="left"/>
    </w:lvl>
    <w:lvl w:ilvl="4" w:tplc="14C676BC">
      <w:numFmt w:val="decimal"/>
      <w:lvlText w:val=""/>
      <w:lvlJc w:val="left"/>
    </w:lvl>
    <w:lvl w:ilvl="5" w:tplc="8AEE34C8">
      <w:numFmt w:val="decimal"/>
      <w:lvlText w:val=""/>
      <w:lvlJc w:val="left"/>
    </w:lvl>
    <w:lvl w:ilvl="6" w:tplc="2E98C978">
      <w:numFmt w:val="decimal"/>
      <w:lvlText w:val=""/>
      <w:lvlJc w:val="left"/>
    </w:lvl>
    <w:lvl w:ilvl="7" w:tplc="84CE7506">
      <w:numFmt w:val="decimal"/>
      <w:lvlText w:val=""/>
      <w:lvlJc w:val="left"/>
    </w:lvl>
    <w:lvl w:ilvl="8" w:tplc="EE3AB524">
      <w:numFmt w:val="decimal"/>
      <w:lvlText w:val=""/>
      <w:lvlJc w:val="left"/>
    </w:lvl>
  </w:abstractNum>
  <w:abstractNum w:abstractNumId="14" w15:restartNumberingAfterBreak="0">
    <w:nsid w:val="25F01986"/>
    <w:multiLevelType w:val="hybridMultilevel"/>
    <w:tmpl w:val="D28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A5511"/>
    <w:multiLevelType w:val="hybridMultilevel"/>
    <w:tmpl w:val="C302A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26637"/>
    <w:multiLevelType w:val="hybridMultilevel"/>
    <w:tmpl w:val="28A0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43336"/>
    <w:multiLevelType w:val="hybridMultilevel"/>
    <w:tmpl w:val="92F07950"/>
    <w:lvl w:ilvl="0" w:tplc="B04E5746">
      <w:numFmt w:val="bullet"/>
      <w:lvlText w:val=""/>
      <w:lvlJc w:val="left"/>
      <w:pPr>
        <w:tabs>
          <w:tab w:val="num" w:pos="720"/>
        </w:tabs>
        <w:ind w:left="720" w:hanging="360"/>
      </w:pPr>
      <w:rPr>
        <w:rFonts w:ascii="Symbol" w:hAnsi="Symbol" w:hint="default"/>
      </w:rPr>
    </w:lvl>
    <w:lvl w:ilvl="1" w:tplc="767CDEDE">
      <w:numFmt w:val="decimal"/>
      <w:lvlText w:val=""/>
      <w:lvlJc w:val="left"/>
    </w:lvl>
    <w:lvl w:ilvl="2" w:tplc="7A1276D6">
      <w:numFmt w:val="decimal"/>
      <w:lvlText w:val=""/>
      <w:lvlJc w:val="left"/>
    </w:lvl>
    <w:lvl w:ilvl="3" w:tplc="823E2CF4">
      <w:numFmt w:val="decimal"/>
      <w:lvlText w:val=""/>
      <w:lvlJc w:val="left"/>
    </w:lvl>
    <w:lvl w:ilvl="4" w:tplc="14C676BC">
      <w:numFmt w:val="decimal"/>
      <w:lvlText w:val=""/>
      <w:lvlJc w:val="left"/>
    </w:lvl>
    <w:lvl w:ilvl="5" w:tplc="8AEE34C8">
      <w:numFmt w:val="decimal"/>
      <w:lvlText w:val=""/>
      <w:lvlJc w:val="left"/>
    </w:lvl>
    <w:lvl w:ilvl="6" w:tplc="2E98C978">
      <w:numFmt w:val="decimal"/>
      <w:lvlText w:val=""/>
      <w:lvlJc w:val="left"/>
    </w:lvl>
    <w:lvl w:ilvl="7" w:tplc="84CE7506">
      <w:numFmt w:val="decimal"/>
      <w:lvlText w:val=""/>
      <w:lvlJc w:val="left"/>
    </w:lvl>
    <w:lvl w:ilvl="8" w:tplc="EE3AB524">
      <w:numFmt w:val="decimal"/>
      <w:lvlText w:val=""/>
      <w:lvlJc w:val="left"/>
    </w:lvl>
  </w:abstractNum>
  <w:abstractNum w:abstractNumId="18" w15:restartNumberingAfterBreak="0">
    <w:nsid w:val="31677C26"/>
    <w:multiLevelType w:val="hybridMultilevel"/>
    <w:tmpl w:val="09C429C8"/>
    <w:lvl w:ilvl="0" w:tplc="2780BF08">
      <w:start w:val="1"/>
      <w:numFmt w:val="bullet"/>
      <w:lvlText w:val=""/>
      <w:lvlJc w:val="left"/>
      <w:pPr>
        <w:ind w:left="720" w:hanging="360"/>
      </w:pPr>
      <w:rPr>
        <w:rFonts w:ascii="Symbol" w:hAnsi="Symbol" w:hint="default"/>
      </w:rPr>
    </w:lvl>
    <w:lvl w:ilvl="1" w:tplc="4544CD88">
      <w:start w:val="1"/>
      <w:numFmt w:val="bullet"/>
      <w:lvlText w:val="o"/>
      <w:lvlJc w:val="left"/>
      <w:pPr>
        <w:ind w:left="1440" w:hanging="360"/>
      </w:pPr>
      <w:rPr>
        <w:rFonts w:ascii="Courier New" w:hAnsi="Courier New" w:hint="default"/>
      </w:rPr>
    </w:lvl>
    <w:lvl w:ilvl="2" w:tplc="547A6156">
      <w:start w:val="1"/>
      <w:numFmt w:val="bullet"/>
      <w:lvlText w:val=""/>
      <w:lvlJc w:val="left"/>
      <w:pPr>
        <w:ind w:left="2160" w:hanging="360"/>
      </w:pPr>
      <w:rPr>
        <w:rFonts w:ascii="Wingdings" w:hAnsi="Wingdings" w:hint="default"/>
      </w:rPr>
    </w:lvl>
    <w:lvl w:ilvl="3" w:tplc="785CE2BC">
      <w:start w:val="1"/>
      <w:numFmt w:val="bullet"/>
      <w:lvlText w:val=""/>
      <w:lvlJc w:val="left"/>
      <w:pPr>
        <w:ind w:left="2880" w:hanging="360"/>
      </w:pPr>
      <w:rPr>
        <w:rFonts w:ascii="Symbol" w:hAnsi="Symbol" w:hint="default"/>
      </w:rPr>
    </w:lvl>
    <w:lvl w:ilvl="4" w:tplc="076E5640">
      <w:start w:val="1"/>
      <w:numFmt w:val="bullet"/>
      <w:lvlText w:val="o"/>
      <w:lvlJc w:val="left"/>
      <w:pPr>
        <w:ind w:left="3600" w:hanging="360"/>
      </w:pPr>
      <w:rPr>
        <w:rFonts w:ascii="Courier New" w:hAnsi="Courier New" w:hint="default"/>
      </w:rPr>
    </w:lvl>
    <w:lvl w:ilvl="5" w:tplc="4D42616E">
      <w:start w:val="1"/>
      <w:numFmt w:val="bullet"/>
      <w:lvlText w:val=""/>
      <w:lvlJc w:val="left"/>
      <w:pPr>
        <w:ind w:left="4320" w:hanging="360"/>
      </w:pPr>
      <w:rPr>
        <w:rFonts w:ascii="Wingdings" w:hAnsi="Wingdings" w:hint="default"/>
      </w:rPr>
    </w:lvl>
    <w:lvl w:ilvl="6" w:tplc="13CAB178">
      <w:start w:val="1"/>
      <w:numFmt w:val="bullet"/>
      <w:lvlText w:val=""/>
      <w:lvlJc w:val="left"/>
      <w:pPr>
        <w:ind w:left="5040" w:hanging="360"/>
      </w:pPr>
      <w:rPr>
        <w:rFonts w:ascii="Symbol" w:hAnsi="Symbol" w:hint="default"/>
      </w:rPr>
    </w:lvl>
    <w:lvl w:ilvl="7" w:tplc="BC9A0208">
      <w:start w:val="1"/>
      <w:numFmt w:val="bullet"/>
      <w:lvlText w:val="o"/>
      <w:lvlJc w:val="left"/>
      <w:pPr>
        <w:ind w:left="5760" w:hanging="360"/>
      </w:pPr>
      <w:rPr>
        <w:rFonts w:ascii="Courier New" w:hAnsi="Courier New" w:hint="default"/>
      </w:rPr>
    </w:lvl>
    <w:lvl w:ilvl="8" w:tplc="24AE8CB8">
      <w:start w:val="1"/>
      <w:numFmt w:val="bullet"/>
      <w:lvlText w:val=""/>
      <w:lvlJc w:val="left"/>
      <w:pPr>
        <w:ind w:left="6480" w:hanging="360"/>
      </w:pPr>
      <w:rPr>
        <w:rFonts w:ascii="Wingdings" w:hAnsi="Wingdings" w:hint="default"/>
      </w:rPr>
    </w:lvl>
  </w:abstractNum>
  <w:abstractNum w:abstractNumId="19" w15:restartNumberingAfterBreak="0">
    <w:nsid w:val="36A93B19"/>
    <w:multiLevelType w:val="hybridMultilevel"/>
    <w:tmpl w:val="F7FAE58E"/>
    <w:lvl w:ilvl="0" w:tplc="FF82D5F0">
      <w:start w:val="1"/>
      <w:numFmt w:val="bullet"/>
      <w:lvlText w:val=""/>
      <w:lvlJc w:val="left"/>
      <w:pPr>
        <w:ind w:left="720" w:hanging="360"/>
      </w:pPr>
      <w:rPr>
        <w:rFonts w:ascii="Symbol" w:hAnsi="Symbol" w:hint="default"/>
      </w:rPr>
    </w:lvl>
    <w:lvl w:ilvl="1" w:tplc="1688AB72">
      <w:start w:val="1"/>
      <w:numFmt w:val="bullet"/>
      <w:lvlText w:val="o"/>
      <w:lvlJc w:val="left"/>
      <w:pPr>
        <w:ind w:left="1440" w:hanging="360"/>
      </w:pPr>
      <w:rPr>
        <w:rFonts w:ascii="Courier New" w:hAnsi="Courier New" w:hint="default"/>
      </w:rPr>
    </w:lvl>
    <w:lvl w:ilvl="2" w:tplc="B640502C">
      <w:start w:val="1"/>
      <w:numFmt w:val="bullet"/>
      <w:lvlText w:val=""/>
      <w:lvlJc w:val="left"/>
      <w:pPr>
        <w:ind w:left="2160" w:hanging="360"/>
      </w:pPr>
      <w:rPr>
        <w:rFonts w:ascii="Wingdings" w:hAnsi="Wingdings" w:hint="default"/>
      </w:rPr>
    </w:lvl>
    <w:lvl w:ilvl="3" w:tplc="37F044D4">
      <w:start w:val="1"/>
      <w:numFmt w:val="bullet"/>
      <w:lvlText w:val=""/>
      <w:lvlJc w:val="left"/>
      <w:pPr>
        <w:ind w:left="2880" w:hanging="360"/>
      </w:pPr>
      <w:rPr>
        <w:rFonts w:ascii="Symbol" w:hAnsi="Symbol" w:hint="default"/>
      </w:rPr>
    </w:lvl>
    <w:lvl w:ilvl="4" w:tplc="E2CC2670">
      <w:start w:val="1"/>
      <w:numFmt w:val="bullet"/>
      <w:lvlText w:val="o"/>
      <w:lvlJc w:val="left"/>
      <w:pPr>
        <w:ind w:left="3600" w:hanging="360"/>
      </w:pPr>
      <w:rPr>
        <w:rFonts w:ascii="Courier New" w:hAnsi="Courier New" w:hint="default"/>
      </w:rPr>
    </w:lvl>
    <w:lvl w:ilvl="5" w:tplc="05DE6F32">
      <w:start w:val="1"/>
      <w:numFmt w:val="bullet"/>
      <w:lvlText w:val=""/>
      <w:lvlJc w:val="left"/>
      <w:pPr>
        <w:ind w:left="4320" w:hanging="360"/>
      </w:pPr>
      <w:rPr>
        <w:rFonts w:ascii="Wingdings" w:hAnsi="Wingdings" w:hint="default"/>
      </w:rPr>
    </w:lvl>
    <w:lvl w:ilvl="6" w:tplc="294EE8B0">
      <w:start w:val="1"/>
      <w:numFmt w:val="bullet"/>
      <w:lvlText w:val=""/>
      <w:lvlJc w:val="left"/>
      <w:pPr>
        <w:ind w:left="5040" w:hanging="360"/>
      </w:pPr>
      <w:rPr>
        <w:rFonts w:ascii="Symbol" w:hAnsi="Symbol" w:hint="default"/>
      </w:rPr>
    </w:lvl>
    <w:lvl w:ilvl="7" w:tplc="4824045A">
      <w:start w:val="1"/>
      <w:numFmt w:val="bullet"/>
      <w:lvlText w:val="o"/>
      <w:lvlJc w:val="left"/>
      <w:pPr>
        <w:ind w:left="5760" w:hanging="360"/>
      </w:pPr>
      <w:rPr>
        <w:rFonts w:ascii="Courier New" w:hAnsi="Courier New" w:hint="default"/>
      </w:rPr>
    </w:lvl>
    <w:lvl w:ilvl="8" w:tplc="62967218">
      <w:start w:val="1"/>
      <w:numFmt w:val="bullet"/>
      <w:lvlText w:val=""/>
      <w:lvlJc w:val="left"/>
      <w:pPr>
        <w:ind w:left="6480" w:hanging="360"/>
      </w:pPr>
      <w:rPr>
        <w:rFonts w:ascii="Wingdings" w:hAnsi="Wingdings" w:hint="default"/>
      </w:rPr>
    </w:lvl>
  </w:abstractNum>
  <w:abstractNum w:abstractNumId="20" w15:restartNumberingAfterBreak="0">
    <w:nsid w:val="3A8B22BF"/>
    <w:multiLevelType w:val="hybridMultilevel"/>
    <w:tmpl w:val="7ADEFF50"/>
    <w:lvl w:ilvl="0" w:tplc="41EA0480">
      <w:start w:val="1"/>
      <w:numFmt w:val="decimal"/>
      <w:lvlText w:val="%1."/>
      <w:lvlJc w:val="left"/>
      <w:pPr>
        <w:ind w:left="720" w:hanging="360"/>
      </w:pPr>
    </w:lvl>
    <w:lvl w:ilvl="1" w:tplc="22069B74">
      <w:start w:val="1"/>
      <w:numFmt w:val="lowerLetter"/>
      <w:lvlText w:val="%2."/>
      <w:lvlJc w:val="left"/>
      <w:pPr>
        <w:ind w:left="1440" w:hanging="360"/>
      </w:pPr>
    </w:lvl>
    <w:lvl w:ilvl="2" w:tplc="33C6B18C">
      <w:start w:val="1"/>
      <w:numFmt w:val="lowerRoman"/>
      <w:lvlText w:val="%3."/>
      <w:lvlJc w:val="right"/>
      <w:pPr>
        <w:ind w:left="2160" w:hanging="180"/>
      </w:pPr>
    </w:lvl>
    <w:lvl w:ilvl="3" w:tplc="FB1CF5F0">
      <w:start w:val="1"/>
      <w:numFmt w:val="decimal"/>
      <w:lvlText w:val="%4."/>
      <w:lvlJc w:val="left"/>
      <w:pPr>
        <w:ind w:left="2880" w:hanging="360"/>
      </w:pPr>
    </w:lvl>
    <w:lvl w:ilvl="4" w:tplc="7C1A68EA">
      <w:start w:val="1"/>
      <w:numFmt w:val="lowerLetter"/>
      <w:lvlText w:val="%5."/>
      <w:lvlJc w:val="left"/>
      <w:pPr>
        <w:ind w:left="3600" w:hanging="360"/>
      </w:pPr>
    </w:lvl>
    <w:lvl w:ilvl="5" w:tplc="6D6ADEC2">
      <w:start w:val="1"/>
      <w:numFmt w:val="lowerRoman"/>
      <w:lvlText w:val="%6."/>
      <w:lvlJc w:val="right"/>
      <w:pPr>
        <w:ind w:left="4320" w:hanging="180"/>
      </w:pPr>
    </w:lvl>
    <w:lvl w:ilvl="6" w:tplc="4D24F0E6">
      <w:start w:val="1"/>
      <w:numFmt w:val="decimal"/>
      <w:lvlText w:val="%7."/>
      <w:lvlJc w:val="left"/>
      <w:pPr>
        <w:ind w:left="5040" w:hanging="360"/>
      </w:pPr>
    </w:lvl>
    <w:lvl w:ilvl="7" w:tplc="26E6BD12">
      <w:start w:val="1"/>
      <w:numFmt w:val="lowerLetter"/>
      <w:lvlText w:val="%8."/>
      <w:lvlJc w:val="left"/>
      <w:pPr>
        <w:ind w:left="5760" w:hanging="360"/>
      </w:pPr>
    </w:lvl>
    <w:lvl w:ilvl="8" w:tplc="096010A6">
      <w:start w:val="1"/>
      <w:numFmt w:val="lowerRoman"/>
      <w:lvlText w:val="%9."/>
      <w:lvlJc w:val="right"/>
      <w:pPr>
        <w:ind w:left="6480" w:hanging="180"/>
      </w:pPr>
    </w:lvl>
  </w:abstractNum>
  <w:abstractNum w:abstractNumId="21" w15:restartNumberingAfterBreak="0">
    <w:nsid w:val="3AFE5076"/>
    <w:multiLevelType w:val="hybridMultilevel"/>
    <w:tmpl w:val="0F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E43C7"/>
    <w:multiLevelType w:val="hybridMultilevel"/>
    <w:tmpl w:val="D556F8C8"/>
    <w:lvl w:ilvl="0" w:tplc="A8D68B2A">
      <w:start w:val="1"/>
      <w:numFmt w:val="bullet"/>
      <w:lvlText w:val="·"/>
      <w:lvlJc w:val="left"/>
      <w:pPr>
        <w:ind w:left="720" w:hanging="360"/>
      </w:pPr>
      <w:rPr>
        <w:rFonts w:ascii="Symbol" w:hAnsi="Symbol" w:hint="default"/>
      </w:rPr>
    </w:lvl>
    <w:lvl w:ilvl="1" w:tplc="575001E6">
      <w:start w:val="1"/>
      <w:numFmt w:val="bullet"/>
      <w:lvlText w:val="o"/>
      <w:lvlJc w:val="left"/>
      <w:pPr>
        <w:ind w:left="1440" w:hanging="360"/>
      </w:pPr>
      <w:rPr>
        <w:rFonts w:ascii="Courier New" w:hAnsi="Courier New" w:hint="default"/>
      </w:rPr>
    </w:lvl>
    <w:lvl w:ilvl="2" w:tplc="1D8AB20C">
      <w:start w:val="1"/>
      <w:numFmt w:val="bullet"/>
      <w:lvlText w:val=""/>
      <w:lvlJc w:val="left"/>
      <w:pPr>
        <w:ind w:left="2160" w:hanging="360"/>
      </w:pPr>
      <w:rPr>
        <w:rFonts w:ascii="Wingdings" w:hAnsi="Wingdings" w:hint="default"/>
      </w:rPr>
    </w:lvl>
    <w:lvl w:ilvl="3" w:tplc="09382C7E">
      <w:start w:val="1"/>
      <w:numFmt w:val="bullet"/>
      <w:lvlText w:val=""/>
      <w:lvlJc w:val="left"/>
      <w:pPr>
        <w:ind w:left="2880" w:hanging="360"/>
      </w:pPr>
      <w:rPr>
        <w:rFonts w:ascii="Symbol" w:hAnsi="Symbol" w:hint="default"/>
      </w:rPr>
    </w:lvl>
    <w:lvl w:ilvl="4" w:tplc="664E5D5C">
      <w:start w:val="1"/>
      <w:numFmt w:val="bullet"/>
      <w:lvlText w:val="o"/>
      <w:lvlJc w:val="left"/>
      <w:pPr>
        <w:ind w:left="3600" w:hanging="360"/>
      </w:pPr>
      <w:rPr>
        <w:rFonts w:ascii="Courier New" w:hAnsi="Courier New" w:hint="default"/>
      </w:rPr>
    </w:lvl>
    <w:lvl w:ilvl="5" w:tplc="040ED8C8">
      <w:start w:val="1"/>
      <w:numFmt w:val="bullet"/>
      <w:lvlText w:val=""/>
      <w:lvlJc w:val="left"/>
      <w:pPr>
        <w:ind w:left="4320" w:hanging="360"/>
      </w:pPr>
      <w:rPr>
        <w:rFonts w:ascii="Wingdings" w:hAnsi="Wingdings" w:hint="default"/>
      </w:rPr>
    </w:lvl>
    <w:lvl w:ilvl="6" w:tplc="09EE540A">
      <w:start w:val="1"/>
      <w:numFmt w:val="bullet"/>
      <w:lvlText w:val=""/>
      <w:lvlJc w:val="left"/>
      <w:pPr>
        <w:ind w:left="5040" w:hanging="360"/>
      </w:pPr>
      <w:rPr>
        <w:rFonts w:ascii="Symbol" w:hAnsi="Symbol" w:hint="default"/>
      </w:rPr>
    </w:lvl>
    <w:lvl w:ilvl="7" w:tplc="7CAC74D2">
      <w:start w:val="1"/>
      <w:numFmt w:val="bullet"/>
      <w:lvlText w:val="o"/>
      <w:lvlJc w:val="left"/>
      <w:pPr>
        <w:ind w:left="5760" w:hanging="360"/>
      </w:pPr>
      <w:rPr>
        <w:rFonts w:ascii="Courier New" w:hAnsi="Courier New" w:hint="default"/>
      </w:rPr>
    </w:lvl>
    <w:lvl w:ilvl="8" w:tplc="0A06DEAA">
      <w:start w:val="1"/>
      <w:numFmt w:val="bullet"/>
      <w:lvlText w:val=""/>
      <w:lvlJc w:val="left"/>
      <w:pPr>
        <w:ind w:left="6480" w:hanging="360"/>
      </w:pPr>
      <w:rPr>
        <w:rFonts w:ascii="Wingdings" w:hAnsi="Wingdings" w:hint="default"/>
      </w:rPr>
    </w:lvl>
  </w:abstractNum>
  <w:abstractNum w:abstractNumId="23" w15:restartNumberingAfterBreak="0">
    <w:nsid w:val="3EC141A9"/>
    <w:multiLevelType w:val="hybridMultilevel"/>
    <w:tmpl w:val="5470B55C"/>
    <w:lvl w:ilvl="0" w:tplc="04D825D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5789"/>
    <w:multiLevelType w:val="hybridMultilevel"/>
    <w:tmpl w:val="C7C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7D62"/>
    <w:multiLevelType w:val="hybridMultilevel"/>
    <w:tmpl w:val="B4F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A40BE"/>
    <w:multiLevelType w:val="hybridMultilevel"/>
    <w:tmpl w:val="FF7CCC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F6F1594"/>
    <w:multiLevelType w:val="hybridMultilevel"/>
    <w:tmpl w:val="135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21268"/>
    <w:multiLevelType w:val="hybridMultilevel"/>
    <w:tmpl w:val="9CE0CB20"/>
    <w:lvl w:ilvl="0" w:tplc="3D0E8B54">
      <w:start w:val="1"/>
      <w:numFmt w:val="decimal"/>
      <w:lvlText w:val="%1."/>
      <w:lvlJc w:val="left"/>
      <w:pPr>
        <w:ind w:left="720" w:hanging="360"/>
      </w:pPr>
    </w:lvl>
    <w:lvl w:ilvl="1" w:tplc="A71EAC04">
      <w:start w:val="1"/>
      <w:numFmt w:val="lowerLetter"/>
      <w:lvlText w:val="%2."/>
      <w:lvlJc w:val="left"/>
      <w:pPr>
        <w:ind w:left="1440" w:hanging="360"/>
      </w:pPr>
    </w:lvl>
    <w:lvl w:ilvl="2" w:tplc="AEF21518">
      <w:start w:val="1"/>
      <w:numFmt w:val="lowerRoman"/>
      <w:lvlText w:val="%3."/>
      <w:lvlJc w:val="right"/>
      <w:pPr>
        <w:ind w:left="2160" w:hanging="180"/>
      </w:pPr>
    </w:lvl>
    <w:lvl w:ilvl="3" w:tplc="81342486">
      <w:start w:val="1"/>
      <w:numFmt w:val="decimal"/>
      <w:lvlText w:val="%4."/>
      <w:lvlJc w:val="left"/>
      <w:pPr>
        <w:ind w:left="2880" w:hanging="360"/>
      </w:pPr>
    </w:lvl>
    <w:lvl w:ilvl="4" w:tplc="80467C4E">
      <w:start w:val="1"/>
      <w:numFmt w:val="lowerLetter"/>
      <w:lvlText w:val="%5."/>
      <w:lvlJc w:val="left"/>
      <w:pPr>
        <w:ind w:left="3600" w:hanging="360"/>
      </w:pPr>
    </w:lvl>
    <w:lvl w:ilvl="5" w:tplc="496AF4AA">
      <w:start w:val="1"/>
      <w:numFmt w:val="lowerRoman"/>
      <w:lvlText w:val="%6."/>
      <w:lvlJc w:val="right"/>
      <w:pPr>
        <w:ind w:left="4320" w:hanging="180"/>
      </w:pPr>
    </w:lvl>
    <w:lvl w:ilvl="6" w:tplc="BF26AF48">
      <w:start w:val="1"/>
      <w:numFmt w:val="decimal"/>
      <w:lvlText w:val="%7."/>
      <w:lvlJc w:val="left"/>
      <w:pPr>
        <w:ind w:left="5040" w:hanging="360"/>
      </w:pPr>
    </w:lvl>
    <w:lvl w:ilvl="7" w:tplc="F40627B6">
      <w:start w:val="1"/>
      <w:numFmt w:val="lowerLetter"/>
      <w:lvlText w:val="%8."/>
      <w:lvlJc w:val="left"/>
      <w:pPr>
        <w:ind w:left="5760" w:hanging="360"/>
      </w:pPr>
    </w:lvl>
    <w:lvl w:ilvl="8" w:tplc="B91A9DF0">
      <w:start w:val="1"/>
      <w:numFmt w:val="lowerRoman"/>
      <w:lvlText w:val="%9."/>
      <w:lvlJc w:val="right"/>
      <w:pPr>
        <w:ind w:left="6480" w:hanging="180"/>
      </w:pPr>
    </w:lvl>
  </w:abstractNum>
  <w:abstractNum w:abstractNumId="29" w15:restartNumberingAfterBreak="0">
    <w:nsid w:val="56C6374B"/>
    <w:multiLevelType w:val="hybridMultilevel"/>
    <w:tmpl w:val="EA4CF38E"/>
    <w:lvl w:ilvl="0" w:tplc="1DC8C2B6">
      <w:start w:val="1"/>
      <w:numFmt w:val="decimal"/>
      <w:lvlText w:val="%1."/>
      <w:lvlJc w:val="left"/>
      <w:pPr>
        <w:ind w:left="720" w:hanging="360"/>
      </w:pPr>
    </w:lvl>
    <w:lvl w:ilvl="1" w:tplc="72326954">
      <w:start w:val="1"/>
      <w:numFmt w:val="lowerLetter"/>
      <w:lvlText w:val="%2."/>
      <w:lvlJc w:val="left"/>
      <w:pPr>
        <w:ind w:left="1440" w:hanging="360"/>
      </w:pPr>
    </w:lvl>
    <w:lvl w:ilvl="2" w:tplc="2996CE6A">
      <w:start w:val="1"/>
      <w:numFmt w:val="lowerRoman"/>
      <w:lvlText w:val="%3."/>
      <w:lvlJc w:val="right"/>
      <w:pPr>
        <w:ind w:left="2160" w:hanging="180"/>
      </w:pPr>
    </w:lvl>
    <w:lvl w:ilvl="3" w:tplc="6F6C08FA">
      <w:start w:val="1"/>
      <w:numFmt w:val="decimal"/>
      <w:lvlText w:val="%4."/>
      <w:lvlJc w:val="left"/>
      <w:pPr>
        <w:ind w:left="2880" w:hanging="360"/>
      </w:pPr>
    </w:lvl>
    <w:lvl w:ilvl="4" w:tplc="CB9EE836">
      <w:start w:val="1"/>
      <w:numFmt w:val="lowerLetter"/>
      <w:lvlText w:val="%5."/>
      <w:lvlJc w:val="left"/>
      <w:pPr>
        <w:ind w:left="3600" w:hanging="360"/>
      </w:pPr>
    </w:lvl>
    <w:lvl w:ilvl="5" w:tplc="F3CC7DB2">
      <w:start w:val="1"/>
      <w:numFmt w:val="lowerRoman"/>
      <w:lvlText w:val="%6."/>
      <w:lvlJc w:val="right"/>
      <w:pPr>
        <w:ind w:left="4320" w:hanging="180"/>
      </w:pPr>
    </w:lvl>
    <w:lvl w:ilvl="6" w:tplc="B0D4298E">
      <w:start w:val="1"/>
      <w:numFmt w:val="decimal"/>
      <w:lvlText w:val="%7."/>
      <w:lvlJc w:val="left"/>
      <w:pPr>
        <w:ind w:left="5040" w:hanging="360"/>
      </w:pPr>
    </w:lvl>
    <w:lvl w:ilvl="7" w:tplc="9AE82B2E">
      <w:start w:val="1"/>
      <w:numFmt w:val="lowerLetter"/>
      <w:lvlText w:val="%8."/>
      <w:lvlJc w:val="left"/>
      <w:pPr>
        <w:ind w:left="5760" w:hanging="360"/>
      </w:pPr>
    </w:lvl>
    <w:lvl w:ilvl="8" w:tplc="EE9439CC">
      <w:start w:val="1"/>
      <w:numFmt w:val="lowerRoman"/>
      <w:lvlText w:val="%9."/>
      <w:lvlJc w:val="right"/>
      <w:pPr>
        <w:ind w:left="6480" w:hanging="180"/>
      </w:pPr>
    </w:lvl>
  </w:abstractNum>
  <w:abstractNum w:abstractNumId="30" w15:restartNumberingAfterBreak="0">
    <w:nsid w:val="5F1A3CD1"/>
    <w:multiLevelType w:val="hybridMultilevel"/>
    <w:tmpl w:val="A3F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F3A05"/>
    <w:multiLevelType w:val="hybridMultilevel"/>
    <w:tmpl w:val="3D9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9025B"/>
    <w:multiLevelType w:val="hybridMultilevel"/>
    <w:tmpl w:val="E526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30A18"/>
    <w:multiLevelType w:val="hybridMultilevel"/>
    <w:tmpl w:val="CFB6E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D6457"/>
    <w:multiLevelType w:val="hybridMultilevel"/>
    <w:tmpl w:val="54ACDE6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795148"/>
    <w:multiLevelType w:val="hybridMultilevel"/>
    <w:tmpl w:val="E09E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76F6E"/>
    <w:multiLevelType w:val="hybridMultilevel"/>
    <w:tmpl w:val="2C3A01DC"/>
    <w:lvl w:ilvl="0" w:tplc="04090003">
      <w:start w:val="1"/>
      <w:numFmt w:val="bullet"/>
      <w:lvlText w:val="o"/>
      <w:lvlJc w:val="left"/>
      <w:pPr>
        <w:ind w:left="1080" w:hanging="360"/>
      </w:pPr>
      <w:rPr>
        <w:rFonts w:ascii="Courier New" w:hAnsi="Courier New" w:cs="Courier New" w:hint="default"/>
        <w:b w:val="0"/>
        <w:i w:val="0"/>
        <w:color w:val="auto"/>
        <w:sz w:val="24"/>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A40371"/>
    <w:multiLevelType w:val="hybridMultilevel"/>
    <w:tmpl w:val="E21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2"/>
  </w:num>
  <w:num w:numId="4">
    <w:abstractNumId w:val="18"/>
  </w:num>
  <w:num w:numId="5">
    <w:abstractNumId w:val="35"/>
  </w:num>
  <w:num w:numId="6">
    <w:abstractNumId w:val="23"/>
  </w:num>
  <w:num w:numId="7">
    <w:abstractNumId w:val="37"/>
  </w:num>
  <w:num w:numId="8">
    <w:abstractNumId w:val="3"/>
  </w:num>
  <w:num w:numId="9">
    <w:abstractNumId w:val="5"/>
  </w:num>
  <w:num w:numId="10">
    <w:abstractNumId w:val="26"/>
  </w:num>
  <w:num w:numId="11">
    <w:abstractNumId w:val="33"/>
  </w:num>
  <w:num w:numId="12">
    <w:abstractNumId w:val="11"/>
  </w:num>
  <w:num w:numId="13">
    <w:abstractNumId w:val="24"/>
  </w:num>
  <w:num w:numId="14">
    <w:abstractNumId w:val="34"/>
  </w:num>
  <w:num w:numId="15">
    <w:abstractNumId w:val="17"/>
  </w:num>
  <w:num w:numId="16">
    <w:abstractNumId w:val="10"/>
  </w:num>
  <w:num w:numId="17">
    <w:abstractNumId w:val="4"/>
  </w:num>
  <w:num w:numId="18">
    <w:abstractNumId w:val="32"/>
  </w:num>
  <w:num w:numId="19">
    <w:abstractNumId w:val="6"/>
  </w:num>
  <w:num w:numId="20">
    <w:abstractNumId w:val="7"/>
  </w:num>
  <w:num w:numId="21">
    <w:abstractNumId w:val="25"/>
  </w:num>
  <w:num w:numId="22">
    <w:abstractNumId w:val="16"/>
  </w:num>
  <w:num w:numId="23">
    <w:abstractNumId w:val="15"/>
  </w:num>
  <w:num w:numId="24">
    <w:abstractNumId w:val="27"/>
  </w:num>
  <w:num w:numId="25">
    <w:abstractNumId w:val="2"/>
  </w:num>
  <w:num w:numId="26">
    <w:abstractNumId w:val="31"/>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30"/>
  </w:num>
  <w:num w:numId="29">
    <w:abstractNumId w:val="9"/>
  </w:num>
  <w:num w:numId="30">
    <w:abstractNumId w:val="36"/>
  </w:num>
  <w:num w:numId="31">
    <w:abstractNumId w:val="21"/>
  </w:num>
  <w:num w:numId="32">
    <w:abstractNumId w:val="14"/>
  </w:num>
  <w:num w:numId="33">
    <w:abstractNumId w:val="1"/>
  </w:num>
  <w:num w:numId="34">
    <w:abstractNumId w:val="0"/>
  </w:num>
  <w:num w:numId="35">
    <w:abstractNumId w:val="13"/>
  </w:num>
  <w:num w:numId="36">
    <w:abstractNumId w:val="29"/>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NjIwN7Mws7QwNTdV0lEKTi0uzszPAykwrAUAprZcfCwAAAA="/>
  </w:docVars>
  <w:rsids>
    <w:rsidRoot w:val="00BA7B74"/>
    <w:rsid w:val="00001913"/>
    <w:rsid w:val="00002A41"/>
    <w:rsid w:val="000277D1"/>
    <w:rsid w:val="00030865"/>
    <w:rsid w:val="00037436"/>
    <w:rsid w:val="00042AA3"/>
    <w:rsid w:val="000430D0"/>
    <w:rsid w:val="00055D3C"/>
    <w:rsid w:val="000562C9"/>
    <w:rsid w:val="00062CF9"/>
    <w:rsid w:val="00080195"/>
    <w:rsid w:val="000858CC"/>
    <w:rsid w:val="00087C83"/>
    <w:rsid w:val="00093A31"/>
    <w:rsid w:val="00093BA4"/>
    <w:rsid w:val="00094E45"/>
    <w:rsid w:val="00094ECD"/>
    <w:rsid w:val="00095664"/>
    <w:rsid w:val="00095714"/>
    <w:rsid w:val="000A30C1"/>
    <w:rsid w:val="000A3F72"/>
    <w:rsid w:val="000AA42B"/>
    <w:rsid w:val="000B0E1D"/>
    <w:rsid w:val="000B0EB6"/>
    <w:rsid w:val="000B29DF"/>
    <w:rsid w:val="000B444F"/>
    <w:rsid w:val="000C0692"/>
    <w:rsid w:val="000D4BEC"/>
    <w:rsid w:val="000D64FA"/>
    <w:rsid w:val="000E635E"/>
    <w:rsid w:val="000F1093"/>
    <w:rsid w:val="000F116D"/>
    <w:rsid w:val="000F1448"/>
    <w:rsid w:val="000F25E9"/>
    <w:rsid w:val="000F5895"/>
    <w:rsid w:val="001065EA"/>
    <w:rsid w:val="001149CF"/>
    <w:rsid w:val="0012763A"/>
    <w:rsid w:val="0013131B"/>
    <w:rsid w:val="00131A4A"/>
    <w:rsid w:val="00137443"/>
    <w:rsid w:val="001413D1"/>
    <w:rsid w:val="00141749"/>
    <w:rsid w:val="0014191C"/>
    <w:rsid w:val="00145D52"/>
    <w:rsid w:val="00146790"/>
    <w:rsid w:val="00160022"/>
    <w:rsid w:val="00163D30"/>
    <w:rsid w:val="00164535"/>
    <w:rsid w:val="00166728"/>
    <w:rsid w:val="00167100"/>
    <w:rsid w:val="00172FE4"/>
    <w:rsid w:val="00181CE7"/>
    <w:rsid w:val="00187720"/>
    <w:rsid w:val="001878CF"/>
    <w:rsid w:val="00190EB5"/>
    <w:rsid w:val="001922A2"/>
    <w:rsid w:val="00192725"/>
    <w:rsid w:val="001964B5"/>
    <w:rsid w:val="001A5535"/>
    <w:rsid w:val="001A5E7F"/>
    <w:rsid w:val="001A710A"/>
    <w:rsid w:val="001A7BA8"/>
    <w:rsid w:val="001B1C80"/>
    <w:rsid w:val="001B3E1F"/>
    <w:rsid w:val="001C1930"/>
    <w:rsid w:val="001C1FBE"/>
    <w:rsid w:val="001C7853"/>
    <w:rsid w:val="001D0DD5"/>
    <w:rsid w:val="001D0F73"/>
    <w:rsid w:val="001E0517"/>
    <w:rsid w:val="001E1E61"/>
    <w:rsid w:val="001F0D3C"/>
    <w:rsid w:val="001F1C3D"/>
    <w:rsid w:val="001F4D41"/>
    <w:rsid w:val="001F672B"/>
    <w:rsid w:val="00201C40"/>
    <w:rsid w:val="0020605C"/>
    <w:rsid w:val="002144B5"/>
    <w:rsid w:val="002218EC"/>
    <w:rsid w:val="002232F3"/>
    <w:rsid w:val="00225616"/>
    <w:rsid w:val="00226DAA"/>
    <w:rsid w:val="0023007F"/>
    <w:rsid w:val="00231AF2"/>
    <w:rsid w:val="00242878"/>
    <w:rsid w:val="00244F8E"/>
    <w:rsid w:val="002466FF"/>
    <w:rsid w:val="00263E9E"/>
    <w:rsid w:val="002643E7"/>
    <w:rsid w:val="002646A4"/>
    <w:rsid w:val="00270003"/>
    <w:rsid w:val="00274A47"/>
    <w:rsid w:val="002850DF"/>
    <w:rsid w:val="002861F6"/>
    <w:rsid w:val="00292E03"/>
    <w:rsid w:val="00295D6C"/>
    <w:rsid w:val="002A1E41"/>
    <w:rsid w:val="002A2000"/>
    <w:rsid w:val="002A6C3B"/>
    <w:rsid w:val="002B0E0E"/>
    <w:rsid w:val="002B707C"/>
    <w:rsid w:val="002B7462"/>
    <w:rsid w:val="002C1B42"/>
    <w:rsid w:val="002C3D67"/>
    <w:rsid w:val="002C65E0"/>
    <w:rsid w:val="002D1E0E"/>
    <w:rsid w:val="002D1E40"/>
    <w:rsid w:val="002D1EF8"/>
    <w:rsid w:val="002D2204"/>
    <w:rsid w:val="002D49D1"/>
    <w:rsid w:val="002D4C38"/>
    <w:rsid w:val="002E1B9A"/>
    <w:rsid w:val="002E59E8"/>
    <w:rsid w:val="002E5F91"/>
    <w:rsid w:val="002F06B3"/>
    <w:rsid w:val="002F10C2"/>
    <w:rsid w:val="00304A58"/>
    <w:rsid w:val="00305F0D"/>
    <w:rsid w:val="00316743"/>
    <w:rsid w:val="00322D0F"/>
    <w:rsid w:val="003265D2"/>
    <w:rsid w:val="00333BB7"/>
    <w:rsid w:val="003345E7"/>
    <w:rsid w:val="003426D1"/>
    <w:rsid w:val="003541B8"/>
    <w:rsid w:val="0036363C"/>
    <w:rsid w:val="00363C23"/>
    <w:rsid w:val="00373212"/>
    <w:rsid w:val="003776B8"/>
    <w:rsid w:val="00380E85"/>
    <w:rsid w:val="00383D20"/>
    <w:rsid w:val="00387818"/>
    <w:rsid w:val="003A4EDE"/>
    <w:rsid w:val="003B3907"/>
    <w:rsid w:val="003B4712"/>
    <w:rsid w:val="003B502F"/>
    <w:rsid w:val="003C4302"/>
    <w:rsid w:val="003C7705"/>
    <w:rsid w:val="003D1280"/>
    <w:rsid w:val="003E4302"/>
    <w:rsid w:val="003E595A"/>
    <w:rsid w:val="003F085C"/>
    <w:rsid w:val="003F3CC1"/>
    <w:rsid w:val="00400ED2"/>
    <w:rsid w:val="00423312"/>
    <w:rsid w:val="0042390B"/>
    <w:rsid w:val="00423E25"/>
    <w:rsid w:val="00425B58"/>
    <w:rsid w:val="004263A6"/>
    <w:rsid w:val="00431E3D"/>
    <w:rsid w:val="00432FD4"/>
    <w:rsid w:val="00433C98"/>
    <w:rsid w:val="004343B5"/>
    <w:rsid w:val="00434BA0"/>
    <w:rsid w:val="00451691"/>
    <w:rsid w:val="00452C2D"/>
    <w:rsid w:val="00453014"/>
    <w:rsid w:val="00457784"/>
    <w:rsid w:val="00457891"/>
    <w:rsid w:val="00467634"/>
    <w:rsid w:val="004704F3"/>
    <w:rsid w:val="004721E7"/>
    <w:rsid w:val="00475F2A"/>
    <w:rsid w:val="00476CC5"/>
    <w:rsid w:val="00480D3C"/>
    <w:rsid w:val="0048480C"/>
    <w:rsid w:val="00486AC5"/>
    <w:rsid w:val="00486DEC"/>
    <w:rsid w:val="00492110"/>
    <w:rsid w:val="004938DA"/>
    <w:rsid w:val="00493B76"/>
    <w:rsid w:val="00497E62"/>
    <w:rsid w:val="00497E7D"/>
    <w:rsid w:val="004A7F70"/>
    <w:rsid w:val="004B22E1"/>
    <w:rsid w:val="004B3E9E"/>
    <w:rsid w:val="004B62B0"/>
    <w:rsid w:val="004C1696"/>
    <w:rsid w:val="004C354F"/>
    <w:rsid w:val="004E0579"/>
    <w:rsid w:val="004F1070"/>
    <w:rsid w:val="004F15C0"/>
    <w:rsid w:val="004F1879"/>
    <w:rsid w:val="004F320A"/>
    <w:rsid w:val="005020C6"/>
    <w:rsid w:val="0050566C"/>
    <w:rsid w:val="00506995"/>
    <w:rsid w:val="00513540"/>
    <w:rsid w:val="0051447F"/>
    <w:rsid w:val="005171D8"/>
    <w:rsid w:val="00527097"/>
    <w:rsid w:val="00530356"/>
    <w:rsid w:val="00533A62"/>
    <w:rsid w:val="00535215"/>
    <w:rsid w:val="00536A14"/>
    <w:rsid w:val="005379CA"/>
    <w:rsid w:val="0054450B"/>
    <w:rsid w:val="00546078"/>
    <w:rsid w:val="0054618C"/>
    <w:rsid w:val="00547417"/>
    <w:rsid w:val="00551D03"/>
    <w:rsid w:val="00554328"/>
    <w:rsid w:val="0056101C"/>
    <w:rsid w:val="0056706F"/>
    <w:rsid w:val="00572AE1"/>
    <w:rsid w:val="005762F3"/>
    <w:rsid w:val="005937FB"/>
    <w:rsid w:val="005A50E6"/>
    <w:rsid w:val="005B1C5D"/>
    <w:rsid w:val="005B6079"/>
    <w:rsid w:val="005B86B3"/>
    <w:rsid w:val="005C71EC"/>
    <w:rsid w:val="005E08E6"/>
    <w:rsid w:val="005E2890"/>
    <w:rsid w:val="005F19AF"/>
    <w:rsid w:val="00600286"/>
    <w:rsid w:val="006016B7"/>
    <w:rsid w:val="006066FE"/>
    <w:rsid w:val="00611913"/>
    <w:rsid w:val="00612C57"/>
    <w:rsid w:val="00615A87"/>
    <w:rsid w:val="00616855"/>
    <w:rsid w:val="0061689B"/>
    <w:rsid w:val="00621387"/>
    <w:rsid w:val="00623F0C"/>
    <w:rsid w:val="006541F8"/>
    <w:rsid w:val="00656405"/>
    <w:rsid w:val="006570CE"/>
    <w:rsid w:val="00660BFB"/>
    <w:rsid w:val="00661B13"/>
    <w:rsid w:val="00662ADD"/>
    <w:rsid w:val="00662DDC"/>
    <w:rsid w:val="00663995"/>
    <w:rsid w:val="00670313"/>
    <w:rsid w:val="006823FD"/>
    <w:rsid w:val="00687482"/>
    <w:rsid w:val="00690D08"/>
    <w:rsid w:val="00692A08"/>
    <w:rsid w:val="00697AA5"/>
    <w:rsid w:val="006A1335"/>
    <w:rsid w:val="006A4A13"/>
    <w:rsid w:val="006A6CB6"/>
    <w:rsid w:val="006A74B5"/>
    <w:rsid w:val="006B44E3"/>
    <w:rsid w:val="006C4672"/>
    <w:rsid w:val="006C6BF1"/>
    <w:rsid w:val="006D583E"/>
    <w:rsid w:val="006E1139"/>
    <w:rsid w:val="006E191E"/>
    <w:rsid w:val="006E2F9B"/>
    <w:rsid w:val="006F2F95"/>
    <w:rsid w:val="006F4D23"/>
    <w:rsid w:val="007001E8"/>
    <w:rsid w:val="00704F7C"/>
    <w:rsid w:val="00712691"/>
    <w:rsid w:val="00713323"/>
    <w:rsid w:val="007355E8"/>
    <w:rsid w:val="00736B23"/>
    <w:rsid w:val="007374CA"/>
    <w:rsid w:val="00743FAB"/>
    <w:rsid w:val="007448B7"/>
    <w:rsid w:val="00747804"/>
    <w:rsid w:val="007528E2"/>
    <w:rsid w:val="00764D73"/>
    <w:rsid w:val="00775599"/>
    <w:rsid w:val="007758EA"/>
    <w:rsid w:val="00781FD5"/>
    <w:rsid w:val="00785BEA"/>
    <w:rsid w:val="00786C30"/>
    <w:rsid w:val="00786CBF"/>
    <w:rsid w:val="007900ED"/>
    <w:rsid w:val="00791D80"/>
    <w:rsid w:val="00794CAE"/>
    <w:rsid w:val="007968B4"/>
    <w:rsid w:val="007A17A5"/>
    <w:rsid w:val="007A246F"/>
    <w:rsid w:val="007B1391"/>
    <w:rsid w:val="007B246C"/>
    <w:rsid w:val="007B307E"/>
    <w:rsid w:val="007C43FC"/>
    <w:rsid w:val="007C5546"/>
    <w:rsid w:val="007C7849"/>
    <w:rsid w:val="007D0D22"/>
    <w:rsid w:val="007D2882"/>
    <w:rsid w:val="007D36CF"/>
    <w:rsid w:val="007D7A6B"/>
    <w:rsid w:val="007E147C"/>
    <w:rsid w:val="007E1D8E"/>
    <w:rsid w:val="007E3804"/>
    <w:rsid w:val="007E3CCA"/>
    <w:rsid w:val="007E5F2A"/>
    <w:rsid w:val="007E62D1"/>
    <w:rsid w:val="008067B0"/>
    <w:rsid w:val="008107FC"/>
    <w:rsid w:val="00810864"/>
    <w:rsid w:val="00810D7B"/>
    <w:rsid w:val="0081153B"/>
    <w:rsid w:val="00815A69"/>
    <w:rsid w:val="0082588B"/>
    <w:rsid w:val="008267EE"/>
    <w:rsid w:val="00826C04"/>
    <w:rsid w:val="008345A8"/>
    <w:rsid w:val="00842AE7"/>
    <w:rsid w:val="008442A8"/>
    <w:rsid w:val="00850BD5"/>
    <w:rsid w:val="00854188"/>
    <w:rsid w:val="008603C7"/>
    <w:rsid w:val="0087144E"/>
    <w:rsid w:val="00873F6E"/>
    <w:rsid w:val="008A1110"/>
    <w:rsid w:val="008A4B36"/>
    <w:rsid w:val="008B45B2"/>
    <w:rsid w:val="008B72E2"/>
    <w:rsid w:val="008B7C05"/>
    <w:rsid w:val="008C3E1C"/>
    <w:rsid w:val="008C73E0"/>
    <w:rsid w:val="008D1B3D"/>
    <w:rsid w:val="008D2C86"/>
    <w:rsid w:val="008D3539"/>
    <w:rsid w:val="008D564D"/>
    <w:rsid w:val="008D5EE2"/>
    <w:rsid w:val="008D67F8"/>
    <w:rsid w:val="008E0197"/>
    <w:rsid w:val="008E2664"/>
    <w:rsid w:val="008E5841"/>
    <w:rsid w:val="008F4381"/>
    <w:rsid w:val="008F6447"/>
    <w:rsid w:val="008F65AB"/>
    <w:rsid w:val="008F78A9"/>
    <w:rsid w:val="00906BD9"/>
    <w:rsid w:val="00931014"/>
    <w:rsid w:val="009310A1"/>
    <w:rsid w:val="00934006"/>
    <w:rsid w:val="00934ADA"/>
    <w:rsid w:val="0094035B"/>
    <w:rsid w:val="009466E2"/>
    <w:rsid w:val="00950040"/>
    <w:rsid w:val="0095476F"/>
    <w:rsid w:val="00954F4E"/>
    <w:rsid w:val="00961C62"/>
    <w:rsid w:val="0098137C"/>
    <w:rsid w:val="00984130"/>
    <w:rsid w:val="0098786D"/>
    <w:rsid w:val="0099552A"/>
    <w:rsid w:val="009957E8"/>
    <w:rsid w:val="009A27CD"/>
    <w:rsid w:val="009B552E"/>
    <w:rsid w:val="009C2533"/>
    <w:rsid w:val="009C39EB"/>
    <w:rsid w:val="009D118E"/>
    <w:rsid w:val="009D544A"/>
    <w:rsid w:val="009D61C5"/>
    <w:rsid w:val="009E1406"/>
    <w:rsid w:val="009E4E9F"/>
    <w:rsid w:val="009E4F43"/>
    <w:rsid w:val="009F207A"/>
    <w:rsid w:val="009F280B"/>
    <w:rsid w:val="009F30D0"/>
    <w:rsid w:val="009F7E8D"/>
    <w:rsid w:val="00A06EAE"/>
    <w:rsid w:val="00A13043"/>
    <w:rsid w:val="00A14120"/>
    <w:rsid w:val="00A225E4"/>
    <w:rsid w:val="00A27B87"/>
    <w:rsid w:val="00A32348"/>
    <w:rsid w:val="00A40896"/>
    <w:rsid w:val="00A40EB8"/>
    <w:rsid w:val="00A5076E"/>
    <w:rsid w:val="00A56AC3"/>
    <w:rsid w:val="00A66ED2"/>
    <w:rsid w:val="00A67625"/>
    <w:rsid w:val="00A71B5C"/>
    <w:rsid w:val="00A73C81"/>
    <w:rsid w:val="00A74EF6"/>
    <w:rsid w:val="00A75CC0"/>
    <w:rsid w:val="00A80B67"/>
    <w:rsid w:val="00A81090"/>
    <w:rsid w:val="00A91BD8"/>
    <w:rsid w:val="00A94DC6"/>
    <w:rsid w:val="00AA052B"/>
    <w:rsid w:val="00AA05D6"/>
    <w:rsid w:val="00AA1016"/>
    <w:rsid w:val="00AA6621"/>
    <w:rsid w:val="00AB3BA5"/>
    <w:rsid w:val="00AB8C77"/>
    <w:rsid w:val="00AC157F"/>
    <w:rsid w:val="00AC29D3"/>
    <w:rsid w:val="00AC4C15"/>
    <w:rsid w:val="00AC5734"/>
    <w:rsid w:val="00AE3B3D"/>
    <w:rsid w:val="00AE4736"/>
    <w:rsid w:val="00AE7C99"/>
    <w:rsid w:val="00AF22F0"/>
    <w:rsid w:val="00AF6CFE"/>
    <w:rsid w:val="00B03360"/>
    <w:rsid w:val="00B040F0"/>
    <w:rsid w:val="00B0760E"/>
    <w:rsid w:val="00B10041"/>
    <w:rsid w:val="00B10E12"/>
    <w:rsid w:val="00B11B4B"/>
    <w:rsid w:val="00B12DEE"/>
    <w:rsid w:val="00B145E0"/>
    <w:rsid w:val="00B15A36"/>
    <w:rsid w:val="00B20E62"/>
    <w:rsid w:val="00B21B1E"/>
    <w:rsid w:val="00B24E51"/>
    <w:rsid w:val="00B2BCD5"/>
    <w:rsid w:val="00B30030"/>
    <w:rsid w:val="00B30D39"/>
    <w:rsid w:val="00B3143E"/>
    <w:rsid w:val="00B32F27"/>
    <w:rsid w:val="00B34428"/>
    <w:rsid w:val="00B40797"/>
    <w:rsid w:val="00B409E6"/>
    <w:rsid w:val="00B40C08"/>
    <w:rsid w:val="00B413B7"/>
    <w:rsid w:val="00B52425"/>
    <w:rsid w:val="00B556C9"/>
    <w:rsid w:val="00B56FA5"/>
    <w:rsid w:val="00B61752"/>
    <w:rsid w:val="00B74F5C"/>
    <w:rsid w:val="00B80EF2"/>
    <w:rsid w:val="00B836CB"/>
    <w:rsid w:val="00B8465F"/>
    <w:rsid w:val="00B85B62"/>
    <w:rsid w:val="00B925B3"/>
    <w:rsid w:val="00B95489"/>
    <w:rsid w:val="00B97FFE"/>
    <w:rsid w:val="00BA7B74"/>
    <w:rsid w:val="00BB28E7"/>
    <w:rsid w:val="00BB3F8A"/>
    <w:rsid w:val="00BB6477"/>
    <w:rsid w:val="00BC1C07"/>
    <w:rsid w:val="00BC5FC9"/>
    <w:rsid w:val="00BC6889"/>
    <w:rsid w:val="00BC770B"/>
    <w:rsid w:val="00BD2515"/>
    <w:rsid w:val="00BE1730"/>
    <w:rsid w:val="00BE1E76"/>
    <w:rsid w:val="00BE36FC"/>
    <w:rsid w:val="00BE6270"/>
    <w:rsid w:val="00BE7E96"/>
    <w:rsid w:val="00BF00DD"/>
    <w:rsid w:val="00BF24E2"/>
    <w:rsid w:val="00BF58EA"/>
    <w:rsid w:val="00C064D7"/>
    <w:rsid w:val="00C06939"/>
    <w:rsid w:val="00C10AC5"/>
    <w:rsid w:val="00C27C8C"/>
    <w:rsid w:val="00C303F4"/>
    <w:rsid w:val="00C346A4"/>
    <w:rsid w:val="00C478A3"/>
    <w:rsid w:val="00C51CD1"/>
    <w:rsid w:val="00C5452E"/>
    <w:rsid w:val="00C553C6"/>
    <w:rsid w:val="00C61D65"/>
    <w:rsid w:val="00C63A23"/>
    <w:rsid w:val="00C65DB3"/>
    <w:rsid w:val="00C72B89"/>
    <w:rsid w:val="00C76D77"/>
    <w:rsid w:val="00C81FB9"/>
    <w:rsid w:val="00C93DEF"/>
    <w:rsid w:val="00CA1B1C"/>
    <w:rsid w:val="00CA1C88"/>
    <w:rsid w:val="00CB67FE"/>
    <w:rsid w:val="00CB6A33"/>
    <w:rsid w:val="00CB7B4A"/>
    <w:rsid w:val="00CC5F80"/>
    <w:rsid w:val="00CC61F2"/>
    <w:rsid w:val="00CD3037"/>
    <w:rsid w:val="00CD4C8C"/>
    <w:rsid w:val="00CD52A6"/>
    <w:rsid w:val="00CF04CB"/>
    <w:rsid w:val="00CF31C9"/>
    <w:rsid w:val="00D002F4"/>
    <w:rsid w:val="00D13673"/>
    <w:rsid w:val="00D13DA8"/>
    <w:rsid w:val="00D17D19"/>
    <w:rsid w:val="00D23256"/>
    <w:rsid w:val="00D23374"/>
    <w:rsid w:val="00D245F9"/>
    <w:rsid w:val="00D2697E"/>
    <w:rsid w:val="00D276F4"/>
    <w:rsid w:val="00D40BD8"/>
    <w:rsid w:val="00D43E80"/>
    <w:rsid w:val="00D4507E"/>
    <w:rsid w:val="00D45EDB"/>
    <w:rsid w:val="00D4689A"/>
    <w:rsid w:val="00D570D8"/>
    <w:rsid w:val="00D572F9"/>
    <w:rsid w:val="00D6331E"/>
    <w:rsid w:val="00D66530"/>
    <w:rsid w:val="00D80818"/>
    <w:rsid w:val="00D84142"/>
    <w:rsid w:val="00D842BF"/>
    <w:rsid w:val="00D85A72"/>
    <w:rsid w:val="00D86783"/>
    <w:rsid w:val="00D90A3E"/>
    <w:rsid w:val="00DA047D"/>
    <w:rsid w:val="00DB25EF"/>
    <w:rsid w:val="00DB5BBA"/>
    <w:rsid w:val="00DB6CB1"/>
    <w:rsid w:val="00DD0B51"/>
    <w:rsid w:val="00DD4F63"/>
    <w:rsid w:val="00DD5BA8"/>
    <w:rsid w:val="00DD6145"/>
    <w:rsid w:val="00DD6BC0"/>
    <w:rsid w:val="00DE0934"/>
    <w:rsid w:val="00DE3D8F"/>
    <w:rsid w:val="00DE714D"/>
    <w:rsid w:val="00DF132E"/>
    <w:rsid w:val="00DF6B37"/>
    <w:rsid w:val="00E00482"/>
    <w:rsid w:val="00E04684"/>
    <w:rsid w:val="00E07469"/>
    <w:rsid w:val="00E112F5"/>
    <w:rsid w:val="00E11657"/>
    <w:rsid w:val="00E128C1"/>
    <w:rsid w:val="00E139E7"/>
    <w:rsid w:val="00E1560A"/>
    <w:rsid w:val="00E17D9C"/>
    <w:rsid w:val="00E22E58"/>
    <w:rsid w:val="00E36851"/>
    <w:rsid w:val="00E47353"/>
    <w:rsid w:val="00E47E22"/>
    <w:rsid w:val="00E47FC5"/>
    <w:rsid w:val="00E70B3B"/>
    <w:rsid w:val="00E87771"/>
    <w:rsid w:val="00E97886"/>
    <w:rsid w:val="00EA059D"/>
    <w:rsid w:val="00EA61C5"/>
    <w:rsid w:val="00EB0932"/>
    <w:rsid w:val="00EB30F0"/>
    <w:rsid w:val="00EB611F"/>
    <w:rsid w:val="00EC242E"/>
    <w:rsid w:val="00EC7885"/>
    <w:rsid w:val="00ED1457"/>
    <w:rsid w:val="00EE36B9"/>
    <w:rsid w:val="00EF3564"/>
    <w:rsid w:val="00F0139E"/>
    <w:rsid w:val="00F02F51"/>
    <w:rsid w:val="00F06F62"/>
    <w:rsid w:val="00F17CA9"/>
    <w:rsid w:val="00F224C7"/>
    <w:rsid w:val="00F23274"/>
    <w:rsid w:val="00F256F4"/>
    <w:rsid w:val="00F27FD4"/>
    <w:rsid w:val="00F304C9"/>
    <w:rsid w:val="00F331B6"/>
    <w:rsid w:val="00F35961"/>
    <w:rsid w:val="00F36813"/>
    <w:rsid w:val="00F4053B"/>
    <w:rsid w:val="00F426D9"/>
    <w:rsid w:val="00F4424B"/>
    <w:rsid w:val="00F503B5"/>
    <w:rsid w:val="00F55735"/>
    <w:rsid w:val="00F67D90"/>
    <w:rsid w:val="00F731FF"/>
    <w:rsid w:val="00F73EB1"/>
    <w:rsid w:val="00F76E9B"/>
    <w:rsid w:val="00F81756"/>
    <w:rsid w:val="00F81974"/>
    <w:rsid w:val="00F830E5"/>
    <w:rsid w:val="00F83388"/>
    <w:rsid w:val="00F85D25"/>
    <w:rsid w:val="00F93D28"/>
    <w:rsid w:val="00F95540"/>
    <w:rsid w:val="00F96556"/>
    <w:rsid w:val="00FA65B2"/>
    <w:rsid w:val="00FB4F64"/>
    <w:rsid w:val="00FB7689"/>
    <w:rsid w:val="00FC0D74"/>
    <w:rsid w:val="00FC13D8"/>
    <w:rsid w:val="00FC2286"/>
    <w:rsid w:val="00FD0586"/>
    <w:rsid w:val="00FD0A69"/>
    <w:rsid w:val="00FD4B98"/>
    <w:rsid w:val="00FD7CA3"/>
    <w:rsid w:val="00FE05E6"/>
    <w:rsid w:val="00FE26F5"/>
    <w:rsid w:val="00FE2755"/>
    <w:rsid w:val="00FE5990"/>
    <w:rsid w:val="010E167B"/>
    <w:rsid w:val="011AF616"/>
    <w:rsid w:val="012D13BF"/>
    <w:rsid w:val="014DA29C"/>
    <w:rsid w:val="016A28FE"/>
    <w:rsid w:val="016D2F1C"/>
    <w:rsid w:val="01742028"/>
    <w:rsid w:val="018D4496"/>
    <w:rsid w:val="0193469D"/>
    <w:rsid w:val="01C51617"/>
    <w:rsid w:val="01DD5159"/>
    <w:rsid w:val="01E21E29"/>
    <w:rsid w:val="01EE64CD"/>
    <w:rsid w:val="02070575"/>
    <w:rsid w:val="0259D6D0"/>
    <w:rsid w:val="0271D03D"/>
    <w:rsid w:val="02743FAF"/>
    <w:rsid w:val="0294FC4D"/>
    <w:rsid w:val="029B6FE9"/>
    <w:rsid w:val="02C68E0D"/>
    <w:rsid w:val="02C9A842"/>
    <w:rsid w:val="02D870A1"/>
    <w:rsid w:val="02ECDB57"/>
    <w:rsid w:val="02FF9C1C"/>
    <w:rsid w:val="03149DE6"/>
    <w:rsid w:val="031FC1DB"/>
    <w:rsid w:val="03205A46"/>
    <w:rsid w:val="03275605"/>
    <w:rsid w:val="032D7E9F"/>
    <w:rsid w:val="0345CB44"/>
    <w:rsid w:val="034B1D64"/>
    <w:rsid w:val="0353B1C4"/>
    <w:rsid w:val="036B0077"/>
    <w:rsid w:val="03836DD9"/>
    <w:rsid w:val="039DB297"/>
    <w:rsid w:val="03B83237"/>
    <w:rsid w:val="03D62209"/>
    <w:rsid w:val="03F25C59"/>
    <w:rsid w:val="03F3A055"/>
    <w:rsid w:val="03FDDB96"/>
    <w:rsid w:val="0406133E"/>
    <w:rsid w:val="042A55C5"/>
    <w:rsid w:val="04624C09"/>
    <w:rsid w:val="0471A0EA"/>
    <w:rsid w:val="047D1EA0"/>
    <w:rsid w:val="048725CF"/>
    <w:rsid w:val="04A1C9C0"/>
    <w:rsid w:val="04B31735"/>
    <w:rsid w:val="04C8D967"/>
    <w:rsid w:val="04C9B980"/>
    <w:rsid w:val="04E67DA8"/>
    <w:rsid w:val="04E6D48F"/>
    <w:rsid w:val="04FC5EC7"/>
    <w:rsid w:val="04FE43A2"/>
    <w:rsid w:val="0515558A"/>
    <w:rsid w:val="05233895"/>
    <w:rsid w:val="053E4143"/>
    <w:rsid w:val="056D33EE"/>
    <w:rsid w:val="058FAE76"/>
    <w:rsid w:val="059112EB"/>
    <w:rsid w:val="059497C4"/>
    <w:rsid w:val="05A75EE8"/>
    <w:rsid w:val="05B30E98"/>
    <w:rsid w:val="05C40F0C"/>
    <w:rsid w:val="05EB1042"/>
    <w:rsid w:val="0617572C"/>
    <w:rsid w:val="061BEBD0"/>
    <w:rsid w:val="0620064D"/>
    <w:rsid w:val="06272D82"/>
    <w:rsid w:val="06312A9C"/>
    <w:rsid w:val="06317872"/>
    <w:rsid w:val="064BD065"/>
    <w:rsid w:val="0652EBF2"/>
    <w:rsid w:val="0663DF02"/>
    <w:rsid w:val="066F0780"/>
    <w:rsid w:val="0673E088"/>
    <w:rsid w:val="068DAC97"/>
    <w:rsid w:val="06952117"/>
    <w:rsid w:val="069D0811"/>
    <w:rsid w:val="06B71DA1"/>
    <w:rsid w:val="06BB27C5"/>
    <w:rsid w:val="06C229EC"/>
    <w:rsid w:val="06FC10D9"/>
    <w:rsid w:val="06FF18F3"/>
    <w:rsid w:val="0720CDCB"/>
    <w:rsid w:val="0732E479"/>
    <w:rsid w:val="074627FA"/>
    <w:rsid w:val="075A2F06"/>
    <w:rsid w:val="076A3B6E"/>
    <w:rsid w:val="079EAEBB"/>
    <w:rsid w:val="08003F30"/>
    <w:rsid w:val="08229EC3"/>
    <w:rsid w:val="083F6F57"/>
    <w:rsid w:val="0867B725"/>
    <w:rsid w:val="08685CE2"/>
    <w:rsid w:val="086CC403"/>
    <w:rsid w:val="08749CED"/>
    <w:rsid w:val="0875C8B6"/>
    <w:rsid w:val="08963D0A"/>
    <w:rsid w:val="08AB1A7D"/>
    <w:rsid w:val="08C1EAC5"/>
    <w:rsid w:val="08CE009C"/>
    <w:rsid w:val="08E13945"/>
    <w:rsid w:val="08EE97C1"/>
    <w:rsid w:val="091ED556"/>
    <w:rsid w:val="09296A90"/>
    <w:rsid w:val="0936D8AB"/>
    <w:rsid w:val="0951F375"/>
    <w:rsid w:val="095A4910"/>
    <w:rsid w:val="095E4020"/>
    <w:rsid w:val="096DCE67"/>
    <w:rsid w:val="097B344A"/>
    <w:rsid w:val="0996E3A6"/>
    <w:rsid w:val="09A3FAC4"/>
    <w:rsid w:val="09A8C6E8"/>
    <w:rsid w:val="09FB70AB"/>
    <w:rsid w:val="0A034CB9"/>
    <w:rsid w:val="0A038786"/>
    <w:rsid w:val="0A12A3ED"/>
    <w:rsid w:val="0A22ACB0"/>
    <w:rsid w:val="0A238B33"/>
    <w:rsid w:val="0A51C3B5"/>
    <w:rsid w:val="0A57F3C6"/>
    <w:rsid w:val="0A63F2B5"/>
    <w:rsid w:val="0A86531D"/>
    <w:rsid w:val="0A9B3B5A"/>
    <w:rsid w:val="0ABAA8E0"/>
    <w:rsid w:val="0ABC3A40"/>
    <w:rsid w:val="0AC62A5D"/>
    <w:rsid w:val="0AD19FF2"/>
    <w:rsid w:val="0AD706DA"/>
    <w:rsid w:val="0AFD4F29"/>
    <w:rsid w:val="0B1A802F"/>
    <w:rsid w:val="0B1E927F"/>
    <w:rsid w:val="0B3EDB02"/>
    <w:rsid w:val="0B4D2664"/>
    <w:rsid w:val="0B5AFEB2"/>
    <w:rsid w:val="0B5D6FDC"/>
    <w:rsid w:val="0B61008A"/>
    <w:rsid w:val="0BA8A633"/>
    <w:rsid w:val="0BA9F4E9"/>
    <w:rsid w:val="0BACBF3F"/>
    <w:rsid w:val="0BBD62FA"/>
    <w:rsid w:val="0BC1F603"/>
    <w:rsid w:val="0BCC9C0E"/>
    <w:rsid w:val="0BDBAD9E"/>
    <w:rsid w:val="0BE136EB"/>
    <w:rsid w:val="0C162EBA"/>
    <w:rsid w:val="0C214FEC"/>
    <w:rsid w:val="0C3814AA"/>
    <w:rsid w:val="0C386C6B"/>
    <w:rsid w:val="0C40E2AF"/>
    <w:rsid w:val="0C5EFC85"/>
    <w:rsid w:val="0C682260"/>
    <w:rsid w:val="0C7306BB"/>
    <w:rsid w:val="0C91586C"/>
    <w:rsid w:val="0C9CEFB5"/>
    <w:rsid w:val="0C9FC3D8"/>
    <w:rsid w:val="0CB694A0"/>
    <w:rsid w:val="0CBBE6E8"/>
    <w:rsid w:val="0CC049F3"/>
    <w:rsid w:val="0CC2EFA4"/>
    <w:rsid w:val="0CF112A0"/>
    <w:rsid w:val="0CF51381"/>
    <w:rsid w:val="0CF68ACC"/>
    <w:rsid w:val="0D16837E"/>
    <w:rsid w:val="0D1A7FED"/>
    <w:rsid w:val="0D1F432F"/>
    <w:rsid w:val="0D265F25"/>
    <w:rsid w:val="0D2EA61E"/>
    <w:rsid w:val="0D3C9356"/>
    <w:rsid w:val="0D66E6C5"/>
    <w:rsid w:val="0D675579"/>
    <w:rsid w:val="0D89DE9B"/>
    <w:rsid w:val="0DA2D995"/>
    <w:rsid w:val="0DB9FDC6"/>
    <w:rsid w:val="0DBD3D75"/>
    <w:rsid w:val="0DC85809"/>
    <w:rsid w:val="0E0134E2"/>
    <w:rsid w:val="0E0C6F1E"/>
    <w:rsid w:val="0E1093DE"/>
    <w:rsid w:val="0E335D1D"/>
    <w:rsid w:val="0E482191"/>
    <w:rsid w:val="0E4DD743"/>
    <w:rsid w:val="0E59E191"/>
    <w:rsid w:val="0E6CCA34"/>
    <w:rsid w:val="0E7EDF3D"/>
    <w:rsid w:val="0E85920B"/>
    <w:rsid w:val="0E89154E"/>
    <w:rsid w:val="0E8F4719"/>
    <w:rsid w:val="0E9A3FDE"/>
    <w:rsid w:val="0EBB1390"/>
    <w:rsid w:val="0EE5204C"/>
    <w:rsid w:val="0EEF9CC3"/>
    <w:rsid w:val="0F021BE5"/>
    <w:rsid w:val="0F2F7295"/>
    <w:rsid w:val="0F3CEF64"/>
    <w:rsid w:val="0F716778"/>
    <w:rsid w:val="0F8D082C"/>
    <w:rsid w:val="0FA4FEB0"/>
    <w:rsid w:val="0FAFD751"/>
    <w:rsid w:val="0FB90116"/>
    <w:rsid w:val="0FD760D4"/>
    <w:rsid w:val="0FE40F14"/>
    <w:rsid w:val="0FEFEA48"/>
    <w:rsid w:val="0FF050FE"/>
    <w:rsid w:val="0FF08931"/>
    <w:rsid w:val="10039BD6"/>
    <w:rsid w:val="1007298C"/>
    <w:rsid w:val="10141B0F"/>
    <w:rsid w:val="10197E27"/>
    <w:rsid w:val="101E3D01"/>
    <w:rsid w:val="102B177A"/>
    <w:rsid w:val="1054B065"/>
    <w:rsid w:val="1057B686"/>
    <w:rsid w:val="1060A231"/>
    <w:rsid w:val="1062070F"/>
    <w:rsid w:val="109584EB"/>
    <w:rsid w:val="1099C903"/>
    <w:rsid w:val="10BA6B4D"/>
    <w:rsid w:val="10BD4D87"/>
    <w:rsid w:val="10BD928D"/>
    <w:rsid w:val="10D0D2DE"/>
    <w:rsid w:val="10DB6100"/>
    <w:rsid w:val="10E998B7"/>
    <w:rsid w:val="11046121"/>
    <w:rsid w:val="111B995F"/>
    <w:rsid w:val="11275881"/>
    <w:rsid w:val="118CA20A"/>
    <w:rsid w:val="11A65D5D"/>
    <w:rsid w:val="11AC95E9"/>
    <w:rsid w:val="11B09615"/>
    <w:rsid w:val="11D9D0B0"/>
    <w:rsid w:val="121CC10E"/>
    <w:rsid w:val="126BB441"/>
    <w:rsid w:val="126C47E1"/>
    <w:rsid w:val="12782EFF"/>
    <w:rsid w:val="127F5B3F"/>
    <w:rsid w:val="12803B60"/>
    <w:rsid w:val="12A34EBB"/>
    <w:rsid w:val="12A4893D"/>
    <w:rsid w:val="12AB5883"/>
    <w:rsid w:val="12BF6099"/>
    <w:rsid w:val="12D78DA1"/>
    <w:rsid w:val="12DCB1D7"/>
    <w:rsid w:val="12E49F5D"/>
    <w:rsid w:val="12F5DCFF"/>
    <w:rsid w:val="130375D6"/>
    <w:rsid w:val="1318CAB4"/>
    <w:rsid w:val="132D16BD"/>
    <w:rsid w:val="136441D5"/>
    <w:rsid w:val="1377E897"/>
    <w:rsid w:val="13869637"/>
    <w:rsid w:val="13930B88"/>
    <w:rsid w:val="139565FA"/>
    <w:rsid w:val="13976944"/>
    <w:rsid w:val="13AAAF72"/>
    <w:rsid w:val="13BF440F"/>
    <w:rsid w:val="13C5DB59"/>
    <w:rsid w:val="13C97EC0"/>
    <w:rsid w:val="14305A08"/>
    <w:rsid w:val="14573B7A"/>
    <w:rsid w:val="14597428"/>
    <w:rsid w:val="145CC33D"/>
    <w:rsid w:val="145F4776"/>
    <w:rsid w:val="1461C040"/>
    <w:rsid w:val="14663176"/>
    <w:rsid w:val="14772AAD"/>
    <w:rsid w:val="14A31E6E"/>
    <w:rsid w:val="14B7241A"/>
    <w:rsid w:val="14D8F43E"/>
    <w:rsid w:val="14FEC6C2"/>
    <w:rsid w:val="1511AAE2"/>
    <w:rsid w:val="151488D1"/>
    <w:rsid w:val="15412707"/>
    <w:rsid w:val="15572DB9"/>
    <w:rsid w:val="1557CAF0"/>
    <w:rsid w:val="1559E091"/>
    <w:rsid w:val="1563A1E1"/>
    <w:rsid w:val="156ED7BA"/>
    <w:rsid w:val="15982A63"/>
    <w:rsid w:val="15AB51D4"/>
    <w:rsid w:val="15B383F6"/>
    <w:rsid w:val="15D76C71"/>
    <w:rsid w:val="15D82D8F"/>
    <w:rsid w:val="15E89682"/>
    <w:rsid w:val="15ED1D27"/>
    <w:rsid w:val="15F37865"/>
    <w:rsid w:val="1607C3A1"/>
    <w:rsid w:val="160B327B"/>
    <w:rsid w:val="161581B9"/>
    <w:rsid w:val="161B411C"/>
    <w:rsid w:val="164EFA7A"/>
    <w:rsid w:val="1651D86A"/>
    <w:rsid w:val="1658735D"/>
    <w:rsid w:val="165E9359"/>
    <w:rsid w:val="167E40E7"/>
    <w:rsid w:val="168124CD"/>
    <w:rsid w:val="168BA4EB"/>
    <w:rsid w:val="16B0FEBF"/>
    <w:rsid w:val="16B93AEE"/>
    <w:rsid w:val="16BCC8B7"/>
    <w:rsid w:val="16BFA543"/>
    <w:rsid w:val="16C3F1E9"/>
    <w:rsid w:val="16CA6783"/>
    <w:rsid w:val="16D52EF1"/>
    <w:rsid w:val="16D8C364"/>
    <w:rsid w:val="17195063"/>
    <w:rsid w:val="171CD20D"/>
    <w:rsid w:val="1722BEBE"/>
    <w:rsid w:val="172778A2"/>
    <w:rsid w:val="174D3224"/>
    <w:rsid w:val="176293A7"/>
    <w:rsid w:val="1777935D"/>
    <w:rsid w:val="1779940E"/>
    <w:rsid w:val="179215E5"/>
    <w:rsid w:val="1794E003"/>
    <w:rsid w:val="17B11A76"/>
    <w:rsid w:val="17CC10A9"/>
    <w:rsid w:val="17ED8D99"/>
    <w:rsid w:val="180CCA65"/>
    <w:rsid w:val="1842461C"/>
    <w:rsid w:val="18629FA2"/>
    <w:rsid w:val="186394BA"/>
    <w:rsid w:val="1868E897"/>
    <w:rsid w:val="1886E1ED"/>
    <w:rsid w:val="188EE886"/>
    <w:rsid w:val="1892BE00"/>
    <w:rsid w:val="18A585AB"/>
    <w:rsid w:val="18D9EE9D"/>
    <w:rsid w:val="1906A9F3"/>
    <w:rsid w:val="1911D430"/>
    <w:rsid w:val="1919FCF2"/>
    <w:rsid w:val="192B1927"/>
    <w:rsid w:val="193EA22E"/>
    <w:rsid w:val="195B65C6"/>
    <w:rsid w:val="195BDB4D"/>
    <w:rsid w:val="19651E83"/>
    <w:rsid w:val="196583DB"/>
    <w:rsid w:val="19787932"/>
    <w:rsid w:val="198205F9"/>
    <w:rsid w:val="199398A8"/>
    <w:rsid w:val="19942F40"/>
    <w:rsid w:val="19A62F8E"/>
    <w:rsid w:val="19AC6561"/>
    <w:rsid w:val="19F46979"/>
    <w:rsid w:val="1A0C0CF5"/>
    <w:rsid w:val="1A0CCFB3"/>
    <w:rsid w:val="1A2C6C47"/>
    <w:rsid w:val="1A4B0770"/>
    <w:rsid w:val="1A4D3056"/>
    <w:rsid w:val="1A7FC1BF"/>
    <w:rsid w:val="1A80B8E2"/>
    <w:rsid w:val="1AA55F4C"/>
    <w:rsid w:val="1AB6E7F3"/>
    <w:rsid w:val="1AD5EE89"/>
    <w:rsid w:val="1AE5A298"/>
    <w:rsid w:val="1AE60537"/>
    <w:rsid w:val="1B2611FD"/>
    <w:rsid w:val="1B333BD8"/>
    <w:rsid w:val="1B41FFEF"/>
    <w:rsid w:val="1B438783"/>
    <w:rsid w:val="1B90FD13"/>
    <w:rsid w:val="1BA5A1A0"/>
    <w:rsid w:val="1BD89D64"/>
    <w:rsid w:val="1BDF28AF"/>
    <w:rsid w:val="1C1D7E4D"/>
    <w:rsid w:val="1C3F613C"/>
    <w:rsid w:val="1C413111"/>
    <w:rsid w:val="1C45816D"/>
    <w:rsid w:val="1C4EBFDF"/>
    <w:rsid w:val="1C83941D"/>
    <w:rsid w:val="1C9CBF45"/>
    <w:rsid w:val="1CA4F5BE"/>
    <w:rsid w:val="1CAA285E"/>
    <w:rsid w:val="1CAE349E"/>
    <w:rsid w:val="1CC5FE64"/>
    <w:rsid w:val="1CCB8D14"/>
    <w:rsid w:val="1CD48204"/>
    <w:rsid w:val="1CE12AE6"/>
    <w:rsid w:val="1CF4B34D"/>
    <w:rsid w:val="1D04FE10"/>
    <w:rsid w:val="1D164817"/>
    <w:rsid w:val="1D2D7C89"/>
    <w:rsid w:val="1D445470"/>
    <w:rsid w:val="1D543F0C"/>
    <w:rsid w:val="1D7AF72F"/>
    <w:rsid w:val="1D885F22"/>
    <w:rsid w:val="1D89DDEA"/>
    <w:rsid w:val="1D940117"/>
    <w:rsid w:val="1D966E56"/>
    <w:rsid w:val="1DC03CE6"/>
    <w:rsid w:val="1DFD1C03"/>
    <w:rsid w:val="1E075AC4"/>
    <w:rsid w:val="1E1691E3"/>
    <w:rsid w:val="1E2DC977"/>
    <w:rsid w:val="1E549324"/>
    <w:rsid w:val="1E676D92"/>
    <w:rsid w:val="1E849598"/>
    <w:rsid w:val="1E8ED301"/>
    <w:rsid w:val="1EA425F0"/>
    <w:rsid w:val="1EBE9125"/>
    <w:rsid w:val="1EC5AD11"/>
    <w:rsid w:val="1ED96203"/>
    <w:rsid w:val="1EDAE7C2"/>
    <w:rsid w:val="1EE040D6"/>
    <w:rsid w:val="1EF9ECAF"/>
    <w:rsid w:val="1F031B8A"/>
    <w:rsid w:val="1F183FAF"/>
    <w:rsid w:val="1F57D1E6"/>
    <w:rsid w:val="1F8A9E67"/>
    <w:rsid w:val="1F9629C2"/>
    <w:rsid w:val="1F9CEC7C"/>
    <w:rsid w:val="1FD10555"/>
    <w:rsid w:val="1FE7BAB6"/>
    <w:rsid w:val="2007A02B"/>
    <w:rsid w:val="2034AA40"/>
    <w:rsid w:val="20416874"/>
    <w:rsid w:val="205ADAA4"/>
    <w:rsid w:val="205FA2FA"/>
    <w:rsid w:val="2079D95F"/>
    <w:rsid w:val="209F01FD"/>
    <w:rsid w:val="20BA48F4"/>
    <w:rsid w:val="20BE4004"/>
    <w:rsid w:val="20C17EAC"/>
    <w:rsid w:val="20C2C6E1"/>
    <w:rsid w:val="20CC205A"/>
    <w:rsid w:val="20D26F93"/>
    <w:rsid w:val="20DAA709"/>
    <w:rsid w:val="20DC181A"/>
    <w:rsid w:val="20DC8D7B"/>
    <w:rsid w:val="20E14791"/>
    <w:rsid w:val="20F8DB5C"/>
    <w:rsid w:val="20FD3928"/>
    <w:rsid w:val="20FDC3DF"/>
    <w:rsid w:val="21087454"/>
    <w:rsid w:val="2146B80A"/>
    <w:rsid w:val="2155BE87"/>
    <w:rsid w:val="215A4A7C"/>
    <w:rsid w:val="215C14D0"/>
    <w:rsid w:val="215D1F90"/>
    <w:rsid w:val="2182AC94"/>
    <w:rsid w:val="21914285"/>
    <w:rsid w:val="21CB4E75"/>
    <w:rsid w:val="21CB7986"/>
    <w:rsid w:val="21D8749D"/>
    <w:rsid w:val="21F4001B"/>
    <w:rsid w:val="21FBA58A"/>
    <w:rsid w:val="2241A815"/>
    <w:rsid w:val="2247A77F"/>
    <w:rsid w:val="224BBFAF"/>
    <w:rsid w:val="2276776A"/>
    <w:rsid w:val="22A0172D"/>
    <w:rsid w:val="22B9C07A"/>
    <w:rsid w:val="22BB64E1"/>
    <w:rsid w:val="22EE2ACF"/>
    <w:rsid w:val="23013BE8"/>
    <w:rsid w:val="230CD2F7"/>
    <w:rsid w:val="232F7CC7"/>
    <w:rsid w:val="2358CD7E"/>
    <w:rsid w:val="2362F39B"/>
    <w:rsid w:val="2371DA31"/>
    <w:rsid w:val="237B9B23"/>
    <w:rsid w:val="2394574A"/>
    <w:rsid w:val="23AC952E"/>
    <w:rsid w:val="23AD6D42"/>
    <w:rsid w:val="23B865EA"/>
    <w:rsid w:val="23C12FEC"/>
    <w:rsid w:val="23E11ED6"/>
    <w:rsid w:val="23E69B5F"/>
    <w:rsid w:val="245D82AA"/>
    <w:rsid w:val="245F2829"/>
    <w:rsid w:val="24694AD6"/>
    <w:rsid w:val="24945FDB"/>
    <w:rsid w:val="24986B70"/>
    <w:rsid w:val="24BB2BD9"/>
    <w:rsid w:val="24C4093B"/>
    <w:rsid w:val="24CB0CC1"/>
    <w:rsid w:val="2506E31A"/>
    <w:rsid w:val="250A058C"/>
    <w:rsid w:val="2514AA4C"/>
    <w:rsid w:val="251F6611"/>
    <w:rsid w:val="2529786E"/>
    <w:rsid w:val="25371C20"/>
    <w:rsid w:val="254A0067"/>
    <w:rsid w:val="25665824"/>
    <w:rsid w:val="25826BC0"/>
    <w:rsid w:val="2582E9D1"/>
    <w:rsid w:val="258D45C6"/>
    <w:rsid w:val="2598B805"/>
    <w:rsid w:val="25A8ABEA"/>
    <w:rsid w:val="25ABECD7"/>
    <w:rsid w:val="25B294FF"/>
    <w:rsid w:val="2636B6D4"/>
    <w:rsid w:val="2664B3A8"/>
    <w:rsid w:val="26822AB7"/>
    <w:rsid w:val="26B700A7"/>
    <w:rsid w:val="26BF11B4"/>
    <w:rsid w:val="26D00D11"/>
    <w:rsid w:val="26DA0675"/>
    <w:rsid w:val="26DE338F"/>
    <w:rsid w:val="27186F05"/>
    <w:rsid w:val="2730C030"/>
    <w:rsid w:val="2745BC0B"/>
    <w:rsid w:val="27645A43"/>
    <w:rsid w:val="2779FD1D"/>
    <w:rsid w:val="278023F8"/>
    <w:rsid w:val="2791A97E"/>
    <w:rsid w:val="27B4F988"/>
    <w:rsid w:val="27BA3FEF"/>
    <w:rsid w:val="27D46F03"/>
    <w:rsid w:val="27D70BE9"/>
    <w:rsid w:val="27F4C2D4"/>
    <w:rsid w:val="2801980F"/>
    <w:rsid w:val="28241B57"/>
    <w:rsid w:val="283B87F7"/>
    <w:rsid w:val="283BD29D"/>
    <w:rsid w:val="284C4B0E"/>
    <w:rsid w:val="284EEDA2"/>
    <w:rsid w:val="2852D108"/>
    <w:rsid w:val="285DA086"/>
    <w:rsid w:val="286B6B38"/>
    <w:rsid w:val="2881363C"/>
    <w:rsid w:val="288C122E"/>
    <w:rsid w:val="28C8B343"/>
    <w:rsid w:val="28C90585"/>
    <w:rsid w:val="28D0F6F2"/>
    <w:rsid w:val="28F330D0"/>
    <w:rsid w:val="29036691"/>
    <w:rsid w:val="2918234E"/>
    <w:rsid w:val="2918CED2"/>
    <w:rsid w:val="291DDA58"/>
    <w:rsid w:val="293632CC"/>
    <w:rsid w:val="293D6ABC"/>
    <w:rsid w:val="294566B9"/>
    <w:rsid w:val="295B1B7B"/>
    <w:rsid w:val="295D0C60"/>
    <w:rsid w:val="295FCE72"/>
    <w:rsid w:val="296E35E1"/>
    <w:rsid w:val="2971F1DD"/>
    <w:rsid w:val="298C6F98"/>
    <w:rsid w:val="29CB221C"/>
    <w:rsid w:val="29D22AD8"/>
    <w:rsid w:val="29F26803"/>
    <w:rsid w:val="2A1E21CF"/>
    <w:rsid w:val="2A2C95C9"/>
    <w:rsid w:val="2A2E65C9"/>
    <w:rsid w:val="2A557E74"/>
    <w:rsid w:val="2A55DCE3"/>
    <w:rsid w:val="2A56D194"/>
    <w:rsid w:val="2A62E575"/>
    <w:rsid w:val="2A96F31A"/>
    <w:rsid w:val="2ABA476E"/>
    <w:rsid w:val="2AC9DCF2"/>
    <w:rsid w:val="2AD6D493"/>
    <w:rsid w:val="2ADC59BC"/>
    <w:rsid w:val="2B089A5E"/>
    <w:rsid w:val="2B33A270"/>
    <w:rsid w:val="2B369EDA"/>
    <w:rsid w:val="2B3B3499"/>
    <w:rsid w:val="2B40DF0D"/>
    <w:rsid w:val="2B59085E"/>
    <w:rsid w:val="2B9030AF"/>
    <w:rsid w:val="2B913CA6"/>
    <w:rsid w:val="2BBB9EC3"/>
    <w:rsid w:val="2BE92273"/>
    <w:rsid w:val="2BEF7FE7"/>
    <w:rsid w:val="2C08776A"/>
    <w:rsid w:val="2C21BA20"/>
    <w:rsid w:val="2C3198BF"/>
    <w:rsid w:val="2C39A370"/>
    <w:rsid w:val="2C4E58F9"/>
    <w:rsid w:val="2C4F7E3E"/>
    <w:rsid w:val="2C53C3B9"/>
    <w:rsid w:val="2C5B2428"/>
    <w:rsid w:val="2C618C65"/>
    <w:rsid w:val="2C6BCEA9"/>
    <w:rsid w:val="2C89B5C7"/>
    <w:rsid w:val="2C90465A"/>
    <w:rsid w:val="2CA1A56D"/>
    <w:rsid w:val="2CAD090A"/>
    <w:rsid w:val="2CBB9718"/>
    <w:rsid w:val="2CCDA55A"/>
    <w:rsid w:val="2CCF8A4B"/>
    <w:rsid w:val="2D301F9C"/>
    <w:rsid w:val="2D317BBB"/>
    <w:rsid w:val="2D32657C"/>
    <w:rsid w:val="2D37B8CA"/>
    <w:rsid w:val="2D3B6135"/>
    <w:rsid w:val="2D3DAC06"/>
    <w:rsid w:val="2D567AAB"/>
    <w:rsid w:val="2D5F8351"/>
    <w:rsid w:val="2D724D8C"/>
    <w:rsid w:val="2D74527D"/>
    <w:rsid w:val="2D7666F1"/>
    <w:rsid w:val="2D7684FF"/>
    <w:rsid w:val="2D79D1CB"/>
    <w:rsid w:val="2D92045C"/>
    <w:rsid w:val="2DB95000"/>
    <w:rsid w:val="2DBE97E7"/>
    <w:rsid w:val="2DD09A30"/>
    <w:rsid w:val="2DD573D1"/>
    <w:rsid w:val="2E07FFAC"/>
    <w:rsid w:val="2E153906"/>
    <w:rsid w:val="2E25FD3C"/>
    <w:rsid w:val="2E2BEEDA"/>
    <w:rsid w:val="2E4B1170"/>
    <w:rsid w:val="2E709FB6"/>
    <w:rsid w:val="2E7A3B83"/>
    <w:rsid w:val="2E7B4CC7"/>
    <w:rsid w:val="2E7C626C"/>
    <w:rsid w:val="2E917CB8"/>
    <w:rsid w:val="2ECE35DD"/>
    <w:rsid w:val="2ED9C023"/>
    <w:rsid w:val="2EEA5C23"/>
    <w:rsid w:val="2F0215C9"/>
    <w:rsid w:val="2F0C419C"/>
    <w:rsid w:val="2F1AD0E3"/>
    <w:rsid w:val="2F294B3B"/>
    <w:rsid w:val="2F6451DA"/>
    <w:rsid w:val="2FB9B02F"/>
    <w:rsid w:val="2FCA1961"/>
    <w:rsid w:val="2FEC520F"/>
    <w:rsid w:val="30000A2E"/>
    <w:rsid w:val="3004AE87"/>
    <w:rsid w:val="30257102"/>
    <w:rsid w:val="305F7A7F"/>
    <w:rsid w:val="308E1B6D"/>
    <w:rsid w:val="309EA212"/>
    <w:rsid w:val="30B9C520"/>
    <w:rsid w:val="30C94798"/>
    <w:rsid w:val="30EB2733"/>
    <w:rsid w:val="30F1FD32"/>
    <w:rsid w:val="30F37B06"/>
    <w:rsid w:val="30FE02FD"/>
    <w:rsid w:val="3104BEB9"/>
    <w:rsid w:val="31098971"/>
    <w:rsid w:val="313182C7"/>
    <w:rsid w:val="3149EE6B"/>
    <w:rsid w:val="316B8922"/>
    <w:rsid w:val="3176EE78"/>
    <w:rsid w:val="3193F93A"/>
    <w:rsid w:val="319C9945"/>
    <w:rsid w:val="31A7664F"/>
    <w:rsid w:val="31B5FD4F"/>
    <w:rsid w:val="31C50C89"/>
    <w:rsid w:val="31DF2184"/>
    <w:rsid w:val="323EA382"/>
    <w:rsid w:val="324459CC"/>
    <w:rsid w:val="32446115"/>
    <w:rsid w:val="326D6E27"/>
    <w:rsid w:val="32987439"/>
    <w:rsid w:val="32A51753"/>
    <w:rsid w:val="32FADC4F"/>
    <w:rsid w:val="33042F50"/>
    <w:rsid w:val="33127163"/>
    <w:rsid w:val="3313E685"/>
    <w:rsid w:val="33249D8F"/>
    <w:rsid w:val="3368F1F8"/>
    <w:rsid w:val="338FCB82"/>
    <w:rsid w:val="33A9CD66"/>
    <w:rsid w:val="33F099C5"/>
    <w:rsid w:val="3408617E"/>
    <w:rsid w:val="3421B56B"/>
    <w:rsid w:val="34294235"/>
    <w:rsid w:val="3458C705"/>
    <w:rsid w:val="3488EE87"/>
    <w:rsid w:val="348BB4E5"/>
    <w:rsid w:val="349A6EBC"/>
    <w:rsid w:val="34ACB752"/>
    <w:rsid w:val="34C26669"/>
    <w:rsid w:val="34D1DD36"/>
    <w:rsid w:val="34D7CEED"/>
    <w:rsid w:val="34F176CD"/>
    <w:rsid w:val="34FCAD4B"/>
    <w:rsid w:val="353C0513"/>
    <w:rsid w:val="353D7761"/>
    <w:rsid w:val="3549A3DF"/>
    <w:rsid w:val="354A9831"/>
    <w:rsid w:val="35598B05"/>
    <w:rsid w:val="356C4C5E"/>
    <w:rsid w:val="35708FBA"/>
    <w:rsid w:val="358C37CD"/>
    <w:rsid w:val="3597F547"/>
    <w:rsid w:val="359E23BA"/>
    <w:rsid w:val="35A01EA1"/>
    <w:rsid w:val="35A53A04"/>
    <w:rsid w:val="35B5BD0A"/>
    <w:rsid w:val="35C67443"/>
    <w:rsid w:val="35DDFD2E"/>
    <w:rsid w:val="35E6574F"/>
    <w:rsid w:val="360E5CE9"/>
    <w:rsid w:val="36239018"/>
    <w:rsid w:val="362F03B2"/>
    <w:rsid w:val="36371BCB"/>
    <w:rsid w:val="363B4CC4"/>
    <w:rsid w:val="365B9A72"/>
    <w:rsid w:val="367C59DD"/>
    <w:rsid w:val="36864050"/>
    <w:rsid w:val="368EF593"/>
    <w:rsid w:val="369ED68C"/>
    <w:rsid w:val="36A24DED"/>
    <w:rsid w:val="36A43709"/>
    <w:rsid w:val="36A8F9B9"/>
    <w:rsid w:val="36DFDF92"/>
    <w:rsid w:val="371AC9E1"/>
    <w:rsid w:val="3747BA9A"/>
    <w:rsid w:val="3766C855"/>
    <w:rsid w:val="377A6AD8"/>
    <w:rsid w:val="3783C87A"/>
    <w:rsid w:val="378DADA8"/>
    <w:rsid w:val="379CDA42"/>
    <w:rsid w:val="37AA2D4A"/>
    <w:rsid w:val="37BF679A"/>
    <w:rsid w:val="37DCD33E"/>
    <w:rsid w:val="381AA34E"/>
    <w:rsid w:val="3826C557"/>
    <w:rsid w:val="38768261"/>
    <w:rsid w:val="387F9464"/>
    <w:rsid w:val="388B490D"/>
    <w:rsid w:val="38A3088A"/>
    <w:rsid w:val="38C0CA92"/>
    <w:rsid w:val="38D235AB"/>
    <w:rsid w:val="38FAE30B"/>
    <w:rsid w:val="3906BF4E"/>
    <w:rsid w:val="3911F40A"/>
    <w:rsid w:val="393F9CD4"/>
    <w:rsid w:val="395B37FB"/>
    <w:rsid w:val="395D238E"/>
    <w:rsid w:val="395EB91F"/>
    <w:rsid w:val="3994E42D"/>
    <w:rsid w:val="3999D12F"/>
    <w:rsid w:val="39A25146"/>
    <w:rsid w:val="39A90120"/>
    <w:rsid w:val="39C4E7F0"/>
    <w:rsid w:val="39CDE52D"/>
    <w:rsid w:val="39CFF52E"/>
    <w:rsid w:val="39F56491"/>
    <w:rsid w:val="39F9BA1A"/>
    <w:rsid w:val="3A0CE08E"/>
    <w:rsid w:val="3A1B64C5"/>
    <w:rsid w:val="3A20FD9D"/>
    <w:rsid w:val="3A4ED2A4"/>
    <w:rsid w:val="3A526AA3"/>
    <w:rsid w:val="3A5AC30B"/>
    <w:rsid w:val="3A76721B"/>
    <w:rsid w:val="3A799984"/>
    <w:rsid w:val="3A7F5B5C"/>
    <w:rsid w:val="3A869CF3"/>
    <w:rsid w:val="3A8D7792"/>
    <w:rsid w:val="3AFA1EFD"/>
    <w:rsid w:val="3AFC100C"/>
    <w:rsid w:val="3B0595CB"/>
    <w:rsid w:val="3B0A8EF4"/>
    <w:rsid w:val="3B1C9305"/>
    <w:rsid w:val="3B2935D8"/>
    <w:rsid w:val="3B328859"/>
    <w:rsid w:val="3B35EF18"/>
    <w:rsid w:val="3B36A2A3"/>
    <w:rsid w:val="3B4E85FE"/>
    <w:rsid w:val="3B63427F"/>
    <w:rsid w:val="3B7465DC"/>
    <w:rsid w:val="3B972BB0"/>
    <w:rsid w:val="3B9F63F2"/>
    <w:rsid w:val="3BDC6C0C"/>
    <w:rsid w:val="3BE3953B"/>
    <w:rsid w:val="3BE6DC4F"/>
    <w:rsid w:val="3BEB1DD7"/>
    <w:rsid w:val="3BEEA5E6"/>
    <w:rsid w:val="3C1CD661"/>
    <w:rsid w:val="3C20F5A5"/>
    <w:rsid w:val="3C37DC5C"/>
    <w:rsid w:val="3C386197"/>
    <w:rsid w:val="3C5806E6"/>
    <w:rsid w:val="3C71FEE3"/>
    <w:rsid w:val="3C9E9D4B"/>
    <w:rsid w:val="3CCB26B1"/>
    <w:rsid w:val="3CD517AC"/>
    <w:rsid w:val="3CE36055"/>
    <w:rsid w:val="3CECF95B"/>
    <w:rsid w:val="3D0CABEE"/>
    <w:rsid w:val="3D16A909"/>
    <w:rsid w:val="3D30E209"/>
    <w:rsid w:val="3D530587"/>
    <w:rsid w:val="3D783C6D"/>
    <w:rsid w:val="3D8F81A5"/>
    <w:rsid w:val="3DB8D36C"/>
    <w:rsid w:val="3DB942A0"/>
    <w:rsid w:val="3E0B4EDF"/>
    <w:rsid w:val="3E0E0308"/>
    <w:rsid w:val="3E12216C"/>
    <w:rsid w:val="3E1C9969"/>
    <w:rsid w:val="3E36BD99"/>
    <w:rsid w:val="3E3C4C39"/>
    <w:rsid w:val="3E61F3F0"/>
    <w:rsid w:val="3E64FE78"/>
    <w:rsid w:val="3E898C46"/>
    <w:rsid w:val="3EAEBA70"/>
    <w:rsid w:val="3EDDCF77"/>
    <w:rsid w:val="3EE77F43"/>
    <w:rsid w:val="3EEED5E8"/>
    <w:rsid w:val="3EFCB183"/>
    <w:rsid w:val="3F0354C3"/>
    <w:rsid w:val="3F03996C"/>
    <w:rsid w:val="3F33E9ED"/>
    <w:rsid w:val="3F398550"/>
    <w:rsid w:val="3F49F590"/>
    <w:rsid w:val="3F711450"/>
    <w:rsid w:val="3F721D6D"/>
    <w:rsid w:val="3F7817B8"/>
    <w:rsid w:val="3F7D4D4F"/>
    <w:rsid w:val="3FB707B7"/>
    <w:rsid w:val="3FCD9020"/>
    <w:rsid w:val="3FE5CEBC"/>
    <w:rsid w:val="40011E7F"/>
    <w:rsid w:val="401149AB"/>
    <w:rsid w:val="401CAC31"/>
    <w:rsid w:val="4026271E"/>
    <w:rsid w:val="4033E749"/>
    <w:rsid w:val="4036B3A2"/>
    <w:rsid w:val="4048BA81"/>
    <w:rsid w:val="408AA649"/>
    <w:rsid w:val="40922B50"/>
    <w:rsid w:val="40A9C1CE"/>
    <w:rsid w:val="40CE3CD7"/>
    <w:rsid w:val="40D10359"/>
    <w:rsid w:val="40E5EA7A"/>
    <w:rsid w:val="40F86D09"/>
    <w:rsid w:val="410D3061"/>
    <w:rsid w:val="411BE157"/>
    <w:rsid w:val="412DF3F0"/>
    <w:rsid w:val="41534B4A"/>
    <w:rsid w:val="4169CB04"/>
    <w:rsid w:val="417BD76B"/>
    <w:rsid w:val="4182F361"/>
    <w:rsid w:val="4202D20C"/>
    <w:rsid w:val="420E0C6C"/>
    <w:rsid w:val="4215751D"/>
    <w:rsid w:val="422DCBD6"/>
    <w:rsid w:val="4232E2C5"/>
    <w:rsid w:val="4242A45B"/>
    <w:rsid w:val="427A67C4"/>
    <w:rsid w:val="427EC8B2"/>
    <w:rsid w:val="429824AF"/>
    <w:rsid w:val="42A267A7"/>
    <w:rsid w:val="42BCEDCC"/>
    <w:rsid w:val="42BF7952"/>
    <w:rsid w:val="42C82D3F"/>
    <w:rsid w:val="432F61E2"/>
    <w:rsid w:val="4333F3C1"/>
    <w:rsid w:val="434556A5"/>
    <w:rsid w:val="435E78E8"/>
    <w:rsid w:val="43654FC4"/>
    <w:rsid w:val="438470CE"/>
    <w:rsid w:val="43A40363"/>
    <w:rsid w:val="43BBEF50"/>
    <w:rsid w:val="43DF40CF"/>
    <w:rsid w:val="43E46A42"/>
    <w:rsid w:val="43E69F73"/>
    <w:rsid w:val="440126CF"/>
    <w:rsid w:val="441FA6C3"/>
    <w:rsid w:val="44207BCA"/>
    <w:rsid w:val="442C44F3"/>
    <w:rsid w:val="44350B1A"/>
    <w:rsid w:val="444B2626"/>
    <w:rsid w:val="446C6F7F"/>
    <w:rsid w:val="4475806A"/>
    <w:rsid w:val="4477D4F6"/>
    <w:rsid w:val="4486212F"/>
    <w:rsid w:val="448FF573"/>
    <w:rsid w:val="449DABEA"/>
    <w:rsid w:val="44A10143"/>
    <w:rsid w:val="44BA9423"/>
    <w:rsid w:val="44D4CF7A"/>
    <w:rsid w:val="44F022AA"/>
    <w:rsid w:val="4513445A"/>
    <w:rsid w:val="452E5253"/>
    <w:rsid w:val="45503172"/>
    <w:rsid w:val="45600CF6"/>
    <w:rsid w:val="4568A981"/>
    <w:rsid w:val="456EEA1B"/>
    <w:rsid w:val="458A69DB"/>
    <w:rsid w:val="45C7C692"/>
    <w:rsid w:val="46009EAC"/>
    <w:rsid w:val="463B58C5"/>
    <w:rsid w:val="463DFE4A"/>
    <w:rsid w:val="4645183E"/>
    <w:rsid w:val="4646456C"/>
    <w:rsid w:val="464C5F8A"/>
    <w:rsid w:val="465171BD"/>
    <w:rsid w:val="465C34BD"/>
    <w:rsid w:val="465F5475"/>
    <w:rsid w:val="46BB9ADE"/>
    <w:rsid w:val="46D23B39"/>
    <w:rsid w:val="471843A6"/>
    <w:rsid w:val="471B6E41"/>
    <w:rsid w:val="47201DB6"/>
    <w:rsid w:val="4721EAC2"/>
    <w:rsid w:val="4731C13D"/>
    <w:rsid w:val="4747B3CB"/>
    <w:rsid w:val="47C7C042"/>
    <w:rsid w:val="47D7B311"/>
    <w:rsid w:val="47E3F327"/>
    <w:rsid w:val="47F28667"/>
    <w:rsid w:val="47F723F7"/>
    <w:rsid w:val="4808AA2A"/>
    <w:rsid w:val="483D356D"/>
    <w:rsid w:val="484C908C"/>
    <w:rsid w:val="485437E4"/>
    <w:rsid w:val="489C50D5"/>
    <w:rsid w:val="48B41407"/>
    <w:rsid w:val="48BFFFAF"/>
    <w:rsid w:val="48C913FF"/>
    <w:rsid w:val="48CF2571"/>
    <w:rsid w:val="48D4BAD0"/>
    <w:rsid w:val="48D8C011"/>
    <w:rsid w:val="48FC7B09"/>
    <w:rsid w:val="48FE02DE"/>
    <w:rsid w:val="4916847D"/>
    <w:rsid w:val="4921975F"/>
    <w:rsid w:val="4932D01E"/>
    <w:rsid w:val="4950B34A"/>
    <w:rsid w:val="4957696A"/>
    <w:rsid w:val="497235D2"/>
    <w:rsid w:val="4973836A"/>
    <w:rsid w:val="497EFEE0"/>
    <w:rsid w:val="497FC388"/>
    <w:rsid w:val="4984B5C4"/>
    <w:rsid w:val="4986E950"/>
    <w:rsid w:val="499A8A25"/>
    <w:rsid w:val="49EC8F81"/>
    <w:rsid w:val="49FD52A0"/>
    <w:rsid w:val="4A031614"/>
    <w:rsid w:val="4A0C2D5E"/>
    <w:rsid w:val="4A1237F4"/>
    <w:rsid w:val="4A41C479"/>
    <w:rsid w:val="4A4411D3"/>
    <w:rsid w:val="4A471F76"/>
    <w:rsid w:val="4A51ABF0"/>
    <w:rsid w:val="4A7D6FFD"/>
    <w:rsid w:val="4AB0ECE1"/>
    <w:rsid w:val="4AB8307E"/>
    <w:rsid w:val="4AC592E9"/>
    <w:rsid w:val="4B075DC8"/>
    <w:rsid w:val="4B0D7A4E"/>
    <w:rsid w:val="4B0F4FAE"/>
    <w:rsid w:val="4B0F53CB"/>
    <w:rsid w:val="4B2104C3"/>
    <w:rsid w:val="4B353BA5"/>
    <w:rsid w:val="4B41D4E6"/>
    <w:rsid w:val="4B488C69"/>
    <w:rsid w:val="4B6FFAEA"/>
    <w:rsid w:val="4B8BF776"/>
    <w:rsid w:val="4BB28C2C"/>
    <w:rsid w:val="4BB705A7"/>
    <w:rsid w:val="4BBCAB96"/>
    <w:rsid w:val="4BBF83C0"/>
    <w:rsid w:val="4BCC5967"/>
    <w:rsid w:val="4BD9F210"/>
    <w:rsid w:val="4BDD0334"/>
    <w:rsid w:val="4BE16222"/>
    <w:rsid w:val="4C02CAA3"/>
    <w:rsid w:val="4C428BA5"/>
    <w:rsid w:val="4C47899D"/>
    <w:rsid w:val="4C4F85E1"/>
    <w:rsid w:val="4C6C3249"/>
    <w:rsid w:val="4C6FE030"/>
    <w:rsid w:val="4C853C6D"/>
    <w:rsid w:val="4C9C04F7"/>
    <w:rsid w:val="4C9D7745"/>
    <w:rsid w:val="4CA7D95A"/>
    <w:rsid w:val="4CB7644A"/>
    <w:rsid w:val="4CC1E08B"/>
    <w:rsid w:val="4CC60EDD"/>
    <w:rsid w:val="4D088381"/>
    <w:rsid w:val="4D151D12"/>
    <w:rsid w:val="4D2461C9"/>
    <w:rsid w:val="4D32E80A"/>
    <w:rsid w:val="4D46951D"/>
    <w:rsid w:val="4D66B669"/>
    <w:rsid w:val="4DA102C1"/>
    <w:rsid w:val="4DB620DB"/>
    <w:rsid w:val="4DBA1753"/>
    <w:rsid w:val="4DBC8CC2"/>
    <w:rsid w:val="4DCECBDB"/>
    <w:rsid w:val="4DD68E80"/>
    <w:rsid w:val="4DEB5642"/>
    <w:rsid w:val="4E3487EF"/>
    <w:rsid w:val="4E5A5A73"/>
    <w:rsid w:val="4E707F63"/>
    <w:rsid w:val="4EA3F89A"/>
    <w:rsid w:val="4EBB2103"/>
    <w:rsid w:val="4EE27EFD"/>
    <w:rsid w:val="4EED0F86"/>
    <w:rsid w:val="4EF0C080"/>
    <w:rsid w:val="4EF6659E"/>
    <w:rsid w:val="4EF8216D"/>
    <w:rsid w:val="4F2091B5"/>
    <w:rsid w:val="4F2DE9DB"/>
    <w:rsid w:val="4F360204"/>
    <w:rsid w:val="4F428117"/>
    <w:rsid w:val="4F471D4A"/>
    <w:rsid w:val="4F4F31CE"/>
    <w:rsid w:val="4F7F5828"/>
    <w:rsid w:val="4FC7B0F5"/>
    <w:rsid w:val="4FE5C498"/>
    <w:rsid w:val="4FFBF5E1"/>
    <w:rsid w:val="50087D0E"/>
    <w:rsid w:val="50381DB6"/>
    <w:rsid w:val="503F19B5"/>
    <w:rsid w:val="5046E70F"/>
    <w:rsid w:val="505A7D91"/>
    <w:rsid w:val="5081B2C4"/>
    <w:rsid w:val="50A35A1A"/>
    <w:rsid w:val="50AF2789"/>
    <w:rsid w:val="50CD59FA"/>
    <w:rsid w:val="50EDC3FB"/>
    <w:rsid w:val="50F4DE52"/>
    <w:rsid w:val="51260FAD"/>
    <w:rsid w:val="51277202"/>
    <w:rsid w:val="513E0F5B"/>
    <w:rsid w:val="51496E6E"/>
    <w:rsid w:val="515B61FE"/>
    <w:rsid w:val="51662CA3"/>
    <w:rsid w:val="516F20E0"/>
    <w:rsid w:val="51871B98"/>
    <w:rsid w:val="518A363D"/>
    <w:rsid w:val="518E0C2C"/>
    <w:rsid w:val="51AED288"/>
    <w:rsid w:val="51AF823E"/>
    <w:rsid w:val="51B92468"/>
    <w:rsid w:val="51BAB08A"/>
    <w:rsid w:val="51BD7370"/>
    <w:rsid w:val="51E1F1CD"/>
    <w:rsid w:val="51E52EE5"/>
    <w:rsid w:val="51FFB948"/>
    <w:rsid w:val="5220E35C"/>
    <w:rsid w:val="52305ADD"/>
    <w:rsid w:val="523444C6"/>
    <w:rsid w:val="523B9AEB"/>
    <w:rsid w:val="524BAC4F"/>
    <w:rsid w:val="5267D289"/>
    <w:rsid w:val="5298E288"/>
    <w:rsid w:val="529AE879"/>
    <w:rsid w:val="52ABA414"/>
    <w:rsid w:val="52AC5296"/>
    <w:rsid w:val="52D9C12A"/>
    <w:rsid w:val="52EE719F"/>
    <w:rsid w:val="52F5C014"/>
    <w:rsid w:val="537280FF"/>
    <w:rsid w:val="53788094"/>
    <w:rsid w:val="539BB330"/>
    <w:rsid w:val="53C9D48D"/>
    <w:rsid w:val="53DB4126"/>
    <w:rsid w:val="53EBAF16"/>
    <w:rsid w:val="53F965F8"/>
    <w:rsid w:val="53FEA0BE"/>
    <w:rsid w:val="54041C8C"/>
    <w:rsid w:val="540D39A9"/>
    <w:rsid w:val="544EEA37"/>
    <w:rsid w:val="546321B8"/>
    <w:rsid w:val="5481D61B"/>
    <w:rsid w:val="54825519"/>
    <w:rsid w:val="549266ED"/>
    <w:rsid w:val="549BEC33"/>
    <w:rsid w:val="54A716DC"/>
    <w:rsid w:val="54A7DED1"/>
    <w:rsid w:val="54E09FC0"/>
    <w:rsid w:val="54E73FC4"/>
    <w:rsid w:val="54F2514C"/>
    <w:rsid w:val="54F36B63"/>
    <w:rsid w:val="54F77BEF"/>
    <w:rsid w:val="552DB5F2"/>
    <w:rsid w:val="552DF937"/>
    <w:rsid w:val="552F73AE"/>
    <w:rsid w:val="553B118F"/>
    <w:rsid w:val="553F34E0"/>
    <w:rsid w:val="55406221"/>
    <w:rsid w:val="557B4848"/>
    <w:rsid w:val="5595AE25"/>
    <w:rsid w:val="559C9A80"/>
    <w:rsid w:val="55E5E93B"/>
    <w:rsid w:val="55FAE325"/>
    <w:rsid w:val="5618E1A6"/>
    <w:rsid w:val="562CBAD9"/>
    <w:rsid w:val="56314FB6"/>
    <w:rsid w:val="563C43A7"/>
    <w:rsid w:val="56465AFB"/>
    <w:rsid w:val="5655F463"/>
    <w:rsid w:val="565C0F9A"/>
    <w:rsid w:val="56656C58"/>
    <w:rsid w:val="5670E464"/>
    <w:rsid w:val="5682BE7D"/>
    <w:rsid w:val="5685817D"/>
    <w:rsid w:val="568E3412"/>
    <w:rsid w:val="56B6F687"/>
    <w:rsid w:val="56BB545B"/>
    <w:rsid w:val="56C96F78"/>
    <w:rsid w:val="56DBAC65"/>
    <w:rsid w:val="571476AF"/>
    <w:rsid w:val="57153F13"/>
    <w:rsid w:val="571586A7"/>
    <w:rsid w:val="5717F91D"/>
    <w:rsid w:val="5728A8A9"/>
    <w:rsid w:val="573E2F06"/>
    <w:rsid w:val="5751C470"/>
    <w:rsid w:val="576A13AA"/>
    <w:rsid w:val="578C2356"/>
    <w:rsid w:val="57B99A7D"/>
    <w:rsid w:val="57BC8F27"/>
    <w:rsid w:val="57D2C2DA"/>
    <w:rsid w:val="57DEB79E"/>
    <w:rsid w:val="5804EBAF"/>
    <w:rsid w:val="58389252"/>
    <w:rsid w:val="583C8B4D"/>
    <w:rsid w:val="58458D3A"/>
    <w:rsid w:val="5871FC47"/>
    <w:rsid w:val="587D2969"/>
    <w:rsid w:val="5885FB7B"/>
    <w:rsid w:val="589D45B0"/>
    <w:rsid w:val="58BEB63C"/>
    <w:rsid w:val="58C3389D"/>
    <w:rsid w:val="58CFD60E"/>
    <w:rsid w:val="58D08349"/>
    <w:rsid w:val="58E2F345"/>
    <w:rsid w:val="58F40D3D"/>
    <w:rsid w:val="58F99496"/>
    <w:rsid w:val="593C9DDF"/>
    <w:rsid w:val="5944E106"/>
    <w:rsid w:val="5946A525"/>
    <w:rsid w:val="59479DBA"/>
    <w:rsid w:val="5948299F"/>
    <w:rsid w:val="59737012"/>
    <w:rsid w:val="59927FC1"/>
    <w:rsid w:val="5993B05C"/>
    <w:rsid w:val="59941D79"/>
    <w:rsid w:val="59C5D79F"/>
    <w:rsid w:val="59C98490"/>
    <w:rsid w:val="59DFC67F"/>
    <w:rsid w:val="59E249DA"/>
    <w:rsid w:val="59EC17C9"/>
    <w:rsid w:val="5A14990D"/>
    <w:rsid w:val="5A41404B"/>
    <w:rsid w:val="5A4D2661"/>
    <w:rsid w:val="5A5514EF"/>
    <w:rsid w:val="5A7BE9BE"/>
    <w:rsid w:val="5A7DDA2F"/>
    <w:rsid w:val="5A84FAF9"/>
    <w:rsid w:val="5A90D00D"/>
    <w:rsid w:val="5AA03201"/>
    <w:rsid w:val="5AE05B27"/>
    <w:rsid w:val="5AE36E1B"/>
    <w:rsid w:val="5AF9ACAD"/>
    <w:rsid w:val="5B01FAE6"/>
    <w:rsid w:val="5B0F1448"/>
    <w:rsid w:val="5B3057AE"/>
    <w:rsid w:val="5B4A630D"/>
    <w:rsid w:val="5B4B046D"/>
    <w:rsid w:val="5B54712A"/>
    <w:rsid w:val="5B7CA57A"/>
    <w:rsid w:val="5B9F8146"/>
    <w:rsid w:val="5BA1A7F3"/>
    <w:rsid w:val="5BAD673C"/>
    <w:rsid w:val="5BBDA4A5"/>
    <w:rsid w:val="5BCC19A5"/>
    <w:rsid w:val="5BD6C33F"/>
    <w:rsid w:val="5BDDF68C"/>
    <w:rsid w:val="5C1A9407"/>
    <w:rsid w:val="5C2FA2D0"/>
    <w:rsid w:val="5C402975"/>
    <w:rsid w:val="5C6A24A9"/>
    <w:rsid w:val="5C7C2B88"/>
    <w:rsid w:val="5C7C3615"/>
    <w:rsid w:val="5C91E545"/>
    <w:rsid w:val="5CB650B4"/>
    <w:rsid w:val="5CBBBE68"/>
    <w:rsid w:val="5CBC2844"/>
    <w:rsid w:val="5CC79555"/>
    <w:rsid w:val="5CDE6DB8"/>
    <w:rsid w:val="5CFD81BC"/>
    <w:rsid w:val="5D243995"/>
    <w:rsid w:val="5D3BC3D7"/>
    <w:rsid w:val="5D6BB638"/>
    <w:rsid w:val="5D7EC858"/>
    <w:rsid w:val="5D7FEDB9"/>
    <w:rsid w:val="5D93730F"/>
    <w:rsid w:val="5D969E40"/>
    <w:rsid w:val="5DA51822"/>
    <w:rsid w:val="5DB5460B"/>
    <w:rsid w:val="5E00D4CF"/>
    <w:rsid w:val="5E08621C"/>
    <w:rsid w:val="5E1AF694"/>
    <w:rsid w:val="5E1D4FC5"/>
    <w:rsid w:val="5E247272"/>
    <w:rsid w:val="5E3FBAC3"/>
    <w:rsid w:val="5E58434A"/>
    <w:rsid w:val="5E74A805"/>
    <w:rsid w:val="5E90F422"/>
    <w:rsid w:val="5E92DE94"/>
    <w:rsid w:val="5E98C775"/>
    <w:rsid w:val="5EA13AB0"/>
    <w:rsid w:val="5EAB61A4"/>
    <w:rsid w:val="5EC32649"/>
    <w:rsid w:val="5ECB09D1"/>
    <w:rsid w:val="5EEF4F85"/>
    <w:rsid w:val="5EF9D547"/>
    <w:rsid w:val="5F394B16"/>
    <w:rsid w:val="5F48E547"/>
    <w:rsid w:val="5F54114D"/>
    <w:rsid w:val="5F6E42F2"/>
    <w:rsid w:val="5F922128"/>
    <w:rsid w:val="5F9475A8"/>
    <w:rsid w:val="5F95CE66"/>
    <w:rsid w:val="5FFA5AB5"/>
    <w:rsid w:val="604F0803"/>
    <w:rsid w:val="6059AFE7"/>
    <w:rsid w:val="606F44B3"/>
    <w:rsid w:val="608DA5FF"/>
    <w:rsid w:val="60965622"/>
    <w:rsid w:val="609F8AC8"/>
    <w:rsid w:val="60A8FE70"/>
    <w:rsid w:val="60B9BA2F"/>
    <w:rsid w:val="60DF5D0B"/>
    <w:rsid w:val="60E197AC"/>
    <w:rsid w:val="61164E7B"/>
    <w:rsid w:val="612B10FE"/>
    <w:rsid w:val="612E05ED"/>
    <w:rsid w:val="613A16ED"/>
    <w:rsid w:val="616406F5"/>
    <w:rsid w:val="6165599A"/>
    <w:rsid w:val="61792F28"/>
    <w:rsid w:val="61825C48"/>
    <w:rsid w:val="61863BB1"/>
    <w:rsid w:val="619A809D"/>
    <w:rsid w:val="61AED3C0"/>
    <w:rsid w:val="61B97477"/>
    <w:rsid w:val="61C41CFC"/>
    <w:rsid w:val="61D9B4EB"/>
    <w:rsid w:val="6210066E"/>
    <w:rsid w:val="6210D315"/>
    <w:rsid w:val="62259E8D"/>
    <w:rsid w:val="622B3617"/>
    <w:rsid w:val="622ECE91"/>
    <w:rsid w:val="62487D4B"/>
    <w:rsid w:val="62571A4E"/>
    <w:rsid w:val="62582BAC"/>
    <w:rsid w:val="625C87FB"/>
    <w:rsid w:val="62B944D8"/>
    <w:rsid w:val="62C44E08"/>
    <w:rsid w:val="62C68194"/>
    <w:rsid w:val="62CF5095"/>
    <w:rsid w:val="62EE8000"/>
    <w:rsid w:val="62F0DCC1"/>
    <w:rsid w:val="62F8B8E2"/>
    <w:rsid w:val="6307744E"/>
    <w:rsid w:val="63397D77"/>
    <w:rsid w:val="63481928"/>
    <w:rsid w:val="635AE1E7"/>
    <w:rsid w:val="6379D1B2"/>
    <w:rsid w:val="6399DE51"/>
    <w:rsid w:val="63B1D5FA"/>
    <w:rsid w:val="63B9F26C"/>
    <w:rsid w:val="63C66171"/>
    <w:rsid w:val="63DE3FB8"/>
    <w:rsid w:val="640D12F1"/>
    <w:rsid w:val="643ED3CF"/>
    <w:rsid w:val="645D514A"/>
    <w:rsid w:val="646F9E27"/>
    <w:rsid w:val="647F5086"/>
    <w:rsid w:val="64BA92ED"/>
    <w:rsid w:val="64BE0E69"/>
    <w:rsid w:val="64CE1860"/>
    <w:rsid w:val="64D1874C"/>
    <w:rsid w:val="64DCCB64"/>
    <w:rsid w:val="65069F71"/>
    <w:rsid w:val="651915D1"/>
    <w:rsid w:val="652F4B7A"/>
    <w:rsid w:val="653AD73A"/>
    <w:rsid w:val="6565686A"/>
    <w:rsid w:val="657CE5AF"/>
    <w:rsid w:val="657D8E11"/>
    <w:rsid w:val="65AE3A1C"/>
    <w:rsid w:val="65BC8FA2"/>
    <w:rsid w:val="65C0D1C1"/>
    <w:rsid w:val="65DB0A05"/>
    <w:rsid w:val="65DB715A"/>
    <w:rsid w:val="65DC0445"/>
    <w:rsid w:val="65EAA08E"/>
    <w:rsid w:val="65F6D0B0"/>
    <w:rsid w:val="6606B516"/>
    <w:rsid w:val="660ED490"/>
    <w:rsid w:val="660F03D3"/>
    <w:rsid w:val="6627F9A5"/>
    <w:rsid w:val="6632FDFA"/>
    <w:rsid w:val="66376625"/>
    <w:rsid w:val="663CBDC6"/>
    <w:rsid w:val="665B82A6"/>
    <w:rsid w:val="66710D08"/>
    <w:rsid w:val="667AA609"/>
    <w:rsid w:val="667E7587"/>
    <w:rsid w:val="66983543"/>
    <w:rsid w:val="66A3FC38"/>
    <w:rsid w:val="66A45AA7"/>
    <w:rsid w:val="66B77F09"/>
    <w:rsid w:val="66BD8039"/>
    <w:rsid w:val="66CBA878"/>
    <w:rsid w:val="66E5EC18"/>
    <w:rsid w:val="66F3D2D3"/>
    <w:rsid w:val="66FC88A0"/>
    <w:rsid w:val="67239D90"/>
    <w:rsid w:val="67368229"/>
    <w:rsid w:val="6743D90A"/>
    <w:rsid w:val="675452D0"/>
    <w:rsid w:val="67653434"/>
    <w:rsid w:val="6773020B"/>
    <w:rsid w:val="67744406"/>
    <w:rsid w:val="6792A111"/>
    <w:rsid w:val="67A8B2CC"/>
    <w:rsid w:val="67DCC544"/>
    <w:rsid w:val="67F54F07"/>
    <w:rsid w:val="68054A3C"/>
    <w:rsid w:val="68260025"/>
    <w:rsid w:val="682EED66"/>
    <w:rsid w:val="685731F6"/>
    <w:rsid w:val="687389D3"/>
    <w:rsid w:val="68AA3247"/>
    <w:rsid w:val="68BC1F3F"/>
    <w:rsid w:val="68DA7DD0"/>
    <w:rsid w:val="68E93397"/>
    <w:rsid w:val="68F5E1DF"/>
    <w:rsid w:val="692B22A7"/>
    <w:rsid w:val="6936448F"/>
    <w:rsid w:val="69394DD8"/>
    <w:rsid w:val="6941B826"/>
    <w:rsid w:val="694DC82C"/>
    <w:rsid w:val="695AAF2F"/>
    <w:rsid w:val="69682B60"/>
    <w:rsid w:val="6984ABC5"/>
    <w:rsid w:val="698C29CA"/>
    <w:rsid w:val="6990E1C1"/>
    <w:rsid w:val="6997142A"/>
    <w:rsid w:val="69A00821"/>
    <w:rsid w:val="69B664EA"/>
    <w:rsid w:val="69C298BD"/>
    <w:rsid w:val="69CD2AA0"/>
    <w:rsid w:val="69CFD605"/>
    <w:rsid w:val="69D3DF2F"/>
    <w:rsid w:val="6A0ACF04"/>
    <w:rsid w:val="6A1C03C3"/>
    <w:rsid w:val="6A2370E7"/>
    <w:rsid w:val="6A2C63D2"/>
    <w:rsid w:val="6A4FF507"/>
    <w:rsid w:val="6A802584"/>
    <w:rsid w:val="6A83AC99"/>
    <w:rsid w:val="6A846EBC"/>
    <w:rsid w:val="6AB12C6A"/>
    <w:rsid w:val="6AD6A8D1"/>
    <w:rsid w:val="6ADA87A5"/>
    <w:rsid w:val="6AF61E8C"/>
    <w:rsid w:val="6B19536A"/>
    <w:rsid w:val="6B250C49"/>
    <w:rsid w:val="6B69B829"/>
    <w:rsid w:val="6B70197E"/>
    <w:rsid w:val="6B726089"/>
    <w:rsid w:val="6B75B3E8"/>
    <w:rsid w:val="6BA33603"/>
    <w:rsid w:val="6BA9BBCB"/>
    <w:rsid w:val="6BB5E6B1"/>
    <w:rsid w:val="6BDA7029"/>
    <w:rsid w:val="6BE3A50B"/>
    <w:rsid w:val="6BE5C60B"/>
    <w:rsid w:val="6C09F34C"/>
    <w:rsid w:val="6C0D75BC"/>
    <w:rsid w:val="6C27C3F3"/>
    <w:rsid w:val="6C318961"/>
    <w:rsid w:val="6C386C47"/>
    <w:rsid w:val="6C40EF1B"/>
    <w:rsid w:val="6C4314CF"/>
    <w:rsid w:val="6C43DB29"/>
    <w:rsid w:val="6C5018E5"/>
    <w:rsid w:val="6C577BD3"/>
    <w:rsid w:val="6C5EC749"/>
    <w:rsid w:val="6C6B304E"/>
    <w:rsid w:val="6C6F0D9C"/>
    <w:rsid w:val="6C8835F9"/>
    <w:rsid w:val="6CC0C8A2"/>
    <w:rsid w:val="6CD9B4D8"/>
    <w:rsid w:val="6CED1FD6"/>
    <w:rsid w:val="6CF150E5"/>
    <w:rsid w:val="6D139C2B"/>
    <w:rsid w:val="6D247AC4"/>
    <w:rsid w:val="6D30E7D5"/>
    <w:rsid w:val="6D6B7C85"/>
    <w:rsid w:val="6D7F85CC"/>
    <w:rsid w:val="6D8AB004"/>
    <w:rsid w:val="6DD38C41"/>
    <w:rsid w:val="6DD9F775"/>
    <w:rsid w:val="6DDE280F"/>
    <w:rsid w:val="6DE684D4"/>
    <w:rsid w:val="6DFF05F1"/>
    <w:rsid w:val="6E203937"/>
    <w:rsid w:val="6E4E9615"/>
    <w:rsid w:val="6E59744B"/>
    <w:rsid w:val="6E5D7BC5"/>
    <w:rsid w:val="6E5DC89E"/>
    <w:rsid w:val="6E95E13A"/>
    <w:rsid w:val="6EAF69C1"/>
    <w:rsid w:val="6EBA49DA"/>
    <w:rsid w:val="6EC6798A"/>
    <w:rsid w:val="6EF841A6"/>
    <w:rsid w:val="6F38B85A"/>
    <w:rsid w:val="6F3EB782"/>
    <w:rsid w:val="6F772E0C"/>
    <w:rsid w:val="6F7F9FEF"/>
    <w:rsid w:val="6F875500"/>
    <w:rsid w:val="6FA32F7F"/>
    <w:rsid w:val="6FBB1FE6"/>
    <w:rsid w:val="6FC6BF90"/>
    <w:rsid w:val="6FE0542B"/>
    <w:rsid w:val="6FE1EBF4"/>
    <w:rsid w:val="6FE4735B"/>
    <w:rsid w:val="6FFD4594"/>
    <w:rsid w:val="6FFE46EC"/>
    <w:rsid w:val="7003D211"/>
    <w:rsid w:val="701B1BEA"/>
    <w:rsid w:val="702C2BD6"/>
    <w:rsid w:val="702E0EE4"/>
    <w:rsid w:val="705A9988"/>
    <w:rsid w:val="7060A77D"/>
    <w:rsid w:val="70654995"/>
    <w:rsid w:val="707ADBF0"/>
    <w:rsid w:val="70839DC5"/>
    <w:rsid w:val="708DCCF6"/>
    <w:rsid w:val="70966DB2"/>
    <w:rsid w:val="70CE583B"/>
    <w:rsid w:val="711732FE"/>
    <w:rsid w:val="71196110"/>
    <w:rsid w:val="712E50CC"/>
    <w:rsid w:val="71446AD9"/>
    <w:rsid w:val="7148B381"/>
    <w:rsid w:val="7162FDE5"/>
    <w:rsid w:val="7187ED2F"/>
    <w:rsid w:val="718E9F3E"/>
    <w:rsid w:val="719F5F45"/>
    <w:rsid w:val="71A7573E"/>
    <w:rsid w:val="71B8C52E"/>
    <w:rsid w:val="71F3DEEF"/>
    <w:rsid w:val="72195A42"/>
    <w:rsid w:val="721F1336"/>
    <w:rsid w:val="72484F68"/>
    <w:rsid w:val="725C965C"/>
    <w:rsid w:val="7273B707"/>
    <w:rsid w:val="7277CA92"/>
    <w:rsid w:val="727D7238"/>
    <w:rsid w:val="72878F7E"/>
    <w:rsid w:val="728B8004"/>
    <w:rsid w:val="72B19932"/>
    <w:rsid w:val="72C343C5"/>
    <w:rsid w:val="72D2F018"/>
    <w:rsid w:val="72DCA55E"/>
    <w:rsid w:val="72EE0C1E"/>
    <w:rsid w:val="730492ED"/>
    <w:rsid w:val="7317F4ED"/>
    <w:rsid w:val="734745A4"/>
    <w:rsid w:val="73575BF0"/>
    <w:rsid w:val="7361010B"/>
    <w:rsid w:val="736E28C3"/>
    <w:rsid w:val="73714469"/>
    <w:rsid w:val="7373575F"/>
    <w:rsid w:val="737AF5D7"/>
    <w:rsid w:val="7382DAE4"/>
    <w:rsid w:val="7384B5E2"/>
    <w:rsid w:val="738BD809"/>
    <w:rsid w:val="73A29B66"/>
    <w:rsid w:val="73AD4470"/>
    <w:rsid w:val="73BC0AAD"/>
    <w:rsid w:val="73D65012"/>
    <w:rsid w:val="73DDC8EB"/>
    <w:rsid w:val="73E28717"/>
    <w:rsid w:val="741228A5"/>
    <w:rsid w:val="7413D43F"/>
    <w:rsid w:val="742DFFF7"/>
    <w:rsid w:val="743CB31D"/>
    <w:rsid w:val="74443AD5"/>
    <w:rsid w:val="745D6315"/>
    <w:rsid w:val="7483B86F"/>
    <w:rsid w:val="748FC8FF"/>
    <w:rsid w:val="749347DE"/>
    <w:rsid w:val="74982C23"/>
    <w:rsid w:val="74B3AE70"/>
    <w:rsid w:val="74B9D7F4"/>
    <w:rsid w:val="74C7311B"/>
    <w:rsid w:val="74D10BE0"/>
    <w:rsid w:val="74D25908"/>
    <w:rsid w:val="74F20EFA"/>
    <w:rsid w:val="7510AF1F"/>
    <w:rsid w:val="751B535E"/>
    <w:rsid w:val="75263D27"/>
    <w:rsid w:val="757B0EC1"/>
    <w:rsid w:val="75A48A53"/>
    <w:rsid w:val="75A9CC91"/>
    <w:rsid w:val="75ACCC60"/>
    <w:rsid w:val="75BEEAF1"/>
    <w:rsid w:val="75EAAC82"/>
    <w:rsid w:val="75F945DB"/>
    <w:rsid w:val="760E6A5C"/>
    <w:rsid w:val="760F0581"/>
    <w:rsid w:val="763BECB5"/>
    <w:rsid w:val="763F2CBC"/>
    <w:rsid w:val="767352A3"/>
    <w:rsid w:val="76735BC0"/>
    <w:rsid w:val="76737449"/>
    <w:rsid w:val="7684BB23"/>
    <w:rsid w:val="76874477"/>
    <w:rsid w:val="76AE590D"/>
    <w:rsid w:val="76C350AC"/>
    <w:rsid w:val="76E0617D"/>
    <w:rsid w:val="76F86D78"/>
    <w:rsid w:val="770537D7"/>
    <w:rsid w:val="7738D07B"/>
    <w:rsid w:val="77556F82"/>
    <w:rsid w:val="77598F22"/>
    <w:rsid w:val="7760FE76"/>
    <w:rsid w:val="77622FA1"/>
    <w:rsid w:val="77632452"/>
    <w:rsid w:val="7766FD54"/>
    <w:rsid w:val="77671EB3"/>
    <w:rsid w:val="778BF61E"/>
    <w:rsid w:val="7792C627"/>
    <w:rsid w:val="7794E730"/>
    <w:rsid w:val="77ABA47F"/>
    <w:rsid w:val="77DD5AFD"/>
    <w:rsid w:val="78349E5C"/>
    <w:rsid w:val="785776CD"/>
    <w:rsid w:val="785F02DB"/>
    <w:rsid w:val="7860FEDF"/>
    <w:rsid w:val="7866C39E"/>
    <w:rsid w:val="78707959"/>
    <w:rsid w:val="7871A5B2"/>
    <w:rsid w:val="787D0D62"/>
    <w:rsid w:val="788C61C3"/>
    <w:rsid w:val="78D07A1D"/>
    <w:rsid w:val="78DE39DA"/>
    <w:rsid w:val="7989B217"/>
    <w:rsid w:val="7989D31D"/>
    <w:rsid w:val="79980F35"/>
    <w:rsid w:val="79987102"/>
    <w:rsid w:val="79F56B0F"/>
    <w:rsid w:val="79F7D92D"/>
    <w:rsid w:val="7A072EDB"/>
    <w:rsid w:val="7A0B8E42"/>
    <w:rsid w:val="7A0DED26"/>
    <w:rsid w:val="7A0ECAE5"/>
    <w:rsid w:val="7A256D2D"/>
    <w:rsid w:val="7A3EC6F2"/>
    <w:rsid w:val="7A4B6D8F"/>
    <w:rsid w:val="7A6A868F"/>
    <w:rsid w:val="7A7B3146"/>
    <w:rsid w:val="7A9B6635"/>
    <w:rsid w:val="7ABD0810"/>
    <w:rsid w:val="7AD05892"/>
    <w:rsid w:val="7B1B152F"/>
    <w:rsid w:val="7B22D1E1"/>
    <w:rsid w:val="7B3929E0"/>
    <w:rsid w:val="7B45F6E0"/>
    <w:rsid w:val="7B497254"/>
    <w:rsid w:val="7B4CB74B"/>
    <w:rsid w:val="7B6CA60B"/>
    <w:rsid w:val="7B74C703"/>
    <w:rsid w:val="7B8F38CC"/>
    <w:rsid w:val="7BA28E4F"/>
    <w:rsid w:val="7BB12B2B"/>
    <w:rsid w:val="7BCE5AAB"/>
    <w:rsid w:val="7BED5FB5"/>
    <w:rsid w:val="7BF7BE63"/>
    <w:rsid w:val="7BFE1305"/>
    <w:rsid w:val="7C0419CA"/>
    <w:rsid w:val="7C0665B6"/>
    <w:rsid w:val="7C07CC9D"/>
    <w:rsid w:val="7C5EFCA5"/>
    <w:rsid w:val="7C5F2F8A"/>
    <w:rsid w:val="7C69DCFD"/>
    <w:rsid w:val="7C7074E5"/>
    <w:rsid w:val="7C7243EA"/>
    <w:rsid w:val="7C8F4B5E"/>
    <w:rsid w:val="7CA2F993"/>
    <w:rsid w:val="7CA6AA7C"/>
    <w:rsid w:val="7CBBA77E"/>
    <w:rsid w:val="7CC7217D"/>
    <w:rsid w:val="7CD251AA"/>
    <w:rsid w:val="7CE02485"/>
    <w:rsid w:val="7CFAAA81"/>
    <w:rsid w:val="7D12CD7C"/>
    <w:rsid w:val="7D31AD7B"/>
    <w:rsid w:val="7D6122DF"/>
    <w:rsid w:val="7D667140"/>
    <w:rsid w:val="7D6A25F4"/>
    <w:rsid w:val="7D76835D"/>
    <w:rsid w:val="7D97FB7E"/>
    <w:rsid w:val="7DA42E75"/>
    <w:rsid w:val="7DA4422F"/>
    <w:rsid w:val="7DB8769C"/>
    <w:rsid w:val="7DC35513"/>
    <w:rsid w:val="7DC90840"/>
    <w:rsid w:val="7DD331C8"/>
    <w:rsid w:val="7DE37D8C"/>
    <w:rsid w:val="7DEF4146"/>
    <w:rsid w:val="7E19439F"/>
    <w:rsid w:val="7E39DB0F"/>
    <w:rsid w:val="7E47A185"/>
    <w:rsid w:val="7E896666"/>
    <w:rsid w:val="7E8D1D42"/>
    <w:rsid w:val="7E983478"/>
    <w:rsid w:val="7E99005F"/>
    <w:rsid w:val="7E9A353E"/>
    <w:rsid w:val="7EACAA4D"/>
    <w:rsid w:val="7EBC54C3"/>
    <w:rsid w:val="7ECA088F"/>
    <w:rsid w:val="7ED8CC7A"/>
    <w:rsid w:val="7EDBD569"/>
    <w:rsid w:val="7EF8084E"/>
    <w:rsid w:val="7EFF197D"/>
    <w:rsid w:val="7F09A36C"/>
    <w:rsid w:val="7F0F8365"/>
    <w:rsid w:val="7F406BFB"/>
    <w:rsid w:val="7F4B90E0"/>
    <w:rsid w:val="7F8E52EE"/>
    <w:rsid w:val="7F9BB0A6"/>
    <w:rsid w:val="7F9C2445"/>
    <w:rsid w:val="7FD942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C3EF"/>
  <w15:docId w15:val="{186DC160-0719-48F4-BCB6-FB76BFD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7B74"/>
    <w:pPr>
      <w:keepNext/>
      <w:jc w:val="center"/>
      <w:outlineLvl w:val="0"/>
    </w:pPr>
    <w:rPr>
      <w:rFonts w:ascii="Tahoma" w:hAnsi="Tahoma" w:cs="Tahoma"/>
      <w:b/>
      <w:bCs/>
      <w:sz w:val="28"/>
    </w:rPr>
  </w:style>
  <w:style w:type="paragraph" w:styleId="Heading3">
    <w:name w:val="heading 3"/>
    <w:basedOn w:val="Normal"/>
    <w:next w:val="Normal"/>
    <w:link w:val="Heading3Char"/>
    <w:qFormat/>
    <w:rsid w:val="00BA7B74"/>
    <w:pPr>
      <w:keepNext/>
      <w:ind w:firstLine="360"/>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B74"/>
    <w:rPr>
      <w:rFonts w:ascii="Tahoma" w:eastAsia="Times New Roman" w:hAnsi="Tahoma" w:cs="Tahoma"/>
      <w:b/>
      <w:bCs/>
      <w:sz w:val="28"/>
      <w:szCs w:val="24"/>
    </w:rPr>
  </w:style>
  <w:style w:type="character" w:customStyle="1" w:styleId="Heading3Char">
    <w:name w:val="Heading 3 Char"/>
    <w:basedOn w:val="DefaultParagraphFont"/>
    <w:link w:val="Heading3"/>
    <w:rsid w:val="00BA7B74"/>
    <w:rPr>
      <w:rFonts w:ascii="Arial" w:eastAsia="Times New Roman" w:hAnsi="Arial" w:cs="Arial"/>
      <w:b/>
      <w:bCs/>
      <w:sz w:val="24"/>
      <w:szCs w:val="24"/>
      <w:u w:val="single"/>
    </w:rPr>
  </w:style>
  <w:style w:type="paragraph" w:styleId="Title">
    <w:name w:val="Title"/>
    <w:basedOn w:val="Normal"/>
    <w:link w:val="TitleChar"/>
    <w:qFormat/>
    <w:rsid w:val="00BA7B74"/>
    <w:pPr>
      <w:jc w:val="center"/>
    </w:pPr>
    <w:rPr>
      <w:rFonts w:ascii="Bodoni Poster" w:hAnsi="Bodoni Poster" w:cs="Tahoma"/>
      <w:b/>
      <w:bCs/>
      <w:smallCaps/>
      <w:sz w:val="32"/>
    </w:rPr>
  </w:style>
  <w:style w:type="character" w:customStyle="1" w:styleId="TitleChar">
    <w:name w:val="Title Char"/>
    <w:basedOn w:val="DefaultParagraphFont"/>
    <w:link w:val="Title"/>
    <w:rsid w:val="00BA7B74"/>
    <w:rPr>
      <w:rFonts w:ascii="Bodoni Poster" w:eastAsia="Times New Roman" w:hAnsi="Bodoni Poster" w:cs="Tahoma"/>
      <w:b/>
      <w:bCs/>
      <w:smallCaps/>
      <w:sz w:val="32"/>
      <w:szCs w:val="24"/>
    </w:rPr>
  </w:style>
  <w:style w:type="paragraph" w:styleId="ListParagraph">
    <w:name w:val="List Paragraph"/>
    <w:basedOn w:val="Normal"/>
    <w:uiPriority w:val="34"/>
    <w:qFormat/>
    <w:rsid w:val="00BA7B74"/>
    <w:pPr>
      <w:ind w:left="720"/>
      <w:contextualSpacing/>
    </w:pPr>
  </w:style>
  <w:style w:type="paragraph" w:styleId="BodyText">
    <w:name w:val="Body Text"/>
    <w:basedOn w:val="Normal"/>
    <w:link w:val="BodyTextChar"/>
    <w:rsid w:val="00AF22F0"/>
    <w:pPr>
      <w:jc w:val="both"/>
    </w:pPr>
    <w:rPr>
      <w:rFonts w:ascii="Bodoni Poster" w:hAnsi="Bodoni Poster"/>
      <w:b/>
      <w:bCs/>
    </w:rPr>
  </w:style>
  <w:style w:type="character" w:customStyle="1" w:styleId="BodyTextChar">
    <w:name w:val="Body Text Char"/>
    <w:basedOn w:val="DefaultParagraphFont"/>
    <w:link w:val="BodyText"/>
    <w:rsid w:val="00AF22F0"/>
    <w:rPr>
      <w:rFonts w:ascii="Bodoni Poster" w:eastAsia="Times New Roman" w:hAnsi="Bodoni Poster" w:cs="Times New Roman"/>
      <w:b/>
      <w:bCs/>
      <w:sz w:val="24"/>
      <w:szCs w:val="24"/>
    </w:rPr>
  </w:style>
  <w:style w:type="paragraph" w:styleId="Header">
    <w:name w:val="header"/>
    <w:basedOn w:val="Normal"/>
    <w:link w:val="HeaderChar"/>
    <w:uiPriority w:val="99"/>
    <w:unhideWhenUsed/>
    <w:rsid w:val="00AF22F0"/>
    <w:pPr>
      <w:tabs>
        <w:tab w:val="center" w:pos="4680"/>
        <w:tab w:val="right" w:pos="9360"/>
      </w:tabs>
    </w:pPr>
  </w:style>
  <w:style w:type="character" w:customStyle="1" w:styleId="HeaderChar">
    <w:name w:val="Header Char"/>
    <w:basedOn w:val="DefaultParagraphFont"/>
    <w:link w:val="Header"/>
    <w:uiPriority w:val="99"/>
    <w:rsid w:val="00AF2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2F0"/>
    <w:pPr>
      <w:tabs>
        <w:tab w:val="center" w:pos="4680"/>
        <w:tab w:val="right" w:pos="9360"/>
      </w:tabs>
    </w:pPr>
  </w:style>
  <w:style w:type="character" w:customStyle="1" w:styleId="FooterChar">
    <w:name w:val="Footer Char"/>
    <w:basedOn w:val="DefaultParagraphFont"/>
    <w:link w:val="Footer"/>
    <w:uiPriority w:val="99"/>
    <w:rsid w:val="00AF22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2F0"/>
    <w:rPr>
      <w:rFonts w:ascii="Tahoma" w:hAnsi="Tahoma" w:cs="Tahoma"/>
      <w:sz w:val="16"/>
      <w:szCs w:val="16"/>
    </w:rPr>
  </w:style>
  <w:style w:type="character" w:customStyle="1" w:styleId="BalloonTextChar">
    <w:name w:val="Balloon Text Char"/>
    <w:basedOn w:val="DefaultParagraphFont"/>
    <w:link w:val="BalloonText"/>
    <w:uiPriority w:val="99"/>
    <w:semiHidden/>
    <w:rsid w:val="00AF22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1C88"/>
    <w:rPr>
      <w:sz w:val="16"/>
      <w:szCs w:val="16"/>
    </w:rPr>
  </w:style>
  <w:style w:type="paragraph" w:styleId="CommentText">
    <w:name w:val="annotation text"/>
    <w:basedOn w:val="Normal"/>
    <w:link w:val="CommentTextChar"/>
    <w:uiPriority w:val="99"/>
    <w:semiHidden/>
    <w:unhideWhenUsed/>
    <w:rsid w:val="00CA1C88"/>
    <w:rPr>
      <w:sz w:val="20"/>
      <w:szCs w:val="20"/>
    </w:rPr>
  </w:style>
  <w:style w:type="character" w:customStyle="1" w:styleId="CommentTextChar">
    <w:name w:val="Comment Text Char"/>
    <w:basedOn w:val="DefaultParagraphFont"/>
    <w:link w:val="CommentText"/>
    <w:uiPriority w:val="99"/>
    <w:semiHidden/>
    <w:rsid w:val="00CA1C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C88"/>
    <w:rPr>
      <w:b/>
      <w:bCs/>
    </w:rPr>
  </w:style>
  <w:style w:type="character" w:customStyle="1" w:styleId="CommentSubjectChar">
    <w:name w:val="Comment Subject Char"/>
    <w:basedOn w:val="CommentTextChar"/>
    <w:link w:val="CommentSubject"/>
    <w:uiPriority w:val="99"/>
    <w:semiHidden/>
    <w:rsid w:val="00CA1C88"/>
    <w:rPr>
      <w:rFonts w:ascii="Times New Roman" w:eastAsia="Times New Roman" w:hAnsi="Times New Roman" w:cs="Times New Roman"/>
      <w:b/>
      <w:bCs/>
      <w:sz w:val="20"/>
      <w:szCs w:val="20"/>
    </w:rPr>
  </w:style>
  <w:style w:type="paragraph" w:customStyle="1" w:styleId="Default">
    <w:name w:val="Default"/>
    <w:rsid w:val="007001E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F442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6155">
      <w:bodyDiv w:val="1"/>
      <w:marLeft w:val="0"/>
      <w:marRight w:val="0"/>
      <w:marTop w:val="0"/>
      <w:marBottom w:val="0"/>
      <w:divBdr>
        <w:top w:val="none" w:sz="0" w:space="0" w:color="auto"/>
        <w:left w:val="none" w:sz="0" w:space="0" w:color="auto"/>
        <w:bottom w:val="none" w:sz="0" w:space="0" w:color="auto"/>
        <w:right w:val="none" w:sz="0" w:space="0" w:color="auto"/>
      </w:divBdr>
    </w:div>
    <w:div w:id="983393746">
      <w:bodyDiv w:val="1"/>
      <w:marLeft w:val="0"/>
      <w:marRight w:val="0"/>
      <w:marTop w:val="0"/>
      <w:marBottom w:val="0"/>
      <w:divBdr>
        <w:top w:val="none" w:sz="0" w:space="0" w:color="auto"/>
        <w:left w:val="none" w:sz="0" w:space="0" w:color="auto"/>
        <w:bottom w:val="none" w:sz="0" w:space="0" w:color="auto"/>
        <w:right w:val="none" w:sz="0" w:space="0" w:color="auto"/>
      </w:divBdr>
    </w:div>
    <w:div w:id="997616075">
      <w:bodyDiv w:val="1"/>
      <w:marLeft w:val="0"/>
      <w:marRight w:val="0"/>
      <w:marTop w:val="0"/>
      <w:marBottom w:val="0"/>
      <w:divBdr>
        <w:top w:val="none" w:sz="0" w:space="0" w:color="auto"/>
        <w:left w:val="none" w:sz="0" w:space="0" w:color="auto"/>
        <w:bottom w:val="none" w:sz="0" w:space="0" w:color="auto"/>
        <w:right w:val="none" w:sz="0" w:space="0" w:color="auto"/>
      </w:divBdr>
    </w:div>
    <w:div w:id="1009019398">
      <w:bodyDiv w:val="1"/>
      <w:marLeft w:val="0"/>
      <w:marRight w:val="0"/>
      <w:marTop w:val="0"/>
      <w:marBottom w:val="0"/>
      <w:divBdr>
        <w:top w:val="none" w:sz="0" w:space="0" w:color="auto"/>
        <w:left w:val="none" w:sz="0" w:space="0" w:color="auto"/>
        <w:bottom w:val="none" w:sz="0" w:space="0" w:color="auto"/>
        <w:right w:val="none" w:sz="0" w:space="0" w:color="auto"/>
      </w:divBdr>
    </w:div>
    <w:div w:id="1191530840">
      <w:bodyDiv w:val="1"/>
      <w:marLeft w:val="0"/>
      <w:marRight w:val="0"/>
      <w:marTop w:val="0"/>
      <w:marBottom w:val="0"/>
      <w:divBdr>
        <w:top w:val="none" w:sz="0" w:space="0" w:color="auto"/>
        <w:left w:val="none" w:sz="0" w:space="0" w:color="auto"/>
        <w:bottom w:val="none" w:sz="0" w:space="0" w:color="auto"/>
        <w:right w:val="none" w:sz="0" w:space="0" w:color="auto"/>
      </w:divBdr>
    </w:div>
    <w:div w:id="1373767413">
      <w:bodyDiv w:val="1"/>
      <w:marLeft w:val="0"/>
      <w:marRight w:val="0"/>
      <w:marTop w:val="0"/>
      <w:marBottom w:val="0"/>
      <w:divBdr>
        <w:top w:val="none" w:sz="0" w:space="0" w:color="auto"/>
        <w:left w:val="none" w:sz="0" w:space="0" w:color="auto"/>
        <w:bottom w:val="none" w:sz="0" w:space="0" w:color="auto"/>
        <w:right w:val="none" w:sz="0" w:space="0" w:color="auto"/>
      </w:divBdr>
    </w:div>
    <w:div w:id="14031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2fbaf79ad2b7457d"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4D7D07DEA18498891EEDF71691C81" ma:contentTypeVersion="4" ma:contentTypeDescription="Create a new document." ma:contentTypeScope="" ma:versionID="eb9833c40d1fe04b16afb7ccb19ca4af">
  <xsd:schema xmlns:xsd="http://www.w3.org/2001/XMLSchema" xmlns:xs="http://www.w3.org/2001/XMLSchema" xmlns:p="http://schemas.microsoft.com/office/2006/metadata/properties" xmlns:ns2="31aea8de-8af3-4383-bc12-70939762a31d" targetNamespace="http://schemas.microsoft.com/office/2006/metadata/properties" ma:root="true" ma:fieldsID="fb4cdf5c783a947e38a5ba01d0e9e617" ns2:_="">
    <xsd:import namespace="31aea8de-8af3-4383-bc12-70939762a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ea8de-8af3-4383-bc12-70939762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CCA4A-A4CD-4E33-85E3-25E49F0C624C}">
  <ds:schemaRefs>
    <ds:schemaRef ds:uri="http://schemas.microsoft.com/office/2006/documentManagement/types"/>
    <ds:schemaRef ds:uri="http://purl.org/dc/terms/"/>
    <ds:schemaRef ds:uri="31aea8de-8af3-4383-bc12-70939762a31d"/>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C09E48B-CD42-4F66-A8A0-7DD6F62385D9}">
  <ds:schemaRefs>
    <ds:schemaRef ds:uri="http://schemas.microsoft.com/sharepoint/v3/contenttype/forms"/>
  </ds:schemaRefs>
</ds:datastoreItem>
</file>

<file path=customXml/itemProps3.xml><?xml version="1.0" encoding="utf-8"?>
<ds:datastoreItem xmlns:ds="http://schemas.openxmlformats.org/officeDocument/2006/customXml" ds:itemID="{975CB2A0-F9DB-4BE3-9297-B0B5732F7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ea8de-8af3-4383-bc12-70939762a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6363</Words>
  <Characters>36272</Characters>
  <Application>Microsoft Office Word</Application>
  <DocSecurity>0</DocSecurity>
  <Lines>302</Lines>
  <Paragraphs>85</Paragraphs>
  <ScaleCrop>false</ScaleCrop>
  <Company>SCDE</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Michael R</dc:creator>
  <cp:keywords/>
  <cp:lastModifiedBy>King, Michael R</cp:lastModifiedBy>
  <cp:revision>2</cp:revision>
  <cp:lastPrinted>2018-11-26T15:16:00Z</cp:lastPrinted>
  <dcterms:created xsi:type="dcterms:W3CDTF">2021-12-21T20:33:00Z</dcterms:created>
  <dcterms:modified xsi:type="dcterms:W3CDTF">2021-12-21T20:33:00Z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0x010100E004D7D07DEA18498891EEDF71691C81</vt:lpwstr>
  </property>
</Properties>
</file>