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4C36" w14:textId="440FE489" w:rsidR="002534FA" w:rsidRPr="002534FA" w:rsidRDefault="00A83827" w:rsidP="002534FA">
      <w:pPr>
        <w:jc w:val="center"/>
        <w:rPr>
          <w:rFonts w:ascii="Garamond" w:hAnsi="Garamond" w:cs="Times New Roman"/>
          <w:b/>
          <w:sz w:val="28"/>
          <w:szCs w:val="28"/>
        </w:rPr>
      </w:pPr>
      <w:r w:rsidRPr="00894D54">
        <w:rPr>
          <w:rFonts w:ascii="Garamond" w:hAnsi="Garamond" w:cs="Times New Roman"/>
          <w:b/>
          <w:sz w:val="28"/>
          <w:szCs w:val="28"/>
          <w:u w:val="single"/>
        </w:rPr>
        <w:t xml:space="preserve">New Mexico </w:t>
      </w:r>
      <w:r w:rsidR="00894D54">
        <w:rPr>
          <w:rFonts w:ascii="Garamond" w:hAnsi="Garamond" w:cs="Times New Roman"/>
          <w:b/>
          <w:sz w:val="28"/>
          <w:szCs w:val="28"/>
          <w:u w:val="single"/>
        </w:rPr>
        <w:t xml:space="preserve">Annual </w:t>
      </w:r>
      <w:r w:rsidRPr="00894D54">
        <w:rPr>
          <w:rFonts w:ascii="Garamond" w:hAnsi="Garamond" w:cs="Times New Roman"/>
          <w:b/>
          <w:sz w:val="28"/>
          <w:szCs w:val="28"/>
          <w:u w:val="single"/>
        </w:rPr>
        <w:t>Narrative Report</w:t>
      </w:r>
      <w:r w:rsidR="002534FA" w:rsidRPr="002534FA">
        <w:rPr>
          <w:rFonts w:ascii="Garamond" w:hAnsi="Garamond" w:cs="Times New Roman"/>
          <w:b/>
          <w:sz w:val="28"/>
          <w:szCs w:val="28"/>
        </w:rPr>
        <w:t xml:space="preserve"> </w:t>
      </w:r>
    </w:p>
    <w:p w14:paraId="0D6F957A" w14:textId="77777777" w:rsidR="002534FA" w:rsidRPr="002534FA" w:rsidRDefault="002534FA" w:rsidP="002534FA">
      <w:pPr>
        <w:jc w:val="center"/>
        <w:rPr>
          <w:rFonts w:ascii="Garamond" w:hAnsi="Garamond" w:cs="Times New Roman"/>
          <w:b/>
          <w:sz w:val="24"/>
          <w:szCs w:val="20"/>
        </w:rPr>
      </w:pPr>
      <w:r>
        <w:rPr>
          <w:rFonts w:ascii="Garamond" w:hAnsi="Garamond" w:cs="Times New Roman"/>
          <w:b/>
          <w:sz w:val="24"/>
          <w:szCs w:val="20"/>
        </w:rPr>
        <w:t xml:space="preserve"> </w:t>
      </w:r>
      <w:r w:rsidR="00E035AB">
        <w:rPr>
          <w:rFonts w:ascii="Garamond" w:hAnsi="Garamond" w:cs="Times New Roman"/>
          <w:b/>
          <w:sz w:val="24"/>
          <w:szCs w:val="20"/>
        </w:rPr>
        <w:t>P</w:t>
      </w:r>
      <w:r w:rsidR="00465E62">
        <w:rPr>
          <w:rFonts w:ascii="Garamond" w:hAnsi="Garamond" w:cs="Times New Roman"/>
          <w:b/>
          <w:sz w:val="24"/>
          <w:szCs w:val="20"/>
        </w:rPr>
        <w:t xml:space="preserve">rogram Year </w:t>
      </w:r>
      <w:r w:rsidR="008E09DC">
        <w:rPr>
          <w:rFonts w:ascii="Garamond" w:hAnsi="Garamond" w:cs="Times New Roman"/>
          <w:b/>
          <w:sz w:val="24"/>
          <w:szCs w:val="20"/>
        </w:rPr>
        <w:t>2020-2021</w:t>
      </w:r>
    </w:p>
    <w:p w14:paraId="0CC62557" w14:textId="77777777" w:rsidR="00952D3B" w:rsidRPr="002B1901" w:rsidRDefault="00A83827" w:rsidP="00952D3B">
      <w:pPr>
        <w:spacing w:after="120"/>
        <w:rPr>
          <w:rFonts w:ascii="Garamond" w:hAnsi="Garamond" w:cs="Times New Roman"/>
          <w:b/>
          <w:color w:val="000000"/>
          <w:sz w:val="24"/>
          <w:szCs w:val="20"/>
        </w:rPr>
      </w:pPr>
      <w:r w:rsidRPr="002B1901">
        <w:rPr>
          <w:rFonts w:ascii="Garamond" w:hAnsi="Garamond" w:cs="Times New Roman"/>
          <w:b/>
          <w:color w:val="000000"/>
          <w:sz w:val="24"/>
          <w:szCs w:val="20"/>
        </w:rPr>
        <w:t>Introduction</w:t>
      </w:r>
    </w:p>
    <w:p w14:paraId="2893410A" w14:textId="2619ACD9" w:rsidR="00952D3B" w:rsidRPr="002B1901" w:rsidRDefault="00952D3B" w:rsidP="00952D3B">
      <w:pPr>
        <w:spacing w:after="120"/>
        <w:rPr>
          <w:rFonts w:ascii="Garamond" w:hAnsi="Garamond" w:cs="Times New Roman"/>
          <w:sz w:val="24"/>
          <w:szCs w:val="20"/>
        </w:rPr>
      </w:pPr>
      <w:r w:rsidRPr="002B1901">
        <w:rPr>
          <w:rFonts w:ascii="Garamond" w:hAnsi="Garamond" w:cs="Times New Roman"/>
          <w:sz w:val="24"/>
          <w:szCs w:val="20"/>
        </w:rPr>
        <w:t xml:space="preserve">During </w:t>
      </w:r>
      <w:r w:rsidR="009E4939" w:rsidRPr="002B1901">
        <w:rPr>
          <w:rFonts w:ascii="Garamond" w:hAnsi="Garamond" w:cs="Times New Roman"/>
          <w:sz w:val="24"/>
          <w:szCs w:val="20"/>
        </w:rPr>
        <w:t>PY</w:t>
      </w:r>
      <w:r w:rsidRPr="002B1901">
        <w:rPr>
          <w:rFonts w:ascii="Garamond" w:hAnsi="Garamond" w:cs="Times New Roman"/>
          <w:sz w:val="24"/>
          <w:szCs w:val="20"/>
        </w:rPr>
        <w:t xml:space="preserve"> </w:t>
      </w:r>
      <w:r w:rsidR="002B1901">
        <w:rPr>
          <w:rFonts w:ascii="Garamond" w:hAnsi="Garamond" w:cs="Times New Roman"/>
          <w:sz w:val="24"/>
          <w:szCs w:val="20"/>
        </w:rPr>
        <w:t>20/21</w:t>
      </w:r>
      <w:r w:rsidRPr="002B1901">
        <w:rPr>
          <w:rFonts w:ascii="Garamond" w:hAnsi="Garamond" w:cs="Times New Roman"/>
          <w:sz w:val="24"/>
          <w:szCs w:val="20"/>
        </w:rPr>
        <w:t xml:space="preserve">, </w:t>
      </w:r>
      <w:r w:rsidR="009E4939" w:rsidRPr="002B1901">
        <w:rPr>
          <w:rFonts w:ascii="Garamond" w:hAnsi="Garamond" w:cs="Times New Roman"/>
          <w:sz w:val="24"/>
          <w:szCs w:val="20"/>
        </w:rPr>
        <w:t xml:space="preserve">the </w:t>
      </w:r>
      <w:r w:rsidRPr="002B1901">
        <w:rPr>
          <w:rFonts w:ascii="Garamond" w:hAnsi="Garamond" w:cs="Times New Roman"/>
          <w:sz w:val="24"/>
          <w:szCs w:val="20"/>
        </w:rPr>
        <w:t xml:space="preserve">New Mexico </w:t>
      </w:r>
      <w:r w:rsidR="009E4939" w:rsidRPr="002B1901">
        <w:rPr>
          <w:rFonts w:ascii="Garamond" w:hAnsi="Garamond" w:cs="Times New Roman"/>
          <w:sz w:val="24"/>
          <w:szCs w:val="20"/>
        </w:rPr>
        <w:t xml:space="preserve">Higher Education Department’s Adult Education Division (NMHED-AE) </w:t>
      </w:r>
      <w:r w:rsidRPr="002B1901">
        <w:rPr>
          <w:rFonts w:ascii="Garamond" w:hAnsi="Garamond" w:cs="Times New Roman"/>
          <w:sz w:val="24"/>
          <w:szCs w:val="20"/>
        </w:rPr>
        <w:t>w</w:t>
      </w:r>
      <w:r w:rsidR="00924D36" w:rsidRPr="002B1901">
        <w:rPr>
          <w:rFonts w:ascii="Garamond" w:hAnsi="Garamond" w:cs="Times New Roman"/>
          <w:sz w:val="24"/>
          <w:szCs w:val="20"/>
        </w:rPr>
        <w:t>as</w:t>
      </w:r>
      <w:r w:rsidRPr="002B1901">
        <w:rPr>
          <w:rFonts w:ascii="Garamond" w:hAnsi="Garamond" w:cs="Times New Roman"/>
          <w:sz w:val="24"/>
          <w:szCs w:val="20"/>
        </w:rPr>
        <w:t xml:space="preserve"> funded by a state legislative appropriation of </w:t>
      </w:r>
      <w:r w:rsidR="002B1901" w:rsidRPr="002B1901">
        <w:rPr>
          <w:rFonts w:ascii="Garamond" w:hAnsi="Garamond" w:cs="Times New Roman"/>
          <w:sz w:val="24"/>
          <w:szCs w:val="20"/>
        </w:rPr>
        <w:t>$</w:t>
      </w:r>
      <w:r w:rsidR="00BC20AE">
        <w:rPr>
          <w:rFonts w:ascii="Garamond" w:hAnsi="Garamond" w:cs="Times New Roman"/>
          <w:sz w:val="24"/>
          <w:szCs w:val="20"/>
        </w:rPr>
        <w:t>6</w:t>
      </w:r>
      <w:r w:rsidR="002B1901" w:rsidRPr="002B1901">
        <w:rPr>
          <w:rFonts w:ascii="Garamond" w:hAnsi="Garamond" w:cs="Times New Roman"/>
          <w:sz w:val="24"/>
          <w:szCs w:val="20"/>
        </w:rPr>
        <w:t>,</w:t>
      </w:r>
      <w:r w:rsidR="00BC20AE">
        <w:rPr>
          <w:rFonts w:ascii="Garamond" w:hAnsi="Garamond" w:cs="Times New Roman"/>
          <w:sz w:val="24"/>
          <w:szCs w:val="20"/>
        </w:rPr>
        <w:t>750</w:t>
      </w:r>
      <w:r w:rsidR="002B1901" w:rsidRPr="002B1901">
        <w:rPr>
          <w:rFonts w:ascii="Garamond" w:hAnsi="Garamond" w:cs="Times New Roman"/>
          <w:sz w:val="24"/>
          <w:szCs w:val="20"/>
        </w:rPr>
        <w:t>,</w:t>
      </w:r>
      <w:r w:rsidR="00BC20AE">
        <w:rPr>
          <w:rFonts w:ascii="Garamond" w:hAnsi="Garamond" w:cs="Times New Roman"/>
          <w:sz w:val="24"/>
          <w:szCs w:val="20"/>
        </w:rPr>
        <w:t>0</w:t>
      </w:r>
      <w:r w:rsidR="002B1901" w:rsidRPr="002B1901">
        <w:rPr>
          <w:rFonts w:ascii="Garamond" w:hAnsi="Garamond" w:cs="Times New Roman"/>
          <w:sz w:val="24"/>
          <w:szCs w:val="20"/>
        </w:rPr>
        <w:t>00</w:t>
      </w:r>
      <w:r w:rsidR="002B1901">
        <w:rPr>
          <w:rFonts w:ascii="Garamond" w:hAnsi="Garamond" w:cs="Times New Roman"/>
          <w:sz w:val="24"/>
          <w:szCs w:val="20"/>
        </w:rPr>
        <w:t xml:space="preserve"> </w:t>
      </w:r>
      <w:r w:rsidRPr="002B1901">
        <w:rPr>
          <w:rFonts w:ascii="Garamond" w:hAnsi="Garamond" w:cs="Times New Roman"/>
          <w:sz w:val="24"/>
          <w:szCs w:val="20"/>
        </w:rPr>
        <w:t xml:space="preserve">and by </w:t>
      </w:r>
      <w:r w:rsidR="00B54443" w:rsidRPr="002B1901">
        <w:rPr>
          <w:rFonts w:ascii="Garamond" w:hAnsi="Garamond" w:cs="Times New Roman"/>
          <w:sz w:val="24"/>
          <w:szCs w:val="20"/>
        </w:rPr>
        <w:t>a grant from the</w:t>
      </w:r>
      <w:r w:rsidRPr="002B1901">
        <w:rPr>
          <w:rFonts w:ascii="Garamond" w:hAnsi="Garamond" w:cs="Times New Roman"/>
          <w:sz w:val="24"/>
          <w:szCs w:val="20"/>
        </w:rPr>
        <w:t xml:space="preserve"> U.S. Department of Education under the </w:t>
      </w:r>
      <w:r w:rsidR="0017788F" w:rsidRPr="002B1901">
        <w:rPr>
          <w:rFonts w:ascii="Garamond" w:hAnsi="Garamond" w:cs="Times New Roman"/>
          <w:sz w:val="24"/>
          <w:szCs w:val="20"/>
        </w:rPr>
        <w:t xml:space="preserve">Title II of the </w:t>
      </w:r>
      <w:r w:rsidRPr="002B1901">
        <w:rPr>
          <w:rFonts w:ascii="Garamond" w:hAnsi="Garamond" w:cs="Times New Roman"/>
          <w:sz w:val="24"/>
          <w:szCs w:val="20"/>
        </w:rPr>
        <w:t>Workforce Innovation and Opportunity Act</w:t>
      </w:r>
      <w:r w:rsidR="00FF6725" w:rsidRPr="002B1901">
        <w:rPr>
          <w:rFonts w:ascii="Garamond" w:hAnsi="Garamond" w:cs="Times New Roman"/>
          <w:sz w:val="24"/>
          <w:szCs w:val="20"/>
        </w:rPr>
        <w:t>--</w:t>
      </w:r>
      <w:r w:rsidR="00B54443" w:rsidRPr="002B1901">
        <w:rPr>
          <w:rFonts w:ascii="Garamond" w:hAnsi="Garamond" w:cs="Times New Roman"/>
          <w:sz w:val="24"/>
          <w:szCs w:val="20"/>
        </w:rPr>
        <w:t>the Adult Education and Family Literacy Act</w:t>
      </w:r>
      <w:r w:rsidR="00BC20AE">
        <w:rPr>
          <w:rFonts w:ascii="Garamond" w:hAnsi="Garamond" w:cs="Times New Roman"/>
          <w:sz w:val="24"/>
          <w:szCs w:val="20"/>
        </w:rPr>
        <w:t xml:space="preserve"> (</w:t>
      </w:r>
      <w:r w:rsidR="00B54443" w:rsidRPr="002B1901">
        <w:rPr>
          <w:rFonts w:ascii="Garamond" w:hAnsi="Garamond" w:cs="Times New Roman"/>
          <w:sz w:val="24"/>
          <w:szCs w:val="20"/>
        </w:rPr>
        <w:t>AEFLA</w:t>
      </w:r>
      <w:r w:rsidR="00BC20AE">
        <w:rPr>
          <w:rFonts w:ascii="Garamond" w:hAnsi="Garamond" w:cs="Times New Roman"/>
          <w:sz w:val="24"/>
          <w:szCs w:val="20"/>
        </w:rPr>
        <w:t>)</w:t>
      </w:r>
      <w:r w:rsidR="00FF6725" w:rsidRPr="002B1901">
        <w:rPr>
          <w:rFonts w:ascii="Garamond" w:hAnsi="Garamond" w:cs="Times New Roman"/>
          <w:sz w:val="24"/>
          <w:szCs w:val="20"/>
        </w:rPr>
        <w:t>--</w:t>
      </w:r>
      <w:r w:rsidRPr="002B1901">
        <w:rPr>
          <w:rFonts w:ascii="Garamond" w:hAnsi="Garamond" w:cs="Times New Roman"/>
          <w:sz w:val="24"/>
          <w:szCs w:val="20"/>
        </w:rPr>
        <w:t xml:space="preserve">in the amount of </w:t>
      </w:r>
      <w:r w:rsidR="002B1901" w:rsidRPr="002B1901">
        <w:rPr>
          <w:rFonts w:ascii="Garamond" w:hAnsi="Garamond" w:cs="Times New Roman"/>
          <w:sz w:val="24"/>
          <w:szCs w:val="20"/>
        </w:rPr>
        <w:t>$</w:t>
      </w:r>
      <w:r w:rsidR="00BC20AE">
        <w:rPr>
          <w:rFonts w:ascii="Garamond" w:hAnsi="Garamond" w:cs="Times New Roman"/>
          <w:sz w:val="24"/>
          <w:szCs w:val="20"/>
        </w:rPr>
        <w:t>5</w:t>
      </w:r>
      <w:r w:rsidR="002B1901" w:rsidRPr="002B1901">
        <w:rPr>
          <w:rFonts w:ascii="Garamond" w:hAnsi="Garamond" w:cs="Times New Roman"/>
          <w:sz w:val="24"/>
          <w:szCs w:val="20"/>
        </w:rPr>
        <w:t>,</w:t>
      </w:r>
      <w:r w:rsidR="00BC20AE">
        <w:rPr>
          <w:rFonts w:ascii="Garamond" w:hAnsi="Garamond" w:cs="Times New Roman"/>
          <w:sz w:val="24"/>
          <w:szCs w:val="20"/>
        </w:rPr>
        <w:t>034</w:t>
      </w:r>
      <w:r w:rsidR="002B1901" w:rsidRPr="002B1901">
        <w:rPr>
          <w:rFonts w:ascii="Garamond" w:hAnsi="Garamond" w:cs="Times New Roman"/>
          <w:sz w:val="24"/>
          <w:szCs w:val="20"/>
        </w:rPr>
        <w:t>,4</w:t>
      </w:r>
      <w:r w:rsidR="00BC20AE">
        <w:rPr>
          <w:rFonts w:ascii="Garamond" w:hAnsi="Garamond" w:cs="Times New Roman"/>
          <w:sz w:val="24"/>
          <w:szCs w:val="20"/>
        </w:rPr>
        <w:t xml:space="preserve">62. The federal grant </w:t>
      </w:r>
      <w:r w:rsidR="00BC20AE" w:rsidRPr="00926C7F">
        <w:rPr>
          <w:rFonts w:ascii="Garamond" w:hAnsi="Garamond" w:cs="Times New Roman"/>
          <w:sz w:val="24"/>
          <w:szCs w:val="24"/>
        </w:rPr>
        <w:t xml:space="preserve">included </w:t>
      </w:r>
      <w:r w:rsidR="00723D09" w:rsidRPr="00926C7F">
        <w:rPr>
          <w:rFonts w:ascii="Garamond" w:hAnsi="Garamond"/>
          <w:sz w:val="24"/>
          <w:szCs w:val="24"/>
        </w:rPr>
        <w:t xml:space="preserve">$282,241 </w:t>
      </w:r>
      <w:r w:rsidRPr="00926C7F">
        <w:rPr>
          <w:rFonts w:ascii="Garamond" w:hAnsi="Garamond" w:cs="Times New Roman"/>
          <w:sz w:val="24"/>
          <w:szCs w:val="24"/>
        </w:rPr>
        <w:t>for Integrated</w:t>
      </w:r>
      <w:r w:rsidRPr="002B1901">
        <w:rPr>
          <w:rFonts w:ascii="Garamond" w:hAnsi="Garamond" w:cs="Times New Roman"/>
          <w:sz w:val="24"/>
          <w:szCs w:val="20"/>
        </w:rPr>
        <w:t xml:space="preserve"> English Literacy and Civics Education (IELCE) under Section 243</w:t>
      </w:r>
      <w:r w:rsidR="00BC20AE">
        <w:rPr>
          <w:rFonts w:ascii="Garamond" w:hAnsi="Garamond" w:cs="Times New Roman"/>
          <w:sz w:val="24"/>
          <w:szCs w:val="20"/>
        </w:rPr>
        <w:t xml:space="preserve"> of AEFLA</w:t>
      </w:r>
      <w:r w:rsidRPr="002B1901">
        <w:rPr>
          <w:rFonts w:ascii="Garamond" w:hAnsi="Garamond" w:cs="Times New Roman"/>
          <w:sz w:val="24"/>
          <w:szCs w:val="20"/>
        </w:rPr>
        <w:t xml:space="preserve">. </w:t>
      </w:r>
    </w:p>
    <w:p w14:paraId="42D66F8C" w14:textId="679F89DE" w:rsidR="006469F1" w:rsidRDefault="005B5575" w:rsidP="00952D3B">
      <w:pPr>
        <w:spacing w:after="120"/>
        <w:rPr>
          <w:rFonts w:ascii="Garamond" w:hAnsi="Garamond" w:cs="Times New Roman"/>
          <w:sz w:val="24"/>
          <w:szCs w:val="20"/>
        </w:rPr>
      </w:pPr>
      <w:r w:rsidRPr="002B1901">
        <w:rPr>
          <w:rFonts w:ascii="Garamond" w:hAnsi="Garamond" w:cs="Times New Roman"/>
          <w:sz w:val="24"/>
          <w:szCs w:val="20"/>
        </w:rPr>
        <w:t>A</w:t>
      </w:r>
      <w:r w:rsidR="00341300" w:rsidRPr="002B1901">
        <w:rPr>
          <w:rFonts w:ascii="Garamond" w:hAnsi="Garamond" w:cs="Times New Roman"/>
          <w:sz w:val="24"/>
          <w:szCs w:val="20"/>
        </w:rPr>
        <w:t xml:space="preserve"> staff of 4.5</w:t>
      </w:r>
      <w:r w:rsidR="009E7080" w:rsidRPr="002B1901">
        <w:rPr>
          <w:rFonts w:ascii="Garamond" w:hAnsi="Garamond" w:cs="Times New Roman"/>
          <w:sz w:val="24"/>
          <w:szCs w:val="20"/>
        </w:rPr>
        <w:t xml:space="preserve"> FTE</w:t>
      </w:r>
      <w:r w:rsidR="00341300" w:rsidRPr="002B1901">
        <w:rPr>
          <w:rFonts w:ascii="Garamond" w:hAnsi="Garamond" w:cs="Times New Roman"/>
          <w:sz w:val="24"/>
          <w:szCs w:val="20"/>
        </w:rPr>
        <w:t xml:space="preserve"> </w:t>
      </w:r>
      <w:r w:rsidR="00612487" w:rsidRPr="002B1901">
        <w:rPr>
          <w:rFonts w:ascii="Garamond" w:hAnsi="Garamond" w:cs="Times New Roman"/>
          <w:sz w:val="24"/>
          <w:szCs w:val="20"/>
        </w:rPr>
        <w:t>was responsible for overseeing</w:t>
      </w:r>
      <w:r w:rsidR="00341300" w:rsidRPr="002B1901">
        <w:rPr>
          <w:rFonts w:ascii="Garamond" w:hAnsi="Garamond" w:cs="Times New Roman"/>
          <w:sz w:val="24"/>
          <w:szCs w:val="20"/>
        </w:rPr>
        <w:t xml:space="preserve"> all NM</w:t>
      </w:r>
      <w:r w:rsidR="00924D36" w:rsidRPr="002B1901">
        <w:rPr>
          <w:rFonts w:ascii="Garamond" w:hAnsi="Garamond" w:cs="Times New Roman"/>
          <w:sz w:val="24"/>
          <w:szCs w:val="20"/>
        </w:rPr>
        <w:t>HED-AE</w:t>
      </w:r>
      <w:r w:rsidR="00341300" w:rsidRPr="002B1901">
        <w:rPr>
          <w:rFonts w:ascii="Garamond" w:hAnsi="Garamond" w:cs="Times New Roman"/>
          <w:sz w:val="24"/>
          <w:szCs w:val="20"/>
        </w:rPr>
        <w:t xml:space="preserve"> operations and </w:t>
      </w:r>
      <w:r w:rsidR="003F30FD" w:rsidRPr="002B1901">
        <w:rPr>
          <w:rFonts w:ascii="Garamond" w:hAnsi="Garamond" w:cs="Times New Roman"/>
          <w:sz w:val="24"/>
          <w:szCs w:val="20"/>
        </w:rPr>
        <w:t>activities</w:t>
      </w:r>
      <w:r w:rsidR="00AD6792" w:rsidRPr="002B1901">
        <w:rPr>
          <w:rFonts w:ascii="Garamond" w:hAnsi="Garamond" w:cs="Times New Roman"/>
          <w:sz w:val="24"/>
          <w:szCs w:val="20"/>
        </w:rPr>
        <w:t xml:space="preserve"> in PY </w:t>
      </w:r>
      <w:r w:rsidR="002B1901" w:rsidRPr="002B1901">
        <w:rPr>
          <w:rFonts w:ascii="Garamond" w:hAnsi="Garamond" w:cs="Times New Roman"/>
          <w:sz w:val="24"/>
          <w:szCs w:val="20"/>
        </w:rPr>
        <w:t>20/21</w:t>
      </w:r>
      <w:r w:rsidR="00341300" w:rsidRPr="002B1901">
        <w:rPr>
          <w:rFonts w:ascii="Garamond" w:hAnsi="Garamond" w:cs="Times New Roman"/>
          <w:sz w:val="24"/>
          <w:szCs w:val="20"/>
        </w:rPr>
        <w:t>, including</w:t>
      </w:r>
      <w:r w:rsidRPr="002B1901">
        <w:rPr>
          <w:rFonts w:ascii="Garamond" w:hAnsi="Garamond" w:cs="Times New Roman"/>
          <w:sz w:val="24"/>
          <w:szCs w:val="20"/>
        </w:rPr>
        <w:t>: (1)</w:t>
      </w:r>
      <w:r w:rsidR="00AD6792" w:rsidRPr="002B1901">
        <w:rPr>
          <w:rFonts w:ascii="Garamond" w:hAnsi="Garamond" w:cs="Times New Roman"/>
          <w:sz w:val="24"/>
          <w:szCs w:val="20"/>
        </w:rPr>
        <w:t xml:space="preserve"> </w:t>
      </w:r>
      <w:r w:rsidRPr="002B1901">
        <w:rPr>
          <w:rFonts w:ascii="Garamond" w:hAnsi="Garamond" w:cs="Times New Roman"/>
          <w:sz w:val="24"/>
          <w:szCs w:val="20"/>
        </w:rPr>
        <w:t>M</w:t>
      </w:r>
      <w:r w:rsidR="00341300" w:rsidRPr="002B1901">
        <w:rPr>
          <w:rFonts w:ascii="Garamond" w:hAnsi="Garamond" w:cs="Times New Roman"/>
          <w:sz w:val="24"/>
          <w:szCs w:val="20"/>
        </w:rPr>
        <w:t xml:space="preserve">onitoring subgrantee </w:t>
      </w:r>
      <w:r w:rsidR="00790538" w:rsidRPr="002B1901">
        <w:rPr>
          <w:rFonts w:ascii="Garamond" w:hAnsi="Garamond" w:cs="Times New Roman"/>
          <w:sz w:val="24"/>
          <w:szCs w:val="20"/>
        </w:rPr>
        <w:t xml:space="preserve">grant </w:t>
      </w:r>
      <w:r w:rsidR="00341300" w:rsidRPr="002B1901">
        <w:rPr>
          <w:rFonts w:ascii="Garamond" w:hAnsi="Garamond" w:cs="Times New Roman"/>
          <w:sz w:val="24"/>
          <w:szCs w:val="20"/>
        </w:rPr>
        <w:t>compliance</w:t>
      </w:r>
      <w:r w:rsidR="00926C7F">
        <w:rPr>
          <w:rFonts w:ascii="Garamond" w:hAnsi="Garamond" w:cs="Times New Roman"/>
          <w:sz w:val="24"/>
          <w:szCs w:val="20"/>
        </w:rPr>
        <w:t xml:space="preserve"> and </w:t>
      </w:r>
      <w:r w:rsidR="00341300" w:rsidRPr="002B1901">
        <w:rPr>
          <w:rFonts w:ascii="Garamond" w:hAnsi="Garamond" w:cs="Times New Roman"/>
          <w:sz w:val="24"/>
          <w:szCs w:val="20"/>
        </w:rPr>
        <w:t>performance</w:t>
      </w:r>
      <w:r w:rsidR="00447276" w:rsidRPr="002B1901">
        <w:rPr>
          <w:rFonts w:ascii="Garamond" w:hAnsi="Garamond" w:cs="Times New Roman"/>
          <w:sz w:val="24"/>
          <w:szCs w:val="20"/>
        </w:rPr>
        <w:t xml:space="preserve"> and </w:t>
      </w:r>
      <w:r w:rsidR="00341300" w:rsidRPr="002B1901">
        <w:rPr>
          <w:rFonts w:ascii="Garamond" w:hAnsi="Garamond" w:cs="Times New Roman"/>
          <w:sz w:val="24"/>
          <w:szCs w:val="20"/>
        </w:rPr>
        <w:t>providing technical assistance</w:t>
      </w:r>
      <w:r w:rsidR="00AA080D" w:rsidRPr="002B1901">
        <w:rPr>
          <w:rFonts w:ascii="Garamond" w:hAnsi="Garamond" w:cs="Times New Roman"/>
          <w:sz w:val="24"/>
          <w:szCs w:val="20"/>
        </w:rPr>
        <w:t>, leadership,</w:t>
      </w:r>
      <w:r w:rsidR="00341300" w:rsidRPr="002B1901">
        <w:rPr>
          <w:rFonts w:ascii="Garamond" w:hAnsi="Garamond" w:cs="Times New Roman"/>
          <w:sz w:val="24"/>
          <w:szCs w:val="20"/>
        </w:rPr>
        <w:t xml:space="preserve"> and </w:t>
      </w:r>
      <w:r w:rsidR="004C4FF9" w:rsidRPr="002B1901">
        <w:rPr>
          <w:rFonts w:ascii="Garamond" w:hAnsi="Garamond" w:cs="Times New Roman"/>
          <w:sz w:val="24"/>
          <w:szCs w:val="20"/>
        </w:rPr>
        <w:t xml:space="preserve">high-quality </w:t>
      </w:r>
      <w:r w:rsidR="00341300" w:rsidRPr="002B1901">
        <w:rPr>
          <w:rFonts w:ascii="Garamond" w:hAnsi="Garamond" w:cs="Times New Roman"/>
          <w:sz w:val="24"/>
          <w:szCs w:val="20"/>
        </w:rPr>
        <w:t>professional development</w:t>
      </w:r>
      <w:r w:rsidR="00AA080D" w:rsidRPr="002B1901">
        <w:rPr>
          <w:rFonts w:ascii="Garamond" w:hAnsi="Garamond" w:cs="Times New Roman"/>
          <w:sz w:val="24"/>
          <w:szCs w:val="20"/>
        </w:rPr>
        <w:t xml:space="preserve"> opportunities</w:t>
      </w:r>
      <w:r w:rsidR="00341300" w:rsidRPr="002B1901">
        <w:rPr>
          <w:rFonts w:ascii="Garamond" w:hAnsi="Garamond" w:cs="Times New Roman"/>
          <w:sz w:val="24"/>
          <w:szCs w:val="20"/>
        </w:rPr>
        <w:t xml:space="preserve">; </w:t>
      </w:r>
      <w:r w:rsidRPr="002B1901">
        <w:rPr>
          <w:rFonts w:ascii="Garamond" w:hAnsi="Garamond" w:cs="Times New Roman"/>
          <w:sz w:val="24"/>
          <w:szCs w:val="20"/>
        </w:rPr>
        <w:t xml:space="preserve">(2) </w:t>
      </w:r>
      <w:r w:rsidR="00926C7F">
        <w:rPr>
          <w:rFonts w:ascii="Garamond" w:hAnsi="Garamond" w:cs="Times New Roman"/>
          <w:sz w:val="24"/>
          <w:szCs w:val="20"/>
        </w:rPr>
        <w:t>C</w:t>
      </w:r>
      <w:r w:rsidR="00372191" w:rsidRPr="002B1901">
        <w:rPr>
          <w:rFonts w:ascii="Garamond" w:hAnsi="Garamond" w:cs="Times New Roman"/>
          <w:sz w:val="24"/>
          <w:szCs w:val="20"/>
        </w:rPr>
        <w:t>ollaboration with WIOA core and other partners on local, state, and national levels</w:t>
      </w:r>
      <w:r w:rsidRPr="002B1901">
        <w:rPr>
          <w:rFonts w:ascii="Garamond" w:hAnsi="Garamond" w:cs="Times New Roman"/>
          <w:sz w:val="24"/>
          <w:szCs w:val="20"/>
        </w:rPr>
        <w:t>;</w:t>
      </w:r>
      <w:r w:rsidR="00372191" w:rsidRPr="002B1901">
        <w:rPr>
          <w:rFonts w:ascii="Garamond" w:hAnsi="Garamond" w:cs="Times New Roman"/>
          <w:sz w:val="24"/>
          <w:szCs w:val="20"/>
        </w:rPr>
        <w:t xml:space="preserve"> </w:t>
      </w:r>
      <w:r w:rsidR="00341300" w:rsidRPr="002B1901">
        <w:rPr>
          <w:rFonts w:ascii="Garamond" w:hAnsi="Garamond" w:cs="Times New Roman"/>
          <w:sz w:val="24"/>
          <w:szCs w:val="20"/>
        </w:rPr>
        <w:t xml:space="preserve">and </w:t>
      </w:r>
      <w:r w:rsidRPr="002B1901">
        <w:rPr>
          <w:rFonts w:ascii="Garamond" w:hAnsi="Garamond" w:cs="Times New Roman"/>
          <w:sz w:val="24"/>
          <w:szCs w:val="20"/>
        </w:rPr>
        <w:t>(3) R</w:t>
      </w:r>
      <w:r w:rsidR="00341300" w:rsidRPr="002B1901">
        <w:rPr>
          <w:rFonts w:ascii="Garamond" w:hAnsi="Garamond" w:cs="Times New Roman"/>
          <w:sz w:val="24"/>
          <w:szCs w:val="20"/>
        </w:rPr>
        <w:t xml:space="preserve">eporting to </w:t>
      </w:r>
      <w:r w:rsidRPr="002B1901">
        <w:rPr>
          <w:rFonts w:ascii="Garamond" w:hAnsi="Garamond" w:cs="Times New Roman"/>
          <w:sz w:val="24"/>
          <w:szCs w:val="20"/>
        </w:rPr>
        <w:t xml:space="preserve">state and federal agencies and </w:t>
      </w:r>
      <w:r w:rsidR="00EF2E08" w:rsidRPr="002B1901">
        <w:rPr>
          <w:rFonts w:ascii="Garamond" w:hAnsi="Garamond" w:cs="Times New Roman"/>
          <w:sz w:val="24"/>
          <w:szCs w:val="20"/>
        </w:rPr>
        <w:t xml:space="preserve">other </w:t>
      </w:r>
      <w:r w:rsidRPr="002B1901">
        <w:rPr>
          <w:rFonts w:ascii="Garamond" w:hAnsi="Garamond" w:cs="Times New Roman"/>
          <w:sz w:val="24"/>
          <w:szCs w:val="20"/>
        </w:rPr>
        <w:t>entities.</w:t>
      </w:r>
      <w:r w:rsidR="00341300" w:rsidRPr="002B1901">
        <w:rPr>
          <w:rFonts w:ascii="Garamond" w:hAnsi="Garamond" w:cs="Times New Roman"/>
          <w:sz w:val="24"/>
          <w:szCs w:val="20"/>
        </w:rPr>
        <w:t xml:space="preserve"> </w:t>
      </w:r>
      <w:r w:rsidR="00952D3B" w:rsidRPr="002B1901">
        <w:rPr>
          <w:rFonts w:ascii="Garamond" w:hAnsi="Garamond" w:cs="Times New Roman"/>
          <w:sz w:val="24"/>
          <w:szCs w:val="20"/>
        </w:rPr>
        <w:t>NM</w:t>
      </w:r>
      <w:r w:rsidR="0070762D" w:rsidRPr="002B1901">
        <w:rPr>
          <w:rFonts w:ascii="Garamond" w:hAnsi="Garamond" w:cs="Times New Roman"/>
          <w:sz w:val="24"/>
          <w:szCs w:val="20"/>
        </w:rPr>
        <w:t>HED-AE</w:t>
      </w:r>
      <w:r w:rsidR="00952D3B" w:rsidRPr="002B1901">
        <w:rPr>
          <w:rFonts w:ascii="Garamond" w:hAnsi="Garamond" w:cs="Times New Roman"/>
          <w:sz w:val="24"/>
          <w:szCs w:val="20"/>
        </w:rPr>
        <w:t xml:space="preserve"> supported 24 </w:t>
      </w:r>
      <w:r w:rsidR="00435FE4" w:rsidRPr="002B1901">
        <w:rPr>
          <w:rFonts w:ascii="Garamond" w:hAnsi="Garamond" w:cs="Times New Roman"/>
          <w:sz w:val="24"/>
          <w:szCs w:val="20"/>
        </w:rPr>
        <w:t xml:space="preserve">local </w:t>
      </w:r>
      <w:r w:rsidR="00952D3B" w:rsidRPr="002B1901">
        <w:rPr>
          <w:rFonts w:ascii="Garamond" w:hAnsi="Garamond" w:cs="Times New Roman"/>
          <w:sz w:val="24"/>
          <w:szCs w:val="20"/>
        </w:rPr>
        <w:t>adult education providers</w:t>
      </w:r>
      <w:r w:rsidR="00DD74C0" w:rsidRPr="002B1901">
        <w:rPr>
          <w:rFonts w:ascii="Garamond" w:hAnsi="Garamond" w:cs="Times New Roman"/>
          <w:sz w:val="24"/>
          <w:szCs w:val="20"/>
        </w:rPr>
        <w:t xml:space="preserve"> </w:t>
      </w:r>
      <w:r w:rsidR="00D07923" w:rsidRPr="002B1901">
        <w:rPr>
          <w:rFonts w:ascii="Garamond" w:hAnsi="Garamond" w:cs="Times New Roman"/>
          <w:sz w:val="24"/>
          <w:szCs w:val="20"/>
        </w:rPr>
        <w:t xml:space="preserve">during this </w:t>
      </w:r>
      <w:r w:rsidR="00B91329" w:rsidRPr="002B1901">
        <w:rPr>
          <w:rFonts w:ascii="Garamond" w:hAnsi="Garamond" w:cs="Times New Roman"/>
          <w:sz w:val="24"/>
          <w:szCs w:val="20"/>
        </w:rPr>
        <w:t>reporting year</w:t>
      </w:r>
      <w:r w:rsidR="000C2314" w:rsidRPr="002B1901">
        <w:rPr>
          <w:rFonts w:ascii="Garamond" w:hAnsi="Garamond" w:cs="Times New Roman"/>
          <w:sz w:val="24"/>
          <w:szCs w:val="20"/>
        </w:rPr>
        <w:t xml:space="preserve">, </w:t>
      </w:r>
      <w:r w:rsidR="00341300" w:rsidRPr="002B1901">
        <w:rPr>
          <w:rFonts w:ascii="Garamond" w:hAnsi="Garamond" w:cs="Times New Roman"/>
          <w:sz w:val="24"/>
          <w:szCs w:val="20"/>
        </w:rPr>
        <w:t>the</w:t>
      </w:r>
      <w:r w:rsidR="002B1901">
        <w:rPr>
          <w:rFonts w:ascii="Garamond" w:hAnsi="Garamond" w:cs="Times New Roman"/>
          <w:sz w:val="24"/>
          <w:szCs w:val="20"/>
        </w:rPr>
        <w:t xml:space="preserve"> final year</w:t>
      </w:r>
      <w:r w:rsidR="0070762D" w:rsidRPr="002B1901">
        <w:rPr>
          <w:rFonts w:ascii="Garamond" w:hAnsi="Garamond" w:cs="Times New Roman"/>
          <w:sz w:val="24"/>
          <w:szCs w:val="20"/>
        </w:rPr>
        <w:t xml:space="preserve"> </w:t>
      </w:r>
      <w:r w:rsidR="00341300" w:rsidRPr="002B1901">
        <w:rPr>
          <w:rFonts w:ascii="Garamond" w:hAnsi="Garamond" w:cs="Times New Roman"/>
          <w:sz w:val="24"/>
          <w:szCs w:val="20"/>
        </w:rPr>
        <w:t xml:space="preserve">of our current </w:t>
      </w:r>
      <w:r w:rsidR="000C2314" w:rsidRPr="002B1901">
        <w:rPr>
          <w:rFonts w:ascii="Garamond" w:hAnsi="Garamond" w:cs="Times New Roman"/>
          <w:sz w:val="24"/>
          <w:szCs w:val="20"/>
        </w:rPr>
        <w:t xml:space="preserve">competitive </w:t>
      </w:r>
      <w:r w:rsidR="00341300" w:rsidRPr="002B1901">
        <w:rPr>
          <w:rFonts w:ascii="Garamond" w:hAnsi="Garamond" w:cs="Times New Roman"/>
          <w:sz w:val="24"/>
          <w:szCs w:val="20"/>
        </w:rPr>
        <w:t>AEFLA grant cycle</w:t>
      </w:r>
      <w:r w:rsidR="003F30FD" w:rsidRPr="002B1901">
        <w:rPr>
          <w:rFonts w:ascii="Garamond" w:hAnsi="Garamond" w:cs="Times New Roman"/>
          <w:sz w:val="24"/>
          <w:szCs w:val="20"/>
        </w:rPr>
        <w:t xml:space="preserve">. </w:t>
      </w:r>
      <w:r w:rsidR="002B1901">
        <w:rPr>
          <w:rFonts w:ascii="Garamond" w:hAnsi="Garamond" w:cs="Times New Roman"/>
          <w:sz w:val="24"/>
          <w:szCs w:val="20"/>
        </w:rPr>
        <w:t xml:space="preserve">A new Request for Applications </w:t>
      </w:r>
      <w:r w:rsidR="00926C7F">
        <w:rPr>
          <w:rFonts w:ascii="Garamond" w:hAnsi="Garamond" w:cs="Times New Roman"/>
          <w:sz w:val="24"/>
          <w:szCs w:val="20"/>
        </w:rPr>
        <w:t xml:space="preserve">for the AEFLA grant </w:t>
      </w:r>
      <w:r w:rsidR="002B1901">
        <w:rPr>
          <w:rFonts w:ascii="Garamond" w:hAnsi="Garamond" w:cs="Times New Roman"/>
          <w:sz w:val="24"/>
          <w:szCs w:val="20"/>
        </w:rPr>
        <w:t>was released and the competition was held in spring 2021 for the next grant cycle (2021-2025).</w:t>
      </w:r>
      <w:r w:rsidR="00926C7F">
        <w:rPr>
          <w:rFonts w:ascii="Garamond" w:hAnsi="Garamond" w:cs="Times New Roman"/>
          <w:sz w:val="24"/>
          <w:szCs w:val="20"/>
        </w:rPr>
        <w:t xml:space="preserve"> NMHED-AE made sub-awards to 26 programs; these include all 24 programs from the previous grant cycle and two new</w:t>
      </w:r>
      <w:r w:rsidR="00EB1CD0">
        <w:rPr>
          <w:rFonts w:ascii="Garamond" w:hAnsi="Garamond" w:cs="Times New Roman"/>
          <w:sz w:val="24"/>
          <w:szCs w:val="20"/>
        </w:rPr>
        <w:t xml:space="preserve"> </w:t>
      </w:r>
      <w:r w:rsidR="00926C7F">
        <w:rPr>
          <w:rFonts w:ascii="Garamond" w:hAnsi="Garamond" w:cs="Times New Roman"/>
          <w:sz w:val="24"/>
          <w:szCs w:val="20"/>
        </w:rPr>
        <w:t xml:space="preserve">programs. </w:t>
      </w:r>
    </w:p>
    <w:p w14:paraId="3432EC95" w14:textId="23050403" w:rsidR="00DD227A" w:rsidRDefault="003F30FD" w:rsidP="00952D3B">
      <w:pPr>
        <w:spacing w:after="120"/>
        <w:rPr>
          <w:rFonts w:ascii="Garamond" w:hAnsi="Garamond" w:cs="Times New Roman"/>
          <w:sz w:val="24"/>
          <w:szCs w:val="20"/>
        </w:rPr>
      </w:pPr>
      <w:r w:rsidRPr="002B1901">
        <w:rPr>
          <w:rFonts w:ascii="Garamond" w:hAnsi="Garamond" w:cs="Times New Roman"/>
          <w:sz w:val="24"/>
          <w:szCs w:val="20"/>
        </w:rPr>
        <w:t>T</w:t>
      </w:r>
      <w:r w:rsidR="00D07923" w:rsidRPr="002B1901">
        <w:rPr>
          <w:rFonts w:ascii="Garamond" w:hAnsi="Garamond" w:cs="Times New Roman"/>
          <w:sz w:val="24"/>
          <w:szCs w:val="20"/>
        </w:rPr>
        <w:t xml:space="preserve">he majority of </w:t>
      </w:r>
      <w:r w:rsidR="0070762D" w:rsidRPr="002B1901">
        <w:rPr>
          <w:rFonts w:ascii="Garamond" w:hAnsi="Garamond" w:cs="Times New Roman"/>
          <w:sz w:val="24"/>
          <w:szCs w:val="20"/>
        </w:rPr>
        <w:t>New Mexico’s</w:t>
      </w:r>
      <w:r w:rsidRPr="002B1901">
        <w:rPr>
          <w:rFonts w:ascii="Garamond" w:hAnsi="Garamond" w:cs="Times New Roman"/>
          <w:sz w:val="24"/>
          <w:szCs w:val="20"/>
        </w:rPr>
        <w:t xml:space="preserve"> </w:t>
      </w:r>
      <w:r w:rsidR="00D07923" w:rsidRPr="002B1901">
        <w:rPr>
          <w:rFonts w:ascii="Garamond" w:hAnsi="Garamond" w:cs="Times New Roman"/>
          <w:sz w:val="24"/>
          <w:szCs w:val="20"/>
        </w:rPr>
        <w:t xml:space="preserve">local providers </w:t>
      </w:r>
      <w:r w:rsidR="0070762D" w:rsidRPr="002B1901">
        <w:rPr>
          <w:rFonts w:ascii="Garamond" w:hAnsi="Garamond" w:cs="Times New Roman"/>
          <w:sz w:val="24"/>
          <w:szCs w:val="20"/>
        </w:rPr>
        <w:t>are</w:t>
      </w:r>
      <w:r w:rsidR="00D07923" w:rsidRPr="002B1901">
        <w:rPr>
          <w:rFonts w:ascii="Garamond" w:hAnsi="Garamond" w:cs="Times New Roman"/>
          <w:sz w:val="24"/>
          <w:szCs w:val="20"/>
        </w:rPr>
        <w:t xml:space="preserve"> community colleges and branch campuses</w:t>
      </w:r>
      <w:r w:rsidR="00B91329" w:rsidRPr="002B1901">
        <w:rPr>
          <w:rFonts w:ascii="Garamond" w:hAnsi="Garamond" w:cs="Times New Roman"/>
          <w:sz w:val="24"/>
          <w:szCs w:val="20"/>
        </w:rPr>
        <w:t xml:space="preserve">. </w:t>
      </w:r>
      <w:r w:rsidR="00052094">
        <w:rPr>
          <w:rFonts w:ascii="Garamond" w:hAnsi="Garamond" w:cs="Times New Roman"/>
          <w:sz w:val="24"/>
          <w:szCs w:val="20"/>
        </w:rPr>
        <w:t xml:space="preserve">The 24 programs </w:t>
      </w:r>
      <w:r w:rsidR="00580FDC">
        <w:rPr>
          <w:rFonts w:ascii="Garamond" w:hAnsi="Garamond" w:cs="Times New Roman"/>
          <w:sz w:val="24"/>
          <w:szCs w:val="20"/>
        </w:rPr>
        <w:t xml:space="preserve">addressed </w:t>
      </w:r>
      <w:r w:rsidR="00052094">
        <w:rPr>
          <w:rFonts w:ascii="Garamond" w:hAnsi="Garamond" w:cs="Times New Roman"/>
          <w:sz w:val="24"/>
          <w:szCs w:val="20"/>
        </w:rPr>
        <w:t xml:space="preserve">in this PY 20/21 report </w:t>
      </w:r>
      <w:r w:rsidR="00580FDC">
        <w:rPr>
          <w:rFonts w:ascii="Garamond" w:hAnsi="Garamond" w:cs="Times New Roman"/>
          <w:sz w:val="24"/>
          <w:szCs w:val="20"/>
        </w:rPr>
        <w:t xml:space="preserve">include two nonprofit entities and one state agency (Corrections). </w:t>
      </w:r>
      <w:r w:rsidR="00516EEA">
        <w:rPr>
          <w:rFonts w:ascii="Garamond" w:hAnsi="Garamond" w:cs="Times New Roman"/>
          <w:sz w:val="24"/>
          <w:szCs w:val="20"/>
        </w:rPr>
        <w:t>The prolonged pandemic has severely impacted New Mexico’s vulnerable adult learners and teachers. Local programs have experienced drops in enrollment, staff turnover, COVID-19 outbreaks, and challenges transitioning to online and hybrid service delivery. Nonetheless</w:t>
      </w:r>
      <w:r w:rsidR="00B91329" w:rsidRPr="002B1901">
        <w:rPr>
          <w:rFonts w:ascii="Garamond" w:hAnsi="Garamond" w:cs="Times New Roman"/>
          <w:sz w:val="24"/>
          <w:szCs w:val="20"/>
        </w:rPr>
        <w:t>,</w:t>
      </w:r>
      <w:r w:rsidRPr="002B1901">
        <w:rPr>
          <w:rFonts w:ascii="Garamond" w:hAnsi="Garamond" w:cs="Times New Roman"/>
          <w:sz w:val="24"/>
          <w:szCs w:val="20"/>
        </w:rPr>
        <w:t xml:space="preserve"> </w:t>
      </w:r>
      <w:r w:rsidR="00071E37" w:rsidRPr="002B1901">
        <w:rPr>
          <w:rFonts w:ascii="Garamond" w:hAnsi="Garamond" w:cs="Times New Roman"/>
          <w:sz w:val="24"/>
          <w:szCs w:val="20"/>
        </w:rPr>
        <w:t xml:space="preserve">local </w:t>
      </w:r>
      <w:r w:rsidRPr="002B1901">
        <w:rPr>
          <w:rFonts w:ascii="Garamond" w:hAnsi="Garamond" w:cs="Times New Roman"/>
          <w:sz w:val="24"/>
          <w:szCs w:val="20"/>
        </w:rPr>
        <w:t>providers served a total of</w:t>
      </w:r>
      <w:r w:rsidR="00952D3B" w:rsidRPr="002B1901">
        <w:rPr>
          <w:rFonts w:ascii="Garamond" w:hAnsi="Garamond" w:cs="Times New Roman"/>
          <w:sz w:val="24"/>
          <w:szCs w:val="20"/>
        </w:rPr>
        <w:t xml:space="preserve"> </w:t>
      </w:r>
      <w:r w:rsidR="002B1901" w:rsidRPr="002B1901">
        <w:rPr>
          <w:rFonts w:ascii="Garamond" w:hAnsi="Garamond" w:cs="Times New Roman"/>
          <w:sz w:val="24"/>
          <w:szCs w:val="20"/>
        </w:rPr>
        <w:t>5,308</w:t>
      </w:r>
      <w:r w:rsidR="00952D3B" w:rsidRPr="002B1901">
        <w:rPr>
          <w:rFonts w:ascii="Garamond" w:hAnsi="Garamond" w:cs="Times New Roman"/>
          <w:sz w:val="24"/>
          <w:szCs w:val="20"/>
        </w:rPr>
        <w:t xml:space="preserve"> adult education students </w:t>
      </w:r>
      <w:r w:rsidR="00516EEA">
        <w:rPr>
          <w:rFonts w:ascii="Garamond" w:hAnsi="Garamond" w:cs="Times New Roman"/>
          <w:sz w:val="24"/>
          <w:szCs w:val="20"/>
        </w:rPr>
        <w:t>i</w:t>
      </w:r>
      <w:r w:rsidR="00435FE4" w:rsidRPr="002B1901">
        <w:rPr>
          <w:rFonts w:ascii="Garamond" w:hAnsi="Garamond" w:cs="Times New Roman"/>
          <w:sz w:val="24"/>
          <w:szCs w:val="20"/>
        </w:rPr>
        <w:t>n all four (4) workforce regions</w:t>
      </w:r>
      <w:r w:rsidR="0070762D" w:rsidRPr="002B1901">
        <w:rPr>
          <w:rFonts w:ascii="Garamond" w:hAnsi="Garamond" w:cs="Times New Roman"/>
          <w:sz w:val="24"/>
          <w:szCs w:val="20"/>
        </w:rPr>
        <w:t>.</w:t>
      </w:r>
      <w:r w:rsidR="00EB1CD0">
        <w:rPr>
          <w:rFonts w:ascii="Garamond" w:hAnsi="Garamond" w:cs="Times New Roman"/>
          <w:sz w:val="24"/>
          <w:szCs w:val="20"/>
        </w:rPr>
        <w:t xml:space="preserve"> </w:t>
      </w:r>
      <w:r w:rsidR="00A574BD" w:rsidRPr="002B1901">
        <w:rPr>
          <w:rFonts w:ascii="Garamond" w:hAnsi="Garamond" w:cs="Times New Roman"/>
          <w:sz w:val="24"/>
          <w:szCs w:val="20"/>
        </w:rPr>
        <w:t xml:space="preserve">In addition, Adult Education programs and services continued to be provided in </w:t>
      </w:r>
      <w:r w:rsidR="00DD227A" w:rsidRPr="002B1901">
        <w:rPr>
          <w:rFonts w:ascii="Garamond" w:hAnsi="Garamond" w:cs="Times New Roman"/>
          <w:sz w:val="24"/>
          <w:szCs w:val="20"/>
        </w:rPr>
        <w:t xml:space="preserve">all </w:t>
      </w:r>
      <w:r w:rsidR="005B5575" w:rsidRPr="002B1901">
        <w:rPr>
          <w:rFonts w:ascii="Garamond" w:hAnsi="Garamond" w:cs="Times New Roman"/>
          <w:sz w:val="24"/>
          <w:szCs w:val="20"/>
        </w:rPr>
        <w:t xml:space="preserve">New Mexico </w:t>
      </w:r>
      <w:r w:rsidR="00DD227A" w:rsidRPr="002B1901">
        <w:rPr>
          <w:rFonts w:ascii="Garamond" w:hAnsi="Garamond" w:cs="Times New Roman"/>
          <w:sz w:val="24"/>
          <w:szCs w:val="20"/>
        </w:rPr>
        <w:t>prison facilities</w:t>
      </w:r>
      <w:r w:rsidR="002B1901">
        <w:rPr>
          <w:rFonts w:ascii="Garamond" w:hAnsi="Garamond" w:cs="Times New Roman"/>
          <w:sz w:val="24"/>
          <w:szCs w:val="20"/>
        </w:rPr>
        <w:t>.</w:t>
      </w:r>
    </w:p>
    <w:p w14:paraId="64912897" w14:textId="635A18A9" w:rsidR="00A66D4B" w:rsidRDefault="00A66D4B" w:rsidP="00A66D4B">
      <w:pPr>
        <w:spacing w:after="120"/>
        <w:rPr>
          <w:rFonts w:ascii="Garamond" w:hAnsi="Garamond" w:cs="Times New Roman"/>
          <w:sz w:val="24"/>
          <w:szCs w:val="20"/>
        </w:rPr>
      </w:pPr>
      <w:r>
        <w:rPr>
          <w:rFonts w:ascii="Garamond" w:hAnsi="Garamond" w:cs="Times New Roman"/>
          <w:sz w:val="24"/>
          <w:szCs w:val="20"/>
        </w:rPr>
        <w:t xml:space="preserve">In October 2020, longtime State Director Frances Bannowsky retired. The new State Director, Amber Gallup Rodriguez, stepped into that role in January 2021. This change in leadership </w:t>
      </w:r>
      <w:r w:rsidR="007649D3">
        <w:rPr>
          <w:rFonts w:ascii="Garamond" w:hAnsi="Garamond" w:cs="Times New Roman"/>
          <w:sz w:val="24"/>
          <w:szCs w:val="20"/>
        </w:rPr>
        <w:t xml:space="preserve">has </w:t>
      </w:r>
      <w:r>
        <w:rPr>
          <w:rFonts w:ascii="Garamond" w:hAnsi="Garamond" w:cs="Times New Roman"/>
          <w:sz w:val="24"/>
          <w:szCs w:val="20"/>
        </w:rPr>
        <w:t xml:space="preserve">involved </w:t>
      </w:r>
      <w:r w:rsidR="007649D3">
        <w:rPr>
          <w:rFonts w:ascii="Garamond" w:hAnsi="Garamond" w:cs="Times New Roman"/>
          <w:sz w:val="24"/>
          <w:szCs w:val="20"/>
        </w:rPr>
        <w:t xml:space="preserve">much </w:t>
      </w:r>
      <w:r>
        <w:rPr>
          <w:rFonts w:ascii="Garamond" w:hAnsi="Garamond" w:cs="Times New Roman"/>
          <w:sz w:val="24"/>
          <w:szCs w:val="20"/>
        </w:rPr>
        <w:t xml:space="preserve">learning in a short time period for </w:t>
      </w:r>
      <w:r w:rsidR="00587802">
        <w:rPr>
          <w:rFonts w:ascii="Garamond" w:hAnsi="Garamond" w:cs="Times New Roman"/>
          <w:sz w:val="24"/>
          <w:szCs w:val="20"/>
        </w:rPr>
        <w:t>Ms. Gallup Rodriguez</w:t>
      </w:r>
      <w:r>
        <w:rPr>
          <w:rFonts w:ascii="Garamond" w:hAnsi="Garamond" w:cs="Times New Roman"/>
          <w:sz w:val="24"/>
          <w:szCs w:val="20"/>
        </w:rPr>
        <w:t xml:space="preserve"> and </w:t>
      </w:r>
      <w:r w:rsidR="00587802">
        <w:rPr>
          <w:rFonts w:ascii="Garamond" w:hAnsi="Garamond" w:cs="Times New Roman"/>
          <w:sz w:val="24"/>
          <w:szCs w:val="20"/>
        </w:rPr>
        <w:t xml:space="preserve">has </w:t>
      </w:r>
      <w:r>
        <w:rPr>
          <w:rFonts w:ascii="Garamond" w:hAnsi="Garamond" w:cs="Times New Roman"/>
          <w:sz w:val="24"/>
          <w:szCs w:val="20"/>
        </w:rPr>
        <w:t xml:space="preserve">occasioned both the continuation of long-held priorities and the introduction of </w:t>
      </w:r>
      <w:r w:rsidR="007649D3">
        <w:rPr>
          <w:rFonts w:ascii="Garamond" w:hAnsi="Garamond" w:cs="Times New Roman"/>
          <w:sz w:val="24"/>
          <w:szCs w:val="20"/>
        </w:rPr>
        <w:t>several n</w:t>
      </w:r>
      <w:r>
        <w:rPr>
          <w:rFonts w:ascii="Garamond" w:hAnsi="Garamond" w:cs="Times New Roman"/>
          <w:sz w:val="24"/>
          <w:szCs w:val="20"/>
        </w:rPr>
        <w:t>ew initiatives and emphases. Many of the activities detailed in th</w:t>
      </w:r>
      <w:r w:rsidR="00587802">
        <w:rPr>
          <w:rFonts w:ascii="Garamond" w:hAnsi="Garamond" w:cs="Times New Roman"/>
          <w:sz w:val="24"/>
          <w:szCs w:val="20"/>
        </w:rPr>
        <w:t>is</w:t>
      </w:r>
      <w:r>
        <w:rPr>
          <w:rFonts w:ascii="Garamond" w:hAnsi="Garamond" w:cs="Times New Roman"/>
          <w:sz w:val="24"/>
          <w:szCs w:val="20"/>
        </w:rPr>
        <w:t xml:space="preserve"> report </w:t>
      </w:r>
      <w:r w:rsidR="00587802">
        <w:rPr>
          <w:rFonts w:ascii="Garamond" w:hAnsi="Garamond" w:cs="Times New Roman"/>
          <w:sz w:val="24"/>
          <w:szCs w:val="20"/>
        </w:rPr>
        <w:t>r</w:t>
      </w:r>
      <w:r>
        <w:rPr>
          <w:rFonts w:ascii="Garamond" w:hAnsi="Garamond" w:cs="Times New Roman"/>
          <w:sz w:val="24"/>
          <w:szCs w:val="20"/>
        </w:rPr>
        <w:t xml:space="preserve">epresent first steps – such as the design of a professional development system and </w:t>
      </w:r>
      <w:r w:rsidR="00717E3F">
        <w:rPr>
          <w:rFonts w:ascii="Garamond" w:hAnsi="Garamond" w:cs="Times New Roman"/>
          <w:sz w:val="24"/>
          <w:szCs w:val="20"/>
        </w:rPr>
        <w:t>a</w:t>
      </w:r>
      <w:r>
        <w:rPr>
          <w:rFonts w:ascii="Garamond" w:hAnsi="Garamond" w:cs="Times New Roman"/>
          <w:sz w:val="24"/>
          <w:szCs w:val="20"/>
        </w:rPr>
        <w:t xml:space="preserve"> revision of monitoring procedures – in a longer-term strategy of serving more learners better in New Mexico. </w:t>
      </w:r>
    </w:p>
    <w:p w14:paraId="2EAC3558" w14:textId="77777777" w:rsidR="00587802" w:rsidRDefault="00587802" w:rsidP="00240833">
      <w:pPr>
        <w:spacing w:after="120"/>
        <w:ind w:right="72"/>
        <w:rPr>
          <w:rFonts w:ascii="Garamond" w:hAnsi="Garamond" w:cs="Times New Roman"/>
          <w:b/>
          <w:sz w:val="24"/>
          <w:szCs w:val="20"/>
          <w:u w:val="single"/>
        </w:rPr>
      </w:pPr>
    </w:p>
    <w:p w14:paraId="20AAE2B4" w14:textId="745CFEE9" w:rsidR="00240833" w:rsidRPr="006469F1" w:rsidRDefault="00240833" w:rsidP="00240833">
      <w:pPr>
        <w:spacing w:after="120"/>
        <w:ind w:right="72"/>
        <w:rPr>
          <w:rFonts w:ascii="Garamond" w:hAnsi="Garamond" w:cs="Times New Roman"/>
          <w:b/>
          <w:sz w:val="24"/>
          <w:szCs w:val="20"/>
          <w:u w:val="single"/>
        </w:rPr>
      </w:pPr>
      <w:r w:rsidRPr="006469F1">
        <w:rPr>
          <w:rFonts w:ascii="Garamond" w:hAnsi="Garamond" w:cs="Times New Roman"/>
          <w:b/>
          <w:sz w:val="24"/>
          <w:szCs w:val="20"/>
          <w:u w:val="single"/>
        </w:rPr>
        <w:t>1. State Leadership Funds (AEFLA Section 223)</w:t>
      </w:r>
    </w:p>
    <w:p w14:paraId="56C7CD4F" w14:textId="77777777" w:rsidR="00240833" w:rsidRPr="006469F1" w:rsidRDefault="00240833" w:rsidP="00240833">
      <w:pPr>
        <w:spacing w:after="120"/>
        <w:ind w:right="72"/>
        <w:rPr>
          <w:rFonts w:ascii="Garamond" w:hAnsi="Garamond" w:cs="Times New Roman"/>
          <w:b/>
          <w:sz w:val="24"/>
          <w:szCs w:val="20"/>
          <w:u w:val="single"/>
        </w:rPr>
      </w:pPr>
      <w:r w:rsidRPr="006469F1">
        <w:rPr>
          <w:rFonts w:ascii="Garamond" w:hAnsi="Garamond" w:cs="Times New Roman"/>
          <w:b/>
          <w:sz w:val="24"/>
          <w:szCs w:val="20"/>
          <w:u w:val="single"/>
        </w:rPr>
        <w:t>(a) Describe how the State has used funds made available under section 223 (State Leadership activities) for each the following required activities:</w:t>
      </w:r>
    </w:p>
    <w:p w14:paraId="4A1C3933" w14:textId="79DF320B" w:rsidR="00E24DD0" w:rsidRPr="006469F1" w:rsidRDefault="00240833" w:rsidP="00F57295">
      <w:pPr>
        <w:spacing w:after="120"/>
        <w:ind w:right="72"/>
        <w:rPr>
          <w:rFonts w:ascii="Garamond" w:hAnsi="Garamond" w:cs="Times New Roman"/>
          <w:b/>
          <w:iCs/>
          <w:sz w:val="24"/>
          <w:szCs w:val="20"/>
        </w:rPr>
      </w:pPr>
      <w:r w:rsidRPr="006469F1">
        <w:rPr>
          <w:rFonts w:ascii="Garamond" w:hAnsi="Garamond" w:cs="Times New Roman"/>
          <w:b/>
          <w:iCs/>
          <w:sz w:val="24"/>
          <w:szCs w:val="20"/>
        </w:rPr>
        <w:t>Alignment of adult education and literacy activities with other one-stop required partners to</w:t>
      </w:r>
      <w:r w:rsidRPr="006469F1">
        <w:rPr>
          <w:rFonts w:ascii="Garamond" w:hAnsi="Garamond" w:cs="Times New Roman"/>
          <w:b/>
          <w:sz w:val="24"/>
          <w:szCs w:val="20"/>
          <w:u w:val="single"/>
        </w:rPr>
        <w:t xml:space="preserve"> </w:t>
      </w:r>
      <w:r w:rsidRPr="006469F1">
        <w:rPr>
          <w:rFonts w:ascii="Garamond" w:hAnsi="Garamond" w:cs="Times New Roman"/>
          <w:b/>
          <w:iCs/>
          <w:sz w:val="24"/>
          <w:szCs w:val="20"/>
        </w:rPr>
        <w:t xml:space="preserve">implement the strategies in the Unified or Combined State Plan as described in section </w:t>
      </w:r>
      <w:r w:rsidRPr="006469F1">
        <w:rPr>
          <w:rFonts w:ascii="Garamond" w:hAnsi="Garamond" w:cs="Times New Roman"/>
          <w:b/>
          <w:iCs/>
          <w:sz w:val="24"/>
          <w:szCs w:val="20"/>
        </w:rPr>
        <w:lastRenderedPageBreak/>
        <w:t>223(1)(a).</w:t>
      </w:r>
      <w:r w:rsidR="00EB1CD0">
        <w:rPr>
          <w:rFonts w:ascii="Garamond" w:hAnsi="Garamond" w:cs="Times New Roman"/>
          <w:b/>
          <w:iCs/>
          <w:sz w:val="24"/>
          <w:szCs w:val="20"/>
        </w:rPr>
        <w:t xml:space="preserve"> </w:t>
      </w:r>
      <w:r w:rsidR="00620893" w:rsidRPr="006469F1">
        <w:rPr>
          <w:rFonts w:ascii="Garamond" w:hAnsi="Garamond" w:cs="Times New Roman"/>
          <w:iCs/>
          <w:sz w:val="24"/>
          <w:szCs w:val="20"/>
        </w:rPr>
        <w:t>New Mexico invested the majority of funds made available under Section 223 in t</w:t>
      </w:r>
      <w:r w:rsidR="00967BBC" w:rsidRPr="006469F1">
        <w:rPr>
          <w:rFonts w:ascii="Garamond" w:hAnsi="Garamond" w:cs="Times New Roman"/>
          <w:iCs/>
          <w:sz w:val="24"/>
          <w:szCs w:val="20"/>
        </w:rPr>
        <w:t>hree</w:t>
      </w:r>
      <w:r w:rsidR="00620893" w:rsidRPr="006469F1">
        <w:rPr>
          <w:rFonts w:ascii="Garamond" w:hAnsi="Garamond" w:cs="Times New Roman"/>
          <w:iCs/>
          <w:sz w:val="24"/>
          <w:szCs w:val="20"/>
        </w:rPr>
        <w:t xml:space="preserve"> primary buckets: (1) </w:t>
      </w:r>
      <w:r w:rsidR="00072E70" w:rsidRPr="006469F1">
        <w:rPr>
          <w:rFonts w:ascii="Garamond" w:hAnsi="Garamond" w:cs="Times New Roman"/>
          <w:iCs/>
          <w:sz w:val="24"/>
          <w:szCs w:val="20"/>
        </w:rPr>
        <w:t>Supporting the L</w:t>
      </w:r>
      <w:r w:rsidR="00967BBC" w:rsidRPr="006469F1">
        <w:rPr>
          <w:rFonts w:ascii="Garamond" w:hAnsi="Garamond" w:cs="Times New Roman"/>
          <w:iCs/>
          <w:sz w:val="24"/>
          <w:szCs w:val="20"/>
        </w:rPr>
        <w:t xml:space="preserve">iteracy Pro contract for </w:t>
      </w:r>
      <w:r w:rsidR="003F75EB" w:rsidRPr="006469F1">
        <w:rPr>
          <w:rFonts w:ascii="Garamond" w:hAnsi="Garamond" w:cs="Times New Roman"/>
          <w:iCs/>
          <w:sz w:val="24"/>
          <w:szCs w:val="20"/>
        </w:rPr>
        <w:t xml:space="preserve">our </w:t>
      </w:r>
      <w:r w:rsidR="00967BBC" w:rsidRPr="006469F1">
        <w:rPr>
          <w:rFonts w:ascii="Garamond" w:hAnsi="Garamond" w:cs="Times New Roman"/>
          <w:iCs/>
          <w:sz w:val="24"/>
          <w:szCs w:val="20"/>
        </w:rPr>
        <w:t xml:space="preserve">LACES </w:t>
      </w:r>
      <w:r w:rsidR="003F75EB" w:rsidRPr="006469F1">
        <w:rPr>
          <w:rFonts w:ascii="Garamond" w:hAnsi="Garamond" w:cs="Times New Roman"/>
          <w:iCs/>
          <w:sz w:val="24"/>
          <w:szCs w:val="20"/>
        </w:rPr>
        <w:t>database</w:t>
      </w:r>
      <w:r w:rsidR="009D0940" w:rsidRPr="006469F1">
        <w:rPr>
          <w:rFonts w:ascii="Garamond" w:hAnsi="Garamond" w:cs="Times New Roman"/>
          <w:iCs/>
          <w:sz w:val="24"/>
          <w:szCs w:val="20"/>
        </w:rPr>
        <w:t xml:space="preserve">, </w:t>
      </w:r>
      <w:r w:rsidR="00620893" w:rsidRPr="006469F1">
        <w:rPr>
          <w:rFonts w:ascii="Garamond" w:hAnsi="Garamond" w:cs="Times New Roman"/>
          <w:iCs/>
          <w:sz w:val="24"/>
          <w:szCs w:val="20"/>
        </w:rPr>
        <w:t>(2) Professional development initiatives and opportunities,</w:t>
      </w:r>
      <w:r w:rsidR="00F36404">
        <w:rPr>
          <w:rFonts w:ascii="Garamond" w:hAnsi="Garamond" w:cs="Times New Roman"/>
          <w:iCs/>
          <w:sz w:val="24"/>
          <w:szCs w:val="20"/>
        </w:rPr>
        <w:t xml:space="preserve"> including the services of two professional development consultants who carried out distinct roles, </w:t>
      </w:r>
      <w:r w:rsidR="009D0940" w:rsidRPr="006469F1">
        <w:rPr>
          <w:rFonts w:ascii="Garamond" w:hAnsi="Garamond" w:cs="Times New Roman"/>
          <w:iCs/>
          <w:sz w:val="24"/>
          <w:szCs w:val="20"/>
        </w:rPr>
        <w:t>and (3) state staff salaries.</w:t>
      </w:r>
      <w:r w:rsidR="00EB1CD0">
        <w:rPr>
          <w:rFonts w:ascii="Garamond" w:hAnsi="Garamond" w:cs="Times New Roman"/>
          <w:iCs/>
          <w:sz w:val="24"/>
          <w:szCs w:val="20"/>
        </w:rPr>
        <w:t xml:space="preserve"> </w:t>
      </w:r>
      <w:r w:rsidR="009D0940" w:rsidRPr="006469F1">
        <w:rPr>
          <w:rFonts w:ascii="Garamond" w:hAnsi="Garamond" w:cs="Times New Roman"/>
          <w:iCs/>
          <w:sz w:val="24"/>
          <w:szCs w:val="20"/>
        </w:rPr>
        <w:t xml:space="preserve">Item </w:t>
      </w:r>
      <w:r w:rsidR="00F36404">
        <w:rPr>
          <w:rFonts w:ascii="Garamond" w:hAnsi="Garamond" w:cs="Times New Roman"/>
          <w:iCs/>
          <w:sz w:val="24"/>
          <w:szCs w:val="20"/>
        </w:rPr>
        <w:t>(1)</w:t>
      </w:r>
      <w:r w:rsidR="009D0940" w:rsidRPr="006469F1">
        <w:rPr>
          <w:rFonts w:ascii="Garamond" w:hAnsi="Garamond" w:cs="Times New Roman"/>
          <w:iCs/>
          <w:sz w:val="24"/>
          <w:szCs w:val="20"/>
        </w:rPr>
        <w:t xml:space="preserve"> is self-explanatory and k</w:t>
      </w:r>
      <w:r w:rsidR="00DA31B0" w:rsidRPr="006469F1">
        <w:rPr>
          <w:rFonts w:ascii="Garamond" w:hAnsi="Garamond" w:cs="Times New Roman"/>
          <w:iCs/>
          <w:sz w:val="24"/>
          <w:szCs w:val="20"/>
        </w:rPr>
        <w:t xml:space="preserve">ey professional development initiatives will be discussed </w:t>
      </w:r>
      <w:r w:rsidR="006818AF" w:rsidRPr="006469F1">
        <w:rPr>
          <w:rFonts w:ascii="Garamond" w:hAnsi="Garamond" w:cs="Times New Roman"/>
          <w:iCs/>
          <w:sz w:val="24"/>
          <w:szCs w:val="20"/>
        </w:rPr>
        <w:t xml:space="preserve">in the next subsection </w:t>
      </w:r>
      <w:r w:rsidR="009D0940" w:rsidRPr="006469F1">
        <w:rPr>
          <w:rFonts w:ascii="Garamond" w:hAnsi="Garamond" w:cs="Times New Roman"/>
          <w:iCs/>
          <w:sz w:val="24"/>
          <w:szCs w:val="20"/>
        </w:rPr>
        <w:t>below</w:t>
      </w:r>
      <w:r w:rsidR="00DA31B0" w:rsidRPr="006469F1">
        <w:rPr>
          <w:rFonts w:ascii="Garamond" w:hAnsi="Garamond" w:cs="Times New Roman"/>
          <w:iCs/>
          <w:sz w:val="24"/>
          <w:szCs w:val="20"/>
        </w:rPr>
        <w:t xml:space="preserve">, so this </w:t>
      </w:r>
      <w:r w:rsidR="006818AF" w:rsidRPr="006469F1">
        <w:rPr>
          <w:rFonts w:ascii="Garamond" w:hAnsi="Garamond" w:cs="Times New Roman"/>
          <w:iCs/>
          <w:sz w:val="24"/>
          <w:szCs w:val="20"/>
        </w:rPr>
        <w:t>sub</w:t>
      </w:r>
      <w:r w:rsidR="00DA31B0" w:rsidRPr="006469F1">
        <w:rPr>
          <w:rFonts w:ascii="Garamond" w:hAnsi="Garamond" w:cs="Times New Roman"/>
          <w:iCs/>
          <w:sz w:val="24"/>
          <w:szCs w:val="20"/>
        </w:rPr>
        <w:t xml:space="preserve">section will </w:t>
      </w:r>
      <w:r w:rsidR="001E14DC" w:rsidRPr="006469F1">
        <w:rPr>
          <w:rFonts w:ascii="Garamond" w:hAnsi="Garamond" w:cs="Times New Roman"/>
          <w:iCs/>
          <w:sz w:val="24"/>
          <w:szCs w:val="20"/>
        </w:rPr>
        <w:t>highlight some</w:t>
      </w:r>
      <w:r w:rsidR="00DA31B0" w:rsidRPr="006469F1">
        <w:rPr>
          <w:rFonts w:ascii="Garamond" w:hAnsi="Garamond" w:cs="Times New Roman"/>
          <w:iCs/>
          <w:sz w:val="24"/>
          <w:szCs w:val="20"/>
        </w:rPr>
        <w:t xml:space="preserve"> elements related to (</w:t>
      </w:r>
      <w:r w:rsidR="009D0940" w:rsidRPr="006469F1">
        <w:rPr>
          <w:rFonts w:ascii="Garamond" w:hAnsi="Garamond" w:cs="Times New Roman"/>
          <w:iCs/>
          <w:sz w:val="24"/>
          <w:szCs w:val="20"/>
        </w:rPr>
        <w:t>3</w:t>
      </w:r>
      <w:r w:rsidR="00DA31B0" w:rsidRPr="006469F1">
        <w:rPr>
          <w:rFonts w:ascii="Garamond" w:hAnsi="Garamond" w:cs="Times New Roman"/>
          <w:iCs/>
          <w:sz w:val="24"/>
          <w:szCs w:val="20"/>
        </w:rPr>
        <w:t>).</w:t>
      </w:r>
    </w:p>
    <w:p w14:paraId="01658ADA" w14:textId="1270FDD0" w:rsidR="003315E0" w:rsidRDefault="007E2192" w:rsidP="003315E0">
      <w:pPr>
        <w:spacing w:after="120"/>
        <w:ind w:right="72"/>
        <w:rPr>
          <w:rFonts w:ascii="Garamond" w:hAnsi="Garamond" w:cs="Times New Roman"/>
          <w:iCs/>
          <w:sz w:val="24"/>
          <w:szCs w:val="20"/>
        </w:rPr>
      </w:pPr>
      <w:r w:rsidRPr="006469F1">
        <w:rPr>
          <w:rFonts w:ascii="Garamond" w:hAnsi="Garamond" w:cs="Times New Roman"/>
          <w:iCs/>
          <w:sz w:val="24"/>
          <w:szCs w:val="20"/>
        </w:rPr>
        <w:t>To support implementation of strategies and initiatives in New Mexico’s Combined State Plan, t</w:t>
      </w:r>
      <w:r w:rsidR="00F57295" w:rsidRPr="006469F1">
        <w:rPr>
          <w:rFonts w:ascii="Garamond" w:hAnsi="Garamond" w:cs="Times New Roman"/>
          <w:iCs/>
          <w:sz w:val="24"/>
          <w:szCs w:val="20"/>
        </w:rPr>
        <w:t xml:space="preserve">he </w:t>
      </w:r>
      <w:r w:rsidR="000539B6">
        <w:rPr>
          <w:rFonts w:ascii="Garamond" w:hAnsi="Garamond" w:cs="Times New Roman"/>
          <w:iCs/>
          <w:sz w:val="24"/>
          <w:szCs w:val="20"/>
        </w:rPr>
        <w:t xml:space="preserve">former and current </w:t>
      </w:r>
      <w:r w:rsidR="00F57295" w:rsidRPr="006469F1">
        <w:rPr>
          <w:rFonts w:ascii="Garamond" w:hAnsi="Garamond" w:cs="Times New Roman"/>
          <w:iCs/>
          <w:sz w:val="24"/>
          <w:szCs w:val="20"/>
        </w:rPr>
        <w:t>State Director</w:t>
      </w:r>
      <w:r w:rsidR="000539B6">
        <w:rPr>
          <w:rFonts w:ascii="Garamond" w:hAnsi="Garamond" w:cs="Times New Roman"/>
          <w:iCs/>
          <w:sz w:val="24"/>
          <w:szCs w:val="20"/>
        </w:rPr>
        <w:t>s</w:t>
      </w:r>
      <w:r w:rsidR="00324621">
        <w:rPr>
          <w:rFonts w:ascii="Garamond" w:hAnsi="Garamond" w:cs="Times New Roman"/>
          <w:iCs/>
          <w:sz w:val="24"/>
          <w:szCs w:val="20"/>
        </w:rPr>
        <w:t xml:space="preserve"> and </w:t>
      </w:r>
      <w:r w:rsidR="00F36979">
        <w:rPr>
          <w:rFonts w:ascii="Garamond" w:hAnsi="Garamond" w:cs="Times New Roman"/>
          <w:iCs/>
          <w:sz w:val="24"/>
          <w:szCs w:val="20"/>
        </w:rPr>
        <w:t>staff</w:t>
      </w:r>
      <w:r w:rsidR="00324621">
        <w:rPr>
          <w:rFonts w:ascii="Garamond" w:hAnsi="Garamond" w:cs="Times New Roman"/>
          <w:iCs/>
          <w:sz w:val="24"/>
          <w:szCs w:val="20"/>
        </w:rPr>
        <w:t xml:space="preserve"> members engaged in various initiatives and participated</w:t>
      </w:r>
      <w:r w:rsidR="0056451E">
        <w:rPr>
          <w:rFonts w:ascii="Garamond" w:hAnsi="Garamond" w:cs="Times New Roman"/>
          <w:iCs/>
          <w:sz w:val="24"/>
          <w:szCs w:val="20"/>
        </w:rPr>
        <w:t xml:space="preserve"> actively</w:t>
      </w:r>
      <w:r w:rsidR="00324621">
        <w:rPr>
          <w:rFonts w:ascii="Garamond" w:hAnsi="Garamond" w:cs="Times New Roman"/>
          <w:iCs/>
          <w:sz w:val="24"/>
          <w:szCs w:val="20"/>
        </w:rPr>
        <w:t xml:space="preserve"> in cross-agency committees and task forces.</w:t>
      </w:r>
      <w:r w:rsidR="005B7866">
        <w:rPr>
          <w:rFonts w:ascii="Garamond" w:hAnsi="Garamond" w:cs="Times New Roman"/>
          <w:iCs/>
          <w:sz w:val="24"/>
          <w:szCs w:val="20"/>
        </w:rPr>
        <w:t xml:space="preserve"> T</w:t>
      </w:r>
      <w:r w:rsidR="005B7866" w:rsidRPr="006469F1">
        <w:rPr>
          <w:rFonts w:ascii="Garamond" w:hAnsi="Garamond" w:cs="Times New Roman"/>
          <w:iCs/>
          <w:sz w:val="24"/>
          <w:szCs w:val="20"/>
        </w:rPr>
        <w:t>he Outreach Coordinator</w:t>
      </w:r>
      <w:r w:rsidR="005B7866">
        <w:rPr>
          <w:rFonts w:ascii="Garamond" w:hAnsi="Garamond" w:cs="Times New Roman"/>
          <w:iCs/>
          <w:sz w:val="24"/>
          <w:szCs w:val="20"/>
        </w:rPr>
        <w:t>, whose position was designed to assist NMHED-AE in building collaborative partnerships at the state and even national levels, often facilitate</w:t>
      </w:r>
      <w:r w:rsidR="00F36979">
        <w:rPr>
          <w:rFonts w:ascii="Garamond" w:hAnsi="Garamond" w:cs="Times New Roman"/>
          <w:iCs/>
          <w:sz w:val="24"/>
          <w:szCs w:val="20"/>
        </w:rPr>
        <w:t>d</w:t>
      </w:r>
      <w:r w:rsidR="005B7866">
        <w:rPr>
          <w:rFonts w:ascii="Garamond" w:hAnsi="Garamond" w:cs="Times New Roman"/>
          <w:iCs/>
          <w:sz w:val="24"/>
          <w:szCs w:val="20"/>
        </w:rPr>
        <w:t xml:space="preserve"> our participation in these initiatives.</w:t>
      </w:r>
      <w:r w:rsidR="00324621">
        <w:rPr>
          <w:rFonts w:ascii="Garamond" w:hAnsi="Garamond" w:cs="Times New Roman"/>
          <w:iCs/>
          <w:sz w:val="24"/>
          <w:szCs w:val="20"/>
        </w:rPr>
        <w:t xml:space="preserve"> The </w:t>
      </w:r>
      <w:r w:rsidR="00FC183D">
        <w:rPr>
          <w:rFonts w:ascii="Garamond" w:hAnsi="Garamond" w:cs="Times New Roman"/>
          <w:iCs/>
          <w:sz w:val="24"/>
          <w:szCs w:val="20"/>
        </w:rPr>
        <w:t>f</w:t>
      </w:r>
      <w:r w:rsidR="00324621">
        <w:rPr>
          <w:rFonts w:ascii="Garamond" w:hAnsi="Garamond" w:cs="Times New Roman"/>
          <w:iCs/>
          <w:sz w:val="24"/>
          <w:szCs w:val="20"/>
        </w:rPr>
        <w:t xml:space="preserve">ormer </w:t>
      </w:r>
      <w:r w:rsidR="00FC183D">
        <w:rPr>
          <w:rFonts w:ascii="Garamond" w:hAnsi="Garamond" w:cs="Times New Roman"/>
          <w:iCs/>
          <w:sz w:val="24"/>
          <w:szCs w:val="20"/>
        </w:rPr>
        <w:t xml:space="preserve">and current </w:t>
      </w:r>
      <w:r w:rsidR="00324621">
        <w:rPr>
          <w:rFonts w:ascii="Garamond" w:hAnsi="Garamond" w:cs="Times New Roman"/>
          <w:iCs/>
          <w:sz w:val="24"/>
          <w:szCs w:val="20"/>
        </w:rPr>
        <w:t>State Director</w:t>
      </w:r>
      <w:r w:rsidR="00FC183D">
        <w:rPr>
          <w:rFonts w:ascii="Garamond" w:hAnsi="Garamond" w:cs="Times New Roman"/>
          <w:iCs/>
          <w:sz w:val="24"/>
          <w:szCs w:val="20"/>
        </w:rPr>
        <w:t>s</w:t>
      </w:r>
      <w:r w:rsidR="00324621">
        <w:rPr>
          <w:rFonts w:ascii="Garamond" w:hAnsi="Garamond" w:cs="Times New Roman"/>
          <w:iCs/>
          <w:sz w:val="24"/>
          <w:szCs w:val="20"/>
        </w:rPr>
        <w:t xml:space="preserve"> </w:t>
      </w:r>
      <w:r w:rsidR="0045445C" w:rsidRPr="006469F1">
        <w:rPr>
          <w:rFonts w:ascii="Garamond" w:hAnsi="Garamond" w:cs="Times New Roman"/>
          <w:iCs/>
          <w:sz w:val="24"/>
          <w:szCs w:val="20"/>
        </w:rPr>
        <w:t xml:space="preserve">continued to serve on the </w:t>
      </w:r>
      <w:r w:rsidR="00F218EF" w:rsidRPr="006469F1">
        <w:rPr>
          <w:rFonts w:ascii="Garamond" w:hAnsi="Garamond" w:cs="Times New Roman"/>
          <w:iCs/>
          <w:sz w:val="24"/>
          <w:szCs w:val="20"/>
        </w:rPr>
        <w:t>Economic Development Department’s</w:t>
      </w:r>
      <w:r w:rsidR="00324621">
        <w:rPr>
          <w:rFonts w:ascii="Garamond" w:hAnsi="Garamond" w:cs="Times New Roman"/>
          <w:iCs/>
          <w:sz w:val="24"/>
          <w:szCs w:val="20"/>
        </w:rPr>
        <w:t xml:space="preserve"> </w:t>
      </w:r>
      <w:r w:rsidR="000426BF">
        <w:rPr>
          <w:rFonts w:ascii="Garamond" w:hAnsi="Garamond" w:cs="Times New Roman"/>
          <w:iCs/>
          <w:sz w:val="24"/>
          <w:szCs w:val="20"/>
        </w:rPr>
        <w:t>(NMEDD)</w:t>
      </w:r>
      <w:r w:rsidR="00F218EF" w:rsidRPr="006469F1">
        <w:rPr>
          <w:rFonts w:ascii="Garamond" w:hAnsi="Garamond" w:cs="Times New Roman"/>
          <w:iCs/>
          <w:sz w:val="24"/>
          <w:szCs w:val="20"/>
        </w:rPr>
        <w:t xml:space="preserve"> </w:t>
      </w:r>
      <w:r w:rsidR="0045445C" w:rsidRPr="006469F1">
        <w:rPr>
          <w:rFonts w:ascii="Garamond" w:hAnsi="Garamond" w:cs="Times New Roman"/>
          <w:iCs/>
          <w:sz w:val="24"/>
          <w:szCs w:val="20"/>
        </w:rPr>
        <w:t>Job Training Incentive Program (JTIP) board</w:t>
      </w:r>
      <w:r w:rsidR="00F218EF" w:rsidRPr="006469F1">
        <w:rPr>
          <w:rFonts w:ascii="Garamond" w:hAnsi="Garamond" w:cs="Times New Roman"/>
          <w:iCs/>
          <w:sz w:val="24"/>
          <w:szCs w:val="20"/>
        </w:rPr>
        <w:t>, a major state workforce system investment initiative.</w:t>
      </w:r>
      <w:r w:rsidR="0045445C" w:rsidRPr="006469F1">
        <w:rPr>
          <w:rFonts w:ascii="Garamond" w:hAnsi="Garamond" w:cs="Times New Roman"/>
          <w:iCs/>
          <w:sz w:val="24"/>
          <w:szCs w:val="20"/>
        </w:rPr>
        <w:t xml:space="preserve"> The Director and </w:t>
      </w:r>
      <w:r w:rsidR="00F57295" w:rsidRPr="006469F1">
        <w:rPr>
          <w:rFonts w:ascii="Garamond" w:hAnsi="Garamond" w:cs="Times New Roman"/>
          <w:iCs/>
          <w:sz w:val="24"/>
          <w:szCs w:val="20"/>
        </w:rPr>
        <w:t xml:space="preserve">Outreach Coordinator </w:t>
      </w:r>
      <w:r w:rsidRPr="006469F1">
        <w:rPr>
          <w:rFonts w:ascii="Garamond" w:hAnsi="Garamond" w:cs="Times New Roman"/>
          <w:iCs/>
          <w:sz w:val="24"/>
          <w:szCs w:val="20"/>
        </w:rPr>
        <w:t xml:space="preserve">continued to </w:t>
      </w:r>
      <w:r w:rsidR="00F57295" w:rsidRPr="006469F1">
        <w:rPr>
          <w:rFonts w:ascii="Garamond" w:hAnsi="Garamond" w:cs="Times New Roman"/>
          <w:iCs/>
          <w:sz w:val="24"/>
          <w:szCs w:val="20"/>
        </w:rPr>
        <w:t>participate</w:t>
      </w:r>
      <w:r w:rsidRPr="006469F1">
        <w:rPr>
          <w:rFonts w:ascii="Garamond" w:hAnsi="Garamond" w:cs="Times New Roman"/>
          <w:iCs/>
          <w:sz w:val="24"/>
          <w:szCs w:val="20"/>
        </w:rPr>
        <w:t xml:space="preserve"> </w:t>
      </w:r>
      <w:r w:rsidR="00F57295" w:rsidRPr="006469F1">
        <w:rPr>
          <w:rFonts w:ascii="Garamond" w:hAnsi="Garamond" w:cs="Times New Roman"/>
          <w:iCs/>
          <w:sz w:val="24"/>
          <w:szCs w:val="20"/>
        </w:rPr>
        <w:t xml:space="preserve">in monthly </w:t>
      </w:r>
      <w:r w:rsidRPr="006469F1">
        <w:rPr>
          <w:rFonts w:ascii="Garamond" w:hAnsi="Garamond" w:cs="Times New Roman"/>
          <w:iCs/>
          <w:sz w:val="24"/>
          <w:szCs w:val="20"/>
        </w:rPr>
        <w:t xml:space="preserve">state-level </w:t>
      </w:r>
      <w:r w:rsidR="00F57295" w:rsidRPr="006469F1">
        <w:rPr>
          <w:rFonts w:ascii="Garamond" w:hAnsi="Garamond" w:cs="Times New Roman"/>
          <w:iCs/>
          <w:sz w:val="24"/>
          <w:szCs w:val="20"/>
        </w:rPr>
        <w:t xml:space="preserve">WIOA </w:t>
      </w:r>
      <w:proofErr w:type="gramStart"/>
      <w:r w:rsidR="00A72223" w:rsidRPr="006469F1">
        <w:rPr>
          <w:rFonts w:ascii="Garamond" w:hAnsi="Garamond" w:cs="Times New Roman"/>
          <w:iCs/>
          <w:sz w:val="24"/>
          <w:szCs w:val="20"/>
        </w:rPr>
        <w:t>p</w:t>
      </w:r>
      <w:r w:rsidR="00F57295" w:rsidRPr="006469F1">
        <w:rPr>
          <w:rFonts w:ascii="Garamond" w:hAnsi="Garamond" w:cs="Times New Roman"/>
          <w:iCs/>
          <w:sz w:val="24"/>
          <w:szCs w:val="20"/>
        </w:rPr>
        <w:t>artner</w:t>
      </w:r>
      <w:r w:rsidR="00EB1CD0">
        <w:rPr>
          <w:rFonts w:ascii="Garamond" w:hAnsi="Garamond" w:cs="Times New Roman"/>
          <w:iCs/>
          <w:sz w:val="24"/>
          <w:szCs w:val="20"/>
        </w:rPr>
        <w:t xml:space="preserve"> </w:t>
      </w:r>
      <w:r w:rsidR="00726552">
        <w:rPr>
          <w:rFonts w:ascii="Garamond" w:hAnsi="Garamond" w:cs="Times New Roman"/>
          <w:iCs/>
          <w:sz w:val="24"/>
          <w:szCs w:val="20"/>
        </w:rPr>
        <w:t xml:space="preserve"> </w:t>
      </w:r>
      <w:r w:rsidR="00F57295" w:rsidRPr="006469F1">
        <w:rPr>
          <w:rFonts w:ascii="Garamond" w:hAnsi="Garamond" w:cs="Times New Roman"/>
          <w:iCs/>
          <w:sz w:val="24"/>
          <w:szCs w:val="20"/>
        </w:rPr>
        <w:t>meetings</w:t>
      </w:r>
      <w:proofErr w:type="gramEnd"/>
      <w:r w:rsidR="0045445C" w:rsidRPr="006469F1">
        <w:rPr>
          <w:rFonts w:ascii="Garamond" w:hAnsi="Garamond" w:cs="Times New Roman"/>
          <w:iCs/>
          <w:sz w:val="24"/>
          <w:szCs w:val="20"/>
        </w:rPr>
        <w:t xml:space="preserve"> and </w:t>
      </w:r>
      <w:r w:rsidR="0004048B" w:rsidRPr="006469F1">
        <w:rPr>
          <w:rFonts w:ascii="Garamond" w:hAnsi="Garamond" w:cs="Times New Roman"/>
          <w:iCs/>
          <w:sz w:val="24"/>
          <w:szCs w:val="20"/>
        </w:rPr>
        <w:t xml:space="preserve">in all </w:t>
      </w:r>
      <w:r w:rsidR="0045445C" w:rsidRPr="006469F1">
        <w:rPr>
          <w:rFonts w:ascii="Garamond" w:hAnsi="Garamond" w:cs="Times New Roman"/>
          <w:iCs/>
          <w:sz w:val="24"/>
          <w:szCs w:val="20"/>
        </w:rPr>
        <w:t>state workforce board meetings</w:t>
      </w:r>
      <w:r w:rsidR="005B7866">
        <w:rPr>
          <w:rFonts w:ascii="Garamond" w:hAnsi="Garamond" w:cs="Times New Roman"/>
          <w:iCs/>
          <w:sz w:val="24"/>
          <w:szCs w:val="20"/>
        </w:rPr>
        <w:t xml:space="preserve"> (the State Director was subsequently appointed to the State Workforce Board in early program year 2021-2022)</w:t>
      </w:r>
      <w:r w:rsidR="00FC183D">
        <w:rPr>
          <w:rFonts w:ascii="Garamond" w:hAnsi="Garamond" w:cs="Times New Roman"/>
          <w:iCs/>
          <w:sz w:val="24"/>
          <w:szCs w:val="20"/>
        </w:rPr>
        <w:t xml:space="preserve">, while also engaging in smaller, more frequent meetings </w:t>
      </w:r>
      <w:r w:rsidR="005B7866">
        <w:rPr>
          <w:rFonts w:ascii="Garamond" w:hAnsi="Garamond" w:cs="Times New Roman"/>
          <w:iCs/>
          <w:sz w:val="24"/>
          <w:szCs w:val="20"/>
        </w:rPr>
        <w:t xml:space="preserve">with </w:t>
      </w:r>
      <w:r w:rsidR="0056451E">
        <w:rPr>
          <w:rFonts w:ascii="Garamond" w:hAnsi="Garamond" w:cs="Times New Roman"/>
          <w:iCs/>
          <w:sz w:val="24"/>
          <w:szCs w:val="20"/>
        </w:rPr>
        <w:t>Department of Workforce Solutions’ (</w:t>
      </w:r>
      <w:r w:rsidR="005B7866">
        <w:rPr>
          <w:rFonts w:ascii="Garamond" w:hAnsi="Garamond" w:cs="Times New Roman"/>
          <w:iCs/>
          <w:sz w:val="24"/>
          <w:szCs w:val="20"/>
        </w:rPr>
        <w:t>NMDWS</w:t>
      </w:r>
      <w:r w:rsidR="0056451E">
        <w:rPr>
          <w:rFonts w:ascii="Garamond" w:hAnsi="Garamond" w:cs="Times New Roman"/>
          <w:iCs/>
          <w:sz w:val="24"/>
          <w:szCs w:val="20"/>
        </w:rPr>
        <w:t>)</w:t>
      </w:r>
      <w:r w:rsidR="005B7866">
        <w:rPr>
          <w:rFonts w:ascii="Garamond" w:hAnsi="Garamond" w:cs="Times New Roman"/>
          <w:iCs/>
          <w:sz w:val="24"/>
          <w:szCs w:val="20"/>
        </w:rPr>
        <w:t xml:space="preserve"> staff and leadership. </w:t>
      </w:r>
      <w:r w:rsidR="00FC183D">
        <w:rPr>
          <w:rFonts w:ascii="Garamond" w:hAnsi="Garamond" w:cs="Times New Roman"/>
          <w:iCs/>
          <w:sz w:val="24"/>
          <w:szCs w:val="20"/>
        </w:rPr>
        <w:t>These meetings have focused on several key issues that are central to our partnership with NMDWS (e.g., quarterly report requests that local programs receive from Workforce Development Boards</w:t>
      </w:r>
      <w:r w:rsidR="00A244F4">
        <w:rPr>
          <w:rFonts w:ascii="Garamond" w:hAnsi="Garamond" w:cs="Times New Roman"/>
          <w:iCs/>
          <w:sz w:val="24"/>
          <w:szCs w:val="20"/>
        </w:rPr>
        <w:t xml:space="preserve">; </w:t>
      </w:r>
      <w:r w:rsidR="00FC183D">
        <w:rPr>
          <w:rFonts w:ascii="Garamond" w:hAnsi="Garamond" w:cs="Times New Roman"/>
          <w:iCs/>
          <w:sz w:val="24"/>
          <w:szCs w:val="20"/>
        </w:rPr>
        <w:t>the process for referrals from One-Stops to adult education programs</w:t>
      </w:r>
      <w:r w:rsidR="00A244F4">
        <w:rPr>
          <w:rFonts w:ascii="Garamond" w:hAnsi="Garamond" w:cs="Times New Roman"/>
          <w:iCs/>
          <w:sz w:val="24"/>
          <w:szCs w:val="20"/>
        </w:rPr>
        <w:t>; arriving at a coordinated definition of “basic skills deficient”</w:t>
      </w:r>
      <w:r w:rsidR="00FC183D">
        <w:rPr>
          <w:rFonts w:ascii="Garamond" w:hAnsi="Garamond" w:cs="Times New Roman"/>
          <w:iCs/>
          <w:sz w:val="24"/>
          <w:szCs w:val="20"/>
        </w:rPr>
        <w:t xml:space="preserve">). </w:t>
      </w:r>
      <w:r w:rsidR="005B7866">
        <w:rPr>
          <w:rFonts w:ascii="Garamond" w:hAnsi="Garamond" w:cs="Times New Roman"/>
          <w:iCs/>
          <w:sz w:val="24"/>
          <w:szCs w:val="20"/>
        </w:rPr>
        <w:t>In addition, the Outreach Coordinator participated i</w:t>
      </w:r>
      <w:r w:rsidR="00F57295" w:rsidRPr="006469F1">
        <w:rPr>
          <w:rFonts w:ascii="Garamond" w:hAnsi="Garamond" w:cs="Times New Roman"/>
          <w:iCs/>
          <w:sz w:val="24"/>
          <w:szCs w:val="20"/>
        </w:rPr>
        <w:t xml:space="preserve">n </w:t>
      </w:r>
      <w:r w:rsidR="00DA31B0" w:rsidRPr="006469F1">
        <w:rPr>
          <w:rFonts w:ascii="Garamond" w:hAnsi="Garamond" w:cs="Times New Roman"/>
          <w:iCs/>
          <w:sz w:val="24"/>
          <w:szCs w:val="20"/>
        </w:rPr>
        <w:t xml:space="preserve">a </w:t>
      </w:r>
      <w:r w:rsidRPr="006469F1">
        <w:rPr>
          <w:rFonts w:ascii="Garamond" w:hAnsi="Garamond" w:cs="Times New Roman"/>
          <w:iCs/>
          <w:sz w:val="24"/>
          <w:szCs w:val="20"/>
        </w:rPr>
        <w:t xml:space="preserve">range of </w:t>
      </w:r>
      <w:r w:rsidR="002A17F4" w:rsidRPr="006469F1">
        <w:rPr>
          <w:rFonts w:ascii="Garamond" w:hAnsi="Garamond" w:cs="Times New Roman"/>
          <w:iCs/>
          <w:sz w:val="24"/>
          <w:szCs w:val="20"/>
        </w:rPr>
        <w:t xml:space="preserve">additional </w:t>
      </w:r>
      <w:r w:rsidR="00DA31B0" w:rsidRPr="006469F1">
        <w:rPr>
          <w:rFonts w:ascii="Garamond" w:hAnsi="Garamond" w:cs="Times New Roman"/>
          <w:iCs/>
          <w:sz w:val="24"/>
          <w:szCs w:val="20"/>
        </w:rPr>
        <w:t xml:space="preserve">regional </w:t>
      </w:r>
      <w:r w:rsidRPr="006469F1">
        <w:rPr>
          <w:rFonts w:ascii="Garamond" w:hAnsi="Garamond" w:cs="Times New Roman"/>
          <w:iCs/>
          <w:sz w:val="24"/>
          <w:szCs w:val="20"/>
        </w:rPr>
        <w:t>boar</w:t>
      </w:r>
      <w:r w:rsidR="005B7866">
        <w:rPr>
          <w:rFonts w:ascii="Garamond" w:hAnsi="Garamond" w:cs="Times New Roman"/>
          <w:iCs/>
          <w:sz w:val="24"/>
          <w:szCs w:val="20"/>
        </w:rPr>
        <w:t xml:space="preserve">d and </w:t>
      </w:r>
      <w:r w:rsidR="00F57295" w:rsidRPr="006469F1">
        <w:rPr>
          <w:rFonts w:ascii="Garamond" w:hAnsi="Garamond" w:cs="Times New Roman"/>
          <w:iCs/>
          <w:sz w:val="24"/>
          <w:szCs w:val="20"/>
        </w:rPr>
        <w:t>partner meeting</w:t>
      </w:r>
      <w:r w:rsidR="008878DF">
        <w:rPr>
          <w:rFonts w:ascii="Garamond" w:hAnsi="Garamond" w:cs="Times New Roman"/>
          <w:iCs/>
          <w:sz w:val="24"/>
          <w:szCs w:val="20"/>
        </w:rPr>
        <w:t>s</w:t>
      </w:r>
      <w:r w:rsidR="005B7866">
        <w:rPr>
          <w:rFonts w:ascii="Garamond" w:hAnsi="Garamond" w:cs="Times New Roman"/>
          <w:iCs/>
          <w:sz w:val="24"/>
          <w:szCs w:val="20"/>
        </w:rPr>
        <w:t xml:space="preserve"> and kept the State Director apprised of various efforts. </w:t>
      </w:r>
      <w:r w:rsidR="003315E0">
        <w:rPr>
          <w:rFonts w:ascii="Garamond" w:hAnsi="Garamond" w:cs="Times New Roman"/>
          <w:iCs/>
          <w:sz w:val="24"/>
          <w:szCs w:val="20"/>
        </w:rPr>
        <w:t>Our State Data Administrator collaborated with staff in a large, ongoing</w:t>
      </w:r>
      <w:r w:rsidR="00587802">
        <w:rPr>
          <w:rFonts w:ascii="Garamond" w:hAnsi="Garamond" w:cs="Times New Roman"/>
          <w:iCs/>
          <w:sz w:val="24"/>
          <w:szCs w:val="20"/>
        </w:rPr>
        <w:t>,</w:t>
      </w:r>
      <w:r w:rsidR="003315E0">
        <w:rPr>
          <w:rFonts w:ascii="Garamond" w:hAnsi="Garamond" w:cs="Times New Roman"/>
          <w:iCs/>
          <w:sz w:val="24"/>
          <w:szCs w:val="20"/>
        </w:rPr>
        <w:t xml:space="preserve"> cross-agency effort to build a longitudinal data system, while also joining the State Director in a workgroup with NMPED to solicit and review applications from providers of adult diplomas in order to fulfill legislation passed in New Mexico in 2019. </w:t>
      </w:r>
    </w:p>
    <w:p w14:paraId="11815C9E" w14:textId="717713F4" w:rsidR="00CC76AD" w:rsidRDefault="009022D3" w:rsidP="007D631F">
      <w:pPr>
        <w:spacing w:after="120"/>
        <w:ind w:right="72"/>
        <w:rPr>
          <w:rFonts w:ascii="Garamond" w:hAnsi="Garamond"/>
          <w:iCs/>
          <w:sz w:val="24"/>
          <w:szCs w:val="20"/>
        </w:rPr>
      </w:pPr>
      <w:r w:rsidRPr="00CC76AD">
        <w:rPr>
          <w:rFonts w:ascii="Garamond" w:hAnsi="Garamond" w:cs="Times New Roman"/>
          <w:b/>
          <w:iCs/>
          <w:sz w:val="24"/>
          <w:szCs w:val="20"/>
        </w:rPr>
        <w:t>The esta</w:t>
      </w:r>
      <w:r w:rsidR="00240833" w:rsidRPr="00CC76AD">
        <w:rPr>
          <w:rFonts w:ascii="Garamond" w:hAnsi="Garamond" w:cs="Times New Roman"/>
          <w:b/>
          <w:iCs/>
          <w:sz w:val="24"/>
          <w:szCs w:val="20"/>
        </w:rPr>
        <w:t>blishment or operation of high</w:t>
      </w:r>
      <w:r w:rsidR="00AA2781" w:rsidRPr="00CC76AD">
        <w:rPr>
          <w:rFonts w:ascii="Garamond" w:hAnsi="Garamond" w:cs="Times New Roman"/>
          <w:b/>
          <w:iCs/>
          <w:sz w:val="24"/>
          <w:szCs w:val="20"/>
        </w:rPr>
        <w:t>-</w:t>
      </w:r>
      <w:r w:rsidR="00240833" w:rsidRPr="00CC76AD">
        <w:rPr>
          <w:rFonts w:ascii="Garamond" w:hAnsi="Garamond" w:cs="Times New Roman"/>
          <w:b/>
          <w:iCs/>
          <w:sz w:val="24"/>
          <w:szCs w:val="20"/>
        </w:rPr>
        <w:t>quality professional development programs as described in section 223(1)(b).</w:t>
      </w:r>
      <w:r w:rsidR="00EB1CD0">
        <w:rPr>
          <w:rFonts w:ascii="Garamond" w:hAnsi="Garamond"/>
          <w:iCs/>
          <w:sz w:val="24"/>
          <w:szCs w:val="20"/>
        </w:rPr>
        <w:t xml:space="preserve"> NMHED-AE</w:t>
      </w:r>
      <w:r w:rsidR="00CC76AD">
        <w:rPr>
          <w:rFonts w:ascii="Garamond" w:hAnsi="Garamond"/>
          <w:iCs/>
          <w:sz w:val="24"/>
          <w:szCs w:val="20"/>
        </w:rPr>
        <w:t xml:space="preserve"> has always provided high-quality </w:t>
      </w:r>
      <w:r w:rsidR="005205CB">
        <w:rPr>
          <w:rFonts w:ascii="Garamond" w:hAnsi="Garamond"/>
          <w:iCs/>
          <w:sz w:val="24"/>
          <w:szCs w:val="20"/>
        </w:rPr>
        <w:t xml:space="preserve">and comprehensive </w:t>
      </w:r>
      <w:r w:rsidR="00CC76AD">
        <w:rPr>
          <w:rFonts w:ascii="Garamond" w:hAnsi="Garamond"/>
          <w:iCs/>
          <w:sz w:val="24"/>
          <w:szCs w:val="20"/>
        </w:rPr>
        <w:t>professional development (PD) opportunities for local programs</w:t>
      </w:r>
      <w:r w:rsidR="00DA3372">
        <w:rPr>
          <w:rFonts w:ascii="Garamond" w:hAnsi="Garamond"/>
          <w:iCs/>
          <w:sz w:val="24"/>
          <w:szCs w:val="20"/>
        </w:rPr>
        <w:t xml:space="preserve"> throughout the year</w:t>
      </w:r>
      <w:r w:rsidR="005205CB">
        <w:rPr>
          <w:rFonts w:ascii="Garamond" w:hAnsi="Garamond"/>
          <w:iCs/>
          <w:sz w:val="24"/>
          <w:szCs w:val="20"/>
        </w:rPr>
        <w:t xml:space="preserve">. However, our office </w:t>
      </w:r>
      <w:r w:rsidR="00CC76AD">
        <w:rPr>
          <w:rFonts w:ascii="Garamond" w:hAnsi="Garamond"/>
          <w:iCs/>
          <w:sz w:val="24"/>
          <w:szCs w:val="20"/>
        </w:rPr>
        <w:t xml:space="preserve">has </w:t>
      </w:r>
      <w:r w:rsidR="005205CB">
        <w:rPr>
          <w:rFonts w:ascii="Garamond" w:hAnsi="Garamond"/>
          <w:iCs/>
          <w:sz w:val="24"/>
          <w:szCs w:val="20"/>
        </w:rPr>
        <w:t xml:space="preserve">also </w:t>
      </w:r>
      <w:r w:rsidR="00CC76AD">
        <w:rPr>
          <w:rFonts w:ascii="Garamond" w:hAnsi="Garamond"/>
          <w:iCs/>
          <w:sz w:val="24"/>
          <w:szCs w:val="20"/>
        </w:rPr>
        <w:t xml:space="preserve">been engaged for several years in planning for a statewide professional development </w:t>
      </w:r>
      <w:r w:rsidR="00CC76AD" w:rsidRPr="005205CB">
        <w:rPr>
          <w:rFonts w:ascii="Garamond" w:hAnsi="Garamond"/>
          <w:i/>
          <w:sz w:val="24"/>
          <w:szCs w:val="20"/>
        </w:rPr>
        <w:t>system</w:t>
      </w:r>
      <w:r w:rsidR="00351311">
        <w:rPr>
          <w:rFonts w:ascii="Garamond" w:hAnsi="Garamond"/>
          <w:iCs/>
          <w:sz w:val="24"/>
          <w:szCs w:val="20"/>
        </w:rPr>
        <w:t xml:space="preserve"> that will, in part, synthesize past successful but </w:t>
      </w:r>
      <w:r w:rsidR="00587802">
        <w:rPr>
          <w:rFonts w:ascii="Garamond" w:hAnsi="Garamond"/>
          <w:iCs/>
          <w:sz w:val="24"/>
          <w:szCs w:val="20"/>
        </w:rPr>
        <w:t>somewhat-</w:t>
      </w:r>
      <w:r w:rsidR="00351311">
        <w:rPr>
          <w:rFonts w:ascii="Garamond" w:hAnsi="Garamond"/>
          <w:iCs/>
          <w:sz w:val="24"/>
          <w:szCs w:val="20"/>
        </w:rPr>
        <w:t xml:space="preserve">siloed efforts at providing PD. This effort began </w:t>
      </w:r>
      <w:r w:rsidR="00CC76AD">
        <w:rPr>
          <w:rFonts w:ascii="Garamond" w:hAnsi="Garamond"/>
          <w:iCs/>
          <w:sz w:val="24"/>
          <w:szCs w:val="20"/>
        </w:rPr>
        <w:t>formally with a LINCS partnership for this purpose in PY 2018-2019</w:t>
      </w:r>
      <w:r w:rsidR="00587802">
        <w:rPr>
          <w:rFonts w:ascii="Garamond" w:hAnsi="Garamond"/>
          <w:iCs/>
          <w:sz w:val="24"/>
          <w:szCs w:val="20"/>
        </w:rPr>
        <w:t xml:space="preserve"> and continued in PY 2019-2020, though slowed by the pandemic</w:t>
      </w:r>
      <w:r w:rsidR="00CC76AD">
        <w:rPr>
          <w:rFonts w:ascii="Garamond" w:hAnsi="Garamond"/>
          <w:iCs/>
          <w:sz w:val="24"/>
          <w:szCs w:val="20"/>
        </w:rPr>
        <w:t>. Th</w:t>
      </w:r>
      <w:r w:rsidR="00587802">
        <w:rPr>
          <w:rFonts w:ascii="Garamond" w:hAnsi="Garamond"/>
          <w:iCs/>
          <w:sz w:val="24"/>
          <w:szCs w:val="20"/>
        </w:rPr>
        <w:t xml:space="preserve">e PD system design process notably </w:t>
      </w:r>
      <w:r w:rsidR="00CC76AD">
        <w:rPr>
          <w:rFonts w:ascii="Garamond" w:hAnsi="Garamond"/>
          <w:iCs/>
          <w:sz w:val="24"/>
          <w:szCs w:val="20"/>
        </w:rPr>
        <w:t>accelerated in PY 2020-2021</w:t>
      </w:r>
      <w:r w:rsidR="005205CB">
        <w:rPr>
          <w:rFonts w:ascii="Garamond" w:hAnsi="Garamond"/>
          <w:iCs/>
          <w:sz w:val="24"/>
          <w:szCs w:val="20"/>
        </w:rPr>
        <w:t>. During this program year, we</w:t>
      </w:r>
      <w:r w:rsidR="00587802">
        <w:rPr>
          <w:rFonts w:ascii="Garamond" w:hAnsi="Garamond"/>
          <w:iCs/>
          <w:sz w:val="24"/>
          <w:szCs w:val="20"/>
        </w:rPr>
        <w:t xml:space="preserve"> </w:t>
      </w:r>
      <w:r w:rsidR="005205CB">
        <w:rPr>
          <w:rFonts w:ascii="Garamond" w:hAnsi="Garamond"/>
          <w:iCs/>
          <w:sz w:val="24"/>
          <w:szCs w:val="20"/>
        </w:rPr>
        <w:t>designed an online PD portal</w:t>
      </w:r>
      <w:r w:rsidR="00AF0205">
        <w:rPr>
          <w:rFonts w:ascii="Garamond" w:hAnsi="Garamond"/>
          <w:iCs/>
          <w:sz w:val="24"/>
          <w:szCs w:val="20"/>
        </w:rPr>
        <w:t xml:space="preserve"> (pd.propelnm.org)</w:t>
      </w:r>
      <w:r w:rsidR="00E84768">
        <w:rPr>
          <w:rFonts w:ascii="Garamond" w:hAnsi="Garamond"/>
          <w:iCs/>
          <w:sz w:val="24"/>
          <w:szCs w:val="20"/>
        </w:rPr>
        <w:t xml:space="preserve"> </w:t>
      </w:r>
      <w:r w:rsidR="00AF0205">
        <w:rPr>
          <w:rFonts w:ascii="Garamond" w:hAnsi="Garamond"/>
          <w:iCs/>
          <w:sz w:val="24"/>
          <w:szCs w:val="20"/>
        </w:rPr>
        <w:t>and a Workplace Moodle-based</w:t>
      </w:r>
      <w:r w:rsidR="00E84768">
        <w:rPr>
          <w:rFonts w:ascii="Garamond" w:hAnsi="Garamond"/>
          <w:iCs/>
          <w:sz w:val="24"/>
          <w:szCs w:val="20"/>
        </w:rPr>
        <w:t xml:space="preserve"> learning management system</w:t>
      </w:r>
      <w:r w:rsidR="005205CB">
        <w:rPr>
          <w:rFonts w:ascii="Garamond" w:hAnsi="Garamond"/>
          <w:iCs/>
          <w:sz w:val="24"/>
          <w:szCs w:val="20"/>
        </w:rPr>
        <w:t xml:space="preserve"> that will serve as the centralized hub for online, hybrid, and face-to-face PD opportunities offered within the </w:t>
      </w:r>
      <w:r w:rsidR="00587802">
        <w:rPr>
          <w:rFonts w:ascii="Garamond" w:hAnsi="Garamond"/>
          <w:iCs/>
          <w:sz w:val="24"/>
          <w:szCs w:val="20"/>
        </w:rPr>
        <w:t xml:space="preserve">PD </w:t>
      </w:r>
      <w:r w:rsidR="005205CB">
        <w:rPr>
          <w:rFonts w:ascii="Garamond" w:hAnsi="Garamond"/>
          <w:iCs/>
          <w:sz w:val="24"/>
          <w:szCs w:val="20"/>
        </w:rPr>
        <w:t>system</w:t>
      </w:r>
      <w:r w:rsidR="00587802">
        <w:rPr>
          <w:rFonts w:ascii="Garamond" w:hAnsi="Garamond"/>
          <w:iCs/>
          <w:sz w:val="24"/>
          <w:szCs w:val="20"/>
        </w:rPr>
        <w:t xml:space="preserve">, named </w:t>
      </w:r>
      <w:r w:rsidR="00587802" w:rsidRPr="00AF0205">
        <w:rPr>
          <w:rFonts w:ascii="Garamond" w:hAnsi="Garamond"/>
          <w:i/>
          <w:sz w:val="24"/>
          <w:szCs w:val="20"/>
        </w:rPr>
        <w:t>Propel</w:t>
      </w:r>
      <w:r w:rsidR="00AF0205">
        <w:rPr>
          <w:rFonts w:ascii="Garamond" w:hAnsi="Garamond"/>
          <w:iCs/>
          <w:sz w:val="24"/>
          <w:szCs w:val="20"/>
        </w:rPr>
        <w:t xml:space="preserve">. </w:t>
      </w:r>
      <w:r w:rsidR="005205CB">
        <w:rPr>
          <w:rFonts w:ascii="Garamond" w:hAnsi="Garamond"/>
          <w:iCs/>
          <w:sz w:val="24"/>
          <w:szCs w:val="20"/>
        </w:rPr>
        <w:t>We also established a permanent website</w:t>
      </w:r>
      <w:r w:rsidR="00AF0205">
        <w:rPr>
          <w:rFonts w:ascii="Garamond" w:hAnsi="Garamond"/>
          <w:iCs/>
          <w:sz w:val="24"/>
          <w:szCs w:val="20"/>
        </w:rPr>
        <w:t xml:space="preserve"> (propelnm.org)</w:t>
      </w:r>
      <w:r w:rsidR="005205CB">
        <w:rPr>
          <w:rFonts w:ascii="Garamond" w:hAnsi="Garamond"/>
          <w:iCs/>
          <w:sz w:val="24"/>
          <w:szCs w:val="20"/>
        </w:rPr>
        <w:t xml:space="preserve"> for </w:t>
      </w:r>
      <w:r w:rsidR="00DA3372">
        <w:rPr>
          <w:rFonts w:ascii="Garamond" w:hAnsi="Garamond"/>
          <w:iCs/>
          <w:sz w:val="24"/>
          <w:szCs w:val="20"/>
        </w:rPr>
        <w:t xml:space="preserve">our sub-awardee programs, </w:t>
      </w:r>
      <w:r w:rsidR="005205CB">
        <w:rPr>
          <w:rFonts w:ascii="Garamond" w:hAnsi="Garamond"/>
          <w:iCs/>
          <w:sz w:val="24"/>
          <w:szCs w:val="20"/>
        </w:rPr>
        <w:t xml:space="preserve">where they can easily access a calendar of upcoming events, </w:t>
      </w:r>
      <w:r w:rsidR="00DA3372">
        <w:rPr>
          <w:rFonts w:ascii="Garamond" w:hAnsi="Garamond"/>
          <w:iCs/>
          <w:sz w:val="24"/>
          <w:szCs w:val="20"/>
        </w:rPr>
        <w:t>policies and forms, instructional resources, and contact information for their peers and state office staff</w:t>
      </w:r>
      <w:r w:rsidR="00AF0205">
        <w:rPr>
          <w:rFonts w:ascii="Garamond" w:hAnsi="Garamond"/>
          <w:iCs/>
          <w:sz w:val="24"/>
          <w:szCs w:val="20"/>
        </w:rPr>
        <w:t xml:space="preserve">. </w:t>
      </w:r>
      <w:r w:rsidR="00D42653">
        <w:rPr>
          <w:rFonts w:ascii="Garamond" w:hAnsi="Garamond"/>
          <w:iCs/>
          <w:sz w:val="24"/>
          <w:szCs w:val="20"/>
        </w:rPr>
        <w:t>In collaboration with state PD consultants and informed by our research of AE PD systems in other states, our staff completed an overview of the system and a plan for three field-led workgroups on PD system policy, the development and prioritization of content strands, and credentialing</w:t>
      </w:r>
      <w:r w:rsidR="00AF0205">
        <w:rPr>
          <w:rFonts w:ascii="Garamond" w:hAnsi="Garamond"/>
          <w:iCs/>
          <w:sz w:val="24"/>
          <w:szCs w:val="20"/>
        </w:rPr>
        <w:t xml:space="preserve"> system</w:t>
      </w:r>
      <w:r w:rsidR="00D42653">
        <w:rPr>
          <w:rFonts w:ascii="Garamond" w:hAnsi="Garamond"/>
          <w:iCs/>
          <w:sz w:val="24"/>
          <w:szCs w:val="20"/>
        </w:rPr>
        <w:t xml:space="preserve"> approaches; these groups will </w:t>
      </w:r>
      <w:r w:rsidR="00AF0205">
        <w:rPr>
          <w:rFonts w:ascii="Garamond" w:hAnsi="Garamond"/>
          <w:iCs/>
          <w:sz w:val="24"/>
          <w:szCs w:val="20"/>
        </w:rPr>
        <w:t xml:space="preserve">complete </w:t>
      </w:r>
      <w:r w:rsidR="00D42653">
        <w:rPr>
          <w:rFonts w:ascii="Garamond" w:hAnsi="Garamond"/>
          <w:iCs/>
          <w:sz w:val="24"/>
          <w:szCs w:val="20"/>
        </w:rPr>
        <w:t>their work in PY 2021-2022.</w:t>
      </w:r>
    </w:p>
    <w:p w14:paraId="2FA25E0C" w14:textId="787A661B" w:rsidR="002F092A" w:rsidRDefault="00351311" w:rsidP="007D631F">
      <w:pPr>
        <w:spacing w:after="120"/>
        <w:ind w:right="72"/>
        <w:rPr>
          <w:rFonts w:ascii="Garamond" w:hAnsi="Garamond"/>
          <w:iCs/>
          <w:sz w:val="24"/>
          <w:szCs w:val="20"/>
        </w:rPr>
      </w:pPr>
      <w:r>
        <w:rPr>
          <w:rFonts w:ascii="Garamond" w:hAnsi="Garamond"/>
          <w:iCs/>
          <w:sz w:val="24"/>
          <w:szCs w:val="20"/>
        </w:rPr>
        <w:lastRenderedPageBreak/>
        <w:t xml:space="preserve">To coordinate and </w:t>
      </w:r>
      <w:r w:rsidR="002F092A">
        <w:rPr>
          <w:rFonts w:ascii="Garamond" w:hAnsi="Garamond"/>
          <w:iCs/>
          <w:sz w:val="24"/>
          <w:szCs w:val="20"/>
        </w:rPr>
        <w:t xml:space="preserve">extend the ongoing PD efforts and assist in building the comprehensive system, </w:t>
      </w:r>
      <w:r w:rsidR="002C119D" w:rsidRPr="00CC76AD">
        <w:rPr>
          <w:rFonts w:ascii="Garamond" w:hAnsi="Garamond"/>
          <w:iCs/>
          <w:sz w:val="24"/>
          <w:szCs w:val="20"/>
        </w:rPr>
        <w:t>NMHED-AE issued a contract to the University of New Mexico</w:t>
      </w:r>
      <w:r w:rsidR="00052A28" w:rsidRPr="00CC76AD">
        <w:rPr>
          <w:rFonts w:ascii="Garamond" w:hAnsi="Garamond"/>
          <w:iCs/>
          <w:sz w:val="24"/>
          <w:szCs w:val="20"/>
        </w:rPr>
        <w:t xml:space="preserve"> </w:t>
      </w:r>
      <w:r w:rsidR="002C119D" w:rsidRPr="00CC76AD">
        <w:rPr>
          <w:rFonts w:ascii="Garamond" w:hAnsi="Garamond"/>
          <w:iCs/>
          <w:sz w:val="24"/>
          <w:szCs w:val="20"/>
        </w:rPr>
        <w:t>to support a ¾ time PD Coordinator</w:t>
      </w:r>
      <w:r w:rsidR="00052A28" w:rsidRPr="00CC76AD">
        <w:rPr>
          <w:rFonts w:ascii="Garamond" w:hAnsi="Garamond"/>
          <w:iCs/>
          <w:sz w:val="24"/>
          <w:szCs w:val="20"/>
        </w:rPr>
        <w:t>.</w:t>
      </w:r>
      <w:r w:rsidR="002F092A">
        <w:rPr>
          <w:rFonts w:ascii="Garamond" w:hAnsi="Garamond"/>
          <w:iCs/>
          <w:sz w:val="24"/>
          <w:szCs w:val="20"/>
        </w:rPr>
        <w:t xml:space="preserve"> </w:t>
      </w:r>
      <w:r w:rsidR="0021044D">
        <w:rPr>
          <w:rFonts w:ascii="Garamond" w:hAnsi="Garamond"/>
          <w:iCs/>
          <w:sz w:val="24"/>
          <w:szCs w:val="20"/>
        </w:rPr>
        <w:t xml:space="preserve">Highlights of the </w:t>
      </w:r>
      <w:r w:rsidR="002F092A">
        <w:rPr>
          <w:rFonts w:ascii="Garamond" w:hAnsi="Garamond"/>
          <w:iCs/>
          <w:sz w:val="24"/>
          <w:szCs w:val="20"/>
        </w:rPr>
        <w:t>PD Coordinator</w:t>
      </w:r>
      <w:r w:rsidR="0021044D">
        <w:rPr>
          <w:rFonts w:ascii="Garamond" w:hAnsi="Garamond"/>
          <w:iCs/>
          <w:sz w:val="24"/>
          <w:szCs w:val="20"/>
        </w:rPr>
        <w:t xml:space="preserve">’s </w:t>
      </w:r>
      <w:r w:rsidR="00AF0205">
        <w:rPr>
          <w:rFonts w:ascii="Garamond" w:hAnsi="Garamond"/>
          <w:iCs/>
          <w:sz w:val="24"/>
          <w:szCs w:val="20"/>
        </w:rPr>
        <w:t>work</w:t>
      </w:r>
      <w:r w:rsidR="0021044D">
        <w:rPr>
          <w:rFonts w:ascii="Garamond" w:hAnsi="Garamond"/>
          <w:iCs/>
          <w:sz w:val="24"/>
          <w:szCs w:val="20"/>
        </w:rPr>
        <w:t xml:space="preserve"> </w:t>
      </w:r>
      <w:r w:rsidR="00AF0205">
        <w:rPr>
          <w:rFonts w:ascii="Garamond" w:hAnsi="Garamond"/>
          <w:iCs/>
          <w:sz w:val="24"/>
          <w:szCs w:val="20"/>
        </w:rPr>
        <w:t xml:space="preserve">this year </w:t>
      </w:r>
      <w:r w:rsidR="0021044D">
        <w:rPr>
          <w:rFonts w:ascii="Garamond" w:hAnsi="Garamond"/>
          <w:iCs/>
          <w:sz w:val="24"/>
          <w:szCs w:val="20"/>
        </w:rPr>
        <w:t>include</w:t>
      </w:r>
      <w:r w:rsidR="00AF0205">
        <w:rPr>
          <w:rFonts w:ascii="Garamond" w:hAnsi="Garamond"/>
          <w:iCs/>
          <w:sz w:val="24"/>
          <w:szCs w:val="20"/>
        </w:rPr>
        <w:t>d</w:t>
      </w:r>
      <w:r w:rsidR="00E84768">
        <w:rPr>
          <w:rFonts w:ascii="Garamond" w:hAnsi="Garamond"/>
          <w:iCs/>
          <w:sz w:val="24"/>
          <w:szCs w:val="20"/>
        </w:rPr>
        <w:t>:</w:t>
      </w:r>
      <w:r w:rsidR="008D50C3">
        <w:rPr>
          <w:rFonts w:ascii="Garamond" w:hAnsi="Garamond"/>
          <w:iCs/>
          <w:sz w:val="24"/>
          <w:szCs w:val="20"/>
        </w:rPr>
        <w:t xml:space="preserve"> </w:t>
      </w:r>
      <w:r w:rsidR="0021044D">
        <w:rPr>
          <w:rFonts w:ascii="Garamond" w:hAnsi="Garamond"/>
          <w:iCs/>
          <w:sz w:val="24"/>
          <w:szCs w:val="20"/>
        </w:rPr>
        <w:t xml:space="preserve">a 10-week Motivational Coaching for Adult Educators course that resulted in 39 certificates; </w:t>
      </w:r>
      <w:r w:rsidR="008D50C3">
        <w:rPr>
          <w:rFonts w:ascii="Garamond" w:hAnsi="Garamond"/>
          <w:iCs/>
          <w:sz w:val="24"/>
          <w:szCs w:val="20"/>
        </w:rPr>
        <w:t>Training from the BACK of the Room, culminating in 10 NM practitioners achieving certification and two specialists receiving national train-the-trainer certification</w:t>
      </w:r>
      <w:r w:rsidR="00E84768">
        <w:rPr>
          <w:rFonts w:ascii="Garamond" w:hAnsi="Garamond"/>
          <w:iCs/>
          <w:sz w:val="24"/>
          <w:szCs w:val="20"/>
        </w:rPr>
        <w:t xml:space="preserve">; </w:t>
      </w:r>
      <w:r w:rsidR="0021044D">
        <w:rPr>
          <w:rFonts w:ascii="Garamond" w:hAnsi="Garamond"/>
          <w:iCs/>
          <w:sz w:val="24"/>
          <w:szCs w:val="20"/>
        </w:rPr>
        <w:t xml:space="preserve">participation in </w:t>
      </w:r>
      <w:r w:rsidR="00E84768">
        <w:rPr>
          <w:rFonts w:ascii="Garamond" w:hAnsi="Garamond"/>
          <w:iCs/>
          <w:sz w:val="24"/>
          <w:szCs w:val="20"/>
        </w:rPr>
        <w:t xml:space="preserve">the national Teaching Skills that Matter initiative; </w:t>
      </w:r>
      <w:r w:rsidR="00AF0205">
        <w:rPr>
          <w:rFonts w:ascii="Garamond" w:hAnsi="Garamond"/>
          <w:iCs/>
          <w:sz w:val="24"/>
          <w:szCs w:val="20"/>
        </w:rPr>
        <w:t xml:space="preserve">offering </w:t>
      </w:r>
      <w:r w:rsidR="00E84768">
        <w:rPr>
          <w:rFonts w:ascii="Garamond" w:hAnsi="Garamond"/>
          <w:iCs/>
          <w:sz w:val="24"/>
          <w:szCs w:val="20"/>
        </w:rPr>
        <w:t>the IDEAL 101 course, which helped programs plan distance learning</w:t>
      </w:r>
      <w:r w:rsidR="00AF0205">
        <w:rPr>
          <w:rFonts w:ascii="Garamond" w:hAnsi="Garamond"/>
          <w:iCs/>
          <w:sz w:val="24"/>
          <w:szCs w:val="20"/>
        </w:rPr>
        <w:t xml:space="preserve"> during the pandemic</w:t>
      </w:r>
      <w:r w:rsidR="00E84768">
        <w:rPr>
          <w:rFonts w:ascii="Garamond" w:hAnsi="Garamond"/>
          <w:iCs/>
          <w:sz w:val="24"/>
          <w:szCs w:val="20"/>
        </w:rPr>
        <w:t xml:space="preserve">; </w:t>
      </w:r>
      <w:r w:rsidR="00777677">
        <w:rPr>
          <w:rFonts w:ascii="Garamond" w:hAnsi="Garamond"/>
          <w:iCs/>
          <w:sz w:val="24"/>
          <w:szCs w:val="20"/>
        </w:rPr>
        <w:t xml:space="preserve">NROC membership for open access to instructional support for college and career readiness; </w:t>
      </w:r>
      <w:r w:rsidR="0021044D">
        <w:rPr>
          <w:rFonts w:ascii="Garamond" w:hAnsi="Garamond"/>
          <w:iCs/>
          <w:sz w:val="24"/>
          <w:szCs w:val="20"/>
        </w:rPr>
        <w:t xml:space="preserve">and </w:t>
      </w:r>
      <w:r w:rsidR="00E84768">
        <w:rPr>
          <w:rFonts w:ascii="Garamond" w:hAnsi="Garamond"/>
          <w:iCs/>
          <w:sz w:val="24"/>
          <w:szCs w:val="20"/>
        </w:rPr>
        <w:t xml:space="preserve">twice-monthly webinars in collaboration with our state Distance Learning Support Team on technology integration, virtual learning, and ESL instructional topics. </w:t>
      </w:r>
      <w:r w:rsidR="002F092A">
        <w:rPr>
          <w:rFonts w:ascii="Garamond" w:hAnsi="Garamond"/>
          <w:iCs/>
          <w:sz w:val="24"/>
          <w:szCs w:val="20"/>
        </w:rPr>
        <w:t xml:space="preserve">For the entirety of program year 2020-2021, all professional development offerings and meetings were held virtually due to COVID-19 restrictions. This barrier required significant additional </w:t>
      </w:r>
      <w:r w:rsidR="0021044D">
        <w:rPr>
          <w:rFonts w:ascii="Garamond" w:hAnsi="Garamond"/>
          <w:iCs/>
          <w:sz w:val="24"/>
          <w:szCs w:val="20"/>
        </w:rPr>
        <w:t>efforts</w:t>
      </w:r>
      <w:r w:rsidR="002F092A">
        <w:rPr>
          <w:rFonts w:ascii="Garamond" w:hAnsi="Garamond"/>
          <w:iCs/>
          <w:sz w:val="24"/>
          <w:szCs w:val="20"/>
        </w:rPr>
        <w:t xml:space="preserve"> </w:t>
      </w:r>
      <w:r w:rsidR="0021044D">
        <w:rPr>
          <w:rFonts w:ascii="Garamond" w:hAnsi="Garamond"/>
          <w:iCs/>
          <w:sz w:val="24"/>
          <w:szCs w:val="20"/>
        </w:rPr>
        <w:t xml:space="preserve">by the PD Coordinator and others </w:t>
      </w:r>
      <w:r w:rsidR="002F092A">
        <w:rPr>
          <w:rFonts w:ascii="Garamond" w:hAnsi="Garamond"/>
          <w:iCs/>
          <w:sz w:val="24"/>
          <w:szCs w:val="20"/>
        </w:rPr>
        <w:t xml:space="preserve">to transition formerly face-to-face offerings to an online environment. </w:t>
      </w:r>
    </w:p>
    <w:p w14:paraId="55BE0D60" w14:textId="3A8F5FF2" w:rsidR="00AB059A" w:rsidRDefault="00B708E6" w:rsidP="00777677">
      <w:pPr>
        <w:spacing w:after="120"/>
        <w:ind w:right="72"/>
        <w:rPr>
          <w:rFonts w:ascii="Garamond" w:hAnsi="Garamond"/>
          <w:sz w:val="24"/>
          <w:szCs w:val="24"/>
        </w:rPr>
      </w:pPr>
      <w:r w:rsidRPr="00CC76AD">
        <w:rPr>
          <w:rFonts w:ascii="Garamond" w:hAnsi="Garamond"/>
          <w:iCs/>
          <w:sz w:val="24"/>
          <w:szCs w:val="20"/>
        </w:rPr>
        <w:t>NMHED-AE also issued a contract to national trainer</w:t>
      </w:r>
      <w:r w:rsidR="0021044D">
        <w:rPr>
          <w:rFonts w:ascii="Garamond" w:hAnsi="Garamond"/>
          <w:iCs/>
          <w:sz w:val="24"/>
          <w:szCs w:val="20"/>
        </w:rPr>
        <w:t xml:space="preserve"> and </w:t>
      </w:r>
      <w:r w:rsidRPr="00CC76AD">
        <w:rPr>
          <w:rFonts w:ascii="Garamond" w:hAnsi="Garamond"/>
          <w:iCs/>
          <w:sz w:val="24"/>
          <w:szCs w:val="20"/>
        </w:rPr>
        <w:t>consultant Jeff Fantine</w:t>
      </w:r>
      <w:r w:rsidR="00525687" w:rsidRPr="00CC76AD">
        <w:rPr>
          <w:rFonts w:ascii="Garamond" w:hAnsi="Garamond"/>
          <w:iCs/>
          <w:sz w:val="24"/>
          <w:szCs w:val="20"/>
        </w:rPr>
        <w:t xml:space="preserve"> to</w:t>
      </w:r>
      <w:r w:rsidRPr="00CC76AD">
        <w:rPr>
          <w:rFonts w:ascii="Garamond" w:hAnsi="Garamond"/>
          <w:iCs/>
          <w:sz w:val="24"/>
          <w:szCs w:val="20"/>
        </w:rPr>
        <w:t xml:space="preserve"> </w:t>
      </w:r>
      <w:r w:rsidR="0021044D">
        <w:rPr>
          <w:rFonts w:ascii="Garamond" w:hAnsi="Garamond"/>
          <w:iCs/>
          <w:sz w:val="24"/>
          <w:szCs w:val="20"/>
        </w:rPr>
        <w:t xml:space="preserve">lead </w:t>
      </w:r>
      <w:r w:rsidR="00AF0205">
        <w:rPr>
          <w:rFonts w:ascii="Garamond" w:hAnsi="Garamond"/>
          <w:iCs/>
          <w:sz w:val="24"/>
          <w:szCs w:val="20"/>
        </w:rPr>
        <w:t>practitioners</w:t>
      </w:r>
      <w:r w:rsidR="0021044D">
        <w:rPr>
          <w:rFonts w:ascii="Garamond" w:hAnsi="Garamond"/>
          <w:iCs/>
          <w:sz w:val="24"/>
          <w:szCs w:val="20"/>
        </w:rPr>
        <w:t xml:space="preserve"> through </w:t>
      </w:r>
      <w:r w:rsidR="00AB059A">
        <w:rPr>
          <w:rFonts w:ascii="Garamond" w:hAnsi="Garamond"/>
          <w:iCs/>
          <w:sz w:val="24"/>
          <w:szCs w:val="20"/>
        </w:rPr>
        <w:t>Year 2</w:t>
      </w:r>
      <w:r w:rsidR="0021044D">
        <w:rPr>
          <w:rFonts w:ascii="Garamond" w:hAnsi="Garamond"/>
          <w:iCs/>
          <w:sz w:val="24"/>
          <w:szCs w:val="20"/>
        </w:rPr>
        <w:t xml:space="preserve"> of a </w:t>
      </w:r>
      <w:r w:rsidR="00777677">
        <w:rPr>
          <w:rFonts w:ascii="Garamond" w:hAnsi="Garamond"/>
          <w:iCs/>
          <w:sz w:val="24"/>
          <w:szCs w:val="20"/>
        </w:rPr>
        <w:t>3-year</w:t>
      </w:r>
      <w:r w:rsidR="00636E6B" w:rsidRPr="00CC76AD">
        <w:rPr>
          <w:rFonts w:ascii="Garamond" w:hAnsi="Garamond"/>
          <w:iCs/>
          <w:sz w:val="24"/>
          <w:szCs w:val="20"/>
        </w:rPr>
        <w:t xml:space="preserve"> </w:t>
      </w:r>
      <w:r w:rsidRPr="00CC76AD">
        <w:rPr>
          <w:rFonts w:ascii="Garamond" w:hAnsi="Garamond"/>
          <w:iCs/>
          <w:sz w:val="24"/>
          <w:szCs w:val="20"/>
        </w:rPr>
        <w:t>Car</w:t>
      </w:r>
      <w:r w:rsidR="00525687" w:rsidRPr="00CC76AD">
        <w:rPr>
          <w:rFonts w:ascii="Garamond" w:hAnsi="Garamond"/>
          <w:iCs/>
          <w:sz w:val="24"/>
          <w:szCs w:val="20"/>
        </w:rPr>
        <w:t>eer Pathways Initiative (CPI) for local programs</w:t>
      </w:r>
      <w:r w:rsidR="00777677">
        <w:rPr>
          <w:rFonts w:ascii="Garamond" w:hAnsi="Garamond"/>
          <w:iCs/>
          <w:sz w:val="24"/>
          <w:szCs w:val="20"/>
        </w:rPr>
        <w:t xml:space="preserve">. </w:t>
      </w:r>
      <w:r w:rsidR="00AB059A">
        <w:rPr>
          <w:rFonts w:ascii="Garamond" w:hAnsi="Garamond"/>
          <w:iCs/>
          <w:sz w:val="24"/>
          <w:szCs w:val="20"/>
        </w:rPr>
        <w:t>Year 2 of this l</w:t>
      </w:r>
      <w:r w:rsidR="00777677" w:rsidRPr="00CC76AD">
        <w:rPr>
          <w:rFonts w:ascii="Garamond" w:hAnsi="Garamond"/>
          <w:sz w:val="24"/>
          <w:szCs w:val="24"/>
        </w:rPr>
        <w:t xml:space="preserve">ongitudinal CPI </w:t>
      </w:r>
      <w:r w:rsidR="00AB059A">
        <w:rPr>
          <w:rFonts w:ascii="Garamond" w:hAnsi="Garamond"/>
          <w:sz w:val="24"/>
          <w:szCs w:val="24"/>
        </w:rPr>
        <w:t>focused on implementing a comprehensive Career Pathway Service Delivery system for NMHED-funded adult education programs and to promote the development of career-contextualized instruction</w:t>
      </w:r>
      <w:r w:rsidR="00AF0205">
        <w:rPr>
          <w:rFonts w:ascii="Garamond" w:hAnsi="Garamond"/>
          <w:sz w:val="24"/>
          <w:szCs w:val="24"/>
        </w:rPr>
        <w:t xml:space="preserve">, </w:t>
      </w:r>
      <w:r w:rsidR="00AB059A">
        <w:rPr>
          <w:rFonts w:ascii="Garamond" w:hAnsi="Garamond"/>
          <w:sz w:val="24"/>
          <w:szCs w:val="24"/>
        </w:rPr>
        <w:t>IET programs</w:t>
      </w:r>
      <w:r w:rsidR="00AF0205">
        <w:rPr>
          <w:rFonts w:ascii="Garamond" w:hAnsi="Garamond"/>
          <w:sz w:val="24"/>
          <w:szCs w:val="24"/>
        </w:rPr>
        <w:t xml:space="preserve">, </w:t>
      </w:r>
      <w:r w:rsidR="00AB059A">
        <w:rPr>
          <w:rFonts w:ascii="Garamond" w:hAnsi="Garamond"/>
          <w:sz w:val="24"/>
          <w:szCs w:val="24"/>
        </w:rPr>
        <w:t xml:space="preserve">work-based learning opportunities for eligible New Mexicans. Programs worked </w:t>
      </w:r>
      <w:r w:rsidR="00CC4CB2">
        <w:rPr>
          <w:rFonts w:ascii="Garamond" w:hAnsi="Garamond"/>
          <w:sz w:val="24"/>
          <w:szCs w:val="24"/>
        </w:rPr>
        <w:t xml:space="preserve">over the entire year </w:t>
      </w:r>
      <w:r w:rsidR="00AB059A">
        <w:rPr>
          <w:rFonts w:ascii="Garamond" w:hAnsi="Garamond"/>
          <w:sz w:val="24"/>
          <w:szCs w:val="24"/>
        </w:rPr>
        <w:t>within peer-to-peer coaching pairings</w:t>
      </w:r>
      <w:r w:rsidR="00CC4CB2">
        <w:rPr>
          <w:rFonts w:ascii="Garamond" w:hAnsi="Garamond"/>
          <w:sz w:val="24"/>
          <w:szCs w:val="24"/>
        </w:rPr>
        <w:t xml:space="preserve"> guided by Dr. Fantine. </w:t>
      </w:r>
      <w:r w:rsidR="00FF3276">
        <w:rPr>
          <w:rFonts w:ascii="Garamond" w:hAnsi="Garamond"/>
          <w:sz w:val="24"/>
          <w:szCs w:val="24"/>
        </w:rPr>
        <w:t xml:space="preserve">New Mexico now has over 20 IET programs in various stages of development and implementation. </w:t>
      </w:r>
    </w:p>
    <w:p w14:paraId="2F3955AD" w14:textId="0F37EAB8" w:rsidR="00BA3843" w:rsidRPr="00CC76AD" w:rsidRDefault="00777677" w:rsidP="007D631F">
      <w:pPr>
        <w:spacing w:after="120"/>
        <w:ind w:right="72"/>
        <w:rPr>
          <w:rFonts w:ascii="Garamond" w:hAnsi="Garamond"/>
          <w:iCs/>
          <w:sz w:val="24"/>
          <w:szCs w:val="20"/>
        </w:rPr>
      </w:pPr>
      <w:r>
        <w:rPr>
          <w:rFonts w:ascii="Garamond" w:hAnsi="Garamond"/>
          <w:iCs/>
          <w:sz w:val="24"/>
          <w:szCs w:val="20"/>
        </w:rPr>
        <w:t>Mr. Fantine also participated in</w:t>
      </w:r>
      <w:r w:rsidR="00525687" w:rsidRPr="00CC76AD">
        <w:rPr>
          <w:rFonts w:ascii="Garamond" w:hAnsi="Garamond"/>
          <w:iCs/>
          <w:sz w:val="24"/>
          <w:szCs w:val="20"/>
        </w:rPr>
        <w:t xml:space="preserve"> PD system design efforts</w:t>
      </w:r>
      <w:r>
        <w:rPr>
          <w:rFonts w:ascii="Garamond" w:hAnsi="Garamond"/>
          <w:iCs/>
          <w:sz w:val="24"/>
          <w:szCs w:val="20"/>
        </w:rPr>
        <w:t xml:space="preserve">, including the initial design of several elements of the Propel system and the PD portal itself using our Workplace Moodle LMS. </w:t>
      </w:r>
      <w:r w:rsidR="00FF3276">
        <w:rPr>
          <w:rFonts w:ascii="Garamond" w:hAnsi="Garamond"/>
          <w:iCs/>
          <w:sz w:val="24"/>
          <w:szCs w:val="20"/>
        </w:rPr>
        <w:t>Finally, Mr. Fantine led a field workgroup to produce a set of 12 innovative and AE-focused Career Pathway maps that correspond to viable existing pathways in high-demand occupations in our governor’s published priority sectors (</w:t>
      </w:r>
      <w:r w:rsidR="00CA0113" w:rsidRPr="00CA0113">
        <w:rPr>
          <w:rFonts w:ascii="Garamond" w:hAnsi="Garamond"/>
          <w:iCs/>
          <w:sz w:val="24"/>
          <w:szCs w:val="20"/>
        </w:rPr>
        <w:t>sites.google.com/nmdelt.org/propelnm/instruction-content-areas/career-pathways</w:t>
      </w:r>
      <w:r w:rsidR="00CA0113">
        <w:rPr>
          <w:rFonts w:ascii="Garamond" w:hAnsi="Garamond"/>
          <w:iCs/>
          <w:sz w:val="24"/>
          <w:szCs w:val="20"/>
        </w:rPr>
        <w:t>).</w:t>
      </w:r>
    </w:p>
    <w:p w14:paraId="4598927B" w14:textId="63710188" w:rsidR="00B10BFF" w:rsidRPr="00CC76AD" w:rsidRDefault="0021044D" w:rsidP="00B10BFF">
      <w:pPr>
        <w:spacing w:after="120"/>
        <w:ind w:right="72"/>
        <w:rPr>
          <w:rFonts w:ascii="Garamond" w:hAnsi="Garamond"/>
          <w:iCs/>
          <w:sz w:val="24"/>
          <w:szCs w:val="20"/>
        </w:rPr>
      </w:pPr>
      <w:r>
        <w:rPr>
          <w:rFonts w:ascii="Garamond" w:eastAsia="Times New Roman" w:hAnsi="Garamond" w:cs="Arial"/>
          <w:color w:val="000000"/>
          <w:sz w:val="24"/>
          <w:szCs w:val="24"/>
          <w:bdr w:val="none" w:sz="0" w:space="0" w:color="auto" w:frame="1"/>
          <w:shd w:val="clear" w:color="auto" w:fill="FFFFFF"/>
        </w:rPr>
        <w:t>L</w:t>
      </w:r>
      <w:r w:rsidR="001531F7" w:rsidRPr="00CC76AD">
        <w:rPr>
          <w:rFonts w:ascii="Garamond" w:eastAsia="Times New Roman" w:hAnsi="Garamond" w:cs="Arial"/>
          <w:color w:val="000000"/>
          <w:sz w:val="24"/>
          <w:szCs w:val="24"/>
          <w:bdr w:val="none" w:sz="0" w:space="0" w:color="auto" w:frame="1"/>
          <w:shd w:val="clear" w:color="auto" w:fill="FFFFFF"/>
        </w:rPr>
        <w:t xml:space="preserve">eadership and other funds were </w:t>
      </w:r>
      <w:r>
        <w:rPr>
          <w:rFonts w:ascii="Garamond" w:eastAsia="Times New Roman" w:hAnsi="Garamond" w:cs="Arial"/>
          <w:color w:val="000000"/>
          <w:sz w:val="24"/>
          <w:szCs w:val="24"/>
          <w:bdr w:val="none" w:sz="0" w:space="0" w:color="auto" w:frame="1"/>
          <w:shd w:val="clear" w:color="auto" w:fill="FFFFFF"/>
        </w:rPr>
        <w:t xml:space="preserve">also </w:t>
      </w:r>
      <w:r w:rsidR="001531F7" w:rsidRPr="00CC76AD">
        <w:rPr>
          <w:rFonts w:ascii="Garamond" w:eastAsia="Times New Roman" w:hAnsi="Garamond" w:cs="Arial"/>
          <w:color w:val="000000"/>
          <w:sz w:val="24"/>
          <w:szCs w:val="24"/>
          <w:bdr w:val="none" w:sz="0" w:space="0" w:color="auto" w:frame="1"/>
          <w:shd w:val="clear" w:color="auto" w:fill="FFFFFF"/>
        </w:rPr>
        <w:t xml:space="preserve">used to offer </w:t>
      </w:r>
      <w:r w:rsidR="00075924" w:rsidRPr="00CC76AD">
        <w:rPr>
          <w:rFonts w:ascii="Garamond" w:eastAsia="Times New Roman" w:hAnsi="Garamond" w:cs="Arial"/>
          <w:color w:val="000000"/>
          <w:sz w:val="24"/>
          <w:szCs w:val="24"/>
          <w:bdr w:val="none" w:sz="0" w:space="0" w:color="auto" w:frame="1"/>
          <w:shd w:val="clear" w:color="auto" w:fill="FFFFFF"/>
        </w:rPr>
        <w:t>professional development in the form of</w:t>
      </w:r>
      <w:r>
        <w:rPr>
          <w:rFonts w:ascii="Garamond" w:eastAsia="Times New Roman" w:hAnsi="Garamond" w:cs="Arial"/>
          <w:color w:val="000000"/>
          <w:sz w:val="24"/>
          <w:szCs w:val="24"/>
          <w:bdr w:val="none" w:sz="0" w:space="0" w:color="auto" w:frame="1"/>
          <w:shd w:val="clear" w:color="auto" w:fill="FFFFFF"/>
        </w:rPr>
        <w:t xml:space="preserve"> a virtual Teachers’ Institute and a virtual state conference co-</w:t>
      </w:r>
      <w:r w:rsidR="00075924" w:rsidRPr="00CC76AD">
        <w:rPr>
          <w:rFonts w:ascii="Garamond" w:eastAsia="Times New Roman" w:hAnsi="Garamond" w:cs="Arial"/>
          <w:color w:val="000000"/>
          <w:sz w:val="24"/>
          <w:szCs w:val="24"/>
          <w:bdr w:val="none" w:sz="0" w:space="0" w:color="auto" w:frame="1"/>
          <w:shd w:val="clear" w:color="auto" w:fill="FFFFFF"/>
        </w:rPr>
        <w:t>sponsored</w:t>
      </w:r>
      <w:r>
        <w:rPr>
          <w:rFonts w:ascii="Garamond" w:eastAsia="Times New Roman" w:hAnsi="Garamond" w:cs="Arial"/>
          <w:color w:val="000000"/>
          <w:sz w:val="24"/>
          <w:szCs w:val="24"/>
          <w:bdr w:val="none" w:sz="0" w:space="0" w:color="auto" w:frame="1"/>
          <w:shd w:val="clear" w:color="auto" w:fill="FFFFFF"/>
        </w:rPr>
        <w:t xml:space="preserve"> with </w:t>
      </w:r>
      <w:r w:rsidR="00075924" w:rsidRPr="00CC76AD">
        <w:rPr>
          <w:rFonts w:ascii="Garamond" w:eastAsia="Times New Roman" w:hAnsi="Garamond" w:cs="Arial"/>
          <w:color w:val="000000"/>
          <w:sz w:val="24"/>
          <w:szCs w:val="24"/>
          <w:bdr w:val="none" w:sz="0" w:space="0" w:color="auto" w:frame="1"/>
          <w:shd w:val="clear" w:color="auto" w:fill="FFFFFF"/>
        </w:rPr>
        <w:t>the NM Adult Education Association (NMAEA)</w:t>
      </w:r>
      <w:r w:rsidR="00FF3276">
        <w:rPr>
          <w:rFonts w:ascii="Garamond" w:eastAsia="Times New Roman" w:hAnsi="Garamond" w:cs="Arial"/>
          <w:color w:val="000000"/>
          <w:sz w:val="24"/>
          <w:szCs w:val="24"/>
          <w:bdr w:val="none" w:sz="0" w:space="0" w:color="auto" w:frame="1"/>
          <w:shd w:val="clear" w:color="auto" w:fill="FFFFFF"/>
        </w:rPr>
        <w:t xml:space="preserve">, both well attended by all sub-awardee programs. </w:t>
      </w:r>
    </w:p>
    <w:p w14:paraId="09386136" w14:textId="31F27A32" w:rsidR="008C1B16" w:rsidRPr="00971B3B" w:rsidRDefault="00960CEA" w:rsidP="008C1B16">
      <w:pPr>
        <w:spacing w:after="120"/>
        <w:ind w:right="72"/>
        <w:rPr>
          <w:rFonts w:ascii="Garamond" w:hAnsi="Garamond"/>
          <w:iCs/>
          <w:sz w:val="24"/>
          <w:szCs w:val="20"/>
        </w:rPr>
      </w:pPr>
      <w:r w:rsidRPr="00971B3B">
        <w:rPr>
          <w:rFonts w:ascii="Garamond" w:hAnsi="Garamond" w:cs="Times New Roman"/>
          <w:b/>
          <w:iCs/>
          <w:sz w:val="24"/>
          <w:szCs w:val="20"/>
        </w:rPr>
        <w:t>Provision of technical assistance to funded eligible providers as described in section 223(1)(c).</w:t>
      </w:r>
      <w:r w:rsidR="00EB1CD0">
        <w:rPr>
          <w:rFonts w:ascii="Garamond" w:hAnsi="Garamond" w:cs="Times New Roman"/>
          <w:b/>
          <w:iCs/>
          <w:sz w:val="24"/>
          <w:szCs w:val="20"/>
        </w:rPr>
        <w:t xml:space="preserve"> </w:t>
      </w:r>
      <w:r w:rsidR="00DD2A0C" w:rsidRPr="00971B3B">
        <w:rPr>
          <w:rFonts w:ascii="Garamond" w:hAnsi="Garamond"/>
          <w:iCs/>
          <w:sz w:val="24"/>
          <w:szCs w:val="20"/>
        </w:rPr>
        <w:t>Technical assistance was provided to all program</w:t>
      </w:r>
      <w:r w:rsidR="00E06FE4" w:rsidRPr="00971B3B">
        <w:rPr>
          <w:rFonts w:ascii="Garamond" w:hAnsi="Garamond"/>
          <w:iCs/>
          <w:sz w:val="24"/>
          <w:szCs w:val="20"/>
        </w:rPr>
        <w:t>s</w:t>
      </w:r>
      <w:r w:rsidR="00BE6EFD" w:rsidRPr="00971B3B">
        <w:rPr>
          <w:rFonts w:ascii="Garamond" w:hAnsi="Garamond"/>
          <w:iCs/>
          <w:sz w:val="24"/>
          <w:szCs w:val="20"/>
        </w:rPr>
        <w:t xml:space="preserve"> by request</w:t>
      </w:r>
      <w:r w:rsidR="00BC540B" w:rsidRPr="00971B3B">
        <w:rPr>
          <w:rFonts w:ascii="Garamond" w:hAnsi="Garamond"/>
          <w:iCs/>
          <w:sz w:val="24"/>
          <w:szCs w:val="20"/>
        </w:rPr>
        <w:t xml:space="preserve"> </w:t>
      </w:r>
      <w:r w:rsidR="00BE6EFD" w:rsidRPr="00971B3B">
        <w:rPr>
          <w:rFonts w:ascii="Garamond" w:hAnsi="Garamond"/>
          <w:iCs/>
          <w:sz w:val="24"/>
          <w:szCs w:val="20"/>
        </w:rPr>
        <w:t xml:space="preserve">and </w:t>
      </w:r>
      <w:r w:rsidR="00D2119A" w:rsidRPr="00971B3B">
        <w:rPr>
          <w:rFonts w:ascii="Garamond" w:hAnsi="Garamond"/>
          <w:iCs/>
          <w:sz w:val="24"/>
          <w:szCs w:val="20"/>
        </w:rPr>
        <w:t>as</w:t>
      </w:r>
      <w:r w:rsidR="00A35936" w:rsidRPr="00971B3B">
        <w:rPr>
          <w:rFonts w:ascii="Garamond" w:hAnsi="Garamond"/>
          <w:iCs/>
          <w:sz w:val="24"/>
          <w:szCs w:val="20"/>
        </w:rPr>
        <w:t xml:space="preserve"> </w:t>
      </w:r>
      <w:r w:rsidR="00C13448" w:rsidRPr="00971B3B">
        <w:rPr>
          <w:rFonts w:ascii="Garamond" w:hAnsi="Garamond"/>
          <w:iCs/>
          <w:sz w:val="24"/>
          <w:szCs w:val="20"/>
        </w:rPr>
        <w:t>structurally</w:t>
      </w:r>
      <w:r w:rsidR="006E19D0" w:rsidRPr="00971B3B">
        <w:rPr>
          <w:rFonts w:ascii="Garamond" w:hAnsi="Garamond"/>
          <w:iCs/>
          <w:sz w:val="24"/>
          <w:szCs w:val="20"/>
        </w:rPr>
        <w:t xml:space="preserve"> </w:t>
      </w:r>
      <w:r w:rsidR="00C13448" w:rsidRPr="00971B3B">
        <w:rPr>
          <w:rFonts w:ascii="Garamond" w:hAnsi="Garamond"/>
          <w:iCs/>
          <w:sz w:val="24"/>
          <w:szCs w:val="20"/>
        </w:rPr>
        <w:t xml:space="preserve">initiated </w:t>
      </w:r>
      <w:r w:rsidR="00D63DB4" w:rsidRPr="00971B3B">
        <w:rPr>
          <w:rFonts w:ascii="Garamond" w:hAnsi="Garamond"/>
          <w:iCs/>
          <w:sz w:val="24"/>
          <w:szCs w:val="20"/>
        </w:rPr>
        <w:t>by NMHED-A</w:t>
      </w:r>
      <w:r w:rsidR="008A4D18" w:rsidRPr="00971B3B">
        <w:rPr>
          <w:rFonts w:ascii="Garamond" w:hAnsi="Garamond"/>
          <w:iCs/>
          <w:sz w:val="24"/>
          <w:szCs w:val="20"/>
        </w:rPr>
        <w:t>E</w:t>
      </w:r>
      <w:r w:rsidR="00D2119A" w:rsidRPr="00971B3B">
        <w:rPr>
          <w:rFonts w:ascii="Garamond" w:hAnsi="Garamond"/>
          <w:iCs/>
          <w:sz w:val="24"/>
          <w:szCs w:val="20"/>
        </w:rPr>
        <w:t xml:space="preserve">. </w:t>
      </w:r>
      <w:r w:rsidR="00E66F49" w:rsidRPr="00971B3B">
        <w:rPr>
          <w:rFonts w:ascii="Garamond" w:hAnsi="Garamond"/>
          <w:iCs/>
          <w:sz w:val="24"/>
          <w:szCs w:val="20"/>
        </w:rPr>
        <w:t>Structurally initiated</w:t>
      </w:r>
      <w:r w:rsidR="006E19D0" w:rsidRPr="00971B3B">
        <w:rPr>
          <w:rFonts w:ascii="Garamond" w:hAnsi="Garamond"/>
          <w:iCs/>
          <w:sz w:val="24"/>
          <w:szCs w:val="20"/>
        </w:rPr>
        <w:t xml:space="preserve"> forms of TA included the provision of </w:t>
      </w:r>
      <w:r w:rsidR="00971B3B">
        <w:rPr>
          <w:rFonts w:ascii="Garamond" w:hAnsi="Garamond"/>
          <w:iCs/>
          <w:sz w:val="24"/>
          <w:szCs w:val="20"/>
        </w:rPr>
        <w:t xml:space="preserve">several </w:t>
      </w:r>
      <w:r w:rsidR="006E19D0" w:rsidRPr="00971B3B">
        <w:rPr>
          <w:rFonts w:ascii="Garamond" w:hAnsi="Garamond"/>
          <w:iCs/>
          <w:sz w:val="24"/>
          <w:szCs w:val="20"/>
        </w:rPr>
        <w:t>updated polic</w:t>
      </w:r>
      <w:r w:rsidR="00971B3B">
        <w:rPr>
          <w:rFonts w:ascii="Garamond" w:hAnsi="Garamond"/>
          <w:iCs/>
          <w:sz w:val="24"/>
          <w:szCs w:val="20"/>
        </w:rPr>
        <w:t>ies</w:t>
      </w:r>
      <w:r w:rsidR="008A4D18" w:rsidRPr="00971B3B">
        <w:rPr>
          <w:rFonts w:ascii="Garamond" w:hAnsi="Garamond"/>
          <w:iCs/>
          <w:sz w:val="24"/>
          <w:szCs w:val="20"/>
        </w:rPr>
        <w:t xml:space="preserve"> </w:t>
      </w:r>
      <w:r w:rsidR="00E06FE4" w:rsidRPr="00971B3B">
        <w:rPr>
          <w:rFonts w:ascii="Garamond" w:hAnsi="Garamond"/>
          <w:iCs/>
          <w:sz w:val="24"/>
          <w:szCs w:val="20"/>
        </w:rPr>
        <w:t xml:space="preserve">and other written </w:t>
      </w:r>
      <w:r w:rsidR="008A4D18" w:rsidRPr="00971B3B">
        <w:rPr>
          <w:rFonts w:ascii="Garamond" w:hAnsi="Garamond"/>
          <w:iCs/>
          <w:sz w:val="24"/>
          <w:szCs w:val="20"/>
        </w:rPr>
        <w:t xml:space="preserve">forms of </w:t>
      </w:r>
      <w:r w:rsidR="00E06FE4" w:rsidRPr="00971B3B">
        <w:rPr>
          <w:rFonts w:ascii="Garamond" w:hAnsi="Garamond"/>
          <w:iCs/>
          <w:sz w:val="24"/>
          <w:szCs w:val="20"/>
        </w:rPr>
        <w:t>guidance</w:t>
      </w:r>
      <w:r w:rsidR="006E19D0" w:rsidRPr="00971B3B">
        <w:rPr>
          <w:rFonts w:ascii="Garamond" w:hAnsi="Garamond"/>
          <w:iCs/>
          <w:sz w:val="24"/>
          <w:szCs w:val="20"/>
        </w:rPr>
        <w:t>; it was also provided to local program</w:t>
      </w:r>
      <w:r w:rsidR="00DD2A0C" w:rsidRPr="00971B3B">
        <w:rPr>
          <w:rFonts w:ascii="Garamond" w:hAnsi="Garamond"/>
          <w:iCs/>
          <w:sz w:val="24"/>
          <w:szCs w:val="20"/>
        </w:rPr>
        <w:t xml:space="preserve"> directors </w:t>
      </w:r>
      <w:r w:rsidR="006E19D0" w:rsidRPr="00971B3B">
        <w:rPr>
          <w:rFonts w:ascii="Garamond" w:hAnsi="Garamond"/>
          <w:iCs/>
          <w:sz w:val="24"/>
          <w:szCs w:val="20"/>
        </w:rPr>
        <w:t xml:space="preserve">statewide </w:t>
      </w:r>
      <w:r w:rsidR="00DD2A0C" w:rsidRPr="00971B3B">
        <w:rPr>
          <w:rFonts w:ascii="Garamond" w:hAnsi="Garamond"/>
          <w:iCs/>
          <w:sz w:val="24"/>
          <w:szCs w:val="20"/>
        </w:rPr>
        <w:t>through</w:t>
      </w:r>
      <w:r w:rsidR="00555FA2">
        <w:rPr>
          <w:rFonts w:ascii="Garamond" w:hAnsi="Garamond"/>
          <w:iCs/>
          <w:sz w:val="24"/>
          <w:szCs w:val="20"/>
        </w:rPr>
        <w:t xml:space="preserve"> required,</w:t>
      </w:r>
      <w:r w:rsidR="00DD2A0C" w:rsidRPr="00971B3B">
        <w:rPr>
          <w:rFonts w:ascii="Garamond" w:hAnsi="Garamond"/>
          <w:iCs/>
          <w:sz w:val="24"/>
          <w:szCs w:val="20"/>
        </w:rPr>
        <w:t xml:space="preserve"> </w:t>
      </w:r>
      <w:r w:rsidR="00971B3B">
        <w:rPr>
          <w:rFonts w:ascii="Garamond" w:hAnsi="Garamond"/>
          <w:iCs/>
          <w:sz w:val="24"/>
          <w:szCs w:val="20"/>
        </w:rPr>
        <w:t xml:space="preserve">monthly </w:t>
      </w:r>
      <w:r w:rsidR="00E06FE4" w:rsidRPr="00971B3B">
        <w:rPr>
          <w:rFonts w:ascii="Garamond" w:hAnsi="Garamond"/>
          <w:iCs/>
          <w:sz w:val="24"/>
          <w:szCs w:val="20"/>
        </w:rPr>
        <w:t>virtua</w:t>
      </w:r>
      <w:r w:rsidR="00862549" w:rsidRPr="00971B3B">
        <w:rPr>
          <w:rFonts w:ascii="Garamond" w:hAnsi="Garamond"/>
          <w:iCs/>
          <w:sz w:val="24"/>
          <w:szCs w:val="20"/>
        </w:rPr>
        <w:t>l</w:t>
      </w:r>
      <w:r w:rsidR="00DD2A0C" w:rsidRPr="00971B3B">
        <w:rPr>
          <w:rFonts w:ascii="Garamond" w:hAnsi="Garamond"/>
          <w:iCs/>
          <w:sz w:val="24"/>
          <w:szCs w:val="20"/>
        </w:rPr>
        <w:t xml:space="preserve"> meetings</w:t>
      </w:r>
      <w:r w:rsidR="00C17BD5" w:rsidRPr="00971B3B">
        <w:rPr>
          <w:rFonts w:ascii="Garamond" w:hAnsi="Garamond"/>
          <w:iCs/>
          <w:sz w:val="24"/>
          <w:szCs w:val="20"/>
        </w:rPr>
        <w:t>.</w:t>
      </w:r>
      <w:r w:rsidR="00971B3B">
        <w:rPr>
          <w:rFonts w:ascii="Garamond" w:hAnsi="Garamond"/>
          <w:iCs/>
          <w:sz w:val="24"/>
          <w:szCs w:val="20"/>
        </w:rPr>
        <w:t xml:space="preserve"> </w:t>
      </w:r>
      <w:r w:rsidR="003A7765" w:rsidRPr="00971B3B">
        <w:rPr>
          <w:rFonts w:ascii="Garamond" w:hAnsi="Garamond"/>
          <w:iCs/>
          <w:sz w:val="24"/>
          <w:szCs w:val="20"/>
        </w:rPr>
        <w:t>P</w:t>
      </w:r>
      <w:r w:rsidR="00DD2A0C" w:rsidRPr="00971B3B">
        <w:rPr>
          <w:rFonts w:ascii="Garamond" w:hAnsi="Garamond"/>
          <w:iCs/>
          <w:sz w:val="24"/>
          <w:szCs w:val="20"/>
        </w:rPr>
        <w:t xml:space="preserve">rograms </w:t>
      </w:r>
      <w:r w:rsidR="00D63DB4" w:rsidRPr="00971B3B">
        <w:rPr>
          <w:rFonts w:ascii="Garamond" w:hAnsi="Garamond"/>
          <w:iCs/>
          <w:sz w:val="24"/>
          <w:szCs w:val="20"/>
        </w:rPr>
        <w:t xml:space="preserve">also </w:t>
      </w:r>
      <w:r w:rsidR="00DD2A0C" w:rsidRPr="00971B3B">
        <w:rPr>
          <w:rFonts w:ascii="Garamond" w:hAnsi="Garamond"/>
          <w:iCs/>
          <w:sz w:val="24"/>
          <w:szCs w:val="20"/>
        </w:rPr>
        <w:t>received</w:t>
      </w:r>
      <w:r w:rsidR="004B6A8D" w:rsidRPr="00971B3B">
        <w:rPr>
          <w:rFonts w:ascii="Garamond" w:hAnsi="Garamond"/>
          <w:iCs/>
          <w:sz w:val="24"/>
          <w:szCs w:val="20"/>
        </w:rPr>
        <w:t xml:space="preserve"> TA</w:t>
      </w:r>
      <w:r w:rsidR="00DD2A0C" w:rsidRPr="00971B3B">
        <w:rPr>
          <w:rFonts w:ascii="Garamond" w:hAnsi="Garamond"/>
          <w:iCs/>
          <w:sz w:val="24"/>
          <w:szCs w:val="20"/>
        </w:rPr>
        <w:t xml:space="preserve"> </w:t>
      </w:r>
      <w:r w:rsidR="003A7765" w:rsidRPr="00971B3B">
        <w:rPr>
          <w:rFonts w:ascii="Garamond" w:hAnsi="Garamond"/>
          <w:iCs/>
          <w:sz w:val="24"/>
          <w:szCs w:val="20"/>
        </w:rPr>
        <w:t>prompted by any flags or concerns as the result of regular</w:t>
      </w:r>
      <w:r w:rsidR="00DD2A0C" w:rsidRPr="00971B3B">
        <w:rPr>
          <w:rFonts w:ascii="Garamond" w:hAnsi="Garamond"/>
          <w:iCs/>
          <w:sz w:val="24"/>
          <w:szCs w:val="20"/>
        </w:rPr>
        <w:t xml:space="preserve"> </w:t>
      </w:r>
      <w:r w:rsidR="00D91C24" w:rsidRPr="00971B3B">
        <w:rPr>
          <w:rFonts w:ascii="Garamond" w:hAnsi="Garamond"/>
          <w:iCs/>
          <w:sz w:val="24"/>
          <w:szCs w:val="20"/>
        </w:rPr>
        <w:t xml:space="preserve">NMHED-AE </w:t>
      </w:r>
      <w:r w:rsidR="00DD2A0C" w:rsidRPr="00971B3B">
        <w:rPr>
          <w:rFonts w:ascii="Garamond" w:hAnsi="Garamond"/>
          <w:iCs/>
          <w:sz w:val="24"/>
          <w:szCs w:val="20"/>
        </w:rPr>
        <w:t xml:space="preserve">desk monitoring of program </w:t>
      </w:r>
      <w:r w:rsidR="003A7765" w:rsidRPr="00971B3B">
        <w:rPr>
          <w:rFonts w:ascii="Garamond" w:hAnsi="Garamond"/>
          <w:iCs/>
          <w:sz w:val="24"/>
          <w:szCs w:val="20"/>
        </w:rPr>
        <w:t>data</w:t>
      </w:r>
      <w:r w:rsidR="00A0151C" w:rsidRPr="00971B3B">
        <w:rPr>
          <w:rFonts w:ascii="Garamond" w:hAnsi="Garamond"/>
          <w:iCs/>
          <w:sz w:val="24"/>
          <w:szCs w:val="20"/>
        </w:rPr>
        <w:t xml:space="preserve">. </w:t>
      </w:r>
      <w:r w:rsidR="00626854">
        <w:rPr>
          <w:rFonts w:ascii="Garamond" w:hAnsi="Garamond"/>
          <w:iCs/>
          <w:sz w:val="24"/>
          <w:szCs w:val="20"/>
        </w:rPr>
        <w:t xml:space="preserve">Informal technical assistance was provided by all state office staff on a daily basis in response to emailed and telephoned requests from local programs. </w:t>
      </w:r>
      <w:r w:rsidR="00A0151C" w:rsidRPr="00971B3B">
        <w:rPr>
          <w:rFonts w:ascii="Garamond" w:hAnsi="Garamond"/>
          <w:iCs/>
          <w:sz w:val="24"/>
          <w:szCs w:val="20"/>
        </w:rPr>
        <w:t xml:space="preserve">The PD Coordinator escalated the </w:t>
      </w:r>
      <w:r w:rsidR="004B6A8D" w:rsidRPr="00971B3B">
        <w:rPr>
          <w:rFonts w:ascii="Garamond" w:hAnsi="Garamond"/>
          <w:iCs/>
          <w:sz w:val="24"/>
          <w:szCs w:val="20"/>
        </w:rPr>
        <w:t xml:space="preserve">ongoing </w:t>
      </w:r>
      <w:r w:rsidR="00A0151C" w:rsidRPr="00971B3B">
        <w:rPr>
          <w:rFonts w:ascii="Garamond" w:hAnsi="Garamond"/>
          <w:iCs/>
          <w:sz w:val="24"/>
          <w:szCs w:val="20"/>
        </w:rPr>
        <w:t xml:space="preserve">provision of technical assistance on the distance learning front </w:t>
      </w:r>
      <w:r w:rsidR="00971B3B">
        <w:rPr>
          <w:rFonts w:ascii="Garamond" w:hAnsi="Garamond"/>
          <w:iCs/>
          <w:sz w:val="24"/>
          <w:szCs w:val="20"/>
        </w:rPr>
        <w:t>throughout the pandemic year, providing resources as needed and at least bi-monthly</w:t>
      </w:r>
      <w:r w:rsidR="00A0151C" w:rsidRPr="00971B3B">
        <w:rPr>
          <w:rFonts w:ascii="Garamond" w:hAnsi="Garamond"/>
          <w:iCs/>
          <w:sz w:val="24"/>
          <w:szCs w:val="20"/>
        </w:rPr>
        <w:t xml:space="preserve"> </w:t>
      </w:r>
      <w:r w:rsidR="00971B3B">
        <w:rPr>
          <w:rFonts w:ascii="Garamond" w:hAnsi="Garamond"/>
          <w:iCs/>
          <w:sz w:val="24"/>
          <w:szCs w:val="20"/>
        </w:rPr>
        <w:t xml:space="preserve">webinars and online </w:t>
      </w:r>
      <w:r w:rsidR="00A0151C" w:rsidRPr="00971B3B">
        <w:rPr>
          <w:rFonts w:ascii="Garamond" w:hAnsi="Garamond"/>
          <w:iCs/>
          <w:sz w:val="24"/>
          <w:szCs w:val="20"/>
        </w:rPr>
        <w:t>resource</w:t>
      </w:r>
      <w:r w:rsidR="00971B3B">
        <w:rPr>
          <w:rFonts w:ascii="Garamond" w:hAnsi="Garamond"/>
          <w:iCs/>
          <w:sz w:val="24"/>
          <w:szCs w:val="20"/>
        </w:rPr>
        <w:t xml:space="preserve"> repositories</w:t>
      </w:r>
      <w:r w:rsidR="00A0151C" w:rsidRPr="00971B3B">
        <w:rPr>
          <w:rFonts w:ascii="Garamond" w:hAnsi="Garamond"/>
          <w:iCs/>
          <w:sz w:val="24"/>
          <w:szCs w:val="20"/>
        </w:rPr>
        <w:t xml:space="preserve"> </w:t>
      </w:r>
      <w:r w:rsidR="00C13448" w:rsidRPr="00971B3B">
        <w:rPr>
          <w:rFonts w:ascii="Garamond" w:hAnsi="Garamond"/>
          <w:iCs/>
          <w:sz w:val="24"/>
          <w:szCs w:val="20"/>
        </w:rPr>
        <w:t xml:space="preserve">(and ultimately creating </w:t>
      </w:r>
      <w:r w:rsidR="00971B3B">
        <w:rPr>
          <w:rFonts w:ascii="Garamond" w:hAnsi="Garamond"/>
          <w:iCs/>
          <w:sz w:val="24"/>
          <w:szCs w:val="20"/>
        </w:rPr>
        <w:t xml:space="preserve">the propelnm.org </w:t>
      </w:r>
      <w:r w:rsidR="00C13448" w:rsidRPr="00971B3B">
        <w:rPr>
          <w:rFonts w:ascii="Garamond" w:hAnsi="Garamond"/>
          <w:iCs/>
          <w:sz w:val="24"/>
          <w:szCs w:val="20"/>
        </w:rPr>
        <w:t>website)</w:t>
      </w:r>
      <w:r w:rsidR="00CC4CB2">
        <w:rPr>
          <w:rFonts w:ascii="Garamond" w:hAnsi="Garamond"/>
          <w:iCs/>
          <w:sz w:val="24"/>
          <w:szCs w:val="20"/>
        </w:rPr>
        <w:t xml:space="preserve">. In addition to the CPI and other initiatives detailed above, Mr. Fantine also provided one-on-one technical assistance in IET development and </w:t>
      </w:r>
      <w:r w:rsidR="00CC4CB2">
        <w:rPr>
          <w:rFonts w:ascii="Garamond" w:hAnsi="Garamond"/>
          <w:iCs/>
          <w:sz w:val="24"/>
          <w:szCs w:val="20"/>
        </w:rPr>
        <w:lastRenderedPageBreak/>
        <w:t xml:space="preserve">contextualized instruction to </w:t>
      </w:r>
      <w:r w:rsidR="00626854">
        <w:rPr>
          <w:rFonts w:ascii="Garamond" w:hAnsi="Garamond"/>
          <w:iCs/>
          <w:sz w:val="24"/>
          <w:szCs w:val="20"/>
        </w:rPr>
        <w:t xml:space="preserve">19 sub-awardee programs. Finally, Mr. Fantine spearheaded the creation of a New Hire Handbook for all local program staff, delivering a rough draft of the document in PY 2020-2021. This tool will be refined and posted at </w:t>
      </w:r>
      <w:r w:rsidR="00626854" w:rsidRPr="00626854">
        <w:rPr>
          <w:rFonts w:ascii="Garamond" w:hAnsi="Garamond"/>
          <w:i/>
          <w:sz w:val="24"/>
          <w:szCs w:val="20"/>
        </w:rPr>
        <w:t>propelnm.org</w:t>
      </w:r>
      <w:r w:rsidR="00626854">
        <w:rPr>
          <w:rFonts w:ascii="Garamond" w:hAnsi="Garamond"/>
          <w:iCs/>
          <w:sz w:val="24"/>
          <w:szCs w:val="20"/>
        </w:rPr>
        <w:t xml:space="preserve"> in </w:t>
      </w:r>
      <w:r w:rsidR="00650569">
        <w:rPr>
          <w:rFonts w:ascii="Garamond" w:hAnsi="Garamond"/>
          <w:iCs/>
          <w:sz w:val="24"/>
          <w:szCs w:val="20"/>
        </w:rPr>
        <w:t>PY</w:t>
      </w:r>
      <w:r w:rsidR="00626854">
        <w:rPr>
          <w:rFonts w:ascii="Garamond" w:hAnsi="Garamond"/>
          <w:iCs/>
          <w:sz w:val="24"/>
          <w:szCs w:val="20"/>
        </w:rPr>
        <w:t xml:space="preserve"> 2021-2022</w:t>
      </w:r>
      <w:r w:rsidR="00650569">
        <w:rPr>
          <w:rFonts w:ascii="Garamond" w:hAnsi="Garamond"/>
          <w:iCs/>
          <w:sz w:val="24"/>
          <w:szCs w:val="20"/>
        </w:rPr>
        <w:t>.</w:t>
      </w:r>
    </w:p>
    <w:p w14:paraId="4A398038" w14:textId="00BD24AA" w:rsidR="00517671" w:rsidRDefault="00960CEA" w:rsidP="008C1B16">
      <w:pPr>
        <w:spacing w:after="120"/>
        <w:ind w:right="72"/>
        <w:rPr>
          <w:rFonts w:ascii="Garamond" w:hAnsi="Garamond"/>
          <w:iCs/>
          <w:sz w:val="24"/>
          <w:szCs w:val="20"/>
        </w:rPr>
      </w:pPr>
      <w:r w:rsidRPr="00517671">
        <w:rPr>
          <w:rFonts w:ascii="Garamond" w:hAnsi="Garamond" w:cs="Times New Roman"/>
          <w:b/>
          <w:sz w:val="24"/>
          <w:szCs w:val="20"/>
        </w:rPr>
        <w:t>Monitoring and evaluation of the quality and improvement of adult education activities as described in section 223(1)(d).</w:t>
      </w:r>
      <w:r w:rsidR="008C1B16" w:rsidRPr="00517671">
        <w:rPr>
          <w:rFonts w:ascii="Garamond" w:hAnsi="Garamond"/>
          <w:iCs/>
          <w:sz w:val="24"/>
          <w:szCs w:val="20"/>
        </w:rPr>
        <w:t xml:space="preserve"> </w:t>
      </w:r>
      <w:r w:rsidR="004B6A8D" w:rsidRPr="00517671">
        <w:rPr>
          <w:rFonts w:ascii="Garamond" w:hAnsi="Garamond" w:cs="Times New Roman"/>
          <w:sz w:val="24"/>
          <w:szCs w:val="20"/>
        </w:rPr>
        <w:t>NMHED-AE focuse</w:t>
      </w:r>
      <w:r w:rsidR="00050BD8" w:rsidRPr="00517671">
        <w:rPr>
          <w:rFonts w:ascii="Garamond" w:hAnsi="Garamond" w:cs="Times New Roman"/>
          <w:sz w:val="24"/>
          <w:szCs w:val="20"/>
        </w:rPr>
        <w:t>s</w:t>
      </w:r>
      <w:r w:rsidR="004B6A8D" w:rsidRPr="00517671">
        <w:rPr>
          <w:rFonts w:ascii="Garamond" w:hAnsi="Garamond" w:cs="Times New Roman"/>
          <w:sz w:val="24"/>
          <w:szCs w:val="20"/>
        </w:rPr>
        <w:t xml:space="preserve"> all monitoring and evaluation activities on improving the quality </w:t>
      </w:r>
      <w:r w:rsidR="00760131" w:rsidRPr="00517671">
        <w:rPr>
          <w:rFonts w:ascii="Garamond" w:hAnsi="Garamond" w:cs="Times New Roman"/>
          <w:sz w:val="24"/>
          <w:szCs w:val="20"/>
        </w:rPr>
        <w:t xml:space="preserve">and efficacy </w:t>
      </w:r>
      <w:r w:rsidR="004B6A8D" w:rsidRPr="00517671">
        <w:rPr>
          <w:rFonts w:ascii="Garamond" w:hAnsi="Garamond" w:cs="Times New Roman"/>
          <w:sz w:val="24"/>
          <w:szCs w:val="20"/>
        </w:rPr>
        <w:t>of adult education and literacy activities throughout the state</w:t>
      </w:r>
      <w:r w:rsidR="00050BD8" w:rsidRPr="00517671">
        <w:rPr>
          <w:rFonts w:ascii="Garamond" w:hAnsi="Garamond" w:cs="Times New Roman"/>
          <w:sz w:val="24"/>
          <w:szCs w:val="20"/>
        </w:rPr>
        <w:t xml:space="preserve">, and a designated state office Program Improvement Coordinator oversees </w:t>
      </w:r>
      <w:r w:rsidR="003874E8" w:rsidRPr="00517671">
        <w:rPr>
          <w:rFonts w:ascii="Garamond" w:hAnsi="Garamond" w:cs="Times New Roman"/>
          <w:sz w:val="24"/>
          <w:szCs w:val="20"/>
        </w:rPr>
        <w:t>efforts on this front.</w:t>
      </w:r>
      <w:r w:rsidR="001B07B8" w:rsidRPr="00517671">
        <w:rPr>
          <w:rFonts w:ascii="Garamond" w:hAnsi="Garamond" w:cs="Times New Roman"/>
          <w:sz w:val="24"/>
          <w:szCs w:val="20"/>
        </w:rPr>
        <w:t xml:space="preserve"> </w:t>
      </w:r>
      <w:r w:rsidR="00517671">
        <w:rPr>
          <w:rFonts w:ascii="Garamond" w:hAnsi="Garamond" w:cs="Times New Roman"/>
          <w:sz w:val="24"/>
          <w:szCs w:val="20"/>
        </w:rPr>
        <w:t xml:space="preserve">In PY 2020-2021, our office engaged in a revitalization of our monitoring and evaluation practices: </w:t>
      </w:r>
      <w:r w:rsidR="00555FA2">
        <w:rPr>
          <w:rFonts w:ascii="Garamond" w:hAnsi="Garamond" w:cs="Times New Roman"/>
          <w:sz w:val="24"/>
          <w:szCs w:val="20"/>
        </w:rPr>
        <w:t xml:space="preserve">we </w:t>
      </w:r>
      <w:r w:rsidR="00517671">
        <w:rPr>
          <w:rFonts w:ascii="Garamond" w:hAnsi="Garamond" w:cs="Times New Roman"/>
          <w:sz w:val="24"/>
          <w:szCs w:val="20"/>
        </w:rPr>
        <w:t xml:space="preserve">revised and simplified our </w:t>
      </w:r>
      <w:r w:rsidR="001B07B8" w:rsidRPr="00517671">
        <w:rPr>
          <w:rFonts w:ascii="Garamond" w:hAnsi="Garamond"/>
          <w:iCs/>
          <w:sz w:val="24"/>
          <w:szCs w:val="20"/>
        </w:rPr>
        <w:t>structured Risk Assessment Too</w:t>
      </w:r>
      <w:r w:rsidR="00862549" w:rsidRPr="00517671">
        <w:rPr>
          <w:rFonts w:ascii="Garamond" w:hAnsi="Garamond"/>
          <w:iCs/>
          <w:sz w:val="24"/>
          <w:szCs w:val="20"/>
        </w:rPr>
        <w:t>l</w:t>
      </w:r>
      <w:r w:rsidR="00517671">
        <w:rPr>
          <w:rFonts w:ascii="Garamond" w:hAnsi="Garamond"/>
          <w:iCs/>
          <w:sz w:val="24"/>
          <w:szCs w:val="20"/>
        </w:rPr>
        <w:t xml:space="preserve">, created a new set of monitoring guidelines, a </w:t>
      </w:r>
      <w:r w:rsidR="00E66F49">
        <w:rPr>
          <w:rFonts w:ascii="Garamond" w:hAnsi="Garamond"/>
          <w:iCs/>
          <w:sz w:val="24"/>
          <w:szCs w:val="20"/>
        </w:rPr>
        <w:t>monitoring checklist</w:t>
      </w:r>
      <w:r w:rsidR="00517671">
        <w:rPr>
          <w:rFonts w:ascii="Garamond" w:hAnsi="Garamond"/>
          <w:iCs/>
          <w:sz w:val="24"/>
          <w:szCs w:val="20"/>
        </w:rPr>
        <w:t xml:space="preserve">, Program Enhancement Plan template, and a number of other tools. We posted all of these online for our programs in an effort towards increased transparency </w:t>
      </w:r>
      <w:r w:rsidR="00555FA2">
        <w:rPr>
          <w:rFonts w:ascii="Garamond" w:hAnsi="Garamond"/>
          <w:iCs/>
          <w:sz w:val="24"/>
          <w:szCs w:val="20"/>
        </w:rPr>
        <w:t>and partnership in continuous program improvement (</w:t>
      </w:r>
      <w:hyperlink r:id="rId6" w:history="1">
        <w:r w:rsidR="00555FA2" w:rsidRPr="001E21E0">
          <w:rPr>
            <w:rStyle w:val="Hyperlink"/>
            <w:rFonts w:ascii="Garamond" w:hAnsi="Garamond"/>
            <w:iCs/>
            <w:sz w:val="24"/>
            <w:szCs w:val="20"/>
          </w:rPr>
          <w:t>https://sites.google.com/nmdelt.org/propelnm/policies-accountability/monitoring-reporting?authuser=0</w:t>
        </w:r>
      </w:hyperlink>
      <w:r w:rsidR="00517671">
        <w:rPr>
          <w:rFonts w:ascii="Garamond" w:hAnsi="Garamond"/>
          <w:iCs/>
          <w:sz w:val="24"/>
          <w:szCs w:val="20"/>
        </w:rPr>
        <w:t>). While the ongoing pandemic derailed planned</w:t>
      </w:r>
      <w:r w:rsidR="007A0132">
        <w:rPr>
          <w:rFonts w:ascii="Garamond" w:hAnsi="Garamond"/>
          <w:iCs/>
          <w:sz w:val="24"/>
          <w:szCs w:val="20"/>
        </w:rPr>
        <w:t xml:space="preserve"> in-person site visits, our revised process created guidelines for virtual site visits and hybrid visits are already planned throughout the upcoming program year, with prioritization of visits determined by the risk assessment. Comprehensive desk audits were performed frequently and TA was provided to programs as needed. Programs submitted mid-year and annual reports and all state-sponsored PD initiatives </w:t>
      </w:r>
      <w:r w:rsidR="00555FA2">
        <w:rPr>
          <w:rFonts w:ascii="Garamond" w:hAnsi="Garamond"/>
          <w:iCs/>
          <w:sz w:val="24"/>
          <w:szCs w:val="20"/>
        </w:rPr>
        <w:t>w</w:t>
      </w:r>
      <w:r w:rsidR="007A0132">
        <w:rPr>
          <w:rFonts w:ascii="Garamond" w:hAnsi="Garamond"/>
          <w:iCs/>
          <w:sz w:val="24"/>
          <w:szCs w:val="20"/>
        </w:rPr>
        <w:t xml:space="preserve">ere informed by NMHED-AE’s monitoring and evaluation </w:t>
      </w:r>
      <w:r w:rsidR="008037A3">
        <w:rPr>
          <w:rFonts w:ascii="Garamond" w:hAnsi="Garamond"/>
          <w:iCs/>
          <w:sz w:val="24"/>
          <w:szCs w:val="20"/>
        </w:rPr>
        <w:t xml:space="preserve">efforts to support continuous program improvement. </w:t>
      </w:r>
    </w:p>
    <w:p w14:paraId="45DD58A8" w14:textId="77777777" w:rsidR="00A854F6" w:rsidRPr="003315E0" w:rsidRDefault="00A854F6" w:rsidP="00B10BFF">
      <w:pPr>
        <w:pStyle w:val="Default"/>
        <w:rPr>
          <w:b/>
          <w:sz w:val="23"/>
          <w:szCs w:val="23"/>
          <w:u w:val="single"/>
        </w:rPr>
      </w:pPr>
    </w:p>
    <w:p w14:paraId="579EEFF5" w14:textId="1D59AB8B" w:rsidR="009D13D8" w:rsidRPr="003315E0" w:rsidRDefault="00E90157" w:rsidP="00B10BFF">
      <w:pPr>
        <w:pStyle w:val="Default"/>
        <w:rPr>
          <w:b/>
          <w:sz w:val="23"/>
          <w:szCs w:val="23"/>
        </w:rPr>
      </w:pPr>
      <w:r w:rsidRPr="003315E0">
        <w:rPr>
          <w:b/>
          <w:sz w:val="23"/>
          <w:szCs w:val="23"/>
          <w:u w:val="single"/>
        </w:rPr>
        <w:t>(b) As applicable, describe how the State has used funds for additional permissible activities described in section 223(a)(2).</w:t>
      </w:r>
      <w:r w:rsidR="00EB1CD0">
        <w:rPr>
          <w:b/>
          <w:sz w:val="23"/>
          <w:szCs w:val="23"/>
        </w:rPr>
        <w:t xml:space="preserve"> </w:t>
      </w:r>
      <w:r w:rsidR="00B10BFF" w:rsidRPr="003315E0">
        <w:rPr>
          <w:b/>
          <w:sz w:val="23"/>
          <w:szCs w:val="23"/>
        </w:rPr>
        <w:t xml:space="preserve"> </w:t>
      </w:r>
      <w:r w:rsidR="009D13D8" w:rsidRPr="003315E0">
        <w:rPr>
          <w:rFonts w:cs="Times"/>
          <w:i/>
        </w:rPr>
        <w:t>(1)</w:t>
      </w:r>
      <w:r w:rsidR="00EB1CD0">
        <w:rPr>
          <w:rFonts w:cs="Times"/>
          <w:i/>
        </w:rPr>
        <w:t xml:space="preserve"> </w:t>
      </w:r>
      <w:r w:rsidR="009D13D8" w:rsidRPr="003315E0">
        <w:rPr>
          <w:rFonts w:cs="Times"/>
          <w:i/>
        </w:rPr>
        <w:t>Developing content and models for integrated education and training and career pathways.</w:t>
      </w:r>
      <w:r w:rsidR="00EB1CD0">
        <w:rPr>
          <w:rFonts w:cs="Times"/>
          <w:i/>
        </w:rPr>
        <w:t xml:space="preserve"> </w:t>
      </w:r>
      <w:r w:rsidR="009D13D8" w:rsidRPr="003315E0">
        <w:rPr>
          <w:rFonts w:cs="Times"/>
          <w:i/>
        </w:rPr>
        <w:t>(2)</w:t>
      </w:r>
      <w:r w:rsidR="00EB1CD0">
        <w:rPr>
          <w:rFonts w:cs="Times"/>
          <w:i/>
        </w:rPr>
        <w:t xml:space="preserve"> </w:t>
      </w:r>
      <w:r w:rsidR="009D13D8" w:rsidRPr="003315E0">
        <w:rPr>
          <w:rFonts w:cs="Times"/>
          <w:i/>
        </w:rPr>
        <w:t>The development and implementation of a system to assist in the transition from adult education to postsecondary education, including linkages with postsecondary educational institutions or institutions of higher education.</w:t>
      </w:r>
      <w:r w:rsidR="00EB1CD0">
        <w:rPr>
          <w:rFonts w:cs="Times"/>
          <w:i/>
        </w:rPr>
        <w:t xml:space="preserve"> </w:t>
      </w:r>
      <w:r w:rsidR="009D13D8" w:rsidRPr="003315E0">
        <w:rPr>
          <w:rFonts w:cs="Times"/>
          <w:i/>
        </w:rPr>
        <w:t>(3)</w:t>
      </w:r>
      <w:r w:rsidR="00EB1CD0">
        <w:rPr>
          <w:rFonts w:cs="Times"/>
          <w:i/>
        </w:rPr>
        <w:t xml:space="preserve"> </w:t>
      </w:r>
      <w:r w:rsidR="009D13D8" w:rsidRPr="003315E0">
        <w:rPr>
          <w:rFonts w:cs="Times"/>
          <w:i/>
        </w:rPr>
        <w:t>Outreach to instructors, students, and employers</w:t>
      </w:r>
      <w:r w:rsidR="0055702E" w:rsidRPr="003315E0">
        <w:rPr>
          <w:rFonts w:cs="Times"/>
          <w:i/>
        </w:rPr>
        <w:t>.</w:t>
      </w:r>
      <w:r w:rsidR="00EB1CD0">
        <w:rPr>
          <w:rFonts w:cs="Times"/>
          <w:i/>
        </w:rPr>
        <w:t xml:space="preserve"> </w:t>
      </w:r>
      <w:r w:rsidR="0055702E" w:rsidRPr="003315E0">
        <w:rPr>
          <w:rFonts w:cs="Times"/>
          <w:i/>
        </w:rPr>
        <w:t>(4)</w:t>
      </w:r>
      <w:r w:rsidR="00EB1CD0">
        <w:rPr>
          <w:rFonts w:cs="Times"/>
          <w:i/>
        </w:rPr>
        <w:t xml:space="preserve"> </w:t>
      </w:r>
      <w:r w:rsidR="0055702E" w:rsidRPr="003315E0">
        <w:rPr>
          <w:rFonts w:cs="Times"/>
          <w:i/>
        </w:rPr>
        <w:t>O</w:t>
      </w:r>
      <w:r w:rsidR="009D13D8" w:rsidRPr="003315E0">
        <w:rPr>
          <w:rFonts w:cs="Times"/>
          <w:i/>
        </w:rPr>
        <w:t xml:space="preserve">ther activities of statewide significance that promote the purpose of this title. </w:t>
      </w:r>
    </w:p>
    <w:p w14:paraId="07687C6C" w14:textId="77777777" w:rsidR="00B10BFF" w:rsidRPr="003315E0" w:rsidRDefault="00B10BFF" w:rsidP="00B10BFF">
      <w:pPr>
        <w:pStyle w:val="Default"/>
        <w:rPr>
          <w:b/>
          <w:sz w:val="23"/>
          <w:szCs w:val="23"/>
          <w:u w:val="single"/>
        </w:rPr>
      </w:pPr>
    </w:p>
    <w:p w14:paraId="25C178B0" w14:textId="3E1C12D7" w:rsidR="003315E0" w:rsidRDefault="003315E0" w:rsidP="003315E0">
      <w:pPr>
        <w:spacing w:after="120"/>
        <w:ind w:right="72"/>
        <w:rPr>
          <w:rFonts w:ascii="Garamond" w:hAnsi="Garamond" w:cs="Times New Roman"/>
          <w:iCs/>
          <w:sz w:val="24"/>
          <w:szCs w:val="20"/>
        </w:rPr>
      </w:pPr>
      <w:r>
        <w:rPr>
          <w:rFonts w:ascii="Garamond" w:hAnsi="Garamond" w:cs="Times New Roman"/>
          <w:iCs/>
          <w:sz w:val="24"/>
          <w:szCs w:val="20"/>
        </w:rPr>
        <w:t>The new State Director collaborated with NMDWS, NMHED, and NMEDD staff on the design ReadyNM initiative (</w:t>
      </w:r>
      <w:r w:rsidRPr="006B21A2">
        <w:rPr>
          <w:rFonts w:ascii="Garamond" w:hAnsi="Garamond" w:cs="Times New Roman"/>
          <w:iCs/>
          <w:sz w:val="24"/>
          <w:szCs w:val="20"/>
        </w:rPr>
        <w:t>ready.nm.gov</w:t>
      </w:r>
      <w:r>
        <w:rPr>
          <w:rFonts w:ascii="Garamond" w:hAnsi="Garamond" w:cs="Times New Roman"/>
          <w:iCs/>
          <w:sz w:val="24"/>
          <w:szCs w:val="20"/>
        </w:rPr>
        <w:t>)</w:t>
      </w:r>
      <w:r w:rsidR="00555FA2">
        <w:rPr>
          <w:rFonts w:ascii="Garamond" w:hAnsi="Garamond" w:cs="Times New Roman"/>
          <w:iCs/>
          <w:sz w:val="24"/>
          <w:szCs w:val="20"/>
        </w:rPr>
        <w:t xml:space="preserve">. This comprehensive effort, galvanized by need for pandemic recovery in our state, </w:t>
      </w:r>
      <w:r>
        <w:rPr>
          <w:rFonts w:ascii="Garamond" w:hAnsi="Garamond" w:cs="Times New Roman"/>
          <w:iCs/>
          <w:sz w:val="24"/>
          <w:szCs w:val="20"/>
        </w:rPr>
        <w:t>provides information on training, education, and careers for New Mexicans (including a growing list of IETs designed by adult education programs) in a one-stop comprehensive and convenient website</w:t>
      </w:r>
      <w:r w:rsidR="00555FA2">
        <w:rPr>
          <w:rFonts w:ascii="Garamond" w:hAnsi="Garamond" w:cs="Times New Roman"/>
          <w:iCs/>
          <w:sz w:val="24"/>
          <w:szCs w:val="20"/>
        </w:rPr>
        <w:t xml:space="preserve">. Ready NM </w:t>
      </w:r>
      <w:r>
        <w:rPr>
          <w:rFonts w:ascii="Garamond" w:hAnsi="Garamond" w:cs="Times New Roman"/>
          <w:iCs/>
          <w:sz w:val="24"/>
          <w:szCs w:val="20"/>
        </w:rPr>
        <w:t>has also offered grants to programs that design IETs or similar projects that assist adults to access job training for in-demand careers</w:t>
      </w:r>
      <w:r w:rsidR="00555FA2">
        <w:rPr>
          <w:rFonts w:ascii="Garamond" w:hAnsi="Garamond" w:cs="Times New Roman"/>
          <w:iCs/>
          <w:sz w:val="24"/>
          <w:szCs w:val="20"/>
        </w:rPr>
        <w:t>; the State Director served on the grant application review committee and represented the perspective of adult education</w:t>
      </w:r>
      <w:r>
        <w:rPr>
          <w:rFonts w:ascii="Garamond" w:hAnsi="Garamond" w:cs="Times New Roman"/>
          <w:iCs/>
          <w:sz w:val="24"/>
          <w:szCs w:val="20"/>
        </w:rPr>
        <w:t xml:space="preserve">. The State Director also collaborated with the Public Education Department (NMPED) on addressing key indicators in New Mexico’s Kids Count Report, an effort which will continue into the next program year. </w:t>
      </w:r>
      <w:r w:rsidR="007C6F38">
        <w:rPr>
          <w:rFonts w:ascii="Garamond" w:hAnsi="Garamond" w:cs="Times New Roman"/>
          <w:iCs/>
          <w:sz w:val="24"/>
          <w:szCs w:val="20"/>
        </w:rPr>
        <w:t>Both of these statewide collaborations further the development of a system that links adult learners to further educational and career resources.</w:t>
      </w:r>
    </w:p>
    <w:p w14:paraId="0CC16E54" w14:textId="4B8BDBEE" w:rsidR="007C6F38" w:rsidRDefault="00AF004A" w:rsidP="003315E0">
      <w:pPr>
        <w:spacing w:after="120"/>
        <w:ind w:right="72"/>
        <w:rPr>
          <w:rFonts w:ascii="Garamond" w:hAnsi="Garamond" w:cs="Times New Roman"/>
          <w:iCs/>
          <w:sz w:val="24"/>
          <w:szCs w:val="20"/>
        </w:rPr>
      </w:pPr>
      <w:r>
        <w:rPr>
          <w:rFonts w:ascii="Garamond" w:hAnsi="Garamond" w:cs="Times New Roman"/>
          <w:iCs/>
          <w:sz w:val="24"/>
          <w:szCs w:val="20"/>
        </w:rPr>
        <w:t>Also noteworthy was</w:t>
      </w:r>
      <w:r w:rsidR="003315E0">
        <w:rPr>
          <w:rFonts w:ascii="Garamond" w:hAnsi="Garamond" w:cs="Times New Roman"/>
          <w:iCs/>
          <w:sz w:val="24"/>
          <w:szCs w:val="20"/>
        </w:rPr>
        <w:t xml:space="preserve"> NMHED-AE’s second year of membership in Jobs for the Future’s National Pathways to Prosperity Network, </w:t>
      </w:r>
      <w:r>
        <w:rPr>
          <w:rFonts w:ascii="Garamond" w:hAnsi="Garamond" w:cs="Times New Roman"/>
          <w:iCs/>
          <w:sz w:val="24"/>
          <w:szCs w:val="20"/>
        </w:rPr>
        <w:t xml:space="preserve">during which </w:t>
      </w:r>
      <w:r w:rsidR="003315E0">
        <w:rPr>
          <w:rFonts w:ascii="Garamond" w:hAnsi="Garamond" w:cs="Times New Roman"/>
          <w:iCs/>
          <w:sz w:val="24"/>
          <w:szCs w:val="20"/>
        </w:rPr>
        <w:t>we continued to take the lead in cross-agency collaborative efforts to reduce adults’ barriers in accessing career pathways in our state</w:t>
      </w:r>
      <w:r>
        <w:rPr>
          <w:rFonts w:ascii="Garamond" w:hAnsi="Garamond" w:cs="Times New Roman"/>
          <w:iCs/>
          <w:sz w:val="24"/>
          <w:szCs w:val="20"/>
        </w:rPr>
        <w:t xml:space="preserve">. In doing so, </w:t>
      </w:r>
      <w:r>
        <w:rPr>
          <w:rFonts w:ascii="Garamond" w:hAnsi="Garamond" w:cs="Times New Roman"/>
          <w:iCs/>
          <w:sz w:val="24"/>
          <w:szCs w:val="20"/>
        </w:rPr>
        <w:lastRenderedPageBreak/>
        <w:t xml:space="preserve">we </w:t>
      </w:r>
      <w:r w:rsidR="003315E0">
        <w:rPr>
          <w:rFonts w:ascii="Garamond" w:hAnsi="Garamond" w:cs="Times New Roman"/>
          <w:iCs/>
          <w:sz w:val="24"/>
          <w:szCs w:val="20"/>
        </w:rPr>
        <w:t>act</w:t>
      </w:r>
      <w:r>
        <w:rPr>
          <w:rFonts w:ascii="Garamond" w:hAnsi="Garamond" w:cs="Times New Roman"/>
          <w:iCs/>
          <w:sz w:val="24"/>
          <w:szCs w:val="20"/>
        </w:rPr>
        <w:t>ed</w:t>
      </w:r>
      <w:r w:rsidR="003315E0">
        <w:rPr>
          <w:rFonts w:ascii="Garamond" w:hAnsi="Garamond" w:cs="Times New Roman"/>
          <w:iCs/>
          <w:sz w:val="24"/>
          <w:szCs w:val="20"/>
        </w:rPr>
        <w:t xml:space="preserve"> upon </w:t>
      </w:r>
      <w:r w:rsidR="007C6F38">
        <w:rPr>
          <w:rFonts w:ascii="Garamond" w:hAnsi="Garamond" w:cs="Times New Roman"/>
          <w:iCs/>
          <w:sz w:val="24"/>
          <w:szCs w:val="20"/>
        </w:rPr>
        <w:t>specific recommendations in the</w:t>
      </w:r>
      <w:r w:rsidR="003315E0">
        <w:rPr>
          <w:rFonts w:ascii="Garamond" w:hAnsi="Garamond" w:cs="Times New Roman"/>
          <w:iCs/>
          <w:sz w:val="24"/>
          <w:szCs w:val="20"/>
        </w:rPr>
        <w:t xml:space="preserve"> roadmap </w:t>
      </w:r>
      <w:r w:rsidR="007C6F38">
        <w:rPr>
          <w:rFonts w:ascii="Garamond" w:hAnsi="Garamond" w:cs="Times New Roman"/>
          <w:iCs/>
          <w:sz w:val="24"/>
          <w:szCs w:val="20"/>
        </w:rPr>
        <w:t xml:space="preserve">to career pathway creation </w:t>
      </w:r>
      <w:r w:rsidR="003315E0">
        <w:rPr>
          <w:rFonts w:ascii="Garamond" w:hAnsi="Garamond" w:cs="Times New Roman"/>
          <w:iCs/>
          <w:sz w:val="24"/>
          <w:szCs w:val="20"/>
        </w:rPr>
        <w:t xml:space="preserve">that resulted from our first year of membership in the Network. Our Outreach Coordinator was also appointed by the Coalition on Adult Basic Education to serve as a year-long national Fellow in the “State Advocates for Adult Education” fellowship program in this program year, during which time she worked with the NM Adult Education Association to enhance relationships with statewide organizations, boards, and government agencies. We celebrated our field with a virtual Adult Education Day during the NM 2021 legislative session, inviting the public, lawmakers, and other agency staff to learn about our students and teachers and highlighting our role as a core WIOA partner. </w:t>
      </w:r>
    </w:p>
    <w:p w14:paraId="769DE42E" w14:textId="7CD66E83" w:rsidR="007C6F38" w:rsidRDefault="007C6F38" w:rsidP="003315E0">
      <w:pPr>
        <w:spacing w:after="120"/>
        <w:ind w:right="72"/>
        <w:rPr>
          <w:rFonts w:ascii="Garamond" w:hAnsi="Garamond" w:cs="Times New Roman"/>
          <w:iCs/>
          <w:sz w:val="24"/>
          <w:szCs w:val="20"/>
        </w:rPr>
      </w:pPr>
      <w:r>
        <w:rPr>
          <w:rFonts w:ascii="Garamond" w:hAnsi="Garamond" w:cs="Times New Roman"/>
          <w:iCs/>
          <w:sz w:val="24"/>
          <w:szCs w:val="20"/>
        </w:rPr>
        <w:t xml:space="preserve">The accomplishments of CPI Year 2, detailed earlier in this report, also address this item. Development and ongoing population of the </w:t>
      </w:r>
      <w:r w:rsidRPr="007C6F38">
        <w:rPr>
          <w:rFonts w:ascii="Garamond" w:hAnsi="Garamond" w:cs="Times New Roman"/>
          <w:i/>
          <w:sz w:val="24"/>
          <w:szCs w:val="20"/>
        </w:rPr>
        <w:t>propelnm.org</w:t>
      </w:r>
      <w:r>
        <w:rPr>
          <w:rFonts w:ascii="Garamond" w:hAnsi="Garamond" w:cs="Times New Roman"/>
          <w:iCs/>
          <w:sz w:val="24"/>
          <w:szCs w:val="20"/>
        </w:rPr>
        <w:t xml:space="preserve"> website for practitioners served our goals of making sure IET-oriented, career pathways, and other tools and resources are readily accessible for our local programs. </w:t>
      </w:r>
    </w:p>
    <w:p w14:paraId="1359A7E5" w14:textId="77777777" w:rsidR="00555FA2" w:rsidRDefault="00555FA2" w:rsidP="00240833">
      <w:pPr>
        <w:spacing w:after="120"/>
        <w:rPr>
          <w:rFonts w:ascii="Garamond" w:hAnsi="Garamond" w:cs="Times New Roman"/>
          <w:b/>
          <w:sz w:val="24"/>
          <w:szCs w:val="20"/>
          <w:u w:val="single"/>
        </w:rPr>
      </w:pPr>
    </w:p>
    <w:p w14:paraId="2E06B154" w14:textId="560B877D" w:rsidR="00240833" w:rsidRPr="00E769C5" w:rsidRDefault="00240833" w:rsidP="00240833">
      <w:pPr>
        <w:spacing w:after="120"/>
        <w:rPr>
          <w:rFonts w:ascii="Garamond" w:hAnsi="Garamond" w:cs="Times New Roman"/>
          <w:b/>
          <w:sz w:val="24"/>
          <w:szCs w:val="20"/>
          <w:u w:val="single"/>
        </w:rPr>
      </w:pPr>
      <w:r w:rsidRPr="00E769C5">
        <w:rPr>
          <w:rFonts w:ascii="Garamond" w:hAnsi="Garamond" w:cs="Times New Roman"/>
          <w:b/>
          <w:sz w:val="24"/>
          <w:szCs w:val="20"/>
          <w:u w:val="single"/>
        </w:rPr>
        <w:t>2. Performance Data Analysis</w:t>
      </w:r>
    </w:p>
    <w:p w14:paraId="51CDAB12" w14:textId="77777777" w:rsidR="002A1283" w:rsidRPr="00E769C5" w:rsidRDefault="00240833" w:rsidP="00240833">
      <w:pPr>
        <w:spacing w:after="120"/>
        <w:rPr>
          <w:rFonts w:ascii="Garamond" w:hAnsi="Garamond" w:cs="Times New Roman"/>
          <w:b/>
          <w:sz w:val="24"/>
          <w:szCs w:val="20"/>
        </w:rPr>
      </w:pPr>
      <w:r w:rsidRPr="00E769C5">
        <w:rPr>
          <w:rFonts w:ascii="Garamond" w:hAnsi="Garamond" w:cs="Times New Roman"/>
          <w:b/>
          <w:sz w:val="24"/>
          <w:szCs w:val="20"/>
        </w:rPr>
        <w:t xml:space="preserve">Describe how the adult education program performed in the overall assessment of core programs based on the core indicators of performance. </w:t>
      </w:r>
    </w:p>
    <w:p w14:paraId="5A28BD49" w14:textId="44B168E3" w:rsidR="002A1283" w:rsidRPr="00E769C5" w:rsidRDefault="00150592" w:rsidP="00240833">
      <w:pPr>
        <w:spacing w:after="120"/>
        <w:rPr>
          <w:rFonts w:ascii="Garamond" w:hAnsi="Garamond" w:cs="Times New Roman"/>
          <w:sz w:val="24"/>
          <w:szCs w:val="20"/>
        </w:rPr>
      </w:pPr>
      <w:r w:rsidRPr="00E769C5">
        <w:rPr>
          <w:rFonts w:ascii="Garamond" w:hAnsi="Garamond" w:cs="Times New Roman"/>
          <w:sz w:val="24"/>
          <w:szCs w:val="20"/>
        </w:rPr>
        <w:t>Enrollment</w:t>
      </w:r>
      <w:r w:rsidR="001D4B49" w:rsidRPr="00E769C5">
        <w:rPr>
          <w:rFonts w:ascii="Garamond" w:hAnsi="Garamond" w:cs="Times New Roman"/>
          <w:sz w:val="24"/>
          <w:szCs w:val="20"/>
        </w:rPr>
        <w:t xml:space="preserve"> </w:t>
      </w:r>
      <w:r w:rsidR="00035C67" w:rsidRPr="00E769C5">
        <w:rPr>
          <w:rFonts w:ascii="Garamond" w:hAnsi="Garamond" w:cs="Times New Roman"/>
          <w:sz w:val="24"/>
          <w:szCs w:val="20"/>
        </w:rPr>
        <w:t>deserves some focus in our overall assessment of core program</w:t>
      </w:r>
      <w:r w:rsidR="003E76D1" w:rsidRPr="00E769C5">
        <w:rPr>
          <w:rFonts w:ascii="Garamond" w:hAnsi="Garamond" w:cs="Times New Roman"/>
          <w:sz w:val="24"/>
          <w:szCs w:val="20"/>
        </w:rPr>
        <w:t>s</w:t>
      </w:r>
      <w:r w:rsidR="00AF299A" w:rsidRPr="00E769C5">
        <w:rPr>
          <w:rFonts w:ascii="Garamond" w:hAnsi="Garamond" w:cs="Times New Roman"/>
          <w:sz w:val="24"/>
          <w:szCs w:val="20"/>
        </w:rPr>
        <w:t>.</w:t>
      </w:r>
      <w:r w:rsidR="00EB1CD0">
        <w:rPr>
          <w:rFonts w:ascii="Garamond" w:hAnsi="Garamond" w:cs="Times New Roman"/>
          <w:sz w:val="24"/>
          <w:szCs w:val="20"/>
        </w:rPr>
        <w:t xml:space="preserve"> </w:t>
      </w:r>
      <w:r w:rsidRPr="00E769C5">
        <w:rPr>
          <w:rFonts w:ascii="Garamond" w:hAnsi="Garamond" w:cs="Times New Roman"/>
          <w:sz w:val="24"/>
          <w:szCs w:val="20"/>
        </w:rPr>
        <w:t xml:space="preserve">New Mexico’s </w:t>
      </w:r>
      <w:r w:rsidR="005E14ED" w:rsidRPr="00E769C5">
        <w:rPr>
          <w:rFonts w:ascii="Garamond" w:hAnsi="Garamond" w:cs="Times New Roman"/>
          <w:sz w:val="24"/>
          <w:szCs w:val="20"/>
        </w:rPr>
        <w:t xml:space="preserve">aggregate </w:t>
      </w:r>
      <w:r w:rsidRPr="00E769C5">
        <w:rPr>
          <w:rFonts w:ascii="Garamond" w:hAnsi="Garamond" w:cs="Times New Roman"/>
          <w:sz w:val="24"/>
          <w:szCs w:val="20"/>
        </w:rPr>
        <w:t>enrollment trends for the past four years</w:t>
      </w:r>
      <w:r w:rsidR="006E19D0" w:rsidRPr="00E769C5">
        <w:rPr>
          <w:rFonts w:ascii="Garamond" w:hAnsi="Garamond" w:cs="Times New Roman"/>
          <w:sz w:val="24"/>
          <w:szCs w:val="20"/>
        </w:rPr>
        <w:t xml:space="preserve"> are highlighted in the table below</w:t>
      </w:r>
      <w:r w:rsidR="00D20658" w:rsidRPr="00E769C5">
        <w:rPr>
          <w:rFonts w:ascii="Garamond" w:hAnsi="Garamond" w:cs="Times New Roman"/>
          <w:sz w:val="24"/>
          <w:szCs w:val="20"/>
        </w:rPr>
        <w:t>:</w:t>
      </w:r>
    </w:p>
    <w:tbl>
      <w:tblPr>
        <w:tblStyle w:val="TableGrid"/>
        <w:tblW w:w="10364" w:type="dxa"/>
        <w:jc w:val="center"/>
        <w:tblLook w:val="04A0" w:firstRow="1" w:lastRow="0" w:firstColumn="1" w:lastColumn="0" w:noHBand="0" w:noVBand="1"/>
      </w:tblPr>
      <w:tblGrid>
        <w:gridCol w:w="1728"/>
        <w:gridCol w:w="1728"/>
        <w:gridCol w:w="1727"/>
        <w:gridCol w:w="1727"/>
        <w:gridCol w:w="1727"/>
        <w:gridCol w:w="1727"/>
      </w:tblGrid>
      <w:tr w:rsidR="002A1283" w:rsidRPr="00E769C5" w14:paraId="194E7BDC" w14:textId="77777777" w:rsidTr="00ED68C4">
        <w:trPr>
          <w:trHeight w:val="782"/>
          <w:jc w:val="center"/>
        </w:trPr>
        <w:tc>
          <w:tcPr>
            <w:tcW w:w="1728" w:type="dxa"/>
            <w:noWrap/>
            <w:hideMark/>
          </w:tcPr>
          <w:p w14:paraId="67F27B00" w14:textId="77777777" w:rsidR="002A1283" w:rsidRPr="00E769C5" w:rsidRDefault="002A1283" w:rsidP="002A1283">
            <w:pPr>
              <w:spacing w:after="120" w:line="259" w:lineRule="auto"/>
              <w:rPr>
                <w:rFonts w:ascii="Garamond" w:hAnsi="Garamond" w:cs="Times New Roman"/>
                <w:b/>
                <w:bCs/>
                <w:sz w:val="24"/>
                <w:szCs w:val="20"/>
              </w:rPr>
            </w:pPr>
            <w:bookmarkStart w:id="0" w:name="_Hlk87448792"/>
            <w:r w:rsidRPr="00E769C5">
              <w:rPr>
                <w:rFonts w:ascii="Garamond" w:hAnsi="Garamond" w:cs="Times New Roman"/>
                <w:b/>
                <w:bCs/>
                <w:sz w:val="24"/>
                <w:szCs w:val="20"/>
              </w:rPr>
              <w:t>Program Year</w:t>
            </w:r>
          </w:p>
        </w:tc>
        <w:tc>
          <w:tcPr>
            <w:tcW w:w="1728" w:type="dxa"/>
            <w:noWrap/>
            <w:hideMark/>
          </w:tcPr>
          <w:p w14:paraId="5C6594E7" w14:textId="77777777" w:rsidR="002A1283" w:rsidRPr="00E769C5" w:rsidRDefault="002A1283" w:rsidP="002A1283">
            <w:pPr>
              <w:spacing w:after="120" w:line="259" w:lineRule="auto"/>
              <w:rPr>
                <w:rFonts w:ascii="Garamond" w:hAnsi="Garamond" w:cs="Times New Roman"/>
                <w:b/>
                <w:bCs/>
                <w:sz w:val="24"/>
                <w:szCs w:val="20"/>
              </w:rPr>
            </w:pPr>
            <w:r w:rsidRPr="00E769C5">
              <w:rPr>
                <w:rFonts w:ascii="Garamond" w:hAnsi="Garamond" w:cs="Times New Roman"/>
                <w:b/>
                <w:bCs/>
                <w:sz w:val="24"/>
                <w:szCs w:val="20"/>
              </w:rPr>
              <w:t>Beginning Literacy</w:t>
            </w:r>
          </w:p>
        </w:tc>
        <w:tc>
          <w:tcPr>
            <w:tcW w:w="1727" w:type="dxa"/>
            <w:noWrap/>
            <w:hideMark/>
          </w:tcPr>
          <w:p w14:paraId="400E3CF5" w14:textId="77777777" w:rsidR="002A1283" w:rsidRPr="00E769C5" w:rsidRDefault="002A1283" w:rsidP="002A1283">
            <w:pPr>
              <w:spacing w:after="120" w:line="259" w:lineRule="auto"/>
              <w:rPr>
                <w:rFonts w:ascii="Garamond" w:hAnsi="Garamond" w:cs="Times New Roman"/>
                <w:b/>
                <w:bCs/>
                <w:sz w:val="24"/>
                <w:szCs w:val="20"/>
              </w:rPr>
            </w:pPr>
            <w:r w:rsidRPr="00E769C5">
              <w:rPr>
                <w:rFonts w:ascii="Garamond" w:hAnsi="Garamond" w:cs="Times New Roman"/>
                <w:b/>
                <w:bCs/>
                <w:sz w:val="24"/>
                <w:szCs w:val="20"/>
              </w:rPr>
              <w:t>Adult Education</w:t>
            </w:r>
          </w:p>
        </w:tc>
        <w:tc>
          <w:tcPr>
            <w:tcW w:w="1727" w:type="dxa"/>
            <w:noWrap/>
            <w:hideMark/>
          </w:tcPr>
          <w:p w14:paraId="7D455113" w14:textId="77777777" w:rsidR="002A1283" w:rsidRPr="00E769C5" w:rsidRDefault="002A1283" w:rsidP="002A1283">
            <w:pPr>
              <w:spacing w:after="120" w:line="259" w:lineRule="auto"/>
              <w:rPr>
                <w:rFonts w:ascii="Garamond" w:hAnsi="Garamond" w:cs="Times New Roman"/>
                <w:b/>
                <w:bCs/>
                <w:sz w:val="24"/>
                <w:szCs w:val="20"/>
              </w:rPr>
            </w:pPr>
            <w:r w:rsidRPr="00E769C5">
              <w:rPr>
                <w:rFonts w:ascii="Garamond" w:hAnsi="Garamond" w:cs="Times New Roman"/>
                <w:b/>
                <w:bCs/>
                <w:sz w:val="24"/>
                <w:szCs w:val="20"/>
              </w:rPr>
              <w:t>Adult Secondary Education</w:t>
            </w:r>
          </w:p>
        </w:tc>
        <w:tc>
          <w:tcPr>
            <w:tcW w:w="1727" w:type="dxa"/>
            <w:noWrap/>
            <w:hideMark/>
          </w:tcPr>
          <w:p w14:paraId="67445071" w14:textId="77777777" w:rsidR="002A1283" w:rsidRPr="00E769C5" w:rsidRDefault="002A1283" w:rsidP="002A1283">
            <w:pPr>
              <w:spacing w:after="120" w:line="259" w:lineRule="auto"/>
              <w:rPr>
                <w:rFonts w:ascii="Garamond" w:hAnsi="Garamond" w:cs="Times New Roman"/>
                <w:b/>
                <w:bCs/>
                <w:sz w:val="24"/>
                <w:szCs w:val="20"/>
              </w:rPr>
            </w:pPr>
            <w:r w:rsidRPr="00E769C5">
              <w:rPr>
                <w:rFonts w:ascii="Garamond" w:hAnsi="Garamond" w:cs="Times New Roman"/>
                <w:b/>
                <w:bCs/>
                <w:sz w:val="24"/>
                <w:szCs w:val="20"/>
              </w:rPr>
              <w:t>ESL</w:t>
            </w:r>
          </w:p>
        </w:tc>
        <w:tc>
          <w:tcPr>
            <w:tcW w:w="1727" w:type="dxa"/>
            <w:noWrap/>
            <w:hideMark/>
          </w:tcPr>
          <w:p w14:paraId="42CEF9B5" w14:textId="77777777" w:rsidR="002A1283" w:rsidRPr="00E769C5" w:rsidRDefault="002A1283" w:rsidP="002A1283">
            <w:pPr>
              <w:spacing w:after="120" w:line="259" w:lineRule="auto"/>
              <w:rPr>
                <w:rFonts w:ascii="Garamond" w:hAnsi="Garamond" w:cs="Times New Roman"/>
                <w:b/>
                <w:bCs/>
                <w:sz w:val="24"/>
                <w:szCs w:val="20"/>
              </w:rPr>
            </w:pPr>
            <w:r w:rsidRPr="00E769C5">
              <w:rPr>
                <w:rFonts w:ascii="Garamond" w:hAnsi="Garamond" w:cs="Times New Roman"/>
                <w:b/>
                <w:bCs/>
                <w:sz w:val="24"/>
                <w:szCs w:val="20"/>
              </w:rPr>
              <w:t>Total Enrollment</w:t>
            </w:r>
          </w:p>
        </w:tc>
      </w:tr>
      <w:tr w:rsidR="002A1283" w:rsidRPr="00E769C5" w14:paraId="38986601" w14:textId="77777777" w:rsidTr="00ED68C4">
        <w:trPr>
          <w:trHeight w:val="267"/>
          <w:jc w:val="center"/>
        </w:trPr>
        <w:tc>
          <w:tcPr>
            <w:tcW w:w="1728" w:type="dxa"/>
            <w:hideMark/>
          </w:tcPr>
          <w:p w14:paraId="72F257FF" w14:textId="77777777" w:rsidR="002A1283" w:rsidRPr="00E769C5" w:rsidRDefault="00DE4F55" w:rsidP="002A1283">
            <w:pPr>
              <w:spacing w:after="120" w:line="259" w:lineRule="auto"/>
              <w:rPr>
                <w:rFonts w:ascii="Garamond" w:hAnsi="Garamond" w:cs="Times New Roman"/>
                <w:sz w:val="24"/>
                <w:szCs w:val="20"/>
              </w:rPr>
            </w:pPr>
            <w:r w:rsidRPr="00E769C5">
              <w:rPr>
                <w:rFonts w:ascii="Garamond" w:hAnsi="Garamond" w:cs="Times New Roman"/>
                <w:sz w:val="24"/>
                <w:szCs w:val="20"/>
              </w:rPr>
              <w:t>P</w:t>
            </w:r>
            <w:r w:rsidR="002A1283" w:rsidRPr="00E769C5">
              <w:rPr>
                <w:rFonts w:ascii="Garamond" w:hAnsi="Garamond" w:cs="Times New Roman"/>
                <w:sz w:val="24"/>
                <w:szCs w:val="20"/>
              </w:rPr>
              <w:t>Y 17/18</w:t>
            </w:r>
          </w:p>
        </w:tc>
        <w:tc>
          <w:tcPr>
            <w:tcW w:w="1728" w:type="dxa"/>
            <w:hideMark/>
          </w:tcPr>
          <w:p w14:paraId="5626D0DD"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1976</w:t>
            </w:r>
          </w:p>
        </w:tc>
        <w:tc>
          <w:tcPr>
            <w:tcW w:w="1727" w:type="dxa"/>
            <w:hideMark/>
          </w:tcPr>
          <w:p w14:paraId="2A27989C"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4887</w:t>
            </w:r>
          </w:p>
        </w:tc>
        <w:tc>
          <w:tcPr>
            <w:tcW w:w="1727" w:type="dxa"/>
            <w:hideMark/>
          </w:tcPr>
          <w:p w14:paraId="4C1668D8"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1266</w:t>
            </w:r>
          </w:p>
        </w:tc>
        <w:tc>
          <w:tcPr>
            <w:tcW w:w="1727" w:type="dxa"/>
            <w:hideMark/>
          </w:tcPr>
          <w:p w14:paraId="12C10DF3"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4098</w:t>
            </w:r>
          </w:p>
        </w:tc>
        <w:tc>
          <w:tcPr>
            <w:tcW w:w="1727" w:type="dxa"/>
            <w:hideMark/>
          </w:tcPr>
          <w:p w14:paraId="1340D0D6"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12227</w:t>
            </w:r>
          </w:p>
        </w:tc>
      </w:tr>
      <w:tr w:rsidR="002A1283" w:rsidRPr="00E769C5" w14:paraId="42788184" w14:textId="77777777" w:rsidTr="00ED68C4">
        <w:trPr>
          <w:trHeight w:val="267"/>
          <w:jc w:val="center"/>
        </w:trPr>
        <w:tc>
          <w:tcPr>
            <w:tcW w:w="1728" w:type="dxa"/>
          </w:tcPr>
          <w:p w14:paraId="498DFA0C" w14:textId="77777777" w:rsidR="002A1283" w:rsidRPr="00E769C5" w:rsidRDefault="00DE4F55" w:rsidP="002A1283">
            <w:pPr>
              <w:spacing w:after="120" w:line="259" w:lineRule="auto"/>
              <w:rPr>
                <w:rFonts w:ascii="Garamond" w:hAnsi="Garamond" w:cs="Times New Roman"/>
                <w:sz w:val="24"/>
                <w:szCs w:val="20"/>
              </w:rPr>
            </w:pPr>
            <w:r w:rsidRPr="00E769C5">
              <w:rPr>
                <w:rFonts w:ascii="Garamond" w:hAnsi="Garamond" w:cs="Times New Roman"/>
                <w:sz w:val="24"/>
                <w:szCs w:val="20"/>
              </w:rPr>
              <w:t>P</w:t>
            </w:r>
            <w:r w:rsidR="002A1283" w:rsidRPr="00E769C5">
              <w:rPr>
                <w:rFonts w:ascii="Garamond" w:hAnsi="Garamond" w:cs="Times New Roman"/>
                <w:sz w:val="24"/>
                <w:szCs w:val="20"/>
              </w:rPr>
              <w:t>Y 18/19</w:t>
            </w:r>
          </w:p>
        </w:tc>
        <w:tc>
          <w:tcPr>
            <w:tcW w:w="1728" w:type="dxa"/>
          </w:tcPr>
          <w:p w14:paraId="66BE7559"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2649</w:t>
            </w:r>
          </w:p>
        </w:tc>
        <w:tc>
          <w:tcPr>
            <w:tcW w:w="1727" w:type="dxa"/>
          </w:tcPr>
          <w:p w14:paraId="33A8D31D"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3825</w:t>
            </w:r>
          </w:p>
        </w:tc>
        <w:tc>
          <w:tcPr>
            <w:tcW w:w="1727" w:type="dxa"/>
          </w:tcPr>
          <w:p w14:paraId="6EB7DC12"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361</w:t>
            </w:r>
          </w:p>
        </w:tc>
        <w:tc>
          <w:tcPr>
            <w:tcW w:w="1727" w:type="dxa"/>
          </w:tcPr>
          <w:p w14:paraId="1E8284E5"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4125</w:t>
            </w:r>
          </w:p>
        </w:tc>
        <w:tc>
          <w:tcPr>
            <w:tcW w:w="1727" w:type="dxa"/>
          </w:tcPr>
          <w:p w14:paraId="1030FD77" w14:textId="77777777" w:rsidR="002A1283" w:rsidRPr="00E769C5" w:rsidRDefault="002A1283" w:rsidP="002A1283">
            <w:pPr>
              <w:spacing w:after="120" w:line="259" w:lineRule="auto"/>
              <w:rPr>
                <w:rFonts w:ascii="Garamond" w:hAnsi="Garamond" w:cs="Times New Roman"/>
                <w:sz w:val="24"/>
                <w:szCs w:val="20"/>
              </w:rPr>
            </w:pPr>
            <w:r w:rsidRPr="00E769C5">
              <w:rPr>
                <w:rFonts w:ascii="Garamond" w:hAnsi="Garamond" w:cs="Times New Roman"/>
                <w:sz w:val="24"/>
                <w:szCs w:val="20"/>
              </w:rPr>
              <w:t>10960</w:t>
            </w:r>
          </w:p>
        </w:tc>
      </w:tr>
      <w:tr w:rsidR="002A1283" w:rsidRPr="00E769C5" w14:paraId="2E53E308" w14:textId="77777777" w:rsidTr="00ED68C4">
        <w:trPr>
          <w:trHeight w:val="265"/>
          <w:jc w:val="center"/>
        </w:trPr>
        <w:tc>
          <w:tcPr>
            <w:tcW w:w="1728" w:type="dxa"/>
          </w:tcPr>
          <w:p w14:paraId="240D8324" w14:textId="77777777" w:rsidR="002A1283" w:rsidRPr="00E769C5" w:rsidRDefault="00DE4F55" w:rsidP="002A1283">
            <w:pPr>
              <w:spacing w:after="120" w:line="259" w:lineRule="auto"/>
              <w:rPr>
                <w:rFonts w:ascii="Garamond" w:hAnsi="Garamond" w:cs="Times New Roman"/>
                <w:sz w:val="24"/>
                <w:szCs w:val="20"/>
              </w:rPr>
            </w:pPr>
            <w:r w:rsidRPr="00E769C5">
              <w:rPr>
                <w:rFonts w:ascii="Garamond" w:hAnsi="Garamond" w:cs="Times New Roman"/>
                <w:sz w:val="24"/>
                <w:szCs w:val="20"/>
              </w:rPr>
              <w:t>P</w:t>
            </w:r>
            <w:r w:rsidR="002A1283" w:rsidRPr="00E769C5">
              <w:rPr>
                <w:rFonts w:ascii="Garamond" w:hAnsi="Garamond" w:cs="Times New Roman"/>
                <w:sz w:val="24"/>
                <w:szCs w:val="20"/>
              </w:rPr>
              <w:t>Y 19/20</w:t>
            </w:r>
          </w:p>
        </w:tc>
        <w:tc>
          <w:tcPr>
            <w:tcW w:w="1728" w:type="dxa"/>
          </w:tcPr>
          <w:p w14:paraId="356CBBEB" w14:textId="77777777" w:rsidR="002A1283" w:rsidRPr="00E769C5" w:rsidRDefault="00447A16" w:rsidP="002A1283">
            <w:pPr>
              <w:spacing w:after="120" w:line="259" w:lineRule="auto"/>
              <w:rPr>
                <w:rFonts w:ascii="Garamond" w:hAnsi="Garamond" w:cs="Times New Roman"/>
                <w:sz w:val="24"/>
                <w:szCs w:val="20"/>
              </w:rPr>
            </w:pPr>
            <w:r w:rsidRPr="00E769C5">
              <w:rPr>
                <w:rFonts w:ascii="Garamond" w:hAnsi="Garamond" w:cs="Times New Roman"/>
                <w:sz w:val="24"/>
                <w:szCs w:val="20"/>
              </w:rPr>
              <w:t>2286</w:t>
            </w:r>
          </w:p>
        </w:tc>
        <w:tc>
          <w:tcPr>
            <w:tcW w:w="1727" w:type="dxa"/>
          </w:tcPr>
          <w:p w14:paraId="2771F6EC" w14:textId="77777777" w:rsidR="002A1283" w:rsidRPr="00E769C5" w:rsidRDefault="007A4A12" w:rsidP="002A1283">
            <w:pPr>
              <w:spacing w:after="120" w:line="259" w:lineRule="auto"/>
              <w:rPr>
                <w:rFonts w:ascii="Garamond" w:hAnsi="Garamond" w:cs="Times New Roman"/>
                <w:sz w:val="24"/>
                <w:szCs w:val="20"/>
              </w:rPr>
            </w:pPr>
            <w:r w:rsidRPr="00E769C5">
              <w:rPr>
                <w:rFonts w:ascii="Garamond" w:hAnsi="Garamond" w:cs="Times New Roman"/>
                <w:sz w:val="24"/>
                <w:szCs w:val="20"/>
              </w:rPr>
              <w:t>3476</w:t>
            </w:r>
          </w:p>
        </w:tc>
        <w:tc>
          <w:tcPr>
            <w:tcW w:w="1727" w:type="dxa"/>
          </w:tcPr>
          <w:p w14:paraId="5A1A7953" w14:textId="77777777" w:rsidR="002A1283" w:rsidRPr="00E769C5" w:rsidRDefault="007A4A12" w:rsidP="002A1283">
            <w:pPr>
              <w:spacing w:after="120" w:line="259" w:lineRule="auto"/>
              <w:rPr>
                <w:rFonts w:ascii="Garamond" w:hAnsi="Garamond" w:cs="Times New Roman"/>
                <w:sz w:val="24"/>
                <w:szCs w:val="20"/>
              </w:rPr>
            </w:pPr>
            <w:r w:rsidRPr="00E769C5">
              <w:rPr>
                <w:rFonts w:ascii="Garamond" w:hAnsi="Garamond" w:cs="Times New Roman"/>
                <w:sz w:val="24"/>
                <w:szCs w:val="20"/>
              </w:rPr>
              <w:t>230</w:t>
            </w:r>
          </w:p>
        </w:tc>
        <w:tc>
          <w:tcPr>
            <w:tcW w:w="1727" w:type="dxa"/>
          </w:tcPr>
          <w:p w14:paraId="44AD4AD4" w14:textId="77777777" w:rsidR="002A1283" w:rsidRPr="00E769C5" w:rsidRDefault="007A4A12" w:rsidP="002A1283">
            <w:pPr>
              <w:spacing w:after="120" w:line="259" w:lineRule="auto"/>
              <w:rPr>
                <w:rFonts w:ascii="Garamond" w:hAnsi="Garamond" w:cs="Times New Roman"/>
                <w:sz w:val="24"/>
                <w:szCs w:val="20"/>
              </w:rPr>
            </w:pPr>
            <w:r w:rsidRPr="00E769C5">
              <w:rPr>
                <w:rFonts w:ascii="Garamond" w:hAnsi="Garamond" w:cs="Times New Roman"/>
                <w:sz w:val="24"/>
                <w:szCs w:val="20"/>
              </w:rPr>
              <w:t>3528</w:t>
            </w:r>
          </w:p>
        </w:tc>
        <w:tc>
          <w:tcPr>
            <w:tcW w:w="1727" w:type="dxa"/>
          </w:tcPr>
          <w:p w14:paraId="471C9383" w14:textId="77777777" w:rsidR="002A1283" w:rsidRPr="00E769C5" w:rsidRDefault="007A4A12" w:rsidP="002A1283">
            <w:pPr>
              <w:spacing w:after="120" w:line="259" w:lineRule="auto"/>
              <w:rPr>
                <w:rFonts w:ascii="Garamond" w:hAnsi="Garamond" w:cs="Times New Roman"/>
                <w:sz w:val="24"/>
                <w:szCs w:val="20"/>
              </w:rPr>
            </w:pPr>
            <w:r w:rsidRPr="00E769C5">
              <w:rPr>
                <w:rFonts w:ascii="Garamond" w:hAnsi="Garamond" w:cs="Times New Roman"/>
                <w:sz w:val="24"/>
                <w:szCs w:val="20"/>
              </w:rPr>
              <w:t>9520</w:t>
            </w:r>
          </w:p>
        </w:tc>
      </w:tr>
      <w:tr w:rsidR="009D5D18" w:rsidRPr="008E09DC" w14:paraId="372F19E4" w14:textId="77777777" w:rsidTr="00ED68C4">
        <w:trPr>
          <w:trHeight w:val="214"/>
          <w:jc w:val="center"/>
        </w:trPr>
        <w:tc>
          <w:tcPr>
            <w:tcW w:w="1728" w:type="dxa"/>
          </w:tcPr>
          <w:p w14:paraId="63396699" w14:textId="77777777" w:rsidR="009D5D18" w:rsidRPr="00E769C5" w:rsidRDefault="009D5D18" w:rsidP="002A1283">
            <w:pPr>
              <w:spacing w:after="120"/>
              <w:rPr>
                <w:rFonts w:ascii="Garamond" w:hAnsi="Garamond" w:cs="Times New Roman"/>
                <w:sz w:val="24"/>
                <w:szCs w:val="20"/>
              </w:rPr>
            </w:pPr>
            <w:r w:rsidRPr="00E769C5">
              <w:rPr>
                <w:rFonts w:ascii="Garamond" w:hAnsi="Garamond" w:cs="Times New Roman"/>
                <w:sz w:val="24"/>
                <w:szCs w:val="20"/>
              </w:rPr>
              <w:t>PY 20/21</w:t>
            </w:r>
          </w:p>
        </w:tc>
        <w:tc>
          <w:tcPr>
            <w:tcW w:w="1728" w:type="dxa"/>
          </w:tcPr>
          <w:p w14:paraId="2C21DA5E" w14:textId="77777777" w:rsidR="009D5D18" w:rsidRPr="00E769C5" w:rsidRDefault="00E769C5" w:rsidP="002A1283">
            <w:pPr>
              <w:spacing w:after="120"/>
              <w:rPr>
                <w:rFonts w:ascii="Garamond" w:hAnsi="Garamond" w:cs="Times New Roman"/>
                <w:sz w:val="24"/>
                <w:szCs w:val="20"/>
              </w:rPr>
            </w:pPr>
            <w:r w:rsidRPr="00E769C5">
              <w:rPr>
                <w:rFonts w:ascii="Garamond" w:hAnsi="Garamond" w:cs="Times New Roman"/>
                <w:sz w:val="24"/>
                <w:szCs w:val="20"/>
              </w:rPr>
              <w:t>1368</w:t>
            </w:r>
          </w:p>
        </w:tc>
        <w:tc>
          <w:tcPr>
            <w:tcW w:w="1727" w:type="dxa"/>
          </w:tcPr>
          <w:p w14:paraId="29C3195F" w14:textId="77777777" w:rsidR="009D5D18" w:rsidRPr="00E769C5" w:rsidRDefault="00E769C5" w:rsidP="002A1283">
            <w:pPr>
              <w:spacing w:after="120"/>
              <w:rPr>
                <w:rFonts w:ascii="Garamond" w:hAnsi="Garamond" w:cs="Times New Roman"/>
                <w:sz w:val="24"/>
                <w:szCs w:val="20"/>
              </w:rPr>
            </w:pPr>
            <w:r w:rsidRPr="00E769C5">
              <w:rPr>
                <w:rFonts w:ascii="Garamond" w:hAnsi="Garamond" w:cs="Times New Roman"/>
                <w:sz w:val="24"/>
                <w:szCs w:val="20"/>
              </w:rPr>
              <w:t>2160</w:t>
            </w:r>
          </w:p>
        </w:tc>
        <w:tc>
          <w:tcPr>
            <w:tcW w:w="1727" w:type="dxa"/>
          </w:tcPr>
          <w:p w14:paraId="3CB12774" w14:textId="77777777" w:rsidR="009D5D18" w:rsidRPr="00E769C5" w:rsidRDefault="00E769C5" w:rsidP="002A1283">
            <w:pPr>
              <w:spacing w:after="120"/>
              <w:rPr>
                <w:rFonts w:ascii="Garamond" w:hAnsi="Garamond" w:cs="Times New Roman"/>
                <w:sz w:val="24"/>
                <w:szCs w:val="20"/>
              </w:rPr>
            </w:pPr>
            <w:r w:rsidRPr="00E769C5">
              <w:rPr>
                <w:rFonts w:ascii="Garamond" w:hAnsi="Garamond" w:cs="Times New Roman"/>
                <w:sz w:val="24"/>
                <w:szCs w:val="20"/>
              </w:rPr>
              <w:t>254</w:t>
            </w:r>
          </w:p>
        </w:tc>
        <w:tc>
          <w:tcPr>
            <w:tcW w:w="1727" w:type="dxa"/>
          </w:tcPr>
          <w:p w14:paraId="73437417" w14:textId="77777777" w:rsidR="009D5D18" w:rsidRPr="00E769C5" w:rsidRDefault="00E769C5" w:rsidP="002A1283">
            <w:pPr>
              <w:spacing w:after="120"/>
              <w:rPr>
                <w:rFonts w:ascii="Garamond" w:hAnsi="Garamond" w:cs="Times New Roman"/>
                <w:sz w:val="24"/>
                <w:szCs w:val="20"/>
              </w:rPr>
            </w:pPr>
            <w:r w:rsidRPr="00E769C5">
              <w:rPr>
                <w:rFonts w:ascii="Garamond" w:hAnsi="Garamond" w:cs="Times New Roman"/>
                <w:sz w:val="24"/>
                <w:szCs w:val="20"/>
              </w:rPr>
              <w:t>1426</w:t>
            </w:r>
          </w:p>
        </w:tc>
        <w:tc>
          <w:tcPr>
            <w:tcW w:w="1727" w:type="dxa"/>
          </w:tcPr>
          <w:p w14:paraId="7DC98638" w14:textId="77777777" w:rsidR="00E769C5" w:rsidRPr="00E769C5" w:rsidRDefault="00E769C5" w:rsidP="002A1283">
            <w:pPr>
              <w:spacing w:after="120"/>
              <w:rPr>
                <w:rFonts w:ascii="Garamond" w:hAnsi="Garamond" w:cs="Times New Roman"/>
                <w:sz w:val="24"/>
                <w:szCs w:val="20"/>
              </w:rPr>
            </w:pPr>
            <w:r w:rsidRPr="00E769C5">
              <w:rPr>
                <w:rFonts w:ascii="Garamond" w:hAnsi="Garamond" w:cs="Times New Roman"/>
                <w:sz w:val="24"/>
                <w:szCs w:val="20"/>
              </w:rPr>
              <w:t>5208</w:t>
            </w:r>
          </w:p>
        </w:tc>
      </w:tr>
      <w:bookmarkEnd w:id="0"/>
    </w:tbl>
    <w:p w14:paraId="250109EF" w14:textId="77777777" w:rsidR="009F3455" w:rsidRPr="008E09DC" w:rsidRDefault="009F3455" w:rsidP="00DB391A">
      <w:pPr>
        <w:spacing w:after="120"/>
        <w:rPr>
          <w:rFonts w:ascii="Garamond" w:hAnsi="Garamond" w:cs="Times New Roman"/>
          <w:sz w:val="24"/>
          <w:szCs w:val="20"/>
          <w:highlight w:val="yellow"/>
        </w:rPr>
      </w:pPr>
    </w:p>
    <w:p w14:paraId="33E6E1F4" w14:textId="320B4D25" w:rsidR="00E769C5" w:rsidRPr="00E769C5" w:rsidRDefault="00555FA2" w:rsidP="00DB391A">
      <w:pPr>
        <w:spacing w:after="120"/>
        <w:rPr>
          <w:rFonts w:ascii="Garamond" w:hAnsi="Garamond" w:cs="Times New Roman"/>
          <w:sz w:val="24"/>
          <w:szCs w:val="20"/>
        </w:rPr>
      </w:pPr>
      <w:r>
        <w:rPr>
          <w:rFonts w:ascii="Garamond" w:hAnsi="Garamond" w:cs="Times New Roman"/>
          <w:sz w:val="24"/>
          <w:szCs w:val="20"/>
        </w:rPr>
        <w:t xml:space="preserve">The </w:t>
      </w:r>
      <w:r w:rsidR="00E769C5" w:rsidRPr="00E769C5">
        <w:rPr>
          <w:rFonts w:ascii="Garamond" w:hAnsi="Garamond" w:cs="Times New Roman"/>
          <w:sz w:val="24"/>
          <w:szCs w:val="20"/>
        </w:rPr>
        <w:t>COVID</w:t>
      </w:r>
      <w:r>
        <w:rPr>
          <w:rFonts w:ascii="Garamond" w:hAnsi="Garamond" w:cs="Times New Roman"/>
          <w:sz w:val="24"/>
          <w:szCs w:val="20"/>
        </w:rPr>
        <w:t>-19</w:t>
      </w:r>
      <w:r w:rsidR="00E769C5" w:rsidRPr="00E769C5">
        <w:rPr>
          <w:rFonts w:ascii="Garamond" w:hAnsi="Garamond" w:cs="Times New Roman"/>
          <w:sz w:val="24"/>
          <w:szCs w:val="20"/>
        </w:rPr>
        <w:t xml:space="preserve"> </w:t>
      </w:r>
      <w:r>
        <w:rPr>
          <w:rFonts w:ascii="Garamond" w:hAnsi="Garamond" w:cs="Times New Roman"/>
          <w:sz w:val="24"/>
          <w:szCs w:val="20"/>
        </w:rPr>
        <w:t xml:space="preserve">pandemic </w:t>
      </w:r>
      <w:r w:rsidR="00E769C5" w:rsidRPr="00E769C5">
        <w:rPr>
          <w:rFonts w:ascii="Garamond" w:hAnsi="Garamond" w:cs="Times New Roman"/>
          <w:sz w:val="24"/>
          <w:szCs w:val="20"/>
        </w:rPr>
        <w:t>continues to have a profound impact on enrollment in our local programs.</w:t>
      </w:r>
      <w:r w:rsidR="00EB1CD0">
        <w:rPr>
          <w:rFonts w:ascii="Garamond" w:hAnsi="Garamond" w:cs="Times New Roman"/>
          <w:sz w:val="24"/>
          <w:szCs w:val="20"/>
        </w:rPr>
        <w:t xml:space="preserve"> </w:t>
      </w:r>
      <w:r w:rsidR="00E769C5" w:rsidRPr="00E769C5">
        <w:rPr>
          <w:rFonts w:ascii="Garamond" w:hAnsi="Garamond" w:cs="Times New Roman"/>
          <w:sz w:val="24"/>
          <w:szCs w:val="20"/>
        </w:rPr>
        <w:t>Overall enrollment is down 45% in PY 20/21 from PY 19/20.</w:t>
      </w:r>
      <w:r w:rsidR="00EB1CD0">
        <w:rPr>
          <w:rFonts w:ascii="Garamond" w:hAnsi="Garamond" w:cs="Times New Roman"/>
          <w:sz w:val="24"/>
          <w:szCs w:val="20"/>
        </w:rPr>
        <w:t xml:space="preserve"> </w:t>
      </w:r>
      <w:r w:rsidR="00E769C5" w:rsidRPr="00E769C5">
        <w:rPr>
          <w:rFonts w:ascii="Garamond" w:hAnsi="Garamond" w:cs="Times New Roman"/>
          <w:sz w:val="24"/>
          <w:szCs w:val="20"/>
        </w:rPr>
        <w:t xml:space="preserve">While some of our local programs have shown an increase in enrollment, most are still </w:t>
      </w:r>
      <w:r w:rsidR="00C55A93">
        <w:rPr>
          <w:rFonts w:ascii="Garamond" w:hAnsi="Garamond" w:cs="Times New Roman"/>
          <w:sz w:val="24"/>
          <w:szCs w:val="20"/>
        </w:rPr>
        <w:t xml:space="preserve">impacted by the move </w:t>
      </w:r>
      <w:r w:rsidR="00E769C5" w:rsidRPr="00E769C5">
        <w:rPr>
          <w:rFonts w:ascii="Garamond" w:hAnsi="Garamond" w:cs="Times New Roman"/>
          <w:sz w:val="24"/>
          <w:szCs w:val="20"/>
        </w:rPr>
        <w:t>to all online classes.</w:t>
      </w:r>
      <w:r w:rsidR="00EB1CD0">
        <w:rPr>
          <w:rFonts w:ascii="Garamond" w:hAnsi="Garamond" w:cs="Times New Roman"/>
          <w:sz w:val="24"/>
          <w:szCs w:val="20"/>
        </w:rPr>
        <w:t xml:space="preserve"> </w:t>
      </w:r>
      <w:r w:rsidR="00E769C5" w:rsidRPr="00E769C5">
        <w:rPr>
          <w:rFonts w:ascii="Garamond" w:hAnsi="Garamond" w:cs="Times New Roman"/>
          <w:sz w:val="24"/>
          <w:szCs w:val="20"/>
        </w:rPr>
        <w:t xml:space="preserve">There was hope that programs located on the campuses of community colleges could re-open to in-person classes, but that did not </w:t>
      </w:r>
      <w:r w:rsidR="00C55A93">
        <w:rPr>
          <w:rFonts w:ascii="Garamond" w:hAnsi="Garamond" w:cs="Times New Roman"/>
          <w:sz w:val="24"/>
          <w:szCs w:val="20"/>
        </w:rPr>
        <w:t>occur</w:t>
      </w:r>
      <w:r w:rsidR="00E769C5" w:rsidRPr="00E769C5">
        <w:rPr>
          <w:rFonts w:ascii="Garamond" w:hAnsi="Garamond" w:cs="Times New Roman"/>
          <w:sz w:val="24"/>
          <w:szCs w:val="20"/>
        </w:rPr>
        <w:t xml:space="preserve"> during the 20/21 program year.</w:t>
      </w:r>
      <w:r w:rsidR="00EB1CD0">
        <w:rPr>
          <w:rFonts w:ascii="Garamond" w:hAnsi="Garamond" w:cs="Times New Roman"/>
          <w:sz w:val="24"/>
          <w:szCs w:val="20"/>
        </w:rPr>
        <w:t xml:space="preserve"> </w:t>
      </w:r>
    </w:p>
    <w:p w14:paraId="3B771619" w14:textId="45646A43" w:rsidR="009F4170" w:rsidRPr="00B47F20" w:rsidRDefault="00DB391A" w:rsidP="00240833">
      <w:pPr>
        <w:spacing w:after="120"/>
        <w:rPr>
          <w:rFonts w:ascii="Garamond" w:hAnsi="Garamond" w:cs="Times New Roman"/>
          <w:sz w:val="24"/>
          <w:szCs w:val="20"/>
        </w:rPr>
      </w:pPr>
      <w:r w:rsidRPr="00B47F20">
        <w:rPr>
          <w:rFonts w:ascii="Garamond" w:hAnsi="Garamond" w:cs="Times New Roman"/>
          <w:sz w:val="24"/>
          <w:szCs w:val="20"/>
        </w:rPr>
        <w:t>Another important performance indicator to examine is measurable skill gains from NRS Table 4.</w:t>
      </w:r>
      <w:r w:rsidR="00EB1CD0">
        <w:rPr>
          <w:rFonts w:ascii="Garamond" w:hAnsi="Garamond" w:cs="Times New Roman"/>
          <w:sz w:val="24"/>
          <w:szCs w:val="20"/>
        </w:rPr>
        <w:t xml:space="preserve"> </w:t>
      </w:r>
      <w:r w:rsidRPr="00B47F20">
        <w:rPr>
          <w:rFonts w:ascii="Garamond" w:hAnsi="Garamond" w:cs="Times New Roman"/>
          <w:sz w:val="24"/>
          <w:szCs w:val="20"/>
        </w:rPr>
        <w:t xml:space="preserve">Four years of this </w:t>
      </w:r>
      <w:r w:rsidR="00D3755B" w:rsidRPr="00B47F20">
        <w:rPr>
          <w:rFonts w:ascii="Garamond" w:hAnsi="Garamond" w:cs="Times New Roman"/>
          <w:sz w:val="24"/>
          <w:szCs w:val="20"/>
        </w:rPr>
        <w:t xml:space="preserve">aggregate </w:t>
      </w:r>
      <w:r w:rsidRPr="00B47F20">
        <w:rPr>
          <w:rFonts w:ascii="Garamond" w:hAnsi="Garamond" w:cs="Times New Roman"/>
          <w:sz w:val="24"/>
          <w:szCs w:val="20"/>
        </w:rPr>
        <w:t xml:space="preserve">data is </w:t>
      </w:r>
      <w:r w:rsidR="00570329" w:rsidRPr="00B47F20">
        <w:rPr>
          <w:rFonts w:ascii="Garamond" w:hAnsi="Garamond" w:cs="Times New Roman"/>
          <w:sz w:val="24"/>
          <w:szCs w:val="20"/>
        </w:rPr>
        <w:t>presented in</w:t>
      </w:r>
      <w:r w:rsidRPr="00B47F20">
        <w:rPr>
          <w:rFonts w:ascii="Garamond" w:hAnsi="Garamond" w:cs="Times New Roman"/>
          <w:sz w:val="24"/>
          <w:szCs w:val="20"/>
        </w:rPr>
        <w:t xml:space="preserve"> the table below:</w:t>
      </w:r>
    </w:p>
    <w:p w14:paraId="6297895B" w14:textId="3662B4B9" w:rsidR="009F4170" w:rsidRPr="00B47F20" w:rsidRDefault="00613566" w:rsidP="00240833">
      <w:pPr>
        <w:spacing w:after="120"/>
        <w:rPr>
          <w:rFonts w:ascii="Garamond" w:hAnsi="Garamond" w:cs="Times New Roman"/>
          <w:b/>
          <w:sz w:val="24"/>
          <w:szCs w:val="20"/>
        </w:rPr>
      </w:pPr>
      <w:bookmarkStart w:id="1" w:name="_Hlk87448944"/>
      <w:r w:rsidRPr="00B47F20">
        <w:rPr>
          <w:rFonts w:ascii="Garamond" w:hAnsi="Garamond" w:cs="Times New Roman"/>
          <w:b/>
          <w:sz w:val="24"/>
          <w:szCs w:val="20"/>
        </w:rPr>
        <w:t>Measurable Skill Gains (NRS Table 4)</w:t>
      </w:r>
      <w:r w:rsidR="00236115">
        <w:rPr>
          <w:rFonts w:ascii="Garamond" w:hAnsi="Garamond" w:cs="Times New Roman"/>
          <w:b/>
          <w:sz w:val="24"/>
          <w:szCs w:val="20"/>
        </w:rPr>
        <w:t xml:space="preserve">: </w:t>
      </w:r>
    </w:p>
    <w:tbl>
      <w:tblPr>
        <w:tblStyle w:val="TableGrid"/>
        <w:tblW w:w="9906" w:type="dxa"/>
        <w:jc w:val="center"/>
        <w:tblLayout w:type="fixed"/>
        <w:tblLook w:val="04A0" w:firstRow="1" w:lastRow="0" w:firstColumn="1" w:lastColumn="0" w:noHBand="0" w:noVBand="1"/>
      </w:tblPr>
      <w:tblGrid>
        <w:gridCol w:w="1994"/>
        <w:gridCol w:w="985"/>
        <w:gridCol w:w="878"/>
        <w:gridCol w:w="878"/>
        <w:gridCol w:w="976"/>
        <w:gridCol w:w="878"/>
        <w:gridCol w:w="878"/>
        <w:gridCol w:w="878"/>
        <w:gridCol w:w="1561"/>
      </w:tblGrid>
      <w:tr w:rsidR="007A4A12" w:rsidRPr="00B47F20" w14:paraId="49E44786" w14:textId="77777777" w:rsidTr="00ED68C4">
        <w:trPr>
          <w:trHeight w:val="3"/>
          <w:jc w:val="center"/>
        </w:trPr>
        <w:tc>
          <w:tcPr>
            <w:tcW w:w="1994" w:type="dxa"/>
            <w:shd w:val="clear" w:color="auto" w:fill="auto"/>
            <w:noWrap/>
            <w:hideMark/>
          </w:tcPr>
          <w:p w14:paraId="6A7D64D0" w14:textId="77777777" w:rsidR="007A4A12" w:rsidRPr="00B47F20" w:rsidRDefault="007A4A12" w:rsidP="00D10700">
            <w:pPr>
              <w:spacing w:after="120" w:line="259" w:lineRule="auto"/>
              <w:rPr>
                <w:rFonts w:ascii="Garamond" w:hAnsi="Garamond" w:cs="Times New Roman"/>
                <w:b/>
                <w:bCs/>
                <w:sz w:val="24"/>
                <w:szCs w:val="20"/>
              </w:rPr>
            </w:pPr>
            <w:bookmarkStart w:id="2" w:name="_Hlk87448884"/>
            <w:bookmarkEnd w:id="1"/>
            <w:r w:rsidRPr="00B47F20">
              <w:rPr>
                <w:rFonts w:ascii="Garamond" w:hAnsi="Garamond" w:cs="Times New Roman"/>
                <w:b/>
                <w:bCs/>
                <w:sz w:val="24"/>
                <w:szCs w:val="20"/>
              </w:rPr>
              <w:lastRenderedPageBreak/>
              <w:t>Program Year</w:t>
            </w:r>
          </w:p>
        </w:tc>
        <w:tc>
          <w:tcPr>
            <w:tcW w:w="985" w:type="dxa"/>
            <w:shd w:val="clear" w:color="auto" w:fill="auto"/>
            <w:noWrap/>
            <w:hideMark/>
          </w:tcPr>
          <w:p w14:paraId="679169F5" w14:textId="77777777" w:rsidR="007A4A12" w:rsidRPr="00B47F20" w:rsidRDefault="007A4A12"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1</w:t>
            </w:r>
          </w:p>
        </w:tc>
        <w:tc>
          <w:tcPr>
            <w:tcW w:w="878" w:type="dxa"/>
            <w:shd w:val="clear" w:color="auto" w:fill="auto"/>
          </w:tcPr>
          <w:p w14:paraId="509AD982" w14:textId="77777777" w:rsidR="007A4A12" w:rsidRPr="00B47F20" w:rsidRDefault="007A4A12" w:rsidP="00D10700">
            <w:pPr>
              <w:spacing w:after="120"/>
              <w:rPr>
                <w:rFonts w:ascii="Garamond" w:hAnsi="Garamond" w:cs="Times New Roman"/>
                <w:b/>
                <w:bCs/>
                <w:sz w:val="24"/>
                <w:szCs w:val="20"/>
              </w:rPr>
            </w:pPr>
            <w:r w:rsidRPr="00B47F20">
              <w:rPr>
                <w:rFonts w:ascii="Garamond" w:hAnsi="Garamond" w:cs="Times New Roman"/>
                <w:b/>
                <w:bCs/>
                <w:sz w:val="24"/>
                <w:szCs w:val="20"/>
              </w:rPr>
              <w:t>ABE Level 2</w:t>
            </w:r>
          </w:p>
        </w:tc>
        <w:tc>
          <w:tcPr>
            <w:tcW w:w="878" w:type="dxa"/>
            <w:shd w:val="clear" w:color="auto" w:fill="auto"/>
            <w:noWrap/>
            <w:hideMark/>
          </w:tcPr>
          <w:p w14:paraId="5F973394" w14:textId="77777777" w:rsidR="007A4A12" w:rsidRPr="00B47F20" w:rsidRDefault="007A4A12"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3</w:t>
            </w:r>
          </w:p>
        </w:tc>
        <w:tc>
          <w:tcPr>
            <w:tcW w:w="976" w:type="dxa"/>
            <w:shd w:val="clear" w:color="auto" w:fill="auto"/>
          </w:tcPr>
          <w:p w14:paraId="46A2AF6C" w14:textId="77777777" w:rsidR="007A4A12" w:rsidRPr="00B47F20" w:rsidRDefault="007A4A12" w:rsidP="00D10700">
            <w:pPr>
              <w:spacing w:after="120"/>
              <w:rPr>
                <w:rFonts w:ascii="Garamond" w:hAnsi="Garamond" w:cs="Times New Roman"/>
                <w:b/>
                <w:bCs/>
                <w:sz w:val="24"/>
                <w:szCs w:val="20"/>
              </w:rPr>
            </w:pPr>
            <w:r w:rsidRPr="00B47F20">
              <w:rPr>
                <w:rFonts w:ascii="Garamond" w:hAnsi="Garamond" w:cs="Times New Roman"/>
                <w:b/>
                <w:bCs/>
                <w:sz w:val="24"/>
                <w:szCs w:val="20"/>
              </w:rPr>
              <w:t>ABE Level 4</w:t>
            </w:r>
          </w:p>
        </w:tc>
        <w:tc>
          <w:tcPr>
            <w:tcW w:w="878" w:type="dxa"/>
            <w:shd w:val="clear" w:color="auto" w:fill="auto"/>
            <w:noWrap/>
            <w:hideMark/>
          </w:tcPr>
          <w:p w14:paraId="6A30A955" w14:textId="77777777" w:rsidR="007A4A12" w:rsidRPr="00B47F20" w:rsidRDefault="007A4A12"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5</w:t>
            </w:r>
          </w:p>
        </w:tc>
        <w:tc>
          <w:tcPr>
            <w:tcW w:w="878" w:type="dxa"/>
            <w:shd w:val="clear" w:color="auto" w:fill="auto"/>
          </w:tcPr>
          <w:p w14:paraId="67DD1FAE" w14:textId="77777777" w:rsidR="007A4A12" w:rsidRPr="00B47F20" w:rsidRDefault="007A4A12" w:rsidP="00D10700">
            <w:pPr>
              <w:spacing w:after="120"/>
              <w:rPr>
                <w:rFonts w:ascii="Garamond" w:hAnsi="Garamond" w:cs="Times New Roman"/>
                <w:b/>
                <w:bCs/>
                <w:sz w:val="24"/>
                <w:szCs w:val="20"/>
              </w:rPr>
            </w:pPr>
            <w:r w:rsidRPr="00B47F20">
              <w:rPr>
                <w:rFonts w:ascii="Garamond" w:hAnsi="Garamond" w:cs="Times New Roman"/>
                <w:b/>
                <w:bCs/>
                <w:sz w:val="24"/>
                <w:szCs w:val="20"/>
              </w:rPr>
              <w:t xml:space="preserve">ABE Level 6 </w:t>
            </w:r>
          </w:p>
        </w:tc>
        <w:tc>
          <w:tcPr>
            <w:tcW w:w="878" w:type="dxa"/>
            <w:shd w:val="clear" w:color="auto" w:fill="auto"/>
            <w:noWrap/>
            <w:hideMark/>
          </w:tcPr>
          <w:p w14:paraId="29155571" w14:textId="77777777" w:rsidR="007A4A12" w:rsidRPr="00B47F20" w:rsidRDefault="007A4A12"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ESL</w:t>
            </w:r>
          </w:p>
        </w:tc>
        <w:tc>
          <w:tcPr>
            <w:tcW w:w="1561" w:type="dxa"/>
            <w:shd w:val="clear" w:color="auto" w:fill="auto"/>
            <w:noWrap/>
            <w:hideMark/>
          </w:tcPr>
          <w:p w14:paraId="327B93DD" w14:textId="77777777" w:rsidR="007A4A12" w:rsidRPr="00B47F20" w:rsidRDefault="007A4A12"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Total Enrollment</w:t>
            </w:r>
          </w:p>
        </w:tc>
      </w:tr>
      <w:tr w:rsidR="007A4A12" w:rsidRPr="00B47F20" w14:paraId="106B2A08" w14:textId="77777777" w:rsidTr="00ED68C4">
        <w:trPr>
          <w:trHeight w:val="3"/>
          <w:jc w:val="center"/>
        </w:trPr>
        <w:tc>
          <w:tcPr>
            <w:tcW w:w="1994" w:type="dxa"/>
            <w:shd w:val="clear" w:color="auto" w:fill="auto"/>
            <w:hideMark/>
          </w:tcPr>
          <w:p w14:paraId="5598A909" w14:textId="77777777" w:rsidR="007A4A12" w:rsidRPr="00B47F20" w:rsidRDefault="004836F1" w:rsidP="00D10700">
            <w:pPr>
              <w:spacing w:after="120" w:line="259" w:lineRule="auto"/>
              <w:rPr>
                <w:rFonts w:ascii="Garamond" w:hAnsi="Garamond" w:cs="Times New Roman"/>
                <w:sz w:val="24"/>
                <w:szCs w:val="20"/>
              </w:rPr>
            </w:pPr>
            <w:r w:rsidRPr="00B47F20">
              <w:rPr>
                <w:rFonts w:ascii="Garamond" w:hAnsi="Garamond" w:cs="Times New Roman"/>
                <w:sz w:val="24"/>
                <w:szCs w:val="20"/>
              </w:rPr>
              <w:t>P</w:t>
            </w:r>
            <w:r w:rsidR="007A4A12" w:rsidRPr="00B47F20">
              <w:rPr>
                <w:rFonts w:ascii="Garamond" w:hAnsi="Garamond" w:cs="Times New Roman"/>
                <w:sz w:val="24"/>
                <w:szCs w:val="20"/>
              </w:rPr>
              <w:t>Y 17/18</w:t>
            </w:r>
          </w:p>
        </w:tc>
        <w:tc>
          <w:tcPr>
            <w:tcW w:w="985" w:type="dxa"/>
            <w:shd w:val="clear" w:color="auto" w:fill="auto"/>
          </w:tcPr>
          <w:p w14:paraId="5C999170"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41.3%</w:t>
            </w:r>
          </w:p>
        </w:tc>
        <w:tc>
          <w:tcPr>
            <w:tcW w:w="878" w:type="dxa"/>
            <w:shd w:val="clear" w:color="auto" w:fill="auto"/>
          </w:tcPr>
          <w:p w14:paraId="0A6D675B"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42.2%</w:t>
            </w:r>
          </w:p>
        </w:tc>
        <w:tc>
          <w:tcPr>
            <w:tcW w:w="878" w:type="dxa"/>
            <w:shd w:val="clear" w:color="auto" w:fill="auto"/>
          </w:tcPr>
          <w:p w14:paraId="2222D697"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42.7%</w:t>
            </w:r>
          </w:p>
        </w:tc>
        <w:tc>
          <w:tcPr>
            <w:tcW w:w="976" w:type="dxa"/>
            <w:shd w:val="clear" w:color="auto" w:fill="auto"/>
          </w:tcPr>
          <w:p w14:paraId="2D8F321A"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43%</w:t>
            </w:r>
          </w:p>
        </w:tc>
        <w:tc>
          <w:tcPr>
            <w:tcW w:w="878" w:type="dxa"/>
            <w:shd w:val="clear" w:color="auto" w:fill="auto"/>
          </w:tcPr>
          <w:p w14:paraId="6981E1B7"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49.1%</w:t>
            </w:r>
          </w:p>
        </w:tc>
        <w:tc>
          <w:tcPr>
            <w:tcW w:w="878" w:type="dxa"/>
            <w:shd w:val="clear" w:color="auto" w:fill="auto"/>
          </w:tcPr>
          <w:p w14:paraId="36BD1441"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46.1%</w:t>
            </w:r>
          </w:p>
        </w:tc>
        <w:tc>
          <w:tcPr>
            <w:tcW w:w="878" w:type="dxa"/>
            <w:shd w:val="clear" w:color="auto" w:fill="auto"/>
          </w:tcPr>
          <w:p w14:paraId="0EBED53D"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32%</w:t>
            </w:r>
          </w:p>
        </w:tc>
        <w:tc>
          <w:tcPr>
            <w:tcW w:w="1561" w:type="dxa"/>
            <w:shd w:val="clear" w:color="auto" w:fill="auto"/>
          </w:tcPr>
          <w:p w14:paraId="4A072D8C"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39.2%</w:t>
            </w:r>
          </w:p>
        </w:tc>
      </w:tr>
      <w:tr w:rsidR="007A4A12" w:rsidRPr="00B47F20" w14:paraId="6B73A8B1" w14:textId="77777777" w:rsidTr="00ED68C4">
        <w:trPr>
          <w:trHeight w:val="3"/>
          <w:jc w:val="center"/>
        </w:trPr>
        <w:tc>
          <w:tcPr>
            <w:tcW w:w="1994" w:type="dxa"/>
            <w:shd w:val="clear" w:color="auto" w:fill="auto"/>
          </w:tcPr>
          <w:p w14:paraId="7A382408" w14:textId="77777777" w:rsidR="007A4A12" w:rsidRPr="00B47F20" w:rsidRDefault="004836F1" w:rsidP="00D10700">
            <w:pPr>
              <w:spacing w:after="120" w:line="259" w:lineRule="auto"/>
              <w:rPr>
                <w:rFonts w:ascii="Garamond" w:hAnsi="Garamond" w:cs="Times New Roman"/>
                <w:sz w:val="24"/>
                <w:szCs w:val="20"/>
              </w:rPr>
            </w:pPr>
            <w:r w:rsidRPr="00B47F20">
              <w:rPr>
                <w:rFonts w:ascii="Garamond" w:hAnsi="Garamond" w:cs="Times New Roman"/>
                <w:sz w:val="24"/>
                <w:szCs w:val="20"/>
              </w:rPr>
              <w:t>P</w:t>
            </w:r>
            <w:r w:rsidR="007A4A12" w:rsidRPr="00B47F20">
              <w:rPr>
                <w:rFonts w:ascii="Garamond" w:hAnsi="Garamond" w:cs="Times New Roman"/>
                <w:sz w:val="24"/>
                <w:szCs w:val="20"/>
              </w:rPr>
              <w:t>Y 18/19</w:t>
            </w:r>
          </w:p>
        </w:tc>
        <w:tc>
          <w:tcPr>
            <w:tcW w:w="985" w:type="dxa"/>
            <w:shd w:val="clear" w:color="auto" w:fill="auto"/>
          </w:tcPr>
          <w:p w14:paraId="56CB50C6"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36.9%</w:t>
            </w:r>
          </w:p>
        </w:tc>
        <w:tc>
          <w:tcPr>
            <w:tcW w:w="878" w:type="dxa"/>
            <w:shd w:val="clear" w:color="auto" w:fill="auto"/>
          </w:tcPr>
          <w:p w14:paraId="50E69E29"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37.1%</w:t>
            </w:r>
          </w:p>
        </w:tc>
        <w:tc>
          <w:tcPr>
            <w:tcW w:w="878" w:type="dxa"/>
            <w:shd w:val="clear" w:color="auto" w:fill="auto"/>
          </w:tcPr>
          <w:p w14:paraId="3A4E69C1"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33.2%</w:t>
            </w:r>
          </w:p>
        </w:tc>
        <w:tc>
          <w:tcPr>
            <w:tcW w:w="976" w:type="dxa"/>
            <w:shd w:val="clear" w:color="auto" w:fill="auto"/>
          </w:tcPr>
          <w:p w14:paraId="6D3BE94D"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33.9%</w:t>
            </w:r>
          </w:p>
        </w:tc>
        <w:tc>
          <w:tcPr>
            <w:tcW w:w="878" w:type="dxa"/>
            <w:shd w:val="clear" w:color="auto" w:fill="auto"/>
          </w:tcPr>
          <w:p w14:paraId="2E722729"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42.2%</w:t>
            </w:r>
          </w:p>
        </w:tc>
        <w:tc>
          <w:tcPr>
            <w:tcW w:w="878" w:type="dxa"/>
            <w:shd w:val="clear" w:color="auto" w:fill="auto"/>
          </w:tcPr>
          <w:p w14:paraId="6C5510DB"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37.8%</w:t>
            </w:r>
          </w:p>
        </w:tc>
        <w:tc>
          <w:tcPr>
            <w:tcW w:w="878" w:type="dxa"/>
            <w:shd w:val="clear" w:color="auto" w:fill="auto"/>
          </w:tcPr>
          <w:p w14:paraId="16748DE8"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36.3%</w:t>
            </w:r>
          </w:p>
        </w:tc>
        <w:tc>
          <w:tcPr>
            <w:tcW w:w="1561" w:type="dxa"/>
            <w:shd w:val="clear" w:color="auto" w:fill="auto"/>
          </w:tcPr>
          <w:p w14:paraId="1074C9F0"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35.6%</w:t>
            </w:r>
          </w:p>
        </w:tc>
      </w:tr>
      <w:tr w:rsidR="007A4A12" w:rsidRPr="00B47F20" w14:paraId="6C7D25A8" w14:textId="77777777" w:rsidTr="00ED68C4">
        <w:trPr>
          <w:trHeight w:val="3"/>
          <w:jc w:val="center"/>
        </w:trPr>
        <w:tc>
          <w:tcPr>
            <w:tcW w:w="1994" w:type="dxa"/>
            <w:shd w:val="clear" w:color="auto" w:fill="auto"/>
          </w:tcPr>
          <w:p w14:paraId="4F1B8A75" w14:textId="77777777" w:rsidR="007A4A12" w:rsidRPr="00B47F20" w:rsidRDefault="004836F1" w:rsidP="00D10700">
            <w:pPr>
              <w:spacing w:after="120" w:line="259" w:lineRule="auto"/>
              <w:rPr>
                <w:rFonts w:ascii="Garamond" w:hAnsi="Garamond" w:cs="Times New Roman"/>
                <w:sz w:val="24"/>
                <w:szCs w:val="20"/>
              </w:rPr>
            </w:pPr>
            <w:r w:rsidRPr="00B47F20">
              <w:rPr>
                <w:rFonts w:ascii="Garamond" w:hAnsi="Garamond" w:cs="Times New Roman"/>
                <w:sz w:val="24"/>
                <w:szCs w:val="20"/>
              </w:rPr>
              <w:t>P</w:t>
            </w:r>
            <w:r w:rsidR="007A4A12" w:rsidRPr="00B47F20">
              <w:rPr>
                <w:rFonts w:ascii="Garamond" w:hAnsi="Garamond" w:cs="Times New Roman"/>
                <w:sz w:val="24"/>
                <w:szCs w:val="20"/>
              </w:rPr>
              <w:t>Y 19/20</w:t>
            </w:r>
          </w:p>
        </w:tc>
        <w:tc>
          <w:tcPr>
            <w:tcW w:w="985" w:type="dxa"/>
            <w:shd w:val="clear" w:color="auto" w:fill="auto"/>
          </w:tcPr>
          <w:p w14:paraId="6E9B8397"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38.2%</w:t>
            </w:r>
          </w:p>
        </w:tc>
        <w:tc>
          <w:tcPr>
            <w:tcW w:w="878" w:type="dxa"/>
            <w:shd w:val="clear" w:color="auto" w:fill="auto"/>
          </w:tcPr>
          <w:p w14:paraId="5F1436EF"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31.9%</w:t>
            </w:r>
          </w:p>
        </w:tc>
        <w:tc>
          <w:tcPr>
            <w:tcW w:w="878" w:type="dxa"/>
            <w:shd w:val="clear" w:color="auto" w:fill="auto"/>
          </w:tcPr>
          <w:p w14:paraId="258C4B10"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28.9%</w:t>
            </w:r>
          </w:p>
        </w:tc>
        <w:tc>
          <w:tcPr>
            <w:tcW w:w="976" w:type="dxa"/>
            <w:shd w:val="clear" w:color="auto" w:fill="auto"/>
          </w:tcPr>
          <w:p w14:paraId="12286F4B"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31.8%</w:t>
            </w:r>
          </w:p>
        </w:tc>
        <w:tc>
          <w:tcPr>
            <w:tcW w:w="878" w:type="dxa"/>
            <w:shd w:val="clear" w:color="auto" w:fill="auto"/>
          </w:tcPr>
          <w:p w14:paraId="344258DA"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30.2%</w:t>
            </w:r>
          </w:p>
        </w:tc>
        <w:tc>
          <w:tcPr>
            <w:tcW w:w="878" w:type="dxa"/>
            <w:shd w:val="clear" w:color="auto" w:fill="auto"/>
          </w:tcPr>
          <w:p w14:paraId="70577D68" w14:textId="77777777" w:rsidR="007A4A12" w:rsidRPr="00B47F20" w:rsidRDefault="007A4A12" w:rsidP="00D10700">
            <w:pPr>
              <w:spacing w:after="120"/>
              <w:rPr>
                <w:rFonts w:ascii="Garamond" w:hAnsi="Garamond" w:cs="Times New Roman"/>
                <w:sz w:val="24"/>
                <w:szCs w:val="20"/>
              </w:rPr>
            </w:pPr>
            <w:r w:rsidRPr="00B47F20">
              <w:rPr>
                <w:rFonts w:ascii="Garamond" w:hAnsi="Garamond" w:cs="Times New Roman"/>
                <w:sz w:val="24"/>
                <w:szCs w:val="20"/>
              </w:rPr>
              <w:t>16.7%</w:t>
            </w:r>
          </w:p>
        </w:tc>
        <w:tc>
          <w:tcPr>
            <w:tcW w:w="878" w:type="dxa"/>
            <w:shd w:val="clear" w:color="auto" w:fill="auto"/>
          </w:tcPr>
          <w:p w14:paraId="6772F34B"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29.3%</w:t>
            </w:r>
          </w:p>
        </w:tc>
        <w:tc>
          <w:tcPr>
            <w:tcW w:w="1561" w:type="dxa"/>
            <w:shd w:val="clear" w:color="auto" w:fill="auto"/>
          </w:tcPr>
          <w:p w14:paraId="3FEC6F78" w14:textId="77777777" w:rsidR="007A4A12" w:rsidRPr="00B47F20" w:rsidRDefault="007A4A12" w:rsidP="00D10700">
            <w:pPr>
              <w:spacing w:after="120" w:line="259" w:lineRule="auto"/>
              <w:rPr>
                <w:rFonts w:ascii="Garamond" w:hAnsi="Garamond" w:cs="Times New Roman"/>
                <w:sz w:val="24"/>
                <w:szCs w:val="20"/>
              </w:rPr>
            </w:pPr>
            <w:r w:rsidRPr="00B47F20">
              <w:rPr>
                <w:rFonts w:ascii="Garamond" w:hAnsi="Garamond" w:cs="Times New Roman"/>
                <w:sz w:val="24"/>
                <w:szCs w:val="20"/>
              </w:rPr>
              <w:t>30.3%</w:t>
            </w:r>
          </w:p>
        </w:tc>
      </w:tr>
      <w:tr w:rsidR="00F86179" w:rsidRPr="008E09DC" w14:paraId="757F9622" w14:textId="77777777" w:rsidTr="00ED68C4">
        <w:trPr>
          <w:trHeight w:val="3"/>
          <w:jc w:val="center"/>
        </w:trPr>
        <w:tc>
          <w:tcPr>
            <w:tcW w:w="1994" w:type="dxa"/>
            <w:shd w:val="clear" w:color="auto" w:fill="auto"/>
          </w:tcPr>
          <w:p w14:paraId="181AA0C9" w14:textId="77777777" w:rsidR="00F86179" w:rsidRPr="00B47F20" w:rsidRDefault="00F86179" w:rsidP="00D10700">
            <w:pPr>
              <w:spacing w:after="120"/>
              <w:rPr>
                <w:rFonts w:ascii="Garamond" w:hAnsi="Garamond" w:cs="Times New Roman"/>
                <w:sz w:val="24"/>
                <w:szCs w:val="20"/>
              </w:rPr>
            </w:pPr>
            <w:r w:rsidRPr="00B47F20">
              <w:rPr>
                <w:rFonts w:ascii="Garamond" w:hAnsi="Garamond" w:cs="Times New Roman"/>
                <w:sz w:val="24"/>
                <w:szCs w:val="20"/>
              </w:rPr>
              <w:t>PY 20/21</w:t>
            </w:r>
          </w:p>
        </w:tc>
        <w:tc>
          <w:tcPr>
            <w:tcW w:w="985" w:type="dxa"/>
            <w:shd w:val="clear" w:color="auto" w:fill="auto"/>
          </w:tcPr>
          <w:p w14:paraId="5096F125"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42.2%</w:t>
            </w:r>
          </w:p>
        </w:tc>
        <w:tc>
          <w:tcPr>
            <w:tcW w:w="878" w:type="dxa"/>
            <w:shd w:val="clear" w:color="auto" w:fill="auto"/>
          </w:tcPr>
          <w:p w14:paraId="49AE0623"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31.9%</w:t>
            </w:r>
          </w:p>
        </w:tc>
        <w:tc>
          <w:tcPr>
            <w:tcW w:w="878" w:type="dxa"/>
            <w:shd w:val="clear" w:color="auto" w:fill="auto"/>
          </w:tcPr>
          <w:p w14:paraId="342E438F"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25.5%</w:t>
            </w:r>
          </w:p>
        </w:tc>
        <w:tc>
          <w:tcPr>
            <w:tcW w:w="976" w:type="dxa"/>
            <w:shd w:val="clear" w:color="auto" w:fill="auto"/>
          </w:tcPr>
          <w:p w14:paraId="6DE28C6E"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33.3%</w:t>
            </w:r>
          </w:p>
        </w:tc>
        <w:tc>
          <w:tcPr>
            <w:tcW w:w="878" w:type="dxa"/>
            <w:shd w:val="clear" w:color="auto" w:fill="auto"/>
          </w:tcPr>
          <w:p w14:paraId="27323CBE"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26.7%</w:t>
            </w:r>
          </w:p>
        </w:tc>
        <w:tc>
          <w:tcPr>
            <w:tcW w:w="878" w:type="dxa"/>
            <w:shd w:val="clear" w:color="auto" w:fill="auto"/>
          </w:tcPr>
          <w:p w14:paraId="4D510456"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30%</w:t>
            </w:r>
          </w:p>
        </w:tc>
        <w:tc>
          <w:tcPr>
            <w:tcW w:w="878" w:type="dxa"/>
            <w:shd w:val="clear" w:color="auto" w:fill="auto"/>
          </w:tcPr>
          <w:p w14:paraId="382043BD"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31.1%</w:t>
            </w:r>
          </w:p>
        </w:tc>
        <w:tc>
          <w:tcPr>
            <w:tcW w:w="1561" w:type="dxa"/>
            <w:shd w:val="clear" w:color="auto" w:fill="auto"/>
          </w:tcPr>
          <w:p w14:paraId="48D38419" w14:textId="77777777" w:rsidR="00F86179" w:rsidRPr="00B47F20" w:rsidRDefault="00E769C5" w:rsidP="00D10700">
            <w:pPr>
              <w:spacing w:after="120"/>
              <w:rPr>
                <w:rFonts w:ascii="Garamond" w:hAnsi="Garamond" w:cs="Times New Roman"/>
                <w:sz w:val="24"/>
                <w:szCs w:val="20"/>
              </w:rPr>
            </w:pPr>
            <w:r w:rsidRPr="00B47F20">
              <w:rPr>
                <w:rFonts w:ascii="Garamond" w:hAnsi="Garamond" w:cs="Times New Roman"/>
                <w:sz w:val="24"/>
                <w:szCs w:val="20"/>
              </w:rPr>
              <w:t>31%</w:t>
            </w:r>
          </w:p>
        </w:tc>
      </w:tr>
      <w:bookmarkEnd w:id="2"/>
    </w:tbl>
    <w:p w14:paraId="3AAF9B80" w14:textId="77777777" w:rsidR="0010612D" w:rsidRPr="008E09DC" w:rsidRDefault="0010612D" w:rsidP="00240833">
      <w:pPr>
        <w:spacing w:after="120"/>
        <w:rPr>
          <w:rFonts w:ascii="Garamond" w:hAnsi="Garamond" w:cs="Times New Roman"/>
          <w:sz w:val="24"/>
          <w:szCs w:val="20"/>
          <w:highlight w:val="yellow"/>
        </w:rPr>
      </w:pPr>
    </w:p>
    <w:p w14:paraId="7DED4ECB" w14:textId="201A1112" w:rsidR="00DB391A" w:rsidRPr="00236115" w:rsidRDefault="00B47F20" w:rsidP="00240833">
      <w:pPr>
        <w:spacing w:after="120"/>
        <w:rPr>
          <w:rFonts w:ascii="Garamond" w:hAnsi="Garamond" w:cs="Times New Roman"/>
          <w:sz w:val="24"/>
          <w:szCs w:val="24"/>
        </w:rPr>
      </w:pPr>
      <w:r w:rsidRPr="00B47F20">
        <w:rPr>
          <w:rFonts w:ascii="Garamond" w:hAnsi="Garamond" w:cs="Times New Roman"/>
          <w:sz w:val="24"/>
          <w:szCs w:val="20"/>
        </w:rPr>
        <w:t>Overall MSGs held steady between PY 19/20 and PY 20/21.</w:t>
      </w:r>
      <w:r w:rsidR="00EB1CD0">
        <w:rPr>
          <w:rFonts w:ascii="Garamond" w:hAnsi="Garamond" w:cs="Times New Roman"/>
          <w:sz w:val="24"/>
          <w:szCs w:val="20"/>
        </w:rPr>
        <w:t xml:space="preserve"> </w:t>
      </w:r>
      <w:r w:rsidRPr="00B47F20">
        <w:rPr>
          <w:rFonts w:ascii="Garamond" w:hAnsi="Garamond" w:cs="Times New Roman"/>
          <w:sz w:val="24"/>
          <w:szCs w:val="20"/>
        </w:rPr>
        <w:t>The four-year trend was moving down, and while the pandemic has greatly impacted the number of students our programs have been able to serve, the performance in terms of MSGs has remained consistent.</w:t>
      </w:r>
      <w:r w:rsidR="00EB1CD0">
        <w:rPr>
          <w:rFonts w:ascii="Garamond" w:hAnsi="Garamond" w:cs="Times New Roman"/>
          <w:sz w:val="24"/>
          <w:szCs w:val="20"/>
        </w:rPr>
        <w:t xml:space="preserve"> </w:t>
      </w:r>
      <w:r w:rsidRPr="00B47F20">
        <w:rPr>
          <w:rFonts w:ascii="Garamond" w:hAnsi="Garamond" w:cs="Times New Roman"/>
          <w:sz w:val="24"/>
          <w:szCs w:val="20"/>
        </w:rPr>
        <w:t>This is true with the analysis of just those students who were able to be post-tested.</w:t>
      </w:r>
      <w:r w:rsidR="00EB1CD0">
        <w:rPr>
          <w:rFonts w:ascii="Garamond" w:hAnsi="Garamond" w:cs="Times New Roman"/>
          <w:sz w:val="24"/>
          <w:szCs w:val="20"/>
        </w:rPr>
        <w:t xml:space="preserve"> </w:t>
      </w:r>
      <w:r w:rsidRPr="00B47F20">
        <w:rPr>
          <w:rFonts w:ascii="Garamond" w:hAnsi="Garamond" w:cs="Times New Roman"/>
          <w:sz w:val="24"/>
          <w:szCs w:val="20"/>
        </w:rPr>
        <w:t>Serving students remotely in our very rural state has been a challenge.</w:t>
      </w:r>
      <w:r w:rsidR="00EB1CD0">
        <w:rPr>
          <w:rFonts w:ascii="Garamond" w:hAnsi="Garamond" w:cs="Times New Roman"/>
          <w:sz w:val="24"/>
          <w:szCs w:val="20"/>
        </w:rPr>
        <w:t xml:space="preserve"> </w:t>
      </w:r>
      <w:r w:rsidRPr="00B47F20">
        <w:rPr>
          <w:rFonts w:ascii="Garamond" w:hAnsi="Garamond" w:cs="Times New Roman"/>
          <w:sz w:val="24"/>
          <w:szCs w:val="20"/>
        </w:rPr>
        <w:t>It has been a particular challenge to arrange post-testing for students who lack reliable internet access in their homes and are restricted from accessing in-person testing options.</w:t>
      </w:r>
      <w:r w:rsidR="00EB1CD0">
        <w:rPr>
          <w:rFonts w:ascii="Garamond" w:hAnsi="Garamond" w:cs="Times New Roman"/>
          <w:sz w:val="24"/>
          <w:szCs w:val="20"/>
        </w:rPr>
        <w:t xml:space="preserve"> </w:t>
      </w:r>
    </w:p>
    <w:p w14:paraId="3783BC56" w14:textId="77777777" w:rsidR="00236115" w:rsidRPr="00236115" w:rsidRDefault="00236115" w:rsidP="00236115">
      <w:pPr>
        <w:pStyle w:val="xmsonormal"/>
        <w:jc w:val="both"/>
        <w:textAlignment w:val="baseline"/>
        <w:rPr>
          <w:rFonts w:ascii="Garamond" w:eastAsia="Times New Roman" w:hAnsi="Garamond"/>
          <w:bCs/>
          <w:sz w:val="24"/>
          <w:szCs w:val="24"/>
        </w:rPr>
      </w:pPr>
      <w:r w:rsidRPr="00236115">
        <w:rPr>
          <w:rFonts w:ascii="Garamond" w:eastAsia="Times New Roman" w:hAnsi="Garamond"/>
          <w:b/>
          <w:bCs/>
          <w:sz w:val="24"/>
          <w:szCs w:val="24"/>
        </w:rPr>
        <w:t>Employment Rate 2</w:t>
      </w:r>
      <w:r w:rsidRPr="00236115">
        <w:rPr>
          <w:rFonts w:ascii="Garamond" w:eastAsia="Times New Roman" w:hAnsi="Garamond"/>
          <w:b/>
          <w:bCs/>
          <w:sz w:val="24"/>
          <w:szCs w:val="24"/>
          <w:vertAlign w:val="superscript"/>
        </w:rPr>
        <w:t>nd</w:t>
      </w:r>
      <w:r w:rsidRPr="00236115">
        <w:rPr>
          <w:rFonts w:ascii="Garamond" w:eastAsia="Times New Roman" w:hAnsi="Garamond"/>
          <w:b/>
          <w:bCs/>
          <w:sz w:val="24"/>
          <w:szCs w:val="24"/>
        </w:rPr>
        <w:t xml:space="preserve"> Quarter: </w:t>
      </w:r>
      <w:r w:rsidRPr="00236115">
        <w:rPr>
          <w:rFonts w:ascii="Garamond" w:eastAsia="Times New Roman" w:hAnsi="Garamond"/>
          <w:sz w:val="24"/>
          <w:szCs w:val="24"/>
        </w:rPr>
        <w:t xml:space="preserve">21.9% of participants who exited programs were in unsubsidized employment during second quarter. </w:t>
      </w:r>
      <w:r w:rsidRPr="00236115">
        <w:rPr>
          <w:rFonts w:ascii="Garamond" w:eastAsia="Times New Roman" w:hAnsi="Garamond"/>
          <w:i/>
          <w:iCs/>
          <w:sz w:val="24"/>
          <w:szCs w:val="24"/>
        </w:rPr>
        <w:t xml:space="preserve">Performance in this indicator is about </w:t>
      </w:r>
      <w:r w:rsidRPr="00236115">
        <w:rPr>
          <w:rFonts w:ascii="Garamond" w:eastAsia="Times New Roman" w:hAnsi="Garamond"/>
          <w:b/>
          <w:bCs/>
          <w:i/>
          <w:iCs/>
          <w:sz w:val="24"/>
          <w:szCs w:val="24"/>
        </w:rPr>
        <w:t xml:space="preserve">3% below the negotiated target </w:t>
      </w:r>
      <w:r w:rsidRPr="00236115">
        <w:rPr>
          <w:rFonts w:ascii="Garamond" w:eastAsia="Times New Roman" w:hAnsi="Garamond"/>
          <w:b/>
          <w:bCs/>
          <w:sz w:val="24"/>
          <w:szCs w:val="24"/>
        </w:rPr>
        <w:t xml:space="preserve">of 24.9%. </w:t>
      </w:r>
      <w:r w:rsidRPr="00236115">
        <w:rPr>
          <w:rFonts w:ascii="Garamond" w:eastAsia="Times New Roman" w:hAnsi="Garamond"/>
          <w:bCs/>
          <w:sz w:val="24"/>
          <w:szCs w:val="24"/>
        </w:rPr>
        <w:t>Employment during the pandemic in New Mexico fell precipitously.</w:t>
      </w:r>
    </w:p>
    <w:p w14:paraId="57B4F89A" w14:textId="77777777" w:rsidR="00236115" w:rsidRDefault="00236115" w:rsidP="00236115">
      <w:pPr>
        <w:pStyle w:val="xmsonormal"/>
        <w:jc w:val="both"/>
        <w:textAlignment w:val="baseline"/>
        <w:rPr>
          <w:rFonts w:ascii="Garamond" w:eastAsia="Times New Roman" w:hAnsi="Garamond"/>
          <w:b/>
          <w:bCs/>
          <w:sz w:val="24"/>
          <w:szCs w:val="24"/>
        </w:rPr>
      </w:pPr>
    </w:p>
    <w:p w14:paraId="53DCFEBD" w14:textId="6A9B0252" w:rsidR="00236115" w:rsidRPr="00236115" w:rsidRDefault="00236115" w:rsidP="00236115">
      <w:pPr>
        <w:pStyle w:val="xmsonormal"/>
        <w:jc w:val="both"/>
        <w:textAlignment w:val="baseline"/>
        <w:rPr>
          <w:rFonts w:ascii="Garamond" w:eastAsia="Times New Roman" w:hAnsi="Garamond"/>
          <w:sz w:val="24"/>
          <w:szCs w:val="24"/>
        </w:rPr>
      </w:pPr>
      <w:r w:rsidRPr="00236115">
        <w:rPr>
          <w:rFonts w:ascii="Garamond" w:eastAsia="Times New Roman" w:hAnsi="Garamond"/>
          <w:b/>
          <w:bCs/>
          <w:sz w:val="24"/>
          <w:szCs w:val="24"/>
        </w:rPr>
        <w:t>Employment Rate 4</w:t>
      </w:r>
      <w:r w:rsidRPr="00236115">
        <w:rPr>
          <w:rFonts w:ascii="Garamond" w:eastAsia="Times New Roman" w:hAnsi="Garamond"/>
          <w:b/>
          <w:bCs/>
          <w:sz w:val="24"/>
          <w:szCs w:val="24"/>
          <w:vertAlign w:val="superscript"/>
        </w:rPr>
        <w:t>th</w:t>
      </w:r>
      <w:r w:rsidRPr="00236115">
        <w:rPr>
          <w:rFonts w:ascii="Garamond" w:eastAsia="Times New Roman" w:hAnsi="Garamond"/>
          <w:b/>
          <w:bCs/>
          <w:sz w:val="24"/>
          <w:szCs w:val="24"/>
        </w:rPr>
        <w:t xml:space="preserve"> Quarter:</w:t>
      </w:r>
      <w:r w:rsidRPr="00236115">
        <w:rPr>
          <w:rFonts w:ascii="Garamond" w:eastAsia="Times New Roman" w:hAnsi="Garamond"/>
          <w:sz w:val="24"/>
          <w:szCs w:val="24"/>
        </w:rPr>
        <w:t xml:space="preserve"> 10.5% of participants who exited programs were in unsubsidized employment during fourth quarter. </w:t>
      </w:r>
      <w:r w:rsidRPr="00236115">
        <w:rPr>
          <w:rFonts w:ascii="Garamond" w:eastAsia="Times New Roman" w:hAnsi="Garamond"/>
          <w:i/>
          <w:iCs/>
          <w:sz w:val="24"/>
          <w:szCs w:val="24"/>
        </w:rPr>
        <w:t>Performance in this indicator falls well below (</w:t>
      </w:r>
      <w:r w:rsidRPr="00236115">
        <w:rPr>
          <w:rFonts w:ascii="Garamond" w:eastAsia="Times New Roman" w:hAnsi="Garamond"/>
          <w:b/>
          <w:bCs/>
          <w:i/>
          <w:iCs/>
          <w:sz w:val="24"/>
          <w:szCs w:val="24"/>
        </w:rPr>
        <w:t xml:space="preserve">24.6% below) the negotiated target of 35.1%. </w:t>
      </w:r>
      <w:r w:rsidRPr="00236115">
        <w:rPr>
          <w:rFonts w:ascii="Garamond" w:eastAsia="Times New Roman" w:hAnsi="Garamond"/>
          <w:bCs/>
          <w:iCs/>
          <w:sz w:val="24"/>
          <w:szCs w:val="24"/>
        </w:rPr>
        <w:t>During this quarter of the pandemic in New Mexico, the economy was reeling and many retail, service, and frontline workers were out of work. Our students are disproportionately low-wage workers in these fields and were very vulnerable to the effects of the pandemic.</w:t>
      </w:r>
    </w:p>
    <w:p w14:paraId="4D9A55EC" w14:textId="77777777" w:rsidR="00236115" w:rsidRDefault="00236115" w:rsidP="00236115">
      <w:pPr>
        <w:pStyle w:val="xmsonormal"/>
        <w:jc w:val="both"/>
        <w:textAlignment w:val="baseline"/>
        <w:rPr>
          <w:rFonts w:ascii="Garamond" w:eastAsia="Times New Roman" w:hAnsi="Garamond"/>
          <w:b/>
          <w:bCs/>
          <w:sz w:val="24"/>
          <w:szCs w:val="24"/>
        </w:rPr>
      </w:pPr>
    </w:p>
    <w:p w14:paraId="60258E25" w14:textId="54B20C9A" w:rsidR="00236115" w:rsidRPr="00236115" w:rsidRDefault="00236115" w:rsidP="00236115">
      <w:pPr>
        <w:pStyle w:val="xmsonormal"/>
        <w:jc w:val="both"/>
        <w:textAlignment w:val="baseline"/>
        <w:rPr>
          <w:rFonts w:ascii="Garamond" w:eastAsia="Times New Roman" w:hAnsi="Garamond"/>
          <w:sz w:val="24"/>
          <w:szCs w:val="24"/>
        </w:rPr>
      </w:pPr>
      <w:r w:rsidRPr="00236115">
        <w:rPr>
          <w:rFonts w:ascii="Garamond" w:eastAsia="Times New Roman" w:hAnsi="Garamond"/>
          <w:b/>
          <w:bCs/>
          <w:sz w:val="24"/>
          <w:szCs w:val="24"/>
        </w:rPr>
        <w:t>Median Earnings</w:t>
      </w:r>
      <w:r w:rsidRPr="00236115">
        <w:rPr>
          <w:rFonts w:ascii="Garamond" w:eastAsia="Times New Roman" w:hAnsi="Garamond"/>
          <w:sz w:val="24"/>
          <w:szCs w:val="24"/>
        </w:rPr>
        <w:t xml:space="preserve">: The median earnings of program participants who were in unsubsidized employment during the second quarter after exit from program was $3,734.45.  </w:t>
      </w:r>
      <w:r w:rsidRPr="00236115">
        <w:rPr>
          <w:rFonts w:ascii="Garamond" w:eastAsia="Times New Roman" w:hAnsi="Garamond"/>
          <w:b/>
          <w:bCs/>
          <w:i/>
          <w:iCs/>
          <w:sz w:val="24"/>
          <w:szCs w:val="24"/>
        </w:rPr>
        <w:t>Performance in this indicator exceeds the negotiated target of $3,219.00.</w:t>
      </w:r>
    </w:p>
    <w:p w14:paraId="6EF7E2FA" w14:textId="77777777" w:rsidR="00236115" w:rsidRDefault="00236115" w:rsidP="00236115">
      <w:pPr>
        <w:pStyle w:val="xmsonormal"/>
        <w:jc w:val="both"/>
        <w:textAlignment w:val="baseline"/>
        <w:rPr>
          <w:rFonts w:ascii="Garamond" w:eastAsia="Times New Roman" w:hAnsi="Garamond"/>
          <w:b/>
          <w:bCs/>
          <w:sz w:val="24"/>
          <w:szCs w:val="24"/>
        </w:rPr>
      </w:pPr>
    </w:p>
    <w:p w14:paraId="1BCB1A74" w14:textId="34DF20BE" w:rsidR="00236115" w:rsidRPr="00236115" w:rsidRDefault="00236115" w:rsidP="00236115">
      <w:pPr>
        <w:pStyle w:val="xmsonormal"/>
        <w:jc w:val="both"/>
        <w:textAlignment w:val="baseline"/>
        <w:rPr>
          <w:rFonts w:ascii="Garamond" w:eastAsia="Times New Roman" w:hAnsi="Garamond"/>
          <w:sz w:val="24"/>
          <w:szCs w:val="24"/>
        </w:rPr>
      </w:pPr>
      <w:r w:rsidRPr="00236115">
        <w:rPr>
          <w:rFonts w:ascii="Garamond" w:eastAsia="Times New Roman" w:hAnsi="Garamond"/>
          <w:b/>
          <w:bCs/>
          <w:sz w:val="24"/>
          <w:szCs w:val="24"/>
        </w:rPr>
        <w:t>Credential Obtainment</w:t>
      </w:r>
      <w:r w:rsidRPr="00236115">
        <w:rPr>
          <w:rFonts w:ascii="Garamond" w:eastAsia="Times New Roman" w:hAnsi="Garamond"/>
          <w:sz w:val="24"/>
          <w:szCs w:val="24"/>
        </w:rPr>
        <w:t xml:space="preserve">: 27.2% of program participants eligible to be included in this measure obtained a recognized postsecondary credential or a secondary school diploma or its recognized equivalent during participation in or within one year after exit from the program. </w:t>
      </w:r>
      <w:r w:rsidRPr="00236115">
        <w:rPr>
          <w:rFonts w:ascii="Garamond" w:eastAsia="Times New Roman" w:hAnsi="Garamond"/>
          <w:b/>
          <w:bCs/>
          <w:i/>
          <w:iCs/>
          <w:sz w:val="24"/>
          <w:szCs w:val="24"/>
        </w:rPr>
        <w:t>Performance in this indicator exceeds the negotiated target of 20.3%.</w:t>
      </w:r>
    </w:p>
    <w:p w14:paraId="230DA021" w14:textId="77777777" w:rsidR="00236115" w:rsidRPr="00236115" w:rsidRDefault="00236115" w:rsidP="00240833">
      <w:pPr>
        <w:spacing w:after="120"/>
        <w:rPr>
          <w:rFonts w:ascii="Garamond" w:hAnsi="Garamond" w:cs="Times New Roman"/>
          <w:sz w:val="24"/>
          <w:szCs w:val="24"/>
        </w:rPr>
      </w:pPr>
    </w:p>
    <w:p w14:paraId="13F4C506" w14:textId="77777777" w:rsidR="0072721D" w:rsidRPr="00B47F20" w:rsidRDefault="00767BEC" w:rsidP="00240833">
      <w:pPr>
        <w:spacing w:after="120"/>
        <w:rPr>
          <w:rFonts w:ascii="Garamond" w:hAnsi="Garamond" w:cs="Times New Roman"/>
          <w:b/>
          <w:sz w:val="24"/>
          <w:szCs w:val="20"/>
        </w:rPr>
      </w:pPr>
      <w:bookmarkStart w:id="3" w:name="_Hlk87449003"/>
      <w:r w:rsidRPr="00B47F20">
        <w:rPr>
          <w:rFonts w:ascii="Garamond" w:hAnsi="Garamond" w:cs="Times New Roman"/>
          <w:b/>
          <w:sz w:val="24"/>
          <w:szCs w:val="20"/>
        </w:rPr>
        <w:t xml:space="preserve">EFL Gains for </w:t>
      </w:r>
      <w:r w:rsidR="00D368D6" w:rsidRPr="00B47F20">
        <w:rPr>
          <w:rFonts w:ascii="Garamond" w:hAnsi="Garamond" w:cs="Times New Roman"/>
          <w:b/>
          <w:sz w:val="24"/>
          <w:szCs w:val="20"/>
        </w:rPr>
        <w:t>Pre-&amp;</w:t>
      </w:r>
      <w:r w:rsidRPr="00B47F20">
        <w:rPr>
          <w:rFonts w:ascii="Garamond" w:hAnsi="Garamond" w:cs="Times New Roman"/>
          <w:b/>
          <w:sz w:val="24"/>
          <w:szCs w:val="20"/>
        </w:rPr>
        <w:t xml:space="preserve"> Post</w:t>
      </w:r>
      <w:r w:rsidR="00D368D6" w:rsidRPr="00B47F20">
        <w:rPr>
          <w:rFonts w:ascii="Garamond" w:hAnsi="Garamond" w:cs="Times New Roman"/>
          <w:b/>
          <w:sz w:val="24"/>
          <w:szCs w:val="20"/>
        </w:rPr>
        <w:t>-</w:t>
      </w:r>
      <w:r w:rsidRPr="00B47F20">
        <w:rPr>
          <w:rFonts w:ascii="Garamond" w:hAnsi="Garamond" w:cs="Times New Roman"/>
          <w:b/>
          <w:sz w:val="24"/>
          <w:szCs w:val="20"/>
        </w:rPr>
        <w:t>Tested Individuals</w:t>
      </w:r>
      <w:r w:rsidR="0072721D" w:rsidRPr="00B47F20">
        <w:rPr>
          <w:rFonts w:ascii="Garamond" w:hAnsi="Garamond" w:cs="Times New Roman"/>
          <w:b/>
          <w:sz w:val="24"/>
          <w:szCs w:val="20"/>
        </w:rPr>
        <w:t xml:space="preserve"> (Table 4b):</w:t>
      </w:r>
    </w:p>
    <w:tbl>
      <w:tblPr>
        <w:tblStyle w:val="TableGrid"/>
        <w:tblW w:w="9940" w:type="dxa"/>
        <w:jc w:val="center"/>
        <w:tblLayout w:type="fixed"/>
        <w:tblLook w:val="04A0" w:firstRow="1" w:lastRow="0" w:firstColumn="1" w:lastColumn="0" w:noHBand="0" w:noVBand="1"/>
      </w:tblPr>
      <w:tblGrid>
        <w:gridCol w:w="2065"/>
        <w:gridCol w:w="1103"/>
        <w:gridCol w:w="983"/>
        <w:gridCol w:w="983"/>
        <w:gridCol w:w="1092"/>
        <w:gridCol w:w="983"/>
        <w:gridCol w:w="983"/>
        <w:gridCol w:w="1748"/>
      </w:tblGrid>
      <w:tr w:rsidR="00767BEC" w:rsidRPr="00B47F20" w14:paraId="67FA6018" w14:textId="77777777" w:rsidTr="00ED68C4">
        <w:trPr>
          <w:trHeight w:val="263"/>
          <w:jc w:val="center"/>
        </w:trPr>
        <w:tc>
          <w:tcPr>
            <w:tcW w:w="2065" w:type="dxa"/>
            <w:shd w:val="clear" w:color="auto" w:fill="auto"/>
            <w:noWrap/>
            <w:hideMark/>
          </w:tcPr>
          <w:p w14:paraId="303733A6" w14:textId="77777777" w:rsidR="00767BEC" w:rsidRPr="00B47F20" w:rsidRDefault="00767BEC" w:rsidP="00D10700">
            <w:pPr>
              <w:spacing w:after="120" w:line="259" w:lineRule="auto"/>
              <w:rPr>
                <w:rFonts w:ascii="Garamond" w:hAnsi="Garamond" w:cs="Times New Roman"/>
                <w:b/>
                <w:bCs/>
                <w:sz w:val="24"/>
                <w:szCs w:val="20"/>
              </w:rPr>
            </w:pPr>
            <w:bookmarkStart w:id="4" w:name="_Hlk87449383"/>
            <w:r w:rsidRPr="00B47F20">
              <w:rPr>
                <w:rFonts w:ascii="Garamond" w:hAnsi="Garamond" w:cs="Times New Roman"/>
                <w:b/>
                <w:bCs/>
                <w:sz w:val="24"/>
                <w:szCs w:val="20"/>
              </w:rPr>
              <w:t>Program Year</w:t>
            </w:r>
          </w:p>
        </w:tc>
        <w:tc>
          <w:tcPr>
            <w:tcW w:w="1103" w:type="dxa"/>
            <w:shd w:val="clear" w:color="auto" w:fill="auto"/>
            <w:noWrap/>
            <w:hideMark/>
          </w:tcPr>
          <w:p w14:paraId="50C5312F" w14:textId="77777777" w:rsidR="00767BEC" w:rsidRPr="00B47F20" w:rsidRDefault="00767BEC"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1</w:t>
            </w:r>
          </w:p>
        </w:tc>
        <w:tc>
          <w:tcPr>
            <w:tcW w:w="983" w:type="dxa"/>
            <w:shd w:val="clear" w:color="auto" w:fill="auto"/>
          </w:tcPr>
          <w:p w14:paraId="37FCB5A9" w14:textId="77777777" w:rsidR="00767BEC" w:rsidRPr="00B47F20" w:rsidRDefault="00767BEC" w:rsidP="00D10700">
            <w:pPr>
              <w:spacing w:after="120"/>
              <w:rPr>
                <w:rFonts w:ascii="Garamond" w:hAnsi="Garamond" w:cs="Times New Roman"/>
                <w:b/>
                <w:bCs/>
                <w:sz w:val="24"/>
                <w:szCs w:val="20"/>
              </w:rPr>
            </w:pPr>
            <w:r w:rsidRPr="00B47F20">
              <w:rPr>
                <w:rFonts w:ascii="Garamond" w:hAnsi="Garamond" w:cs="Times New Roman"/>
                <w:b/>
                <w:bCs/>
                <w:sz w:val="24"/>
                <w:szCs w:val="20"/>
              </w:rPr>
              <w:t>ABE Level 2</w:t>
            </w:r>
          </w:p>
        </w:tc>
        <w:tc>
          <w:tcPr>
            <w:tcW w:w="983" w:type="dxa"/>
            <w:shd w:val="clear" w:color="auto" w:fill="auto"/>
            <w:noWrap/>
            <w:hideMark/>
          </w:tcPr>
          <w:p w14:paraId="74D1E936" w14:textId="77777777" w:rsidR="00767BEC" w:rsidRPr="00B47F20" w:rsidRDefault="00767BEC"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3</w:t>
            </w:r>
          </w:p>
        </w:tc>
        <w:tc>
          <w:tcPr>
            <w:tcW w:w="1092" w:type="dxa"/>
            <w:shd w:val="clear" w:color="auto" w:fill="auto"/>
          </w:tcPr>
          <w:p w14:paraId="33ECAE22" w14:textId="77777777" w:rsidR="00767BEC" w:rsidRPr="00B47F20" w:rsidRDefault="00767BEC" w:rsidP="00D10700">
            <w:pPr>
              <w:spacing w:after="120"/>
              <w:rPr>
                <w:rFonts w:ascii="Garamond" w:hAnsi="Garamond" w:cs="Times New Roman"/>
                <w:b/>
                <w:bCs/>
                <w:sz w:val="24"/>
                <w:szCs w:val="20"/>
              </w:rPr>
            </w:pPr>
            <w:r w:rsidRPr="00B47F20">
              <w:rPr>
                <w:rFonts w:ascii="Garamond" w:hAnsi="Garamond" w:cs="Times New Roman"/>
                <w:b/>
                <w:bCs/>
                <w:sz w:val="24"/>
                <w:szCs w:val="20"/>
              </w:rPr>
              <w:t>ABE Level 4</w:t>
            </w:r>
          </w:p>
        </w:tc>
        <w:tc>
          <w:tcPr>
            <w:tcW w:w="983" w:type="dxa"/>
            <w:shd w:val="clear" w:color="auto" w:fill="auto"/>
            <w:noWrap/>
            <w:hideMark/>
          </w:tcPr>
          <w:p w14:paraId="19E12F63" w14:textId="77777777" w:rsidR="00767BEC" w:rsidRPr="00B47F20" w:rsidRDefault="00767BEC"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ABE Level 5</w:t>
            </w:r>
          </w:p>
        </w:tc>
        <w:tc>
          <w:tcPr>
            <w:tcW w:w="983" w:type="dxa"/>
            <w:shd w:val="clear" w:color="auto" w:fill="auto"/>
            <w:noWrap/>
            <w:hideMark/>
          </w:tcPr>
          <w:p w14:paraId="6EE3A50E" w14:textId="77777777" w:rsidR="00767BEC" w:rsidRPr="00B47F20" w:rsidRDefault="00767BEC"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ESL</w:t>
            </w:r>
          </w:p>
        </w:tc>
        <w:tc>
          <w:tcPr>
            <w:tcW w:w="1748" w:type="dxa"/>
            <w:shd w:val="clear" w:color="auto" w:fill="auto"/>
            <w:noWrap/>
            <w:hideMark/>
          </w:tcPr>
          <w:p w14:paraId="2E3FFDDA" w14:textId="77777777" w:rsidR="00767BEC" w:rsidRPr="00B47F20" w:rsidRDefault="00767BEC" w:rsidP="00D10700">
            <w:pPr>
              <w:spacing w:after="120" w:line="259" w:lineRule="auto"/>
              <w:rPr>
                <w:rFonts w:ascii="Garamond" w:hAnsi="Garamond" w:cs="Times New Roman"/>
                <w:b/>
                <w:bCs/>
                <w:sz w:val="24"/>
                <w:szCs w:val="20"/>
              </w:rPr>
            </w:pPr>
            <w:r w:rsidRPr="00B47F20">
              <w:rPr>
                <w:rFonts w:ascii="Garamond" w:hAnsi="Garamond" w:cs="Times New Roman"/>
                <w:b/>
                <w:bCs/>
                <w:sz w:val="24"/>
                <w:szCs w:val="20"/>
              </w:rPr>
              <w:t>% Achieving EFL Gain</w:t>
            </w:r>
          </w:p>
        </w:tc>
      </w:tr>
      <w:tr w:rsidR="00767BEC" w:rsidRPr="00B47F20" w14:paraId="4F809539" w14:textId="77777777" w:rsidTr="00ED68C4">
        <w:trPr>
          <w:trHeight w:val="263"/>
          <w:jc w:val="center"/>
        </w:trPr>
        <w:tc>
          <w:tcPr>
            <w:tcW w:w="2065" w:type="dxa"/>
            <w:shd w:val="clear" w:color="auto" w:fill="auto"/>
            <w:hideMark/>
          </w:tcPr>
          <w:p w14:paraId="0B457900" w14:textId="77777777" w:rsidR="00767BEC" w:rsidRPr="00B47F20" w:rsidRDefault="008B22DC" w:rsidP="00D10700">
            <w:pPr>
              <w:spacing w:after="120" w:line="259" w:lineRule="auto"/>
              <w:rPr>
                <w:rFonts w:ascii="Garamond" w:hAnsi="Garamond" w:cs="Times New Roman"/>
                <w:sz w:val="24"/>
                <w:szCs w:val="20"/>
              </w:rPr>
            </w:pPr>
            <w:r w:rsidRPr="00B47F20">
              <w:rPr>
                <w:rFonts w:ascii="Garamond" w:hAnsi="Garamond" w:cs="Times New Roman"/>
                <w:sz w:val="24"/>
                <w:szCs w:val="20"/>
              </w:rPr>
              <w:t>P</w:t>
            </w:r>
            <w:r w:rsidR="00767BEC" w:rsidRPr="00B47F20">
              <w:rPr>
                <w:rFonts w:ascii="Garamond" w:hAnsi="Garamond" w:cs="Times New Roman"/>
                <w:sz w:val="24"/>
                <w:szCs w:val="20"/>
              </w:rPr>
              <w:t>Y 17/18</w:t>
            </w:r>
          </w:p>
        </w:tc>
        <w:tc>
          <w:tcPr>
            <w:tcW w:w="1103" w:type="dxa"/>
            <w:shd w:val="clear" w:color="auto" w:fill="auto"/>
          </w:tcPr>
          <w:p w14:paraId="033FA748"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81.2%</w:t>
            </w:r>
          </w:p>
        </w:tc>
        <w:tc>
          <w:tcPr>
            <w:tcW w:w="983" w:type="dxa"/>
            <w:shd w:val="clear" w:color="auto" w:fill="auto"/>
          </w:tcPr>
          <w:p w14:paraId="3C012410"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80.2%</w:t>
            </w:r>
          </w:p>
        </w:tc>
        <w:tc>
          <w:tcPr>
            <w:tcW w:w="983" w:type="dxa"/>
            <w:shd w:val="clear" w:color="auto" w:fill="auto"/>
          </w:tcPr>
          <w:p w14:paraId="12D1486B"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76.6%</w:t>
            </w:r>
          </w:p>
        </w:tc>
        <w:tc>
          <w:tcPr>
            <w:tcW w:w="1092" w:type="dxa"/>
            <w:shd w:val="clear" w:color="auto" w:fill="auto"/>
          </w:tcPr>
          <w:p w14:paraId="01D3E9BF"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63.3%</w:t>
            </w:r>
          </w:p>
        </w:tc>
        <w:tc>
          <w:tcPr>
            <w:tcW w:w="983" w:type="dxa"/>
            <w:shd w:val="clear" w:color="auto" w:fill="auto"/>
          </w:tcPr>
          <w:p w14:paraId="39BAF2B1"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65.5%</w:t>
            </w:r>
          </w:p>
        </w:tc>
        <w:tc>
          <w:tcPr>
            <w:tcW w:w="983" w:type="dxa"/>
            <w:shd w:val="clear" w:color="auto" w:fill="auto"/>
          </w:tcPr>
          <w:p w14:paraId="53FD53E2"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60.6%</w:t>
            </w:r>
          </w:p>
        </w:tc>
        <w:tc>
          <w:tcPr>
            <w:tcW w:w="1748" w:type="dxa"/>
            <w:shd w:val="clear" w:color="auto" w:fill="auto"/>
          </w:tcPr>
          <w:p w14:paraId="3887DEF1"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68.4%</w:t>
            </w:r>
          </w:p>
        </w:tc>
      </w:tr>
      <w:tr w:rsidR="00767BEC" w:rsidRPr="00B47F20" w14:paraId="2B175E8E" w14:textId="77777777" w:rsidTr="00ED68C4">
        <w:trPr>
          <w:trHeight w:val="263"/>
          <w:jc w:val="center"/>
        </w:trPr>
        <w:tc>
          <w:tcPr>
            <w:tcW w:w="2065" w:type="dxa"/>
            <w:shd w:val="clear" w:color="auto" w:fill="auto"/>
          </w:tcPr>
          <w:p w14:paraId="12E98519" w14:textId="77777777" w:rsidR="00767BEC" w:rsidRPr="00B47F20" w:rsidRDefault="008B22DC" w:rsidP="00D10700">
            <w:pPr>
              <w:spacing w:after="120" w:line="259" w:lineRule="auto"/>
              <w:rPr>
                <w:rFonts w:ascii="Garamond" w:hAnsi="Garamond" w:cs="Times New Roman"/>
                <w:sz w:val="24"/>
                <w:szCs w:val="20"/>
              </w:rPr>
            </w:pPr>
            <w:r w:rsidRPr="00B47F20">
              <w:rPr>
                <w:rFonts w:ascii="Garamond" w:hAnsi="Garamond" w:cs="Times New Roman"/>
                <w:sz w:val="24"/>
                <w:szCs w:val="20"/>
              </w:rPr>
              <w:t>P</w:t>
            </w:r>
            <w:r w:rsidR="00767BEC" w:rsidRPr="00B47F20">
              <w:rPr>
                <w:rFonts w:ascii="Garamond" w:hAnsi="Garamond" w:cs="Times New Roman"/>
                <w:sz w:val="24"/>
                <w:szCs w:val="20"/>
              </w:rPr>
              <w:t>Y 18/19</w:t>
            </w:r>
          </w:p>
        </w:tc>
        <w:tc>
          <w:tcPr>
            <w:tcW w:w="1103" w:type="dxa"/>
            <w:shd w:val="clear" w:color="auto" w:fill="auto"/>
          </w:tcPr>
          <w:p w14:paraId="23A3DE4F"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73.2%</w:t>
            </w:r>
          </w:p>
        </w:tc>
        <w:tc>
          <w:tcPr>
            <w:tcW w:w="983" w:type="dxa"/>
            <w:shd w:val="clear" w:color="auto" w:fill="auto"/>
          </w:tcPr>
          <w:p w14:paraId="60944873"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67.7%</w:t>
            </w:r>
          </w:p>
        </w:tc>
        <w:tc>
          <w:tcPr>
            <w:tcW w:w="983" w:type="dxa"/>
            <w:shd w:val="clear" w:color="auto" w:fill="auto"/>
          </w:tcPr>
          <w:p w14:paraId="33AC561E"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52.3%</w:t>
            </w:r>
          </w:p>
        </w:tc>
        <w:tc>
          <w:tcPr>
            <w:tcW w:w="1092" w:type="dxa"/>
            <w:shd w:val="clear" w:color="auto" w:fill="auto"/>
          </w:tcPr>
          <w:p w14:paraId="75709DC7"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36.4%</w:t>
            </w:r>
          </w:p>
        </w:tc>
        <w:tc>
          <w:tcPr>
            <w:tcW w:w="983" w:type="dxa"/>
            <w:shd w:val="clear" w:color="auto" w:fill="auto"/>
          </w:tcPr>
          <w:p w14:paraId="7C61D62C"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39%</w:t>
            </w:r>
          </w:p>
        </w:tc>
        <w:tc>
          <w:tcPr>
            <w:tcW w:w="983" w:type="dxa"/>
            <w:shd w:val="clear" w:color="auto" w:fill="auto"/>
          </w:tcPr>
          <w:p w14:paraId="506251FD"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60.9%</w:t>
            </w:r>
          </w:p>
        </w:tc>
        <w:tc>
          <w:tcPr>
            <w:tcW w:w="1748" w:type="dxa"/>
            <w:shd w:val="clear" w:color="auto" w:fill="auto"/>
          </w:tcPr>
          <w:p w14:paraId="66F0486D"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58.3%</w:t>
            </w:r>
          </w:p>
        </w:tc>
      </w:tr>
      <w:tr w:rsidR="00767BEC" w:rsidRPr="00B47F20" w14:paraId="36111644" w14:textId="77777777" w:rsidTr="00ED68C4">
        <w:trPr>
          <w:trHeight w:val="263"/>
          <w:jc w:val="center"/>
        </w:trPr>
        <w:tc>
          <w:tcPr>
            <w:tcW w:w="2065" w:type="dxa"/>
            <w:shd w:val="clear" w:color="auto" w:fill="auto"/>
          </w:tcPr>
          <w:p w14:paraId="3A934913" w14:textId="77777777" w:rsidR="00767BEC" w:rsidRPr="00B47F20" w:rsidRDefault="008B22DC" w:rsidP="00D10700">
            <w:pPr>
              <w:spacing w:after="120" w:line="259" w:lineRule="auto"/>
              <w:rPr>
                <w:rFonts w:ascii="Garamond" w:hAnsi="Garamond" w:cs="Times New Roman"/>
                <w:sz w:val="24"/>
                <w:szCs w:val="20"/>
              </w:rPr>
            </w:pPr>
            <w:r w:rsidRPr="00B47F20">
              <w:rPr>
                <w:rFonts w:ascii="Garamond" w:hAnsi="Garamond" w:cs="Times New Roman"/>
                <w:sz w:val="24"/>
                <w:szCs w:val="20"/>
              </w:rPr>
              <w:lastRenderedPageBreak/>
              <w:t>P</w:t>
            </w:r>
            <w:r w:rsidR="00767BEC" w:rsidRPr="00B47F20">
              <w:rPr>
                <w:rFonts w:ascii="Garamond" w:hAnsi="Garamond" w:cs="Times New Roman"/>
                <w:sz w:val="24"/>
                <w:szCs w:val="20"/>
              </w:rPr>
              <w:t>Y 19/20</w:t>
            </w:r>
          </w:p>
        </w:tc>
        <w:tc>
          <w:tcPr>
            <w:tcW w:w="1103" w:type="dxa"/>
            <w:shd w:val="clear" w:color="auto" w:fill="auto"/>
          </w:tcPr>
          <w:p w14:paraId="3F672F6D"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67.7%</w:t>
            </w:r>
          </w:p>
        </w:tc>
        <w:tc>
          <w:tcPr>
            <w:tcW w:w="983" w:type="dxa"/>
            <w:shd w:val="clear" w:color="auto" w:fill="auto"/>
          </w:tcPr>
          <w:p w14:paraId="7493340C"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61.7%</w:t>
            </w:r>
          </w:p>
        </w:tc>
        <w:tc>
          <w:tcPr>
            <w:tcW w:w="983" w:type="dxa"/>
            <w:shd w:val="clear" w:color="auto" w:fill="auto"/>
          </w:tcPr>
          <w:p w14:paraId="4E40AD30"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50.5%</w:t>
            </w:r>
          </w:p>
        </w:tc>
        <w:tc>
          <w:tcPr>
            <w:tcW w:w="1092" w:type="dxa"/>
            <w:shd w:val="clear" w:color="auto" w:fill="auto"/>
          </w:tcPr>
          <w:p w14:paraId="2240FBF5" w14:textId="77777777" w:rsidR="00767BEC" w:rsidRPr="00B47F20" w:rsidRDefault="00767BEC" w:rsidP="00D10700">
            <w:pPr>
              <w:spacing w:after="120"/>
              <w:rPr>
                <w:rFonts w:ascii="Garamond" w:hAnsi="Garamond" w:cs="Times New Roman"/>
                <w:sz w:val="24"/>
                <w:szCs w:val="20"/>
              </w:rPr>
            </w:pPr>
            <w:r w:rsidRPr="00B47F20">
              <w:rPr>
                <w:rFonts w:ascii="Garamond" w:hAnsi="Garamond" w:cs="Times New Roman"/>
                <w:sz w:val="24"/>
                <w:szCs w:val="20"/>
              </w:rPr>
              <w:t>44.3%</w:t>
            </w:r>
          </w:p>
        </w:tc>
        <w:tc>
          <w:tcPr>
            <w:tcW w:w="983" w:type="dxa"/>
            <w:shd w:val="clear" w:color="auto" w:fill="auto"/>
          </w:tcPr>
          <w:p w14:paraId="320EA099"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35.5%</w:t>
            </w:r>
          </w:p>
        </w:tc>
        <w:tc>
          <w:tcPr>
            <w:tcW w:w="983" w:type="dxa"/>
            <w:shd w:val="clear" w:color="auto" w:fill="auto"/>
          </w:tcPr>
          <w:p w14:paraId="7633E911"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59.7%</w:t>
            </w:r>
          </w:p>
        </w:tc>
        <w:tc>
          <w:tcPr>
            <w:tcW w:w="1748" w:type="dxa"/>
            <w:shd w:val="clear" w:color="auto" w:fill="auto"/>
          </w:tcPr>
          <w:p w14:paraId="40812910" w14:textId="77777777" w:rsidR="00767BEC" w:rsidRPr="00B47F20" w:rsidRDefault="00767BEC" w:rsidP="00D10700">
            <w:pPr>
              <w:spacing w:after="120" w:line="259" w:lineRule="auto"/>
              <w:rPr>
                <w:rFonts w:ascii="Garamond" w:hAnsi="Garamond" w:cs="Times New Roman"/>
                <w:sz w:val="24"/>
                <w:szCs w:val="20"/>
              </w:rPr>
            </w:pPr>
            <w:r w:rsidRPr="00B47F20">
              <w:rPr>
                <w:rFonts w:ascii="Garamond" w:hAnsi="Garamond" w:cs="Times New Roman"/>
                <w:sz w:val="24"/>
                <w:szCs w:val="20"/>
              </w:rPr>
              <w:t>56.4%</w:t>
            </w:r>
          </w:p>
        </w:tc>
      </w:tr>
      <w:tr w:rsidR="00F86179" w:rsidRPr="008E09DC" w14:paraId="1CD406F1" w14:textId="77777777" w:rsidTr="00ED68C4">
        <w:trPr>
          <w:trHeight w:val="263"/>
          <w:jc w:val="center"/>
        </w:trPr>
        <w:tc>
          <w:tcPr>
            <w:tcW w:w="2065" w:type="dxa"/>
            <w:shd w:val="clear" w:color="auto" w:fill="auto"/>
          </w:tcPr>
          <w:p w14:paraId="4890052C" w14:textId="77777777" w:rsidR="00F86179" w:rsidRPr="00B47F20" w:rsidRDefault="00F86179" w:rsidP="00D10700">
            <w:pPr>
              <w:spacing w:after="120"/>
              <w:rPr>
                <w:rFonts w:ascii="Garamond" w:hAnsi="Garamond" w:cs="Times New Roman"/>
                <w:sz w:val="24"/>
                <w:szCs w:val="20"/>
              </w:rPr>
            </w:pPr>
            <w:r w:rsidRPr="00B47F20">
              <w:rPr>
                <w:rFonts w:ascii="Garamond" w:hAnsi="Garamond" w:cs="Times New Roman"/>
                <w:sz w:val="24"/>
                <w:szCs w:val="20"/>
              </w:rPr>
              <w:t>PY 20/21</w:t>
            </w:r>
          </w:p>
        </w:tc>
        <w:tc>
          <w:tcPr>
            <w:tcW w:w="1103" w:type="dxa"/>
            <w:shd w:val="clear" w:color="auto" w:fill="auto"/>
          </w:tcPr>
          <w:p w14:paraId="582333FD"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56.6%</w:t>
            </w:r>
          </w:p>
        </w:tc>
        <w:tc>
          <w:tcPr>
            <w:tcW w:w="983" w:type="dxa"/>
            <w:shd w:val="clear" w:color="auto" w:fill="auto"/>
          </w:tcPr>
          <w:p w14:paraId="598E43EE"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59%</w:t>
            </w:r>
          </w:p>
        </w:tc>
        <w:tc>
          <w:tcPr>
            <w:tcW w:w="983" w:type="dxa"/>
            <w:shd w:val="clear" w:color="auto" w:fill="auto"/>
          </w:tcPr>
          <w:p w14:paraId="41D0E531"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51.3%</w:t>
            </w:r>
          </w:p>
        </w:tc>
        <w:tc>
          <w:tcPr>
            <w:tcW w:w="1092" w:type="dxa"/>
            <w:shd w:val="clear" w:color="auto" w:fill="auto"/>
          </w:tcPr>
          <w:p w14:paraId="05F55994"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41%</w:t>
            </w:r>
          </w:p>
        </w:tc>
        <w:tc>
          <w:tcPr>
            <w:tcW w:w="983" w:type="dxa"/>
            <w:shd w:val="clear" w:color="auto" w:fill="auto"/>
          </w:tcPr>
          <w:p w14:paraId="307A2EE6"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35.1%</w:t>
            </w:r>
          </w:p>
        </w:tc>
        <w:tc>
          <w:tcPr>
            <w:tcW w:w="983" w:type="dxa"/>
            <w:shd w:val="clear" w:color="auto" w:fill="auto"/>
          </w:tcPr>
          <w:p w14:paraId="5A6606DE"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67.1%</w:t>
            </w:r>
          </w:p>
        </w:tc>
        <w:tc>
          <w:tcPr>
            <w:tcW w:w="1748" w:type="dxa"/>
            <w:shd w:val="clear" w:color="auto" w:fill="auto"/>
          </w:tcPr>
          <w:p w14:paraId="17226045" w14:textId="77777777" w:rsidR="00F86179" w:rsidRPr="00B47F20" w:rsidRDefault="00B47F20" w:rsidP="00D10700">
            <w:pPr>
              <w:spacing w:after="120"/>
              <w:rPr>
                <w:rFonts w:ascii="Garamond" w:hAnsi="Garamond" w:cs="Times New Roman"/>
                <w:sz w:val="24"/>
                <w:szCs w:val="20"/>
              </w:rPr>
            </w:pPr>
            <w:r w:rsidRPr="00B47F20">
              <w:rPr>
                <w:rFonts w:ascii="Garamond" w:hAnsi="Garamond" w:cs="Times New Roman"/>
                <w:sz w:val="24"/>
                <w:szCs w:val="20"/>
              </w:rPr>
              <w:t>55.6%</w:t>
            </w:r>
          </w:p>
        </w:tc>
      </w:tr>
    </w:tbl>
    <w:bookmarkEnd w:id="3"/>
    <w:bookmarkEnd w:id="4"/>
    <w:p w14:paraId="0D1B1728" w14:textId="14C05274" w:rsidR="00B3020F" w:rsidRDefault="00240833" w:rsidP="00DD6327">
      <w:pPr>
        <w:spacing w:after="120"/>
        <w:rPr>
          <w:rFonts w:ascii="Garamond" w:hAnsi="Garamond" w:cs="Times New Roman"/>
          <w:b/>
          <w:sz w:val="24"/>
          <w:szCs w:val="20"/>
        </w:rPr>
      </w:pPr>
      <w:r w:rsidRPr="00B47F20">
        <w:rPr>
          <w:rFonts w:ascii="Garamond" w:hAnsi="Garamond" w:cs="Times New Roman"/>
          <w:b/>
          <w:sz w:val="24"/>
          <w:szCs w:val="20"/>
        </w:rPr>
        <w:t xml:space="preserve">Discuss how </w:t>
      </w:r>
      <w:r w:rsidR="002B7E63" w:rsidRPr="00B47F20">
        <w:rPr>
          <w:rFonts w:ascii="Garamond" w:hAnsi="Garamond" w:cs="Times New Roman"/>
          <w:b/>
          <w:sz w:val="24"/>
          <w:szCs w:val="20"/>
        </w:rPr>
        <w:t>core program performance</w:t>
      </w:r>
      <w:r w:rsidRPr="00B47F20">
        <w:rPr>
          <w:rFonts w:ascii="Garamond" w:hAnsi="Garamond" w:cs="Times New Roman"/>
          <w:b/>
          <w:sz w:val="24"/>
          <w:szCs w:val="20"/>
        </w:rPr>
        <w:t xml:space="preserve"> assessment was used to improve quality and effectiveness of the funded eligible providers and any plans to further increase performance in future reporting years.</w:t>
      </w:r>
      <w:r w:rsidR="00EB1CD0">
        <w:rPr>
          <w:rFonts w:ascii="Garamond" w:hAnsi="Garamond" w:cs="Times New Roman"/>
          <w:b/>
          <w:sz w:val="24"/>
          <w:szCs w:val="20"/>
        </w:rPr>
        <w:t xml:space="preserve"> </w:t>
      </w:r>
    </w:p>
    <w:p w14:paraId="5E8DD640" w14:textId="77777777" w:rsidR="00C55A93" w:rsidRDefault="00ED68C4" w:rsidP="00DD6327">
      <w:pPr>
        <w:spacing w:after="120"/>
        <w:rPr>
          <w:rFonts w:ascii="Garamond" w:hAnsi="Garamond" w:cs="Times New Roman"/>
          <w:sz w:val="24"/>
          <w:szCs w:val="20"/>
        </w:rPr>
      </w:pPr>
      <w:r>
        <w:rPr>
          <w:rFonts w:ascii="Garamond" w:hAnsi="Garamond" w:cs="Times New Roman"/>
          <w:sz w:val="24"/>
          <w:szCs w:val="20"/>
        </w:rPr>
        <w:t>PY 20/21 included many changes for NMHED-AE including the retirement of our long-time state director and the on-boarding of our new state director.</w:t>
      </w:r>
      <w:r w:rsidR="00EB1CD0">
        <w:rPr>
          <w:rFonts w:ascii="Garamond" w:hAnsi="Garamond" w:cs="Times New Roman"/>
          <w:sz w:val="24"/>
          <w:szCs w:val="20"/>
        </w:rPr>
        <w:t xml:space="preserve"> </w:t>
      </w:r>
      <w:r>
        <w:rPr>
          <w:rFonts w:ascii="Garamond" w:hAnsi="Garamond" w:cs="Times New Roman"/>
          <w:sz w:val="24"/>
          <w:szCs w:val="20"/>
        </w:rPr>
        <w:t>Much time was spent with the new director to review and revise our monitoring processes and procedures to work collaboratively with the local programs to increase performance and improve the delivery of services to students.</w:t>
      </w:r>
      <w:r w:rsidR="00EB1CD0">
        <w:rPr>
          <w:rFonts w:ascii="Garamond" w:hAnsi="Garamond" w:cs="Times New Roman"/>
          <w:sz w:val="24"/>
          <w:szCs w:val="20"/>
        </w:rPr>
        <w:t xml:space="preserve"> </w:t>
      </w:r>
      <w:r>
        <w:rPr>
          <w:rFonts w:ascii="Garamond" w:hAnsi="Garamond" w:cs="Times New Roman"/>
          <w:sz w:val="24"/>
          <w:szCs w:val="20"/>
        </w:rPr>
        <w:t xml:space="preserve">This overhaul included a new risk assessment tool, revised monitoring guidelines, </w:t>
      </w:r>
      <w:r w:rsidR="00350530">
        <w:rPr>
          <w:rFonts w:ascii="Garamond" w:hAnsi="Garamond" w:cs="Times New Roman"/>
          <w:sz w:val="24"/>
          <w:szCs w:val="20"/>
        </w:rPr>
        <w:t xml:space="preserve">and </w:t>
      </w:r>
      <w:r>
        <w:rPr>
          <w:rFonts w:ascii="Garamond" w:hAnsi="Garamond" w:cs="Times New Roman"/>
          <w:sz w:val="24"/>
          <w:szCs w:val="20"/>
        </w:rPr>
        <w:t>revamped monitoring procedures that recognize the reality of COVID-19 and the possibility that in-person site visit may not be available at all times</w:t>
      </w:r>
      <w:r w:rsidR="00350530">
        <w:rPr>
          <w:rFonts w:ascii="Garamond" w:hAnsi="Garamond" w:cs="Times New Roman"/>
          <w:sz w:val="24"/>
          <w:szCs w:val="20"/>
        </w:rPr>
        <w:t>.</w:t>
      </w:r>
      <w:r w:rsidR="00EB1CD0">
        <w:rPr>
          <w:rFonts w:ascii="Garamond" w:hAnsi="Garamond" w:cs="Times New Roman"/>
          <w:sz w:val="24"/>
          <w:szCs w:val="20"/>
        </w:rPr>
        <w:t xml:space="preserve"> </w:t>
      </w:r>
      <w:r>
        <w:rPr>
          <w:rFonts w:ascii="Garamond" w:hAnsi="Garamond" w:cs="Times New Roman"/>
          <w:sz w:val="24"/>
          <w:szCs w:val="20"/>
        </w:rPr>
        <w:t xml:space="preserve">In addition, all local program continued participation in our sponsored Career Pathways Initiative which </w:t>
      </w:r>
      <w:r w:rsidR="00350530">
        <w:rPr>
          <w:rFonts w:ascii="Garamond" w:hAnsi="Garamond" w:cs="Times New Roman"/>
          <w:sz w:val="24"/>
          <w:szCs w:val="20"/>
        </w:rPr>
        <w:t>was discussed previously.</w:t>
      </w:r>
      <w:r w:rsidR="00C55A93">
        <w:rPr>
          <w:rFonts w:ascii="Garamond" w:hAnsi="Garamond" w:cs="Times New Roman"/>
          <w:sz w:val="24"/>
          <w:szCs w:val="20"/>
        </w:rPr>
        <w:t xml:space="preserve"> </w:t>
      </w:r>
    </w:p>
    <w:p w14:paraId="63541792" w14:textId="3EAEE360" w:rsidR="00BC6D73" w:rsidRPr="00B10BFF" w:rsidRDefault="00C55A93" w:rsidP="00DD6327">
      <w:pPr>
        <w:spacing w:after="120"/>
        <w:rPr>
          <w:rFonts w:ascii="Garamond" w:hAnsi="Garamond" w:cs="Times New Roman"/>
          <w:b/>
          <w:sz w:val="24"/>
          <w:szCs w:val="20"/>
          <w:u w:val="single"/>
        </w:rPr>
      </w:pPr>
      <w:r>
        <w:rPr>
          <w:rFonts w:ascii="Garamond" w:hAnsi="Garamond" w:cs="Times New Roman"/>
          <w:sz w:val="24"/>
          <w:szCs w:val="20"/>
        </w:rPr>
        <w:t xml:space="preserve">We have </w:t>
      </w:r>
      <w:r w:rsidR="004A2144">
        <w:rPr>
          <w:rFonts w:ascii="Garamond" w:hAnsi="Garamond" w:cs="Times New Roman"/>
          <w:sz w:val="24"/>
          <w:szCs w:val="20"/>
        </w:rPr>
        <w:t xml:space="preserve">also </w:t>
      </w:r>
      <w:r>
        <w:rPr>
          <w:rFonts w:ascii="Garamond" w:hAnsi="Garamond" w:cs="Times New Roman"/>
          <w:sz w:val="24"/>
          <w:szCs w:val="20"/>
        </w:rPr>
        <w:t xml:space="preserve">developed and put into motion several plans to improve performance in future reporting years. These include, but are not limited to, the following: An additional contract with </w:t>
      </w:r>
      <w:proofErr w:type="spellStart"/>
      <w:r>
        <w:rPr>
          <w:rFonts w:ascii="Garamond" w:hAnsi="Garamond" w:cs="Times New Roman"/>
          <w:sz w:val="24"/>
          <w:szCs w:val="20"/>
        </w:rPr>
        <w:t>LiteracyPro</w:t>
      </w:r>
      <w:proofErr w:type="spellEnd"/>
      <w:r>
        <w:rPr>
          <w:rFonts w:ascii="Garamond" w:hAnsi="Garamond" w:cs="Times New Roman"/>
          <w:sz w:val="24"/>
          <w:szCs w:val="20"/>
        </w:rPr>
        <w:t xml:space="preserve"> to provide individualized analysis and one-on-one technical assistance for each program</w:t>
      </w:r>
      <w:r w:rsidR="004A2144">
        <w:rPr>
          <w:rFonts w:ascii="Garamond" w:hAnsi="Garamond" w:cs="Times New Roman"/>
          <w:sz w:val="24"/>
          <w:szCs w:val="20"/>
        </w:rPr>
        <w:t>, focusing on meeting negotiated targets on key indicators</w:t>
      </w:r>
      <w:r>
        <w:rPr>
          <w:rFonts w:ascii="Garamond" w:hAnsi="Garamond" w:cs="Times New Roman"/>
          <w:sz w:val="24"/>
          <w:szCs w:val="20"/>
        </w:rPr>
        <w:t xml:space="preserve">; the introduction of an online student intake portal designed by LACES; </w:t>
      </w:r>
      <w:r w:rsidR="004A2144">
        <w:rPr>
          <w:rFonts w:ascii="Garamond" w:hAnsi="Garamond" w:cs="Times New Roman"/>
          <w:sz w:val="24"/>
          <w:szCs w:val="20"/>
        </w:rPr>
        <w:t xml:space="preserve">monthly online data tutorials and Q &amp;A sessions from LACES staff; </w:t>
      </w:r>
      <w:r>
        <w:rPr>
          <w:rFonts w:ascii="Garamond" w:hAnsi="Garamond" w:cs="Times New Roman"/>
          <w:sz w:val="24"/>
          <w:szCs w:val="20"/>
        </w:rPr>
        <w:t>regular New Director and New Hire webinars; the development of a PD system with required elements for new hires;</w:t>
      </w:r>
      <w:r w:rsidR="004A2144">
        <w:rPr>
          <w:rFonts w:ascii="Garamond" w:hAnsi="Garamond" w:cs="Times New Roman"/>
          <w:sz w:val="24"/>
          <w:szCs w:val="20"/>
        </w:rPr>
        <w:t xml:space="preserve"> and </w:t>
      </w:r>
      <w:r>
        <w:rPr>
          <w:rFonts w:ascii="Garamond" w:hAnsi="Garamond" w:cs="Times New Roman"/>
          <w:sz w:val="24"/>
          <w:szCs w:val="20"/>
        </w:rPr>
        <w:t>specialized, regular technical assistance meetings for IELCE and Corrections sub-awarde</w:t>
      </w:r>
      <w:r w:rsidR="004A2144">
        <w:rPr>
          <w:rFonts w:ascii="Garamond" w:hAnsi="Garamond" w:cs="Times New Roman"/>
          <w:sz w:val="24"/>
          <w:szCs w:val="20"/>
        </w:rPr>
        <w:t xml:space="preserve">es. We are enthusiastic about our plans for future program improvement. </w:t>
      </w:r>
    </w:p>
    <w:p w14:paraId="2C19252A" w14:textId="77777777" w:rsidR="00092D35" w:rsidRDefault="00240833" w:rsidP="00F07C85">
      <w:pPr>
        <w:spacing w:after="120"/>
        <w:rPr>
          <w:rFonts w:ascii="Garamond" w:hAnsi="Garamond" w:cs="Times New Roman"/>
          <w:b/>
          <w:sz w:val="24"/>
          <w:szCs w:val="20"/>
          <w:u w:val="single"/>
        </w:rPr>
      </w:pPr>
      <w:r w:rsidRPr="004B26DB">
        <w:rPr>
          <w:rFonts w:ascii="Garamond" w:hAnsi="Garamond" w:cs="Times New Roman"/>
          <w:b/>
          <w:sz w:val="24"/>
          <w:szCs w:val="20"/>
          <w:u w:val="single"/>
        </w:rPr>
        <w:t xml:space="preserve">3. </w:t>
      </w:r>
      <w:r w:rsidR="00F07C85" w:rsidRPr="004B26DB">
        <w:rPr>
          <w:rFonts w:ascii="Garamond" w:hAnsi="Garamond" w:cs="Times New Roman"/>
          <w:b/>
          <w:sz w:val="24"/>
          <w:szCs w:val="20"/>
          <w:u w:val="single"/>
        </w:rPr>
        <w:t>Integration with One-stop Partners: 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5BB39007" w14:textId="19FAC28F" w:rsidR="000E36C0" w:rsidRPr="000E36C0" w:rsidRDefault="00E62721" w:rsidP="00F07C85">
      <w:pPr>
        <w:spacing w:after="120"/>
        <w:rPr>
          <w:rFonts w:ascii="Garamond" w:hAnsi="Garamond" w:cs="Times New Roman"/>
          <w:sz w:val="24"/>
          <w:szCs w:val="20"/>
        </w:rPr>
      </w:pPr>
      <w:r>
        <w:rPr>
          <w:rFonts w:ascii="Garamond" w:hAnsi="Garamond" w:cs="Times New Roman"/>
          <w:sz w:val="24"/>
          <w:szCs w:val="20"/>
        </w:rPr>
        <w:t>The state eligible agency responsible for meeting one-stop requirements in New Mexico is the New Mexico Department of Workforce Solutions (DWS).</w:t>
      </w:r>
      <w:r w:rsidR="00EB1CD0">
        <w:rPr>
          <w:rFonts w:ascii="Garamond" w:hAnsi="Garamond" w:cs="Times New Roman"/>
          <w:sz w:val="24"/>
          <w:szCs w:val="20"/>
        </w:rPr>
        <w:t xml:space="preserve"> </w:t>
      </w:r>
      <w:r>
        <w:rPr>
          <w:rFonts w:ascii="Garamond" w:hAnsi="Garamond" w:cs="Times New Roman"/>
          <w:sz w:val="24"/>
          <w:szCs w:val="20"/>
        </w:rPr>
        <w:t>The New Mexico Combined State Plan as well as the four regional Local Area Plans detail the operations of the one-stop centers and the applicable career services.</w:t>
      </w:r>
      <w:r w:rsidR="00EB1CD0">
        <w:rPr>
          <w:rFonts w:ascii="Garamond" w:hAnsi="Garamond" w:cs="Times New Roman"/>
          <w:sz w:val="24"/>
          <w:szCs w:val="20"/>
        </w:rPr>
        <w:t xml:space="preserve"> </w:t>
      </w:r>
      <w:r w:rsidR="00C9293F">
        <w:rPr>
          <w:rFonts w:ascii="Garamond" w:hAnsi="Garamond" w:cs="Times New Roman"/>
          <w:sz w:val="24"/>
          <w:szCs w:val="20"/>
        </w:rPr>
        <w:t>During the 2020-2021 program year, all local programs offered career services and career counseling, including testing services with NRS</w:t>
      </w:r>
      <w:r w:rsidR="00564BA3">
        <w:rPr>
          <w:rFonts w:ascii="Garamond" w:hAnsi="Garamond" w:cs="Times New Roman"/>
          <w:sz w:val="24"/>
          <w:szCs w:val="20"/>
        </w:rPr>
        <w:t>-</w:t>
      </w:r>
      <w:r w:rsidR="00C9293F">
        <w:rPr>
          <w:rFonts w:ascii="Garamond" w:hAnsi="Garamond" w:cs="Times New Roman"/>
          <w:sz w:val="24"/>
          <w:szCs w:val="20"/>
        </w:rPr>
        <w:t>approved assessments.</w:t>
      </w:r>
      <w:r w:rsidR="00EB1CD0">
        <w:rPr>
          <w:rFonts w:ascii="Garamond" w:hAnsi="Garamond" w:cs="Times New Roman"/>
          <w:sz w:val="24"/>
          <w:szCs w:val="20"/>
        </w:rPr>
        <w:t xml:space="preserve"> </w:t>
      </w:r>
      <w:r w:rsidR="00C9293F">
        <w:rPr>
          <w:rFonts w:ascii="Garamond" w:hAnsi="Garamond" w:cs="Times New Roman"/>
          <w:sz w:val="24"/>
          <w:szCs w:val="20"/>
        </w:rPr>
        <w:t>However, the on-going pandemic has taken a toll on cooperative agreements between the local AE programs and</w:t>
      </w:r>
      <w:r w:rsidR="00097DEF">
        <w:rPr>
          <w:rFonts w:ascii="Garamond" w:hAnsi="Garamond" w:cs="Times New Roman"/>
          <w:sz w:val="24"/>
          <w:szCs w:val="20"/>
        </w:rPr>
        <w:t xml:space="preserve"> WIOA partners.</w:t>
      </w:r>
      <w:r w:rsidR="00EB1CD0">
        <w:rPr>
          <w:rFonts w:ascii="Garamond" w:hAnsi="Garamond" w:cs="Times New Roman"/>
          <w:sz w:val="24"/>
          <w:szCs w:val="20"/>
        </w:rPr>
        <w:t xml:space="preserve"> </w:t>
      </w:r>
      <w:r w:rsidR="00097DEF">
        <w:rPr>
          <w:rFonts w:ascii="Garamond" w:hAnsi="Garamond" w:cs="Times New Roman"/>
          <w:sz w:val="24"/>
          <w:szCs w:val="20"/>
        </w:rPr>
        <w:t>Where in-person services once were commonplace, COVID has brought those practices to a halt.</w:t>
      </w:r>
      <w:r w:rsidR="00EB1CD0">
        <w:rPr>
          <w:rFonts w:ascii="Garamond" w:hAnsi="Garamond" w:cs="Times New Roman"/>
          <w:sz w:val="24"/>
          <w:szCs w:val="20"/>
        </w:rPr>
        <w:t xml:space="preserve"> </w:t>
      </w:r>
      <w:r w:rsidR="00097DEF">
        <w:rPr>
          <w:rFonts w:ascii="Garamond" w:hAnsi="Garamond" w:cs="Times New Roman"/>
          <w:sz w:val="24"/>
          <w:szCs w:val="20"/>
        </w:rPr>
        <w:t>Some local programs have continued relationships with their local one-stop providers and have helped facilitate on-line connections for students, others have found the ability to keep the lines of communication open between WIOA Title II (Adult Education) and the other WIOA Titles.</w:t>
      </w:r>
      <w:r w:rsidR="00EB1CD0">
        <w:rPr>
          <w:rFonts w:ascii="Garamond" w:hAnsi="Garamond" w:cs="Times New Roman"/>
          <w:sz w:val="24"/>
          <w:szCs w:val="20"/>
        </w:rPr>
        <w:t xml:space="preserve"> </w:t>
      </w:r>
      <w:r w:rsidR="00097DEF">
        <w:rPr>
          <w:rFonts w:ascii="Garamond" w:hAnsi="Garamond" w:cs="Times New Roman"/>
          <w:sz w:val="24"/>
          <w:szCs w:val="20"/>
        </w:rPr>
        <w:t>MOUs and IFAs are created at the local level between the individual AE programs and the LWDB that oversees the region(s) in which they provide services.</w:t>
      </w:r>
      <w:r w:rsidR="00EB1CD0">
        <w:rPr>
          <w:rFonts w:ascii="Garamond" w:hAnsi="Garamond" w:cs="Times New Roman"/>
          <w:sz w:val="24"/>
          <w:szCs w:val="20"/>
        </w:rPr>
        <w:t xml:space="preserve"> </w:t>
      </w:r>
      <w:r w:rsidR="00097DEF">
        <w:rPr>
          <w:rFonts w:ascii="Garamond" w:hAnsi="Garamond" w:cs="Times New Roman"/>
          <w:sz w:val="24"/>
          <w:szCs w:val="20"/>
        </w:rPr>
        <w:t>Further, several local AE program directors serve on the LWDBs and work on various committees to ensure that Adult Education is represented at these important meetings and has a voice at the regional level.</w:t>
      </w:r>
      <w:r w:rsidR="00EB1CD0">
        <w:rPr>
          <w:rFonts w:ascii="Garamond" w:hAnsi="Garamond" w:cs="Times New Roman"/>
          <w:sz w:val="24"/>
          <w:szCs w:val="20"/>
        </w:rPr>
        <w:t xml:space="preserve"> </w:t>
      </w:r>
    </w:p>
    <w:p w14:paraId="12A9393B" w14:textId="5D6DD783" w:rsidR="0014013B" w:rsidRPr="000D45D7" w:rsidRDefault="00E66F49" w:rsidP="00B10BFF">
      <w:pPr>
        <w:rPr>
          <w:rFonts w:ascii="Garamond" w:hAnsi="Garamond" w:cs="Times New Roman"/>
          <w:b/>
          <w:sz w:val="24"/>
          <w:szCs w:val="20"/>
          <w:u w:val="single"/>
        </w:rPr>
      </w:pPr>
      <w:r w:rsidRPr="000D45D7">
        <w:rPr>
          <w:rFonts w:ascii="Garamond" w:hAnsi="Garamond" w:cs="Times New Roman"/>
          <w:b/>
          <w:sz w:val="24"/>
          <w:szCs w:val="20"/>
          <w:u w:val="single"/>
        </w:rPr>
        <w:lastRenderedPageBreak/>
        <w:t>4 Integrated</w:t>
      </w:r>
      <w:r w:rsidR="0014013B" w:rsidRPr="000D45D7">
        <w:rPr>
          <w:rFonts w:ascii="Garamond" w:hAnsi="Garamond" w:cs="Times New Roman"/>
          <w:b/>
          <w:sz w:val="24"/>
          <w:szCs w:val="20"/>
          <w:u w:val="single"/>
        </w:rPr>
        <w:t xml:space="preserve"> English Literacy and Civics Education (IELCE) Program (AEFLA Section 243): Describe how the state is using funds under Section 243 to support the following activities under the IELCE program:</w:t>
      </w:r>
    </w:p>
    <w:p w14:paraId="01055A5D" w14:textId="4DE9E63C" w:rsidR="00B3020F" w:rsidRPr="00EB5258" w:rsidRDefault="0014013B" w:rsidP="00114E8D">
      <w:pPr>
        <w:spacing w:after="120"/>
        <w:rPr>
          <w:rFonts w:ascii="Garamond" w:hAnsi="Garamond" w:cs="Times New Roman"/>
          <w:b/>
          <w:sz w:val="24"/>
          <w:szCs w:val="20"/>
        </w:rPr>
      </w:pPr>
      <w:r w:rsidRPr="00EB5258">
        <w:rPr>
          <w:rFonts w:ascii="Garamond" w:hAnsi="Garamond" w:cs="Times New Roman"/>
          <w:b/>
          <w:sz w:val="24"/>
          <w:szCs w:val="20"/>
        </w:rPr>
        <w:t>Describe when your State held a competition [the latest competition] for IELCE program funds and the number of grants awarded by your State to support IELCE programs.</w:t>
      </w:r>
      <w:r w:rsidR="00EB1CD0">
        <w:rPr>
          <w:rFonts w:ascii="Garamond" w:hAnsi="Garamond" w:cs="Times New Roman"/>
          <w:b/>
          <w:sz w:val="24"/>
          <w:szCs w:val="20"/>
        </w:rPr>
        <w:t xml:space="preserve"> </w:t>
      </w:r>
    </w:p>
    <w:p w14:paraId="456851AA" w14:textId="7F8952CF" w:rsidR="003171D2" w:rsidRDefault="00EB5258" w:rsidP="00114E8D">
      <w:pPr>
        <w:spacing w:after="120"/>
        <w:rPr>
          <w:rFonts w:ascii="Garamond" w:hAnsi="Garamond" w:cs="Times New Roman"/>
          <w:sz w:val="24"/>
          <w:szCs w:val="20"/>
        </w:rPr>
      </w:pPr>
      <w:r>
        <w:rPr>
          <w:rFonts w:ascii="Garamond" w:hAnsi="Garamond" w:cs="Times New Roman"/>
          <w:sz w:val="24"/>
          <w:szCs w:val="20"/>
        </w:rPr>
        <w:t>New Mexico held a competition for both AEFLA and IELCE in spring 2021.</w:t>
      </w:r>
      <w:r w:rsidR="00EB1CD0">
        <w:rPr>
          <w:rFonts w:ascii="Garamond" w:hAnsi="Garamond" w:cs="Times New Roman"/>
          <w:sz w:val="24"/>
          <w:szCs w:val="20"/>
        </w:rPr>
        <w:t xml:space="preserve"> </w:t>
      </w:r>
      <w:r>
        <w:rPr>
          <w:rFonts w:ascii="Garamond" w:hAnsi="Garamond" w:cs="Times New Roman"/>
          <w:sz w:val="24"/>
          <w:szCs w:val="20"/>
        </w:rPr>
        <w:t>Eight Adult Education programs applied for IELCE funding: six previously funded programs and two new programs.</w:t>
      </w:r>
      <w:r w:rsidR="00EB1CD0">
        <w:rPr>
          <w:rFonts w:ascii="Garamond" w:hAnsi="Garamond" w:cs="Times New Roman"/>
          <w:sz w:val="24"/>
          <w:szCs w:val="20"/>
        </w:rPr>
        <w:t xml:space="preserve"> </w:t>
      </w:r>
      <w:r>
        <w:rPr>
          <w:rFonts w:ascii="Garamond" w:hAnsi="Garamond" w:cs="Times New Roman"/>
          <w:sz w:val="24"/>
          <w:szCs w:val="20"/>
        </w:rPr>
        <w:t>All eight were selected for funding.</w:t>
      </w:r>
      <w:r w:rsidR="00EB1CD0">
        <w:rPr>
          <w:rFonts w:ascii="Garamond" w:hAnsi="Garamond" w:cs="Times New Roman"/>
          <w:sz w:val="24"/>
          <w:szCs w:val="20"/>
        </w:rPr>
        <w:t xml:space="preserve"> </w:t>
      </w:r>
      <w:r>
        <w:rPr>
          <w:rFonts w:ascii="Garamond" w:hAnsi="Garamond" w:cs="Times New Roman"/>
          <w:sz w:val="24"/>
          <w:szCs w:val="20"/>
        </w:rPr>
        <w:t>This funding goes forward into the 2021-2025 grant cycle.</w:t>
      </w:r>
    </w:p>
    <w:p w14:paraId="4E11C338" w14:textId="5655A999" w:rsidR="00EB5258" w:rsidRPr="00EB5258" w:rsidRDefault="00EB5258" w:rsidP="00114E8D">
      <w:pPr>
        <w:spacing w:after="120"/>
        <w:rPr>
          <w:rFonts w:ascii="Garamond" w:hAnsi="Garamond" w:cs="Times New Roman"/>
          <w:sz w:val="24"/>
          <w:szCs w:val="20"/>
        </w:rPr>
      </w:pPr>
      <w:r>
        <w:rPr>
          <w:rFonts w:ascii="Garamond" w:hAnsi="Garamond" w:cs="Times New Roman"/>
          <w:sz w:val="24"/>
          <w:szCs w:val="20"/>
        </w:rPr>
        <w:t>Prior to the spring 2021 grant application process, the prior IELCE competition was held in 2017 and s</w:t>
      </w:r>
      <w:r w:rsidRPr="00EB5258">
        <w:rPr>
          <w:rFonts w:ascii="Garamond" w:hAnsi="Garamond" w:cs="Times New Roman"/>
          <w:sz w:val="24"/>
          <w:szCs w:val="20"/>
        </w:rPr>
        <w:t>even local programs were awarded IELCE funding</w:t>
      </w:r>
      <w:r>
        <w:rPr>
          <w:rFonts w:ascii="Garamond" w:hAnsi="Garamond" w:cs="Times New Roman"/>
          <w:sz w:val="24"/>
          <w:szCs w:val="20"/>
        </w:rPr>
        <w:t>.</w:t>
      </w:r>
      <w:r w:rsidR="00EB1CD0">
        <w:rPr>
          <w:rFonts w:ascii="Garamond" w:hAnsi="Garamond" w:cs="Times New Roman"/>
          <w:sz w:val="24"/>
          <w:szCs w:val="20"/>
        </w:rPr>
        <w:t xml:space="preserve"> </w:t>
      </w:r>
      <w:r>
        <w:rPr>
          <w:rFonts w:ascii="Garamond" w:hAnsi="Garamond" w:cs="Times New Roman"/>
          <w:sz w:val="24"/>
          <w:szCs w:val="20"/>
        </w:rPr>
        <w:t>O</w:t>
      </w:r>
      <w:r w:rsidRPr="00EB5258">
        <w:rPr>
          <w:rFonts w:ascii="Garamond" w:hAnsi="Garamond" w:cs="Times New Roman"/>
          <w:sz w:val="24"/>
          <w:szCs w:val="20"/>
        </w:rPr>
        <w:t xml:space="preserve">ne program later decided that the IELCE funding was not aligned enough </w:t>
      </w:r>
      <w:r>
        <w:rPr>
          <w:rFonts w:ascii="Garamond" w:hAnsi="Garamond" w:cs="Times New Roman"/>
          <w:sz w:val="24"/>
          <w:szCs w:val="20"/>
        </w:rPr>
        <w:t>with its</w:t>
      </w:r>
      <w:r w:rsidRPr="00EB5258">
        <w:rPr>
          <w:rFonts w:ascii="Garamond" w:hAnsi="Garamond" w:cs="Times New Roman"/>
          <w:sz w:val="24"/>
          <w:szCs w:val="20"/>
        </w:rPr>
        <w:t xml:space="preserve"> program goals and student population.</w:t>
      </w:r>
      <w:r w:rsidR="00EB1CD0">
        <w:rPr>
          <w:rFonts w:ascii="Garamond" w:hAnsi="Garamond" w:cs="Times New Roman"/>
          <w:sz w:val="24"/>
          <w:szCs w:val="20"/>
        </w:rPr>
        <w:t xml:space="preserve"> </w:t>
      </w:r>
      <w:r w:rsidRPr="00EB5258">
        <w:rPr>
          <w:rFonts w:ascii="Garamond" w:hAnsi="Garamond" w:cs="Times New Roman"/>
          <w:sz w:val="24"/>
          <w:szCs w:val="20"/>
        </w:rPr>
        <w:t>The program returned the funds and that money was redistributed to the remaining six programs who</w:t>
      </w:r>
      <w:r>
        <w:rPr>
          <w:rFonts w:ascii="Garamond" w:hAnsi="Garamond" w:cs="Times New Roman"/>
          <w:sz w:val="24"/>
          <w:szCs w:val="20"/>
        </w:rPr>
        <w:t xml:space="preserve"> had</w:t>
      </w:r>
      <w:r w:rsidRPr="00EB5258">
        <w:rPr>
          <w:rFonts w:ascii="Garamond" w:hAnsi="Garamond" w:cs="Times New Roman"/>
          <w:sz w:val="24"/>
          <w:szCs w:val="20"/>
        </w:rPr>
        <w:t xml:space="preserve"> applied for and received IELCE funding.</w:t>
      </w:r>
      <w:r w:rsidR="00EB1CD0">
        <w:rPr>
          <w:rFonts w:ascii="Garamond" w:hAnsi="Garamond" w:cs="Times New Roman"/>
          <w:sz w:val="24"/>
          <w:szCs w:val="20"/>
        </w:rPr>
        <w:t xml:space="preserve"> </w:t>
      </w:r>
      <w:r w:rsidRPr="00EB5258">
        <w:rPr>
          <w:rFonts w:ascii="Garamond" w:hAnsi="Garamond" w:cs="Times New Roman"/>
          <w:sz w:val="24"/>
          <w:szCs w:val="20"/>
        </w:rPr>
        <w:t>The six local programs who received IELCE funding</w:t>
      </w:r>
      <w:r w:rsidR="00A8194A">
        <w:rPr>
          <w:rFonts w:ascii="Garamond" w:hAnsi="Garamond" w:cs="Times New Roman"/>
          <w:sz w:val="24"/>
          <w:szCs w:val="20"/>
        </w:rPr>
        <w:t xml:space="preserve"> during the 2020-2021 program year</w:t>
      </w:r>
      <w:r w:rsidRPr="00EB5258">
        <w:rPr>
          <w:rFonts w:ascii="Garamond" w:hAnsi="Garamond" w:cs="Times New Roman"/>
          <w:sz w:val="24"/>
          <w:szCs w:val="20"/>
        </w:rPr>
        <w:t xml:space="preserve"> represent a designated local workforce area cross</w:t>
      </w:r>
      <w:r w:rsidR="00564BA3">
        <w:rPr>
          <w:rFonts w:ascii="Garamond" w:hAnsi="Garamond" w:cs="Times New Roman"/>
          <w:sz w:val="24"/>
          <w:szCs w:val="20"/>
        </w:rPr>
        <w:t xml:space="preserve"> </w:t>
      </w:r>
      <w:r w:rsidRPr="00EB5258">
        <w:rPr>
          <w:rFonts w:ascii="Garamond" w:hAnsi="Garamond" w:cs="Times New Roman"/>
          <w:sz w:val="24"/>
          <w:szCs w:val="20"/>
        </w:rPr>
        <w:t>section, including two from the Northern Region, two from the Central Region, one from the Eastern Region, and one from the Southwestern Region.</w:t>
      </w:r>
      <w:r w:rsidR="00EB1CD0">
        <w:rPr>
          <w:rFonts w:ascii="Garamond" w:hAnsi="Garamond" w:cs="Times New Roman"/>
          <w:sz w:val="24"/>
          <w:szCs w:val="20"/>
        </w:rPr>
        <w:t xml:space="preserve"> </w:t>
      </w:r>
      <w:r w:rsidRPr="00EB5258">
        <w:rPr>
          <w:rFonts w:ascii="Garamond" w:hAnsi="Garamond" w:cs="Times New Roman"/>
          <w:sz w:val="24"/>
          <w:szCs w:val="20"/>
        </w:rPr>
        <w:t>Five of the local programs are connected to higher education institutions and one is a community-based organization.</w:t>
      </w:r>
      <w:r w:rsidR="00EB1CD0">
        <w:rPr>
          <w:rFonts w:ascii="Garamond" w:hAnsi="Garamond" w:cs="Times New Roman"/>
          <w:sz w:val="24"/>
          <w:szCs w:val="20"/>
        </w:rPr>
        <w:t xml:space="preserve"> </w:t>
      </w:r>
    </w:p>
    <w:p w14:paraId="1A7B2632" w14:textId="354F2C14" w:rsidR="00B3020F" w:rsidRPr="007945E8" w:rsidRDefault="0014013B" w:rsidP="00114E8D">
      <w:pPr>
        <w:spacing w:after="120"/>
        <w:rPr>
          <w:rFonts w:ascii="Garamond" w:hAnsi="Garamond" w:cs="Times New Roman"/>
          <w:b/>
          <w:sz w:val="24"/>
          <w:szCs w:val="20"/>
        </w:rPr>
      </w:pPr>
      <w:bookmarkStart w:id="5" w:name="_Hlk58939649"/>
      <w:r w:rsidRPr="007945E8">
        <w:rPr>
          <w:rFonts w:ascii="Garamond" w:hAnsi="Garamond" w:cs="Times New Roman"/>
          <w:b/>
          <w:sz w:val="24"/>
          <w:szCs w:val="20"/>
        </w:rPr>
        <w:t xml:space="preserve">Describe your </w:t>
      </w:r>
      <w:r w:rsidR="00E66F49" w:rsidRPr="007945E8">
        <w:rPr>
          <w:rFonts w:ascii="Garamond" w:hAnsi="Garamond" w:cs="Times New Roman"/>
          <w:b/>
          <w:sz w:val="24"/>
          <w:szCs w:val="20"/>
        </w:rPr>
        <w:t>state</w:t>
      </w:r>
      <w:r w:rsidRPr="007945E8">
        <w:rPr>
          <w:rFonts w:ascii="Garamond" w:hAnsi="Garamond" w:cs="Times New Roman"/>
          <w:b/>
          <w:sz w:val="24"/>
          <w:szCs w:val="20"/>
        </w:rPr>
        <w:t xml:space="preserve"> efforts in meeting the requirement to provide IELCE services in combination with integrated education and training activities</w:t>
      </w:r>
      <w:bookmarkEnd w:id="5"/>
      <w:r w:rsidR="00EB1CD0">
        <w:rPr>
          <w:rFonts w:ascii="Garamond" w:hAnsi="Garamond" w:cs="Times New Roman"/>
          <w:b/>
          <w:sz w:val="24"/>
          <w:szCs w:val="20"/>
        </w:rPr>
        <w:t xml:space="preserve"> </w:t>
      </w:r>
    </w:p>
    <w:p w14:paraId="01750065" w14:textId="5E0CD219" w:rsidR="007945E8" w:rsidRPr="007945E8" w:rsidRDefault="007945E8" w:rsidP="00B8333E">
      <w:pPr>
        <w:spacing w:after="120"/>
        <w:rPr>
          <w:rFonts w:ascii="Garamond" w:hAnsi="Garamond" w:cs="Times New Roman"/>
          <w:sz w:val="24"/>
          <w:szCs w:val="20"/>
        </w:rPr>
      </w:pPr>
      <w:r w:rsidRPr="007945E8">
        <w:rPr>
          <w:rFonts w:ascii="Garamond" w:hAnsi="Garamond" w:cs="Times New Roman"/>
          <w:sz w:val="24"/>
          <w:szCs w:val="20"/>
        </w:rPr>
        <w:t>The six local programs that received IELCE funding for the 2020-2021 program year each work to meet the requirement to provide services with integrated education and training activities in varied ways based on their individual program needs and student populations.</w:t>
      </w:r>
      <w:r w:rsidR="00EB1CD0">
        <w:rPr>
          <w:rFonts w:ascii="Garamond" w:hAnsi="Garamond" w:cs="Times New Roman"/>
          <w:sz w:val="24"/>
          <w:szCs w:val="20"/>
        </w:rPr>
        <w:t xml:space="preserve"> </w:t>
      </w:r>
      <w:r>
        <w:rPr>
          <w:rFonts w:ascii="Garamond" w:hAnsi="Garamond" w:cs="Times New Roman"/>
          <w:sz w:val="24"/>
          <w:szCs w:val="20"/>
        </w:rPr>
        <w:t>For example, one program utilizes a computer-based system to improve college and career readiness to obtain the skills required to succeed in reaching both academic and workplace goals.</w:t>
      </w:r>
      <w:r w:rsidR="00EB1CD0">
        <w:rPr>
          <w:rFonts w:ascii="Garamond" w:hAnsi="Garamond" w:cs="Times New Roman"/>
          <w:sz w:val="24"/>
          <w:szCs w:val="20"/>
        </w:rPr>
        <w:t xml:space="preserve"> </w:t>
      </w:r>
      <w:r>
        <w:rPr>
          <w:rFonts w:ascii="Garamond" w:hAnsi="Garamond" w:cs="Times New Roman"/>
          <w:sz w:val="24"/>
          <w:szCs w:val="20"/>
        </w:rPr>
        <w:t xml:space="preserve">Another program </w:t>
      </w:r>
      <w:r w:rsidR="00220657">
        <w:rPr>
          <w:rFonts w:ascii="Garamond" w:hAnsi="Garamond" w:cs="Times New Roman"/>
          <w:sz w:val="24"/>
          <w:szCs w:val="20"/>
        </w:rPr>
        <w:t>used another specific program</w:t>
      </w:r>
      <w:r>
        <w:rPr>
          <w:rFonts w:ascii="Garamond" w:hAnsi="Garamond" w:cs="Times New Roman"/>
          <w:sz w:val="24"/>
          <w:szCs w:val="20"/>
        </w:rPr>
        <w:t xml:space="preserve"> (Burlington English) which allows them to integrate language acquisition and civics education with level- appropriate workforce preparation activities while completing digital literacy activities.</w:t>
      </w:r>
      <w:r w:rsidR="00EB1CD0">
        <w:rPr>
          <w:rFonts w:ascii="Garamond" w:hAnsi="Garamond" w:cs="Times New Roman"/>
          <w:sz w:val="24"/>
          <w:szCs w:val="20"/>
        </w:rPr>
        <w:t xml:space="preserve"> </w:t>
      </w:r>
      <w:r w:rsidR="00772DFD">
        <w:rPr>
          <w:rFonts w:ascii="Garamond" w:hAnsi="Garamond" w:cs="Times New Roman"/>
          <w:sz w:val="24"/>
          <w:szCs w:val="20"/>
        </w:rPr>
        <w:t>Four</w:t>
      </w:r>
      <w:r>
        <w:rPr>
          <w:rFonts w:ascii="Garamond" w:hAnsi="Garamond" w:cs="Times New Roman"/>
          <w:sz w:val="24"/>
          <w:szCs w:val="20"/>
        </w:rPr>
        <w:t xml:space="preserve"> of the programs, all located at institutions of higher education, specifically mentioned IET and Pre-IET programs on their campuses, including I</w:t>
      </w:r>
      <w:r w:rsidR="00F070A1">
        <w:rPr>
          <w:rFonts w:ascii="Garamond" w:hAnsi="Garamond" w:cs="Times New Roman"/>
          <w:sz w:val="24"/>
          <w:szCs w:val="20"/>
        </w:rPr>
        <w:t>-</w:t>
      </w:r>
      <w:r>
        <w:rPr>
          <w:rFonts w:ascii="Garamond" w:hAnsi="Garamond" w:cs="Times New Roman"/>
          <w:sz w:val="24"/>
          <w:szCs w:val="20"/>
        </w:rPr>
        <w:t>BEST courses that are available to IELCE participants.</w:t>
      </w:r>
      <w:r w:rsidR="00EB1CD0">
        <w:rPr>
          <w:rFonts w:ascii="Garamond" w:hAnsi="Garamond" w:cs="Times New Roman"/>
          <w:sz w:val="24"/>
          <w:szCs w:val="20"/>
        </w:rPr>
        <w:t xml:space="preserve"> </w:t>
      </w:r>
      <w:r>
        <w:rPr>
          <w:rFonts w:ascii="Garamond" w:hAnsi="Garamond" w:cs="Times New Roman"/>
          <w:sz w:val="24"/>
          <w:szCs w:val="20"/>
        </w:rPr>
        <w:t>One program works closely with the IET Education Specialist to make the transition to college more inclusive for IELCE students and create systems to more effectively support this population.</w:t>
      </w:r>
      <w:r w:rsidR="00EB1CD0">
        <w:rPr>
          <w:rFonts w:ascii="Garamond" w:hAnsi="Garamond" w:cs="Times New Roman"/>
          <w:sz w:val="24"/>
          <w:szCs w:val="20"/>
        </w:rPr>
        <w:t xml:space="preserve"> </w:t>
      </w:r>
      <w:r>
        <w:rPr>
          <w:rFonts w:ascii="Garamond" w:hAnsi="Garamond" w:cs="Times New Roman"/>
          <w:sz w:val="24"/>
          <w:szCs w:val="20"/>
        </w:rPr>
        <w:t>Currently, 15% of their IELCE student population are enrolled in IET programs.</w:t>
      </w:r>
      <w:r w:rsidR="00EB1CD0">
        <w:rPr>
          <w:rFonts w:ascii="Garamond" w:hAnsi="Garamond" w:cs="Times New Roman"/>
          <w:sz w:val="24"/>
          <w:szCs w:val="20"/>
        </w:rPr>
        <w:t xml:space="preserve"> </w:t>
      </w:r>
      <w:r w:rsidR="00B8333E">
        <w:rPr>
          <w:rFonts w:ascii="Garamond" w:hAnsi="Garamond" w:cs="Times New Roman"/>
          <w:sz w:val="24"/>
          <w:szCs w:val="20"/>
        </w:rPr>
        <w:t>They are working to increase that number.</w:t>
      </w:r>
      <w:r w:rsidR="00EB1CD0">
        <w:rPr>
          <w:rFonts w:ascii="Garamond" w:hAnsi="Garamond" w:cs="Times New Roman"/>
          <w:sz w:val="24"/>
          <w:szCs w:val="20"/>
        </w:rPr>
        <w:t xml:space="preserve"> </w:t>
      </w:r>
      <w:r w:rsidR="00B8333E">
        <w:rPr>
          <w:rFonts w:ascii="Garamond" w:hAnsi="Garamond" w:cs="Times New Roman"/>
          <w:sz w:val="24"/>
          <w:szCs w:val="20"/>
        </w:rPr>
        <w:t>One of the two larger IELCE providers reports that all IELCE participants have the opportunity to join IET programs offered by the community college.</w:t>
      </w:r>
      <w:r w:rsidR="00EB1CD0">
        <w:rPr>
          <w:rFonts w:ascii="Garamond" w:hAnsi="Garamond" w:cs="Times New Roman"/>
          <w:sz w:val="24"/>
          <w:szCs w:val="20"/>
        </w:rPr>
        <w:t xml:space="preserve"> </w:t>
      </w:r>
      <w:r w:rsidR="00B8333E">
        <w:rPr>
          <w:rFonts w:ascii="Garamond" w:hAnsi="Garamond" w:cs="Times New Roman"/>
          <w:sz w:val="24"/>
          <w:szCs w:val="20"/>
        </w:rPr>
        <w:t>They offered a summer language academy as a jump start program before a training program that prepared students to fully participate in the full IET program offered by the college.</w:t>
      </w:r>
      <w:r w:rsidR="00EB1CD0">
        <w:rPr>
          <w:rFonts w:ascii="Garamond" w:hAnsi="Garamond" w:cs="Times New Roman"/>
          <w:sz w:val="24"/>
          <w:szCs w:val="20"/>
        </w:rPr>
        <w:t xml:space="preserve"> </w:t>
      </w:r>
      <w:r w:rsidR="00B8333E">
        <w:rPr>
          <w:rFonts w:ascii="Garamond" w:hAnsi="Garamond" w:cs="Times New Roman"/>
          <w:sz w:val="24"/>
          <w:szCs w:val="20"/>
        </w:rPr>
        <w:t>By developing these “jump-start” programs, this local IELCE provider is setting its students up for success.</w:t>
      </w:r>
      <w:r w:rsidR="00EB1CD0">
        <w:rPr>
          <w:rFonts w:ascii="Garamond" w:hAnsi="Garamond" w:cs="Times New Roman"/>
          <w:sz w:val="24"/>
          <w:szCs w:val="20"/>
        </w:rPr>
        <w:t xml:space="preserve"> </w:t>
      </w:r>
      <w:r w:rsidR="00B8333E">
        <w:rPr>
          <w:rFonts w:ascii="Garamond" w:hAnsi="Garamond" w:cs="Times New Roman"/>
          <w:sz w:val="24"/>
          <w:szCs w:val="20"/>
        </w:rPr>
        <w:t xml:space="preserve">The other large IELCE provider offers </w:t>
      </w:r>
      <w:r w:rsidR="00B8333E" w:rsidRPr="00B8333E">
        <w:rPr>
          <w:rFonts w:ascii="Garamond" w:hAnsi="Garamond" w:cs="Times New Roman"/>
          <w:sz w:val="24"/>
          <w:szCs w:val="20"/>
        </w:rPr>
        <w:t>English language</w:t>
      </w:r>
      <w:r w:rsidR="00B8333E">
        <w:rPr>
          <w:rFonts w:ascii="Garamond" w:hAnsi="Garamond" w:cs="Times New Roman"/>
          <w:sz w:val="24"/>
          <w:szCs w:val="20"/>
        </w:rPr>
        <w:t xml:space="preserve"> </w:t>
      </w:r>
      <w:r w:rsidR="00B8333E" w:rsidRPr="00B8333E">
        <w:rPr>
          <w:rFonts w:ascii="Garamond" w:hAnsi="Garamond" w:cs="Times New Roman"/>
          <w:sz w:val="24"/>
          <w:szCs w:val="20"/>
        </w:rPr>
        <w:t>training, academic skills study, workforce preparation activities, soft skills practice, and digital</w:t>
      </w:r>
      <w:r w:rsidR="00B8333E">
        <w:rPr>
          <w:rFonts w:ascii="Garamond" w:hAnsi="Garamond" w:cs="Times New Roman"/>
          <w:sz w:val="24"/>
          <w:szCs w:val="20"/>
        </w:rPr>
        <w:t xml:space="preserve"> </w:t>
      </w:r>
      <w:r w:rsidR="00B8333E" w:rsidRPr="00B8333E">
        <w:rPr>
          <w:rFonts w:ascii="Garamond" w:hAnsi="Garamond" w:cs="Times New Roman"/>
          <w:sz w:val="24"/>
          <w:szCs w:val="20"/>
        </w:rPr>
        <w:t>literacy education</w:t>
      </w:r>
      <w:r w:rsidR="00220657">
        <w:rPr>
          <w:rFonts w:ascii="Garamond" w:hAnsi="Garamond" w:cs="Times New Roman"/>
          <w:sz w:val="24"/>
          <w:szCs w:val="20"/>
        </w:rPr>
        <w:t xml:space="preserve"> to immigrants and refugees</w:t>
      </w:r>
      <w:r w:rsidR="00B8333E" w:rsidRPr="00B8333E">
        <w:rPr>
          <w:rFonts w:ascii="Garamond" w:hAnsi="Garamond" w:cs="Times New Roman"/>
          <w:sz w:val="24"/>
          <w:szCs w:val="20"/>
        </w:rPr>
        <w:t xml:space="preserve">. All </w:t>
      </w:r>
      <w:r w:rsidR="00B8333E">
        <w:rPr>
          <w:rFonts w:ascii="Garamond" w:hAnsi="Garamond" w:cs="Times New Roman"/>
          <w:sz w:val="24"/>
          <w:szCs w:val="20"/>
        </w:rPr>
        <w:t>IELCE</w:t>
      </w:r>
      <w:r w:rsidR="00B8333E" w:rsidRPr="00B8333E">
        <w:rPr>
          <w:rFonts w:ascii="Garamond" w:hAnsi="Garamond" w:cs="Times New Roman"/>
          <w:sz w:val="24"/>
          <w:szCs w:val="20"/>
        </w:rPr>
        <w:t xml:space="preserve"> students are offered the</w:t>
      </w:r>
      <w:r w:rsidR="00B8333E">
        <w:rPr>
          <w:rFonts w:ascii="Garamond" w:hAnsi="Garamond" w:cs="Times New Roman"/>
          <w:sz w:val="24"/>
          <w:szCs w:val="20"/>
        </w:rPr>
        <w:t xml:space="preserve"> </w:t>
      </w:r>
      <w:r w:rsidR="00B8333E" w:rsidRPr="00B8333E">
        <w:rPr>
          <w:rFonts w:ascii="Garamond" w:hAnsi="Garamond" w:cs="Times New Roman"/>
          <w:sz w:val="24"/>
          <w:szCs w:val="20"/>
        </w:rPr>
        <w:t>opportunity to matriculate into the IBEST Program when they achieve a Level 5 or 6 proficiency to</w:t>
      </w:r>
      <w:r w:rsidR="00B8333E">
        <w:rPr>
          <w:rFonts w:ascii="Garamond" w:hAnsi="Garamond" w:cs="Times New Roman"/>
          <w:sz w:val="24"/>
          <w:szCs w:val="20"/>
        </w:rPr>
        <w:t xml:space="preserve"> </w:t>
      </w:r>
      <w:r w:rsidR="00B8333E" w:rsidRPr="00B8333E">
        <w:rPr>
          <w:rFonts w:ascii="Garamond" w:hAnsi="Garamond" w:cs="Times New Roman"/>
          <w:sz w:val="24"/>
          <w:szCs w:val="20"/>
        </w:rPr>
        <w:t>ensure best possible chances for success in those certificate programs.</w:t>
      </w:r>
    </w:p>
    <w:p w14:paraId="009CC6F6" w14:textId="37096F27" w:rsidR="00B3020F" w:rsidRDefault="00211525" w:rsidP="00114E8D">
      <w:pPr>
        <w:spacing w:after="120"/>
        <w:rPr>
          <w:rFonts w:ascii="Garamond" w:hAnsi="Garamond" w:cs="Times New Roman"/>
          <w:b/>
          <w:sz w:val="24"/>
          <w:szCs w:val="20"/>
        </w:rPr>
      </w:pPr>
      <w:bookmarkStart w:id="6" w:name="_Hlk58939706"/>
      <w:r w:rsidRPr="00E973CF">
        <w:rPr>
          <w:rFonts w:ascii="Garamond" w:hAnsi="Garamond" w:cs="Times New Roman"/>
          <w:b/>
          <w:sz w:val="24"/>
          <w:szCs w:val="20"/>
        </w:rPr>
        <w:lastRenderedPageBreak/>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r w:rsidR="00E76B80" w:rsidRPr="00E973CF">
        <w:rPr>
          <w:rFonts w:ascii="Garamond" w:hAnsi="Garamond" w:cs="Times New Roman"/>
          <w:b/>
          <w:sz w:val="24"/>
          <w:szCs w:val="20"/>
        </w:rPr>
        <w:t>.</w:t>
      </w:r>
      <w:bookmarkEnd w:id="6"/>
      <w:r w:rsidR="00EB1CD0">
        <w:rPr>
          <w:rFonts w:ascii="Garamond" w:hAnsi="Garamond" w:cs="Times New Roman"/>
          <w:b/>
          <w:sz w:val="24"/>
          <w:szCs w:val="20"/>
        </w:rPr>
        <w:t xml:space="preserve"> </w:t>
      </w:r>
    </w:p>
    <w:p w14:paraId="4A558754" w14:textId="676324F6" w:rsidR="00E973CF" w:rsidRDefault="00E973CF" w:rsidP="00114E8D">
      <w:pPr>
        <w:spacing w:after="120"/>
        <w:rPr>
          <w:rFonts w:ascii="Garamond" w:hAnsi="Garamond" w:cs="Times New Roman"/>
          <w:sz w:val="24"/>
          <w:szCs w:val="20"/>
        </w:rPr>
      </w:pPr>
      <w:r>
        <w:rPr>
          <w:rFonts w:ascii="Garamond" w:hAnsi="Garamond" w:cs="Times New Roman"/>
          <w:sz w:val="24"/>
          <w:szCs w:val="20"/>
        </w:rPr>
        <w:t xml:space="preserve">All IELCE local providers </w:t>
      </w:r>
      <w:r w:rsidR="00220657">
        <w:rPr>
          <w:rFonts w:ascii="Garamond" w:hAnsi="Garamond" w:cs="Times New Roman"/>
          <w:sz w:val="24"/>
          <w:szCs w:val="20"/>
        </w:rPr>
        <w:t>have made efforts toward partnering</w:t>
      </w:r>
      <w:r>
        <w:rPr>
          <w:rFonts w:ascii="Garamond" w:hAnsi="Garamond" w:cs="Times New Roman"/>
          <w:sz w:val="24"/>
          <w:szCs w:val="20"/>
        </w:rPr>
        <w:t xml:space="preserve"> with other entities in order to meet the goal of placing students in unsubsidized employment in in-demand industries and occupations.</w:t>
      </w:r>
      <w:r w:rsidR="00EB1CD0">
        <w:rPr>
          <w:rFonts w:ascii="Garamond" w:hAnsi="Garamond" w:cs="Times New Roman"/>
          <w:sz w:val="24"/>
          <w:szCs w:val="20"/>
        </w:rPr>
        <w:t xml:space="preserve"> </w:t>
      </w:r>
      <w:r>
        <w:rPr>
          <w:rFonts w:ascii="Garamond" w:hAnsi="Garamond" w:cs="Times New Roman"/>
          <w:sz w:val="24"/>
          <w:szCs w:val="20"/>
        </w:rPr>
        <w:t>One of the larger IELCE programs points out that they really target preparing students to enter unsubsidized employment, but rely on WIOA Core Partners, particularly the Department of Workforce Solutions (DWS) to facilitate placement in employment.</w:t>
      </w:r>
      <w:r w:rsidR="00EB1CD0">
        <w:rPr>
          <w:rFonts w:ascii="Garamond" w:hAnsi="Garamond" w:cs="Times New Roman"/>
          <w:sz w:val="24"/>
          <w:szCs w:val="20"/>
        </w:rPr>
        <w:t xml:space="preserve"> </w:t>
      </w:r>
      <w:r>
        <w:rPr>
          <w:rFonts w:ascii="Garamond" w:hAnsi="Garamond" w:cs="Times New Roman"/>
          <w:sz w:val="24"/>
          <w:szCs w:val="20"/>
        </w:rPr>
        <w:t>This relationship between the local IELCE providers and DWS was emphasized by many of the programs.</w:t>
      </w:r>
      <w:r w:rsidR="00EB1CD0">
        <w:rPr>
          <w:rFonts w:ascii="Garamond" w:hAnsi="Garamond" w:cs="Times New Roman"/>
          <w:sz w:val="24"/>
          <w:szCs w:val="20"/>
        </w:rPr>
        <w:t xml:space="preserve"> </w:t>
      </w:r>
      <w:r w:rsidR="00220657">
        <w:rPr>
          <w:rFonts w:ascii="Garamond" w:hAnsi="Garamond" w:cs="Times New Roman"/>
          <w:sz w:val="24"/>
          <w:szCs w:val="20"/>
        </w:rPr>
        <w:t>One</w:t>
      </w:r>
      <w:r>
        <w:rPr>
          <w:rFonts w:ascii="Garamond" w:hAnsi="Garamond" w:cs="Times New Roman"/>
          <w:sz w:val="24"/>
          <w:szCs w:val="20"/>
        </w:rPr>
        <w:t xml:space="preserve"> IELCE provider that is a </w:t>
      </w:r>
      <w:r w:rsidR="00220657">
        <w:rPr>
          <w:rFonts w:ascii="Garamond" w:hAnsi="Garamond" w:cs="Times New Roman"/>
          <w:sz w:val="24"/>
          <w:szCs w:val="20"/>
        </w:rPr>
        <w:t xml:space="preserve">community-based </w:t>
      </w:r>
      <w:proofErr w:type="spellStart"/>
      <w:r w:rsidR="00220657">
        <w:rPr>
          <w:rFonts w:ascii="Garamond" w:hAnsi="Garamond" w:cs="Times New Roman"/>
          <w:sz w:val="24"/>
          <w:szCs w:val="20"/>
        </w:rPr>
        <w:t>organiation</w:t>
      </w:r>
      <w:proofErr w:type="spellEnd"/>
      <w:r>
        <w:rPr>
          <w:rFonts w:ascii="Garamond" w:hAnsi="Garamond" w:cs="Times New Roman"/>
          <w:sz w:val="24"/>
          <w:szCs w:val="20"/>
        </w:rPr>
        <w:t xml:space="preserve"> partnered with the City of Albuquerque Economic Development Department to offer a specialized accelerated Childcare </w:t>
      </w:r>
      <w:r w:rsidRPr="00E973CF">
        <w:rPr>
          <w:rFonts w:ascii="Garamond" w:hAnsi="Garamond" w:cs="Times New Roman"/>
          <w:sz w:val="24"/>
          <w:szCs w:val="20"/>
        </w:rPr>
        <w:t xml:space="preserve">English for Special Purposes class. This 8-week course aimed at English language learners focused on the vocabulary, conversations, and writing skills needed to be a successful </w:t>
      </w:r>
      <w:r w:rsidR="00E66F49" w:rsidRPr="00E973CF">
        <w:rPr>
          <w:rFonts w:ascii="Garamond" w:hAnsi="Garamond" w:cs="Times New Roman"/>
          <w:sz w:val="24"/>
          <w:szCs w:val="20"/>
        </w:rPr>
        <w:t>childcare</w:t>
      </w:r>
      <w:r w:rsidRPr="00E973CF">
        <w:rPr>
          <w:rFonts w:ascii="Garamond" w:hAnsi="Garamond" w:cs="Times New Roman"/>
          <w:sz w:val="24"/>
          <w:szCs w:val="20"/>
        </w:rPr>
        <w:t xml:space="preserve"> provider. </w:t>
      </w:r>
      <w:r>
        <w:rPr>
          <w:rFonts w:ascii="Garamond" w:hAnsi="Garamond" w:cs="Times New Roman"/>
          <w:sz w:val="24"/>
          <w:szCs w:val="20"/>
        </w:rPr>
        <w:t xml:space="preserve">This collaboration met an acute need in the community for </w:t>
      </w:r>
      <w:r w:rsidR="00FA1A64">
        <w:rPr>
          <w:rFonts w:ascii="Garamond" w:hAnsi="Garamond" w:cs="Times New Roman"/>
          <w:sz w:val="24"/>
          <w:szCs w:val="20"/>
        </w:rPr>
        <w:t>early childhood care providers.</w:t>
      </w:r>
      <w:r w:rsidR="00EB1CD0">
        <w:rPr>
          <w:rFonts w:ascii="Garamond" w:hAnsi="Garamond" w:cs="Times New Roman"/>
          <w:sz w:val="24"/>
          <w:szCs w:val="20"/>
        </w:rPr>
        <w:t xml:space="preserve"> </w:t>
      </w:r>
      <w:r w:rsidR="00FA1A64">
        <w:rPr>
          <w:rFonts w:ascii="Garamond" w:hAnsi="Garamond" w:cs="Times New Roman"/>
          <w:sz w:val="24"/>
          <w:szCs w:val="20"/>
        </w:rPr>
        <w:t xml:space="preserve">Another </w:t>
      </w:r>
      <w:r w:rsidR="00B24703">
        <w:rPr>
          <w:rFonts w:ascii="Garamond" w:hAnsi="Garamond" w:cs="Times New Roman"/>
          <w:sz w:val="24"/>
          <w:szCs w:val="20"/>
        </w:rPr>
        <w:t>college-based</w:t>
      </w:r>
      <w:r w:rsidR="00FA1A64">
        <w:rPr>
          <w:rFonts w:ascii="Garamond" w:hAnsi="Garamond" w:cs="Times New Roman"/>
          <w:sz w:val="24"/>
          <w:szCs w:val="20"/>
        </w:rPr>
        <w:t xml:space="preserve"> program saw the global pandemic interrupt their progress in this area and has as their goals to </w:t>
      </w:r>
      <w:r w:rsidR="00FA1A64" w:rsidRPr="00FA1A64">
        <w:rPr>
          <w:rFonts w:ascii="Garamond" w:hAnsi="Garamond" w:cs="Times New Roman"/>
          <w:sz w:val="24"/>
          <w:szCs w:val="20"/>
        </w:rPr>
        <w:t xml:space="preserve">work with the Education Specialist – </w:t>
      </w:r>
      <w:r w:rsidR="00FA1A64">
        <w:rPr>
          <w:rFonts w:ascii="Garamond" w:hAnsi="Garamond" w:cs="Times New Roman"/>
          <w:sz w:val="24"/>
          <w:szCs w:val="20"/>
        </w:rPr>
        <w:t>IET</w:t>
      </w:r>
      <w:r w:rsidR="00FA1A64" w:rsidRPr="00FA1A64">
        <w:rPr>
          <w:rFonts w:ascii="Garamond" w:hAnsi="Garamond" w:cs="Times New Roman"/>
          <w:sz w:val="24"/>
          <w:szCs w:val="20"/>
        </w:rPr>
        <w:t xml:space="preserve"> under the Professional Skills and Community Engagement Department to create internship opportunities that will happen concurrently with instruction</w:t>
      </w:r>
      <w:r w:rsidR="00FA1A64">
        <w:rPr>
          <w:rFonts w:ascii="Garamond" w:hAnsi="Garamond" w:cs="Times New Roman"/>
          <w:sz w:val="24"/>
          <w:szCs w:val="20"/>
        </w:rPr>
        <w:t xml:space="preserve"> and </w:t>
      </w:r>
      <w:r w:rsidR="00FA1A64" w:rsidRPr="00FA1A64">
        <w:rPr>
          <w:rFonts w:ascii="Garamond" w:hAnsi="Garamond" w:cs="Times New Roman"/>
          <w:sz w:val="24"/>
          <w:szCs w:val="20"/>
        </w:rPr>
        <w:t>revitalize the community and civic engagement activities</w:t>
      </w:r>
      <w:r w:rsidR="00FA1A64">
        <w:rPr>
          <w:rFonts w:ascii="Garamond" w:hAnsi="Garamond" w:cs="Times New Roman"/>
          <w:sz w:val="24"/>
          <w:szCs w:val="20"/>
        </w:rPr>
        <w:t xml:space="preserve"> that were in place before the pandemic.</w:t>
      </w:r>
      <w:r w:rsidR="00EB1CD0">
        <w:rPr>
          <w:rFonts w:ascii="Garamond" w:hAnsi="Garamond" w:cs="Times New Roman"/>
          <w:sz w:val="24"/>
          <w:szCs w:val="20"/>
        </w:rPr>
        <w:t xml:space="preserve"> </w:t>
      </w:r>
    </w:p>
    <w:p w14:paraId="3B24332A" w14:textId="77777777" w:rsidR="00220657" w:rsidRDefault="00220657" w:rsidP="00220657">
      <w:pPr>
        <w:spacing w:after="120"/>
        <w:rPr>
          <w:rFonts w:ascii="Garamond" w:hAnsi="Garamond" w:cs="Times New Roman"/>
          <w:sz w:val="24"/>
          <w:szCs w:val="20"/>
        </w:rPr>
      </w:pPr>
      <w:r>
        <w:rPr>
          <w:rFonts w:ascii="Garamond" w:hAnsi="Garamond" w:cs="Times New Roman"/>
          <w:sz w:val="24"/>
          <w:szCs w:val="20"/>
        </w:rPr>
        <w:t xml:space="preserve">Our IELCE local providers have flagged this as an area that would be helpful for professional development and support; this TA is planned for PY 2021-2022. </w:t>
      </w:r>
    </w:p>
    <w:p w14:paraId="4E358E6C" w14:textId="77B860B9" w:rsidR="00B3020F" w:rsidRDefault="002E405B" w:rsidP="00114E8D">
      <w:pPr>
        <w:spacing w:after="120"/>
        <w:rPr>
          <w:rFonts w:ascii="Garamond" w:hAnsi="Garamond" w:cs="Times New Roman"/>
          <w:b/>
          <w:sz w:val="24"/>
          <w:szCs w:val="20"/>
        </w:rPr>
      </w:pPr>
      <w:bookmarkStart w:id="7" w:name="_Hlk58939825"/>
      <w:r w:rsidRPr="005B1AAF">
        <w:rPr>
          <w:rFonts w:ascii="Garamond" w:hAnsi="Garamond" w:cs="Times New Roman"/>
          <w:b/>
          <w:sz w:val="24"/>
          <w:szCs w:val="20"/>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00212D2F" w:rsidRPr="005B1AAF">
        <w:rPr>
          <w:rFonts w:ascii="Garamond" w:hAnsi="Garamond" w:cs="Times New Roman"/>
          <w:b/>
          <w:sz w:val="24"/>
          <w:szCs w:val="20"/>
        </w:rPr>
        <w:t>.</w:t>
      </w:r>
      <w:r w:rsidR="00EB1CD0">
        <w:rPr>
          <w:rFonts w:ascii="Garamond" w:hAnsi="Garamond" w:cs="Times New Roman"/>
          <w:b/>
          <w:sz w:val="24"/>
          <w:szCs w:val="20"/>
        </w:rPr>
        <w:t xml:space="preserve"> </w:t>
      </w:r>
    </w:p>
    <w:p w14:paraId="77A5B2C7" w14:textId="09F9AEFE" w:rsidR="005B1AAF" w:rsidRDefault="00134319" w:rsidP="00734C30">
      <w:pPr>
        <w:spacing w:after="120"/>
        <w:rPr>
          <w:rFonts w:ascii="Garamond" w:hAnsi="Garamond" w:cs="Times New Roman"/>
          <w:sz w:val="24"/>
          <w:szCs w:val="20"/>
        </w:rPr>
      </w:pPr>
      <w:r>
        <w:rPr>
          <w:rFonts w:ascii="Garamond" w:hAnsi="Garamond" w:cs="Times New Roman"/>
          <w:sz w:val="24"/>
          <w:szCs w:val="20"/>
        </w:rPr>
        <w:t xml:space="preserve">All six local program that received IELCE funding in the 2020-2021 program year </w:t>
      </w:r>
      <w:r w:rsidR="00734C30">
        <w:rPr>
          <w:rFonts w:ascii="Garamond" w:hAnsi="Garamond" w:cs="Times New Roman"/>
          <w:sz w:val="24"/>
          <w:szCs w:val="20"/>
        </w:rPr>
        <w:t xml:space="preserve">have </w:t>
      </w:r>
      <w:r w:rsidR="00220657">
        <w:rPr>
          <w:rFonts w:ascii="Garamond" w:hAnsi="Garamond" w:cs="Times New Roman"/>
          <w:sz w:val="24"/>
          <w:szCs w:val="20"/>
        </w:rPr>
        <w:t xml:space="preserve">made efforts toward </w:t>
      </w:r>
      <w:r w:rsidR="00734C30">
        <w:rPr>
          <w:rFonts w:ascii="Garamond" w:hAnsi="Garamond" w:cs="Times New Roman"/>
          <w:sz w:val="24"/>
          <w:szCs w:val="20"/>
        </w:rPr>
        <w:t>ensuring IELCE program activities are integrated with the local workforce development systems they partner with</w:t>
      </w:r>
      <w:r w:rsidR="00220657">
        <w:rPr>
          <w:rFonts w:ascii="Garamond" w:hAnsi="Garamond" w:cs="Times New Roman"/>
          <w:sz w:val="24"/>
          <w:szCs w:val="20"/>
        </w:rPr>
        <w:t>, though the pandemic has created significant challenges for these efforts</w:t>
      </w:r>
      <w:r w:rsidR="00734C30">
        <w:rPr>
          <w:rFonts w:ascii="Garamond" w:hAnsi="Garamond" w:cs="Times New Roman"/>
          <w:sz w:val="24"/>
          <w:szCs w:val="20"/>
        </w:rPr>
        <w:t>.</w:t>
      </w:r>
      <w:r w:rsidR="00EB1CD0">
        <w:rPr>
          <w:rFonts w:ascii="Garamond" w:hAnsi="Garamond" w:cs="Times New Roman"/>
          <w:sz w:val="24"/>
          <w:szCs w:val="20"/>
        </w:rPr>
        <w:t xml:space="preserve"> </w:t>
      </w:r>
      <w:r w:rsidR="00734C30">
        <w:rPr>
          <w:rFonts w:ascii="Garamond" w:hAnsi="Garamond" w:cs="Times New Roman"/>
          <w:sz w:val="24"/>
          <w:szCs w:val="20"/>
        </w:rPr>
        <w:t>Some of these challenges are a direct result of the closures related to institutional restrictions from the State of New Mexico and individual institutions.</w:t>
      </w:r>
      <w:r w:rsidR="00EB1CD0">
        <w:rPr>
          <w:rFonts w:ascii="Garamond" w:hAnsi="Garamond" w:cs="Times New Roman"/>
          <w:sz w:val="24"/>
          <w:szCs w:val="20"/>
        </w:rPr>
        <w:t xml:space="preserve"> </w:t>
      </w:r>
      <w:r w:rsidR="00734C30">
        <w:rPr>
          <w:rFonts w:ascii="Garamond" w:hAnsi="Garamond" w:cs="Times New Roman"/>
          <w:sz w:val="24"/>
          <w:szCs w:val="20"/>
        </w:rPr>
        <w:t>While the pandemic has limited referrals and interactions between the IELCE service providers and the local workforce systems, it has not stopped the local programs from assessing need and planning for the future.</w:t>
      </w:r>
      <w:r w:rsidR="00EB1CD0">
        <w:rPr>
          <w:rFonts w:ascii="Garamond" w:hAnsi="Garamond" w:cs="Times New Roman"/>
          <w:sz w:val="24"/>
          <w:szCs w:val="20"/>
        </w:rPr>
        <w:t xml:space="preserve"> </w:t>
      </w:r>
      <w:r w:rsidR="00734C30">
        <w:rPr>
          <w:rFonts w:ascii="Garamond" w:hAnsi="Garamond" w:cs="Times New Roman"/>
          <w:sz w:val="24"/>
          <w:szCs w:val="20"/>
        </w:rPr>
        <w:t xml:space="preserve">Our large IELCE provider in the Southwestern region </w:t>
      </w:r>
      <w:r w:rsidR="00734C30" w:rsidRPr="00734C30">
        <w:rPr>
          <w:rFonts w:ascii="Garamond" w:hAnsi="Garamond" w:cs="Times New Roman"/>
          <w:sz w:val="24"/>
          <w:szCs w:val="20"/>
        </w:rPr>
        <w:t>has</w:t>
      </w:r>
      <w:r w:rsidR="00734C30">
        <w:rPr>
          <w:rFonts w:ascii="Garamond" w:hAnsi="Garamond" w:cs="Times New Roman"/>
          <w:sz w:val="24"/>
          <w:szCs w:val="20"/>
        </w:rPr>
        <w:t xml:space="preserve"> </w:t>
      </w:r>
      <w:r w:rsidR="00734C30" w:rsidRPr="00734C30">
        <w:rPr>
          <w:rFonts w:ascii="Garamond" w:hAnsi="Garamond" w:cs="Times New Roman"/>
          <w:sz w:val="24"/>
          <w:szCs w:val="20"/>
        </w:rPr>
        <w:t xml:space="preserve">created a partnership with the career services department at </w:t>
      </w:r>
      <w:r w:rsidR="00734C30">
        <w:rPr>
          <w:rFonts w:ascii="Garamond" w:hAnsi="Garamond" w:cs="Times New Roman"/>
          <w:sz w:val="24"/>
          <w:szCs w:val="20"/>
        </w:rPr>
        <w:t>their community college</w:t>
      </w:r>
      <w:r w:rsidR="00734C30" w:rsidRPr="00734C30">
        <w:rPr>
          <w:rFonts w:ascii="Garamond" w:hAnsi="Garamond" w:cs="Times New Roman"/>
          <w:sz w:val="24"/>
          <w:szCs w:val="20"/>
        </w:rPr>
        <w:t xml:space="preserve"> to help guide students through</w:t>
      </w:r>
      <w:r w:rsidR="00734C30">
        <w:rPr>
          <w:rFonts w:ascii="Garamond" w:hAnsi="Garamond" w:cs="Times New Roman"/>
          <w:sz w:val="24"/>
          <w:szCs w:val="20"/>
        </w:rPr>
        <w:t xml:space="preserve"> </w:t>
      </w:r>
      <w:r w:rsidR="00734C30" w:rsidRPr="00734C30">
        <w:rPr>
          <w:rFonts w:ascii="Garamond" w:hAnsi="Garamond" w:cs="Times New Roman"/>
          <w:sz w:val="24"/>
          <w:szCs w:val="20"/>
        </w:rPr>
        <w:t>the process of foreign credential evaluation, allowing students with credentials from their native</w:t>
      </w:r>
      <w:r w:rsidR="00734C30">
        <w:rPr>
          <w:rFonts w:ascii="Garamond" w:hAnsi="Garamond" w:cs="Times New Roman"/>
          <w:sz w:val="24"/>
          <w:szCs w:val="20"/>
        </w:rPr>
        <w:t xml:space="preserve"> </w:t>
      </w:r>
      <w:r w:rsidR="00734C30" w:rsidRPr="00734C30">
        <w:rPr>
          <w:rFonts w:ascii="Garamond" w:hAnsi="Garamond" w:cs="Times New Roman"/>
          <w:sz w:val="24"/>
          <w:szCs w:val="20"/>
        </w:rPr>
        <w:t>country to transfer their skills to the job market in Southern New Mexico. The program offers</w:t>
      </w:r>
      <w:r w:rsidR="00734C30">
        <w:rPr>
          <w:rFonts w:ascii="Garamond" w:hAnsi="Garamond" w:cs="Times New Roman"/>
          <w:sz w:val="24"/>
          <w:szCs w:val="20"/>
        </w:rPr>
        <w:t xml:space="preserve"> </w:t>
      </w:r>
      <w:r w:rsidR="00734C30" w:rsidRPr="00734C30">
        <w:rPr>
          <w:rFonts w:ascii="Garamond" w:hAnsi="Garamond" w:cs="Times New Roman"/>
          <w:sz w:val="24"/>
          <w:szCs w:val="20"/>
        </w:rPr>
        <w:t>workshops that incorporate practice interviews</w:t>
      </w:r>
      <w:r w:rsidR="00734C30">
        <w:rPr>
          <w:rFonts w:ascii="Garamond" w:hAnsi="Garamond" w:cs="Times New Roman"/>
          <w:sz w:val="24"/>
          <w:szCs w:val="20"/>
        </w:rPr>
        <w:t xml:space="preserve"> </w:t>
      </w:r>
      <w:r w:rsidR="00734C30" w:rsidRPr="00734C30">
        <w:rPr>
          <w:rFonts w:ascii="Garamond" w:hAnsi="Garamond" w:cs="Times New Roman"/>
          <w:sz w:val="24"/>
          <w:szCs w:val="20"/>
        </w:rPr>
        <w:t>and study support to help students prepare for</w:t>
      </w:r>
      <w:r w:rsidR="00734C30">
        <w:rPr>
          <w:rFonts w:ascii="Garamond" w:hAnsi="Garamond" w:cs="Times New Roman"/>
          <w:sz w:val="24"/>
          <w:szCs w:val="20"/>
        </w:rPr>
        <w:t xml:space="preserve"> </w:t>
      </w:r>
      <w:r w:rsidR="00734C30" w:rsidRPr="00734C30">
        <w:rPr>
          <w:rFonts w:ascii="Garamond" w:hAnsi="Garamond" w:cs="Times New Roman"/>
          <w:sz w:val="24"/>
          <w:szCs w:val="20"/>
        </w:rPr>
        <w:t>requirements to apply for citizenship.</w:t>
      </w:r>
      <w:r w:rsidR="00EB1CD0">
        <w:rPr>
          <w:rFonts w:ascii="Garamond" w:hAnsi="Garamond" w:cs="Times New Roman"/>
          <w:sz w:val="24"/>
          <w:szCs w:val="20"/>
        </w:rPr>
        <w:t xml:space="preserve"> </w:t>
      </w:r>
      <w:r w:rsidR="00734C30">
        <w:rPr>
          <w:rFonts w:ascii="Garamond" w:hAnsi="Garamond" w:cs="Times New Roman"/>
          <w:sz w:val="24"/>
          <w:szCs w:val="20"/>
        </w:rPr>
        <w:t xml:space="preserve">In addition, they </w:t>
      </w:r>
      <w:r w:rsidR="00734C30" w:rsidRPr="00734C30">
        <w:rPr>
          <w:rFonts w:ascii="Garamond" w:hAnsi="Garamond" w:cs="Times New Roman"/>
          <w:sz w:val="24"/>
          <w:szCs w:val="20"/>
        </w:rPr>
        <w:t>will develop a series of industry specific Language Academies that will combine workforce preparation, workforce training, and adult education, targeted to specific industries</w:t>
      </w:r>
      <w:r w:rsidR="00734C30">
        <w:rPr>
          <w:rFonts w:ascii="Garamond" w:hAnsi="Garamond" w:cs="Times New Roman"/>
          <w:sz w:val="24"/>
          <w:szCs w:val="20"/>
        </w:rPr>
        <w:t xml:space="preserve"> in demand in the local area.</w:t>
      </w:r>
      <w:r w:rsidR="00EB1CD0">
        <w:rPr>
          <w:rFonts w:ascii="Garamond" w:hAnsi="Garamond" w:cs="Times New Roman"/>
          <w:sz w:val="24"/>
          <w:szCs w:val="20"/>
        </w:rPr>
        <w:t xml:space="preserve"> </w:t>
      </w:r>
      <w:r w:rsidR="00734C30">
        <w:rPr>
          <w:rFonts w:ascii="Garamond" w:hAnsi="Garamond" w:cs="Times New Roman"/>
          <w:sz w:val="24"/>
          <w:szCs w:val="20"/>
        </w:rPr>
        <w:t xml:space="preserve">At a smaller, college-based program in the Northern Region, the focus is on one-on-one advising to help assess and determine </w:t>
      </w:r>
      <w:r w:rsidR="00734C30" w:rsidRPr="00734C30">
        <w:rPr>
          <w:rFonts w:ascii="Garamond" w:hAnsi="Garamond" w:cs="Times New Roman"/>
          <w:sz w:val="24"/>
          <w:szCs w:val="20"/>
        </w:rPr>
        <w:t xml:space="preserve">what students want and need to succeed in the path they want </w:t>
      </w:r>
      <w:r w:rsidR="00734C30" w:rsidRPr="00734C30">
        <w:rPr>
          <w:rFonts w:ascii="Garamond" w:hAnsi="Garamond" w:cs="Times New Roman"/>
          <w:sz w:val="24"/>
          <w:szCs w:val="20"/>
        </w:rPr>
        <w:lastRenderedPageBreak/>
        <w:t>to follow</w:t>
      </w:r>
      <w:r w:rsidR="00734C30">
        <w:rPr>
          <w:rFonts w:ascii="Garamond" w:hAnsi="Garamond" w:cs="Times New Roman"/>
          <w:sz w:val="24"/>
          <w:szCs w:val="20"/>
        </w:rPr>
        <w:t xml:space="preserve"> as well as align with the local industry demands.</w:t>
      </w:r>
      <w:r w:rsidR="00EB1CD0">
        <w:rPr>
          <w:rFonts w:ascii="Garamond" w:hAnsi="Garamond" w:cs="Times New Roman"/>
          <w:sz w:val="24"/>
          <w:szCs w:val="20"/>
        </w:rPr>
        <w:t xml:space="preserve"> </w:t>
      </w:r>
      <w:r w:rsidR="00734C30">
        <w:rPr>
          <w:rFonts w:ascii="Garamond" w:hAnsi="Garamond" w:cs="Times New Roman"/>
          <w:sz w:val="24"/>
          <w:szCs w:val="20"/>
        </w:rPr>
        <w:t>Our IELCE program in the Eastern Region has partnered with the New Mexico Workforce Connection and Motivation Education and Training, Inc. (MET) to help IELCE participants</w:t>
      </w:r>
      <w:r w:rsidR="00C31FCB">
        <w:rPr>
          <w:rFonts w:ascii="Garamond" w:hAnsi="Garamond" w:cs="Times New Roman"/>
          <w:sz w:val="24"/>
          <w:szCs w:val="20"/>
        </w:rPr>
        <w:t xml:space="preserve"> with job related needs in order to create a better future for the students and their families.</w:t>
      </w:r>
      <w:r w:rsidR="00EB1CD0">
        <w:rPr>
          <w:rFonts w:ascii="Garamond" w:hAnsi="Garamond" w:cs="Times New Roman"/>
          <w:sz w:val="24"/>
          <w:szCs w:val="20"/>
        </w:rPr>
        <w:t xml:space="preserve"> </w:t>
      </w:r>
      <w:r w:rsidR="00C31FCB">
        <w:rPr>
          <w:rFonts w:ascii="Garamond" w:hAnsi="Garamond" w:cs="Times New Roman"/>
          <w:sz w:val="24"/>
          <w:szCs w:val="20"/>
        </w:rPr>
        <w:t>In the Central Region, our college based IELCE program works with the career navigator from the local one-stop center to offer students career counseling that includes information on high-demand industries and labor market information.</w:t>
      </w:r>
      <w:r w:rsidR="00EB1CD0">
        <w:rPr>
          <w:rFonts w:ascii="Garamond" w:hAnsi="Garamond" w:cs="Times New Roman"/>
          <w:sz w:val="24"/>
          <w:szCs w:val="20"/>
        </w:rPr>
        <w:t xml:space="preserve"> </w:t>
      </w:r>
      <w:r w:rsidR="00C31FCB">
        <w:rPr>
          <w:rFonts w:ascii="Garamond" w:hAnsi="Garamond" w:cs="Times New Roman"/>
          <w:sz w:val="24"/>
          <w:szCs w:val="20"/>
        </w:rPr>
        <w:t xml:space="preserve">Our </w:t>
      </w:r>
      <w:r w:rsidR="00B24703">
        <w:rPr>
          <w:rFonts w:ascii="Garamond" w:hAnsi="Garamond" w:cs="Times New Roman"/>
          <w:sz w:val="24"/>
          <w:szCs w:val="20"/>
        </w:rPr>
        <w:t>community-based</w:t>
      </w:r>
      <w:r w:rsidR="00C31FCB">
        <w:rPr>
          <w:rFonts w:ascii="Garamond" w:hAnsi="Garamond" w:cs="Times New Roman"/>
          <w:sz w:val="24"/>
          <w:szCs w:val="20"/>
        </w:rPr>
        <w:t xml:space="preserve"> organization IELCE provider has established partnerships within the building trades and has worked to maintain those connections throughout the pandemic.</w:t>
      </w:r>
      <w:r w:rsidR="008742D1">
        <w:rPr>
          <w:rFonts w:ascii="Garamond" w:hAnsi="Garamond" w:cs="Times New Roman"/>
          <w:sz w:val="24"/>
          <w:szCs w:val="20"/>
        </w:rPr>
        <w:t xml:space="preserve"> Our IELCE programs will benefit from targeted TA opportunities planned for PY 2021-2022.</w:t>
      </w:r>
    </w:p>
    <w:p w14:paraId="2AC86B90" w14:textId="50EF6EB2" w:rsidR="000D45D7" w:rsidRPr="00236115" w:rsidRDefault="00236115" w:rsidP="00734C30">
      <w:pPr>
        <w:spacing w:after="120"/>
        <w:rPr>
          <w:rFonts w:ascii="Garamond" w:hAnsi="Garamond" w:cs="Times New Roman"/>
          <w:b/>
          <w:sz w:val="24"/>
          <w:szCs w:val="24"/>
        </w:rPr>
      </w:pPr>
      <w:r w:rsidRPr="00236115">
        <w:rPr>
          <w:rFonts w:ascii="Garamond" w:hAnsi="Garamond" w:cs="Times New Roman"/>
          <w:b/>
          <w:sz w:val="24"/>
          <w:szCs w:val="24"/>
        </w:rPr>
        <w:t>How IELCE performance contributed to the state’s performance targets:</w:t>
      </w:r>
    </w:p>
    <w:p w14:paraId="4F72C8BA" w14:textId="77777777" w:rsidR="00236115" w:rsidRPr="00236115" w:rsidRDefault="00236115" w:rsidP="00236115">
      <w:pPr>
        <w:rPr>
          <w:rFonts w:ascii="Garamond" w:hAnsi="Garamond"/>
          <w:bCs/>
          <w:sz w:val="24"/>
          <w:szCs w:val="24"/>
        </w:rPr>
      </w:pPr>
      <w:r w:rsidRPr="00236115">
        <w:rPr>
          <w:rFonts w:ascii="Garamond" w:hAnsi="Garamond"/>
          <w:bCs/>
          <w:sz w:val="24"/>
          <w:szCs w:val="24"/>
        </w:rPr>
        <w:t xml:space="preserve">IELCE performance was generally low during this program year, owing to the high vulnerability of New Mexico’s adult immigrant population to the pandemic and low levels of digital literacy and digital access among this population. </w:t>
      </w:r>
    </w:p>
    <w:p w14:paraId="018B7857" w14:textId="77777777" w:rsidR="00236115" w:rsidRPr="00236115" w:rsidRDefault="00236115" w:rsidP="00236115">
      <w:pPr>
        <w:pStyle w:val="xmsonormal"/>
        <w:numPr>
          <w:ilvl w:val="0"/>
          <w:numId w:val="24"/>
        </w:numPr>
        <w:jc w:val="both"/>
        <w:textAlignment w:val="baseline"/>
        <w:rPr>
          <w:rFonts w:ascii="Garamond" w:eastAsia="Times New Roman" w:hAnsi="Garamond"/>
          <w:b/>
          <w:bCs/>
          <w:sz w:val="24"/>
          <w:szCs w:val="24"/>
        </w:rPr>
      </w:pPr>
      <w:r w:rsidRPr="00236115">
        <w:rPr>
          <w:rFonts w:ascii="Garamond" w:eastAsia="Times New Roman" w:hAnsi="Garamond"/>
          <w:b/>
          <w:bCs/>
          <w:sz w:val="24"/>
          <w:szCs w:val="24"/>
        </w:rPr>
        <w:t>Employment Rate 2</w:t>
      </w:r>
      <w:r w:rsidRPr="00236115">
        <w:rPr>
          <w:rFonts w:ascii="Garamond" w:eastAsia="Times New Roman" w:hAnsi="Garamond"/>
          <w:b/>
          <w:bCs/>
          <w:sz w:val="24"/>
          <w:szCs w:val="24"/>
          <w:vertAlign w:val="superscript"/>
        </w:rPr>
        <w:t>nd</w:t>
      </w:r>
      <w:r w:rsidRPr="00236115">
        <w:rPr>
          <w:rFonts w:ascii="Garamond" w:eastAsia="Times New Roman" w:hAnsi="Garamond"/>
          <w:b/>
          <w:bCs/>
          <w:sz w:val="24"/>
          <w:szCs w:val="24"/>
        </w:rPr>
        <w:t xml:space="preserve"> Quarter: </w:t>
      </w:r>
      <w:r w:rsidRPr="00236115">
        <w:rPr>
          <w:rFonts w:ascii="Garamond" w:eastAsia="Times New Roman" w:hAnsi="Garamond"/>
          <w:sz w:val="24"/>
          <w:szCs w:val="24"/>
        </w:rPr>
        <w:t xml:space="preserve">9.3% of participants who exited programs were in unsubsidized employment during second quarter. </w:t>
      </w:r>
      <w:r w:rsidRPr="00236115">
        <w:rPr>
          <w:rFonts w:ascii="Garamond" w:eastAsia="Times New Roman" w:hAnsi="Garamond"/>
          <w:i/>
          <w:iCs/>
          <w:sz w:val="24"/>
          <w:szCs w:val="24"/>
        </w:rPr>
        <w:t xml:space="preserve">Performance in this indicator falls well below the </w:t>
      </w:r>
      <w:r w:rsidRPr="00236115">
        <w:rPr>
          <w:rFonts w:ascii="Garamond" w:eastAsia="Times New Roman" w:hAnsi="Garamond"/>
          <w:b/>
          <w:bCs/>
          <w:i/>
          <w:iCs/>
          <w:sz w:val="24"/>
          <w:szCs w:val="24"/>
        </w:rPr>
        <w:t xml:space="preserve">negotiated target </w:t>
      </w:r>
      <w:r w:rsidRPr="00236115">
        <w:rPr>
          <w:rFonts w:ascii="Garamond" w:eastAsia="Times New Roman" w:hAnsi="Garamond"/>
          <w:b/>
          <w:bCs/>
          <w:sz w:val="24"/>
          <w:szCs w:val="24"/>
        </w:rPr>
        <w:t>(24.9%).</w:t>
      </w:r>
    </w:p>
    <w:p w14:paraId="5E94633E" w14:textId="77777777" w:rsidR="00236115" w:rsidRPr="00236115" w:rsidRDefault="00236115" w:rsidP="00236115">
      <w:pPr>
        <w:pStyle w:val="xmsonormal"/>
        <w:numPr>
          <w:ilvl w:val="0"/>
          <w:numId w:val="24"/>
        </w:numPr>
        <w:jc w:val="both"/>
        <w:textAlignment w:val="baseline"/>
        <w:rPr>
          <w:rFonts w:ascii="Garamond" w:eastAsia="Times New Roman" w:hAnsi="Garamond"/>
          <w:sz w:val="24"/>
          <w:szCs w:val="24"/>
        </w:rPr>
      </w:pPr>
      <w:r w:rsidRPr="00236115">
        <w:rPr>
          <w:rFonts w:ascii="Garamond" w:eastAsia="Times New Roman" w:hAnsi="Garamond"/>
          <w:b/>
          <w:bCs/>
          <w:sz w:val="24"/>
          <w:szCs w:val="24"/>
        </w:rPr>
        <w:t>Employment Rate 4</w:t>
      </w:r>
      <w:r w:rsidRPr="00236115">
        <w:rPr>
          <w:rFonts w:ascii="Garamond" w:eastAsia="Times New Roman" w:hAnsi="Garamond"/>
          <w:b/>
          <w:bCs/>
          <w:sz w:val="24"/>
          <w:szCs w:val="24"/>
          <w:vertAlign w:val="superscript"/>
        </w:rPr>
        <w:t>th</w:t>
      </w:r>
      <w:r w:rsidRPr="00236115">
        <w:rPr>
          <w:rFonts w:ascii="Garamond" w:eastAsia="Times New Roman" w:hAnsi="Garamond"/>
          <w:b/>
          <w:bCs/>
          <w:sz w:val="24"/>
          <w:szCs w:val="24"/>
        </w:rPr>
        <w:t xml:space="preserve"> Quarter:</w:t>
      </w:r>
      <w:r w:rsidRPr="00236115">
        <w:rPr>
          <w:rFonts w:ascii="Garamond" w:eastAsia="Times New Roman" w:hAnsi="Garamond"/>
          <w:sz w:val="24"/>
          <w:szCs w:val="24"/>
        </w:rPr>
        <w:t xml:space="preserve"> 5.2% of participants who exited programs were in unsubsidized employment during fourth quarter. </w:t>
      </w:r>
      <w:r w:rsidRPr="00236115">
        <w:rPr>
          <w:rFonts w:ascii="Garamond" w:eastAsia="Times New Roman" w:hAnsi="Garamond"/>
          <w:i/>
          <w:iCs/>
          <w:sz w:val="24"/>
          <w:szCs w:val="24"/>
        </w:rPr>
        <w:t xml:space="preserve">Performance in this indicator falls well below </w:t>
      </w:r>
      <w:r w:rsidRPr="00236115">
        <w:rPr>
          <w:rFonts w:ascii="Garamond" w:eastAsia="Times New Roman" w:hAnsi="Garamond"/>
          <w:b/>
          <w:bCs/>
          <w:i/>
          <w:iCs/>
          <w:sz w:val="24"/>
          <w:szCs w:val="24"/>
        </w:rPr>
        <w:t>the threshold</w:t>
      </w:r>
      <w:r w:rsidRPr="00236115">
        <w:rPr>
          <w:rFonts w:ascii="Garamond" w:eastAsia="Times New Roman" w:hAnsi="Garamond"/>
          <w:i/>
          <w:iCs/>
          <w:sz w:val="24"/>
          <w:szCs w:val="24"/>
        </w:rPr>
        <w:t xml:space="preserve"> </w:t>
      </w:r>
      <w:r w:rsidRPr="00236115">
        <w:rPr>
          <w:rFonts w:ascii="Garamond" w:eastAsia="Times New Roman" w:hAnsi="Garamond"/>
          <w:b/>
          <w:bCs/>
          <w:i/>
          <w:iCs/>
          <w:sz w:val="24"/>
          <w:szCs w:val="24"/>
        </w:rPr>
        <w:t>of the negotiated target (35.1%).</w:t>
      </w:r>
    </w:p>
    <w:p w14:paraId="7DB01FDB" w14:textId="77777777" w:rsidR="00236115" w:rsidRPr="00236115" w:rsidRDefault="00236115" w:rsidP="00236115">
      <w:pPr>
        <w:pStyle w:val="xmsonormal"/>
        <w:numPr>
          <w:ilvl w:val="0"/>
          <w:numId w:val="24"/>
        </w:numPr>
        <w:jc w:val="both"/>
        <w:textAlignment w:val="baseline"/>
        <w:rPr>
          <w:rFonts w:ascii="Garamond" w:eastAsia="Times New Roman" w:hAnsi="Garamond"/>
          <w:sz w:val="24"/>
          <w:szCs w:val="24"/>
        </w:rPr>
      </w:pPr>
      <w:r w:rsidRPr="00236115">
        <w:rPr>
          <w:rFonts w:ascii="Garamond" w:eastAsia="Times New Roman" w:hAnsi="Garamond"/>
          <w:b/>
          <w:bCs/>
          <w:sz w:val="24"/>
          <w:szCs w:val="24"/>
        </w:rPr>
        <w:t>Median Earnings</w:t>
      </w:r>
      <w:r w:rsidRPr="00236115">
        <w:rPr>
          <w:rFonts w:ascii="Garamond" w:eastAsia="Times New Roman" w:hAnsi="Garamond"/>
          <w:sz w:val="24"/>
          <w:szCs w:val="24"/>
        </w:rPr>
        <w:t xml:space="preserve">: The median earnings of program participants who were in unsubsidized employment during the second quarter after exit from program was $5,121.21.  </w:t>
      </w:r>
      <w:r w:rsidRPr="00236115">
        <w:rPr>
          <w:rFonts w:ascii="Garamond" w:eastAsia="Times New Roman" w:hAnsi="Garamond"/>
          <w:b/>
          <w:bCs/>
          <w:i/>
          <w:iCs/>
          <w:sz w:val="24"/>
          <w:szCs w:val="24"/>
        </w:rPr>
        <w:t>Performance in this indicator exceeds the negotiated target ($3,219.00).</w:t>
      </w:r>
    </w:p>
    <w:p w14:paraId="68C31429" w14:textId="77777777" w:rsidR="00236115" w:rsidRPr="00236115" w:rsidRDefault="00236115" w:rsidP="00236115">
      <w:pPr>
        <w:pStyle w:val="xmsonormal"/>
        <w:numPr>
          <w:ilvl w:val="0"/>
          <w:numId w:val="24"/>
        </w:numPr>
        <w:jc w:val="both"/>
        <w:textAlignment w:val="baseline"/>
        <w:rPr>
          <w:rFonts w:ascii="Garamond" w:eastAsia="Times New Roman" w:hAnsi="Garamond"/>
          <w:sz w:val="24"/>
          <w:szCs w:val="24"/>
        </w:rPr>
      </w:pPr>
      <w:r w:rsidRPr="00236115">
        <w:rPr>
          <w:rFonts w:ascii="Garamond" w:eastAsia="Times New Roman" w:hAnsi="Garamond"/>
          <w:b/>
          <w:bCs/>
          <w:sz w:val="24"/>
          <w:szCs w:val="24"/>
        </w:rPr>
        <w:t>Credential Obtainment</w:t>
      </w:r>
      <w:r w:rsidRPr="00236115">
        <w:rPr>
          <w:rFonts w:ascii="Garamond" w:eastAsia="Times New Roman" w:hAnsi="Garamond"/>
          <w:sz w:val="24"/>
          <w:szCs w:val="24"/>
        </w:rPr>
        <w:t xml:space="preserve">: 7.1% of program participants eligible to be included in this measure obtained a recognized postsecondary credential or a secondary school diploma or its recognized equivalent during participation in or within one year after exit from the program. </w:t>
      </w:r>
      <w:bookmarkStart w:id="8" w:name="_GoBack"/>
      <w:bookmarkEnd w:id="8"/>
      <w:r w:rsidRPr="00236115">
        <w:rPr>
          <w:rFonts w:ascii="Garamond" w:eastAsia="Times New Roman" w:hAnsi="Garamond"/>
          <w:b/>
          <w:bCs/>
          <w:i/>
          <w:iCs/>
          <w:sz w:val="24"/>
          <w:szCs w:val="24"/>
        </w:rPr>
        <w:t>Performance in this indicator falls well below the negotiated target (20.3%).</w:t>
      </w:r>
    </w:p>
    <w:p w14:paraId="1EE94FA0" w14:textId="77777777" w:rsidR="00236115" w:rsidRPr="005B734A" w:rsidRDefault="00236115" w:rsidP="00236115">
      <w:pPr>
        <w:jc w:val="center"/>
        <w:rPr>
          <w:b/>
          <w:bCs/>
          <w:sz w:val="24"/>
          <w:szCs w:val="24"/>
        </w:rPr>
      </w:pPr>
    </w:p>
    <w:bookmarkEnd w:id="7"/>
    <w:p w14:paraId="65D3431C" w14:textId="77777777" w:rsidR="00DD6327" w:rsidRPr="000D45D7" w:rsidRDefault="00240833" w:rsidP="009560C4">
      <w:pPr>
        <w:spacing w:after="120"/>
        <w:rPr>
          <w:rFonts w:ascii="Garamond" w:hAnsi="Garamond" w:cs="Times New Roman"/>
          <w:b/>
          <w:sz w:val="24"/>
          <w:szCs w:val="20"/>
          <w:u w:val="single"/>
        </w:rPr>
      </w:pPr>
      <w:r w:rsidRPr="000D45D7">
        <w:rPr>
          <w:rFonts w:ascii="Garamond" w:hAnsi="Garamond" w:cs="Times New Roman"/>
          <w:b/>
          <w:sz w:val="24"/>
          <w:szCs w:val="20"/>
          <w:u w:val="single"/>
        </w:rPr>
        <w:t xml:space="preserve">5. </w:t>
      </w:r>
      <w:r w:rsidR="002E405B" w:rsidRPr="000D45D7">
        <w:rPr>
          <w:rFonts w:ascii="Garamond" w:hAnsi="Garamond" w:cs="Times New Roman"/>
          <w:b/>
          <w:sz w:val="24"/>
          <w:szCs w:val="20"/>
          <w:u w:val="single"/>
        </w:rPr>
        <w:t>Adult Education Standards: If your State has adopted new challenging K-12 standards under title I of the Elementary and Secondary Education Act of 1965, as amended, describe how your Adult Education content standards are aligned with those K-12 standards.</w:t>
      </w:r>
    </w:p>
    <w:p w14:paraId="74C2742B" w14:textId="3B248B42" w:rsidR="0083348E" w:rsidRPr="008E09DC" w:rsidRDefault="00CB4910" w:rsidP="00FC3A5A">
      <w:pPr>
        <w:spacing w:after="120"/>
        <w:rPr>
          <w:rFonts w:ascii="Garamond" w:hAnsi="Garamond" w:cs="Times New Roman"/>
          <w:sz w:val="24"/>
          <w:szCs w:val="20"/>
          <w:highlight w:val="yellow"/>
        </w:rPr>
      </w:pPr>
      <w:r w:rsidRPr="000D45D7">
        <w:rPr>
          <w:rFonts w:ascii="Garamond" w:hAnsi="Garamond" w:cs="Times New Roman"/>
          <w:sz w:val="24"/>
          <w:szCs w:val="20"/>
        </w:rPr>
        <w:t>In 2010, the New Mexico Legislature adopted the Common Core State Standards for K-1</w:t>
      </w:r>
      <w:r w:rsidR="00FC7C19" w:rsidRPr="000D45D7">
        <w:rPr>
          <w:rFonts w:ascii="Garamond" w:hAnsi="Garamond" w:cs="Times New Roman"/>
          <w:sz w:val="24"/>
          <w:szCs w:val="20"/>
        </w:rPr>
        <w:t>2.</w:t>
      </w:r>
      <w:r w:rsidRPr="000D45D7">
        <w:rPr>
          <w:rFonts w:ascii="Garamond" w:hAnsi="Garamond" w:cs="Times New Roman"/>
          <w:sz w:val="24"/>
          <w:szCs w:val="20"/>
        </w:rPr>
        <w:t xml:space="preserve"> </w:t>
      </w:r>
      <w:r w:rsidR="00D87C06" w:rsidRPr="000D45D7">
        <w:rPr>
          <w:rFonts w:ascii="Garamond" w:hAnsi="Garamond"/>
          <w:sz w:val="24"/>
          <w:szCs w:val="24"/>
        </w:rPr>
        <w:t>NMHED</w:t>
      </w:r>
      <w:r w:rsidR="00B755CF" w:rsidRPr="000D45D7">
        <w:rPr>
          <w:rFonts w:ascii="Garamond" w:hAnsi="Garamond"/>
          <w:sz w:val="24"/>
          <w:szCs w:val="24"/>
        </w:rPr>
        <w:t xml:space="preserve"> has adopted the College and Career Readiness Standards (CCRS) developed by </w:t>
      </w:r>
      <w:r w:rsidR="00871107" w:rsidRPr="000D45D7">
        <w:rPr>
          <w:rFonts w:ascii="Garamond" w:hAnsi="Garamond"/>
          <w:sz w:val="24"/>
          <w:szCs w:val="24"/>
        </w:rPr>
        <w:t>OCTAE</w:t>
      </w:r>
      <w:r w:rsidR="00B755CF" w:rsidRPr="000D45D7">
        <w:rPr>
          <w:rFonts w:ascii="Garamond" w:hAnsi="Garamond"/>
          <w:sz w:val="24"/>
          <w:szCs w:val="24"/>
        </w:rPr>
        <w:t xml:space="preserve"> to align with the Common Core</w:t>
      </w:r>
      <w:r w:rsidR="00B33A45" w:rsidRPr="000D45D7">
        <w:rPr>
          <w:rFonts w:ascii="Garamond" w:hAnsi="Garamond"/>
          <w:sz w:val="24"/>
          <w:szCs w:val="24"/>
        </w:rPr>
        <w:t xml:space="preserve"> Standards</w:t>
      </w:r>
      <w:r w:rsidR="00B755CF" w:rsidRPr="000D45D7">
        <w:rPr>
          <w:rFonts w:ascii="Garamond" w:hAnsi="Garamond"/>
          <w:sz w:val="24"/>
          <w:szCs w:val="24"/>
        </w:rPr>
        <w:t>.</w:t>
      </w:r>
      <w:r w:rsidR="00EB1CD0">
        <w:rPr>
          <w:rFonts w:ascii="Garamond" w:hAnsi="Garamond"/>
          <w:sz w:val="24"/>
          <w:szCs w:val="24"/>
        </w:rPr>
        <w:t xml:space="preserve"> </w:t>
      </w:r>
      <w:r w:rsidR="00B755CF" w:rsidRPr="000D45D7">
        <w:rPr>
          <w:rFonts w:ascii="Garamond" w:hAnsi="Garamond"/>
          <w:sz w:val="24"/>
          <w:szCs w:val="24"/>
        </w:rPr>
        <w:t xml:space="preserve">All courseware </w:t>
      </w:r>
      <w:r w:rsidR="006F162D" w:rsidRPr="000D45D7">
        <w:rPr>
          <w:rFonts w:ascii="Garamond" w:hAnsi="Garamond"/>
          <w:sz w:val="24"/>
          <w:szCs w:val="24"/>
        </w:rPr>
        <w:t xml:space="preserve">and lesson plans </w:t>
      </w:r>
      <w:r w:rsidR="00B755CF" w:rsidRPr="000D45D7">
        <w:rPr>
          <w:rFonts w:ascii="Garamond" w:hAnsi="Garamond"/>
          <w:sz w:val="24"/>
          <w:szCs w:val="24"/>
        </w:rPr>
        <w:t>used by Adult Education programs statewide</w:t>
      </w:r>
      <w:r w:rsidR="00B33A45" w:rsidRPr="000D45D7">
        <w:rPr>
          <w:rFonts w:ascii="Garamond" w:hAnsi="Garamond"/>
          <w:sz w:val="24"/>
          <w:szCs w:val="24"/>
        </w:rPr>
        <w:t xml:space="preserve"> </w:t>
      </w:r>
      <w:r w:rsidR="00B755CF" w:rsidRPr="000D45D7">
        <w:rPr>
          <w:rFonts w:ascii="Garamond" w:hAnsi="Garamond"/>
          <w:sz w:val="24"/>
          <w:szCs w:val="24"/>
        </w:rPr>
        <w:t>must adhere to CCRS and thus align to the Common Core.</w:t>
      </w:r>
      <w:r w:rsidR="00EB1CD0">
        <w:rPr>
          <w:rFonts w:ascii="Garamond" w:hAnsi="Garamond" w:cs="Times New Roman"/>
          <w:sz w:val="24"/>
          <w:szCs w:val="20"/>
        </w:rPr>
        <w:t xml:space="preserve"> </w:t>
      </w:r>
      <w:r w:rsidR="00103CC5" w:rsidRPr="000D45D7">
        <w:rPr>
          <w:rFonts w:ascii="Garamond" w:hAnsi="Garamond" w:cs="Times New Roman"/>
          <w:sz w:val="24"/>
          <w:szCs w:val="20"/>
        </w:rPr>
        <w:t>NMHED-AE has no significant changes on this front for this reporting period</w:t>
      </w:r>
      <w:r w:rsidR="00B755CF" w:rsidRPr="000D45D7">
        <w:rPr>
          <w:rFonts w:ascii="Garamond" w:hAnsi="Garamond" w:cs="Times New Roman"/>
          <w:sz w:val="24"/>
          <w:szCs w:val="20"/>
        </w:rPr>
        <w:t>,</w:t>
      </w:r>
      <w:r w:rsidR="001A7DC7" w:rsidRPr="000D45D7">
        <w:rPr>
          <w:rFonts w:ascii="Garamond" w:hAnsi="Garamond" w:cs="Times New Roman"/>
          <w:sz w:val="24"/>
          <w:szCs w:val="20"/>
        </w:rPr>
        <w:t xml:space="preserve"> other than to emphasize that all state-sponsored PD initiatives are designed in part to support local </w:t>
      </w:r>
      <w:r w:rsidR="001A34ED" w:rsidRPr="000D45D7">
        <w:rPr>
          <w:rFonts w:ascii="Garamond" w:hAnsi="Garamond" w:cs="Times New Roman"/>
          <w:sz w:val="24"/>
          <w:szCs w:val="20"/>
        </w:rPr>
        <w:t xml:space="preserve">AE program </w:t>
      </w:r>
      <w:r w:rsidR="001A7DC7" w:rsidRPr="000D45D7">
        <w:rPr>
          <w:rFonts w:ascii="Garamond" w:hAnsi="Garamond" w:cs="Times New Roman"/>
          <w:sz w:val="24"/>
          <w:szCs w:val="20"/>
        </w:rPr>
        <w:t>providers</w:t>
      </w:r>
      <w:r w:rsidR="000D0EAE">
        <w:rPr>
          <w:rFonts w:ascii="Garamond" w:hAnsi="Garamond" w:cs="Times New Roman"/>
          <w:sz w:val="24"/>
          <w:szCs w:val="20"/>
        </w:rPr>
        <w:t>’</w:t>
      </w:r>
      <w:r w:rsidR="001A7DC7" w:rsidRPr="000D45D7">
        <w:rPr>
          <w:rFonts w:ascii="Garamond" w:hAnsi="Garamond" w:cs="Times New Roman"/>
          <w:sz w:val="24"/>
          <w:szCs w:val="20"/>
        </w:rPr>
        <w:t xml:space="preserve"> increased competency </w:t>
      </w:r>
      <w:r w:rsidR="00F96115" w:rsidRPr="000D45D7">
        <w:rPr>
          <w:rFonts w:ascii="Garamond" w:hAnsi="Garamond" w:cs="Times New Roman"/>
          <w:sz w:val="24"/>
          <w:szCs w:val="20"/>
        </w:rPr>
        <w:t xml:space="preserve">with respect to </w:t>
      </w:r>
      <w:r w:rsidR="001A7DC7" w:rsidRPr="000D45D7">
        <w:rPr>
          <w:rFonts w:ascii="Garamond" w:hAnsi="Garamond" w:cs="Times New Roman"/>
          <w:sz w:val="24"/>
          <w:szCs w:val="20"/>
        </w:rPr>
        <w:t xml:space="preserve">designing </w:t>
      </w:r>
      <w:r w:rsidR="00B755CF" w:rsidRPr="000D45D7">
        <w:rPr>
          <w:rFonts w:ascii="Garamond" w:hAnsi="Garamond" w:cs="Times New Roman"/>
          <w:sz w:val="24"/>
          <w:szCs w:val="20"/>
        </w:rPr>
        <w:t>lessons and instruction</w:t>
      </w:r>
      <w:r w:rsidR="001A7DC7" w:rsidRPr="000D45D7">
        <w:rPr>
          <w:rFonts w:ascii="Garamond" w:hAnsi="Garamond" w:cs="Times New Roman"/>
          <w:sz w:val="24"/>
          <w:szCs w:val="20"/>
        </w:rPr>
        <w:t xml:space="preserve"> aligned to CCRS</w:t>
      </w:r>
      <w:r w:rsidR="000D45D7">
        <w:rPr>
          <w:rFonts w:ascii="Garamond" w:hAnsi="Garamond" w:cs="Times New Roman"/>
          <w:sz w:val="24"/>
          <w:szCs w:val="20"/>
        </w:rPr>
        <w:t xml:space="preserve">. </w:t>
      </w:r>
    </w:p>
    <w:p w14:paraId="62EF7E25" w14:textId="77777777" w:rsidR="00B3020F" w:rsidRPr="008373E2" w:rsidRDefault="00B3020F" w:rsidP="00FC3A5A">
      <w:pPr>
        <w:spacing w:after="120"/>
        <w:rPr>
          <w:rFonts w:ascii="Garamond" w:hAnsi="Garamond" w:cs="Times New Roman"/>
          <w:sz w:val="24"/>
          <w:szCs w:val="20"/>
        </w:rPr>
      </w:pPr>
    </w:p>
    <w:p w14:paraId="18C73A45" w14:textId="77777777" w:rsidR="002E405B" w:rsidRPr="008373E2" w:rsidRDefault="00240833" w:rsidP="00440945">
      <w:pPr>
        <w:rPr>
          <w:rFonts w:ascii="Garamond" w:hAnsi="Garamond" w:cs="Times New Roman"/>
          <w:b/>
          <w:sz w:val="24"/>
          <w:szCs w:val="20"/>
          <w:u w:val="single"/>
        </w:rPr>
      </w:pPr>
      <w:r w:rsidRPr="008373E2">
        <w:rPr>
          <w:rFonts w:ascii="Garamond" w:hAnsi="Garamond" w:cs="Times New Roman"/>
          <w:b/>
          <w:sz w:val="24"/>
          <w:szCs w:val="20"/>
          <w:u w:val="single"/>
        </w:rPr>
        <w:t xml:space="preserve">6. </w:t>
      </w:r>
      <w:r w:rsidR="009560C4" w:rsidRPr="008373E2">
        <w:rPr>
          <w:rFonts w:ascii="Garamond" w:hAnsi="Garamond" w:cs="Times New Roman"/>
          <w:b/>
          <w:sz w:val="24"/>
          <w:szCs w:val="20"/>
          <w:u w:val="single"/>
        </w:rPr>
        <w:t>Programs for Corrections Education and the Education of Other Institutionalized Individuals (AEFLA Section 225): What was the relative rate of recidivism for criminal offenders served? Please describe the methods and factors used in calculating the rate for this reporting period.</w:t>
      </w:r>
    </w:p>
    <w:p w14:paraId="23F22B82" w14:textId="7020A2DD" w:rsidR="00F36404" w:rsidRDefault="004B4DE1" w:rsidP="009560C4">
      <w:pPr>
        <w:spacing w:after="120"/>
        <w:rPr>
          <w:rFonts w:ascii="Garamond" w:hAnsi="Garamond" w:cs="Times New Roman"/>
          <w:sz w:val="24"/>
          <w:szCs w:val="20"/>
        </w:rPr>
      </w:pPr>
      <w:r w:rsidRPr="008373E2">
        <w:rPr>
          <w:rFonts w:ascii="Garamond" w:hAnsi="Garamond" w:cs="Times New Roman"/>
          <w:sz w:val="24"/>
          <w:szCs w:val="20"/>
        </w:rPr>
        <w:lastRenderedPageBreak/>
        <w:t>These data were provided to NMHED</w:t>
      </w:r>
      <w:r w:rsidR="00105457" w:rsidRPr="008373E2">
        <w:rPr>
          <w:rFonts w:ascii="Garamond" w:hAnsi="Garamond" w:cs="Times New Roman"/>
          <w:sz w:val="24"/>
          <w:szCs w:val="20"/>
        </w:rPr>
        <w:t>-</w:t>
      </w:r>
      <w:r w:rsidRPr="008373E2">
        <w:rPr>
          <w:rFonts w:ascii="Garamond" w:hAnsi="Garamond" w:cs="Times New Roman"/>
          <w:sz w:val="24"/>
          <w:szCs w:val="20"/>
        </w:rPr>
        <w:t xml:space="preserve">AE by the New Mexico Corrections Department (NMCD) </w:t>
      </w:r>
      <w:r w:rsidR="007D00B2">
        <w:rPr>
          <w:rFonts w:ascii="Garamond" w:hAnsi="Garamond" w:cs="Times New Roman"/>
          <w:sz w:val="24"/>
          <w:szCs w:val="20"/>
        </w:rPr>
        <w:t xml:space="preserve">in </w:t>
      </w:r>
      <w:r w:rsidR="000539B6">
        <w:rPr>
          <w:rFonts w:ascii="Garamond" w:hAnsi="Garamond" w:cs="Times New Roman"/>
          <w:sz w:val="24"/>
          <w:szCs w:val="20"/>
        </w:rPr>
        <w:t>December 2021 and</w:t>
      </w:r>
      <w:r w:rsidRPr="008373E2">
        <w:rPr>
          <w:rFonts w:ascii="Garamond" w:hAnsi="Garamond" w:cs="Times New Roman"/>
          <w:sz w:val="24"/>
          <w:szCs w:val="20"/>
        </w:rPr>
        <w:t xml:space="preserve"> were based on prison releases and institutional intakes where the intake occurs after the release date</w:t>
      </w:r>
      <w:r w:rsidR="00105457" w:rsidRPr="008373E2">
        <w:rPr>
          <w:rFonts w:ascii="Garamond" w:hAnsi="Garamond" w:cs="Times New Roman"/>
          <w:sz w:val="24"/>
          <w:szCs w:val="20"/>
        </w:rPr>
        <w:t>,</w:t>
      </w:r>
      <w:r w:rsidRPr="008373E2">
        <w:rPr>
          <w:rFonts w:ascii="Garamond" w:hAnsi="Garamond" w:cs="Times New Roman"/>
          <w:sz w:val="24"/>
          <w:szCs w:val="20"/>
        </w:rPr>
        <w:t xml:space="preserve"> indicating a return to custody status.</w:t>
      </w:r>
      <w:r w:rsidR="00EB1CD0">
        <w:rPr>
          <w:rFonts w:ascii="Garamond" w:hAnsi="Garamond" w:cs="Times New Roman"/>
          <w:sz w:val="24"/>
          <w:szCs w:val="20"/>
        </w:rPr>
        <w:t xml:space="preserve"> </w:t>
      </w:r>
      <w:r w:rsidRPr="008373E2">
        <w:rPr>
          <w:rFonts w:ascii="Garamond" w:hAnsi="Garamond" w:cs="Times New Roman"/>
          <w:sz w:val="24"/>
          <w:szCs w:val="20"/>
        </w:rPr>
        <w:t xml:space="preserve">NMCD took </w:t>
      </w:r>
      <w:r w:rsidR="00770999" w:rsidRPr="008373E2">
        <w:rPr>
          <w:rFonts w:ascii="Garamond" w:hAnsi="Garamond" w:cs="Times New Roman"/>
          <w:sz w:val="24"/>
          <w:szCs w:val="20"/>
        </w:rPr>
        <w:t>‘</w:t>
      </w:r>
      <w:r w:rsidRPr="008373E2">
        <w:rPr>
          <w:rFonts w:ascii="Garamond" w:hAnsi="Garamond" w:cs="Times New Roman"/>
          <w:sz w:val="24"/>
          <w:szCs w:val="20"/>
        </w:rPr>
        <w:t>offenders</w:t>
      </w:r>
      <w:r w:rsidR="00770999" w:rsidRPr="008373E2">
        <w:rPr>
          <w:rFonts w:ascii="Garamond" w:hAnsi="Garamond" w:cs="Times New Roman"/>
          <w:sz w:val="24"/>
          <w:szCs w:val="20"/>
        </w:rPr>
        <w:t>’</w:t>
      </w:r>
      <w:r w:rsidRPr="008373E2">
        <w:rPr>
          <w:rFonts w:ascii="Garamond" w:hAnsi="Garamond" w:cs="Times New Roman"/>
          <w:sz w:val="24"/>
          <w:szCs w:val="20"/>
        </w:rPr>
        <w:t xml:space="preserve"> </w:t>
      </w:r>
      <w:r w:rsidR="00F94F41" w:rsidRPr="008373E2">
        <w:rPr>
          <w:rFonts w:ascii="Garamond" w:hAnsi="Garamond" w:cs="Times New Roman"/>
          <w:sz w:val="24"/>
          <w:szCs w:val="20"/>
        </w:rPr>
        <w:t xml:space="preserve">(sic) </w:t>
      </w:r>
      <w:r w:rsidRPr="008373E2">
        <w:rPr>
          <w:rFonts w:ascii="Garamond" w:hAnsi="Garamond" w:cs="Times New Roman"/>
          <w:sz w:val="24"/>
          <w:szCs w:val="20"/>
        </w:rPr>
        <w:t>from the NM</w:t>
      </w:r>
      <w:r w:rsidR="00770999" w:rsidRPr="008373E2">
        <w:rPr>
          <w:rFonts w:ascii="Garamond" w:hAnsi="Garamond" w:cs="Times New Roman"/>
          <w:sz w:val="24"/>
          <w:szCs w:val="20"/>
        </w:rPr>
        <w:t>HED-AE</w:t>
      </w:r>
      <w:r w:rsidRPr="008373E2">
        <w:rPr>
          <w:rFonts w:ascii="Garamond" w:hAnsi="Garamond" w:cs="Times New Roman"/>
          <w:sz w:val="24"/>
          <w:szCs w:val="20"/>
        </w:rPr>
        <w:t xml:space="preserve"> LACES database </w:t>
      </w:r>
      <w:r w:rsidR="00770999" w:rsidRPr="008373E2">
        <w:rPr>
          <w:rFonts w:ascii="Garamond" w:hAnsi="Garamond" w:cs="Times New Roman"/>
          <w:sz w:val="24"/>
          <w:szCs w:val="20"/>
        </w:rPr>
        <w:t>(</w:t>
      </w:r>
      <w:r w:rsidRPr="008373E2">
        <w:rPr>
          <w:rFonts w:ascii="Garamond" w:hAnsi="Garamond" w:cs="Times New Roman"/>
          <w:sz w:val="24"/>
          <w:szCs w:val="20"/>
        </w:rPr>
        <w:t>NRS Table 4</w:t>
      </w:r>
      <w:r w:rsidR="00770999" w:rsidRPr="008373E2">
        <w:rPr>
          <w:rFonts w:ascii="Garamond" w:hAnsi="Garamond" w:cs="Times New Roman"/>
          <w:sz w:val="24"/>
          <w:szCs w:val="20"/>
        </w:rPr>
        <w:t>)</w:t>
      </w:r>
      <w:r w:rsidRPr="008373E2">
        <w:rPr>
          <w:rFonts w:ascii="Garamond" w:hAnsi="Garamond" w:cs="Times New Roman"/>
          <w:sz w:val="24"/>
          <w:szCs w:val="20"/>
        </w:rPr>
        <w:t xml:space="preserve"> during FY1</w:t>
      </w:r>
      <w:r w:rsidR="008373E2">
        <w:rPr>
          <w:rFonts w:ascii="Garamond" w:hAnsi="Garamond" w:cs="Times New Roman"/>
          <w:sz w:val="24"/>
          <w:szCs w:val="20"/>
        </w:rPr>
        <w:t>8</w:t>
      </w:r>
      <w:r w:rsidRPr="008373E2">
        <w:rPr>
          <w:rFonts w:ascii="Garamond" w:hAnsi="Garamond" w:cs="Times New Roman"/>
          <w:sz w:val="24"/>
          <w:szCs w:val="20"/>
        </w:rPr>
        <w:t xml:space="preserve"> and compared them against the population released during FY1</w:t>
      </w:r>
      <w:r w:rsidR="008373E2">
        <w:rPr>
          <w:rFonts w:ascii="Garamond" w:hAnsi="Garamond" w:cs="Times New Roman"/>
          <w:sz w:val="24"/>
          <w:szCs w:val="20"/>
        </w:rPr>
        <w:t>8</w:t>
      </w:r>
      <w:r w:rsidRPr="008373E2">
        <w:rPr>
          <w:rFonts w:ascii="Garamond" w:hAnsi="Garamond" w:cs="Times New Roman"/>
          <w:sz w:val="24"/>
          <w:szCs w:val="20"/>
        </w:rPr>
        <w:t xml:space="preserve"> to determine the population from NRS Table 4 that were released. NMCD then calculated the recidivism rate for the overall population released in FY1</w:t>
      </w:r>
      <w:r w:rsidR="007D00B2">
        <w:rPr>
          <w:rFonts w:ascii="Garamond" w:hAnsi="Garamond" w:cs="Times New Roman"/>
          <w:sz w:val="24"/>
          <w:szCs w:val="20"/>
        </w:rPr>
        <w:t>8</w:t>
      </w:r>
      <w:r w:rsidRPr="008373E2">
        <w:rPr>
          <w:rFonts w:ascii="Garamond" w:hAnsi="Garamond" w:cs="Times New Roman"/>
          <w:sz w:val="24"/>
          <w:szCs w:val="20"/>
        </w:rPr>
        <w:t xml:space="preserve"> and those</w:t>
      </w:r>
      <w:r w:rsidR="00770999" w:rsidRPr="008373E2">
        <w:rPr>
          <w:rFonts w:ascii="Garamond" w:hAnsi="Garamond" w:cs="Times New Roman"/>
          <w:sz w:val="24"/>
          <w:szCs w:val="20"/>
        </w:rPr>
        <w:t xml:space="preserve"> individuals</w:t>
      </w:r>
      <w:r w:rsidRPr="008373E2">
        <w:rPr>
          <w:rFonts w:ascii="Garamond" w:hAnsi="Garamond" w:cs="Times New Roman"/>
          <w:sz w:val="24"/>
          <w:szCs w:val="20"/>
        </w:rPr>
        <w:t xml:space="preserve"> who returned to </w:t>
      </w:r>
      <w:r w:rsidR="00770999" w:rsidRPr="008373E2">
        <w:rPr>
          <w:rFonts w:ascii="Garamond" w:hAnsi="Garamond" w:cs="Times New Roman"/>
          <w:sz w:val="24"/>
          <w:szCs w:val="20"/>
        </w:rPr>
        <w:t>NMCD</w:t>
      </w:r>
      <w:r w:rsidRPr="008373E2">
        <w:rPr>
          <w:rFonts w:ascii="Garamond" w:hAnsi="Garamond" w:cs="Times New Roman"/>
          <w:sz w:val="24"/>
          <w:szCs w:val="20"/>
        </w:rPr>
        <w:t xml:space="preserve"> custody within a </w:t>
      </w:r>
      <w:r w:rsidR="00BA222E" w:rsidRPr="008373E2">
        <w:rPr>
          <w:rFonts w:ascii="Garamond" w:hAnsi="Garamond" w:cs="Times New Roman"/>
          <w:sz w:val="24"/>
          <w:szCs w:val="20"/>
        </w:rPr>
        <w:t>3-year</w:t>
      </w:r>
      <w:r w:rsidRPr="008373E2">
        <w:rPr>
          <w:rFonts w:ascii="Garamond" w:hAnsi="Garamond" w:cs="Times New Roman"/>
          <w:sz w:val="24"/>
          <w:szCs w:val="20"/>
        </w:rPr>
        <w:t xml:space="preserve"> </w:t>
      </w:r>
      <w:r w:rsidR="000539B6" w:rsidRPr="008373E2">
        <w:rPr>
          <w:rFonts w:ascii="Garamond" w:hAnsi="Garamond" w:cs="Times New Roman"/>
          <w:sz w:val="24"/>
          <w:szCs w:val="20"/>
        </w:rPr>
        <w:t>period</w:t>
      </w:r>
      <w:r w:rsidRPr="008373E2">
        <w:rPr>
          <w:rFonts w:ascii="Garamond" w:hAnsi="Garamond" w:cs="Times New Roman"/>
          <w:sz w:val="24"/>
          <w:szCs w:val="20"/>
        </w:rPr>
        <w:t xml:space="preserve">, and </w:t>
      </w:r>
      <w:r w:rsidR="00770999" w:rsidRPr="008373E2">
        <w:rPr>
          <w:rFonts w:ascii="Garamond" w:hAnsi="Garamond" w:cs="Times New Roman"/>
          <w:sz w:val="24"/>
          <w:szCs w:val="20"/>
        </w:rPr>
        <w:t xml:space="preserve">then </w:t>
      </w:r>
      <w:r w:rsidRPr="008373E2">
        <w:rPr>
          <w:rFonts w:ascii="Garamond" w:hAnsi="Garamond" w:cs="Times New Roman"/>
          <w:sz w:val="24"/>
          <w:szCs w:val="20"/>
        </w:rPr>
        <w:t xml:space="preserve">further broke it down by those </w:t>
      </w:r>
      <w:r w:rsidR="00790692" w:rsidRPr="008373E2">
        <w:rPr>
          <w:rFonts w:ascii="Garamond" w:hAnsi="Garamond" w:cs="Times New Roman"/>
          <w:sz w:val="24"/>
          <w:szCs w:val="20"/>
        </w:rPr>
        <w:t>who</w:t>
      </w:r>
      <w:r w:rsidRPr="008373E2">
        <w:rPr>
          <w:rFonts w:ascii="Garamond" w:hAnsi="Garamond" w:cs="Times New Roman"/>
          <w:sz w:val="24"/>
          <w:szCs w:val="20"/>
        </w:rPr>
        <w:t xml:space="preserve"> met the NRS Table 4 criteria (adult education students) and those that did not meet the NRS Table 4 criteria (not adult education </w:t>
      </w:r>
      <w:r w:rsidR="00E92C3D" w:rsidRPr="008373E2">
        <w:rPr>
          <w:rFonts w:ascii="Garamond" w:hAnsi="Garamond" w:cs="Times New Roman"/>
          <w:sz w:val="24"/>
          <w:szCs w:val="20"/>
        </w:rPr>
        <w:t>students</w:t>
      </w:r>
      <w:r w:rsidRPr="008373E2">
        <w:rPr>
          <w:rFonts w:ascii="Garamond" w:hAnsi="Garamond" w:cs="Times New Roman"/>
          <w:sz w:val="24"/>
          <w:szCs w:val="20"/>
        </w:rPr>
        <w:t>).</w:t>
      </w:r>
      <w:r w:rsidR="00F36404">
        <w:rPr>
          <w:rFonts w:ascii="Garamond" w:hAnsi="Garamond" w:cs="Times New Roman"/>
          <w:sz w:val="24"/>
          <w:szCs w:val="20"/>
        </w:rPr>
        <w:t xml:space="preserve"> </w:t>
      </w:r>
    </w:p>
    <w:p w14:paraId="2EE46A8A" w14:textId="77777777" w:rsidR="00097DEF" w:rsidRDefault="00097DEF" w:rsidP="00097DEF">
      <w:pPr>
        <w:autoSpaceDE w:val="0"/>
        <w:autoSpaceDN w:val="0"/>
        <w:adjustRightInd w:val="0"/>
        <w:spacing w:after="0" w:line="240" w:lineRule="auto"/>
        <w:jc w:val="center"/>
        <w:rPr>
          <w:rFonts w:ascii="Arial,Bold" w:hAnsi="Arial,Bold" w:cs="Arial,Bold"/>
          <w:b/>
          <w:bCs/>
          <w:sz w:val="23"/>
          <w:szCs w:val="23"/>
        </w:rPr>
      </w:pPr>
      <w:r>
        <w:rPr>
          <w:rFonts w:ascii="Arial,Bold" w:hAnsi="Arial,Bold" w:cs="Arial,Bold"/>
          <w:b/>
          <w:bCs/>
          <w:sz w:val="23"/>
          <w:szCs w:val="23"/>
        </w:rPr>
        <w:t>Recidivism Analysis</w:t>
      </w:r>
    </w:p>
    <w:p w14:paraId="0BD7FC90" w14:textId="77777777" w:rsidR="00097DEF" w:rsidRDefault="00097DEF" w:rsidP="00097DEF">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Offenders released from custody between 7/1/2017 and 6/30/2018 and returned to custody within 36 months.</w:t>
      </w:r>
    </w:p>
    <w:p w14:paraId="7800DE46" w14:textId="77777777" w:rsidR="009C0DED" w:rsidRPr="008E09DC" w:rsidRDefault="00097DEF" w:rsidP="00097DEF">
      <w:pPr>
        <w:pStyle w:val="BodyText"/>
        <w:spacing w:before="11"/>
        <w:jc w:val="center"/>
        <w:rPr>
          <w:sz w:val="15"/>
          <w:highlight w:val="yellow"/>
        </w:rPr>
      </w:pPr>
      <w:r>
        <w:t>Data for this analysis is complete</w:t>
      </w:r>
    </w:p>
    <w:p w14:paraId="545C2BF3" w14:textId="77777777" w:rsidR="009C0DED" w:rsidRDefault="009C0DED" w:rsidP="009C0DED">
      <w:pPr>
        <w:ind w:left="460"/>
        <w:rPr>
          <w:b/>
          <w:w w:val="105"/>
          <w:sz w:val="17"/>
        </w:rPr>
      </w:pPr>
      <w:r w:rsidRPr="00097DEF">
        <w:rPr>
          <w:b/>
          <w:w w:val="105"/>
          <w:sz w:val="17"/>
        </w:rPr>
        <w:t>All Releases</w:t>
      </w:r>
    </w:p>
    <w:tbl>
      <w:tblPr>
        <w:tblStyle w:val="TableGrid"/>
        <w:tblW w:w="0" w:type="auto"/>
        <w:tblInd w:w="460" w:type="dxa"/>
        <w:tblLook w:val="04A0" w:firstRow="1" w:lastRow="0" w:firstColumn="1" w:lastColumn="0" w:noHBand="0" w:noVBand="1"/>
      </w:tblPr>
      <w:tblGrid>
        <w:gridCol w:w="1501"/>
        <w:gridCol w:w="824"/>
        <w:gridCol w:w="2155"/>
        <w:gridCol w:w="726"/>
        <w:gridCol w:w="2331"/>
        <w:gridCol w:w="459"/>
      </w:tblGrid>
      <w:tr w:rsidR="00626ABA" w14:paraId="60D9CA6A" w14:textId="77777777" w:rsidTr="00626ABA">
        <w:tc>
          <w:tcPr>
            <w:tcW w:w="1501" w:type="dxa"/>
          </w:tcPr>
          <w:p w14:paraId="6F0EE151" w14:textId="77777777" w:rsidR="00097DEF" w:rsidRPr="00626ABA" w:rsidRDefault="00097DEF" w:rsidP="009C0DED">
            <w:pPr>
              <w:rPr>
                <w:sz w:val="17"/>
              </w:rPr>
            </w:pPr>
            <w:r w:rsidRPr="00626ABA">
              <w:rPr>
                <w:sz w:val="17"/>
              </w:rPr>
              <w:t>Total Releases</w:t>
            </w:r>
            <w:r w:rsidR="00626ABA">
              <w:rPr>
                <w:sz w:val="17"/>
              </w:rPr>
              <w:t>:</w:t>
            </w:r>
          </w:p>
        </w:tc>
        <w:tc>
          <w:tcPr>
            <w:tcW w:w="824" w:type="dxa"/>
          </w:tcPr>
          <w:p w14:paraId="28E6CAAD" w14:textId="77777777" w:rsidR="00097DEF" w:rsidRPr="00626ABA" w:rsidRDefault="00097DEF" w:rsidP="009C0DED">
            <w:pPr>
              <w:rPr>
                <w:sz w:val="17"/>
              </w:rPr>
            </w:pPr>
            <w:r w:rsidRPr="00626ABA">
              <w:rPr>
                <w:sz w:val="17"/>
              </w:rPr>
              <w:t>3428</w:t>
            </w:r>
          </w:p>
        </w:tc>
        <w:tc>
          <w:tcPr>
            <w:tcW w:w="2155" w:type="dxa"/>
          </w:tcPr>
          <w:p w14:paraId="38FA1834" w14:textId="77777777" w:rsidR="00097DEF" w:rsidRPr="00626ABA" w:rsidRDefault="00626ABA" w:rsidP="009C0DED">
            <w:pPr>
              <w:rPr>
                <w:sz w:val="17"/>
              </w:rPr>
            </w:pPr>
            <w:r w:rsidRPr="00626ABA">
              <w:rPr>
                <w:sz w:val="17"/>
              </w:rPr>
              <w:t>Distinct Offenders Released:</w:t>
            </w:r>
          </w:p>
        </w:tc>
        <w:tc>
          <w:tcPr>
            <w:tcW w:w="726" w:type="dxa"/>
          </w:tcPr>
          <w:p w14:paraId="6D7F560F" w14:textId="77777777" w:rsidR="00097DEF" w:rsidRPr="00626ABA" w:rsidRDefault="00626ABA" w:rsidP="009C0DED">
            <w:pPr>
              <w:rPr>
                <w:sz w:val="17"/>
              </w:rPr>
            </w:pPr>
            <w:r w:rsidRPr="00626ABA">
              <w:rPr>
                <w:sz w:val="17"/>
              </w:rPr>
              <w:t>3350</w:t>
            </w:r>
          </w:p>
          <w:p w14:paraId="49156F1D" w14:textId="77777777" w:rsidR="00626ABA" w:rsidRPr="00626ABA" w:rsidRDefault="00626ABA" w:rsidP="009C0DED">
            <w:pPr>
              <w:rPr>
                <w:sz w:val="17"/>
              </w:rPr>
            </w:pPr>
          </w:p>
        </w:tc>
        <w:tc>
          <w:tcPr>
            <w:tcW w:w="2331" w:type="dxa"/>
          </w:tcPr>
          <w:p w14:paraId="56549A81" w14:textId="77777777" w:rsidR="00097DEF" w:rsidRPr="00626ABA" w:rsidRDefault="00626ABA" w:rsidP="009C0DED">
            <w:pPr>
              <w:rPr>
                <w:sz w:val="17"/>
              </w:rPr>
            </w:pPr>
            <w:r w:rsidRPr="00626ABA">
              <w:rPr>
                <w:sz w:val="17"/>
              </w:rPr>
              <w:t>Multiple Releases:</w:t>
            </w:r>
          </w:p>
        </w:tc>
        <w:tc>
          <w:tcPr>
            <w:tcW w:w="459" w:type="dxa"/>
          </w:tcPr>
          <w:p w14:paraId="06B82115" w14:textId="77777777" w:rsidR="00097DEF" w:rsidRPr="00626ABA" w:rsidRDefault="00626ABA" w:rsidP="009C0DED">
            <w:pPr>
              <w:rPr>
                <w:sz w:val="17"/>
              </w:rPr>
            </w:pPr>
            <w:r w:rsidRPr="00626ABA">
              <w:rPr>
                <w:sz w:val="17"/>
              </w:rPr>
              <w:t>78</w:t>
            </w:r>
          </w:p>
        </w:tc>
      </w:tr>
      <w:tr w:rsidR="00626ABA" w14:paraId="27D3B29E" w14:textId="77777777" w:rsidTr="00626ABA">
        <w:tc>
          <w:tcPr>
            <w:tcW w:w="1501" w:type="dxa"/>
          </w:tcPr>
          <w:p w14:paraId="1E372FA8" w14:textId="77777777" w:rsidR="00097DEF" w:rsidRPr="00626ABA" w:rsidRDefault="00626ABA" w:rsidP="009C0DED">
            <w:pPr>
              <w:rPr>
                <w:b/>
                <w:sz w:val="17"/>
              </w:rPr>
            </w:pPr>
            <w:r w:rsidRPr="00626ABA">
              <w:rPr>
                <w:b/>
                <w:sz w:val="17"/>
              </w:rPr>
              <w:t>From Table 4</w:t>
            </w:r>
            <w:r>
              <w:rPr>
                <w:b/>
                <w:sz w:val="17"/>
              </w:rPr>
              <w:t>:</w:t>
            </w:r>
          </w:p>
        </w:tc>
        <w:tc>
          <w:tcPr>
            <w:tcW w:w="824" w:type="dxa"/>
          </w:tcPr>
          <w:p w14:paraId="462C1021" w14:textId="77777777" w:rsidR="00097DEF" w:rsidRDefault="00626ABA" w:rsidP="009C0DED">
            <w:pPr>
              <w:rPr>
                <w:b/>
                <w:sz w:val="17"/>
              </w:rPr>
            </w:pPr>
            <w:r>
              <w:rPr>
                <w:b/>
                <w:sz w:val="17"/>
              </w:rPr>
              <w:t>509</w:t>
            </w:r>
          </w:p>
        </w:tc>
        <w:tc>
          <w:tcPr>
            <w:tcW w:w="2155" w:type="dxa"/>
          </w:tcPr>
          <w:p w14:paraId="2373A27F" w14:textId="77777777" w:rsidR="00097DEF" w:rsidRPr="00626ABA" w:rsidRDefault="00626ABA" w:rsidP="009C0DED">
            <w:pPr>
              <w:rPr>
                <w:sz w:val="17"/>
              </w:rPr>
            </w:pPr>
            <w:r w:rsidRPr="00626ABA">
              <w:rPr>
                <w:sz w:val="17"/>
              </w:rPr>
              <w:t>Distinct Recidivists:</w:t>
            </w:r>
          </w:p>
        </w:tc>
        <w:tc>
          <w:tcPr>
            <w:tcW w:w="726" w:type="dxa"/>
          </w:tcPr>
          <w:p w14:paraId="262DBA2E" w14:textId="77777777" w:rsidR="00097DEF" w:rsidRPr="00626ABA" w:rsidRDefault="00626ABA" w:rsidP="009C0DED">
            <w:pPr>
              <w:rPr>
                <w:sz w:val="17"/>
              </w:rPr>
            </w:pPr>
            <w:r w:rsidRPr="00626ABA">
              <w:rPr>
                <w:sz w:val="17"/>
              </w:rPr>
              <w:t>1477</w:t>
            </w:r>
          </w:p>
        </w:tc>
        <w:tc>
          <w:tcPr>
            <w:tcW w:w="2331" w:type="dxa"/>
          </w:tcPr>
          <w:p w14:paraId="434C3A99" w14:textId="77777777" w:rsidR="00097DEF" w:rsidRPr="00626ABA" w:rsidRDefault="00626ABA" w:rsidP="009C0DED">
            <w:pPr>
              <w:rPr>
                <w:sz w:val="17"/>
              </w:rPr>
            </w:pPr>
            <w:r w:rsidRPr="00626ABA">
              <w:rPr>
                <w:sz w:val="17"/>
              </w:rPr>
              <w:t>Multiple Returns:</w:t>
            </w:r>
          </w:p>
        </w:tc>
        <w:tc>
          <w:tcPr>
            <w:tcW w:w="459" w:type="dxa"/>
          </w:tcPr>
          <w:p w14:paraId="5E70C8C9" w14:textId="77777777" w:rsidR="00097DEF" w:rsidRPr="00626ABA" w:rsidRDefault="00626ABA" w:rsidP="009C0DED">
            <w:pPr>
              <w:rPr>
                <w:sz w:val="17"/>
              </w:rPr>
            </w:pPr>
            <w:r w:rsidRPr="00626ABA">
              <w:rPr>
                <w:sz w:val="17"/>
              </w:rPr>
              <w:t>20</w:t>
            </w:r>
          </w:p>
        </w:tc>
      </w:tr>
      <w:tr w:rsidR="00626ABA" w14:paraId="21B508F8" w14:textId="77777777" w:rsidTr="00626ABA">
        <w:tc>
          <w:tcPr>
            <w:tcW w:w="1501" w:type="dxa"/>
          </w:tcPr>
          <w:p w14:paraId="7F782AF1" w14:textId="77777777" w:rsidR="00097DEF" w:rsidRPr="00626ABA" w:rsidRDefault="00626ABA" w:rsidP="009C0DED">
            <w:pPr>
              <w:rPr>
                <w:sz w:val="17"/>
              </w:rPr>
            </w:pPr>
            <w:r>
              <w:rPr>
                <w:sz w:val="17"/>
              </w:rPr>
              <w:t>Total Recidivists:</w:t>
            </w:r>
          </w:p>
        </w:tc>
        <w:tc>
          <w:tcPr>
            <w:tcW w:w="824" w:type="dxa"/>
          </w:tcPr>
          <w:p w14:paraId="40144DB2" w14:textId="77777777" w:rsidR="00626ABA" w:rsidRPr="00626ABA" w:rsidRDefault="00626ABA" w:rsidP="009C0DED">
            <w:pPr>
              <w:rPr>
                <w:sz w:val="17"/>
              </w:rPr>
            </w:pPr>
            <w:r w:rsidRPr="00626ABA">
              <w:rPr>
                <w:sz w:val="17"/>
              </w:rPr>
              <w:t>1497</w:t>
            </w:r>
          </w:p>
        </w:tc>
        <w:tc>
          <w:tcPr>
            <w:tcW w:w="2155" w:type="dxa"/>
          </w:tcPr>
          <w:p w14:paraId="65F5801A" w14:textId="77777777" w:rsidR="00097DEF" w:rsidRPr="00626ABA" w:rsidRDefault="00626ABA" w:rsidP="009C0DED">
            <w:pPr>
              <w:rPr>
                <w:sz w:val="17"/>
              </w:rPr>
            </w:pPr>
            <w:r w:rsidRPr="00626ABA">
              <w:rPr>
                <w:sz w:val="17"/>
              </w:rPr>
              <w:t>Recidivism Rate Distinct:</w:t>
            </w:r>
          </w:p>
        </w:tc>
        <w:tc>
          <w:tcPr>
            <w:tcW w:w="726" w:type="dxa"/>
          </w:tcPr>
          <w:p w14:paraId="16404881" w14:textId="77777777" w:rsidR="00097DEF" w:rsidRPr="00626ABA" w:rsidRDefault="00626ABA" w:rsidP="009C0DED">
            <w:pPr>
              <w:rPr>
                <w:sz w:val="17"/>
              </w:rPr>
            </w:pPr>
            <w:r w:rsidRPr="00626ABA">
              <w:rPr>
                <w:sz w:val="17"/>
              </w:rPr>
              <w:t>44.09%</w:t>
            </w:r>
          </w:p>
        </w:tc>
        <w:tc>
          <w:tcPr>
            <w:tcW w:w="2331" w:type="dxa"/>
          </w:tcPr>
          <w:p w14:paraId="3B2A3549" w14:textId="77777777" w:rsidR="00097DEF" w:rsidRDefault="00097DEF" w:rsidP="009C0DED">
            <w:pPr>
              <w:rPr>
                <w:b/>
                <w:sz w:val="17"/>
              </w:rPr>
            </w:pPr>
          </w:p>
        </w:tc>
        <w:tc>
          <w:tcPr>
            <w:tcW w:w="459" w:type="dxa"/>
          </w:tcPr>
          <w:p w14:paraId="5D4B02BE" w14:textId="77777777" w:rsidR="00097DEF" w:rsidRDefault="00097DEF" w:rsidP="009C0DED">
            <w:pPr>
              <w:rPr>
                <w:b/>
                <w:sz w:val="17"/>
              </w:rPr>
            </w:pPr>
          </w:p>
        </w:tc>
      </w:tr>
      <w:tr w:rsidR="00626ABA" w14:paraId="11134E89" w14:textId="77777777" w:rsidTr="00626ABA">
        <w:tc>
          <w:tcPr>
            <w:tcW w:w="1501" w:type="dxa"/>
          </w:tcPr>
          <w:p w14:paraId="3925D2AF" w14:textId="77777777" w:rsidR="00097DEF" w:rsidRDefault="00626ABA" w:rsidP="009C0DED">
            <w:pPr>
              <w:rPr>
                <w:b/>
                <w:sz w:val="17"/>
              </w:rPr>
            </w:pPr>
            <w:r>
              <w:rPr>
                <w:b/>
                <w:sz w:val="17"/>
              </w:rPr>
              <w:t>From Table 4:</w:t>
            </w:r>
          </w:p>
        </w:tc>
        <w:tc>
          <w:tcPr>
            <w:tcW w:w="824" w:type="dxa"/>
          </w:tcPr>
          <w:p w14:paraId="7B104D13" w14:textId="77777777" w:rsidR="00097DEF" w:rsidRDefault="00626ABA" w:rsidP="009C0DED">
            <w:pPr>
              <w:rPr>
                <w:b/>
                <w:sz w:val="17"/>
              </w:rPr>
            </w:pPr>
            <w:r>
              <w:rPr>
                <w:b/>
                <w:sz w:val="17"/>
              </w:rPr>
              <w:t>247</w:t>
            </w:r>
          </w:p>
        </w:tc>
        <w:tc>
          <w:tcPr>
            <w:tcW w:w="2155" w:type="dxa"/>
          </w:tcPr>
          <w:p w14:paraId="3B69D960" w14:textId="77777777" w:rsidR="00097DEF" w:rsidRPr="00626ABA" w:rsidRDefault="00626ABA" w:rsidP="009C0DED">
            <w:pPr>
              <w:rPr>
                <w:sz w:val="17"/>
              </w:rPr>
            </w:pPr>
            <w:r w:rsidRPr="00626ABA">
              <w:rPr>
                <w:sz w:val="17"/>
              </w:rPr>
              <w:t>Average Days Out, Distinct:</w:t>
            </w:r>
          </w:p>
        </w:tc>
        <w:tc>
          <w:tcPr>
            <w:tcW w:w="726" w:type="dxa"/>
          </w:tcPr>
          <w:p w14:paraId="66C4FAEF" w14:textId="77777777" w:rsidR="00097DEF" w:rsidRPr="00626ABA" w:rsidRDefault="00626ABA" w:rsidP="009C0DED">
            <w:pPr>
              <w:rPr>
                <w:sz w:val="17"/>
              </w:rPr>
            </w:pPr>
            <w:r w:rsidRPr="00626ABA">
              <w:rPr>
                <w:sz w:val="17"/>
              </w:rPr>
              <w:t>282</w:t>
            </w:r>
          </w:p>
        </w:tc>
        <w:tc>
          <w:tcPr>
            <w:tcW w:w="2331" w:type="dxa"/>
          </w:tcPr>
          <w:p w14:paraId="2DDB9278" w14:textId="77777777" w:rsidR="00097DEF" w:rsidRDefault="00097DEF" w:rsidP="009C0DED">
            <w:pPr>
              <w:rPr>
                <w:b/>
                <w:sz w:val="17"/>
              </w:rPr>
            </w:pPr>
          </w:p>
        </w:tc>
        <w:tc>
          <w:tcPr>
            <w:tcW w:w="459" w:type="dxa"/>
          </w:tcPr>
          <w:p w14:paraId="5B8ED1CB" w14:textId="77777777" w:rsidR="00097DEF" w:rsidRDefault="00097DEF" w:rsidP="009C0DED">
            <w:pPr>
              <w:rPr>
                <w:b/>
                <w:sz w:val="17"/>
              </w:rPr>
            </w:pPr>
          </w:p>
        </w:tc>
      </w:tr>
      <w:tr w:rsidR="00626ABA" w14:paraId="5BF69207" w14:textId="77777777" w:rsidTr="00626ABA">
        <w:tc>
          <w:tcPr>
            <w:tcW w:w="1501" w:type="dxa"/>
          </w:tcPr>
          <w:p w14:paraId="2CB8A5ED" w14:textId="77777777" w:rsidR="00097DEF" w:rsidRDefault="00097DEF" w:rsidP="009C0DED">
            <w:pPr>
              <w:rPr>
                <w:b/>
                <w:sz w:val="17"/>
              </w:rPr>
            </w:pPr>
          </w:p>
        </w:tc>
        <w:tc>
          <w:tcPr>
            <w:tcW w:w="824" w:type="dxa"/>
          </w:tcPr>
          <w:p w14:paraId="42C24BDD" w14:textId="77777777" w:rsidR="00097DEF" w:rsidRDefault="00097DEF" w:rsidP="009C0DED">
            <w:pPr>
              <w:rPr>
                <w:b/>
                <w:sz w:val="17"/>
              </w:rPr>
            </w:pPr>
          </w:p>
        </w:tc>
        <w:tc>
          <w:tcPr>
            <w:tcW w:w="2155" w:type="dxa"/>
          </w:tcPr>
          <w:p w14:paraId="32E5442A" w14:textId="77777777" w:rsidR="00097DEF" w:rsidRDefault="00097DEF" w:rsidP="009C0DED">
            <w:pPr>
              <w:rPr>
                <w:b/>
                <w:sz w:val="17"/>
              </w:rPr>
            </w:pPr>
          </w:p>
        </w:tc>
        <w:tc>
          <w:tcPr>
            <w:tcW w:w="726" w:type="dxa"/>
          </w:tcPr>
          <w:p w14:paraId="2074C1CC" w14:textId="77777777" w:rsidR="00097DEF" w:rsidRDefault="00097DEF" w:rsidP="009C0DED">
            <w:pPr>
              <w:rPr>
                <w:b/>
                <w:sz w:val="17"/>
              </w:rPr>
            </w:pPr>
          </w:p>
        </w:tc>
        <w:tc>
          <w:tcPr>
            <w:tcW w:w="2331" w:type="dxa"/>
          </w:tcPr>
          <w:p w14:paraId="3A3B6DFA" w14:textId="77777777" w:rsidR="00097DEF" w:rsidRDefault="00097DEF" w:rsidP="009C0DED">
            <w:pPr>
              <w:rPr>
                <w:b/>
                <w:sz w:val="17"/>
              </w:rPr>
            </w:pPr>
          </w:p>
        </w:tc>
        <w:tc>
          <w:tcPr>
            <w:tcW w:w="459" w:type="dxa"/>
          </w:tcPr>
          <w:p w14:paraId="14F6D282" w14:textId="77777777" w:rsidR="00097DEF" w:rsidRDefault="00097DEF" w:rsidP="009C0DED">
            <w:pPr>
              <w:rPr>
                <w:b/>
                <w:sz w:val="17"/>
              </w:rPr>
            </w:pPr>
          </w:p>
        </w:tc>
      </w:tr>
      <w:tr w:rsidR="00626ABA" w14:paraId="2B6339F1" w14:textId="77777777" w:rsidTr="00626ABA">
        <w:tc>
          <w:tcPr>
            <w:tcW w:w="1501" w:type="dxa"/>
          </w:tcPr>
          <w:p w14:paraId="1D4CF75A" w14:textId="77777777" w:rsidR="00097DEF" w:rsidRPr="00626ABA" w:rsidRDefault="00626ABA" w:rsidP="009C0DED">
            <w:pPr>
              <w:rPr>
                <w:sz w:val="17"/>
              </w:rPr>
            </w:pPr>
            <w:r>
              <w:rPr>
                <w:sz w:val="17"/>
              </w:rPr>
              <w:t>Recidivism Rate:</w:t>
            </w:r>
          </w:p>
        </w:tc>
        <w:tc>
          <w:tcPr>
            <w:tcW w:w="824" w:type="dxa"/>
          </w:tcPr>
          <w:p w14:paraId="2CBA053F" w14:textId="77777777" w:rsidR="00626ABA" w:rsidRPr="00626ABA" w:rsidRDefault="00626ABA" w:rsidP="009C0DED">
            <w:pPr>
              <w:rPr>
                <w:sz w:val="17"/>
              </w:rPr>
            </w:pPr>
            <w:r w:rsidRPr="00626ABA">
              <w:rPr>
                <w:sz w:val="17"/>
              </w:rPr>
              <w:t>43.67%</w:t>
            </w:r>
          </w:p>
        </w:tc>
        <w:tc>
          <w:tcPr>
            <w:tcW w:w="2155" w:type="dxa"/>
          </w:tcPr>
          <w:p w14:paraId="77681BA6" w14:textId="77777777" w:rsidR="00097DEF" w:rsidRDefault="00097DEF" w:rsidP="009C0DED">
            <w:pPr>
              <w:rPr>
                <w:b/>
                <w:sz w:val="17"/>
              </w:rPr>
            </w:pPr>
          </w:p>
        </w:tc>
        <w:tc>
          <w:tcPr>
            <w:tcW w:w="726" w:type="dxa"/>
          </w:tcPr>
          <w:p w14:paraId="6FF9A05E" w14:textId="77777777" w:rsidR="00097DEF" w:rsidRDefault="00097DEF" w:rsidP="009C0DED">
            <w:pPr>
              <w:rPr>
                <w:b/>
                <w:sz w:val="17"/>
              </w:rPr>
            </w:pPr>
          </w:p>
        </w:tc>
        <w:tc>
          <w:tcPr>
            <w:tcW w:w="2331" w:type="dxa"/>
          </w:tcPr>
          <w:p w14:paraId="568A3A19" w14:textId="77777777" w:rsidR="00097DEF" w:rsidRDefault="00097DEF" w:rsidP="009C0DED">
            <w:pPr>
              <w:rPr>
                <w:b/>
                <w:sz w:val="17"/>
              </w:rPr>
            </w:pPr>
          </w:p>
        </w:tc>
        <w:tc>
          <w:tcPr>
            <w:tcW w:w="459" w:type="dxa"/>
          </w:tcPr>
          <w:p w14:paraId="0FE3A5FB" w14:textId="77777777" w:rsidR="00097DEF" w:rsidRDefault="00097DEF" w:rsidP="009C0DED">
            <w:pPr>
              <w:rPr>
                <w:b/>
                <w:sz w:val="17"/>
              </w:rPr>
            </w:pPr>
          </w:p>
        </w:tc>
      </w:tr>
      <w:tr w:rsidR="00626ABA" w14:paraId="3C892431" w14:textId="77777777" w:rsidTr="00626ABA">
        <w:tc>
          <w:tcPr>
            <w:tcW w:w="1501" w:type="dxa"/>
          </w:tcPr>
          <w:p w14:paraId="18B2AF64" w14:textId="77777777" w:rsidR="00097DEF" w:rsidRDefault="00626ABA" w:rsidP="009C0DED">
            <w:pPr>
              <w:rPr>
                <w:b/>
                <w:sz w:val="17"/>
              </w:rPr>
            </w:pPr>
            <w:r>
              <w:rPr>
                <w:b/>
                <w:sz w:val="17"/>
              </w:rPr>
              <w:t>From Table 4:</w:t>
            </w:r>
          </w:p>
        </w:tc>
        <w:tc>
          <w:tcPr>
            <w:tcW w:w="824" w:type="dxa"/>
          </w:tcPr>
          <w:p w14:paraId="19FF44D4" w14:textId="77777777" w:rsidR="00097DEF" w:rsidRDefault="00626ABA" w:rsidP="009C0DED">
            <w:pPr>
              <w:rPr>
                <w:b/>
                <w:sz w:val="17"/>
              </w:rPr>
            </w:pPr>
            <w:r>
              <w:rPr>
                <w:b/>
                <w:sz w:val="17"/>
              </w:rPr>
              <w:t>48.53%</w:t>
            </w:r>
          </w:p>
        </w:tc>
        <w:tc>
          <w:tcPr>
            <w:tcW w:w="2155" w:type="dxa"/>
          </w:tcPr>
          <w:p w14:paraId="71004703" w14:textId="77777777" w:rsidR="00097DEF" w:rsidRDefault="00097DEF" w:rsidP="009C0DED">
            <w:pPr>
              <w:rPr>
                <w:b/>
                <w:sz w:val="17"/>
              </w:rPr>
            </w:pPr>
          </w:p>
        </w:tc>
        <w:tc>
          <w:tcPr>
            <w:tcW w:w="726" w:type="dxa"/>
          </w:tcPr>
          <w:p w14:paraId="32B141AA" w14:textId="77777777" w:rsidR="00097DEF" w:rsidRDefault="00097DEF" w:rsidP="009C0DED">
            <w:pPr>
              <w:rPr>
                <w:b/>
                <w:sz w:val="17"/>
              </w:rPr>
            </w:pPr>
          </w:p>
        </w:tc>
        <w:tc>
          <w:tcPr>
            <w:tcW w:w="2331" w:type="dxa"/>
          </w:tcPr>
          <w:p w14:paraId="5530EF19" w14:textId="77777777" w:rsidR="00097DEF" w:rsidRDefault="00097DEF" w:rsidP="009C0DED">
            <w:pPr>
              <w:rPr>
                <w:b/>
                <w:sz w:val="17"/>
              </w:rPr>
            </w:pPr>
          </w:p>
        </w:tc>
        <w:tc>
          <w:tcPr>
            <w:tcW w:w="459" w:type="dxa"/>
          </w:tcPr>
          <w:p w14:paraId="515171D7" w14:textId="77777777" w:rsidR="00097DEF" w:rsidRDefault="00097DEF" w:rsidP="009C0DED">
            <w:pPr>
              <w:rPr>
                <w:b/>
                <w:sz w:val="17"/>
              </w:rPr>
            </w:pPr>
          </w:p>
        </w:tc>
      </w:tr>
      <w:tr w:rsidR="00626ABA" w14:paraId="69A6853E" w14:textId="77777777" w:rsidTr="00626ABA">
        <w:tc>
          <w:tcPr>
            <w:tcW w:w="1501" w:type="dxa"/>
          </w:tcPr>
          <w:p w14:paraId="743E3288" w14:textId="77777777" w:rsidR="00626ABA" w:rsidRDefault="00626ABA" w:rsidP="009C0DED">
            <w:pPr>
              <w:rPr>
                <w:b/>
                <w:sz w:val="17"/>
              </w:rPr>
            </w:pPr>
          </w:p>
        </w:tc>
        <w:tc>
          <w:tcPr>
            <w:tcW w:w="824" w:type="dxa"/>
          </w:tcPr>
          <w:p w14:paraId="1125773B" w14:textId="77777777" w:rsidR="00626ABA" w:rsidRDefault="00626ABA" w:rsidP="009C0DED">
            <w:pPr>
              <w:rPr>
                <w:b/>
                <w:sz w:val="17"/>
              </w:rPr>
            </w:pPr>
          </w:p>
        </w:tc>
        <w:tc>
          <w:tcPr>
            <w:tcW w:w="2155" w:type="dxa"/>
          </w:tcPr>
          <w:p w14:paraId="655BD498" w14:textId="77777777" w:rsidR="00626ABA" w:rsidRDefault="00626ABA" w:rsidP="009C0DED">
            <w:pPr>
              <w:rPr>
                <w:b/>
                <w:sz w:val="17"/>
              </w:rPr>
            </w:pPr>
          </w:p>
        </w:tc>
        <w:tc>
          <w:tcPr>
            <w:tcW w:w="726" w:type="dxa"/>
          </w:tcPr>
          <w:p w14:paraId="0EF7B3F9" w14:textId="77777777" w:rsidR="00626ABA" w:rsidRDefault="00626ABA" w:rsidP="009C0DED">
            <w:pPr>
              <w:rPr>
                <w:b/>
                <w:sz w:val="17"/>
              </w:rPr>
            </w:pPr>
          </w:p>
        </w:tc>
        <w:tc>
          <w:tcPr>
            <w:tcW w:w="2331" w:type="dxa"/>
          </w:tcPr>
          <w:p w14:paraId="4FC00862" w14:textId="77777777" w:rsidR="00626ABA" w:rsidRDefault="00626ABA" w:rsidP="009C0DED">
            <w:pPr>
              <w:rPr>
                <w:b/>
                <w:sz w:val="17"/>
              </w:rPr>
            </w:pPr>
          </w:p>
        </w:tc>
        <w:tc>
          <w:tcPr>
            <w:tcW w:w="459" w:type="dxa"/>
          </w:tcPr>
          <w:p w14:paraId="150E88E5" w14:textId="77777777" w:rsidR="00626ABA" w:rsidRDefault="00626ABA" w:rsidP="009C0DED">
            <w:pPr>
              <w:rPr>
                <w:b/>
                <w:sz w:val="17"/>
              </w:rPr>
            </w:pPr>
          </w:p>
        </w:tc>
      </w:tr>
      <w:tr w:rsidR="00626ABA" w14:paraId="44B56B49" w14:textId="77777777" w:rsidTr="00626ABA">
        <w:tc>
          <w:tcPr>
            <w:tcW w:w="1501" w:type="dxa"/>
          </w:tcPr>
          <w:p w14:paraId="34528360" w14:textId="77777777" w:rsidR="00626ABA" w:rsidRPr="00626ABA" w:rsidRDefault="00626ABA" w:rsidP="009C0DED">
            <w:pPr>
              <w:rPr>
                <w:sz w:val="17"/>
              </w:rPr>
            </w:pPr>
            <w:r>
              <w:rPr>
                <w:sz w:val="17"/>
              </w:rPr>
              <w:t>Average Days Out:</w:t>
            </w:r>
          </w:p>
        </w:tc>
        <w:tc>
          <w:tcPr>
            <w:tcW w:w="824" w:type="dxa"/>
          </w:tcPr>
          <w:p w14:paraId="5C86CA46" w14:textId="77777777" w:rsidR="00626ABA" w:rsidRPr="00626ABA" w:rsidRDefault="00626ABA" w:rsidP="009C0DED">
            <w:pPr>
              <w:rPr>
                <w:sz w:val="17"/>
              </w:rPr>
            </w:pPr>
            <w:r w:rsidRPr="00626ABA">
              <w:rPr>
                <w:sz w:val="17"/>
              </w:rPr>
              <w:t>283</w:t>
            </w:r>
          </w:p>
        </w:tc>
        <w:tc>
          <w:tcPr>
            <w:tcW w:w="2155" w:type="dxa"/>
          </w:tcPr>
          <w:p w14:paraId="3A0AB573" w14:textId="77777777" w:rsidR="00626ABA" w:rsidRDefault="00626ABA" w:rsidP="009C0DED">
            <w:pPr>
              <w:rPr>
                <w:b/>
                <w:sz w:val="17"/>
              </w:rPr>
            </w:pPr>
          </w:p>
        </w:tc>
        <w:tc>
          <w:tcPr>
            <w:tcW w:w="726" w:type="dxa"/>
          </w:tcPr>
          <w:p w14:paraId="47DFC455" w14:textId="77777777" w:rsidR="00626ABA" w:rsidRDefault="00626ABA" w:rsidP="009C0DED">
            <w:pPr>
              <w:rPr>
                <w:b/>
                <w:sz w:val="17"/>
              </w:rPr>
            </w:pPr>
          </w:p>
        </w:tc>
        <w:tc>
          <w:tcPr>
            <w:tcW w:w="2331" w:type="dxa"/>
          </w:tcPr>
          <w:p w14:paraId="6E7BDCA0" w14:textId="77777777" w:rsidR="00626ABA" w:rsidRDefault="00626ABA" w:rsidP="009C0DED">
            <w:pPr>
              <w:rPr>
                <w:b/>
                <w:sz w:val="17"/>
              </w:rPr>
            </w:pPr>
          </w:p>
        </w:tc>
        <w:tc>
          <w:tcPr>
            <w:tcW w:w="459" w:type="dxa"/>
          </w:tcPr>
          <w:p w14:paraId="20CBC79C" w14:textId="77777777" w:rsidR="00626ABA" w:rsidRDefault="00626ABA" w:rsidP="009C0DED">
            <w:pPr>
              <w:rPr>
                <w:b/>
                <w:sz w:val="17"/>
              </w:rPr>
            </w:pPr>
          </w:p>
        </w:tc>
      </w:tr>
      <w:tr w:rsidR="00626ABA" w14:paraId="24BCDA4F" w14:textId="77777777" w:rsidTr="00626ABA">
        <w:tc>
          <w:tcPr>
            <w:tcW w:w="1501" w:type="dxa"/>
          </w:tcPr>
          <w:p w14:paraId="7EE1B186" w14:textId="77777777" w:rsidR="00626ABA" w:rsidRDefault="00626ABA" w:rsidP="009C0DED">
            <w:pPr>
              <w:rPr>
                <w:sz w:val="17"/>
              </w:rPr>
            </w:pPr>
          </w:p>
        </w:tc>
        <w:tc>
          <w:tcPr>
            <w:tcW w:w="824" w:type="dxa"/>
          </w:tcPr>
          <w:p w14:paraId="33645200" w14:textId="77777777" w:rsidR="00626ABA" w:rsidRPr="00626ABA" w:rsidRDefault="00626ABA" w:rsidP="009C0DED">
            <w:pPr>
              <w:rPr>
                <w:sz w:val="17"/>
              </w:rPr>
            </w:pPr>
          </w:p>
        </w:tc>
        <w:tc>
          <w:tcPr>
            <w:tcW w:w="2155" w:type="dxa"/>
          </w:tcPr>
          <w:p w14:paraId="2AAA8844" w14:textId="77777777" w:rsidR="00626ABA" w:rsidRDefault="00626ABA" w:rsidP="009C0DED">
            <w:pPr>
              <w:rPr>
                <w:b/>
                <w:sz w:val="17"/>
              </w:rPr>
            </w:pPr>
          </w:p>
        </w:tc>
        <w:tc>
          <w:tcPr>
            <w:tcW w:w="726" w:type="dxa"/>
          </w:tcPr>
          <w:p w14:paraId="6B3A705E" w14:textId="77777777" w:rsidR="00626ABA" w:rsidRDefault="00626ABA" w:rsidP="009C0DED">
            <w:pPr>
              <w:rPr>
                <w:b/>
                <w:sz w:val="17"/>
              </w:rPr>
            </w:pPr>
          </w:p>
        </w:tc>
        <w:tc>
          <w:tcPr>
            <w:tcW w:w="2331" w:type="dxa"/>
          </w:tcPr>
          <w:p w14:paraId="3BF5B3EB" w14:textId="77777777" w:rsidR="00626ABA" w:rsidRDefault="00626ABA" w:rsidP="009C0DED">
            <w:pPr>
              <w:rPr>
                <w:b/>
                <w:sz w:val="17"/>
              </w:rPr>
            </w:pPr>
          </w:p>
        </w:tc>
        <w:tc>
          <w:tcPr>
            <w:tcW w:w="459" w:type="dxa"/>
          </w:tcPr>
          <w:p w14:paraId="5C041C41" w14:textId="77777777" w:rsidR="00626ABA" w:rsidRDefault="00626ABA" w:rsidP="009C0DED">
            <w:pPr>
              <w:rPr>
                <w:b/>
                <w:sz w:val="17"/>
              </w:rPr>
            </w:pPr>
          </w:p>
        </w:tc>
      </w:tr>
      <w:tr w:rsidR="00626ABA" w14:paraId="433B69EF" w14:textId="77777777" w:rsidTr="00626ABA">
        <w:tc>
          <w:tcPr>
            <w:tcW w:w="1501" w:type="dxa"/>
          </w:tcPr>
          <w:p w14:paraId="7C0FC35D" w14:textId="77777777" w:rsidR="00626ABA" w:rsidRPr="00626ABA" w:rsidRDefault="00626ABA" w:rsidP="009C0DED">
            <w:pPr>
              <w:rPr>
                <w:b/>
                <w:sz w:val="17"/>
              </w:rPr>
            </w:pPr>
            <w:r w:rsidRPr="00626ABA">
              <w:rPr>
                <w:b/>
                <w:sz w:val="17"/>
              </w:rPr>
              <w:t>Return Reasons</w:t>
            </w:r>
          </w:p>
        </w:tc>
        <w:tc>
          <w:tcPr>
            <w:tcW w:w="824" w:type="dxa"/>
          </w:tcPr>
          <w:p w14:paraId="03C6CF9C" w14:textId="77777777" w:rsidR="00626ABA" w:rsidRPr="00626ABA" w:rsidRDefault="00626ABA" w:rsidP="009C0DED">
            <w:pPr>
              <w:rPr>
                <w:b/>
                <w:sz w:val="17"/>
              </w:rPr>
            </w:pPr>
            <w:r w:rsidRPr="00626ABA">
              <w:rPr>
                <w:b/>
                <w:sz w:val="17"/>
              </w:rPr>
              <w:t>Count</w:t>
            </w:r>
          </w:p>
        </w:tc>
        <w:tc>
          <w:tcPr>
            <w:tcW w:w="2155" w:type="dxa"/>
          </w:tcPr>
          <w:p w14:paraId="7D173ADB" w14:textId="77777777" w:rsidR="00626ABA" w:rsidRDefault="00626ABA" w:rsidP="009C0DED">
            <w:pPr>
              <w:rPr>
                <w:b/>
                <w:sz w:val="17"/>
              </w:rPr>
            </w:pPr>
            <w:r>
              <w:rPr>
                <w:b/>
                <w:sz w:val="17"/>
              </w:rPr>
              <w:t>Rate Breakdown</w:t>
            </w:r>
          </w:p>
        </w:tc>
        <w:tc>
          <w:tcPr>
            <w:tcW w:w="726" w:type="dxa"/>
          </w:tcPr>
          <w:p w14:paraId="7F39E3AF" w14:textId="77777777" w:rsidR="00626ABA" w:rsidRDefault="00626ABA" w:rsidP="009C0DED">
            <w:pPr>
              <w:rPr>
                <w:b/>
                <w:sz w:val="17"/>
              </w:rPr>
            </w:pPr>
          </w:p>
        </w:tc>
        <w:tc>
          <w:tcPr>
            <w:tcW w:w="2331" w:type="dxa"/>
          </w:tcPr>
          <w:p w14:paraId="6AE0A1CA" w14:textId="77777777" w:rsidR="00626ABA" w:rsidRDefault="00626ABA" w:rsidP="009C0DED">
            <w:pPr>
              <w:rPr>
                <w:b/>
                <w:sz w:val="17"/>
              </w:rPr>
            </w:pPr>
          </w:p>
        </w:tc>
        <w:tc>
          <w:tcPr>
            <w:tcW w:w="459" w:type="dxa"/>
          </w:tcPr>
          <w:p w14:paraId="46ABADE8" w14:textId="77777777" w:rsidR="00626ABA" w:rsidRDefault="00626ABA" w:rsidP="009C0DED">
            <w:pPr>
              <w:rPr>
                <w:b/>
                <w:sz w:val="17"/>
              </w:rPr>
            </w:pPr>
          </w:p>
        </w:tc>
      </w:tr>
      <w:tr w:rsidR="00626ABA" w14:paraId="11930B60" w14:textId="77777777" w:rsidTr="00626ABA">
        <w:tc>
          <w:tcPr>
            <w:tcW w:w="1501" w:type="dxa"/>
          </w:tcPr>
          <w:p w14:paraId="595BC8B2" w14:textId="77777777" w:rsidR="00626ABA" w:rsidRPr="00626ABA" w:rsidRDefault="00626ABA" w:rsidP="009C0DED">
            <w:pPr>
              <w:rPr>
                <w:sz w:val="17"/>
              </w:rPr>
            </w:pPr>
            <w:r w:rsidRPr="00626ABA">
              <w:rPr>
                <w:sz w:val="17"/>
              </w:rPr>
              <w:t>Technical Parole Violations:</w:t>
            </w:r>
          </w:p>
        </w:tc>
        <w:tc>
          <w:tcPr>
            <w:tcW w:w="824" w:type="dxa"/>
          </w:tcPr>
          <w:p w14:paraId="312F2A75" w14:textId="77777777" w:rsidR="00626ABA" w:rsidRPr="00626ABA" w:rsidRDefault="00626ABA" w:rsidP="009C0DED">
            <w:pPr>
              <w:rPr>
                <w:sz w:val="17"/>
              </w:rPr>
            </w:pPr>
            <w:r w:rsidRPr="00626ABA">
              <w:rPr>
                <w:sz w:val="17"/>
              </w:rPr>
              <w:t>1053</w:t>
            </w:r>
          </w:p>
        </w:tc>
        <w:tc>
          <w:tcPr>
            <w:tcW w:w="2155" w:type="dxa"/>
          </w:tcPr>
          <w:p w14:paraId="797CA384" w14:textId="77777777" w:rsidR="00626ABA" w:rsidRPr="00626ABA" w:rsidRDefault="00626ABA" w:rsidP="009C0DED">
            <w:pPr>
              <w:rPr>
                <w:sz w:val="17"/>
              </w:rPr>
            </w:pPr>
            <w:r w:rsidRPr="00626ABA">
              <w:rPr>
                <w:sz w:val="17"/>
              </w:rPr>
              <w:t>30.72%</w:t>
            </w:r>
          </w:p>
        </w:tc>
        <w:tc>
          <w:tcPr>
            <w:tcW w:w="726" w:type="dxa"/>
          </w:tcPr>
          <w:p w14:paraId="3D99F710" w14:textId="77777777" w:rsidR="00626ABA" w:rsidRDefault="00626ABA" w:rsidP="009C0DED">
            <w:pPr>
              <w:rPr>
                <w:b/>
                <w:sz w:val="17"/>
              </w:rPr>
            </w:pPr>
          </w:p>
        </w:tc>
        <w:tc>
          <w:tcPr>
            <w:tcW w:w="2331" w:type="dxa"/>
          </w:tcPr>
          <w:p w14:paraId="56A8013F" w14:textId="77777777" w:rsidR="00626ABA" w:rsidRDefault="00626ABA" w:rsidP="009C0DED">
            <w:pPr>
              <w:rPr>
                <w:b/>
                <w:sz w:val="17"/>
              </w:rPr>
            </w:pPr>
          </w:p>
        </w:tc>
        <w:tc>
          <w:tcPr>
            <w:tcW w:w="459" w:type="dxa"/>
          </w:tcPr>
          <w:p w14:paraId="06449EF7" w14:textId="77777777" w:rsidR="00626ABA" w:rsidRDefault="00626ABA" w:rsidP="009C0DED">
            <w:pPr>
              <w:rPr>
                <w:b/>
                <w:sz w:val="17"/>
              </w:rPr>
            </w:pPr>
          </w:p>
        </w:tc>
      </w:tr>
      <w:tr w:rsidR="00626ABA" w14:paraId="7FF22A0D" w14:textId="77777777" w:rsidTr="00626ABA">
        <w:tc>
          <w:tcPr>
            <w:tcW w:w="1501" w:type="dxa"/>
          </w:tcPr>
          <w:p w14:paraId="51282AB4" w14:textId="77777777" w:rsidR="00626ABA" w:rsidRPr="00626ABA" w:rsidRDefault="00626ABA" w:rsidP="009C0DED">
            <w:pPr>
              <w:rPr>
                <w:sz w:val="17"/>
              </w:rPr>
            </w:pPr>
            <w:r w:rsidRPr="00626ABA">
              <w:rPr>
                <w:sz w:val="17"/>
              </w:rPr>
              <w:t>New Charges:</w:t>
            </w:r>
          </w:p>
        </w:tc>
        <w:tc>
          <w:tcPr>
            <w:tcW w:w="824" w:type="dxa"/>
          </w:tcPr>
          <w:p w14:paraId="0CFB2A83" w14:textId="77777777" w:rsidR="00626ABA" w:rsidRPr="00626ABA" w:rsidRDefault="00626ABA" w:rsidP="009C0DED">
            <w:pPr>
              <w:rPr>
                <w:sz w:val="17"/>
              </w:rPr>
            </w:pPr>
            <w:r w:rsidRPr="00626ABA">
              <w:rPr>
                <w:sz w:val="17"/>
              </w:rPr>
              <w:t>337</w:t>
            </w:r>
          </w:p>
        </w:tc>
        <w:tc>
          <w:tcPr>
            <w:tcW w:w="2155" w:type="dxa"/>
          </w:tcPr>
          <w:p w14:paraId="1A9AA561" w14:textId="77777777" w:rsidR="00626ABA" w:rsidRPr="00626ABA" w:rsidRDefault="00626ABA" w:rsidP="009C0DED">
            <w:pPr>
              <w:rPr>
                <w:sz w:val="17"/>
              </w:rPr>
            </w:pPr>
            <w:r w:rsidRPr="00626ABA">
              <w:rPr>
                <w:sz w:val="17"/>
              </w:rPr>
              <w:t>9.83%</w:t>
            </w:r>
          </w:p>
        </w:tc>
        <w:tc>
          <w:tcPr>
            <w:tcW w:w="726" w:type="dxa"/>
          </w:tcPr>
          <w:p w14:paraId="39C74026" w14:textId="77777777" w:rsidR="00626ABA" w:rsidRDefault="00626ABA" w:rsidP="009C0DED">
            <w:pPr>
              <w:rPr>
                <w:b/>
                <w:sz w:val="17"/>
              </w:rPr>
            </w:pPr>
          </w:p>
        </w:tc>
        <w:tc>
          <w:tcPr>
            <w:tcW w:w="2331" w:type="dxa"/>
          </w:tcPr>
          <w:p w14:paraId="2BF4B757" w14:textId="77777777" w:rsidR="00626ABA" w:rsidRDefault="00626ABA" w:rsidP="009C0DED">
            <w:pPr>
              <w:rPr>
                <w:b/>
                <w:sz w:val="17"/>
              </w:rPr>
            </w:pPr>
          </w:p>
        </w:tc>
        <w:tc>
          <w:tcPr>
            <w:tcW w:w="459" w:type="dxa"/>
          </w:tcPr>
          <w:p w14:paraId="662A4DA9" w14:textId="77777777" w:rsidR="00626ABA" w:rsidRDefault="00626ABA" w:rsidP="009C0DED">
            <w:pPr>
              <w:rPr>
                <w:b/>
                <w:sz w:val="17"/>
              </w:rPr>
            </w:pPr>
          </w:p>
        </w:tc>
      </w:tr>
      <w:tr w:rsidR="00626ABA" w14:paraId="7765F433" w14:textId="77777777" w:rsidTr="00626ABA">
        <w:tc>
          <w:tcPr>
            <w:tcW w:w="1501" w:type="dxa"/>
          </w:tcPr>
          <w:p w14:paraId="084436E0" w14:textId="77777777" w:rsidR="00626ABA" w:rsidRPr="00626ABA" w:rsidRDefault="00626ABA" w:rsidP="009C0DED">
            <w:pPr>
              <w:rPr>
                <w:sz w:val="17"/>
              </w:rPr>
            </w:pPr>
            <w:r w:rsidRPr="00626ABA">
              <w:rPr>
                <w:sz w:val="17"/>
              </w:rPr>
              <w:t>Pending Charges:</w:t>
            </w:r>
          </w:p>
        </w:tc>
        <w:tc>
          <w:tcPr>
            <w:tcW w:w="824" w:type="dxa"/>
          </w:tcPr>
          <w:p w14:paraId="3BF9F67C" w14:textId="77777777" w:rsidR="00626ABA" w:rsidRPr="00626ABA" w:rsidRDefault="00626ABA" w:rsidP="009C0DED">
            <w:pPr>
              <w:rPr>
                <w:sz w:val="17"/>
              </w:rPr>
            </w:pPr>
            <w:r w:rsidRPr="00626ABA">
              <w:rPr>
                <w:sz w:val="17"/>
              </w:rPr>
              <w:t>106</w:t>
            </w:r>
          </w:p>
        </w:tc>
        <w:tc>
          <w:tcPr>
            <w:tcW w:w="2155" w:type="dxa"/>
          </w:tcPr>
          <w:p w14:paraId="7F71B4FB" w14:textId="77777777" w:rsidR="00626ABA" w:rsidRPr="00626ABA" w:rsidRDefault="00626ABA" w:rsidP="009C0DED">
            <w:pPr>
              <w:rPr>
                <w:sz w:val="17"/>
              </w:rPr>
            </w:pPr>
            <w:r w:rsidRPr="00626ABA">
              <w:rPr>
                <w:sz w:val="17"/>
              </w:rPr>
              <w:t>3.09%</w:t>
            </w:r>
          </w:p>
        </w:tc>
        <w:tc>
          <w:tcPr>
            <w:tcW w:w="726" w:type="dxa"/>
          </w:tcPr>
          <w:p w14:paraId="4838FB64" w14:textId="77777777" w:rsidR="00626ABA" w:rsidRDefault="00626ABA" w:rsidP="009C0DED">
            <w:pPr>
              <w:rPr>
                <w:b/>
                <w:sz w:val="17"/>
              </w:rPr>
            </w:pPr>
          </w:p>
        </w:tc>
        <w:tc>
          <w:tcPr>
            <w:tcW w:w="2331" w:type="dxa"/>
          </w:tcPr>
          <w:p w14:paraId="4D110F0F" w14:textId="77777777" w:rsidR="00626ABA" w:rsidRDefault="00626ABA" w:rsidP="009C0DED">
            <w:pPr>
              <w:rPr>
                <w:b/>
                <w:sz w:val="17"/>
              </w:rPr>
            </w:pPr>
          </w:p>
        </w:tc>
        <w:tc>
          <w:tcPr>
            <w:tcW w:w="459" w:type="dxa"/>
          </w:tcPr>
          <w:p w14:paraId="227B8339" w14:textId="77777777" w:rsidR="00626ABA" w:rsidRDefault="00626ABA" w:rsidP="009C0DED">
            <w:pPr>
              <w:rPr>
                <w:b/>
                <w:sz w:val="17"/>
              </w:rPr>
            </w:pPr>
          </w:p>
        </w:tc>
      </w:tr>
      <w:tr w:rsidR="00626ABA" w14:paraId="02371B31" w14:textId="77777777" w:rsidTr="00626ABA">
        <w:tc>
          <w:tcPr>
            <w:tcW w:w="1501" w:type="dxa"/>
          </w:tcPr>
          <w:p w14:paraId="1D564835" w14:textId="77777777" w:rsidR="00626ABA" w:rsidRPr="00626ABA" w:rsidRDefault="00626ABA" w:rsidP="009C0DED">
            <w:pPr>
              <w:rPr>
                <w:sz w:val="17"/>
              </w:rPr>
            </w:pPr>
            <w:r w:rsidRPr="00626ABA">
              <w:rPr>
                <w:sz w:val="17"/>
              </w:rPr>
              <w:t>Other:</w:t>
            </w:r>
          </w:p>
        </w:tc>
        <w:tc>
          <w:tcPr>
            <w:tcW w:w="824" w:type="dxa"/>
          </w:tcPr>
          <w:p w14:paraId="121CE084" w14:textId="77777777" w:rsidR="00626ABA" w:rsidRPr="00626ABA" w:rsidRDefault="00626ABA" w:rsidP="009C0DED">
            <w:pPr>
              <w:rPr>
                <w:sz w:val="17"/>
              </w:rPr>
            </w:pPr>
            <w:r w:rsidRPr="00626ABA">
              <w:rPr>
                <w:sz w:val="17"/>
              </w:rPr>
              <w:t>1</w:t>
            </w:r>
          </w:p>
        </w:tc>
        <w:tc>
          <w:tcPr>
            <w:tcW w:w="2155" w:type="dxa"/>
          </w:tcPr>
          <w:p w14:paraId="78DDD176" w14:textId="77777777" w:rsidR="00626ABA" w:rsidRPr="00626ABA" w:rsidRDefault="00626ABA" w:rsidP="009C0DED">
            <w:pPr>
              <w:rPr>
                <w:sz w:val="17"/>
              </w:rPr>
            </w:pPr>
            <w:r w:rsidRPr="00626ABA">
              <w:rPr>
                <w:sz w:val="17"/>
              </w:rPr>
              <w:t>0.03%</w:t>
            </w:r>
          </w:p>
        </w:tc>
        <w:tc>
          <w:tcPr>
            <w:tcW w:w="726" w:type="dxa"/>
          </w:tcPr>
          <w:p w14:paraId="70B98DD5" w14:textId="77777777" w:rsidR="00626ABA" w:rsidRDefault="00626ABA" w:rsidP="009C0DED">
            <w:pPr>
              <w:rPr>
                <w:b/>
                <w:sz w:val="17"/>
              </w:rPr>
            </w:pPr>
          </w:p>
        </w:tc>
        <w:tc>
          <w:tcPr>
            <w:tcW w:w="2331" w:type="dxa"/>
          </w:tcPr>
          <w:p w14:paraId="198308DC" w14:textId="77777777" w:rsidR="00626ABA" w:rsidRDefault="00626ABA" w:rsidP="009C0DED">
            <w:pPr>
              <w:rPr>
                <w:b/>
                <w:sz w:val="17"/>
              </w:rPr>
            </w:pPr>
          </w:p>
        </w:tc>
        <w:tc>
          <w:tcPr>
            <w:tcW w:w="459" w:type="dxa"/>
          </w:tcPr>
          <w:p w14:paraId="52F7A9BA" w14:textId="77777777" w:rsidR="00626ABA" w:rsidRDefault="00626ABA" w:rsidP="009C0DED">
            <w:pPr>
              <w:rPr>
                <w:b/>
                <w:sz w:val="17"/>
              </w:rPr>
            </w:pPr>
          </w:p>
        </w:tc>
      </w:tr>
      <w:tr w:rsidR="00626ABA" w14:paraId="67984D9B" w14:textId="77777777" w:rsidTr="00626ABA">
        <w:tc>
          <w:tcPr>
            <w:tcW w:w="1501" w:type="dxa"/>
          </w:tcPr>
          <w:p w14:paraId="171AD961" w14:textId="77777777" w:rsidR="00626ABA" w:rsidRPr="00626ABA" w:rsidRDefault="00626ABA" w:rsidP="009C0DED">
            <w:pPr>
              <w:rPr>
                <w:sz w:val="17"/>
              </w:rPr>
            </w:pPr>
          </w:p>
        </w:tc>
        <w:tc>
          <w:tcPr>
            <w:tcW w:w="824" w:type="dxa"/>
          </w:tcPr>
          <w:p w14:paraId="7C122904" w14:textId="77777777" w:rsidR="00626ABA" w:rsidRPr="00626ABA" w:rsidRDefault="00626ABA" w:rsidP="009C0DED">
            <w:pPr>
              <w:rPr>
                <w:sz w:val="17"/>
              </w:rPr>
            </w:pPr>
          </w:p>
        </w:tc>
        <w:tc>
          <w:tcPr>
            <w:tcW w:w="2155" w:type="dxa"/>
          </w:tcPr>
          <w:p w14:paraId="5FBC79EF" w14:textId="77777777" w:rsidR="00626ABA" w:rsidRPr="00626ABA" w:rsidRDefault="00626ABA" w:rsidP="009C0DED">
            <w:pPr>
              <w:rPr>
                <w:sz w:val="17"/>
              </w:rPr>
            </w:pPr>
          </w:p>
        </w:tc>
        <w:tc>
          <w:tcPr>
            <w:tcW w:w="726" w:type="dxa"/>
          </w:tcPr>
          <w:p w14:paraId="5C9EACD9" w14:textId="77777777" w:rsidR="00626ABA" w:rsidRDefault="00626ABA" w:rsidP="009C0DED">
            <w:pPr>
              <w:rPr>
                <w:b/>
                <w:sz w:val="17"/>
              </w:rPr>
            </w:pPr>
          </w:p>
        </w:tc>
        <w:tc>
          <w:tcPr>
            <w:tcW w:w="2331" w:type="dxa"/>
          </w:tcPr>
          <w:p w14:paraId="4E59F7AB" w14:textId="77777777" w:rsidR="00626ABA" w:rsidRDefault="00626ABA" w:rsidP="009C0DED">
            <w:pPr>
              <w:rPr>
                <w:b/>
                <w:sz w:val="17"/>
              </w:rPr>
            </w:pPr>
          </w:p>
        </w:tc>
        <w:tc>
          <w:tcPr>
            <w:tcW w:w="459" w:type="dxa"/>
          </w:tcPr>
          <w:p w14:paraId="6C7F381B" w14:textId="77777777" w:rsidR="00626ABA" w:rsidRDefault="00626ABA" w:rsidP="009C0DED">
            <w:pPr>
              <w:rPr>
                <w:b/>
                <w:sz w:val="17"/>
              </w:rPr>
            </w:pPr>
          </w:p>
        </w:tc>
      </w:tr>
      <w:tr w:rsidR="00626ABA" w14:paraId="317E56A5" w14:textId="77777777" w:rsidTr="00626ABA">
        <w:tc>
          <w:tcPr>
            <w:tcW w:w="1501" w:type="dxa"/>
          </w:tcPr>
          <w:p w14:paraId="58E61F6E" w14:textId="77777777" w:rsidR="00626ABA" w:rsidRDefault="00626ABA" w:rsidP="009C0DED">
            <w:pPr>
              <w:rPr>
                <w:b/>
                <w:sz w:val="17"/>
              </w:rPr>
            </w:pPr>
          </w:p>
        </w:tc>
        <w:tc>
          <w:tcPr>
            <w:tcW w:w="824" w:type="dxa"/>
          </w:tcPr>
          <w:p w14:paraId="0F509CED" w14:textId="77777777" w:rsidR="00626ABA" w:rsidRDefault="00626ABA" w:rsidP="009C0DED">
            <w:pPr>
              <w:rPr>
                <w:b/>
                <w:sz w:val="17"/>
              </w:rPr>
            </w:pPr>
          </w:p>
        </w:tc>
        <w:tc>
          <w:tcPr>
            <w:tcW w:w="2155" w:type="dxa"/>
          </w:tcPr>
          <w:p w14:paraId="22A0DB09" w14:textId="77777777" w:rsidR="00626ABA" w:rsidRDefault="00626ABA" w:rsidP="009C0DED">
            <w:pPr>
              <w:rPr>
                <w:b/>
                <w:sz w:val="17"/>
              </w:rPr>
            </w:pPr>
          </w:p>
        </w:tc>
        <w:tc>
          <w:tcPr>
            <w:tcW w:w="726" w:type="dxa"/>
          </w:tcPr>
          <w:p w14:paraId="0FFF9ED2" w14:textId="77777777" w:rsidR="00626ABA" w:rsidRDefault="00626ABA" w:rsidP="009C0DED">
            <w:pPr>
              <w:rPr>
                <w:b/>
                <w:sz w:val="17"/>
              </w:rPr>
            </w:pPr>
          </w:p>
        </w:tc>
        <w:tc>
          <w:tcPr>
            <w:tcW w:w="2331" w:type="dxa"/>
          </w:tcPr>
          <w:p w14:paraId="5C7C9AC1" w14:textId="77777777" w:rsidR="00626ABA" w:rsidRDefault="00626ABA" w:rsidP="009C0DED">
            <w:pPr>
              <w:rPr>
                <w:b/>
                <w:sz w:val="17"/>
              </w:rPr>
            </w:pPr>
          </w:p>
        </w:tc>
        <w:tc>
          <w:tcPr>
            <w:tcW w:w="459" w:type="dxa"/>
          </w:tcPr>
          <w:p w14:paraId="3349CE5B" w14:textId="77777777" w:rsidR="00626ABA" w:rsidRDefault="00626ABA" w:rsidP="009C0DED">
            <w:pPr>
              <w:rPr>
                <w:b/>
                <w:sz w:val="17"/>
              </w:rPr>
            </w:pPr>
          </w:p>
        </w:tc>
      </w:tr>
    </w:tbl>
    <w:p w14:paraId="56CECCC2" w14:textId="77777777" w:rsidR="00097DEF" w:rsidRPr="00097DEF" w:rsidRDefault="00626ABA" w:rsidP="009C0DED">
      <w:pPr>
        <w:ind w:left="460"/>
        <w:rPr>
          <w:b/>
          <w:sz w:val="17"/>
        </w:rPr>
      </w:pPr>
      <w:r>
        <w:rPr>
          <w:b/>
          <w:sz w:val="17"/>
        </w:rPr>
        <w:t>Under expected use the Other category will count offenders with a “Return from Escape” return reason.</w:t>
      </w:r>
    </w:p>
    <w:p w14:paraId="2D99EA7F" w14:textId="52850578" w:rsidR="00F36404" w:rsidRPr="008373E2" w:rsidRDefault="00F36404" w:rsidP="00F36404">
      <w:pPr>
        <w:spacing w:after="120"/>
        <w:rPr>
          <w:rFonts w:ascii="Garamond" w:hAnsi="Garamond" w:cs="Times New Roman"/>
          <w:sz w:val="24"/>
          <w:szCs w:val="20"/>
        </w:rPr>
      </w:pPr>
      <w:r>
        <w:rPr>
          <w:rFonts w:ascii="Garamond" w:hAnsi="Garamond" w:cs="Times New Roman"/>
          <w:sz w:val="24"/>
          <w:szCs w:val="20"/>
        </w:rPr>
        <w:t>We wish to note that the NMHED-AE Outreach Coordinator, Michelle Ribeiro, continues to serve on the national Barbara Bush Foundation for Family Literacy Corrections Education task force.</w:t>
      </w:r>
      <w:r w:rsidR="00EB1CD0">
        <w:rPr>
          <w:rFonts w:ascii="Garamond" w:hAnsi="Garamond" w:cs="Times New Roman"/>
          <w:sz w:val="24"/>
          <w:szCs w:val="20"/>
        </w:rPr>
        <w:t xml:space="preserve"> </w:t>
      </w:r>
      <w:r w:rsidRPr="008373E2">
        <w:rPr>
          <w:rFonts w:ascii="Garamond" w:hAnsi="Garamond" w:cs="Times New Roman"/>
          <w:sz w:val="24"/>
          <w:szCs w:val="20"/>
        </w:rPr>
        <w:t xml:space="preserve"> </w:t>
      </w:r>
    </w:p>
    <w:p w14:paraId="56921FFE" w14:textId="77777777" w:rsidR="009C0DED" w:rsidRPr="008E09DC" w:rsidRDefault="009C0DED" w:rsidP="009C0DED">
      <w:pPr>
        <w:pStyle w:val="BodyText"/>
        <w:spacing w:before="5"/>
        <w:rPr>
          <w:b/>
          <w:sz w:val="13"/>
          <w:highlight w:val="yellow"/>
        </w:rPr>
      </w:pPr>
    </w:p>
    <w:p w14:paraId="3EE2343B" w14:textId="77777777" w:rsidR="00B6017A" w:rsidRPr="00B6017A" w:rsidRDefault="00B6017A" w:rsidP="00B6017A">
      <w:pPr>
        <w:spacing w:after="120"/>
        <w:rPr>
          <w:rFonts w:ascii="Garamond" w:hAnsi="Garamond" w:cs="Times New Roman"/>
          <w:sz w:val="24"/>
          <w:szCs w:val="20"/>
        </w:rPr>
      </w:pPr>
    </w:p>
    <w:sectPr w:rsidR="00B6017A" w:rsidRPr="00B6017A" w:rsidSect="00AD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A02"/>
    <w:multiLevelType w:val="hybridMultilevel"/>
    <w:tmpl w:val="CCB00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9195D"/>
    <w:multiLevelType w:val="hybridMultilevel"/>
    <w:tmpl w:val="77C8B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BD08BE"/>
    <w:multiLevelType w:val="hybridMultilevel"/>
    <w:tmpl w:val="27F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7A4"/>
    <w:multiLevelType w:val="hybridMultilevel"/>
    <w:tmpl w:val="751C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8E59DC"/>
    <w:multiLevelType w:val="hybridMultilevel"/>
    <w:tmpl w:val="931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0F3D"/>
    <w:multiLevelType w:val="hybridMultilevel"/>
    <w:tmpl w:val="3F982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76DD"/>
    <w:multiLevelType w:val="hybridMultilevel"/>
    <w:tmpl w:val="80D4A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71241A"/>
    <w:multiLevelType w:val="hybridMultilevel"/>
    <w:tmpl w:val="409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5819"/>
    <w:multiLevelType w:val="hybridMultilevel"/>
    <w:tmpl w:val="06E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6EAB"/>
    <w:multiLevelType w:val="hybridMultilevel"/>
    <w:tmpl w:val="BB50805E"/>
    <w:lvl w:ilvl="0" w:tplc="34B446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342A"/>
    <w:multiLevelType w:val="hybridMultilevel"/>
    <w:tmpl w:val="E50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206ED"/>
    <w:multiLevelType w:val="hybridMultilevel"/>
    <w:tmpl w:val="668A1A5E"/>
    <w:lvl w:ilvl="0" w:tplc="04090001">
      <w:start w:val="1"/>
      <w:numFmt w:val="bullet"/>
      <w:lvlText w:val=""/>
      <w:lvlJc w:val="left"/>
      <w:pPr>
        <w:ind w:left="720" w:hanging="360"/>
      </w:pPr>
      <w:rPr>
        <w:rFonts w:ascii="Symbol" w:hAnsi="Symbol" w:hint="default"/>
      </w:rPr>
    </w:lvl>
    <w:lvl w:ilvl="1" w:tplc="D27A38E6">
      <w:numFmt w:val="bullet"/>
      <w:lvlText w:val="•"/>
      <w:lvlJc w:val="left"/>
      <w:pPr>
        <w:ind w:left="1800" w:hanging="72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8406C"/>
    <w:multiLevelType w:val="hybridMultilevel"/>
    <w:tmpl w:val="6AE07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6D706E8"/>
    <w:multiLevelType w:val="multilevel"/>
    <w:tmpl w:val="4F90D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13723"/>
    <w:multiLevelType w:val="hybridMultilevel"/>
    <w:tmpl w:val="6B46D6F6"/>
    <w:lvl w:ilvl="0" w:tplc="C72C57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F562F"/>
    <w:multiLevelType w:val="hybridMultilevel"/>
    <w:tmpl w:val="394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90BAE"/>
    <w:multiLevelType w:val="hybridMultilevel"/>
    <w:tmpl w:val="8A60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361C7"/>
    <w:multiLevelType w:val="hybridMultilevel"/>
    <w:tmpl w:val="C57488E2"/>
    <w:lvl w:ilvl="0" w:tplc="07C8B910">
      <w:numFmt w:val="bullet"/>
      <w:lvlText w:val="-"/>
      <w:lvlJc w:val="left"/>
      <w:pPr>
        <w:ind w:left="720" w:hanging="360"/>
      </w:pPr>
      <w:rPr>
        <w:rFonts w:ascii="Symbol" w:hAnsi="Symbol" w:hint="default"/>
        <w:b/>
        <w:sz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DE3945"/>
    <w:multiLevelType w:val="hybridMultilevel"/>
    <w:tmpl w:val="A8CE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B2F41"/>
    <w:multiLevelType w:val="hybridMultilevel"/>
    <w:tmpl w:val="2DD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C208C"/>
    <w:multiLevelType w:val="hybridMultilevel"/>
    <w:tmpl w:val="B85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93A8B"/>
    <w:multiLevelType w:val="hybridMultilevel"/>
    <w:tmpl w:val="876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75C59"/>
    <w:multiLevelType w:val="hybridMultilevel"/>
    <w:tmpl w:val="EFBC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57746"/>
    <w:multiLevelType w:val="hybridMultilevel"/>
    <w:tmpl w:val="346440C2"/>
    <w:lvl w:ilvl="0" w:tplc="83582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12"/>
  </w:num>
  <w:num w:numId="5">
    <w:abstractNumId w:val="1"/>
  </w:num>
  <w:num w:numId="6">
    <w:abstractNumId w:val="6"/>
  </w:num>
  <w:num w:numId="7">
    <w:abstractNumId w:val="4"/>
  </w:num>
  <w:num w:numId="8">
    <w:abstractNumId w:val="5"/>
  </w:num>
  <w:num w:numId="9">
    <w:abstractNumId w:val="3"/>
  </w:num>
  <w:num w:numId="10">
    <w:abstractNumId w:val="7"/>
  </w:num>
  <w:num w:numId="11">
    <w:abstractNumId w:val="8"/>
  </w:num>
  <w:num w:numId="12">
    <w:abstractNumId w:val="19"/>
  </w:num>
  <w:num w:numId="13">
    <w:abstractNumId w:val="10"/>
  </w:num>
  <w:num w:numId="14">
    <w:abstractNumId w:val="0"/>
  </w:num>
  <w:num w:numId="15">
    <w:abstractNumId w:val="22"/>
  </w:num>
  <w:num w:numId="16">
    <w:abstractNumId w:val="20"/>
  </w:num>
  <w:num w:numId="17">
    <w:abstractNumId w:val="16"/>
  </w:num>
  <w:num w:numId="18">
    <w:abstractNumId w:val="21"/>
  </w:num>
  <w:num w:numId="19">
    <w:abstractNumId w:val="23"/>
  </w:num>
  <w:num w:numId="20">
    <w:abstractNumId w:val="14"/>
  </w:num>
  <w:num w:numId="21">
    <w:abstractNumId w:val="9"/>
  </w:num>
  <w:num w:numId="22">
    <w:abstractNumId w:val="2"/>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E2"/>
    <w:rsid w:val="000028C6"/>
    <w:rsid w:val="0001656D"/>
    <w:rsid w:val="00023EB4"/>
    <w:rsid w:val="00035C67"/>
    <w:rsid w:val="0004048B"/>
    <w:rsid w:val="000426BF"/>
    <w:rsid w:val="00044043"/>
    <w:rsid w:val="00050A52"/>
    <w:rsid w:val="00050BD8"/>
    <w:rsid w:val="00052094"/>
    <w:rsid w:val="00052A28"/>
    <w:rsid w:val="00053788"/>
    <w:rsid w:val="000539B6"/>
    <w:rsid w:val="00054A3A"/>
    <w:rsid w:val="0006023C"/>
    <w:rsid w:val="00064C5E"/>
    <w:rsid w:val="000662FC"/>
    <w:rsid w:val="00071E37"/>
    <w:rsid w:val="00072E70"/>
    <w:rsid w:val="00075924"/>
    <w:rsid w:val="00086907"/>
    <w:rsid w:val="00087FD7"/>
    <w:rsid w:val="00092D35"/>
    <w:rsid w:val="00095D38"/>
    <w:rsid w:val="00097DEF"/>
    <w:rsid w:val="000A131C"/>
    <w:rsid w:val="000B071B"/>
    <w:rsid w:val="000C2314"/>
    <w:rsid w:val="000C4B64"/>
    <w:rsid w:val="000C4EEB"/>
    <w:rsid w:val="000C7893"/>
    <w:rsid w:val="000D0EAE"/>
    <w:rsid w:val="000D45D7"/>
    <w:rsid w:val="000D4E5D"/>
    <w:rsid w:val="000D6AF1"/>
    <w:rsid w:val="000E36C0"/>
    <w:rsid w:val="000F14BC"/>
    <w:rsid w:val="000F7D17"/>
    <w:rsid w:val="001012F3"/>
    <w:rsid w:val="00103AF8"/>
    <w:rsid w:val="00103CC5"/>
    <w:rsid w:val="00105457"/>
    <w:rsid w:val="0010612D"/>
    <w:rsid w:val="0011184C"/>
    <w:rsid w:val="00114E8D"/>
    <w:rsid w:val="00121FD5"/>
    <w:rsid w:val="0012527E"/>
    <w:rsid w:val="00126228"/>
    <w:rsid w:val="001309EA"/>
    <w:rsid w:val="00132035"/>
    <w:rsid w:val="00133E6B"/>
    <w:rsid w:val="00134319"/>
    <w:rsid w:val="00137EC7"/>
    <w:rsid w:val="0014013B"/>
    <w:rsid w:val="00142178"/>
    <w:rsid w:val="00142ADE"/>
    <w:rsid w:val="00144118"/>
    <w:rsid w:val="00145689"/>
    <w:rsid w:val="00150592"/>
    <w:rsid w:val="0015165F"/>
    <w:rsid w:val="001516E3"/>
    <w:rsid w:val="001531F7"/>
    <w:rsid w:val="00164DDD"/>
    <w:rsid w:val="001675E0"/>
    <w:rsid w:val="001746DE"/>
    <w:rsid w:val="0017788F"/>
    <w:rsid w:val="00180FAF"/>
    <w:rsid w:val="00191579"/>
    <w:rsid w:val="00191DAC"/>
    <w:rsid w:val="001A095C"/>
    <w:rsid w:val="001A34ED"/>
    <w:rsid w:val="001A4062"/>
    <w:rsid w:val="001A5BAA"/>
    <w:rsid w:val="001A6808"/>
    <w:rsid w:val="001A7CF9"/>
    <w:rsid w:val="001A7DC7"/>
    <w:rsid w:val="001B07B8"/>
    <w:rsid w:val="001C165C"/>
    <w:rsid w:val="001D2BE9"/>
    <w:rsid w:val="001D2CF6"/>
    <w:rsid w:val="001D4B49"/>
    <w:rsid w:val="001E14DC"/>
    <w:rsid w:val="0020020C"/>
    <w:rsid w:val="002046D9"/>
    <w:rsid w:val="00210021"/>
    <w:rsid w:val="0021044D"/>
    <w:rsid w:val="00211525"/>
    <w:rsid w:val="00212D2F"/>
    <w:rsid w:val="002167DF"/>
    <w:rsid w:val="00220657"/>
    <w:rsid w:val="00236115"/>
    <w:rsid w:val="00240833"/>
    <w:rsid w:val="00243108"/>
    <w:rsid w:val="002515C2"/>
    <w:rsid w:val="002534FA"/>
    <w:rsid w:val="002537B4"/>
    <w:rsid w:val="002549F7"/>
    <w:rsid w:val="00261683"/>
    <w:rsid w:val="00267268"/>
    <w:rsid w:val="0026753D"/>
    <w:rsid w:val="00272A63"/>
    <w:rsid w:val="00276AEB"/>
    <w:rsid w:val="002801E8"/>
    <w:rsid w:val="002822B4"/>
    <w:rsid w:val="00286A9B"/>
    <w:rsid w:val="002878E3"/>
    <w:rsid w:val="00291455"/>
    <w:rsid w:val="00294CB1"/>
    <w:rsid w:val="00297BAE"/>
    <w:rsid w:val="002A051F"/>
    <w:rsid w:val="002A1283"/>
    <w:rsid w:val="002A17F4"/>
    <w:rsid w:val="002A189B"/>
    <w:rsid w:val="002A3E33"/>
    <w:rsid w:val="002A4DAC"/>
    <w:rsid w:val="002A6050"/>
    <w:rsid w:val="002A6E59"/>
    <w:rsid w:val="002B1901"/>
    <w:rsid w:val="002B7E63"/>
    <w:rsid w:val="002C119D"/>
    <w:rsid w:val="002E0639"/>
    <w:rsid w:val="002E2700"/>
    <w:rsid w:val="002E2CE2"/>
    <w:rsid w:val="002E405B"/>
    <w:rsid w:val="002E5840"/>
    <w:rsid w:val="002F092A"/>
    <w:rsid w:val="002F3BE5"/>
    <w:rsid w:val="002F59E6"/>
    <w:rsid w:val="002F7B39"/>
    <w:rsid w:val="0030164D"/>
    <w:rsid w:val="00302FA2"/>
    <w:rsid w:val="0030492C"/>
    <w:rsid w:val="00312417"/>
    <w:rsid w:val="00313327"/>
    <w:rsid w:val="00314662"/>
    <w:rsid w:val="003171D2"/>
    <w:rsid w:val="00324621"/>
    <w:rsid w:val="00325769"/>
    <w:rsid w:val="003315E0"/>
    <w:rsid w:val="00337AA1"/>
    <w:rsid w:val="00341300"/>
    <w:rsid w:val="00350530"/>
    <w:rsid w:val="00351311"/>
    <w:rsid w:val="00352A24"/>
    <w:rsid w:val="00360D24"/>
    <w:rsid w:val="0036131A"/>
    <w:rsid w:val="003629D6"/>
    <w:rsid w:val="003634EC"/>
    <w:rsid w:val="00365F5A"/>
    <w:rsid w:val="00372191"/>
    <w:rsid w:val="00372ED2"/>
    <w:rsid w:val="003774CF"/>
    <w:rsid w:val="00377B6F"/>
    <w:rsid w:val="00377F28"/>
    <w:rsid w:val="0038157E"/>
    <w:rsid w:val="003874E8"/>
    <w:rsid w:val="00387CD9"/>
    <w:rsid w:val="003A06AA"/>
    <w:rsid w:val="003A3E05"/>
    <w:rsid w:val="003A41A7"/>
    <w:rsid w:val="003A71E8"/>
    <w:rsid w:val="003A7765"/>
    <w:rsid w:val="003B56E1"/>
    <w:rsid w:val="003B760E"/>
    <w:rsid w:val="003C1CBD"/>
    <w:rsid w:val="003C4B59"/>
    <w:rsid w:val="003C54B9"/>
    <w:rsid w:val="003D2EE7"/>
    <w:rsid w:val="003D662E"/>
    <w:rsid w:val="003E5B0E"/>
    <w:rsid w:val="003E6A81"/>
    <w:rsid w:val="003E76D1"/>
    <w:rsid w:val="003E7D2B"/>
    <w:rsid w:val="003F0E0E"/>
    <w:rsid w:val="003F16D0"/>
    <w:rsid w:val="003F30FD"/>
    <w:rsid w:val="003F54C4"/>
    <w:rsid w:val="003F75EB"/>
    <w:rsid w:val="003F7754"/>
    <w:rsid w:val="004072DB"/>
    <w:rsid w:val="00415CAF"/>
    <w:rsid w:val="00425F60"/>
    <w:rsid w:val="00427359"/>
    <w:rsid w:val="00431D52"/>
    <w:rsid w:val="00433F5C"/>
    <w:rsid w:val="00435B9D"/>
    <w:rsid w:val="00435FE4"/>
    <w:rsid w:val="00440945"/>
    <w:rsid w:val="0044396D"/>
    <w:rsid w:val="00446BF0"/>
    <w:rsid w:val="00447276"/>
    <w:rsid w:val="00447A16"/>
    <w:rsid w:val="0045445C"/>
    <w:rsid w:val="00457A26"/>
    <w:rsid w:val="00465E62"/>
    <w:rsid w:val="00473825"/>
    <w:rsid w:val="004778C1"/>
    <w:rsid w:val="00477F29"/>
    <w:rsid w:val="00481B1A"/>
    <w:rsid w:val="00482959"/>
    <w:rsid w:val="00482CA6"/>
    <w:rsid w:val="004836F1"/>
    <w:rsid w:val="00490307"/>
    <w:rsid w:val="004909EA"/>
    <w:rsid w:val="00496EB8"/>
    <w:rsid w:val="004A14FA"/>
    <w:rsid w:val="004A2144"/>
    <w:rsid w:val="004A3E13"/>
    <w:rsid w:val="004B26DB"/>
    <w:rsid w:val="004B4DE1"/>
    <w:rsid w:val="004B6A8D"/>
    <w:rsid w:val="004B6D09"/>
    <w:rsid w:val="004C407E"/>
    <w:rsid w:val="004C44E0"/>
    <w:rsid w:val="004C4FF9"/>
    <w:rsid w:val="004C5CF8"/>
    <w:rsid w:val="004D6BDF"/>
    <w:rsid w:val="004E1F5F"/>
    <w:rsid w:val="004F42F9"/>
    <w:rsid w:val="00505F77"/>
    <w:rsid w:val="00516E84"/>
    <w:rsid w:val="00516EEA"/>
    <w:rsid w:val="00517671"/>
    <w:rsid w:val="005205CB"/>
    <w:rsid w:val="00524F25"/>
    <w:rsid w:val="00525687"/>
    <w:rsid w:val="00526E19"/>
    <w:rsid w:val="00534DD2"/>
    <w:rsid w:val="00536514"/>
    <w:rsid w:val="005369BF"/>
    <w:rsid w:val="0054245B"/>
    <w:rsid w:val="005438EC"/>
    <w:rsid w:val="00547046"/>
    <w:rsid w:val="00555FA2"/>
    <w:rsid w:val="005563A1"/>
    <w:rsid w:val="0055702E"/>
    <w:rsid w:val="00561D91"/>
    <w:rsid w:val="0056451E"/>
    <w:rsid w:val="00564BA3"/>
    <w:rsid w:val="00570329"/>
    <w:rsid w:val="00576F48"/>
    <w:rsid w:val="005804CC"/>
    <w:rsid w:val="00580FDC"/>
    <w:rsid w:val="00584149"/>
    <w:rsid w:val="00587802"/>
    <w:rsid w:val="00596757"/>
    <w:rsid w:val="005A4412"/>
    <w:rsid w:val="005B1AAF"/>
    <w:rsid w:val="005B5575"/>
    <w:rsid w:val="005B6462"/>
    <w:rsid w:val="005B7866"/>
    <w:rsid w:val="005C07DE"/>
    <w:rsid w:val="005C0C08"/>
    <w:rsid w:val="005C48FB"/>
    <w:rsid w:val="005E14ED"/>
    <w:rsid w:val="005E3E6D"/>
    <w:rsid w:val="005E72EE"/>
    <w:rsid w:val="00612487"/>
    <w:rsid w:val="00613566"/>
    <w:rsid w:val="00620893"/>
    <w:rsid w:val="00620BF6"/>
    <w:rsid w:val="00623FD0"/>
    <w:rsid w:val="00626854"/>
    <w:rsid w:val="00626ABA"/>
    <w:rsid w:val="00636E6B"/>
    <w:rsid w:val="006456B6"/>
    <w:rsid w:val="006469F1"/>
    <w:rsid w:val="00650569"/>
    <w:rsid w:val="00652024"/>
    <w:rsid w:val="006601EC"/>
    <w:rsid w:val="00660E85"/>
    <w:rsid w:val="00662E7B"/>
    <w:rsid w:val="00667E8C"/>
    <w:rsid w:val="00672929"/>
    <w:rsid w:val="00677ABF"/>
    <w:rsid w:val="0068146F"/>
    <w:rsid w:val="006818AF"/>
    <w:rsid w:val="00684C29"/>
    <w:rsid w:val="00686F77"/>
    <w:rsid w:val="00691C4E"/>
    <w:rsid w:val="0069621A"/>
    <w:rsid w:val="00697F1F"/>
    <w:rsid w:val="006A6E67"/>
    <w:rsid w:val="006B20E9"/>
    <w:rsid w:val="006B21A2"/>
    <w:rsid w:val="006B5658"/>
    <w:rsid w:val="006C2CF5"/>
    <w:rsid w:val="006C4D52"/>
    <w:rsid w:val="006D0D80"/>
    <w:rsid w:val="006D3459"/>
    <w:rsid w:val="006D7AE9"/>
    <w:rsid w:val="006E19D0"/>
    <w:rsid w:val="006E3FB5"/>
    <w:rsid w:val="006E562D"/>
    <w:rsid w:val="006E599A"/>
    <w:rsid w:val="006E5C78"/>
    <w:rsid w:val="006E66C1"/>
    <w:rsid w:val="006F162D"/>
    <w:rsid w:val="006F784B"/>
    <w:rsid w:val="00701AC7"/>
    <w:rsid w:val="0070762D"/>
    <w:rsid w:val="007134B2"/>
    <w:rsid w:val="00717BDE"/>
    <w:rsid w:val="00717E3F"/>
    <w:rsid w:val="00723C61"/>
    <w:rsid w:val="00723D09"/>
    <w:rsid w:val="00726552"/>
    <w:rsid w:val="0072721D"/>
    <w:rsid w:val="00734C30"/>
    <w:rsid w:val="0075133D"/>
    <w:rsid w:val="00760131"/>
    <w:rsid w:val="00764271"/>
    <w:rsid w:val="007649D3"/>
    <w:rsid w:val="00767BEC"/>
    <w:rsid w:val="00770999"/>
    <w:rsid w:val="007722F8"/>
    <w:rsid w:val="00772DFD"/>
    <w:rsid w:val="00777677"/>
    <w:rsid w:val="007832D2"/>
    <w:rsid w:val="007834F2"/>
    <w:rsid w:val="00790538"/>
    <w:rsid w:val="00790692"/>
    <w:rsid w:val="00791EE8"/>
    <w:rsid w:val="007945E8"/>
    <w:rsid w:val="007A0132"/>
    <w:rsid w:val="007A4A12"/>
    <w:rsid w:val="007B1A9B"/>
    <w:rsid w:val="007B2788"/>
    <w:rsid w:val="007B4B1D"/>
    <w:rsid w:val="007C082F"/>
    <w:rsid w:val="007C088F"/>
    <w:rsid w:val="007C4418"/>
    <w:rsid w:val="007C6F38"/>
    <w:rsid w:val="007D005C"/>
    <w:rsid w:val="007D00B2"/>
    <w:rsid w:val="007D25F8"/>
    <w:rsid w:val="007D2FF0"/>
    <w:rsid w:val="007D4082"/>
    <w:rsid w:val="007D631F"/>
    <w:rsid w:val="007E0044"/>
    <w:rsid w:val="007E2192"/>
    <w:rsid w:val="007E4F0A"/>
    <w:rsid w:val="007E536E"/>
    <w:rsid w:val="007F1B4F"/>
    <w:rsid w:val="007F2BFE"/>
    <w:rsid w:val="007F54A7"/>
    <w:rsid w:val="007F66A2"/>
    <w:rsid w:val="007F6E7C"/>
    <w:rsid w:val="008037A3"/>
    <w:rsid w:val="00803B60"/>
    <w:rsid w:val="008062F8"/>
    <w:rsid w:val="00821C41"/>
    <w:rsid w:val="00824424"/>
    <w:rsid w:val="0083106B"/>
    <w:rsid w:val="00832283"/>
    <w:rsid w:val="00832B72"/>
    <w:rsid w:val="0083348E"/>
    <w:rsid w:val="008373E2"/>
    <w:rsid w:val="00837990"/>
    <w:rsid w:val="008415AE"/>
    <w:rsid w:val="00841B92"/>
    <w:rsid w:val="0084211A"/>
    <w:rsid w:val="00842162"/>
    <w:rsid w:val="008444BC"/>
    <w:rsid w:val="00844FE9"/>
    <w:rsid w:val="008466EA"/>
    <w:rsid w:val="008550C4"/>
    <w:rsid w:val="00862549"/>
    <w:rsid w:val="0086336A"/>
    <w:rsid w:val="00864867"/>
    <w:rsid w:val="00866853"/>
    <w:rsid w:val="0087101C"/>
    <w:rsid w:val="00871107"/>
    <w:rsid w:val="00873EB8"/>
    <w:rsid w:val="008742D1"/>
    <w:rsid w:val="008774D5"/>
    <w:rsid w:val="00885570"/>
    <w:rsid w:val="008878DF"/>
    <w:rsid w:val="00887DBD"/>
    <w:rsid w:val="00894D54"/>
    <w:rsid w:val="008A4545"/>
    <w:rsid w:val="008A4D18"/>
    <w:rsid w:val="008A6B9A"/>
    <w:rsid w:val="008B22DC"/>
    <w:rsid w:val="008C1816"/>
    <w:rsid w:val="008C1B16"/>
    <w:rsid w:val="008C2579"/>
    <w:rsid w:val="008D50C3"/>
    <w:rsid w:val="008E09DC"/>
    <w:rsid w:val="008E6840"/>
    <w:rsid w:val="008F2A10"/>
    <w:rsid w:val="008F2EBD"/>
    <w:rsid w:val="008F5470"/>
    <w:rsid w:val="009022D3"/>
    <w:rsid w:val="00902F90"/>
    <w:rsid w:val="00913466"/>
    <w:rsid w:val="009151D3"/>
    <w:rsid w:val="00924D36"/>
    <w:rsid w:val="00926C7F"/>
    <w:rsid w:val="00927662"/>
    <w:rsid w:val="00931B85"/>
    <w:rsid w:val="009331D2"/>
    <w:rsid w:val="00934A75"/>
    <w:rsid w:val="0094033C"/>
    <w:rsid w:val="0094200A"/>
    <w:rsid w:val="00950529"/>
    <w:rsid w:val="00950957"/>
    <w:rsid w:val="00952D3B"/>
    <w:rsid w:val="009552C2"/>
    <w:rsid w:val="009560C4"/>
    <w:rsid w:val="00956A21"/>
    <w:rsid w:val="00957F66"/>
    <w:rsid w:val="00960CEA"/>
    <w:rsid w:val="00961866"/>
    <w:rsid w:val="00964116"/>
    <w:rsid w:val="00967BBC"/>
    <w:rsid w:val="00970BC3"/>
    <w:rsid w:val="00970D51"/>
    <w:rsid w:val="00971B3B"/>
    <w:rsid w:val="00973CA0"/>
    <w:rsid w:val="00975BD6"/>
    <w:rsid w:val="00980E5A"/>
    <w:rsid w:val="0098746E"/>
    <w:rsid w:val="00991D5F"/>
    <w:rsid w:val="00996690"/>
    <w:rsid w:val="0099784B"/>
    <w:rsid w:val="009A132A"/>
    <w:rsid w:val="009A1E60"/>
    <w:rsid w:val="009B197B"/>
    <w:rsid w:val="009B2A80"/>
    <w:rsid w:val="009B6610"/>
    <w:rsid w:val="009C0DED"/>
    <w:rsid w:val="009D0940"/>
    <w:rsid w:val="009D13D8"/>
    <w:rsid w:val="009D30DD"/>
    <w:rsid w:val="009D5D18"/>
    <w:rsid w:val="009D5E73"/>
    <w:rsid w:val="009E4939"/>
    <w:rsid w:val="009E6320"/>
    <w:rsid w:val="009E7080"/>
    <w:rsid w:val="009E7424"/>
    <w:rsid w:val="009F0F0F"/>
    <w:rsid w:val="009F3455"/>
    <w:rsid w:val="009F4170"/>
    <w:rsid w:val="009F45A2"/>
    <w:rsid w:val="00A0151C"/>
    <w:rsid w:val="00A10C77"/>
    <w:rsid w:val="00A14711"/>
    <w:rsid w:val="00A14806"/>
    <w:rsid w:val="00A21ACE"/>
    <w:rsid w:val="00A244F4"/>
    <w:rsid w:val="00A314DB"/>
    <w:rsid w:val="00A31715"/>
    <w:rsid w:val="00A33766"/>
    <w:rsid w:val="00A35454"/>
    <w:rsid w:val="00A35936"/>
    <w:rsid w:val="00A4685C"/>
    <w:rsid w:val="00A53BE6"/>
    <w:rsid w:val="00A574BD"/>
    <w:rsid w:val="00A605DE"/>
    <w:rsid w:val="00A612AA"/>
    <w:rsid w:val="00A6179B"/>
    <w:rsid w:val="00A64CFB"/>
    <w:rsid w:val="00A65D18"/>
    <w:rsid w:val="00A66CE2"/>
    <w:rsid w:val="00A66D4B"/>
    <w:rsid w:val="00A72223"/>
    <w:rsid w:val="00A8194A"/>
    <w:rsid w:val="00A83827"/>
    <w:rsid w:val="00A854F6"/>
    <w:rsid w:val="00A91C17"/>
    <w:rsid w:val="00AA080D"/>
    <w:rsid w:val="00AA2781"/>
    <w:rsid w:val="00AA57BD"/>
    <w:rsid w:val="00AB059A"/>
    <w:rsid w:val="00AB3BBD"/>
    <w:rsid w:val="00AB4C28"/>
    <w:rsid w:val="00AB69B2"/>
    <w:rsid w:val="00AC156A"/>
    <w:rsid w:val="00AC4E0D"/>
    <w:rsid w:val="00AD2B2D"/>
    <w:rsid w:val="00AD6792"/>
    <w:rsid w:val="00AD7075"/>
    <w:rsid w:val="00AE1669"/>
    <w:rsid w:val="00AE2322"/>
    <w:rsid w:val="00AF004A"/>
    <w:rsid w:val="00AF0205"/>
    <w:rsid w:val="00AF1DF8"/>
    <w:rsid w:val="00AF299A"/>
    <w:rsid w:val="00AF7182"/>
    <w:rsid w:val="00B0221B"/>
    <w:rsid w:val="00B07475"/>
    <w:rsid w:val="00B1077C"/>
    <w:rsid w:val="00B10BFF"/>
    <w:rsid w:val="00B12AA2"/>
    <w:rsid w:val="00B24703"/>
    <w:rsid w:val="00B27170"/>
    <w:rsid w:val="00B3020F"/>
    <w:rsid w:val="00B33A45"/>
    <w:rsid w:val="00B340C1"/>
    <w:rsid w:val="00B343F4"/>
    <w:rsid w:val="00B433B8"/>
    <w:rsid w:val="00B47AB6"/>
    <w:rsid w:val="00B47F20"/>
    <w:rsid w:val="00B52B8A"/>
    <w:rsid w:val="00B54443"/>
    <w:rsid w:val="00B6017A"/>
    <w:rsid w:val="00B60820"/>
    <w:rsid w:val="00B629AB"/>
    <w:rsid w:val="00B6468E"/>
    <w:rsid w:val="00B708E6"/>
    <w:rsid w:val="00B7370D"/>
    <w:rsid w:val="00B74FA4"/>
    <w:rsid w:val="00B755CF"/>
    <w:rsid w:val="00B763AD"/>
    <w:rsid w:val="00B80645"/>
    <w:rsid w:val="00B819BB"/>
    <w:rsid w:val="00B8333E"/>
    <w:rsid w:val="00B8705D"/>
    <w:rsid w:val="00B9130F"/>
    <w:rsid w:val="00B91329"/>
    <w:rsid w:val="00B926B9"/>
    <w:rsid w:val="00B92F69"/>
    <w:rsid w:val="00B9767D"/>
    <w:rsid w:val="00BA222E"/>
    <w:rsid w:val="00BA3688"/>
    <w:rsid w:val="00BA3843"/>
    <w:rsid w:val="00BA7E01"/>
    <w:rsid w:val="00BB26DD"/>
    <w:rsid w:val="00BC15DD"/>
    <w:rsid w:val="00BC20AE"/>
    <w:rsid w:val="00BC540B"/>
    <w:rsid w:val="00BC6D73"/>
    <w:rsid w:val="00BD00B8"/>
    <w:rsid w:val="00BD2980"/>
    <w:rsid w:val="00BE6EFD"/>
    <w:rsid w:val="00BF50E2"/>
    <w:rsid w:val="00C0413F"/>
    <w:rsid w:val="00C06C58"/>
    <w:rsid w:val="00C13448"/>
    <w:rsid w:val="00C17BD5"/>
    <w:rsid w:val="00C17D56"/>
    <w:rsid w:val="00C236F7"/>
    <w:rsid w:val="00C31FCB"/>
    <w:rsid w:val="00C32BF1"/>
    <w:rsid w:val="00C34BCE"/>
    <w:rsid w:val="00C419F4"/>
    <w:rsid w:val="00C44323"/>
    <w:rsid w:val="00C44F54"/>
    <w:rsid w:val="00C45DA3"/>
    <w:rsid w:val="00C53842"/>
    <w:rsid w:val="00C53EF9"/>
    <w:rsid w:val="00C55A93"/>
    <w:rsid w:val="00C64E59"/>
    <w:rsid w:val="00C6634F"/>
    <w:rsid w:val="00C6760C"/>
    <w:rsid w:val="00C71DB5"/>
    <w:rsid w:val="00C73DDD"/>
    <w:rsid w:val="00C847B7"/>
    <w:rsid w:val="00C910E6"/>
    <w:rsid w:val="00C9293F"/>
    <w:rsid w:val="00C94A72"/>
    <w:rsid w:val="00C965EF"/>
    <w:rsid w:val="00C972A5"/>
    <w:rsid w:val="00CA0113"/>
    <w:rsid w:val="00CA28D1"/>
    <w:rsid w:val="00CB2AA4"/>
    <w:rsid w:val="00CB4910"/>
    <w:rsid w:val="00CC3569"/>
    <w:rsid w:val="00CC4CB2"/>
    <w:rsid w:val="00CC76AD"/>
    <w:rsid w:val="00CD4220"/>
    <w:rsid w:val="00CD6345"/>
    <w:rsid w:val="00CE1270"/>
    <w:rsid w:val="00CE153A"/>
    <w:rsid w:val="00CE2734"/>
    <w:rsid w:val="00CF29CB"/>
    <w:rsid w:val="00CF3B1D"/>
    <w:rsid w:val="00D072B8"/>
    <w:rsid w:val="00D07923"/>
    <w:rsid w:val="00D10700"/>
    <w:rsid w:val="00D13666"/>
    <w:rsid w:val="00D20658"/>
    <w:rsid w:val="00D2119A"/>
    <w:rsid w:val="00D33B5F"/>
    <w:rsid w:val="00D33E80"/>
    <w:rsid w:val="00D349CD"/>
    <w:rsid w:val="00D34AAC"/>
    <w:rsid w:val="00D360D5"/>
    <w:rsid w:val="00D368D6"/>
    <w:rsid w:val="00D36E8A"/>
    <w:rsid w:val="00D3755B"/>
    <w:rsid w:val="00D42653"/>
    <w:rsid w:val="00D42B0A"/>
    <w:rsid w:val="00D4351F"/>
    <w:rsid w:val="00D467BD"/>
    <w:rsid w:val="00D545AE"/>
    <w:rsid w:val="00D63DB4"/>
    <w:rsid w:val="00D65899"/>
    <w:rsid w:val="00D671A8"/>
    <w:rsid w:val="00D722D9"/>
    <w:rsid w:val="00D73CCC"/>
    <w:rsid w:val="00D75021"/>
    <w:rsid w:val="00D83B68"/>
    <w:rsid w:val="00D87C06"/>
    <w:rsid w:val="00D90223"/>
    <w:rsid w:val="00D90931"/>
    <w:rsid w:val="00D91C24"/>
    <w:rsid w:val="00D92BE8"/>
    <w:rsid w:val="00D93A3E"/>
    <w:rsid w:val="00D95E7C"/>
    <w:rsid w:val="00DA31B0"/>
    <w:rsid w:val="00DA3372"/>
    <w:rsid w:val="00DA4901"/>
    <w:rsid w:val="00DB113F"/>
    <w:rsid w:val="00DB3411"/>
    <w:rsid w:val="00DB35E7"/>
    <w:rsid w:val="00DB391A"/>
    <w:rsid w:val="00DB5572"/>
    <w:rsid w:val="00DC00A1"/>
    <w:rsid w:val="00DC2012"/>
    <w:rsid w:val="00DC4593"/>
    <w:rsid w:val="00DD227A"/>
    <w:rsid w:val="00DD2A0C"/>
    <w:rsid w:val="00DD4BAB"/>
    <w:rsid w:val="00DD6327"/>
    <w:rsid w:val="00DD74C0"/>
    <w:rsid w:val="00DE0647"/>
    <w:rsid w:val="00DE4F55"/>
    <w:rsid w:val="00DE7697"/>
    <w:rsid w:val="00DF219A"/>
    <w:rsid w:val="00DF228C"/>
    <w:rsid w:val="00E035AB"/>
    <w:rsid w:val="00E04E6E"/>
    <w:rsid w:val="00E06FE4"/>
    <w:rsid w:val="00E074DB"/>
    <w:rsid w:val="00E10BBF"/>
    <w:rsid w:val="00E16FD0"/>
    <w:rsid w:val="00E23B0E"/>
    <w:rsid w:val="00E24DD0"/>
    <w:rsid w:val="00E33AD2"/>
    <w:rsid w:val="00E363A3"/>
    <w:rsid w:val="00E41D70"/>
    <w:rsid w:val="00E52B3F"/>
    <w:rsid w:val="00E52DF5"/>
    <w:rsid w:val="00E60BE2"/>
    <w:rsid w:val="00E62721"/>
    <w:rsid w:val="00E66CF9"/>
    <w:rsid w:val="00E66F49"/>
    <w:rsid w:val="00E769C5"/>
    <w:rsid w:val="00E76B80"/>
    <w:rsid w:val="00E77847"/>
    <w:rsid w:val="00E84768"/>
    <w:rsid w:val="00E84874"/>
    <w:rsid w:val="00E8605F"/>
    <w:rsid w:val="00E90157"/>
    <w:rsid w:val="00E92C3D"/>
    <w:rsid w:val="00E93E6B"/>
    <w:rsid w:val="00E973CF"/>
    <w:rsid w:val="00EB1CD0"/>
    <w:rsid w:val="00EB345D"/>
    <w:rsid w:val="00EB5258"/>
    <w:rsid w:val="00EC512D"/>
    <w:rsid w:val="00ED3AB5"/>
    <w:rsid w:val="00ED57B5"/>
    <w:rsid w:val="00ED68C4"/>
    <w:rsid w:val="00EF22F1"/>
    <w:rsid w:val="00EF2E08"/>
    <w:rsid w:val="00F0103E"/>
    <w:rsid w:val="00F070A1"/>
    <w:rsid w:val="00F07C85"/>
    <w:rsid w:val="00F16412"/>
    <w:rsid w:val="00F169BD"/>
    <w:rsid w:val="00F21306"/>
    <w:rsid w:val="00F218EF"/>
    <w:rsid w:val="00F329A8"/>
    <w:rsid w:val="00F33BB0"/>
    <w:rsid w:val="00F36404"/>
    <w:rsid w:val="00F36979"/>
    <w:rsid w:val="00F42810"/>
    <w:rsid w:val="00F5053C"/>
    <w:rsid w:val="00F53815"/>
    <w:rsid w:val="00F57295"/>
    <w:rsid w:val="00F81742"/>
    <w:rsid w:val="00F86179"/>
    <w:rsid w:val="00F8708C"/>
    <w:rsid w:val="00F94E5F"/>
    <w:rsid w:val="00F94F41"/>
    <w:rsid w:val="00F96115"/>
    <w:rsid w:val="00F96258"/>
    <w:rsid w:val="00F96F29"/>
    <w:rsid w:val="00FA1A64"/>
    <w:rsid w:val="00FC183D"/>
    <w:rsid w:val="00FC3A5A"/>
    <w:rsid w:val="00FC5FBC"/>
    <w:rsid w:val="00FC7C19"/>
    <w:rsid w:val="00FD1D89"/>
    <w:rsid w:val="00FE0FD7"/>
    <w:rsid w:val="00FE572B"/>
    <w:rsid w:val="00FF3276"/>
    <w:rsid w:val="00FF3636"/>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AD41"/>
  <w15:docId w15:val="{81F39B36-205C-4DF2-9FA5-2BFEF954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AD"/>
    <w:pPr>
      <w:ind w:left="720"/>
      <w:contextualSpacing/>
    </w:pPr>
  </w:style>
  <w:style w:type="paragraph" w:customStyle="1" w:styleId="TableParagraph">
    <w:name w:val="Table Paragraph"/>
    <w:basedOn w:val="Normal"/>
    <w:uiPriority w:val="1"/>
    <w:qFormat/>
    <w:rsid w:val="00FD1D89"/>
    <w:pPr>
      <w:widowControl w:val="0"/>
      <w:spacing w:after="0" w:line="240" w:lineRule="auto"/>
    </w:pPr>
  </w:style>
  <w:style w:type="paragraph" w:styleId="BalloonText">
    <w:name w:val="Balloon Text"/>
    <w:basedOn w:val="Normal"/>
    <w:link w:val="BalloonTextChar"/>
    <w:uiPriority w:val="99"/>
    <w:semiHidden/>
    <w:unhideWhenUsed/>
    <w:rsid w:val="0050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77"/>
    <w:rPr>
      <w:rFonts w:ascii="Segoe UI" w:hAnsi="Segoe UI" w:cs="Segoe UI"/>
      <w:sz w:val="18"/>
      <w:szCs w:val="18"/>
    </w:rPr>
  </w:style>
  <w:style w:type="table" w:styleId="TableGrid">
    <w:name w:val="Table Grid"/>
    <w:basedOn w:val="TableNormal"/>
    <w:uiPriority w:val="39"/>
    <w:rsid w:val="00F1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C0DE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C0DED"/>
    <w:rPr>
      <w:rFonts w:ascii="Arial" w:eastAsia="Arial" w:hAnsi="Arial" w:cs="Arial"/>
      <w:sz w:val="18"/>
      <w:szCs w:val="18"/>
    </w:rPr>
  </w:style>
  <w:style w:type="paragraph" w:customStyle="1" w:styleId="Default">
    <w:name w:val="Default"/>
    <w:rsid w:val="00E9015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75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671"/>
    <w:rPr>
      <w:color w:val="0563C1" w:themeColor="hyperlink"/>
      <w:u w:val="single"/>
    </w:rPr>
  </w:style>
  <w:style w:type="character" w:styleId="UnresolvedMention">
    <w:name w:val="Unresolved Mention"/>
    <w:basedOn w:val="DefaultParagraphFont"/>
    <w:uiPriority w:val="99"/>
    <w:semiHidden/>
    <w:unhideWhenUsed/>
    <w:rsid w:val="00517671"/>
    <w:rPr>
      <w:color w:val="605E5C"/>
      <w:shd w:val="clear" w:color="auto" w:fill="E1DFDD"/>
    </w:rPr>
  </w:style>
  <w:style w:type="paragraph" w:customStyle="1" w:styleId="xmsonormal">
    <w:name w:val="x_msonormal"/>
    <w:basedOn w:val="Normal"/>
    <w:rsid w:val="002361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9865">
      <w:bodyDiv w:val="1"/>
      <w:marLeft w:val="0"/>
      <w:marRight w:val="0"/>
      <w:marTop w:val="0"/>
      <w:marBottom w:val="0"/>
      <w:divBdr>
        <w:top w:val="none" w:sz="0" w:space="0" w:color="auto"/>
        <w:left w:val="none" w:sz="0" w:space="0" w:color="auto"/>
        <w:bottom w:val="none" w:sz="0" w:space="0" w:color="auto"/>
        <w:right w:val="none" w:sz="0" w:space="0" w:color="auto"/>
      </w:divBdr>
    </w:div>
    <w:div w:id="312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nmdelt.org/propelnm/policies-accountability/monitoring-reporting?authuse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9E94-E0E0-41C1-B71A-2660D230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Anderson</dc:creator>
  <cp:keywords/>
  <dc:description/>
  <cp:lastModifiedBy>Rodriguez, Amber , HED</cp:lastModifiedBy>
  <cp:revision>2</cp:revision>
  <cp:lastPrinted>2019-12-31T18:15:00Z</cp:lastPrinted>
  <dcterms:created xsi:type="dcterms:W3CDTF">2022-07-25T18:59:00Z</dcterms:created>
  <dcterms:modified xsi:type="dcterms:W3CDTF">2022-07-25T18:59:00Z</dcterms:modified>
</cp:coreProperties>
</file>