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CF277" w14:textId="77777777" w:rsidR="00157D7E" w:rsidRDefault="00157D7E" w:rsidP="00157D7E">
      <w:pPr>
        <w:jc w:val="center"/>
        <w:rPr>
          <w:b/>
          <w:sz w:val="32"/>
          <w:szCs w:val="32"/>
        </w:rPr>
      </w:pPr>
    </w:p>
    <w:p w14:paraId="277EA356" w14:textId="77777777" w:rsidR="00157D7E" w:rsidRDefault="00157D7E" w:rsidP="00157D7E">
      <w:pPr>
        <w:jc w:val="center"/>
        <w:rPr>
          <w:b/>
        </w:rPr>
      </w:pPr>
      <w:r>
        <w:rPr>
          <w:b/>
          <w:sz w:val="36"/>
          <w:szCs w:val="36"/>
        </w:rPr>
        <w:t xml:space="preserve">New Jersey Department of Labor </w:t>
      </w:r>
    </w:p>
    <w:p w14:paraId="404CE77E" w14:textId="77777777" w:rsidR="00157D7E" w:rsidRDefault="00157D7E" w:rsidP="00157D7E">
      <w:pPr>
        <w:jc w:val="center"/>
        <w:outlineLvl w:val="0"/>
        <w:rPr>
          <w:b/>
          <w:sz w:val="36"/>
          <w:szCs w:val="36"/>
        </w:rPr>
      </w:pPr>
      <w:r>
        <w:rPr>
          <w:b/>
          <w:sz w:val="36"/>
          <w:szCs w:val="36"/>
        </w:rPr>
        <w:t>Adult Literacy Programs</w:t>
      </w:r>
    </w:p>
    <w:p w14:paraId="6159B107" w14:textId="77777777" w:rsidR="00157D7E" w:rsidRDefault="00157D7E" w:rsidP="00157D7E">
      <w:pPr>
        <w:jc w:val="center"/>
        <w:rPr>
          <w:b/>
          <w:i/>
          <w:sz w:val="32"/>
          <w:szCs w:val="32"/>
        </w:rPr>
      </w:pPr>
    </w:p>
    <w:p w14:paraId="48E934BB" w14:textId="77777777" w:rsidR="00157D7E" w:rsidRDefault="00157D7E" w:rsidP="00157D7E">
      <w:pPr>
        <w:jc w:val="center"/>
        <w:rPr>
          <w:b/>
          <w:sz w:val="36"/>
          <w:szCs w:val="36"/>
        </w:rPr>
      </w:pPr>
    </w:p>
    <w:p w14:paraId="3598C5F2" w14:textId="77777777" w:rsidR="00157D7E" w:rsidRDefault="00157D7E" w:rsidP="00157D7E">
      <w:pPr>
        <w:jc w:val="center"/>
        <w:outlineLvl w:val="0"/>
        <w:rPr>
          <w:b/>
          <w:sz w:val="36"/>
          <w:szCs w:val="36"/>
        </w:rPr>
      </w:pPr>
      <w:r>
        <w:rPr>
          <w:b/>
          <w:sz w:val="36"/>
          <w:szCs w:val="36"/>
        </w:rPr>
        <w:t>Workforce Innovation and Opportunity Act Title II</w:t>
      </w:r>
    </w:p>
    <w:p w14:paraId="40EEB0DA" w14:textId="77777777" w:rsidR="00157D7E" w:rsidRDefault="00157D7E" w:rsidP="00157D7E">
      <w:pPr>
        <w:jc w:val="center"/>
        <w:outlineLvl w:val="0"/>
        <w:rPr>
          <w:b/>
          <w:i/>
          <w:sz w:val="32"/>
          <w:szCs w:val="32"/>
        </w:rPr>
      </w:pPr>
    </w:p>
    <w:p w14:paraId="2003702B" w14:textId="77777777" w:rsidR="00157D7E" w:rsidRDefault="00157D7E" w:rsidP="00157D7E">
      <w:pPr>
        <w:jc w:val="center"/>
        <w:outlineLvl w:val="0"/>
        <w:rPr>
          <w:b/>
          <w:i/>
          <w:sz w:val="32"/>
          <w:szCs w:val="32"/>
        </w:rPr>
      </w:pPr>
      <w:r>
        <w:rPr>
          <w:b/>
          <w:i/>
          <w:sz w:val="32"/>
          <w:szCs w:val="32"/>
        </w:rPr>
        <w:t xml:space="preserve">Narrative Report Program Year </w:t>
      </w:r>
      <w:r w:rsidR="000974AB">
        <w:rPr>
          <w:b/>
          <w:i/>
          <w:sz w:val="32"/>
          <w:szCs w:val="32"/>
        </w:rPr>
        <w:t>2020-2021</w:t>
      </w:r>
    </w:p>
    <w:p w14:paraId="3EF2D459" w14:textId="77777777" w:rsidR="00157D7E" w:rsidRDefault="00157D7E" w:rsidP="00157D7E">
      <w:pPr>
        <w:jc w:val="center"/>
        <w:outlineLvl w:val="0"/>
        <w:rPr>
          <w:b/>
          <w:sz w:val="36"/>
          <w:szCs w:val="36"/>
        </w:rPr>
      </w:pPr>
      <w:r>
        <w:rPr>
          <w:b/>
          <w:i/>
          <w:sz w:val="32"/>
          <w:szCs w:val="32"/>
        </w:rPr>
        <w:t>(July 1, 20</w:t>
      </w:r>
      <w:r w:rsidR="000974AB">
        <w:rPr>
          <w:b/>
          <w:i/>
          <w:sz w:val="32"/>
          <w:szCs w:val="32"/>
        </w:rPr>
        <w:t>20</w:t>
      </w:r>
      <w:r>
        <w:rPr>
          <w:b/>
          <w:i/>
          <w:sz w:val="32"/>
          <w:szCs w:val="32"/>
        </w:rPr>
        <w:t xml:space="preserve"> - June 30, 20</w:t>
      </w:r>
      <w:r w:rsidR="000E107A">
        <w:rPr>
          <w:b/>
          <w:i/>
          <w:sz w:val="32"/>
          <w:szCs w:val="32"/>
        </w:rPr>
        <w:t>2</w:t>
      </w:r>
      <w:r w:rsidR="000974AB">
        <w:rPr>
          <w:b/>
          <w:i/>
          <w:sz w:val="32"/>
          <w:szCs w:val="32"/>
        </w:rPr>
        <w:t>1</w:t>
      </w:r>
      <w:r>
        <w:rPr>
          <w:b/>
          <w:i/>
          <w:sz w:val="32"/>
          <w:szCs w:val="32"/>
        </w:rPr>
        <w:t>)</w:t>
      </w:r>
    </w:p>
    <w:p w14:paraId="04C9330D" w14:textId="77777777" w:rsidR="00157D7E" w:rsidRDefault="00157D7E" w:rsidP="00157D7E">
      <w:pPr>
        <w:jc w:val="center"/>
        <w:rPr>
          <w:b/>
          <w:sz w:val="36"/>
          <w:szCs w:val="36"/>
        </w:rPr>
      </w:pPr>
    </w:p>
    <w:p w14:paraId="35B82F99" w14:textId="77777777" w:rsidR="00157D7E" w:rsidRDefault="00157D7E" w:rsidP="00157D7E">
      <w:pPr>
        <w:jc w:val="center"/>
        <w:rPr>
          <w:b/>
          <w:i/>
          <w:sz w:val="32"/>
          <w:szCs w:val="32"/>
        </w:rPr>
      </w:pPr>
    </w:p>
    <w:p w14:paraId="7606CB0F" w14:textId="77777777" w:rsidR="00157D7E" w:rsidRDefault="00157D7E" w:rsidP="00157D7E">
      <w:pPr>
        <w:jc w:val="center"/>
        <w:rPr>
          <w:b/>
        </w:rPr>
      </w:pPr>
    </w:p>
    <w:p w14:paraId="7DA8ED6A" w14:textId="77777777" w:rsidR="00157D7E" w:rsidRDefault="00157D7E" w:rsidP="00157D7E">
      <w:pPr>
        <w:jc w:val="center"/>
        <w:rPr>
          <w:b/>
          <w:sz w:val="36"/>
          <w:szCs w:val="36"/>
        </w:rPr>
      </w:pPr>
    </w:p>
    <w:p w14:paraId="54A8FC29" w14:textId="77777777" w:rsidR="00157D7E" w:rsidRDefault="00157D7E" w:rsidP="00157D7E">
      <w:pPr>
        <w:jc w:val="center"/>
      </w:pPr>
    </w:p>
    <w:p w14:paraId="71DE8616" w14:textId="77777777" w:rsidR="00157D7E" w:rsidRDefault="00157D7E" w:rsidP="00157D7E">
      <w:pPr>
        <w:jc w:val="center"/>
      </w:pPr>
    </w:p>
    <w:p w14:paraId="00CAE7FE" w14:textId="77777777" w:rsidR="00157D7E" w:rsidRDefault="00157D7E" w:rsidP="00157D7E">
      <w:pPr>
        <w:jc w:val="center"/>
      </w:pPr>
    </w:p>
    <w:p w14:paraId="0332A144" w14:textId="77777777" w:rsidR="00157D7E" w:rsidRDefault="00157D7E" w:rsidP="00157D7E">
      <w:pPr>
        <w:jc w:val="center"/>
      </w:pPr>
      <w:r>
        <w:rPr>
          <w:noProof/>
        </w:rPr>
        <w:drawing>
          <wp:inline distT="0" distB="0" distL="0" distR="0" wp14:anchorId="1DB2E52C" wp14:editId="730E8B85">
            <wp:extent cx="1438275" cy="1400175"/>
            <wp:effectExtent l="0" t="0" r="9525" b="9525"/>
            <wp:docPr id="1" name="Picture 1" descr="http://rds.yahoo.com/_ylt=A9iby4YPPlpE.WoAZFejzbkF;_ylu=X3oDMTA4NDgyNWN0BHNlYwNwcm9m/SIG=124s7vudh/EXP=1146851215/**http:/www.cityconnections.com/NJ_Seal_1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ds.yahoo.com/_ylt=A9iby4YPPlpE.WoAZFejzbkF;_ylu=X3oDMTA4NDgyNWN0BHNlYwNwcm9m/SIG=124s7vudh/EXP=1146851215/**http:/www.cityconnections.com/NJ_Seal_150px.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1400175"/>
                    </a:xfrm>
                    <a:prstGeom prst="rect">
                      <a:avLst/>
                    </a:prstGeom>
                    <a:noFill/>
                    <a:ln>
                      <a:noFill/>
                    </a:ln>
                  </pic:spPr>
                </pic:pic>
              </a:graphicData>
            </a:graphic>
          </wp:inline>
        </w:drawing>
      </w:r>
    </w:p>
    <w:p w14:paraId="486164B4" w14:textId="77777777" w:rsidR="00157D7E" w:rsidRDefault="00157D7E" w:rsidP="00157D7E">
      <w:pPr>
        <w:jc w:val="center"/>
      </w:pPr>
    </w:p>
    <w:p w14:paraId="5B6118CD" w14:textId="77777777" w:rsidR="007415B4" w:rsidRDefault="007415B4" w:rsidP="00157D7E">
      <w:pPr>
        <w:jc w:val="center"/>
        <w:rPr>
          <w:b/>
          <w:sz w:val="36"/>
          <w:szCs w:val="36"/>
        </w:rPr>
      </w:pPr>
    </w:p>
    <w:p w14:paraId="37016609" w14:textId="77777777" w:rsidR="0069103A" w:rsidRDefault="0069103A" w:rsidP="00157D7E">
      <w:pPr>
        <w:jc w:val="center"/>
        <w:rPr>
          <w:b/>
          <w:sz w:val="36"/>
          <w:szCs w:val="36"/>
        </w:rPr>
      </w:pPr>
    </w:p>
    <w:p w14:paraId="4BB440E2" w14:textId="77777777" w:rsidR="0069103A" w:rsidRDefault="0069103A" w:rsidP="00157D7E">
      <w:pPr>
        <w:jc w:val="center"/>
        <w:rPr>
          <w:b/>
          <w:sz w:val="36"/>
          <w:szCs w:val="36"/>
        </w:rPr>
      </w:pPr>
    </w:p>
    <w:p w14:paraId="5D2A013B" w14:textId="77777777" w:rsidR="0069103A" w:rsidRDefault="0069103A" w:rsidP="00157D7E">
      <w:pPr>
        <w:jc w:val="center"/>
        <w:rPr>
          <w:b/>
          <w:sz w:val="36"/>
          <w:szCs w:val="36"/>
        </w:rPr>
      </w:pPr>
    </w:p>
    <w:p w14:paraId="2F7E1A30" w14:textId="77777777" w:rsidR="0069103A" w:rsidRDefault="0069103A" w:rsidP="00157D7E">
      <w:pPr>
        <w:jc w:val="center"/>
        <w:rPr>
          <w:b/>
          <w:sz w:val="36"/>
          <w:szCs w:val="36"/>
        </w:rPr>
      </w:pPr>
    </w:p>
    <w:p w14:paraId="13BF708B" w14:textId="77777777" w:rsidR="00157D7E" w:rsidRDefault="00157D7E" w:rsidP="00157D7E">
      <w:pPr>
        <w:jc w:val="center"/>
        <w:rPr>
          <w:b/>
          <w:sz w:val="36"/>
          <w:szCs w:val="36"/>
        </w:rPr>
      </w:pPr>
      <w:r>
        <w:rPr>
          <w:b/>
          <w:sz w:val="36"/>
          <w:szCs w:val="36"/>
        </w:rPr>
        <w:t>December 20</w:t>
      </w:r>
      <w:r w:rsidR="000E107A">
        <w:rPr>
          <w:b/>
          <w:sz w:val="36"/>
          <w:szCs w:val="36"/>
        </w:rPr>
        <w:t>2</w:t>
      </w:r>
      <w:r w:rsidR="000974AB">
        <w:rPr>
          <w:b/>
          <w:sz w:val="36"/>
          <w:szCs w:val="36"/>
        </w:rPr>
        <w:t>1</w:t>
      </w:r>
    </w:p>
    <w:p w14:paraId="324D3474" w14:textId="77777777" w:rsidR="00431BE1" w:rsidRDefault="00431BE1">
      <w:pPr>
        <w:spacing w:after="160" w:line="259" w:lineRule="auto"/>
        <w:rPr>
          <w:b/>
          <w:sz w:val="32"/>
          <w:szCs w:val="32"/>
        </w:rPr>
      </w:pPr>
      <w:r>
        <w:rPr>
          <w:b/>
          <w:sz w:val="32"/>
          <w:szCs w:val="32"/>
        </w:rPr>
        <w:br w:type="page"/>
      </w:r>
    </w:p>
    <w:p w14:paraId="56E20335" w14:textId="77777777" w:rsidR="001D2D99" w:rsidRDefault="001D2D99" w:rsidP="00157D7E">
      <w:pPr>
        <w:jc w:val="center"/>
        <w:rPr>
          <w:b/>
          <w:sz w:val="32"/>
          <w:szCs w:val="32"/>
        </w:rPr>
        <w:sectPr w:rsidR="001D2D99" w:rsidSect="00C360B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14:paraId="37A1E384" w14:textId="77777777" w:rsidR="00157D7E" w:rsidRDefault="007415B4" w:rsidP="00157D7E">
      <w:pPr>
        <w:jc w:val="center"/>
        <w:rPr>
          <w:b/>
        </w:rPr>
      </w:pPr>
      <w:r>
        <w:rPr>
          <w:b/>
        </w:rPr>
        <w:lastRenderedPageBreak/>
        <w:t>Ne</w:t>
      </w:r>
      <w:r w:rsidR="00157D7E">
        <w:rPr>
          <w:b/>
        </w:rPr>
        <w:t xml:space="preserve">w Jersey Narrative Report </w:t>
      </w:r>
      <w:r w:rsidR="000974AB">
        <w:rPr>
          <w:b/>
        </w:rPr>
        <w:t>2020-2021</w:t>
      </w:r>
    </w:p>
    <w:p w14:paraId="58A221EF" w14:textId="77777777" w:rsidR="00AF2BA0" w:rsidRPr="00AF2BA0" w:rsidRDefault="00AF2BA0" w:rsidP="004E2658">
      <w:pPr>
        <w:spacing w:after="120"/>
        <w:ind w:right="144"/>
        <w:rPr>
          <w:b/>
          <w:iCs/>
          <w:u w:val="single"/>
        </w:rPr>
      </w:pPr>
      <w:r w:rsidRPr="00AF2BA0">
        <w:rPr>
          <w:b/>
          <w:iCs/>
          <w:u w:val="single"/>
        </w:rPr>
        <w:t>Introduction</w:t>
      </w:r>
    </w:p>
    <w:p w14:paraId="5EFCA5A3" w14:textId="1A9E1270" w:rsidR="00157D7E" w:rsidRDefault="00157D7E" w:rsidP="004E2658">
      <w:pPr>
        <w:spacing w:after="120"/>
        <w:ind w:right="144"/>
      </w:pPr>
      <w:r>
        <w:rPr>
          <w:iCs/>
        </w:rPr>
        <w:t xml:space="preserve">New Jersey Department of Labor </w:t>
      </w:r>
      <w:r w:rsidR="008B60E3">
        <w:rPr>
          <w:iCs/>
        </w:rPr>
        <w:t>(DOL)</w:t>
      </w:r>
      <w:r>
        <w:rPr>
          <w:iCs/>
        </w:rPr>
        <w:t xml:space="preserve"> </w:t>
      </w:r>
      <w:r w:rsidR="000974AB">
        <w:t xml:space="preserve">Office of Adult Literacy (OAL) is committed to being compliant with all federal and state requirements and acknowledges the hard work of directors, instructors and students </w:t>
      </w:r>
      <w:r w:rsidR="00090064">
        <w:t>during an</w:t>
      </w:r>
      <w:r w:rsidR="000974AB">
        <w:t xml:space="preserve"> extremely trying time due to the </w:t>
      </w:r>
      <w:r w:rsidR="00090064">
        <w:t>emer</w:t>
      </w:r>
      <w:r w:rsidR="000974AB">
        <w:t xml:space="preserve">gence of Covid-19 in March 2020. </w:t>
      </w:r>
      <w:r w:rsidR="00E8395D">
        <w:t xml:space="preserve">New Jersey Title II OAL utilized Program Year 2020 to hold a new WIOA Title II </w:t>
      </w:r>
      <w:r w:rsidR="008723C3">
        <w:t xml:space="preserve">4-year </w:t>
      </w:r>
      <w:r w:rsidR="00E8395D">
        <w:t xml:space="preserve">competition, provide </w:t>
      </w:r>
      <w:r w:rsidR="008723C3">
        <w:t xml:space="preserve">ongoing </w:t>
      </w:r>
      <w:r w:rsidR="00E8395D">
        <w:t>professional development and training, conduct monitoring, and worked to discern the needs of staff and students in a rapidly evolving educational environment.</w:t>
      </w:r>
    </w:p>
    <w:p w14:paraId="1D6B59ED" w14:textId="77777777" w:rsidR="00157D7E" w:rsidRDefault="00157D7E" w:rsidP="00157D7E">
      <w:pPr>
        <w:rPr>
          <w:u w:val="single"/>
        </w:rPr>
      </w:pPr>
      <w:r>
        <w:rPr>
          <w:b/>
          <w:u w:val="single"/>
        </w:rPr>
        <w:t xml:space="preserve">State Leadership Funds </w:t>
      </w:r>
      <w:r>
        <w:rPr>
          <w:u w:val="single"/>
        </w:rPr>
        <w:t>(AEFLA Section 223)</w:t>
      </w:r>
    </w:p>
    <w:p w14:paraId="642ADC72" w14:textId="77777777" w:rsidR="00157D7E" w:rsidRDefault="00157D7E" w:rsidP="00157D7E">
      <w:pPr>
        <w:rPr>
          <w:iCs/>
        </w:rPr>
      </w:pPr>
      <w:r>
        <w:rPr>
          <w:iCs/>
        </w:rPr>
        <w:t xml:space="preserve">Consistent with WIOA Section 223, the </w:t>
      </w:r>
      <w:r w:rsidR="000F0F98">
        <w:rPr>
          <w:iCs/>
        </w:rPr>
        <w:t>NJ</w:t>
      </w:r>
      <w:r w:rsidR="00D7140C">
        <w:rPr>
          <w:iCs/>
        </w:rPr>
        <w:t xml:space="preserve"> </w:t>
      </w:r>
      <w:r w:rsidR="000F0F98">
        <w:rPr>
          <w:iCs/>
        </w:rPr>
        <w:t>DOL</w:t>
      </w:r>
      <w:r>
        <w:rPr>
          <w:iCs/>
        </w:rPr>
        <w:t xml:space="preserve"> has prioritized the following state leadership activities</w:t>
      </w:r>
      <w:r w:rsidR="008723C3">
        <w:rPr>
          <w:iCs/>
        </w:rPr>
        <w:t xml:space="preserve"> during Program Year 2020</w:t>
      </w:r>
      <w:r>
        <w:rPr>
          <w:iCs/>
        </w:rPr>
        <w:t>:</w:t>
      </w:r>
    </w:p>
    <w:p w14:paraId="5B57DF86" w14:textId="77777777" w:rsidR="00F05989" w:rsidRDefault="00E8395D" w:rsidP="00F32D6B">
      <w:pPr>
        <w:pStyle w:val="ListParagraph"/>
        <w:numPr>
          <w:ilvl w:val="0"/>
          <w:numId w:val="1"/>
        </w:numPr>
        <w:spacing w:after="120" w:line="256" w:lineRule="auto"/>
        <w:ind w:right="1008"/>
        <w:contextualSpacing/>
        <w:rPr>
          <w:iCs/>
        </w:rPr>
      </w:pPr>
      <w:r>
        <w:rPr>
          <w:iCs/>
        </w:rPr>
        <w:t xml:space="preserve">NJ </w:t>
      </w:r>
      <w:r w:rsidR="008723C3">
        <w:rPr>
          <w:iCs/>
        </w:rPr>
        <w:t xml:space="preserve">DOL </w:t>
      </w:r>
      <w:r>
        <w:rPr>
          <w:iCs/>
        </w:rPr>
        <w:t xml:space="preserve">OAL in </w:t>
      </w:r>
      <w:r w:rsidR="00121528">
        <w:rPr>
          <w:iCs/>
        </w:rPr>
        <w:t>conjunction</w:t>
      </w:r>
      <w:r>
        <w:rPr>
          <w:iCs/>
        </w:rPr>
        <w:t xml:space="preserve"> with the D</w:t>
      </w:r>
      <w:r w:rsidR="00F05989">
        <w:rPr>
          <w:iCs/>
        </w:rPr>
        <w:t>OL</w:t>
      </w:r>
      <w:r>
        <w:rPr>
          <w:iCs/>
        </w:rPr>
        <w:t xml:space="preserve"> Division of Career Services launched a large working group to modernize the case management system utilized </w:t>
      </w:r>
      <w:r w:rsidR="00F05989">
        <w:rPr>
          <w:iCs/>
        </w:rPr>
        <w:t>at all New Jersey</w:t>
      </w:r>
      <w:r>
        <w:rPr>
          <w:iCs/>
        </w:rPr>
        <w:t xml:space="preserve"> One Stop Career Centers (OSCCs). The NJ D</w:t>
      </w:r>
      <w:r w:rsidR="00F05989">
        <w:rPr>
          <w:iCs/>
        </w:rPr>
        <w:t>OL</w:t>
      </w:r>
      <w:r>
        <w:rPr>
          <w:iCs/>
        </w:rPr>
        <w:t xml:space="preserve"> State Director for Adult Literacy was one of two lead staff in this modernization study. The impact of this modernization will help with co-</w:t>
      </w:r>
      <w:r w:rsidR="00F05989">
        <w:rPr>
          <w:iCs/>
        </w:rPr>
        <w:t>enrollment</w:t>
      </w:r>
      <w:r>
        <w:rPr>
          <w:iCs/>
        </w:rPr>
        <w:t xml:space="preserve"> and better tracking of all clients, including Title II students referred from the OSCC</w:t>
      </w:r>
      <w:r w:rsidR="00F05989">
        <w:rPr>
          <w:iCs/>
        </w:rPr>
        <w:t xml:space="preserve"> to Title II providers</w:t>
      </w:r>
      <w:r>
        <w:rPr>
          <w:iCs/>
        </w:rPr>
        <w:t xml:space="preserve">. The time and effort dedicated to this work resulted </w:t>
      </w:r>
      <w:r w:rsidR="00F05989">
        <w:rPr>
          <w:iCs/>
        </w:rPr>
        <w:t xml:space="preserve">in numerous </w:t>
      </w:r>
      <w:r>
        <w:rPr>
          <w:iCs/>
        </w:rPr>
        <w:t xml:space="preserve">conversations with other states regarding their </w:t>
      </w:r>
      <w:r w:rsidR="00F05989">
        <w:rPr>
          <w:iCs/>
        </w:rPr>
        <w:t>current</w:t>
      </w:r>
      <w:r>
        <w:rPr>
          <w:iCs/>
        </w:rPr>
        <w:t xml:space="preserve"> systems, challenges in obtaining a new case </w:t>
      </w:r>
      <w:r w:rsidR="00F05989">
        <w:rPr>
          <w:iCs/>
        </w:rPr>
        <w:t>management</w:t>
      </w:r>
      <w:r>
        <w:rPr>
          <w:iCs/>
        </w:rPr>
        <w:t xml:space="preserve"> system, </w:t>
      </w:r>
      <w:r w:rsidR="00121528">
        <w:rPr>
          <w:iCs/>
        </w:rPr>
        <w:t xml:space="preserve">and </w:t>
      </w:r>
      <w:r w:rsidR="00F05989">
        <w:rPr>
          <w:iCs/>
        </w:rPr>
        <w:t>involvement</w:t>
      </w:r>
      <w:r>
        <w:rPr>
          <w:iCs/>
        </w:rPr>
        <w:t xml:space="preserve"> of </w:t>
      </w:r>
      <w:r w:rsidR="00F05989">
        <w:rPr>
          <w:iCs/>
        </w:rPr>
        <w:t>specific</w:t>
      </w:r>
      <w:r>
        <w:rPr>
          <w:iCs/>
        </w:rPr>
        <w:t xml:space="preserve"> Titles, including Title II in the </w:t>
      </w:r>
      <w:r w:rsidR="00F05989">
        <w:rPr>
          <w:iCs/>
        </w:rPr>
        <w:t>development</w:t>
      </w:r>
      <w:r>
        <w:rPr>
          <w:iCs/>
        </w:rPr>
        <w:t xml:space="preserve"> of data needs and tracking. This effort continued through the </w:t>
      </w:r>
      <w:r w:rsidR="00F05989">
        <w:rPr>
          <w:iCs/>
        </w:rPr>
        <w:t>2020 P</w:t>
      </w:r>
      <w:r>
        <w:rPr>
          <w:iCs/>
        </w:rPr>
        <w:t xml:space="preserve">rogram </w:t>
      </w:r>
      <w:r w:rsidR="00F05989">
        <w:rPr>
          <w:iCs/>
        </w:rPr>
        <w:t>Y</w:t>
      </w:r>
      <w:r>
        <w:rPr>
          <w:iCs/>
        </w:rPr>
        <w:t>ear and has extended into the 2021 P</w:t>
      </w:r>
      <w:r w:rsidR="00F05989">
        <w:rPr>
          <w:iCs/>
        </w:rPr>
        <w:t>rogr</w:t>
      </w:r>
      <w:r>
        <w:rPr>
          <w:iCs/>
        </w:rPr>
        <w:t xml:space="preserve">am </w:t>
      </w:r>
      <w:r w:rsidR="00F05989">
        <w:rPr>
          <w:iCs/>
        </w:rPr>
        <w:t>Y</w:t>
      </w:r>
      <w:r>
        <w:rPr>
          <w:iCs/>
        </w:rPr>
        <w:t xml:space="preserve">ear. Conversations with all required One-stop </w:t>
      </w:r>
      <w:r w:rsidR="00F05989">
        <w:rPr>
          <w:iCs/>
        </w:rPr>
        <w:t xml:space="preserve">partners and use of a survey for a mixed-methods approach to gather information rounded out the work done in consultation with </w:t>
      </w:r>
      <w:r w:rsidR="008723C3">
        <w:rPr>
          <w:iCs/>
        </w:rPr>
        <w:t>a</w:t>
      </w:r>
      <w:r w:rsidR="00F05989">
        <w:rPr>
          <w:iCs/>
        </w:rPr>
        <w:t xml:space="preserve"> hired vendor. This NJ Workforce Modernization effort</w:t>
      </w:r>
      <w:r>
        <w:rPr>
          <w:iCs/>
        </w:rPr>
        <w:t xml:space="preserve"> continue</w:t>
      </w:r>
      <w:r w:rsidR="00F05989">
        <w:rPr>
          <w:iCs/>
        </w:rPr>
        <w:t>s</w:t>
      </w:r>
      <w:r>
        <w:rPr>
          <w:iCs/>
        </w:rPr>
        <w:t xml:space="preserve"> to </w:t>
      </w:r>
      <w:r w:rsidR="00F05989">
        <w:rPr>
          <w:iCs/>
        </w:rPr>
        <w:t>build</w:t>
      </w:r>
      <w:r>
        <w:rPr>
          <w:iCs/>
        </w:rPr>
        <w:t xml:space="preserve"> the </w:t>
      </w:r>
      <w:r w:rsidR="00F05989">
        <w:rPr>
          <w:iCs/>
        </w:rPr>
        <w:t>business</w:t>
      </w:r>
      <w:r>
        <w:rPr>
          <w:iCs/>
        </w:rPr>
        <w:t xml:space="preserve"> requirements </w:t>
      </w:r>
      <w:r w:rsidR="00A83532">
        <w:rPr>
          <w:iCs/>
        </w:rPr>
        <w:t>necessary</w:t>
      </w:r>
      <w:r w:rsidR="00F05989">
        <w:rPr>
          <w:iCs/>
        </w:rPr>
        <w:t xml:space="preserve"> in order </w:t>
      </w:r>
      <w:r>
        <w:rPr>
          <w:iCs/>
        </w:rPr>
        <w:t>to post the RFP</w:t>
      </w:r>
      <w:r w:rsidR="008723C3">
        <w:rPr>
          <w:iCs/>
        </w:rPr>
        <w:t xml:space="preserve"> in 2022.</w:t>
      </w:r>
      <w:r>
        <w:rPr>
          <w:iCs/>
        </w:rPr>
        <w:t xml:space="preserve"> </w:t>
      </w:r>
    </w:p>
    <w:p w14:paraId="5526F6EA" w14:textId="77777777" w:rsidR="00157D7E" w:rsidRDefault="00157D7E" w:rsidP="00F32D6B">
      <w:pPr>
        <w:pStyle w:val="ListParagraph"/>
        <w:numPr>
          <w:ilvl w:val="0"/>
          <w:numId w:val="1"/>
        </w:numPr>
        <w:spacing w:after="120" w:line="256" w:lineRule="auto"/>
        <w:ind w:right="1008"/>
        <w:contextualSpacing/>
        <w:rPr>
          <w:iCs/>
        </w:rPr>
      </w:pPr>
      <w:r w:rsidRPr="005F3A7E">
        <w:rPr>
          <w:iCs/>
        </w:rPr>
        <w:t xml:space="preserve">Delivery of professional development has been accomplished by way of Leadership funding which includes </w:t>
      </w:r>
      <w:r w:rsidR="000F0F98">
        <w:rPr>
          <w:iCs/>
        </w:rPr>
        <w:t xml:space="preserve">attendance </w:t>
      </w:r>
      <w:r w:rsidR="00F05989">
        <w:rPr>
          <w:iCs/>
        </w:rPr>
        <w:t xml:space="preserve">at virtual </w:t>
      </w:r>
      <w:r w:rsidR="000F0F98">
        <w:rPr>
          <w:iCs/>
        </w:rPr>
        <w:t xml:space="preserve">literacy </w:t>
      </w:r>
      <w:r w:rsidRPr="005F3A7E">
        <w:rPr>
          <w:iCs/>
        </w:rPr>
        <w:t>regional conferences</w:t>
      </w:r>
      <w:r w:rsidR="008723C3">
        <w:rPr>
          <w:iCs/>
        </w:rPr>
        <w:t xml:space="preserve"> such as NJALL and GSETA</w:t>
      </w:r>
      <w:r w:rsidRPr="005F3A7E">
        <w:rPr>
          <w:iCs/>
        </w:rPr>
        <w:t>, program specific local training</w:t>
      </w:r>
      <w:r w:rsidR="008723C3">
        <w:rPr>
          <w:iCs/>
        </w:rPr>
        <w:t xml:space="preserve"> on resources including Teams and Zoom.</w:t>
      </w:r>
    </w:p>
    <w:p w14:paraId="52DB43AD" w14:textId="77777777" w:rsidR="004A479D" w:rsidRDefault="004A479D" w:rsidP="00F32D6B">
      <w:pPr>
        <w:pStyle w:val="ListParagraph"/>
        <w:numPr>
          <w:ilvl w:val="0"/>
          <w:numId w:val="1"/>
        </w:numPr>
        <w:spacing w:after="120" w:line="256" w:lineRule="auto"/>
        <w:ind w:right="1008"/>
        <w:contextualSpacing/>
        <w:rPr>
          <w:iCs/>
        </w:rPr>
      </w:pPr>
      <w:r>
        <w:rPr>
          <w:iCs/>
        </w:rPr>
        <w:t xml:space="preserve">Professional </w:t>
      </w:r>
      <w:r w:rsidR="008723C3">
        <w:rPr>
          <w:iCs/>
        </w:rPr>
        <w:t>development</w:t>
      </w:r>
      <w:r>
        <w:rPr>
          <w:iCs/>
        </w:rPr>
        <w:t xml:space="preserve"> programs in PY</w:t>
      </w:r>
      <w:r w:rsidR="00121528">
        <w:rPr>
          <w:iCs/>
        </w:rPr>
        <w:t xml:space="preserve"> </w:t>
      </w:r>
      <w:r>
        <w:rPr>
          <w:iCs/>
        </w:rPr>
        <w:t xml:space="preserve">20 included a CASAS recertification series in order to have all </w:t>
      </w:r>
      <w:r w:rsidR="008723C3">
        <w:rPr>
          <w:iCs/>
        </w:rPr>
        <w:t xml:space="preserve">NJ Title II </w:t>
      </w:r>
      <w:r>
        <w:rPr>
          <w:iCs/>
        </w:rPr>
        <w:t xml:space="preserve">providers in compliance with the NJ State Assessment Policy. </w:t>
      </w:r>
      <w:r w:rsidR="007415AD">
        <w:rPr>
          <w:iCs/>
        </w:rPr>
        <w:t xml:space="preserve">NJ </w:t>
      </w:r>
      <w:r>
        <w:rPr>
          <w:iCs/>
        </w:rPr>
        <w:t xml:space="preserve">DOL OAL staff also </w:t>
      </w:r>
      <w:r w:rsidR="008723C3">
        <w:rPr>
          <w:iCs/>
        </w:rPr>
        <w:t>participated</w:t>
      </w:r>
      <w:r>
        <w:rPr>
          <w:iCs/>
        </w:rPr>
        <w:t xml:space="preserve"> in these refresher trainings in order to be able to assist with onboarding of new staff and agencies.</w:t>
      </w:r>
    </w:p>
    <w:p w14:paraId="40C0276D" w14:textId="77777777" w:rsidR="00157D7E" w:rsidRDefault="00F05989" w:rsidP="00F05989">
      <w:pPr>
        <w:pStyle w:val="ListParagraph"/>
        <w:widowControl w:val="0"/>
        <w:numPr>
          <w:ilvl w:val="0"/>
          <w:numId w:val="1"/>
        </w:numPr>
        <w:spacing w:line="276" w:lineRule="auto"/>
        <w:contextualSpacing/>
      </w:pPr>
      <w:r>
        <w:t>N</w:t>
      </w:r>
      <w:r w:rsidR="000F0F98">
        <w:t>J</w:t>
      </w:r>
      <w:r w:rsidR="007415AD">
        <w:t xml:space="preserve"> </w:t>
      </w:r>
      <w:r w:rsidR="000F0F98">
        <w:t>DOL</w:t>
      </w:r>
      <w:r w:rsidR="005A1B22">
        <w:t xml:space="preserve"> provided direct technical assistance to </w:t>
      </w:r>
      <w:r w:rsidR="008723C3">
        <w:t>providers</w:t>
      </w:r>
      <w:r w:rsidR="005A1B22">
        <w:t xml:space="preserve"> during the course of </w:t>
      </w:r>
      <w:r w:rsidR="00C84754">
        <w:t>PY</w:t>
      </w:r>
      <w:r w:rsidR="00121528">
        <w:t xml:space="preserve"> </w:t>
      </w:r>
      <w:r>
        <w:t>20</w:t>
      </w:r>
      <w:r w:rsidR="005F3A7E">
        <w:t xml:space="preserve"> with </w:t>
      </w:r>
      <w:r w:rsidR="00140409">
        <w:t xml:space="preserve">a </w:t>
      </w:r>
      <w:r>
        <w:t xml:space="preserve">continued </w:t>
      </w:r>
      <w:r w:rsidR="00140409">
        <w:t xml:space="preserve">heavy emphasis on </w:t>
      </w:r>
      <w:r w:rsidR="005F3A7E">
        <w:t>online technical</w:t>
      </w:r>
      <w:r w:rsidR="00140409">
        <w:t xml:space="preserve"> </w:t>
      </w:r>
      <w:r w:rsidR="005F3A7E">
        <w:t>assistance</w:t>
      </w:r>
      <w:r>
        <w:t>.</w:t>
      </w:r>
      <w:r w:rsidR="00140409">
        <w:t xml:space="preserve"> </w:t>
      </w:r>
      <w:r w:rsidR="008723C3">
        <w:t xml:space="preserve">The </w:t>
      </w:r>
      <w:r w:rsidR="007415AD">
        <w:t xml:space="preserve">NJ </w:t>
      </w:r>
      <w:r w:rsidR="008723C3">
        <w:t>DOL OAL</w:t>
      </w:r>
      <w:r w:rsidR="00157D7E">
        <w:t xml:space="preserve"> continues to utilize LiteracyPro Systems’ LACES (Literacy, Adult and Community Education System) software as the Management Information System (MIS). </w:t>
      </w:r>
      <w:r w:rsidR="008F7739">
        <w:t xml:space="preserve">PY </w:t>
      </w:r>
      <w:r>
        <w:t>20</w:t>
      </w:r>
      <w:r w:rsidR="008F7739">
        <w:t xml:space="preserve"> t</w:t>
      </w:r>
      <w:r w:rsidR="00157D7E">
        <w:t xml:space="preserve">raining was provided </w:t>
      </w:r>
      <w:r>
        <w:t>by Literacy</w:t>
      </w:r>
      <w:r w:rsidR="008723C3">
        <w:t xml:space="preserve"> </w:t>
      </w:r>
      <w:r>
        <w:t xml:space="preserve">Pro </w:t>
      </w:r>
      <w:r w:rsidR="008723C3">
        <w:t xml:space="preserve">staff </w:t>
      </w:r>
      <w:r>
        <w:t xml:space="preserve">to all New Jersey providers in separate, deep dives of agency specific data and </w:t>
      </w:r>
      <w:r w:rsidR="008723C3">
        <w:t>best practices/</w:t>
      </w:r>
      <w:r>
        <w:t xml:space="preserve">errors. These trainings focused on further areas of concern in regards to data collection, </w:t>
      </w:r>
      <w:r w:rsidR="008723C3">
        <w:t xml:space="preserve">student barriers at </w:t>
      </w:r>
      <w:r>
        <w:t xml:space="preserve">entry, and </w:t>
      </w:r>
      <w:r w:rsidR="008723C3">
        <w:t xml:space="preserve">overall </w:t>
      </w:r>
      <w:r>
        <w:t xml:space="preserve">management, and specifically directed technical assistance was provided </w:t>
      </w:r>
      <w:r w:rsidR="008723C3">
        <w:t>to each agency i</w:t>
      </w:r>
      <w:r>
        <w:t>n order to help produce strong data. In tandem,</w:t>
      </w:r>
      <w:r w:rsidR="00157D7E">
        <w:t xml:space="preserve"> </w:t>
      </w:r>
      <w:r w:rsidR="000F0F98">
        <w:t>NJ</w:t>
      </w:r>
      <w:r w:rsidR="007415AD">
        <w:t xml:space="preserve"> </w:t>
      </w:r>
      <w:r w:rsidR="000F0F98">
        <w:t>DOL</w:t>
      </w:r>
      <w:r w:rsidR="00FF197C">
        <w:t xml:space="preserve"> </w:t>
      </w:r>
      <w:r>
        <w:t>OAL</w:t>
      </w:r>
      <w:r w:rsidR="00157D7E">
        <w:t xml:space="preserve"> program staff </w:t>
      </w:r>
      <w:r>
        <w:t xml:space="preserve">continue to </w:t>
      </w:r>
      <w:r w:rsidR="00157D7E">
        <w:t xml:space="preserve">analyze the LACES data on a monthly basis and </w:t>
      </w:r>
      <w:r>
        <w:t>observe/document</w:t>
      </w:r>
      <w:r w:rsidR="00157D7E">
        <w:t xml:space="preserve"> trends and other areas that could be perceived as </w:t>
      </w:r>
      <w:r w:rsidR="003A6F7C">
        <w:t>areas of concern and/or remediation</w:t>
      </w:r>
      <w:r w:rsidR="00157D7E">
        <w:t xml:space="preserve">. </w:t>
      </w:r>
    </w:p>
    <w:p w14:paraId="26B569CD" w14:textId="77777777" w:rsidR="004A479D" w:rsidRDefault="004A479D" w:rsidP="00F05989">
      <w:pPr>
        <w:pStyle w:val="ListParagraph"/>
        <w:widowControl w:val="0"/>
        <w:numPr>
          <w:ilvl w:val="0"/>
          <w:numId w:val="1"/>
        </w:numPr>
        <w:spacing w:line="276" w:lineRule="auto"/>
        <w:contextualSpacing/>
      </w:pPr>
      <w:r>
        <w:t xml:space="preserve">Technical assistance was provided to any </w:t>
      </w:r>
      <w:r w:rsidR="003A6F7C">
        <w:t>agencies</w:t>
      </w:r>
      <w:r>
        <w:t xml:space="preserve"> interesting in applying to the Notice of Grant Opportunity (4-year competition). The TA was </w:t>
      </w:r>
      <w:r w:rsidR="003A6F7C">
        <w:t>delivered</w:t>
      </w:r>
      <w:r>
        <w:t xml:space="preserve"> virtually, recorded, and posted online</w:t>
      </w:r>
      <w:r w:rsidR="00E51568">
        <w:t xml:space="preserve"> on the </w:t>
      </w:r>
      <w:r w:rsidR="00121528">
        <w:t xml:space="preserve">NJ </w:t>
      </w:r>
      <w:r w:rsidR="00E51568">
        <w:t>D</w:t>
      </w:r>
      <w:r w:rsidR="003A6F7C">
        <w:t>OL</w:t>
      </w:r>
      <w:r w:rsidR="00E51568">
        <w:t xml:space="preserve"> website next to the Notice of </w:t>
      </w:r>
      <w:r w:rsidR="0066019A">
        <w:t>G</w:t>
      </w:r>
      <w:r w:rsidR="00E51568">
        <w:t>rant Opportunity. The TA also allowed for questions regarding the application for the grant award</w:t>
      </w:r>
      <w:r w:rsidR="0066019A">
        <w:t xml:space="preserve"> and allowable services</w:t>
      </w:r>
      <w:r w:rsidR="00E51568">
        <w:t xml:space="preserve">, and this </w:t>
      </w:r>
      <w:r w:rsidR="0066019A">
        <w:t xml:space="preserve">Q&amp;A document </w:t>
      </w:r>
      <w:r w:rsidR="00E51568">
        <w:t xml:space="preserve">was also available to </w:t>
      </w:r>
      <w:r w:rsidR="00E51568">
        <w:lastRenderedPageBreak/>
        <w:t xml:space="preserve">the public in an open and transparent </w:t>
      </w:r>
      <w:r w:rsidR="0066019A">
        <w:t xml:space="preserve">competition </w:t>
      </w:r>
      <w:r w:rsidR="00E51568">
        <w:t>process.</w:t>
      </w:r>
    </w:p>
    <w:p w14:paraId="18A891DA" w14:textId="77777777" w:rsidR="00157D7E" w:rsidRDefault="00157D7E" w:rsidP="00157D7E">
      <w:pPr>
        <w:pStyle w:val="ListParagraph"/>
        <w:widowControl w:val="0"/>
        <w:numPr>
          <w:ilvl w:val="0"/>
          <w:numId w:val="4"/>
        </w:numPr>
        <w:spacing w:line="276" w:lineRule="auto"/>
        <w:contextualSpacing/>
      </w:pPr>
      <w:r>
        <w:t xml:space="preserve">The monitoring and evaluation of the quality and improvement of adult education activities as per 223(1)(d) continued </w:t>
      </w:r>
      <w:r w:rsidR="00E51568">
        <w:t xml:space="preserve">virtually </w:t>
      </w:r>
      <w:r>
        <w:t xml:space="preserve">in PY </w:t>
      </w:r>
      <w:r w:rsidR="00E51568">
        <w:t>2020</w:t>
      </w:r>
      <w:r>
        <w:t xml:space="preserve">. Regional coordinators work in tandem with </w:t>
      </w:r>
      <w:r w:rsidR="005D12A2">
        <w:t>central</w:t>
      </w:r>
      <w:r>
        <w:t xml:space="preserve"> </w:t>
      </w:r>
      <w:r w:rsidR="0066019A">
        <w:t>NJ</w:t>
      </w:r>
      <w:r w:rsidR="007415AD">
        <w:t xml:space="preserve"> </w:t>
      </w:r>
      <w:r w:rsidR="0066019A">
        <w:t>DOL OAL</w:t>
      </w:r>
      <w:r>
        <w:t xml:space="preserve"> staff to complete desk audits of all Title II lead agency programs and partner agencies. Areas of focus for PY 20</w:t>
      </w:r>
      <w:r w:rsidR="00E51568">
        <w:t>20</w:t>
      </w:r>
      <w:r>
        <w:t xml:space="preserve"> included </w:t>
      </w:r>
      <w:r w:rsidR="00E51568">
        <w:t xml:space="preserve">continued </w:t>
      </w:r>
      <w:r w:rsidR="00140409">
        <w:t>program monitoring (both in-person and remotely)</w:t>
      </w:r>
      <w:r w:rsidR="00E51568">
        <w:t xml:space="preserve"> regarding instruction and use of curricula which supports understanding of the College and </w:t>
      </w:r>
      <w:r w:rsidR="0066019A">
        <w:t>Career</w:t>
      </w:r>
      <w:r w:rsidR="00E51568">
        <w:t xml:space="preserve"> Readiness Standards</w:t>
      </w:r>
      <w:r w:rsidR="00140409">
        <w:t>, data analysis to determine programs struggling to meet levels of service</w:t>
      </w:r>
      <w:r w:rsidR="0066019A">
        <w:t>,</w:t>
      </w:r>
      <w:r w:rsidR="00140409">
        <w:t xml:space="preserve"> and student retention.</w:t>
      </w:r>
    </w:p>
    <w:p w14:paraId="15F00A66" w14:textId="77777777" w:rsidR="008E61AD" w:rsidRDefault="000F0F98" w:rsidP="00404348">
      <w:pPr>
        <w:pStyle w:val="ListParagraph"/>
        <w:widowControl w:val="0"/>
        <w:numPr>
          <w:ilvl w:val="0"/>
          <w:numId w:val="5"/>
        </w:numPr>
        <w:spacing w:line="276" w:lineRule="auto"/>
        <w:contextualSpacing/>
      </w:pPr>
      <w:r>
        <w:t>NJ</w:t>
      </w:r>
      <w:r w:rsidR="007415AD">
        <w:t xml:space="preserve"> </w:t>
      </w:r>
      <w:r>
        <w:t>DOL</w:t>
      </w:r>
      <w:r w:rsidR="005A1B22">
        <w:t xml:space="preserve"> </w:t>
      </w:r>
      <w:r w:rsidR="00E51568">
        <w:t>OAL</w:t>
      </w:r>
      <w:r w:rsidR="005A1B22">
        <w:t xml:space="preserve"> staff</w:t>
      </w:r>
      <w:r w:rsidR="00157D7E">
        <w:t xml:space="preserve"> continue to analyze, review, and monitor the following: </w:t>
      </w:r>
      <w:r w:rsidR="0066019A">
        <w:t>provider</w:t>
      </w:r>
      <w:r w:rsidR="00157D7E">
        <w:t xml:space="preserve"> budgets</w:t>
      </w:r>
      <w:r w:rsidR="00E51568">
        <w:t xml:space="preserve"> for reasonable and allowable spending</w:t>
      </w:r>
      <w:r w:rsidR="00157D7E">
        <w:t xml:space="preserve">, contracts and modifications; </w:t>
      </w:r>
      <w:r w:rsidR="00E51568">
        <w:t xml:space="preserve">monthly draw-down of </w:t>
      </w:r>
      <w:r w:rsidR="00157D7E">
        <w:t>expenditure reports</w:t>
      </w:r>
      <w:r w:rsidR="00140409">
        <w:t xml:space="preserve">, </w:t>
      </w:r>
      <w:r w:rsidR="00157D7E">
        <w:t>NRS data</w:t>
      </w:r>
      <w:r w:rsidR="007415AD">
        <w:t xml:space="preserve"> in</w:t>
      </w:r>
      <w:r w:rsidR="00157D7E">
        <w:t xml:space="preserve"> LACES including</w:t>
      </w:r>
      <w:r w:rsidR="00E51568">
        <w:t xml:space="preserve"> meeting negotiated benchmarks for performance.</w:t>
      </w:r>
      <w:r w:rsidR="00157D7E">
        <w:t xml:space="preserve"> </w:t>
      </w:r>
    </w:p>
    <w:p w14:paraId="34CBB95B" w14:textId="77777777" w:rsidR="00157D7E" w:rsidRDefault="00157D7E" w:rsidP="00157D7E">
      <w:pPr>
        <w:pStyle w:val="ListParagraph"/>
        <w:widowControl w:val="0"/>
        <w:numPr>
          <w:ilvl w:val="0"/>
          <w:numId w:val="5"/>
        </w:numPr>
        <w:spacing w:line="276" w:lineRule="auto"/>
        <w:contextualSpacing/>
      </w:pPr>
      <w:r>
        <w:t xml:space="preserve">All </w:t>
      </w:r>
      <w:r w:rsidR="00AF3E8A">
        <w:t xml:space="preserve">Title II </w:t>
      </w:r>
      <w:r w:rsidR="00E51568">
        <w:t>providers</w:t>
      </w:r>
      <w:r>
        <w:t xml:space="preserve"> receive a detailed </w:t>
      </w:r>
      <w:r w:rsidR="00E51568">
        <w:t>“</w:t>
      </w:r>
      <w:r>
        <w:t>report card</w:t>
      </w:r>
      <w:r w:rsidR="00E51568">
        <w:t>”</w:t>
      </w:r>
      <w:r>
        <w:t xml:space="preserve"> noting their </w:t>
      </w:r>
      <w:r w:rsidR="00E51568">
        <w:t>agency’s</w:t>
      </w:r>
      <w:r>
        <w:t xml:space="preserve"> progress</w:t>
      </w:r>
      <w:r w:rsidR="00E51568">
        <w:t xml:space="preserve"> in addition to a statewide summary of overall performance</w:t>
      </w:r>
      <w:r>
        <w:t xml:space="preserve">. Report cards were disseminated </w:t>
      </w:r>
      <w:r w:rsidR="00E51568">
        <w:t xml:space="preserve">and discussed </w:t>
      </w:r>
      <w:r>
        <w:t xml:space="preserve">at the </w:t>
      </w:r>
      <w:r w:rsidR="00E51568">
        <w:t>required Title II Director’s</w:t>
      </w:r>
      <w:r>
        <w:t xml:space="preserve"> meeting </w:t>
      </w:r>
      <w:r w:rsidR="00E51568">
        <w:t>in October 2020</w:t>
      </w:r>
      <w:r>
        <w:t>. These reports provide an overall</w:t>
      </w:r>
      <w:r w:rsidR="00FF197C">
        <w:t xml:space="preserve"> </w:t>
      </w:r>
      <w:r w:rsidR="00140409">
        <w:t xml:space="preserve">provider </w:t>
      </w:r>
      <w:r>
        <w:t>“grade” as well as a ranking of each Title II consortia program statewide</w:t>
      </w:r>
      <w:r w:rsidR="00140409">
        <w:t xml:space="preserve"> against negotiated performance metrics</w:t>
      </w:r>
      <w:r>
        <w:t>.</w:t>
      </w:r>
      <w:r w:rsidR="00E51568">
        <w:t xml:space="preserve"> The Covid impact </w:t>
      </w:r>
      <w:r w:rsidR="0066019A">
        <w:t>correlated to many providers</w:t>
      </w:r>
      <w:r w:rsidR="00E51568">
        <w:t xml:space="preserve"> not meeting </w:t>
      </w:r>
      <w:r w:rsidR="0066019A">
        <w:t>some</w:t>
      </w:r>
      <w:r w:rsidR="00E51568">
        <w:t xml:space="preserve"> of the required </w:t>
      </w:r>
      <w:r w:rsidR="0066019A">
        <w:t xml:space="preserve">federally negotiated </w:t>
      </w:r>
      <w:r w:rsidR="00E51568">
        <w:t xml:space="preserve">targets. Many directors shared frustration with student attendance and persistence and the State Director is developing professional development around these topics for Program </w:t>
      </w:r>
      <w:r w:rsidR="0066019A">
        <w:t>Y</w:t>
      </w:r>
      <w:r w:rsidR="00E51568">
        <w:t xml:space="preserve">ear </w:t>
      </w:r>
      <w:r w:rsidR="007415AD">
        <w:t>20</w:t>
      </w:r>
      <w:r w:rsidR="00E51568">
        <w:t>21.</w:t>
      </w:r>
    </w:p>
    <w:p w14:paraId="43AE8283" w14:textId="77777777" w:rsidR="007A6912" w:rsidRDefault="00330032" w:rsidP="007A6912">
      <w:pPr>
        <w:widowControl w:val="0"/>
        <w:tabs>
          <w:tab w:val="left" w:pos="-360"/>
          <w:tab w:val="left" w:pos="0"/>
          <w:tab w:val="left" w:pos="360"/>
          <w:tab w:val="left" w:pos="1080"/>
          <w:tab w:val="left" w:pos="2160"/>
          <w:tab w:val="left" w:pos="3240"/>
          <w:tab w:val="left" w:pos="3960"/>
          <w:tab w:val="left" w:pos="4680"/>
          <w:tab w:val="left" w:pos="5400"/>
          <w:tab w:val="left" w:pos="6120"/>
          <w:tab w:val="left" w:pos="6840"/>
          <w:tab w:val="left" w:pos="7560"/>
          <w:tab w:val="left" w:pos="8280"/>
          <w:tab w:val="left" w:pos="9000"/>
        </w:tabs>
        <w:snapToGrid w:val="0"/>
        <w:jc w:val="both"/>
        <w:outlineLvl w:val="0"/>
        <w:rPr>
          <w:b/>
          <w:u w:val="single"/>
        </w:rPr>
      </w:pPr>
      <w:r>
        <w:rPr>
          <w:b/>
          <w:u w:val="single"/>
        </w:rPr>
        <w:t xml:space="preserve">New Jersey </w:t>
      </w:r>
      <w:r w:rsidR="007A6912" w:rsidRPr="007A6912">
        <w:rPr>
          <w:b/>
          <w:u w:val="single"/>
        </w:rPr>
        <w:t>Performance Data Analysis</w:t>
      </w:r>
    </w:p>
    <w:p w14:paraId="4146A1D4" w14:textId="77777777" w:rsidR="00A83532" w:rsidRPr="00A83532" w:rsidRDefault="00A83532" w:rsidP="00852A13">
      <w:pPr>
        <w:ind w:firstLine="720"/>
      </w:pPr>
      <w:r w:rsidRPr="00A83532">
        <w:t>The effects of the COVID-19 pandemic continued to be felt throughout New Jersey’s adult education programs during PY 2020. Enrollment, testing, retention and performance were significantly impacted by the ongoing pandemic. The digital divide exposed challenges for participants in many ways. The obstacles were overwhelming and students and staff encountered personal, medical, educational, and employment challenges. Participants needed to care for and assist their children that were learning remotely at home. Often, they also had to care for sick family members. Many lost their jobs, needed to apply for unemployment and faced challenges to put food on the table. They faced housing insecurity. The pandemic caused a significant number of deaths and illness in our communities.</w:t>
      </w:r>
    </w:p>
    <w:p w14:paraId="2030BAD3" w14:textId="77777777" w:rsidR="00A83532" w:rsidRPr="00A83532" w:rsidRDefault="00A83532" w:rsidP="00852A13">
      <w:pPr>
        <w:ind w:firstLine="720"/>
      </w:pPr>
      <w:r w:rsidRPr="00A83532">
        <w:t xml:space="preserve">Massive professional development plans were put together. Instructors became fluent in Google Classroom, Schoology among other resources including Kami, Nearpod, Padlet, etc. and online software tools such as Aztec and Burlington English became the norm. Agency staff had to support learners with increased flexibility and put great effort into engaging students reluctant to consider virtual services. Distance learning and remote instruction were often the only option. Agencies utilized instructional options for participants via computers, tablets, cell phones, and worksheet packets. Videoconferencing tools such as Google Meet, Zoom, etc. were the new way to provide engaging and interactive instruction. </w:t>
      </w:r>
    </w:p>
    <w:p w14:paraId="7EE36F47" w14:textId="7DD79AF4" w:rsidR="00A83532" w:rsidRPr="00A83532" w:rsidRDefault="00A83532" w:rsidP="00852A13">
      <w:pPr>
        <w:ind w:firstLine="720"/>
      </w:pPr>
      <w:r w:rsidRPr="00A83532">
        <w:t xml:space="preserve">Despite the decrease in the overall number of participants enrolled from PY 2019 to PY 2020 from 14,947 to 11,709 there was an increase of 192,628 in the total attendance hours for all participants and a sharp increase in the number of distance learners and their attendance hours. The number of distance learners in New Jersey increased from 8 students in PY 2018 with a total of 661 attendance hours; to 1,765 students in PY 2019 with a total of 164,380 hours; to 9,420 distance learners in PY 2020 with a total of 962,252 attendance hours. NJ had 7,655 more distance learners and 797,872 more attendance hours in PY 2020 than in PY 2019. Eighty percent of the PY 2020 participants were distance learners compared with just 12% in PY 2019 and 4% in PY 2018.                                                                                                                                                                                                                                                                                                                                                                                                                                                                                                                                                                                                                                                                                                                                                                                                                                                                                                            </w:t>
      </w:r>
    </w:p>
    <w:p w14:paraId="7630E0D0" w14:textId="77777777" w:rsidR="00A83532" w:rsidRPr="00A83532" w:rsidRDefault="00A83532" w:rsidP="00852A13">
      <w:pPr>
        <w:ind w:firstLine="720"/>
      </w:pPr>
      <w:r w:rsidRPr="00A83532">
        <w:t xml:space="preserve">Although agencies were more familiar with remote instruction than when the pandemic hit there were still many challenges to overcome and performance was still affected amid the uncertainty of what the program </w:t>
      </w:r>
      <w:r w:rsidRPr="00A83532">
        <w:lastRenderedPageBreak/>
        <w:t xml:space="preserve">year would look like and the difficulties participants continued to face. In PY 2020, NJ agencies only met 4 of 12 measurable skill gains as compared to pre-pandemic performance when NJ met all of the 12 MSG performance targets. </w:t>
      </w:r>
    </w:p>
    <w:p w14:paraId="0A7A2E67" w14:textId="77777777" w:rsidR="00A83532" w:rsidRPr="00A83532" w:rsidRDefault="00A83532" w:rsidP="00852A13">
      <w:pPr>
        <w:ind w:firstLine="720"/>
      </w:pPr>
      <w:r w:rsidRPr="00A83532">
        <w:t xml:space="preserve">The four performance targets that were met were </w:t>
      </w:r>
      <w:r w:rsidR="00000633">
        <w:t xml:space="preserve">in </w:t>
      </w:r>
      <w:r w:rsidRPr="00A83532">
        <w:t>E</w:t>
      </w:r>
      <w:r w:rsidR="00000633">
        <w:t>nglish as a Second Language (ESL)</w:t>
      </w:r>
      <w:r w:rsidRPr="00A83532">
        <w:t xml:space="preserve"> educational functioning levels</w:t>
      </w:r>
      <w:r w:rsidR="00000633">
        <w:t xml:space="preserve"> (EFLs)</w:t>
      </w:r>
      <w:r w:rsidRPr="00A83532">
        <w:t xml:space="preserve">. The performance targets for the other two ESL EFLs were only missed by 2% and 3%. This was significant improvement from last year when NJ was only able to meet 1 of the 12 </w:t>
      </w:r>
      <w:r w:rsidR="00000633">
        <w:t>educational</w:t>
      </w:r>
      <w:r w:rsidRPr="00A83532">
        <w:t xml:space="preserve"> gains</w:t>
      </w:r>
      <w:r w:rsidR="00000633">
        <w:t xml:space="preserve"> performance targets</w:t>
      </w:r>
      <w:r w:rsidRPr="00A83532">
        <w:t xml:space="preserve">. It demonstrated how hard agencies were working to </w:t>
      </w:r>
      <w:r w:rsidR="00066AB9" w:rsidRPr="00A83532">
        <w:t>posttest</w:t>
      </w:r>
      <w:r w:rsidRPr="00A83532">
        <w:t xml:space="preserve"> participants in spite of the restrictions, fear, and the level of intense planning, labor and time commitment that comes with remote testing/testing in parking lots, churches and other allowed locations.</w:t>
      </w:r>
    </w:p>
    <w:p w14:paraId="60A842C0" w14:textId="1CA046D6" w:rsidR="00A83532" w:rsidRPr="00A83532" w:rsidRDefault="00A83532" w:rsidP="00852A13">
      <w:pPr>
        <w:ind w:firstLine="720"/>
      </w:pPr>
      <w:r w:rsidRPr="00A83532">
        <w:t xml:space="preserve">PY 2020 our programs demonstrated increases in </w:t>
      </w:r>
      <w:r w:rsidR="00793727" w:rsidRPr="00A83532">
        <w:t>all</w:t>
      </w:r>
      <w:r w:rsidRPr="00A83532">
        <w:t xml:space="preserve"> the EFLs. The increases were greater for ESL students than for A</w:t>
      </w:r>
      <w:r w:rsidR="00000633">
        <w:t>dult Basic Education (A</w:t>
      </w:r>
      <w:r w:rsidRPr="00A83532">
        <w:t>BE</w:t>
      </w:r>
      <w:r w:rsidR="00000633">
        <w:t>) and Adult Secondary Education (</w:t>
      </w:r>
      <w:r w:rsidRPr="00A83532">
        <w:t>ASE</w:t>
      </w:r>
      <w:r w:rsidR="00000633">
        <w:t>)</w:t>
      </w:r>
      <w:r w:rsidRPr="00A83532">
        <w:t xml:space="preserve"> students. From PY 2019 to PY 2020 the ABE/ASE level increases ranged from .55% to 7.18% with an average of 4%, whereas the ESL increases ranged from 1.34% to 13.20% with an average of 8%. NJ providers continued to struggle to posttest during year 2 of the pandemic, although there was a 4% increase in the number of participants post tested compared to the previous year. </w:t>
      </w:r>
    </w:p>
    <w:p w14:paraId="04CE43B5" w14:textId="77777777" w:rsidR="00A83532" w:rsidRPr="00A83532" w:rsidRDefault="00A83532" w:rsidP="00852A13">
      <w:pPr>
        <w:ind w:firstLine="360"/>
      </w:pPr>
      <w:r w:rsidRPr="00A83532">
        <w:t>Prior to the pandemic in PY 2018, New Jersey’s adult education agencies post tested 70% of their students. In PY 2019 they were only able to posttest 54% of their students and in PY 2020 they were able to posttest 58% of their students. Some of the issues limiting testing with NRS approved assessments were:</w:t>
      </w:r>
    </w:p>
    <w:p w14:paraId="78083325" w14:textId="77777777" w:rsidR="00A83532" w:rsidRPr="00A83532" w:rsidRDefault="00A83532" w:rsidP="00A83532"/>
    <w:p w14:paraId="6D9EFBB7" w14:textId="77777777" w:rsidR="00A83532" w:rsidRPr="00A83532" w:rsidRDefault="00A83532" w:rsidP="00852A13">
      <w:pPr>
        <w:numPr>
          <w:ilvl w:val="0"/>
          <w:numId w:val="18"/>
        </w:numPr>
        <w:spacing w:line="276" w:lineRule="auto"/>
      </w:pPr>
      <w:r w:rsidRPr="00A83532">
        <w:t>Participants did not have the appropriate hardware, software or reliable internet;</w:t>
      </w:r>
    </w:p>
    <w:p w14:paraId="072B7D44" w14:textId="77777777" w:rsidR="00A83532" w:rsidRPr="00A83532" w:rsidRDefault="00A83532" w:rsidP="00852A13">
      <w:pPr>
        <w:numPr>
          <w:ilvl w:val="0"/>
          <w:numId w:val="18"/>
        </w:numPr>
        <w:spacing w:line="276" w:lineRule="auto"/>
      </w:pPr>
      <w:r w:rsidRPr="00A83532">
        <w:t>Participants did not feel comfortable with remote guideline parameters in their home;</w:t>
      </w:r>
    </w:p>
    <w:p w14:paraId="2A714ED4" w14:textId="77777777" w:rsidR="00A83532" w:rsidRPr="00A83532" w:rsidRDefault="00A83532" w:rsidP="00852A13">
      <w:pPr>
        <w:numPr>
          <w:ilvl w:val="0"/>
          <w:numId w:val="18"/>
        </w:numPr>
        <w:spacing w:line="276" w:lineRule="auto"/>
      </w:pPr>
      <w:r w:rsidRPr="00A83532">
        <w:t>Participants did not have a suitable or a quiet place to test;</w:t>
      </w:r>
    </w:p>
    <w:p w14:paraId="57E9EC89" w14:textId="77777777" w:rsidR="00A83532" w:rsidRPr="00A83532" w:rsidRDefault="00A83532" w:rsidP="00852A13">
      <w:pPr>
        <w:numPr>
          <w:ilvl w:val="0"/>
          <w:numId w:val="18"/>
        </w:numPr>
        <w:spacing w:line="276" w:lineRule="auto"/>
      </w:pPr>
      <w:r w:rsidRPr="00A83532">
        <w:t>Equipment was being shared with other household members; and</w:t>
      </w:r>
    </w:p>
    <w:p w14:paraId="44243596" w14:textId="77777777" w:rsidR="00A83532" w:rsidRPr="00A83532" w:rsidRDefault="00A83532" w:rsidP="00852A13">
      <w:pPr>
        <w:numPr>
          <w:ilvl w:val="0"/>
          <w:numId w:val="18"/>
        </w:numPr>
        <w:spacing w:line="276" w:lineRule="auto"/>
      </w:pPr>
      <w:r w:rsidRPr="00A83532">
        <w:t xml:space="preserve">Testing a small number of students was labor and time intensive. </w:t>
      </w:r>
    </w:p>
    <w:p w14:paraId="7B74555E" w14:textId="77777777" w:rsidR="00A83532" w:rsidRPr="00A83532" w:rsidRDefault="00A83532" w:rsidP="00852A13">
      <w:pPr>
        <w:ind w:firstLine="360"/>
      </w:pPr>
      <w:r w:rsidRPr="00A83532">
        <w:t xml:space="preserve">Measurable Skill Gains (MSGs) performance targets for PY 2020 were established and agreed upon by the NJ DOL in collaboration with the United States Department of Education’s (US EDs) Office of Career, Technical and Adult Education (OCTAE). The targets were set for PY 2020 at the same time as they were set for PY 2019 and were similar to the ones set for PY 2019. However, some of the ABE PY 2020 targets were significantly higher which made them difficult to meet (e.g. 45% to 52%, 46% to 50%, and 43% to 47%), especially under the pandemic circumstances and the testing challenges that were brought about as a result.  </w:t>
      </w:r>
    </w:p>
    <w:p w14:paraId="34477523" w14:textId="65C65488" w:rsidR="00A83532" w:rsidRPr="00A83532" w:rsidRDefault="00A83532" w:rsidP="00852A13">
      <w:pPr>
        <w:ind w:firstLine="360"/>
      </w:pPr>
      <w:r w:rsidRPr="00A83532">
        <w:t xml:space="preserve">While states are aware of the legal barrier that OCTAE has </w:t>
      </w:r>
      <w:r w:rsidR="00F20101" w:rsidRPr="00A83532">
        <w:t>regarding</w:t>
      </w:r>
      <w:r w:rsidRPr="00A83532">
        <w:t xml:space="preserve"> being able to renegotiate targets even under the pandemic circumstances, it has been difficult to process the decline in performance after years of ongoing and consistent technical assistance to assist agencies in reaching and exceeding performance targets. Also, while states have been made aware that OCTAE is aware of the hard work of both state staff and local program staff and the impact the pandemic has had on performance, local programs feel overwhelmed and discouraged when viewing their NRS tables. </w:t>
      </w:r>
    </w:p>
    <w:p w14:paraId="3764DDE8" w14:textId="6B147711" w:rsidR="00A83532" w:rsidRPr="00A83532" w:rsidRDefault="00A83532" w:rsidP="00852A13">
      <w:pPr>
        <w:ind w:firstLine="360"/>
      </w:pPr>
      <w:r w:rsidRPr="00A83532">
        <w:t xml:space="preserve">During NJ DOLs final PY 2020 director’s roundtable meeting, agencies that demonstrated exceptional performance, significant program improvement and resilience were highlighted </w:t>
      </w:r>
      <w:r w:rsidR="00F20101" w:rsidRPr="00A83532">
        <w:t>to</w:t>
      </w:r>
      <w:r w:rsidRPr="00A83532">
        <w:t xml:space="preserve"> showcase the amazing efforts of some agencies and to promote an encouraging environment by sharing the successes of adult education programs with innovative practices combined with dedicated and determined program leaders and instructors.</w:t>
      </w:r>
    </w:p>
    <w:p w14:paraId="651842D6" w14:textId="77777777" w:rsidR="00A83532" w:rsidRPr="00A83532" w:rsidRDefault="00A83532" w:rsidP="00852A13">
      <w:pPr>
        <w:ind w:firstLine="360"/>
        <w:rPr>
          <w:color w:val="000000"/>
        </w:rPr>
      </w:pPr>
      <w:r w:rsidRPr="00A83532">
        <w:rPr>
          <w:color w:val="000000"/>
        </w:rPr>
        <w:t xml:space="preserve">A comparison of New Jersey’s performance targets for PY </w:t>
      </w:r>
      <w:r w:rsidRPr="00A83532">
        <w:t>2018, 2019, and 2020 and actual performance toward meeting the targets is provided in Chart 1 below. There is a clear correlation in the decline in performance for NRS Table 4 as a result of agencies’ challenges with post testing students as a result of the COVID-19 pandemic.</w:t>
      </w:r>
    </w:p>
    <w:p w14:paraId="6EC901FA" w14:textId="77777777" w:rsidR="00A83532" w:rsidRPr="00A83532" w:rsidRDefault="00A83532" w:rsidP="00A83532">
      <w:pPr>
        <w:outlineLvl w:val="0"/>
        <w:rPr>
          <w:b/>
        </w:rPr>
      </w:pPr>
    </w:p>
    <w:p w14:paraId="305DC5CA" w14:textId="77777777" w:rsidR="00A83532" w:rsidRPr="00A83532" w:rsidRDefault="00A83532" w:rsidP="00A83532">
      <w:pPr>
        <w:outlineLvl w:val="0"/>
        <w:rPr>
          <w:b/>
        </w:rPr>
      </w:pPr>
      <w:r w:rsidRPr="00A83532">
        <w:rPr>
          <w:b/>
        </w:rPr>
        <w:t>Chart 1:  New Jersey Adult Education Performance for the last three years</w:t>
      </w:r>
    </w:p>
    <w:p w14:paraId="18799480" w14:textId="77777777" w:rsidR="00A83532" w:rsidRPr="00A83532" w:rsidRDefault="00A83532" w:rsidP="00A83532">
      <w:pPr>
        <w:outlineLvl w:val="0"/>
        <w:rPr>
          <w:b/>
        </w:rPr>
      </w:pPr>
    </w:p>
    <w:tbl>
      <w:tblPr>
        <w:tblW w:w="0" w:type="auto"/>
        <w:jc w:val="center"/>
        <w:tblLayout w:type="fixed"/>
        <w:tblLook w:val="04A0" w:firstRow="1" w:lastRow="0" w:firstColumn="1" w:lastColumn="0" w:noHBand="0" w:noVBand="1"/>
      </w:tblPr>
      <w:tblGrid>
        <w:gridCol w:w="1795"/>
        <w:gridCol w:w="990"/>
        <w:gridCol w:w="1620"/>
        <w:gridCol w:w="990"/>
        <w:gridCol w:w="1620"/>
        <w:gridCol w:w="990"/>
        <w:gridCol w:w="1571"/>
      </w:tblGrid>
      <w:tr w:rsidR="0041203D" w:rsidRPr="00A83532" w14:paraId="42A9BED6" w14:textId="77777777" w:rsidTr="0041203D">
        <w:trPr>
          <w:trHeight w:val="20"/>
          <w:jc w:val="center"/>
        </w:trPr>
        <w:tc>
          <w:tcPr>
            <w:tcW w:w="1795"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0B42BC3C" w14:textId="77777777" w:rsidR="00A83532" w:rsidRPr="00A83532" w:rsidRDefault="00A83532" w:rsidP="00A83532">
            <w:pPr>
              <w:spacing w:line="256" w:lineRule="auto"/>
              <w:rPr>
                <w:b/>
              </w:rPr>
            </w:pPr>
            <w:r w:rsidRPr="00A83532">
              <w:rPr>
                <w:b/>
                <w:bCs/>
              </w:rPr>
              <w:lastRenderedPageBreak/>
              <w:t>Performance Objectives</w:t>
            </w:r>
          </w:p>
        </w:tc>
        <w:tc>
          <w:tcPr>
            <w:tcW w:w="990" w:type="dxa"/>
            <w:tcBorders>
              <w:top w:val="single" w:sz="4" w:space="0" w:color="auto"/>
              <w:left w:val="nil"/>
              <w:bottom w:val="single" w:sz="4" w:space="0" w:color="auto"/>
              <w:right w:val="single" w:sz="4" w:space="0" w:color="auto"/>
            </w:tcBorders>
            <w:shd w:val="clear" w:color="auto" w:fill="FBE4D5" w:themeFill="accent2" w:themeFillTint="33"/>
            <w:vAlign w:val="bottom"/>
            <w:hideMark/>
          </w:tcPr>
          <w:p w14:paraId="1A3BF316" w14:textId="77777777" w:rsidR="00A83532" w:rsidRPr="00A83532" w:rsidRDefault="00A83532" w:rsidP="00A83532">
            <w:pPr>
              <w:spacing w:line="256" w:lineRule="auto"/>
              <w:rPr>
                <w:b/>
                <w:bCs/>
              </w:rPr>
            </w:pPr>
            <w:r w:rsidRPr="00A83532">
              <w:rPr>
                <w:b/>
                <w:bCs/>
              </w:rPr>
              <w:t>PY18</w:t>
            </w:r>
          </w:p>
          <w:p w14:paraId="08E949B2" w14:textId="77777777" w:rsidR="00A83532" w:rsidRPr="00A83532" w:rsidRDefault="00A83532" w:rsidP="00A83532">
            <w:pPr>
              <w:spacing w:line="256" w:lineRule="auto"/>
              <w:rPr>
                <w:b/>
              </w:rPr>
            </w:pPr>
            <w:r w:rsidRPr="00A83532">
              <w:rPr>
                <w:b/>
                <w:bCs/>
              </w:rPr>
              <w:t xml:space="preserve">Target </w:t>
            </w:r>
          </w:p>
        </w:tc>
        <w:tc>
          <w:tcPr>
            <w:tcW w:w="162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hideMark/>
          </w:tcPr>
          <w:p w14:paraId="78BCD5B4" w14:textId="77777777" w:rsidR="00A83532" w:rsidRPr="00A83532" w:rsidRDefault="00A83532" w:rsidP="00A83532">
            <w:pPr>
              <w:spacing w:line="256" w:lineRule="auto"/>
              <w:rPr>
                <w:b/>
                <w:bCs/>
              </w:rPr>
            </w:pPr>
            <w:r w:rsidRPr="00A83532">
              <w:rPr>
                <w:b/>
                <w:bCs/>
              </w:rPr>
              <w:t>PY18</w:t>
            </w:r>
          </w:p>
          <w:p w14:paraId="7F5F4263" w14:textId="77777777" w:rsidR="00A83532" w:rsidRPr="00A83532" w:rsidRDefault="00A83532" w:rsidP="00A83532">
            <w:pPr>
              <w:spacing w:line="256" w:lineRule="auto"/>
              <w:rPr>
                <w:b/>
              </w:rPr>
            </w:pPr>
            <w:r w:rsidRPr="00A83532">
              <w:rPr>
                <w:b/>
                <w:bCs/>
              </w:rPr>
              <w:t xml:space="preserve">Performance </w:t>
            </w:r>
          </w:p>
        </w:tc>
        <w:tc>
          <w:tcPr>
            <w:tcW w:w="990" w:type="dxa"/>
            <w:tcBorders>
              <w:top w:val="single" w:sz="4" w:space="0" w:color="auto"/>
              <w:left w:val="nil"/>
              <w:bottom w:val="single" w:sz="4" w:space="0" w:color="auto"/>
              <w:right w:val="single" w:sz="4" w:space="0" w:color="auto"/>
            </w:tcBorders>
            <w:shd w:val="clear" w:color="auto" w:fill="FBE4D5" w:themeFill="accent2" w:themeFillTint="33"/>
            <w:vAlign w:val="bottom"/>
            <w:hideMark/>
          </w:tcPr>
          <w:p w14:paraId="0482D4AB" w14:textId="77777777" w:rsidR="00A83532" w:rsidRPr="00A83532" w:rsidRDefault="00A83532" w:rsidP="00A83532">
            <w:pPr>
              <w:spacing w:line="256" w:lineRule="auto"/>
              <w:rPr>
                <w:b/>
                <w:bCs/>
              </w:rPr>
            </w:pPr>
            <w:r w:rsidRPr="00A83532">
              <w:rPr>
                <w:b/>
                <w:bCs/>
              </w:rPr>
              <w:t>PY19</w:t>
            </w:r>
          </w:p>
          <w:p w14:paraId="2A254B9C" w14:textId="77777777" w:rsidR="00A83532" w:rsidRPr="00A83532" w:rsidRDefault="00A83532" w:rsidP="00A83532">
            <w:pPr>
              <w:spacing w:line="256" w:lineRule="auto"/>
              <w:rPr>
                <w:b/>
              </w:rPr>
            </w:pPr>
            <w:r w:rsidRPr="00A83532">
              <w:rPr>
                <w:b/>
                <w:bCs/>
              </w:rPr>
              <w:t>Target</w:t>
            </w:r>
          </w:p>
        </w:tc>
        <w:tc>
          <w:tcPr>
            <w:tcW w:w="162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hideMark/>
          </w:tcPr>
          <w:p w14:paraId="73D26EF1" w14:textId="77777777" w:rsidR="00A83532" w:rsidRPr="00A83532" w:rsidRDefault="00A83532" w:rsidP="00A83532">
            <w:pPr>
              <w:spacing w:line="256" w:lineRule="auto"/>
              <w:rPr>
                <w:b/>
                <w:bCs/>
              </w:rPr>
            </w:pPr>
            <w:r w:rsidRPr="00A83532">
              <w:rPr>
                <w:b/>
                <w:bCs/>
              </w:rPr>
              <w:t>PY19</w:t>
            </w:r>
          </w:p>
          <w:p w14:paraId="6AF71A7F" w14:textId="77777777" w:rsidR="00A83532" w:rsidRPr="00A83532" w:rsidRDefault="00A83532" w:rsidP="00A83532">
            <w:pPr>
              <w:spacing w:line="256" w:lineRule="auto"/>
              <w:rPr>
                <w:b/>
                <w:bCs/>
              </w:rPr>
            </w:pPr>
            <w:r w:rsidRPr="00A83532">
              <w:rPr>
                <w:b/>
                <w:bCs/>
              </w:rPr>
              <w:t>Performance</w:t>
            </w:r>
          </w:p>
        </w:tc>
        <w:tc>
          <w:tcPr>
            <w:tcW w:w="99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hideMark/>
          </w:tcPr>
          <w:p w14:paraId="24C05939" w14:textId="77777777" w:rsidR="00A83532" w:rsidRPr="00A83532" w:rsidRDefault="00A83532" w:rsidP="00A83532">
            <w:pPr>
              <w:spacing w:line="256" w:lineRule="auto"/>
              <w:rPr>
                <w:b/>
                <w:bCs/>
              </w:rPr>
            </w:pPr>
            <w:r w:rsidRPr="00A83532">
              <w:rPr>
                <w:b/>
                <w:bCs/>
              </w:rPr>
              <w:t>PY20</w:t>
            </w:r>
          </w:p>
          <w:p w14:paraId="022BA685" w14:textId="77777777" w:rsidR="00A83532" w:rsidRPr="00A83532" w:rsidRDefault="00A83532" w:rsidP="00A83532">
            <w:pPr>
              <w:spacing w:line="256" w:lineRule="auto"/>
              <w:rPr>
                <w:b/>
              </w:rPr>
            </w:pPr>
            <w:r w:rsidRPr="00A83532">
              <w:rPr>
                <w:b/>
                <w:bCs/>
              </w:rPr>
              <w:t>Target</w:t>
            </w:r>
          </w:p>
        </w:tc>
        <w:tc>
          <w:tcPr>
            <w:tcW w:w="157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hideMark/>
          </w:tcPr>
          <w:p w14:paraId="5F9FE261" w14:textId="77777777" w:rsidR="00A83532" w:rsidRPr="00A83532" w:rsidRDefault="00A83532" w:rsidP="00A83532">
            <w:pPr>
              <w:spacing w:line="256" w:lineRule="auto"/>
              <w:rPr>
                <w:b/>
                <w:bCs/>
              </w:rPr>
            </w:pPr>
            <w:r w:rsidRPr="00A83532">
              <w:rPr>
                <w:b/>
                <w:bCs/>
              </w:rPr>
              <w:t>PY20</w:t>
            </w:r>
          </w:p>
          <w:p w14:paraId="13BC8793" w14:textId="77777777" w:rsidR="00A83532" w:rsidRPr="00A83532" w:rsidRDefault="00A83532" w:rsidP="00A83532">
            <w:pPr>
              <w:spacing w:line="256" w:lineRule="auto"/>
              <w:rPr>
                <w:b/>
                <w:bCs/>
              </w:rPr>
            </w:pPr>
            <w:r w:rsidRPr="00A83532">
              <w:rPr>
                <w:b/>
                <w:bCs/>
              </w:rPr>
              <w:t>Performance</w:t>
            </w:r>
          </w:p>
        </w:tc>
      </w:tr>
      <w:tr w:rsidR="00A83532" w:rsidRPr="00A83532" w14:paraId="31E2ADEF" w14:textId="77777777" w:rsidTr="00CF4442">
        <w:trPr>
          <w:trHeight w:val="20"/>
          <w:jc w:val="center"/>
        </w:trPr>
        <w:tc>
          <w:tcPr>
            <w:tcW w:w="1795" w:type="dxa"/>
            <w:tcBorders>
              <w:top w:val="single" w:sz="4" w:space="0" w:color="auto"/>
              <w:left w:val="single" w:sz="4" w:space="0" w:color="auto"/>
              <w:bottom w:val="single" w:sz="4" w:space="0" w:color="auto"/>
              <w:right w:val="single" w:sz="4" w:space="0" w:color="auto"/>
            </w:tcBorders>
            <w:noWrap/>
            <w:vAlign w:val="bottom"/>
            <w:hideMark/>
          </w:tcPr>
          <w:p w14:paraId="050AE692" w14:textId="77777777" w:rsidR="00A83532" w:rsidRPr="00A83532" w:rsidRDefault="00A83532" w:rsidP="00A83532">
            <w:pPr>
              <w:spacing w:line="256" w:lineRule="auto"/>
            </w:pPr>
            <w:r w:rsidRPr="00A83532">
              <w:t>ABE Level 1</w:t>
            </w:r>
          </w:p>
        </w:tc>
        <w:tc>
          <w:tcPr>
            <w:tcW w:w="990" w:type="dxa"/>
            <w:tcBorders>
              <w:top w:val="single" w:sz="4" w:space="0" w:color="auto"/>
              <w:left w:val="single" w:sz="6" w:space="0" w:color="auto"/>
              <w:bottom w:val="single" w:sz="6" w:space="0" w:color="auto"/>
              <w:right w:val="single" w:sz="6" w:space="0" w:color="auto"/>
            </w:tcBorders>
            <w:vAlign w:val="bottom"/>
            <w:hideMark/>
          </w:tcPr>
          <w:p w14:paraId="0E3C25D1" w14:textId="77777777" w:rsidR="00A83532" w:rsidRPr="00A83532" w:rsidRDefault="00A83532" w:rsidP="00A83532">
            <w:pPr>
              <w:spacing w:line="256" w:lineRule="auto"/>
            </w:pPr>
            <w:r w:rsidRPr="00A83532">
              <w:t>50%</w:t>
            </w:r>
          </w:p>
        </w:tc>
        <w:tc>
          <w:tcPr>
            <w:tcW w:w="1620" w:type="dxa"/>
            <w:tcBorders>
              <w:top w:val="single" w:sz="4" w:space="0" w:color="auto"/>
              <w:left w:val="single" w:sz="6" w:space="0" w:color="auto"/>
              <w:bottom w:val="single" w:sz="6" w:space="0" w:color="auto"/>
              <w:right w:val="single" w:sz="4" w:space="0" w:color="auto"/>
            </w:tcBorders>
            <w:shd w:val="clear" w:color="auto" w:fill="DEEAF6" w:themeFill="accent5" w:themeFillTint="33"/>
            <w:vAlign w:val="bottom"/>
            <w:hideMark/>
          </w:tcPr>
          <w:p w14:paraId="34836DF0" w14:textId="77777777" w:rsidR="00A83532" w:rsidRPr="00A83532" w:rsidRDefault="00A83532" w:rsidP="00A83532">
            <w:pPr>
              <w:spacing w:line="256" w:lineRule="auto"/>
              <w:rPr>
                <w:b/>
                <w:color w:val="00B050"/>
              </w:rPr>
            </w:pPr>
            <w:r w:rsidRPr="00A83532">
              <w:rPr>
                <w:b/>
                <w:color w:val="00B050"/>
              </w:rPr>
              <w:t>54%</w:t>
            </w:r>
          </w:p>
        </w:tc>
        <w:tc>
          <w:tcPr>
            <w:tcW w:w="990" w:type="dxa"/>
            <w:tcBorders>
              <w:top w:val="single" w:sz="4" w:space="0" w:color="auto"/>
              <w:left w:val="nil"/>
              <w:bottom w:val="single" w:sz="4" w:space="0" w:color="auto"/>
              <w:right w:val="single" w:sz="4" w:space="0" w:color="auto"/>
            </w:tcBorders>
            <w:hideMark/>
          </w:tcPr>
          <w:p w14:paraId="311D4DB4" w14:textId="77777777" w:rsidR="00A83532" w:rsidRPr="00A83532" w:rsidRDefault="00A83532" w:rsidP="00A83532">
            <w:pPr>
              <w:spacing w:line="256" w:lineRule="auto"/>
            </w:pPr>
            <w:r w:rsidRPr="00A83532">
              <w:t>51%</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hideMark/>
          </w:tcPr>
          <w:p w14:paraId="4C3AD119" w14:textId="77777777" w:rsidR="00A83532" w:rsidRPr="00A83532" w:rsidRDefault="00A83532" w:rsidP="00A83532">
            <w:pPr>
              <w:spacing w:line="256" w:lineRule="auto"/>
              <w:rPr>
                <w:b/>
                <w:color w:val="FF0000"/>
              </w:rPr>
            </w:pPr>
            <w:r w:rsidRPr="00A83532">
              <w:rPr>
                <w:b/>
                <w:color w:val="FF0000"/>
              </w:rPr>
              <w:t>20%</w:t>
            </w:r>
          </w:p>
        </w:tc>
        <w:tc>
          <w:tcPr>
            <w:tcW w:w="990" w:type="dxa"/>
            <w:tcBorders>
              <w:top w:val="single" w:sz="4" w:space="0" w:color="auto"/>
              <w:left w:val="single" w:sz="4" w:space="0" w:color="auto"/>
              <w:bottom w:val="single" w:sz="4" w:space="0" w:color="auto"/>
              <w:right w:val="single" w:sz="4" w:space="0" w:color="auto"/>
            </w:tcBorders>
            <w:hideMark/>
          </w:tcPr>
          <w:p w14:paraId="07749CB4" w14:textId="77777777" w:rsidR="00A83532" w:rsidRPr="00A83532" w:rsidRDefault="00A83532" w:rsidP="00A83532">
            <w:pPr>
              <w:spacing w:line="256" w:lineRule="auto"/>
            </w:pPr>
            <w:r w:rsidRPr="00A83532">
              <w:t>51%</w:t>
            </w:r>
          </w:p>
        </w:tc>
        <w:tc>
          <w:tcPr>
            <w:tcW w:w="157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hideMark/>
          </w:tcPr>
          <w:p w14:paraId="1FAC5918" w14:textId="77777777" w:rsidR="00A83532" w:rsidRPr="00A83532" w:rsidRDefault="00A83532" w:rsidP="00A83532">
            <w:pPr>
              <w:spacing w:line="256" w:lineRule="auto"/>
              <w:rPr>
                <w:b/>
                <w:color w:val="FF0000"/>
              </w:rPr>
            </w:pPr>
            <w:r w:rsidRPr="00A83532">
              <w:rPr>
                <w:b/>
                <w:color w:val="FF0000"/>
              </w:rPr>
              <w:t>28%</w:t>
            </w:r>
          </w:p>
        </w:tc>
      </w:tr>
      <w:tr w:rsidR="00A83532" w:rsidRPr="00A83532" w14:paraId="4BA6EE80" w14:textId="77777777" w:rsidTr="00CF4442">
        <w:trPr>
          <w:trHeight w:val="20"/>
          <w:jc w:val="center"/>
        </w:trPr>
        <w:tc>
          <w:tcPr>
            <w:tcW w:w="1795" w:type="dxa"/>
            <w:tcBorders>
              <w:top w:val="nil"/>
              <w:left w:val="single" w:sz="4" w:space="0" w:color="auto"/>
              <w:bottom w:val="single" w:sz="4" w:space="0" w:color="auto"/>
              <w:right w:val="single" w:sz="4" w:space="0" w:color="auto"/>
            </w:tcBorders>
            <w:noWrap/>
            <w:vAlign w:val="bottom"/>
            <w:hideMark/>
          </w:tcPr>
          <w:p w14:paraId="603776D9" w14:textId="77777777" w:rsidR="00A83532" w:rsidRPr="00A83532" w:rsidRDefault="00A83532" w:rsidP="00A83532">
            <w:pPr>
              <w:spacing w:line="256" w:lineRule="auto"/>
            </w:pPr>
            <w:r w:rsidRPr="00A83532">
              <w:t>ABE Level 2</w:t>
            </w:r>
          </w:p>
        </w:tc>
        <w:tc>
          <w:tcPr>
            <w:tcW w:w="990" w:type="dxa"/>
            <w:tcBorders>
              <w:top w:val="single" w:sz="6" w:space="0" w:color="auto"/>
              <w:left w:val="single" w:sz="6" w:space="0" w:color="auto"/>
              <w:bottom w:val="single" w:sz="6" w:space="0" w:color="auto"/>
              <w:right w:val="single" w:sz="6" w:space="0" w:color="auto"/>
            </w:tcBorders>
            <w:vAlign w:val="bottom"/>
            <w:hideMark/>
          </w:tcPr>
          <w:p w14:paraId="4AD7588B" w14:textId="77777777" w:rsidR="00A83532" w:rsidRPr="00A83532" w:rsidRDefault="00A83532" w:rsidP="00A83532">
            <w:pPr>
              <w:spacing w:line="256" w:lineRule="auto"/>
            </w:pPr>
            <w:r w:rsidRPr="00A83532">
              <w:t>48%</w:t>
            </w:r>
          </w:p>
        </w:tc>
        <w:tc>
          <w:tcPr>
            <w:tcW w:w="1620" w:type="dxa"/>
            <w:tcBorders>
              <w:top w:val="single" w:sz="6" w:space="0" w:color="auto"/>
              <w:left w:val="single" w:sz="6" w:space="0" w:color="auto"/>
              <w:bottom w:val="single" w:sz="6" w:space="0" w:color="auto"/>
              <w:right w:val="single" w:sz="4" w:space="0" w:color="auto"/>
            </w:tcBorders>
            <w:shd w:val="clear" w:color="auto" w:fill="DEEAF6" w:themeFill="accent5" w:themeFillTint="33"/>
            <w:vAlign w:val="bottom"/>
            <w:hideMark/>
          </w:tcPr>
          <w:p w14:paraId="426CB40C" w14:textId="77777777" w:rsidR="00A83532" w:rsidRPr="00A83532" w:rsidRDefault="00A83532" w:rsidP="00A83532">
            <w:pPr>
              <w:spacing w:line="256" w:lineRule="auto"/>
              <w:rPr>
                <w:b/>
                <w:color w:val="00B050"/>
              </w:rPr>
            </w:pPr>
            <w:r w:rsidRPr="00A83532">
              <w:rPr>
                <w:b/>
                <w:color w:val="00B050"/>
              </w:rPr>
              <w:t>53%</w:t>
            </w:r>
          </w:p>
        </w:tc>
        <w:tc>
          <w:tcPr>
            <w:tcW w:w="990" w:type="dxa"/>
            <w:tcBorders>
              <w:top w:val="nil"/>
              <w:left w:val="nil"/>
              <w:bottom w:val="single" w:sz="4" w:space="0" w:color="auto"/>
              <w:right w:val="single" w:sz="4" w:space="0" w:color="auto"/>
            </w:tcBorders>
            <w:hideMark/>
          </w:tcPr>
          <w:p w14:paraId="5F440B3F" w14:textId="77777777" w:rsidR="00A83532" w:rsidRPr="00A83532" w:rsidRDefault="00A83532" w:rsidP="00A83532">
            <w:pPr>
              <w:spacing w:line="256" w:lineRule="auto"/>
            </w:pPr>
            <w:r w:rsidRPr="00A83532">
              <w:t>49%</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hideMark/>
          </w:tcPr>
          <w:p w14:paraId="50705663" w14:textId="77777777" w:rsidR="00A83532" w:rsidRPr="00A83532" w:rsidRDefault="00A83532" w:rsidP="00A83532">
            <w:pPr>
              <w:spacing w:line="256" w:lineRule="auto"/>
              <w:rPr>
                <w:b/>
                <w:color w:val="FF0000"/>
              </w:rPr>
            </w:pPr>
            <w:r w:rsidRPr="00A83532">
              <w:rPr>
                <w:b/>
                <w:color w:val="FF0000"/>
              </w:rPr>
              <w:t xml:space="preserve">26% </w:t>
            </w:r>
          </w:p>
        </w:tc>
        <w:tc>
          <w:tcPr>
            <w:tcW w:w="990" w:type="dxa"/>
            <w:tcBorders>
              <w:top w:val="single" w:sz="4" w:space="0" w:color="auto"/>
              <w:left w:val="single" w:sz="4" w:space="0" w:color="auto"/>
              <w:bottom w:val="single" w:sz="4" w:space="0" w:color="auto"/>
              <w:right w:val="single" w:sz="4" w:space="0" w:color="auto"/>
            </w:tcBorders>
            <w:hideMark/>
          </w:tcPr>
          <w:p w14:paraId="00AF0064" w14:textId="77777777" w:rsidR="00A83532" w:rsidRPr="00A83532" w:rsidRDefault="00A83532" w:rsidP="00A83532">
            <w:pPr>
              <w:spacing w:line="256" w:lineRule="auto"/>
            </w:pPr>
            <w:r w:rsidRPr="00A83532">
              <w:t>50%</w:t>
            </w:r>
          </w:p>
        </w:tc>
        <w:tc>
          <w:tcPr>
            <w:tcW w:w="157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hideMark/>
          </w:tcPr>
          <w:p w14:paraId="54AEA96F" w14:textId="77777777" w:rsidR="00A83532" w:rsidRPr="00A83532" w:rsidRDefault="00A83532" w:rsidP="00A83532">
            <w:pPr>
              <w:spacing w:line="256" w:lineRule="auto"/>
              <w:rPr>
                <w:b/>
                <w:color w:val="FF0000"/>
              </w:rPr>
            </w:pPr>
            <w:r w:rsidRPr="00A83532">
              <w:rPr>
                <w:b/>
                <w:color w:val="FF0000"/>
              </w:rPr>
              <w:t>31%</w:t>
            </w:r>
          </w:p>
        </w:tc>
      </w:tr>
      <w:tr w:rsidR="00A83532" w:rsidRPr="00A83532" w14:paraId="047CD867" w14:textId="77777777" w:rsidTr="00CF4442">
        <w:trPr>
          <w:trHeight w:val="20"/>
          <w:jc w:val="center"/>
        </w:trPr>
        <w:tc>
          <w:tcPr>
            <w:tcW w:w="1795" w:type="dxa"/>
            <w:tcBorders>
              <w:top w:val="nil"/>
              <w:left w:val="single" w:sz="4" w:space="0" w:color="auto"/>
              <w:bottom w:val="single" w:sz="4" w:space="0" w:color="auto"/>
              <w:right w:val="single" w:sz="4" w:space="0" w:color="auto"/>
            </w:tcBorders>
            <w:noWrap/>
            <w:vAlign w:val="bottom"/>
            <w:hideMark/>
          </w:tcPr>
          <w:p w14:paraId="5E188E5F" w14:textId="77777777" w:rsidR="00A83532" w:rsidRPr="00A83532" w:rsidRDefault="00A83532" w:rsidP="00A83532">
            <w:pPr>
              <w:spacing w:line="256" w:lineRule="auto"/>
            </w:pPr>
            <w:r w:rsidRPr="00A83532">
              <w:t>ABE Level 3</w:t>
            </w:r>
          </w:p>
        </w:tc>
        <w:tc>
          <w:tcPr>
            <w:tcW w:w="990" w:type="dxa"/>
            <w:tcBorders>
              <w:top w:val="single" w:sz="6" w:space="0" w:color="auto"/>
              <w:left w:val="single" w:sz="6" w:space="0" w:color="auto"/>
              <w:bottom w:val="single" w:sz="6" w:space="0" w:color="auto"/>
              <w:right w:val="single" w:sz="6" w:space="0" w:color="auto"/>
            </w:tcBorders>
            <w:vAlign w:val="bottom"/>
            <w:hideMark/>
          </w:tcPr>
          <w:p w14:paraId="6F1AC599" w14:textId="77777777" w:rsidR="00A83532" w:rsidRPr="00A83532" w:rsidRDefault="00A83532" w:rsidP="00A83532">
            <w:pPr>
              <w:spacing w:line="256" w:lineRule="auto"/>
            </w:pPr>
            <w:r w:rsidRPr="00A83532">
              <w:t>45%</w:t>
            </w:r>
          </w:p>
        </w:tc>
        <w:tc>
          <w:tcPr>
            <w:tcW w:w="1620" w:type="dxa"/>
            <w:tcBorders>
              <w:top w:val="single" w:sz="6" w:space="0" w:color="auto"/>
              <w:left w:val="single" w:sz="6" w:space="0" w:color="auto"/>
              <w:bottom w:val="single" w:sz="6" w:space="0" w:color="auto"/>
              <w:right w:val="single" w:sz="4" w:space="0" w:color="auto"/>
            </w:tcBorders>
            <w:shd w:val="clear" w:color="auto" w:fill="DEEAF6" w:themeFill="accent5" w:themeFillTint="33"/>
            <w:vAlign w:val="bottom"/>
            <w:hideMark/>
          </w:tcPr>
          <w:p w14:paraId="711B7EC8" w14:textId="77777777" w:rsidR="00A83532" w:rsidRPr="00A83532" w:rsidRDefault="00A83532" w:rsidP="00A83532">
            <w:pPr>
              <w:spacing w:line="256" w:lineRule="auto"/>
              <w:rPr>
                <w:b/>
                <w:color w:val="00B050"/>
              </w:rPr>
            </w:pPr>
            <w:r w:rsidRPr="00A83532">
              <w:rPr>
                <w:b/>
                <w:color w:val="00B050"/>
              </w:rPr>
              <w:t>53%</w:t>
            </w:r>
          </w:p>
        </w:tc>
        <w:tc>
          <w:tcPr>
            <w:tcW w:w="990" w:type="dxa"/>
            <w:tcBorders>
              <w:top w:val="nil"/>
              <w:left w:val="nil"/>
              <w:bottom w:val="single" w:sz="4" w:space="0" w:color="auto"/>
              <w:right w:val="single" w:sz="4" w:space="0" w:color="auto"/>
            </w:tcBorders>
            <w:hideMark/>
          </w:tcPr>
          <w:p w14:paraId="46DBB6C4" w14:textId="77777777" w:rsidR="00A83532" w:rsidRPr="00A83532" w:rsidRDefault="00A83532" w:rsidP="00A83532">
            <w:pPr>
              <w:spacing w:line="256" w:lineRule="auto"/>
            </w:pPr>
            <w:r w:rsidRPr="00A83532">
              <w:t>46%</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hideMark/>
          </w:tcPr>
          <w:p w14:paraId="75FF5DA2" w14:textId="77777777" w:rsidR="00A83532" w:rsidRPr="00A83532" w:rsidRDefault="00A83532" w:rsidP="00A83532">
            <w:pPr>
              <w:spacing w:line="256" w:lineRule="auto"/>
              <w:rPr>
                <w:b/>
                <w:color w:val="FF0000"/>
              </w:rPr>
            </w:pPr>
            <w:r w:rsidRPr="00A83532">
              <w:rPr>
                <w:b/>
                <w:color w:val="FF0000"/>
              </w:rPr>
              <w:t>29%</w:t>
            </w:r>
          </w:p>
        </w:tc>
        <w:tc>
          <w:tcPr>
            <w:tcW w:w="990" w:type="dxa"/>
            <w:tcBorders>
              <w:top w:val="single" w:sz="4" w:space="0" w:color="auto"/>
              <w:left w:val="single" w:sz="4" w:space="0" w:color="auto"/>
              <w:bottom w:val="single" w:sz="4" w:space="0" w:color="auto"/>
              <w:right w:val="single" w:sz="4" w:space="0" w:color="auto"/>
            </w:tcBorders>
            <w:hideMark/>
          </w:tcPr>
          <w:p w14:paraId="60B80749" w14:textId="77777777" w:rsidR="00A83532" w:rsidRPr="00A83532" w:rsidRDefault="00A83532" w:rsidP="00A83532">
            <w:pPr>
              <w:spacing w:line="256" w:lineRule="auto"/>
            </w:pPr>
            <w:r w:rsidRPr="00A83532">
              <w:t>50%</w:t>
            </w:r>
          </w:p>
        </w:tc>
        <w:tc>
          <w:tcPr>
            <w:tcW w:w="157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hideMark/>
          </w:tcPr>
          <w:p w14:paraId="0EFC6A0B" w14:textId="77777777" w:rsidR="00A83532" w:rsidRPr="00A83532" w:rsidRDefault="00A83532" w:rsidP="00A83532">
            <w:pPr>
              <w:spacing w:line="256" w:lineRule="auto"/>
              <w:rPr>
                <w:b/>
                <w:color w:val="FF0000"/>
              </w:rPr>
            </w:pPr>
            <w:r w:rsidRPr="00A83532">
              <w:rPr>
                <w:b/>
                <w:color w:val="FF0000"/>
              </w:rPr>
              <w:t>29%</w:t>
            </w:r>
          </w:p>
        </w:tc>
      </w:tr>
      <w:tr w:rsidR="00A83532" w:rsidRPr="00A83532" w14:paraId="03EBB759" w14:textId="77777777" w:rsidTr="00CF4442">
        <w:trPr>
          <w:trHeight w:val="20"/>
          <w:jc w:val="center"/>
        </w:trPr>
        <w:tc>
          <w:tcPr>
            <w:tcW w:w="1795" w:type="dxa"/>
            <w:tcBorders>
              <w:top w:val="nil"/>
              <w:left w:val="single" w:sz="4" w:space="0" w:color="auto"/>
              <w:bottom w:val="single" w:sz="4" w:space="0" w:color="auto"/>
              <w:right w:val="single" w:sz="4" w:space="0" w:color="auto"/>
            </w:tcBorders>
            <w:noWrap/>
            <w:vAlign w:val="bottom"/>
            <w:hideMark/>
          </w:tcPr>
          <w:p w14:paraId="4486A7EE" w14:textId="77777777" w:rsidR="00A83532" w:rsidRPr="00A83532" w:rsidRDefault="00A83532" w:rsidP="00A83532">
            <w:pPr>
              <w:spacing w:line="256" w:lineRule="auto"/>
            </w:pPr>
            <w:r w:rsidRPr="00A83532">
              <w:t>ABE Level 4</w:t>
            </w:r>
          </w:p>
        </w:tc>
        <w:tc>
          <w:tcPr>
            <w:tcW w:w="990" w:type="dxa"/>
            <w:tcBorders>
              <w:top w:val="single" w:sz="6" w:space="0" w:color="auto"/>
              <w:left w:val="single" w:sz="6" w:space="0" w:color="auto"/>
              <w:bottom w:val="single" w:sz="6" w:space="0" w:color="auto"/>
              <w:right w:val="single" w:sz="6" w:space="0" w:color="auto"/>
            </w:tcBorders>
            <w:vAlign w:val="bottom"/>
            <w:hideMark/>
          </w:tcPr>
          <w:p w14:paraId="7CE53E5B" w14:textId="77777777" w:rsidR="00A83532" w:rsidRPr="00A83532" w:rsidRDefault="00A83532" w:rsidP="00A83532">
            <w:pPr>
              <w:spacing w:line="256" w:lineRule="auto"/>
            </w:pPr>
            <w:r w:rsidRPr="00A83532">
              <w:t>42%</w:t>
            </w:r>
          </w:p>
        </w:tc>
        <w:tc>
          <w:tcPr>
            <w:tcW w:w="1620" w:type="dxa"/>
            <w:tcBorders>
              <w:top w:val="single" w:sz="6" w:space="0" w:color="auto"/>
              <w:left w:val="single" w:sz="6" w:space="0" w:color="auto"/>
              <w:bottom w:val="single" w:sz="6" w:space="0" w:color="auto"/>
              <w:right w:val="single" w:sz="4" w:space="0" w:color="auto"/>
            </w:tcBorders>
            <w:shd w:val="clear" w:color="auto" w:fill="DEEAF6" w:themeFill="accent5" w:themeFillTint="33"/>
            <w:vAlign w:val="bottom"/>
            <w:hideMark/>
          </w:tcPr>
          <w:p w14:paraId="019634A7" w14:textId="77777777" w:rsidR="00A83532" w:rsidRPr="00A83532" w:rsidRDefault="00A83532" w:rsidP="00A83532">
            <w:pPr>
              <w:spacing w:line="256" w:lineRule="auto"/>
              <w:rPr>
                <w:b/>
                <w:color w:val="00B050"/>
              </w:rPr>
            </w:pPr>
            <w:r w:rsidRPr="00A83532">
              <w:rPr>
                <w:b/>
                <w:color w:val="00B050"/>
              </w:rPr>
              <w:t>52%</w:t>
            </w:r>
          </w:p>
        </w:tc>
        <w:tc>
          <w:tcPr>
            <w:tcW w:w="990" w:type="dxa"/>
            <w:tcBorders>
              <w:top w:val="nil"/>
              <w:left w:val="nil"/>
              <w:bottom w:val="single" w:sz="4" w:space="0" w:color="auto"/>
              <w:right w:val="single" w:sz="4" w:space="0" w:color="auto"/>
            </w:tcBorders>
            <w:hideMark/>
          </w:tcPr>
          <w:p w14:paraId="7A6EAD6D" w14:textId="77777777" w:rsidR="00A83532" w:rsidRPr="00A83532" w:rsidRDefault="00A83532" w:rsidP="00A83532">
            <w:pPr>
              <w:spacing w:line="256" w:lineRule="auto"/>
            </w:pPr>
            <w:r w:rsidRPr="00A83532">
              <w:t>43%</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hideMark/>
          </w:tcPr>
          <w:p w14:paraId="030028BC" w14:textId="77777777" w:rsidR="00A83532" w:rsidRPr="00A83532" w:rsidRDefault="00A83532" w:rsidP="00A83532">
            <w:pPr>
              <w:spacing w:line="256" w:lineRule="auto"/>
              <w:rPr>
                <w:b/>
                <w:color w:val="FF0000"/>
              </w:rPr>
            </w:pPr>
            <w:r w:rsidRPr="00A83532">
              <w:rPr>
                <w:b/>
                <w:color w:val="FF0000"/>
              </w:rPr>
              <w:t xml:space="preserve">32% </w:t>
            </w:r>
          </w:p>
        </w:tc>
        <w:tc>
          <w:tcPr>
            <w:tcW w:w="990" w:type="dxa"/>
            <w:tcBorders>
              <w:top w:val="single" w:sz="4" w:space="0" w:color="auto"/>
              <w:left w:val="single" w:sz="4" w:space="0" w:color="auto"/>
              <w:bottom w:val="single" w:sz="4" w:space="0" w:color="auto"/>
              <w:right w:val="single" w:sz="4" w:space="0" w:color="auto"/>
            </w:tcBorders>
            <w:hideMark/>
          </w:tcPr>
          <w:p w14:paraId="38277629" w14:textId="77777777" w:rsidR="00A83532" w:rsidRPr="00A83532" w:rsidRDefault="00A83532" w:rsidP="00A83532">
            <w:pPr>
              <w:spacing w:line="256" w:lineRule="auto"/>
            </w:pPr>
            <w:r w:rsidRPr="00A83532">
              <w:t>47%</w:t>
            </w:r>
          </w:p>
        </w:tc>
        <w:tc>
          <w:tcPr>
            <w:tcW w:w="157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hideMark/>
          </w:tcPr>
          <w:p w14:paraId="5CECCFC6" w14:textId="77777777" w:rsidR="00A83532" w:rsidRPr="00A83532" w:rsidRDefault="00A83532" w:rsidP="00A83532">
            <w:pPr>
              <w:spacing w:line="256" w:lineRule="auto"/>
              <w:rPr>
                <w:b/>
                <w:color w:val="FF0000"/>
              </w:rPr>
            </w:pPr>
            <w:r w:rsidRPr="00A83532">
              <w:rPr>
                <w:b/>
                <w:color w:val="FF0000"/>
              </w:rPr>
              <w:t>34%</w:t>
            </w:r>
          </w:p>
        </w:tc>
      </w:tr>
      <w:tr w:rsidR="00A83532" w:rsidRPr="00A83532" w14:paraId="1868F988" w14:textId="77777777" w:rsidTr="00CF4442">
        <w:trPr>
          <w:trHeight w:val="20"/>
          <w:jc w:val="center"/>
        </w:trPr>
        <w:tc>
          <w:tcPr>
            <w:tcW w:w="1795" w:type="dxa"/>
            <w:tcBorders>
              <w:top w:val="nil"/>
              <w:left w:val="single" w:sz="4" w:space="0" w:color="auto"/>
              <w:bottom w:val="single" w:sz="4" w:space="0" w:color="auto"/>
              <w:right w:val="single" w:sz="4" w:space="0" w:color="auto"/>
            </w:tcBorders>
            <w:noWrap/>
            <w:vAlign w:val="bottom"/>
            <w:hideMark/>
          </w:tcPr>
          <w:p w14:paraId="04E591B3" w14:textId="77777777" w:rsidR="00A83532" w:rsidRPr="00A83532" w:rsidRDefault="00A83532" w:rsidP="00A83532">
            <w:pPr>
              <w:spacing w:line="256" w:lineRule="auto"/>
            </w:pPr>
            <w:r w:rsidRPr="00A83532">
              <w:t>ABE Level 5</w:t>
            </w:r>
          </w:p>
        </w:tc>
        <w:tc>
          <w:tcPr>
            <w:tcW w:w="990" w:type="dxa"/>
            <w:tcBorders>
              <w:top w:val="single" w:sz="6" w:space="0" w:color="auto"/>
              <w:left w:val="single" w:sz="6" w:space="0" w:color="auto"/>
              <w:bottom w:val="single" w:sz="6" w:space="0" w:color="auto"/>
              <w:right w:val="single" w:sz="6" w:space="0" w:color="auto"/>
            </w:tcBorders>
            <w:vAlign w:val="bottom"/>
            <w:hideMark/>
          </w:tcPr>
          <w:p w14:paraId="761334A0" w14:textId="77777777" w:rsidR="00A83532" w:rsidRPr="00A83532" w:rsidRDefault="00A83532" w:rsidP="00A83532">
            <w:pPr>
              <w:spacing w:line="256" w:lineRule="auto"/>
            </w:pPr>
            <w:r w:rsidRPr="00A83532">
              <w:t>55%</w:t>
            </w:r>
          </w:p>
        </w:tc>
        <w:tc>
          <w:tcPr>
            <w:tcW w:w="1620" w:type="dxa"/>
            <w:tcBorders>
              <w:top w:val="single" w:sz="6" w:space="0" w:color="auto"/>
              <w:left w:val="single" w:sz="6" w:space="0" w:color="auto"/>
              <w:bottom w:val="single" w:sz="6" w:space="0" w:color="auto"/>
              <w:right w:val="single" w:sz="4" w:space="0" w:color="auto"/>
            </w:tcBorders>
            <w:shd w:val="clear" w:color="auto" w:fill="DEEAF6" w:themeFill="accent5" w:themeFillTint="33"/>
            <w:vAlign w:val="bottom"/>
            <w:hideMark/>
          </w:tcPr>
          <w:p w14:paraId="59D6CB98" w14:textId="77777777" w:rsidR="00A83532" w:rsidRPr="00A83532" w:rsidRDefault="00A83532" w:rsidP="00A83532">
            <w:pPr>
              <w:spacing w:line="256" w:lineRule="auto"/>
              <w:rPr>
                <w:b/>
                <w:color w:val="00B050"/>
              </w:rPr>
            </w:pPr>
            <w:r w:rsidRPr="00A83532">
              <w:rPr>
                <w:b/>
                <w:color w:val="00B050"/>
              </w:rPr>
              <w:t>63%</w:t>
            </w:r>
          </w:p>
        </w:tc>
        <w:tc>
          <w:tcPr>
            <w:tcW w:w="990" w:type="dxa"/>
            <w:tcBorders>
              <w:top w:val="nil"/>
              <w:left w:val="nil"/>
              <w:bottom w:val="single" w:sz="4" w:space="0" w:color="auto"/>
              <w:right w:val="single" w:sz="4" w:space="0" w:color="auto"/>
            </w:tcBorders>
            <w:hideMark/>
          </w:tcPr>
          <w:p w14:paraId="204D6E99" w14:textId="77777777" w:rsidR="00A83532" w:rsidRPr="00A83532" w:rsidRDefault="00A83532" w:rsidP="00A83532">
            <w:pPr>
              <w:spacing w:line="256" w:lineRule="auto"/>
            </w:pPr>
            <w:r w:rsidRPr="00A83532">
              <w:t>56%</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hideMark/>
          </w:tcPr>
          <w:p w14:paraId="55989808" w14:textId="77777777" w:rsidR="00A83532" w:rsidRPr="00A83532" w:rsidRDefault="00A83532" w:rsidP="00A83532">
            <w:pPr>
              <w:spacing w:line="256" w:lineRule="auto"/>
              <w:rPr>
                <w:b/>
                <w:color w:val="FF0000"/>
              </w:rPr>
            </w:pPr>
            <w:r w:rsidRPr="00A83532">
              <w:rPr>
                <w:b/>
                <w:color w:val="FF0000"/>
              </w:rPr>
              <w:t xml:space="preserve">29%  </w:t>
            </w:r>
          </w:p>
        </w:tc>
        <w:tc>
          <w:tcPr>
            <w:tcW w:w="990" w:type="dxa"/>
            <w:tcBorders>
              <w:top w:val="single" w:sz="4" w:space="0" w:color="auto"/>
              <w:left w:val="single" w:sz="4" w:space="0" w:color="auto"/>
              <w:bottom w:val="single" w:sz="4" w:space="0" w:color="auto"/>
              <w:right w:val="single" w:sz="4" w:space="0" w:color="auto"/>
            </w:tcBorders>
            <w:hideMark/>
          </w:tcPr>
          <w:p w14:paraId="5A0D4A70" w14:textId="77777777" w:rsidR="00A83532" w:rsidRPr="00A83532" w:rsidRDefault="00A83532" w:rsidP="00A83532">
            <w:pPr>
              <w:spacing w:line="256" w:lineRule="auto"/>
            </w:pPr>
            <w:r w:rsidRPr="00A83532">
              <w:t>57%</w:t>
            </w:r>
          </w:p>
        </w:tc>
        <w:tc>
          <w:tcPr>
            <w:tcW w:w="157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hideMark/>
          </w:tcPr>
          <w:p w14:paraId="4AED9B3B" w14:textId="77777777" w:rsidR="00A83532" w:rsidRPr="00A83532" w:rsidRDefault="00A83532" w:rsidP="00A83532">
            <w:pPr>
              <w:spacing w:line="256" w:lineRule="auto"/>
              <w:rPr>
                <w:b/>
                <w:color w:val="FF0000"/>
              </w:rPr>
            </w:pPr>
            <w:r w:rsidRPr="00A83532">
              <w:rPr>
                <w:b/>
                <w:color w:val="FF0000"/>
              </w:rPr>
              <w:t>33%</w:t>
            </w:r>
          </w:p>
        </w:tc>
      </w:tr>
      <w:tr w:rsidR="00A83532" w:rsidRPr="00A83532" w14:paraId="61FC36A4" w14:textId="77777777" w:rsidTr="00CF4442">
        <w:trPr>
          <w:trHeight w:val="20"/>
          <w:jc w:val="center"/>
        </w:trPr>
        <w:tc>
          <w:tcPr>
            <w:tcW w:w="1795" w:type="dxa"/>
            <w:tcBorders>
              <w:top w:val="nil"/>
              <w:left w:val="single" w:sz="4" w:space="0" w:color="auto"/>
              <w:bottom w:val="single" w:sz="4" w:space="0" w:color="auto"/>
              <w:right w:val="single" w:sz="4" w:space="0" w:color="auto"/>
            </w:tcBorders>
            <w:noWrap/>
            <w:vAlign w:val="bottom"/>
          </w:tcPr>
          <w:p w14:paraId="0E399ABF" w14:textId="77777777" w:rsidR="00A83532" w:rsidRPr="00A83532" w:rsidRDefault="00A83532" w:rsidP="00A83532">
            <w:pPr>
              <w:spacing w:line="256" w:lineRule="auto"/>
            </w:pPr>
            <w:r w:rsidRPr="00A83532">
              <w:t>ABE Level 6</w:t>
            </w:r>
          </w:p>
        </w:tc>
        <w:tc>
          <w:tcPr>
            <w:tcW w:w="990" w:type="dxa"/>
            <w:tcBorders>
              <w:top w:val="single" w:sz="6" w:space="0" w:color="auto"/>
              <w:left w:val="single" w:sz="6" w:space="0" w:color="auto"/>
              <w:bottom w:val="single" w:sz="6" w:space="0" w:color="auto"/>
              <w:right w:val="single" w:sz="6" w:space="0" w:color="auto"/>
            </w:tcBorders>
            <w:vAlign w:val="bottom"/>
          </w:tcPr>
          <w:p w14:paraId="52F237AD" w14:textId="77777777" w:rsidR="00A83532" w:rsidRPr="00A83532" w:rsidRDefault="00A83532" w:rsidP="00A83532">
            <w:pPr>
              <w:spacing w:line="256" w:lineRule="auto"/>
              <w:rPr>
                <w:color w:val="3B3838"/>
              </w:rPr>
            </w:pPr>
            <w:r w:rsidRPr="00A83532">
              <w:rPr>
                <w:color w:val="3B3838"/>
              </w:rPr>
              <w:t>44%</w:t>
            </w:r>
          </w:p>
        </w:tc>
        <w:tc>
          <w:tcPr>
            <w:tcW w:w="1620" w:type="dxa"/>
            <w:tcBorders>
              <w:top w:val="single" w:sz="6" w:space="0" w:color="auto"/>
              <w:left w:val="single" w:sz="6" w:space="0" w:color="auto"/>
              <w:bottom w:val="single" w:sz="6" w:space="0" w:color="auto"/>
              <w:right w:val="single" w:sz="4" w:space="0" w:color="auto"/>
            </w:tcBorders>
            <w:shd w:val="clear" w:color="auto" w:fill="DEEAF6" w:themeFill="accent5" w:themeFillTint="33"/>
            <w:vAlign w:val="bottom"/>
          </w:tcPr>
          <w:p w14:paraId="314EBAB8" w14:textId="77777777" w:rsidR="00A83532" w:rsidRPr="00A83532" w:rsidRDefault="00A83532" w:rsidP="00A83532">
            <w:pPr>
              <w:spacing w:line="256" w:lineRule="auto"/>
              <w:rPr>
                <w:b/>
                <w:color w:val="00B050"/>
              </w:rPr>
            </w:pPr>
            <w:r w:rsidRPr="00A83532">
              <w:rPr>
                <w:b/>
                <w:color w:val="00B050"/>
              </w:rPr>
              <w:t>56%</w:t>
            </w:r>
          </w:p>
        </w:tc>
        <w:tc>
          <w:tcPr>
            <w:tcW w:w="990" w:type="dxa"/>
            <w:tcBorders>
              <w:top w:val="nil"/>
              <w:left w:val="nil"/>
              <w:bottom w:val="single" w:sz="4" w:space="0" w:color="auto"/>
              <w:right w:val="single" w:sz="4" w:space="0" w:color="auto"/>
            </w:tcBorders>
          </w:tcPr>
          <w:p w14:paraId="345DFAA3" w14:textId="77777777" w:rsidR="00A83532" w:rsidRPr="00A83532" w:rsidRDefault="00A83532" w:rsidP="00A83532">
            <w:pPr>
              <w:spacing w:line="256" w:lineRule="auto"/>
              <w:rPr>
                <w:color w:val="000000"/>
              </w:rPr>
            </w:pPr>
            <w:r w:rsidRPr="00A83532">
              <w:rPr>
                <w:color w:val="000000"/>
              </w:rPr>
              <w:t>45%</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1465183C" w14:textId="77777777" w:rsidR="00A83532" w:rsidRPr="00A83532" w:rsidRDefault="00A83532" w:rsidP="00A83532">
            <w:pPr>
              <w:spacing w:line="256" w:lineRule="auto"/>
              <w:rPr>
                <w:b/>
                <w:color w:val="FF0000"/>
              </w:rPr>
            </w:pPr>
            <w:r w:rsidRPr="00A83532">
              <w:rPr>
                <w:b/>
                <w:color w:val="FF0000"/>
              </w:rPr>
              <w:t>26%</w:t>
            </w:r>
          </w:p>
        </w:tc>
        <w:tc>
          <w:tcPr>
            <w:tcW w:w="990" w:type="dxa"/>
            <w:tcBorders>
              <w:top w:val="single" w:sz="4" w:space="0" w:color="auto"/>
              <w:left w:val="single" w:sz="4" w:space="0" w:color="auto"/>
              <w:bottom w:val="single" w:sz="4" w:space="0" w:color="auto"/>
              <w:right w:val="single" w:sz="4" w:space="0" w:color="auto"/>
            </w:tcBorders>
          </w:tcPr>
          <w:p w14:paraId="055F612F" w14:textId="77777777" w:rsidR="00A83532" w:rsidRPr="00A83532" w:rsidRDefault="00A83532" w:rsidP="00A83532">
            <w:pPr>
              <w:spacing w:line="256" w:lineRule="auto"/>
              <w:rPr>
                <w:color w:val="3B3838"/>
              </w:rPr>
            </w:pPr>
            <w:r w:rsidRPr="00A83532">
              <w:rPr>
                <w:color w:val="3B3838"/>
              </w:rPr>
              <w:t>52%</w:t>
            </w:r>
          </w:p>
        </w:tc>
        <w:tc>
          <w:tcPr>
            <w:tcW w:w="157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37200212" w14:textId="77777777" w:rsidR="00A83532" w:rsidRPr="00A83532" w:rsidRDefault="00A83532" w:rsidP="00A83532">
            <w:pPr>
              <w:spacing w:line="256" w:lineRule="auto"/>
              <w:rPr>
                <w:b/>
                <w:color w:val="FF0000"/>
              </w:rPr>
            </w:pPr>
            <w:r w:rsidRPr="00A83532">
              <w:rPr>
                <w:b/>
                <w:color w:val="FF0000"/>
              </w:rPr>
              <w:t>31%</w:t>
            </w:r>
          </w:p>
        </w:tc>
      </w:tr>
      <w:tr w:rsidR="00A83532" w:rsidRPr="00A83532" w14:paraId="30DB0CA0" w14:textId="77777777" w:rsidTr="00CF4442">
        <w:trPr>
          <w:trHeight w:val="20"/>
          <w:jc w:val="center"/>
        </w:trPr>
        <w:tc>
          <w:tcPr>
            <w:tcW w:w="1795" w:type="dxa"/>
            <w:tcBorders>
              <w:top w:val="nil"/>
              <w:left w:val="single" w:sz="4" w:space="0" w:color="auto"/>
              <w:bottom w:val="single" w:sz="4" w:space="0" w:color="auto"/>
              <w:right w:val="single" w:sz="4" w:space="0" w:color="auto"/>
            </w:tcBorders>
            <w:noWrap/>
            <w:vAlign w:val="bottom"/>
            <w:hideMark/>
          </w:tcPr>
          <w:p w14:paraId="23C92412" w14:textId="77777777" w:rsidR="00A83532" w:rsidRPr="00A83532" w:rsidRDefault="00A83532" w:rsidP="00A83532">
            <w:pPr>
              <w:spacing w:line="256" w:lineRule="auto"/>
            </w:pPr>
            <w:smartTag w:uri="urn:schemas-microsoft-com:office:smarttags" w:element="stockticker">
              <w:r w:rsidRPr="00A83532">
                <w:t>ESL</w:t>
              </w:r>
            </w:smartTag>
            <w:r w:rsidRPr="00A83532">
              <w:t xml:space="preserve"> Level 1</w:t>
            </w:r>
          </w:p>
        </w:tc>
        <w:tc>
          <w:tcPr>
            <w:tcW w:w="990" w:type="dxa"/>
            <w:tcBorders>
              <w:top w:val="single" w:sz="6" w:space="0" w:color="auto"/>
              <w:left w:val="single" w:sz="6" w:space="0" w:color="auto"/>
              <w:bottom w:val="single" w:sz="6" w:space="0" w:color="auto"/>
              <w:right w:val="single" w:sz="6" w:space="0" w:color="auto"/>
            </w:tcBorders>
            <w:vAlign w:val="bottom"/>
            <w:hideMark/>
          </w:tcPr>
          <w:p w14:paraId="76798EFE" w14:textId="77777777" w:rsidR="00A83532" w:rsidRPr="00A83532" w:rsidRDefault="00A83532" w:rsidP="00A83532">
            <w:pPr>
              <w:spacing w:line="256" w:lineRule="auto"/>
            </w:pPr>
            <w:r w:rsidRPr="00A83532">
              <w:t>56%</w:t>
            </w:r>
          </w:p>
        </w:tc>
        <w:tc>
          <w:tcPr>
            <w:tcW w:w="1620" w:type="dxa"/>
            <w:tcBorders>
              <w:top w:val="single" w:sz="6" w:space="0" w:color="auto"/>
              <w:left w:val="single" w:sz="6" w:space="0" w:color="auto"/>
              <w:bottom w:val="single" w:sz="6" w:space="0" w:color="auto"/>
              <w:right w:val="single" w:sz="4" w:space="0" w:color="auto"/>
            </w:tcBorders>
            <w:shd w:val="clear" w:color="auto" w:fill="DEEAF6" w:themeFill="accent5" w:themeFillTint="33"/>
            <w:vAlign w:val="bottom"/>
            <w:hideMark/>
          </w:tcPr>
          <w:p w14:paraId="306F98EA" w14:textId="77777777" w:rsidR="00A83532" w:rsidRPr="00A83532" w:rsidRDefault="00A83532" w:rsidP="00A83532">
            <w:pPr>
              <w:spacing w:line="256" w:lineRule="auto"/>
              <w:rPr>
                <w:b/>
                <w:color w:val="00B050"/>
              </w:rPr>
            </w:pPr>
            <w:r w:rsidRPr="00A83532">
              <w:rPr>
                <w:b/>
                <w:color w:val="00B050"/>
              </w:rPr>
              <w:t>64%</w:t>
            </w:r>
          </w:p>
        </w:tc>
        <w:tc>
          <w:tcPr>
            <w:tcW w:w="990" w:type="dxa"/>
            <w:tcBorders>
              <w:top w:val="nil"/>
              <w:left w:val="nil"/>
              <w:bottom w:val="single" w:sz="4" w:space="0" w:color="auto"/>
              <w:right w:val="single" w:sz="4" w:space="0" w:color="auto"/>
            </w:tcBorders>
            <w:hideMark/>
          </w:tcPr>
          <w:p w14:paraId="444A1F8D" w14:textId="77777777" w:rsidR="00A83532" w:rsidRPr="00A83532" w:rsidRDefault="00A83532" w:rsidP="00A83532">
            <w:pPr>
              <w:spacing w:line="256" w:lineRule="auto"/>
            </w:pPr>
            <w:r w:rsidRPr="00A83532">
              <w:t>57%</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hideMark/>
          </w:tcPr>
          <w:p w14:paraId="6AA93631" w14:textId="77777777" w:rsidR="00A83532" w:rsidRPr="00A83532" w:rsidRDefault="00A83532" w:rsidP="00A83532">
            <w:pPr>
              <w:spacing w:line="256" w:lineRule="auto"/>
              <w:rPr>
                <w:b/>
                <w:color w:val="FF0000"/>
              </w:rPr>
            </w:pPr>
            <w:r w:rsidRPr="00A83532">
              <w:rPr>
                <w:b/>
                <w:color w:val="FF0000"/>
              </w:rPr>
              <w:t xml:space="preserve">54% </w:t>
            </w:r>
          </w:p>
        </w:tc>
        <w:tc>
          <w:tcPr>
            <w:tcW w:w="990" w:type="dxa"/>
            <w:tcBorders>
              <w:top w:val="single" w:sz="4" w:space="0" w:color="auto"/>
              <w:left w:val="single" w:sz="4" w:space="0" w:color="auto"/>
              <w:bottom w:val="single" w:sz="4" w:space="0" w:color="auto"/>
              <w:right w:val="single" w:sz="4" w:space="0" w:color="auto"/>
            </w:tcBorders>
            <w:hideMark/>
          </w:tcPr>
          <w:p w14:paraId="7890EB0F" w14:textId="77777777" w:rsidR="00A83532" w:rsidRPr="00A83532" w:rsidRDefault="00A83532" w:rsidP="00A83532">
            <w:pPr>
              <w:spacing w:line="256" w:lineRule="auto"/>
            </w:pPr>
            <w:r w:rsidRPr="00A83532">
              <w:t>57%</w:t>
            </w:r>
          </w:p>
        </w:tc>
        <w:tc>
          <w:tcPr>
            <w:tcW w:w="157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hideMark/>
          </w:tcPr>
          <w:p w14:paraId="6A96A8EA" w14:textId="77777777" w:rsidR="00A83532" w:rsidRPr="00A83532" w:rsidRDefault="00A83532" w:rsidP="00A83532">
            <w:pPr>
              <w:spacing w:line="256" w:lineRule="auto"/>
              <w:rPr>
                <w:b/>
                <w:color w:val="FF0000"/>
              </w:rPr>
            </w:pPr>
            <w:r w:rsidRPr="00A83532">
              <w:rPr>
                <w:b/>
                <w:color w:val="FF0000"/>
              </w:rPr>
              <w:t>55%</w:t>
            </w:r>
          </w:p>
        </w:tc>
      </w:tr>
      <w:tr w:rsidR="00A83532" w:rsidRPr="00A83532" w14:paraId="55EA6159" w14:textId="77777777" w:rsidTr="00CF4442">
        <w:trPr>
          <w:trHeight w:val="20"/>
          <w:jc w:val="center"/>
        </w:trPr>
        <w:tc>
          <w:tcPr>
            <w:tcW w:w="1795" w:type="dxa"/>
            <w:tcBorders>
              <w:top w:val="nil"/>
              <w:left w:val="single" w:sz="4" w:space="0" w:color="auto"/>
              <w:bottom w:val="single" w:sz="4" w:space="0" w:color="auto"/>
              <w:right w:val="single" w:sz="4" w:space="0" w:color="auto"/>
            </w:tcBorders>
            <w:noWrap/>
            <w:vAlign w:val="bottom"/>
            <w:hideMark/>
          </w:tcPr>
          <w:p w14:paraId="5E801404" w14:textId="77777777" w:rsidR="00A83532" w:rsidRPr="00A83532" w:rsidRDefault="00A83532" w:rsidP="00A83532">
            <w:pPr>
              <w:spacing w:line="256" w:lineRule="auto"/>
            </w:pPr>
            <w:smartTag w:uri="urn:schemas-microsoft-com:office:smarttags" w:element="stockticker">
              <w:r w:rsidRPr="00A83532">
                <w:t>ESL</w:t>
              </w:r>
            </w:smartTag>
            <w:r w:rsidRPr="00A83532">
              <w:t xml:space="preserve"> Level 2</w:t>
            </w:r>
          </w:p>
        </w:tc>
        <w:tc>
          <w:tcPr>
            <w:tcW w:w="990" w:type="dxa"/>
            <w:tcBorders>
              <w:top w:val="single" w:sz="6" w:space="0" w:color="auto"/>
              <w:left w:val="single" w:sz="6" w:space="0" w:color="auto"/>
              <w:bottom w:val="single" w:sz="6" w:space="0" w:color="auto"/>
              <w:right w:val="single" w:sz="6" w:space="0" w:color="auto"/>
            </w:tcBorders>
            <w:vAlign w:val="bottom"/>
            <w:hideMark/>
          </w:tcPr>
          <w:p w14:paraId="728CB8A3" w14:textId="77777777" w:rsidR="00A83532" w:rsidRPr="00A83532" w:rsidRDefault="00A83532" w:rsidP="00A83532">
            <w:pPr>
              <w:spacing w:line="256" w:lineRule="auto"/>
            </w:pPr>
            <w:r w:rsidRPr="00A83532">
              <w:t>55%</w:t>
            </w:r>
          </w:p>
        </w:tc>
        <w:tc>
          <w:tcPr>
            <w:tcW w:w="1620" w:type="dxa"/>
            <w:tcBorders>
              <w:top w:val="single" w:sz="6" w:space="0" w:color="auto"/>
              <w:left w:val="single" w:sz="6" w:space="0" w:color="auto"/>
              <w:bottom w:val="single" w:sz="6" w:space="0" w:color="auto"/>
              <w:right w:val="single" w:sz="4" w:space="0" w:color="auto"/>
            </w:tcBorders>
            <w:shd w:val="clear" w:color="auto" w:fill="DEEAF6" w:themeFill="accent5" w:themeFillTint="33"/>
            <w:vAlign w:val="bottom"/>
            <w:hideMark/>
          </w:tcPr>
          <w:p w14:paraId="1B944798" w14:textId="77777777" w:rsidR="00A83532" w:rsidRPr="00A83532" w:rsidRDefault="00A83532" w:rsidP="00A83532">
            <w:pPr>
              <w:spacing w:line="256" w:lineRule="auto"/>
              <w:rPr>
                <w:b/>
                <w:color w:val="00B050"/>
              </w:rPr>
            </w:pPr>
            <w:r w:rsidRPr="00A83532">
              <w:rPr>
                <w:b/>
                <w:color w:val="00B050"/>
              </w:rPr>
              <w:t>64%</w:t>
            </w:r>
          </w:p>
        </w:tc>
        <w:tc>
          <w:tcPr>
            <w:tcW w:w="990" w:type="dxa"/>
            <w:tcBorders>
              <w:top w:val="nil"/>
              <w:left w:val="nil"/>
              <w:bottom w:val="single" w:sz="4" w:space="0" w:color="auto"/>
              <w:right w:val="single" w:sz="4" w:space="0" w:color="auto"/>
            </w:tcBorders>
            <w:hideMark/>
          </w:tcPr>
          <w:p w14:paraId="228B47CB" w14:textId="77777777" w:rsidR="00A83532" w:rsidRPr="00A83532" w:rsidRDefault="00A83532" w:rsidP="00A83532">
            <w:pPr>
              <w:spacing w:line="256" w:lineRule="auto"/>
            </w:pPr>
            <w:r w:rsidRPr="00A83532">
              <w:t>56%</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hideMark/>
          </w:tcPr>
          <w:p w14:paraId="544E0BB7" w14:textId="77777777" w:rsidR="00A83532" w:rsidRPr="00A83532" w:rsidRDefault="00A83532" w:rsidP="00A83532">
            <w:pPr>
              <w:spacing w:line="256" w:lineRule="auto"/>
              <w:rPr>
                <w:b/>
                <w:color w:val="00B050"/>
              </w:rPr>
            </w:pPr>
            <w:r w:rsidRPr="00A83532">
              <w:rPr>
                <w:b/>
                <w:color w:val="00B050"/>
              </w:rPr>
              <w:t xml:space="preserve">57% </w:t>
            </w:r>
          </w:p>
        </w:tc>
        <w:tc>
          <w:tcPr>
            <w:tcW w:w="990" w:type="dxa"/>
            <w:tcBorders>
              <w:top w:val="single" w:sz="4" w:space="0" w:color="auto"/>
              <w:left w:val="single" w:sz="4" w:space="0" w:color="auto"/>
              <w:bottom w:val="single" w:sz="4" w:space="0" w:color="auto"/>
              <w:right w:val="single" w:sz="4" w:space="0" w:color="auto"/>
            </w:tcBorders>
            <w:hideMark/>
          </w:tcPr>
          <w:p w14:paraId="51244492" w14:textId="77777777" w:rsidR="00A83532" w:rsidRPr="00A83532" w:rsidRDefault="00A83532" w:rsidP="00A83532">
            <w:pPr>
              <w:spacing w:line="256" w:lineRule="auto"/>
            </w:pPr>
            <w:r w:rsidRPr="00A83532">
              <w:t>56%</w:t>
            </w:r>
          </w:p>
        </w:tc>
        <w:tc>
          <w:tcPr>
            <w:tcW w:w="157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hideMark/>
          </w:tcPr>
          <w:p w14:paraId="77676DC0" w14:textId="77777777" w:rsidR="00A83532" w:rsidRPr="00A83532" w:rsidRDefault="00A83532" w:rsidP="00A83532">
            <w:pPr>
              <w:spacing w:line="256" w:lineRule="auto"/>
              <w:rPr>
                <w:b/>
                <w:color w:val="00B050"/>
              </w:rPr>
            </w:pPr>
            <w:r w:rsidRPr="00A83532">
              <w:rPr>
                <w:b/>
                <w:color w:val="00B050"/>
              </w:rPr>
              <w:t>63%</w:t>
            </w:r>
          </w:p>
        </w:tc>
      </w:tr>
      <w:tr w:rsidR="00A83532" w:rsidRPr="00A83532" w14:paraId="1C0EC269" w14:textId="77777777" w:rsidTr="00CF4442">
        <w:trPr>
          <w:trHeight w:val="20"/>
          <w:jc w:val="center"/>
        </w:trPr>
        <w:tc>
          <w:tcPr>
            <w:tcW w:w="1795" w:type="dxa"/>
            <w:tcBorders>
              <w:top w:val="nil"/>
              <w:left w:val="single" w:sz="4" w:space="0" w:color="auto"/>
              <w:bottom w:val="single" w:sz="4" w:space="0" w:color="auto"/>
              <w:right w:val="single" w:sz="4" w:space="0" w:color="auto"/>
            </w:tcBorders>
            <w:noWrap/>
            <w:vAlign w:val="bottom"/>
            <w:hideMark/>
          </w:tcPr>
          <w:p w14:paraId="1BA58440" w14:textId="77777777" w:rsidR="00A83532" w:rsidRPr="00A83532" w:rsidRDefault="00A83532" w:rsidP="00A83532">
            <w:pPr>
              <w:spacing w:line="256" w:lineRule="auto"/>
            </w:pPr>
            <w:smartTag w:uri="urn:schemas-microsoft-com:office:smarttags" w:element="stockticker">
              <w:r w:rsidRPr="00A83532">
                <w:t>ESL</w:t>
              </w:r>
            </w:smartTag>
            <w:r w:rsidRPr="00A83532">
              <w:t xml:space="preserve"> Level 3</w:t>
            </w:r>
          </w:p>
        </w:tc>
        <w:tc>
          <w:tcPr>
            <w:tcW w:w="990" w:type="dxa"/>
            <w:tcBorders>
              <w:top w:val="single" w:sz="6" w:space="0" w:color="auto"/>
              <w:left w:val="single" w:sz="6" w:space="0" w:color="auto"/>
              <w:bottom w:val="single" w:sz="6" w:space="0" w:color="auto"/>
              <w:right w:val="single" w:sz="6" w:space="0" w:color="auto"/>
            </w:tcBorders>
            <w:vAlign w:val="bottom"/>
            <w:hideMark/>
          </w:tcPr>
          <w:p w14:paraId="37CF5AD3" w14:textId="77777777" w:rsidR="00A83532" w:rsidRPr="00A83532" w:rsidRDefault="00A83532" w:rsidP="00A83532">
            <w:pPr>
              <w:spacing w:line="256" w:lineRule="auto"/>
            </w:pPr>
            <w:r w:rsidRPr="00A83532">
              <w:t>57%</w:t>
            </w:r>
          </w:p>
        </w:tc>
        <w:tc>
          <w:tcPr>
            <w:tcW w:w="1620" w:type="dxa"/>
            <w:tcBorders>
              <w:top w:val="single" w:sz="6" w:space="0" w:color="auto"/>
              <w:left w:val="single" w:sz="6" w:space="0" w:color="auto"/>
              <w:bottom w:val="single" w:sz="6" w:space="0" w:color="auto"/>
              <w:right w:val="single" w:sz="4" w:space="0" w:color="auto"/>
            </w:tcBorders>
            <w:shd w:val="clear" w:color="auto" w:fill="DEEAF6" w:themeFill="accent5" w:themeFillTint="33"/>
            <w:vAlign w:val="bottom"/>
            <w:hideMark/>
          </w:tcPr>
          <w:p w14:paraId="28DC26BF" w14:textId="77777777" w:rsidR="00A83532" w:rsidRPr="00A83532" w:rsidRDefault="00A83532" w:rsidP="00A83532">
            <w:pPr>
              <w:spacing w:line="256" w:lineRule="auto"/>
              <w:rPr>
                <w:b/>
                <w:color w:val="00B050"/>
              </w:rPr>
            </w:pPr>
            <w:r w:rsidRPr="00A83532">
              <w:rPr>
                <w:b/>
                <w:color w:val="00B050"/>
              </w:rPr>
              <w:t>64%</w:t>
            </w:r>
          </w:p>
        </w:tc>
        <w:tc>
          <w:tcPr>
            <w:tcW w:w="990" w:type="dxa"/>
            <w:tcBorders>
              <w:top w:val="nil"/>
              <w:left w:val="nil"/>
              <w:bottom w:val="single" w:sz="4" w:space="0" w:color="auto"/>
              <w:right w:val="single" w:sz="4" w:space="0" w:color="auto"/>
            </w:tcBorders>
            <w:hideMark/>
          </w:tcPr>
          <w:p w14:paraId="20C73BEA" w14:textId="77777777" w:rsidR="00A83532" w:rsidRPr="00A83532" w:rsidRDefault="00A83532" w:rsidP="00A83532">
            <w:pPr>
              <w:spacing w:line="256" w:lineRule="auto"/>
            </w:pPr>
            <w:r w:rsidRPr="00A83532">
              <w:t>59%</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hideMark/>
          </w:tcPr>
          <w:p w14:paraId="16524146" w14:textId="77777777" w:rsidR="00A83532" w:rsidRPr="00A83532" w:rsidRDefault="00A83532" w:rsidP="00A83532">
            <w:pPr>
              <w:spacing w:line="256" w:lineRule="auto"/>
              <w:rPr>
                <w:b/>
                <w:color w:val="FF0000"/>
              </w:rPr>
            </w:pPr>
            <w:r w:rsidRPr="00A83532">
              <w:rPr>
                <w:b/>
                <w:color w:val="FF0000"/>
              </w:rPr>
              <w:t xml:space="preserve">52% </w:t>
            </w:r>
          </w:p>
        </w:tc>
        <w:tc>
          <w:tcPr>
            <w:tcW w:w="990" w:type="dxa"/>
            <w:tcBorders>
              <w:top w:val="single" w:sz="4" w:space="0" w:color="auto"/>
              <w:left w:val="single" w:sz="4" w:space="0" w:color="auto"/>
              <w:bottom w:val="single" w:sz="4" w:space="0" w:color="auto"/>
              <w:right w:val="single" w:sz="4" w:space="0" w:color="auto"/>
            </w:tcBorders>
            <w:hideMark/>
          </w:tcPr>
          <w:p w14:paraId="6C9ED5EC" w14:textId="77777777" w:rsidR="00A83532" w:rsidRPr="00A83532" w:rsidRDefault="00A83532" w:rsidP="00A83532">
            <w:pPr>
              <w:spacing w:line="256" w:lineRule="auto"/>
            </w:pPr>
            <w:r w:rsidRPr="00A83532">
              <w:t>57%</w:t>
            </w:r>
          </w:p>
        </w:tc>
        <w:tc>
          <w:tcPr>
            <w:tcW w:w="157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hideMark/>
          </w:tcPr>
          <w:p w14:paraId="2481A11E" w14:textId="77777777" w:rsidR="00A83532" w:rsidRPr="00A83532" w:rsidRDefault="00A83532" w:rsidP="00A83532">
            <w:pPr>
              <w:spacing w:line="256" w:lineRule="auto"/>
              <w:rPr>
                <w:b/>
                <w:color w:val="00B050"/>
              </w:rPr>
            </w:pPr>
            <w:r w:rsidRPr="00A83532">
              <w:rPr>
                <w:b/>
                <w:color w:val="00B050"/>
              </w:rPr>
              <w:t>63%</w:t>
            </w:r>
          </w:p>
        </w:tc>
      </w:tr>
      <w:tr w:rsidR="00A83532" w:rsidRPr="00A83532" w14:paraId="0432535C" w14:textId="77777777" w:rsidTr="00CF4442">
        <w:trPr>
          <w:trHeight w:val="20"/>
          <w:jc w:val="center"/>
        </w:trPr>
        <w:tc>
          <w:tcPr>
            <w:tcW w:w="1795" w:type="dxa"/>
            <w:tcBorders>
              <w:top w:val="nil"/>
              <w:left w:val="single" w:sz="4" w:space="0" w:color="auto"/>
              <w:bottom w:val="single" w:sz="4" w:space="0" w:color="auto"/>
              <w:right w:val="single" w:sz="4" w:space="0" w:color="auto"/>
            </w:tcBorders>
            <w:noWrap/>
            <w:vAlign w:val="bottom"/>
            <w:hideMark/>
          </w:tcPr>
          <w:p w14:paraId="7D44E6B2" w14:textId="77777777" w:rsidR="00A83532" w:rsidRPr="00A83532" w:rsidRDefault="00A83532" w:rsidP="00A83532">
            <w:pPr>
              <w:spacing w:line="256" w:lineRule="auto"/>
            </w:pPr>
            <w:smartTag w:uri="urn:schemas-microsoft-com:office:smarttags" w:element="stockticker">
              <w:r w:rsidRPr="00A83532">
                <w:t>ESL</w:t>
              </w:r>
            </w:smartTag>
            <w:r w:rsidRPr="00A83532">
              <w:t xml:space="preserve"> Level 4</w:t>
            </w:r>
          </w:p>
        </w:tc>
        <w:tc>
          <w:tcPr>
            <w:tcW w:w="990" w:type="dxa"/>
            <w:tcBorders>
              <w:top w:val="single" w:sz="6" w:space="0" w:color="auto"/>
              <w:left w:val="single" w:sz="6" w:space="0" w:color="auto"/>
              <w:bottom w:val="single" w:sz="6" w:space="0" w:color="auto"/>
              <w:right w:val="single" w:sz="6" w:space="0" w:color="auto"/>
            </w:tcBorders>
            <w:vAlign w:val="bottom"/>
            <w:hideMark/>
          </w:tcPr>
          <w:p w14:paraId="57532F7A" w14:textId="77777777" w:rsidR="00A83532" w:rsidRPr="00A83532" w:rsidRDefault="00A83532" w:rsidP="00A83532">
            <w:pPr>
              <w:spacing w:line="256" w:lineRule="auto"/>
            </w:pPr>
            <w:r w:rsidRPr="00A83532">
              <w:t>56%</w:t>
            </w:r>
          </w:p>
        </w:tc>
        <w:tc>
          <w:tcPr>
            <w:tcW w:w="1620" w:type="dxa"/>
            <w:tcBorders>
              <w:top w:val="single" w:sz="6" w:space="0" w:color="auto"/>
              <w:left w:val="single" w:sz="6" w:space="0" w:color="auto"/>
              <w:bottom w:val="single" w:sz="6" w:space="0" w:color="auto"/>
              <w:right w:val="single" w:sz="4" w:space="0" w:color="auto"/>
            </w:tcBorders>
            <w:shd w:val="clear" w:color="auto" w:fill="DEEAF6" w:themeFill="accent5" w:themeFillTint="33"/>
            <w:vAlign w:val="bottom"/>
            <w:hideMark/>
          </w:tcPr>
          <w:p w14:paraId="2D513C0E" w14:textId="77777777" w:rsidR="00A83532" w:rsidRPr="00A83532" w:rsidRDefault="00A83532" w:rsidP="00A83532">
            <w:pPr>
              <w:spacing w:line="256" w:lineRule="auto"/>
              <w:rPr>
                <w:b/>
                <w:color w:val="00B050"/>
              </w:rPr>
            </w:pPr>
            <w:r w:rsidRPr="00A83532">
              <w:rPr>
                <w:b/>
                <w:color w:val="00B050"/>
              </w:rPr>
              <w:t>60%</w:t>
            </w:r>
          </w:p>
        </w:tc>
        <w:tc>
          <w:tcPr>
            <w:tcW w:w="990" w:type="dxa"/>
            <w:tcBorders>
              <w:top w:val="nil"/>
              <w:left w:val="nil"/>
              <w:bottom w:val="single" w:sz="4" w:space="0" w:color="auto"/>
              <w:right w:val="single" w:sz="4" w:space="0" w:color="auto"/>
            </w:tcBorders>
            <w:hideMark/>
          </w:tcPr>
          <w:p w14:paraId="2079ABAC" w14:textId="77777777" w:rsidR="00A83532" w:rsidRPr="00A83532" w:rsidRDefault="00A83532" w:rsidP="00A83532">
            <w:pPr>
              <w:spacing w:line="256" w:lineRule="auto"/>
            </w:pPr>
            <w:r w:rsidRPr="00A83532">
              <w:t>57%</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hideMark/>
          </w:tcPr>
          <w:p w14:paraId="76BB9D01" w14:textId="77777777" w:rsidR="00A83532" w:rsidRPr="00A83532" w:rsidRDefault="00A83532" w:rsidP="00A83532">
            <w:pPr>
              <w:spacing w:line="256" w:lineRule="auto"/>
              <w:rPr>
                <w:b/>
                <w:color w:val="FF0000"/>
              </w:rPr>
            </w:pPr>
            <w:r w:rsidRPr="00A83532">
              <w:rPr>
                <w:b/>
                <w:color w:val="FF0000"/>
              </w:rPr>
              <w:t xml:space="preserve">50% </w:t>
            </w:r>
          </w:p>
        </w:tc>
        <w:tc>
          <w:tcPr>
            <w:tcW w:w="990" w:type="dxa"/>
            <w:tcBorders>
              <w:top w:val="single" w:sz="4" w:space="0" w:color="auto"/>
              <w:left w:val="single" w:sz="4" w:space="0" w:color="auto"/>
              <w:bottom w:val="single" w:sz="4" w:space="0" w:color="auto"/>
              <w:right w:val="single" w:sz="4" w:space="0" w:color="auto"/>
            </w:tcBorders>
            <w:hideMark/>
          </w:tcPr>
          <w:p w14:paraId="1683200F" w14:textId="77777777" w:rsidR="00A83532" w:rsidRPr="00A83532" w:rsidRDefault="00A83532" w:rsidP="00A83532">
            <w:pPr>
              <w:spacing w:line="256" w:lineRule="auto"/>
            </w:pPr>
            <w:r w:rsidRPr="00A83532">
              <w:t>57%</w:t>
            </w:r>
          </w:p>
        </w:tc>
        <w:tc>
          <w:tcPr>
            <w:tcW w:w="157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hideMark/>
          </w:tcPr>
          <w:p w14:paraId="3F719A1E" w14:textId="77777777" w:rsidR="00A83532" w:rsidRPr="00A83532" w:rsidRDefault="00A83532" w:rsidP="00A83532">
            <w:pPr>
              <w:spacing w:line="256" w:lineRule="auto"/>
              <w:rPr>
                <w:b/>
                <w:color w:val="FF0000"/>
              </w:rPr>
            </w:pPr>
            <w:r w:rsidRPr="00A83532">
              <w:rPr>
                <w:b/>
                <w:color w:val="FF0000"/>
              </w:rPr>
              <w:t>54%</w:t>
            </w:r>
          </w:p>
        </w:tc>
      </w:tr>
      <w:tr w:rsidR="00A83532" w:rsidRPr="00A83532" w14:paraId="512B780A" w14:textId="77777777" w:rsidTr="00CF4442">
        <w:trPr>
          <w:trHeight w:val="20"/>
          <w:jc w:val="center"/>
        </w:trPr>
        <w:tc>
          <w:tcPr>
            <w:tcW w:w="1795" w:type="dxa"/>
            <w:tcBorders>
              <w:top w:val="single" w:sz="4" w:space="0" w:color="auto"/>
              <w:left w:val="single" w:sz="4" w:space="0" w:color="auto"/>
              <w:bottom w:val="single" w:sz="4" w:space="0" w:color="auto"/>
              <w:right w:val="single" w:sz="4" w:space="0" w:color="auto"/>
            </w:tcBorders>
            <w:noWrap/>
            <w:vAlign w:val="bottom"/>
            <w:hideMark/>
          </w:tcPr>
          <w:p w14:paraId="19B49776" w14:textId="77777777" w:rsidR="00A83532" w:rsidRPr="00A83532" w:rsidRDefault="00A83532" w:rsidP="00A83532">
            <w:pPr>
              <w:spacing w:line="256" w:lineRule="auto"/>
            </w:pPr>
            <w:smartTag w:uri="urn:schemas-microsoft-com:office:smarttags" w:element="stockticker">
              <w:r w:rsidRPr="00A83532">
                <w:t>ESL</w:t>
              </w:r>
            </w:smartTag>
            <w:r w:rsidRPr="00A83532">
              <w:t xml:space="preserve"> Level 5</w:t>
            </w:r>
          </w:p>
        </w:tc>
        <w:tc>
          <w:tcPr>
            <w:tcW w:w="990" w:type="dxa"/>
            <w:tcBorders>
              <w:top w:val="single" w:sz="6" w:space="0" w:color="auto"/>
              <w:left w:val="single" w:sz="6" w:space="0" w:color="auto"/>
              <w:bottom w:val="single" w:sz="6" w:space="0" w:color="auto"/>
              <w:right w:val="single" w:sz="6" w:space="0" w:color="auto"/>
            </w:tcBorders>
            <w:vAlign w:val="bottom"/>
            <w:hideMark/>
          </w:tcPr>
          <w:p w14:paraId="402355B2" w14:textId="77777777" w:rsidR="00A83532" w:rsidRPr="00A83532" w:rsidRDefault="00A83532" w:rsidP="00A83532">
            <w:pPr>
              <w:spacing w:line="256" w:lineRule="auto"/>
            </w:pPr>
            <w:r w:rsidRPr="00A83532">
              <w:t>44%</w:t>
            </w:r>
          </w:p>
        </w:tc>
        <w:tc>
          <w:tcPr>
            <w:tcW w:w="1620" w:type="dxa"/>
            <w:tcBorders>
              <w:top w:val="single" w:sz="6" w:space="0" w:color="auto"/>
              <w:left w:val="single" w:sz="6" w:space="0" w:color="auto"/>
              <w:bottom w:val="single" w:sz="6" w:space="0" w:color="auto"/>
              <w:right w:val="single" w:sz="4" w:space="0" w:color="auto"/>
            </w:tcBorders>
            <w:shd w:val="clear" w:color="auto" w:fill="DEEAF6" w:themeFill="accent5" w:themeFillTint="33"/>
            <w:vAlign w:val="bottom"/>
            <w:hideMark/>
          </w:tcPr>
          <w:p w14:paraId="269B609D" w14:textId="77777777" w:rsidR="00A83532" w:rsidRPr="00A83532" w:rsidRDefault="00A83532" w:rsidP="00A83532">
            <w:pPr>
              <w:spacing w:line="256" w:lineRule="auto"/>
              <w:rPr>
                <w:b/>
                <w:color w:val="00B050"/>
              </w:rPr>
            </w:pPr>
            <w:r w:rsidRPr="00A83532">
              <w:rPr>
                <w:b/>
                <w:color w:val="00B050"/>
              </w:rPr>
              <w:t>50%</w:t>
            </w:r>
          </w:p>
        </w:tc>
        <w:tc>
          <w:tcPr>
            <w:tcW w:w="990" w:type="dxa"/>
            <w:tcBorders>
              <w:top w:val="single" w:sz="4" w:space="0" w:color="auto"/>
              <w:left w:val="nil"/>
              <w:bottom w:val="single" w:sz="4" w:space="0" w:color="auto"/>
              <w:right w:val="single" w:sz="4" w:space="0" w:color="auto"/>
            </w:tcBorders>
            <w:hideMark/>
          </w:tcPr>
          <w:p w14:paraId="31D61D6F" w14:textId="77777777" w:rsidR="00A83532" w:rsidRPr="00A83532" w:rsidRDefault="00A83532" w:rsidP="00A83532">
            <w:pPr>
              <w:spacing w:line="256" w:lineRule="auto"/>
            </w:pPr>
            <w:r w:rsidRPr="00A83532">
              <w:t>45%</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hideMark/>
          </w:tcPr>
          <w:p w14:paraId="7E340037" w14:textId="77777777" w:rsidR="00A83532" w:rsidRPr="00A83532" w:rsidRDefault="00A83532" w:rsidP="00A83532">
            <w:pPr>
              <w:spacing w:line="256" w:lineRule="auto"/>
              <w:rPr>
                <w:b/>
                <w:color w:val="FF0000"/>
              </w:rPr>
            </w:pPr>
            <w:r w:rsidRPr="00A83532">
              <w:rPr>
                <w:b/>
                <w:color w:val="FF0000"/>
              </w:rPr>
              <w:t>44%</w:t>
            </w:r>
          </w:p>
        </w:tc>
        <w:tc>
          <w:tcPr>
            <w:tcW w:w="990" w:type="dxa"/>
            <w:tcBorders>
              <w:top w:val="single" w:sz="4" w:space="0" w:color="auto"/>
              <w:left w:val="single" w:sz="4" w:space="0" w:color="auto"/>
              <w:bottom w:val="single" w:sz="4" w:space="0" w:color="auto"/>
              <w:right w:val="single" w:sz="4" w:space="0" w:color="auto"/>
            </w:tcBorders>
            <w:hideMark/>
          </w:tcPr>
          <w:p w14:paraId="2BF93677" w14:textId="77777777" w:rsidR="00A83532" w:rsidRPr="00A83532" w:rsidRDefault="00A83532" w:rsidP="00A83532">
            <w:pPr>
              <w:spacing w:line="256" w:lineRule="auto"/>
            </w:pPr>
            <w:r w:rsidRPr="00A83532">
              <w:t>45%</w:t>
            </w:r>
          </w:p>
        </w:tc>
        <w:tc>
          <w:tcPr>
            <w:tcW w:w="157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hideMark/>
          </w:tcPr>
          <w:p w14:paraId="12AB5012" w14:textId="77777777" w:rsidR="00A83532" w:rsidRPr="00A83532" w:rsidRDefault="00A83532" w:rsidP="00A83532">
            <w:pPr>
              <w:spacing w:line="256" w:lineRule="auto"/>
              <w:rPr>
                <w:b/>
                <w:color w:val="00B050"/>
              </w:rPr>
            </w:pPr>
            <w:r w:rsidRPr="00A83532">
              <w:rPr>
                <w:b/>
                <w:color w:val="00B050"/>
              </w:rPr>
              <w:t>53%</w:t>
            </w:r>
          </w:p>
        </w:tc>
      </w:tr>
      <w:tr w:rsidR="00A83532" w:rsidRPr="00A83532" w14:paraId="3B23997B" w14:textId="77777777" w:rsidTr="00CF4442">
        <w:trPr>
          <w:trHeight w:val="20"/>
          <w:jc w:val="center"/>
        </w:trPr>
        <w:tc>
          <w:tcPr>
            <w:tcW w:w="1795" w:type="dxa"/>
            <w:tcBorders>
              <w:top w:val="single" w:sz="4" w:space="0" w:color="auto"/>
              <w:left w:val="single" w:sz="4" w:space="0" w:color="auto"/>
              <w:bottom w:val="single" w:sz="4" w:space="0" w:color="auto"/>
              <w:right w:val="single" w:sz="4" w:space="0" w:color="auto"/>
            </w:tcBorders>
            <w:noWrap/>
            <w:vAlign w:val="bottom"/>
            <w:hideMark/>
          </w:tcPr>
          <w:p w14:paraId="0BA8E5A3" w14:textId="77777777" w:rsidR="00A83532" w:rsidRPr="00A83532" w:rsidRDefault="00A83532" w:rsidP="00A83532">
            <w:pPr>
              <w:spacing w:line="256" w:lineRule="auto"/>
            </w:pPr>
            <w:smartTag w:uri="urn:schemas-microsoft-com:office:smarttags" w:element="stockticker">
              <w:r w:rsidRPr="00A83532">
                <w:t>ESL</w:t>
              </w:r>
            </w:smartTag>
            <w:r w:rsidRPr="00A83532">
              <w:t xml:space="preserve"> Level 6</w:t>
            </w:r>
          </w:p>
        </w:tc>
        <w:tc>
          <w:tcPr>
            <w:tcW w:w="990" w:type="dxa"/>
            <w:tcBorders>
              <w:top w:val="single" w:sz="6" w:space="0" w:color="auto"/>
              <w:left w:val="single" w:sz="6" w:space="0" w:color="auto"/>
              <w:bottom w:val="single" w:sz="6" w:space="0" w:color="auto"/>
              <w:right w:val="single" w:sz="6" w:space="0" w:color="auto"/>
            </w:tcBorders>
            <w:vAlign w:val="bottom"/>
            <w:hideMark/>
          </w:tcPr>
          <w:p w14:paraId="697E550F" w14:textId="77777777" w:rsidR="00A83532" w:rsidRPr="00A83532" w:rsidRDefault="00A83532" w:rsidP="00A83532">
            <w:pPr>
              <w:spacing w:line="256" w:lineRule="auto"/>
            </w:pPr>
            <w:r w:rsidRPr="00A83532">
              <w:t>37%</w:t>
            </w:r>
          </w:p>
        </w:tc>
        <w:tc>
          <w:tcPr>
            <w:tcW w:w="1620" w:type="dxa"/>
            <w:tcBorders>
              <w:top w:val="single" w:sz="6" w:space="0" w:color="auto"/>
              <w:left w:val="single" w:sz="6" w:space="0" w:color="auto"/>
              <w:bottom w:val="single" w:sz="6" w:space="0" w:color="auto"/>
              <w:right w:val="single" w:sz="4" w:space="0" w:color="auto"/>
            </w:tcBorders>
            <w:shd w:val="clear" w:color="auto" w:fill="DEEAF6" w:themeFill="accent5" w:themeFillTint="33"/>
            <w:vAlign w:val="bottom"/>
            <w:hideMark/>
          </w:tcPr>
          <w:p w14:paraId="2E921F28" w14:textId="77777777" w:rsidR="00A83532" w:rsidRPr="00A83532" w:rsidRDefault="00A83532" w:rsidP="00A83532">
            <w:pPr>
              <w:spacing w:line="256" w:lineRule="auto"/>
              <w:rPr>
                <w:b/>
                <w:color w:val="00B050"/>
              </w:rPr>
            </w:pPr>
            <w:r w:rsidRPr="00A83532">
              <w:rPr>
                <w:b/>
                <w:color w:val="00B050"/>
              </w:rPr>
              <w:t>45%</w:t>
            </w:r>
          </w:p>
        </w:tc>
        <w:tc>
          <w:tcPr>
            <w:tcW w:w="990" w:type="dxa"/>
            <w:tcBorders>
              <w:top w:val="single" w:sz="4" w:space="0" w:color="auto"/>
              <w:left w:val="nil"/>
              <w:bottom w:val="single" w:sz="4" w:space="0" w:color="auto"/>
              <w:right w:val="single" w:sz="4" w:space="0" w:color="auto"/>
            </w:tcBorders>
            <w:hideMark/>
          </w:tcPr>
          <w:p w14:paraId="36C1FAED" w14:textId="77777777" w:rsidR="00A83532" w:rsidRPr="00A83532" w:rsidRDefault="00A83532" w:rsidP="00A83532">
            <w:pPr>
              <w:spacing w:line="256" w:lineRule="auto"/>
            </w:pPr>
            <w:r w:rsidRPr="00A83532">
              <w:t>38%</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hideMark/>
          </w:tcPr>
          <w:p w14:paraId="4AC4352E" w14:textId="77777777" w:rsidR="00A83532" w:rsidRPr="00A83532" w:rsidRDefault="00A83532" w:rsidP="00A83532">
            <w:pPr>
              <w:spacing w:line="256" w:lineRule="auto"/>
              <w:rPr>
                <w:b/>
                <w:color w:val="FF0000"/>
              </w:rPr>
            </w:pPr>
            <w:r w:rsidRPr="00A83532">
              <w:rPr>
                <w:b/>
                <w:color w:val="FF0000"/>
              </w:rPr>
              <w:t xml:space="preserve">33% </w:t>
            </w:r>
          </w:p>
        </w:tc>
        <w:tc>
          <w:tcPr>
            <w:tcW w:w="990" w:type="dxa"/>
            <w:tcBorders>
              <w:top w:val="single" w:sz="4" w:space="0" w:color="auto"/>
              <w:left w:val="single" w:sz="4" w:space="0" w:color="auto"/>
              <w:bottom w:val="single" w:sz="4" w:space="0" w:color="auto"/>
              <w:right w:val="single" w:sz="4" w:space="0" w:color="auto"/>
            </w:tcBorders>
            <w:hideMark/>
          </w:tcPr>
          <w:p w14:paraId="643912CE" w14:textId="77777777" w:rsidR="00A83532" w:rsidRPr="00A83532" w:rsidRDefault="00A83532" w:rsidP="00A83532">
            <w:pPr>
              <w:spacing w:line="256" w:lineRule="auto"/>
              <w:rPr>
                <w:highlight w:val="yellow"/>
              </w:rPr>
            </w:pPr>
            <w:r w:rsidRPr="00A83532">
              <w:t>40%</w:t>
            </w:r>
          </w:p>
        </w:tc>
        <w:tc>
          <w:tcPr>
            <w:tcW w:w="157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hideMark/>
          </w:tcPr>
          <w:p w14:paraId="7C9354A8" w14:textId="77777777" w:rsidR="00A83532" w:rsidRPr="00A83532" w:rsidRDefault="00A83532" w:rsidP="00A83532">
            <w:pPr>
              <w:spacing w:line="256" w:lineRule="auto"/>
              <w:rPr>
                <w:b/>
                <w:color w:val="00B050"/>
              </w:rPr>
            </w:pPr>
            <w:r w:rsidRPr="00A83532">
              <w:rPr>
                <w:b/>
                <w:color w:val="00B050"/>
              </w:rPr>
              <w:t>46%</w:t>
            </w:r>
          </w:p>
        </w:tc>
      </w:tr>
      <w:tr w:rsidR="00CF4442" w:rsidRPr="00A83532" w14:paraId="4DCE1F9A" w14:textId="77777777" w:rsidTr="00CF4442">
        <w:trPr>
          <w:trHeight w:val="20"/>
          <w:jc w:val="center"/>
        </w:trPr>
        <w:tc>
          <w:tcPr>
            <w:tcW w:w="1795" w:type="dxa"/>
            <w:tcBorders>
              <w:top w:val="single" w:sz="4" w:space="0" w:color="auto"/>
              <w:left w:val="single" w:sz="4" w:space="0" w:color="auto"/>
              <w:bottom w:val="single" w:sz="6" w:space="0" w:color="auto"/>
              <w:right w:val="single" w:sz="4" w:space="0" w:color="auto"/>
            </w:tcBorders>
            <w:shd w:val="clear" w:color="auto" w:fill="E7E6E6" w:themeFill="background2"/>
            <w:noWrap/>
            <w:vAlign w:val="bottom"/>
          </w:tcPr>
          <w:p w14:paraId="26D6C767" w14:textId="605615CD" w:rsidR="000C6050" w:rsidRPr="00A83532" w:rsidRDefault="000C6050" w:rsidP="00A83532">
            <w:pPr>
              <w:spacing w:line="256" w:lineRule="auto"/>
            </w:pPr>
            <w:r>
              <w:t xml:space="preserve">Employed </w:t>
            </w:r>
            <w:r w:rsidRPr="001C4353">
              <w:rPr>
                <w:sz w:val="22"/>
                <w:szCs w:val="22"/>
              </w:rPr>
              <w:t>Q2</w:t>
            </w:r>
            <w:r w:rsidR="001C4353">
              <w:t>…</w:t>
            </w:r>
          </w:p>
        </w:tc>
        <w:tc>
          <w:tcPr>
            <w:tcW w:w="990" w:type="dxa"/>
            <w:tcBorders>
              <w:top w:val="single" w:sz="6" w:space="0" w:color="auto"/>
              <w:left w:val="single" w:sz="6" w:space="0" w:color="auto"/>
              <w:bottom w:val="single" w:sz="6" w:space="0" w:color="auto"/>
              <w:right w:val="single" w:sz="6" w:space="0" w:color="auto"/>
            </w:tcBorders>
            <w:shd w:val="clear" w:color="auto" w:fill="E7E6E6" w:themeFill="background2"/>
            <w:vAlign w:val="bottom"/>
          </w:tcPr>
          <w:p w14:paraId="18AC92C3" w14:textId="6954936F" w:rsidR="000C6050" w:rsidRPr="009350EE" w:rsidRDefault="009350EE" w:rsidP="00A83532">
            <w:pPr>
              <w:spacing w:line="256" w:lineRule="auto"/>
              <w:rPr>
                <w:sz w:val="20"/>
                <w:szCs w:val="20"/>
              </w:rPr>
            </w:pPr>
            <w:r>
              <w:rPr>
                <w:sz w:val="20"/>
                <w:szCs w:val="20"/>
              </w:rPr>
              <w:t>baseline</w:t>
            </w:r>
          </w:p>
        </w:tc>
        <w:tc>
          <w:tcPr>
            <w:tcW w:w="1620" w:type="dxa"/>
            <w:tcBorders>
              <w:top w:val="single" w:sz="6" w:space="0" w:color="auto"/>
              <w:left w:val="single" w:sz="6" w:space="0" w:color="auto"/>
              <w:bottom w:val="single" w:sz="6" w:space="0" w:color="auto"/>
              <w:right w:val="single" w:sz="4" w:space="0" w:color="auto"/>
            </w:tcBorders>
            <w:shd w:val="clear" w:color="auto" w:fill="DEEAF6" w:themeFill="accent5" w:themeFillTint="33"/>
            <w:vAlign w:val="bottom"/>
          </w:tcPr>
          <w:p w14:paraId="2F86FC3C" w14:textId="27C7E3CB" w:rsidR="000C6050" w:rsidRPr="00A83532" w:rsidRDefault="00A43CCE" w:rsidP="00A83532">
            <w:pPr>
              <w:spacing w:line="256" w:lineRule="auto"/>
              <w:rPr>
                <w:b/>
                <w:color w:val="00B050"/>
              </w:rPr>
            </w:pPr>
            <w:r>
              <w:rPr>
                <w:b/>
                <w:color w:val="00B050"/>
              </w:rPr>
              <w:t>45%</w:t>
            </w:r>
          </w:p>
        </w:tc>
        <w:tc>
          <w:tcPr>
            <w:tcW w:w="990" w:type="dxa"/>
            <w:tcBorders>
              <w:top w:val="single" w:sz="4" w:space="0" w:color="auto"/>
              <w:left w:val="nil"/>
              <w:bottom w:val="single" w:sz="6" w:space="0" w:color="auto"/>
              <w:right w:val="single" w:sz="4" w:space="0" w:color="auto"/>
            </w:tcBorders>
            <w:shd w:val="clear" w:color="auto" w:fill="E7E6E6" w:themeFill="background2"/>
          </w:tcPr>
          <w:p w14:paraId="688768E1" w14:textId="7E395153" w:rsidR="000C6050" w:rsidRPr="00A83532" w:rsidRDefault="009350EE" w:rsidP="00A83532">
            <w:pPr>
              <w:spacing w:line="256" w:lineRule="auto"/>
            </w:pPr>
            <w:r>
              <w:rPr>
                <w:sz w:val="20"/>
                <w:szCs w:val="20"/>
              </w:rPr>
              <w:t>baseline</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2DCF6CD6" w14:textId="41E686A8" w:rsidR="000C6050" w:rsidRPr="00CF4442" w:rsidRDefault="00E92EF4" w:rsidP="00A83532">
            <w:pPr>
              <w:spacing w:line="256" w:lineRule="auto"/>
              <w:rPr>
                <w:bCs/>
              </w:rPr>
            </w:pPr>
            <w:r w:rsidRPr="00CF4442">
              <w:rPr>
                <w:bCs/>
              </w:rPr>
              <w:t>44%</w:t>
            </w:r>
          </w:p>
        </w:tc>
        <w:tc>
          <w:tcPr>
            <w:tcW w:w="990" w:type="dxa"/>
            <w:tcBorders>
              <w:top w:val="single" w:sz="4" w:space="0" w:color="auto"/>
              <w:left w:val="single" w:sz="4" w:space="0" w:color="auto"/>
              <w:bottom w:val="single" w:sz="4" w:space="0" w:color="auto"/>
              <w:right w:val="single" w:sz="4" w:space="0" w:color="auto"/>
            </w:tcBorders>
            <w:shd w:val="clear" w:color="auto" w:fill="E7E6E6" w:themeFill="background2"/>
          </w:tcPr>
          <w:p w14:paraId="098F1334" w14:textId="083AEEC2" w:rsidR="000C6050" w:rsidRPr="00A83532" w:rsidRDefault="00A43CCE" w:rsidP="00A83532">
            <w:pPr>
              <w:spacing w:line="256" w:lineRule="auto"/>
            </w:pPr>
            <w:r>
              <w:t>45%</w:t>
            </w:r>
          </w:p>
        </w:tc>
        <w:tc>
          <w:tcPr>
            <w:tcW w:w="157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50E073FA" w14:textId="204740D7" w:rsidR="000C6050" w:rsidRPr="00AF756E" w:rsidRDefault="00701F0C" w:rsidP="00A83532">
            <w:pPr>
              <w:spacing w:line="256" w:lineRule="auto"/>
              <w:rPr>
                <w:b/>
                <w:color w:val="FF0000"/>
              </w:rPr>
            </w:pPr>
            <w:r w:rsidRPr="00AF756E">
              <w:rPr>
                <w:b/>
                <w:color w:val="FF0000"/>
              </w:rPr>
              <w:t>38%</w:t>
            </w:r>
          </w:p>
        </w:tc>
      </w:tr>
      <w:tr w:rsidR="00CF4442" w:rsidRPr="00A83532" w14:paraId="6739E400" w14:textId="77777777" w:rsidTr="00CF4442">
        <w:trPr>
          <w:trHeight w:val="20"/>
          <w:jc w:val="center"/>
        </w:trPr>
        <w:tc>
          <w:tcPr>
            <w:tcW w:w="1795" w:type="dxa"/>
            <w:tcBorders>
              <w:top w:val="single" w:sz="4" w:space="0" w:color="auto"/>
              <w:left w:val="single" w:sz="4" w:space="0" w:color="auto"/>
              <w:bottom w:val="single" w:sz="6" w:space="0" w:color="auto"/>
              <w:right w:val="single" w:sz="4" w:space="0" w:color="auto"/>
            </w:tcBorders>
            <w:shd w:val="clear" w:color="auto" w:fill="E7E6E6" w:themeFill="background2"/>
            <w:noWrap/>
            <w:vAlign w:val="bottom"/>
          </w:tcPr>
          <w:p w14:paraId="37E8DFCC" w14:textId="32847080" w:rsidR="000C6050" w:rsidRPr="00A83532" w:rsidRDefault="000C6050" w:rsidP="00A83532">
            <w:pPr>
              <w:spacing w:line="256" w:lineRule="auto"/>
            </w:pPr>
            <w:r>
              <w:t xml:space="preserve">Employed </w:t>
            </w:r>
            <w:r w:rsidRPr="001C4353">
              <w:rPr>
                <w:sz w:val="22"/>
                <w:szCs w:val="22"/>
              </w:rPr>
              <w:t>Q4</w:t>
            </w:r>
            <w:r w:rsidR="001C4353">
              <w:t>…</w:t>
            </w:r>
          </w:p>
        </w:tc>
        <w:tc>
          <w:tcPr>
            <w:tcW w:w="990" w:type="dxa"/>
            <w:tcBorders>
              <w:top w:val="single" w:sz="6" w:space="0" w:color="auto"/>
              <w:left w:val="single" w:sz="6" w:space="0" w:color="auto"/>
              <w:bottom w:val="single" w:sz="6" w:space="0" w:color="auto"/>
              <w:right w:val="single" w:sz="6" w:space="0" w:color="auto"/>
            </w:tcBorders>
            <w:shd w:val="clear" w:color="auto" w:fill="E7E6E6" w:themeFill="background2"/>
            <w:vAlign w:val="bottom"/>
          </w:tcPr>
          <w:p w14:paraId="7BDE62F5" w14:textId="1AC8DE81" w:rsidR="000C6050" w:rsidRPr="00A83532" w:rsidRDefault="009350EE" w:rsidP="00A83532">
            <w:pPr>
              <w:spacing w:line="256" w:lineRule="auto"/>
            </w:pPr>
            <w:r>
              <w:rPr>
                <w:sz w:val="20"/>
                <w:szCs w:val="20"/>
              </w:rPr>
              <w:t>baseline</w:t>
            </w:r>
          </w:p>
        </w:tc>
        <w:tc>
          <w:tcPr>
            <w:tcW w:w="1620" w:type="dxa"/>
            <w:tcBorders>
              <w:top w:val="single" w:sz="6" w:space="0" w:color="auto"/>
              <w:left w:val="single" w:sz="6" w:space="0" w:color="auto"/>
              <w:bottom w:val="single" w:sz="6" w:space="0" w:color="auto"/>
              <w:right w:val="single" w:sz="4" w:space="0" w:color="auto"/>
            </w:tcBorders>
            <w:shd w:val="clear" w:color="auto" w:fill="DEEAF6" w:themeFill="accent5" w:themeFillTint="33"/>
            <w:vAlign w:val="bottom"/>
          </w:tcPr>
          <w:p w14:paraId="1D8746A5" w14:textId="746A78B0" w:rsidR="000C6050" w:rsidRPr="00A83532" w:rsidRDefault="00A43CCE" w:rsidP="00A83532">
            <w:pPr>
              <w:spacing w:line="256" w:lineRule="auto"/>
              <w:rPr>
                <w:b/>
                <w:color w:val="00B050"/>
              </w:rPr>
            </w:pPr>
            <w:r>
              <w:rPr>
                <w:b/>
                <w:color w:val="00B050"/>
              </w:rPr>
              <w:t>43%</w:t>
            </w:r>
          </w:p>
        </w:tc>
        <w:tc>
          <w:tcPr>
            <w:tcW w:w="990" w:type="dxa"/>
            <w:tcBorders>
              <w:top w:val="single" w:sz="4" w:space="0" w:color="auto"/>
              <w:left w:val="nil"/>
              <w:bottom w:val="single" w:sz="6" w:space="0" w:color="auto"/>
              <w:right w:val="single" w:sz="4" w:space="0" w:color="auto"/>
            </w:tcBorders>
            <w:shd w:val="clear" w:color="auto" w:fill="E7E6E6" w:themeFill="background2"/>
          </w:tcPr>
          <w:p w14:paraId="69ADE24F" w14:textId="2E43E873" w:rsidR="000C6050" w:rsidRPr="00A83532" w:rsidRDefault="009350EE" w:rsidP="00A83532">
            <w:pPr>
              <w:spacing w:line="256" w:lineRule="auto"/>
            </w:pPr>
            <w:r>
              <w:rPr>
                <w:sz w:val="20"/>
                <w:szCs w:val="20"/>
              </w:rPr>
              <w:t>baseline</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4ECFDDA5" w14:textId="2CAB4799" w:rsidR="000C6050" w:rsidRPr="00CF4442" w:rsidRDefault="00E92EF4" w:rsidP="00A83532">
            <w:pPr>
              <w:spacing w:line="256" w:lineRule="auto"/>
              <w:rPr>
                <w:bCs/>
              </w:rPr>
            </w:pPr>
            <w:r w:rsidRPr="00CF4442">
              <w:rPr>
                <w:bCs/>
              </w:rPr>
              <w:t>46%</w:t>
            </w:r>
          </w:p>
        </w:tc>
        <w:tc>
          <w:tcPr>
            <w:tcW w:w="990" w:type="dxa"/>
            <w:tcBorders>
              <w:top w:val="single" w:sz="4" w:space="0" w:color="auto"/>
              <w:left w:val="single" w:sz="4" w:space="0" w:color="auto"/>
              <w:bottom w:val="single" w:sz="4" w:space="0" w:color="auto"/>
              <w:right w:val="single" w:sz="4" w:space="0" w:color="auto"/>
            </w:tcBorders>
            <w:shd w:val="clear" w:color="auto" w:fill="E7E6E6" w:themeFill="background2"/>
          </w:tcPr>
          <w:p w14:paraId="1776E0D4" w14:textId="68C0C737" w:rsidR="000C6050" w:rsidRPr="00A83532" w:rsidRDefault="00A43CCE" w:rsidP="00A83532">
            <w:pPr>
              <w:spacing w:line="256" w:lineRule="auto"/>
            </w:pPr>
            <w:r>
              <w:t>43%</w:t>
            </w:r>
          </w:p>
        </w:tc>
        <w:tc>
          <w:tcPr>
            <w:tcW w:w="157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469BEF58" w14:textId="688F3505" w:rsidR="000C6050" w:rsidRPr="00AF756E" w:rsidRDefault="00701F0C" w:rsidP="00A83532">
            <w:pPr>
              <w:spacing w:line="256" w:lineRule="auto"/>
              <w:rPr>
                <w:b/>
                <w:color w:val="FF0000"/>
              </w:rPr>
            </w:pPr>
            <w:r w:rsidRPr="00AF756E">
              <w:rPr>
                <w:b/>
                <w:color w:val="FF0000"/>
              </w:rPr>
              <w:t>39%</w:t>
            </w:r>
          </w:p>
        </w:tc>
      </w:tr>
      <w:tr w:rsidR="00CF4442" w:rsidRPr="00A83532" w14:paraId="12F22DC7" w14:textId="77777777" w:rsidTr="00CF4442">
        <w:trPr>
          <w:trHeight w:val="20"/>
          <w:jc w:val="center"/>
        </w:trPr>
        <w:tc>
          <w:tcPr>
            <w:tcW w:w="1795" w:type="dxa"/>
            <w:tcBorders>
              <w:top w:val="single" w:sz="4" w:space="0" w:color="auto"/>
              <w:left w:val="single" w:sz="4" w:space="0" w:color="auto"/>
              <w:bottom w:val="single" w:sz="6" w:space="0" w:color="auto"/>
              <w:right w:val="single" w:sz="4" w:space="0" w:color="auto"/>
            </w:tcBorders>
            <w:shd w:val="clear" w:color="auto" w:fill="E7E6E6" w:themeFill="background2"/>
            <w:noWrap/>
            <w:vAlign w:val="bottom"/>
          </w:tcPr>
          <w:p w14:paraId="12E4ADA0" w14:textId="0C2D6294" w:rsidR="000C6050" w:rsidRPr="00A83532" w:rsidRDefault="000C6050" w:rsidP="00A83532">
            <w:pPr>
              <w:spacing w:line="256" w:lineRule="auto"/>
            </w:pPr>
            <w:r>
              <w:t xml:space="preserve">Med Earn </w:t>
            </w:r>
            <w:r w:rsidRPr="001C4353">
              <w:rPr>
                <w:sz w:val="22"/>
                <w:szCs w:val="22"/>
              </w:rPr>
              <w:t>Q2</w:t>
            </w:r>
            <w:r w:rsidR="00701F0C">
              <w:t>…</w:t>
            </w:r>
          </w:p>
        </w:tc>
        <w:tc>
          <w:tcPr>
            <w:tcW w:w="990" w:type="dxa"/>
            <w:tcBorders>
              <w:top w:val="single" w:sz="6" w:space="0" w:color="auto"/>
              <w:left w:val="single" w:sz="6" w:space="0" w:color="auto"/>
              <w:bottom w:val="single" w:sz="6" w:space="0" w:color="auto"/>
              <w:right w:val="single" w:sz="6" w:space="0" w:color="auto"/>
            </w:tcBorders>
            <w:shd w:val="clear" w:color="auto" w:fill="E7E6E6" w:themeFill="background2"/>
            <w:vAlign w:val="bottom"/>
          </w:tcPr>
          <w:p w14:paraId="69E586E6" w14:textId="0FCE312F" w:rsidR="000C6050" w:rsidRPr="00A83532" w:rsidRDefault="009350EE" w:rsidP="00A83532">
            <w:pPr>
              <w:spacing w:line="256" w:lineRule="auto"/>
            </w:pPr>
            <w:r>
              <w:rPr>
                <w:sz w:val="20"/>
                <w:szCs w:val="20"/>
              </w:rPr>
              <w:t>baseline</w:t>
            </w:r>
          </w:p>
        </w:tc>
        <w:tc>
          <w:tcPr>
            <w:tcW w:w="1620" w:type="dxa"/>
            <w:tcBorders>
              <w:top w:val="single" w:sz="6" w:space="0" w:color="auto"/>
              <w:left w:val="single" w:sz="6" w:space="0" w:color="auto"/>
              <w:bottom w:val="single" w:sz="6" w:space="0" w:color="auto"/>
              <w:right w:val="single" w:sz="4" w:space="0" w:color="auto"/>
            </w:tcBorders>
            <w:shd w:val="clear" w:color="auto" w:fill="DEEAF6" w:themeFill="accent5" w:themeFillTint="33"/>
            <w:vAlign w:val="bottom"/>
          </w:tcPr>
          <w:p w14:paraId="2575131A" w14:textId="683C13A7" w:rsidR="000C6050" w:rsidRPr="00A43CCE" w:rsidRDefault="00A43CCE" w:rsidP="00A83532">
            <w:pPr>
              <w:spacing w:line="256" w:lineRule="auto"/>
              <w:rPr>
                <w:bCs/>
                <w:color w:val="00B050"/>
              </w:rPr>
            </w:pPr>
            <w:r w:rsidRPr="00A43CCE">
              <w:rPr>
                <w:bCs/>
              </w:rPr>
              <w:t>$4,783</w:t>
            </w:r>
          </w:p>
        </w:tc>
        <w:tc>
          <w:tcPr>
            <w:tcW w:w="990" w:type="dxa"/>
            <w:tcBorders>
              <w:top w:val="single" w:sz="4" w:space="0" w:color="auto"/>
              <w:left w:val="nil"/>
              <w:bottom w:val="single" w:sz="6" w:space="0" w:color="auto"/>
              <w:right w:val="single" w:sz="4" w:space="0" w:color="auto"/>
            </w:tcBorders>
            <w:shd w:val="clear" w:color="auto" w:fill="E7E6E6" w:themeFill="background2"/>
          </w:tcPr>
          <w:p w14:paraId="176A955A" w14:textId="4866E3F4" w:rsidR="000C6050" w:rsidRPr="00A83532" w:rsidRDefault="009350EE" w:rsidP="00A83532">
            <w:pPr>
              <w:spacing w:line="256" w:lineRule="auto"/>
            </w:pPr>
            <w:r>
              <w:rPr>
                <w:sz w:val="20"/>
                <w:szCs w:val="20"/>
              </w:rPr>
              <w:t>baseline</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6EF06D6B" w14:textId="0063278D" w:rsidR="000C6050" w:rsidRPr="00E92EF4" w:rsidRDefault="00E92EF4" w:rsidP="00A83532">
            <w:pPr>
              <w:spacing w:line="256" w:lineRule="auto"/>
              <w:rPr>
                <w:bCs/>
                <w:color w:val="FF0000"/>
              </w:rPr>
            </w:pPr>
            <w:r w:rsidRPr="00E92EF4">
              <w:rPr>
                <w:bCs/>
              </w:rPr>
              <w:t>$5,930</w:t>
            </w:r>
          </w:p>
        </w:tc>
        <w:tc>
          <w:tcPr>
            <w:tcW w:w="990" w:type="dxa"/>
            <w:tcBorders>
              <w:top w:val="single" w:sz="4" w:space="0" w:color="auto"/>
              <w:left w:val="single" w:sz="4" w:space="0" w:color="auto"/>
              <w:bottom w:val="single" w:sz="4" w:space="0" w:color="auto"/>
              <w:right w:val="single" w:sz="4" w:space="0" w:color="auto"/>
            </w:tcBorders>
            <w:shd w:val="clear" w:color="auto" w:fill="E7E6E6" w:themeFill="background2"/>
          </w:tcPr>
          <w:p w14:paraId="18A285E7" w14:textId="2582F44E" w:rsidR="000C6050" w:rsidRPr="00E92EF4" w:rsidRDefault="00A43CCE" w:rsidP="00A83532">
            <w:pPr>
              <w:spacing w:line="256" w:lineRule="auto"/>
              <w:rPr>
                <w:bCs/>
              </w:rPr>
            </w:pPr>
            <w:r>
              <w:rPr>
                <w:bCs/>
              </w:rPr>
              <w:t>$4,783</w:t>
            </w:r>
          </w:p>
        </w:tc>
        <w:tc>
          <w:tcPr>
            <w:tcW w:w="157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2DF7B547" w14:textId="46147032" w:rsidR="000C6050" w:rsidRPr="00A43CCE" w:rsidRDefault="00E92EF4" w:rsidP="00A83532">
            <w:pPr>
              <w:spacing w:line="256" w:lineRule="auto"/>
              <w:rPr>
                <w:b/>
                <w:color w:val="00B050"/>
              </w:rPr>
            </w:pPr>
            <w:r w:rsidRPr="00A43CCE">
              <w:rPr>
                <w:b/>
                <w:color w:val="00B050"/>
              </w:rPr>
              <w:t>$6,370</w:t>
            </w:r>
          </w:p>
        </w:tc>
      </w:tr>
      <w:tr w:rsidR="00CF4442" w:rsidRPr="00A83532" w14:paraId="1CD5D16A" w14:textId="77777777" w:rsidTr="00CF4442">
        <w:trPr>
          <w:trHeight w:val="20"/>
          <w:jc w:val="center"/>
        </w:trPr>
        <w:tc>
          <w:tcPr>
            <w:tcW w:w="1795" w:type="dxa"/>
            <w:tcBorders>
              <w:top w:val="single" w:sz="4" w:space="0" w:color="auto"/>
              <w:left w:val="single" w:sz="4" w:space="0" w:color="auto"/>
              <w:bottom w:val="single" w:sz="6" w:space="0" w:color="auto"/>
              <w:right w:val="single" w:sz="4" w:space="0" w:color="auto"/>
            </w:tcBorders>
            <w:shd w:val="clear" w:color="auto" w:fill="E7E6E6" w:themeFill="background2"/>
            <w:noWrap/>
            <w:vAlign w:val="bottom"/>
          </w:tcPr>
          <w:p w14:paraId="185A3048" w14:textId="74828826" w:rsidR="000C6050" w:rsidRPr="00A83532" w:rsidRDefault="000C6050" w:rsidP="00A83532">
            <w:pPr>
              <w:spacing w:line="256" w:lineRule="auto"/>
            </w:pPr>
            <w:r>
              <w:t>Attained SSD &amp; PSE/Training</w:t>
            </w:r>
            <w:r w:rsidR="00701F0C">
              <w:t>…</w:t>
            </w:r>
          </w:p>
        </w:tc>
        <w:tc>
          <w:tcPr>
            <w:tcW w:w="990" w:type="dxa"/>
            <w:tcBorders>
              <w:top w:val="single" w:sz="6" w:space="0" w:color="auto"/>
              <w:left w:val="single" w:sz="6" w:space="0" w:color="auto"/>
              <w:bottom w:val="single" w:sz="6" w:space="0" w:color="auto"/>
              <w:right w:val="single" w:sz="6" w:space="0" w:color="auto"/>
            </w:tcBorders>
            <w:shd w:val="clear" w:color="auto" w:fill="E7E6E6" w:themeFill="background2"/>
            <w:vAlign w:val="bottom"/>
          </w:tcPr>
          <w:p w14:paraId="56FAFF2A" w14:textId="50B2859C" w:rsidR="000C6050" w:rsidRPr="00A83532" w:rsidRDefault="009350EE" w:rsidP="00A83532">
            <w:pPr>
              <w:spacing w:line="256" w:lineRule="auto"/>
            </w:pPr>
            <w:r>
              <w:rPr>
                <w:sz w:val="20"/>
                <w:szCs w:val="20"/>
              </w:rPr>
              <w:t>baseline</w:t>
            </w:r>
          </w:p>
        </w:tc>
        <w:tc>
          <w:tcPr>
            <w:tcW w:w="1620" w:type="dxa"/>
            <w:tcBorders>
              <w:top w:val="single" w:sz="6" w:space="0" w:color="auto"/>
              <w:left w:val="single" w:sz="6" w:space="0" w:color="auto"/>
              <w:bottom w:val="single" w:sz="6" w:space="0" w:color="auto"/>
              <w:right w:val="single" w:sz="4" w:space="0" w:color="auto"/>
            </w:tcBorders>
            <w:shd w:val="clear" w:color="auto" w:fill="DEEAF6" w:themeFill="accent5" w:themeFillTint="33"/>
            <w:vAlign w:val="bottom"/>
          </w:tcPr>
          <w:p w14:paraId="761BD342" w14:textId="5B182B84" w:rsidR="000C6050" w:rsidRPr="00A43CCE" w:rsidRDefault="00A43CCE" w:rsidP="00A83532">
            <w:pPr>
              <w:spacing w:line="256" w:lineRule="auto"/>
              <w:rPr>
                <w:bCs/>
              </w:rPr>
            </w:pPr>
            <w:r w:rsidRPr="00A43CCE">
              <w:rPr>
                <w:bCs/>
              </w:rPr>
              <w:t>2%</w:t>
            </w:r>
          </w:p>
        </w:tc>
        <w:tc>
          <w:tcPr>
            <w:tcW w:w="990" w:type="dxa"/>
            <w:tcBorders>
              <w:top w:val="single" w:sz="4" w:space="0" w:color="auto"/>
              <w:left w:val="nil"/>
              <w:bottom w:val="single" w:sz="6" w:space="0" w:color="auto"/>
              <w:right w:val="single" w:sz="4" w:space="0" w:color="auto"/>
            </w:tcBorders>
            <w:shd w:val="clear" w:color="auto" w:fill="E7E6E6" w:themeFill="background2"/>
          </w:tcPr>
          <w:p w14:paraId="2B7BD353" w14:textId="77777777" w:rsidR="009350EE" w:rsidRDefault="009350EE" w:rsidP="00A83532">
            <w:pPr>
              <w:spacing w:line="256" w:lineRule="auto"/>
              <w:rPr>
                <w:sz w:val="20"/>
                <w:szCs w:val="20"/>
              </w:rPr>
            </w:pPr>
          </w:p>
          <w:p w14:paraId="2484857C" w14:textId="70C0B20F" w:rsidR="000C6050" w:rsidRPr="00A83532" w:rsidRDefault="009350EE" w:rsidP="00A83532">
            <w:pPr>
              <w:spacing w:line="256" w:lineRule="auto"/>
            </w:pPr>
            <w:r>
              <w:rPr>
                <w:sz w:val="20"/>
                <w:szCs w:val="20"/>
              </w:rPr>
              <w:t>baseline</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0B01BF4A" w14:textId="6BA0CD0E" w:rsidR="000C6050" w:rsidRPr="009350EE" w:rsidRDefault="00E92EF4" w:rsidP="00A83532">
            <w:pPr>
              <w:spacing w:line="256" w:lineRule="auto"/>
              <w:rPr>
                <w:bCs/>
              </w:rPr>
            </w:pPr>
            <w:r w:rsidRPr="009350EE">
              <w:rPr>
                <w:bCs/>
              </w:rPr>
              <w:t>3%</w:t>
            </w:r>
          </w:p>
        </w:tc>
        <w:tc>
          <w:tcPr>
            <w:tcW w:w="990" w:type="dxa"/>
            <w:tcBorders>
              <w:top w:val="single" w:sz="4" w:space="0" w:color="auto"/>
              <w:left w:val="single" w:sz="4" w:space="0" w:color="auto"/>
              <w:bottom w:val="single" w:sz="4" w:space="0" w:color="auto"/>
              <w:right w:val="single" w:sz="4" w:space="0" w:color="auto"/>
            </w:tcBorders>
            <w:shd w:val="clear" w:color="auto" w:fill="E7E6E6" w:themeFill="background2"/>
          </w:tcPr>
          <w:p w14:paraId="3DC0D748" w14:textId="77777777" w:rsidR="009350EE" w:rsidRDefault="009350EE" w:rsidP="009350EE">
            <w:pPr>
              <w:spacing w:line="256" w:lineRule="auto"/>
            </w:pPr>
          </w:p>
          <w:p w14:paraId="5D143A2B" w14:textId="2A0FA898" w:rsidR="000C6050" w:rsidRPr="00A83532" w:rsidRDefault="009350EE" w:rsidP="009350EE">
            <w:pPr>
              <w:spacing w:line="256" w:lineRule="auto"/>
            </w:pPr>
            <w:r>
              <w:t>2%</w:t>
            </w:r>
          </w:p>
        </w:tc>
        <w:tc>
          <w:tcPr>
            <w:tcW w:w="157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6C087DFA" w14:textId="553DE416" w:rsidR="000C6050" w:rsidRPr="00A83532" w:rsidRDefault="00701F0C" w:rsidP="00A83532">
            <w:pPr>
              <w:spacing w:line="256" w:lineRule="auto"/>
              <w:rPr>
                <w:b/>
                <w:color w:val="00B050"/>
              </w:rPr>
            </w:pPr>
            <w:r>
              <w:rPr>
                <w:b/>
                <w:color w:val="00B050"/>
              </w:rPr>
              <w:t>4%</w:t>
            </w:r>
          </w:p>
        </w:tc>
      </w:tr>
      <w:tr w:rsidR="00CF4442" w:rsidRPr="00A83532" w14:paraId="6756E22D" w14:textId="77777777" w:rsidTr="00CF4442">
        <w:trPr>
          <w:trHeight w:val="20"/>
          <w:jc w:val="center"/>
        </w:trPr>
        <w:tc>
          <w:tcPr>
            <w:tcW w:w="1795" w:type="dxa"/>
            <w:tcBorders>
              <w:top w:val="single" w:sz="4" w:space="0" w:color="auto"/>
              <w:left w:val="single" w:sz="4" w:space="0" w:color="auto"/>
              <w:bottom w:val="single" w:sz="6" w:space="0" w:color="auto"/>
              <w:right w:val="single" w:sz="4" w:space="0" w:color="auto"/>
            </w:tcBorders>
            <w:shd w:val="clear" w:color="auto" w:fill="E7E6E6" w:themeFill="background2"/>
            <w:noWrap/>
            <w:vAlign w:val="bottom"/>
          </w:tcPr>
          <w:p w14:paraId="7623C366" w14:textId="22B38367" w:rsidR="000C6050" w:rsidRPr="00A83532" w:rsidRDefault="000C6050" w:rsidP="00A83532">
            <w:pPr>
              <w:spacing w:line="256" w:lineRule="auto"/>
            </w:pPr>
            <w:r>
              <w:t>Attained SSD &amp; Employed</w:t>
            </w:r>
            <w:r w:rsidR="00701F0C">
              <w:t>…</w:t>
            </w:r>
          </w:p>
        </w:tc>
        <w:tc>
          <w:tcPr>
            <w:tcW w:w="990" w:type="dxa"/>
            <w:tcBorders>
              <w:top w:val="single" w:sz="6" w:space="0" w:color="auto"/>
              <w:left w:val="single" w:sz="6" w:space="0" w:color="auto"/>
              <w:bottom w:val="single" w:sz="6" w:space="0" w:color="auto"/>
              <w:right w:val="single" w:sz="6" w:space="0" w:color="auto"/>
            </w:tcBorders>
            <w:shd w:val="clear" w:color="auto" w:fill="E7E6E6" w:themeFill="background2"/>
            <w:vAlign w:val="bottom"/>
          </w:tcPr>
          <w:p w14:paraId="550C2880" w14:textId="6BBC94BA" w:rsidR="000C6050" w:rsidRPr="00A83532" w:rsidRDefault="009350EE" w:rsidP="00A83532">
            <w:pPr>
              <w:spacing w:line="256" w:lineRule="auto"/>
            </w:pPr>
            <w:r>
              <w:rPr>
                <w:sz w:val="20"/>
                <w:szCs w:val="20"/>
              </w:rPr>
              <w:t>baseline</w:t>
            </w:r>
          </w:p>
        </w:tc>
        <w:tc>
          <w:tcPr>
            <w:tcW w:w="1620" w:type="dxa"/>
            <w:tcBorders>
              <w:top w:val="single" w:sz="6" w:space="0" w:color="auto"/>
              <w:left w:val="single" w:sz="6" w:space="0" w:color="auto"/>
              <w:bottom w:val="single" w:sz="6" w:space="0" w:color="auto"/>
              <w:right w:val="single" w:sz="4" w:space="0" w:color="auto"/>
            </w:tcBorders>
            <w:shd w:val="clear" w:color="auto" w:fill="DEEAF6" w:themeFill="accent5" w:themeFillTint="33"/>
            <w:vAlign w:val="bottom"/>
          </w:tcPr>
          <w:p w14:paraId="4E7A9309" w14:textId="460E6850" w:rsidR="000C6050" w:rsidRPr="00A43CCE" w:rsidRDefault="00A43CCE" w:rsidP="00A83532">
            <w:pPr>
              <w:spacing w:line="256" w:lineRule="auto"/>
              <w:rPr>
                <w:bCs/>
              </w:rPr>
            </w:pPr>
            <w:r w:rsidRPr="00A43CCE">
              <w:rPr>
                <w:bCs/>
              </w:rPr>
              <w:t>18%</w:t>
            </w:r>
          </w:p>
        </w:tc>
        <w:tc>
          <w:tcPr>
            <w:tcW w:w="990" w:type="dxa"/>
            <w:tcBorders>
              <w:top w:val="single" w:sz="4" w:space="0" w:color="auto"/>
              <w:left w:val="nil"/>
              <w:bottom w:val="single" w:sz="6" w:space="0" w:color="auto"/>
              <w:right w:val="single" w:sz="4" w:space="0" w:color="auto"/>
            </w:tcBorders>
            <w:shd w:val="clear" w:color="auto" w:fill="E7E6E6" w:themeFill="background2"/>
          </w:tcPr>
          <w:p w14:paraId="6329CEA4" w14:textId="77777777" w:rsidR="009350EE" w:rsidRDefault="009350EE" w:rsidP="00A83532">
            <w:pPr>
              <w:spacing w:line="256" w:lineRule="auto"/>
              <w:rPr>
                <w:sz w:val="20"/>
                <w:szCs w:val="20"/>
              </w:rPr>
            </w:pPr>
          </w:p>
          <w:p w14:paraId="4F67A69F" w14:textId="6B422246" w:rsidR="000C6050" w:rsidRPr="00A83532" w:rsidRDefault="009350EE" w:rsidP="00A83532">
            <w:pPr>
              <w:spacing w:line="256" w:lineRule="auto"/>
            </w:pPr>
            <w:r>
              <w:rPr>
                <w:sz w:val="20"/>
                <w:szCs w:val="20"/>
              </w:rPr>
              <w:t>baseline</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5670003F" w14:textId="69903A06" w:rsidR="000C6050" w:rsidRPr="009350EE" w:rsidRDefault="00E92EF4" w:rsidP="00A83532">
            <w:pPr>
              <w:spacing w:line="256" w:lineRule="auto"/>
              <w:rPr>
                <w:bCs/>
              </w:rPr>
            </w:pPr>
            <w:r w:rsidRPr="009350EE">
              <w:rPr>
                <w:bCs/>
              </w:rPr>
              <w:t>22%</w:t>
            </w:r>
          </w:p>
        </w:tc>
        <w:tc>
          <w:tcPr>
            <w:tcW w:w="990" w:type="dxa"/>
            <w:tcBorders>
              <w:top w:val="single" w:sz="4" w:space="0" w:color="auto"/>
              <w:left w:val="single" w:sz="4" w:space="0" w:color="auto"/>
              <w:bottom w:val="single" w:sz="4" w:space="0" w:color="auto"/>
              <w:right w:val="single" w:sz="4" w:space="0" w:color="auto"/>
            </w:tcBorders>
            <w:shd w:val="clear" w:color="auto" w:fill="E7E6E6" w:themeFill="background2"/>
          </w:tcPr>
          <w:p w14:paraId="2B3718C8" w14:textId="77777777" w:rsidR="000C6050" w:rsidRDefault="000C6050" w:rsidP="00A83532">
            <w:pPr>
              <w:spacing w:line="256" w:lineRule="auto"/>
            </w:pPr>
          </w:p>
          <w:p w14:paraId="21C64C9A" w14:textId="5F14E60D" w:rsidR="009350EE" w:rsidRPr="00A83532" w:rsidRDefault="009350EE" w:rsidP="00A83532">
            <w:pPr>
              <w:spacing w:line="256" w:lineRule="auto"/>
            </w:pPr>
            <w:r>
              <w:t>18%</w:t>
            </w:r>
          </w:p>
        </w:tc>
        <w:tc>
          <w:tcPr>
            <w:tcW w:w="157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4F757002" w14:textId="4263F70F" w:rsidR="000C6050" w:rsidRPr="00A83532" w:rsidRDefault="00701F0C" w:rsidP="00A83532">
            <w:pPr>
              <w:spacing w:line="256" w:lineRule="auto"/>
              <w:rPr>
                <w:b/>
                <w:color w:val="00B050"/>
              </w:rPr>
            </w:pPr>
            <w:r>
              <w:rPr>
                <w:b/>
                <w:color w:val="00B050"/>
              </w:rPr>
              <w:t>25%</w:t>
            </w:r>
          </w:p>
        </w:tc>
      </w:tr>
      <w:tr w:rsidR="00CF4442" w:rsidRPr="00A83532" w14:paraId="477EAD83" w14:textId="77777777" w:rsidTr="00CF4442">
        <w:trPr>
          <w:trHeight w:val="20"/>
          <w:jc w:val="center"/>
        </w:trPr>
        <w:tc>
          <w:tcPr>
            <w:tcW w:w="1795" w:type="dxa"/>
            <w:tcBorders>
              <w:top w:val="single" w:sz="4" w:space="0" w:color="auto"/>
              <w:left w:val="single" w:sz="4" w:space="0" w:color="auto"/>
              <w:bottom w:val="single" w:sz="6" w:space="0" w:color="auto"/>
              <w:right w:val="single" w:sz="4" w:space="0" w:color="auto"/>
            </w:tcBorders>
            <w:shd w:val="clear" w:color="auto" w:fill="E7E6E6" w:themeFill="background2"/>
            <w:noWrap/>
            <w:vAlign w:val="bottom"/>
          </w:tcPr>
          <w:p w14:paraId="16EE0A87" w14:textId="310DBC3B" w:rsidR="000C6050" w:rsidRPr="00A83532" w:rsidRDefault="00701F0C" w:rsidP="00A83532">
            <w:pPr>
              <w:spacing w:line="256" w:lineRule="auto"/>
            </w:pPr>
            <w:r>
              <w:t>Attained PS Credential…</w:t>
            </w:r>
          </w:p>
        </w:tc>
        <w:tc>
          <w:tcPr>
            <w:tcW w:w="990" w:type="dxa"/>
            <w:tcBorders>
              <w:top w:val="single" w:sz="6" w:space="0" w:color="auto"/>
              <w:left w:val="single" w:sz="6" w:space="0" w:color="auto"/>
              <w:bottom w:val="single" w:sz="6" w:space="0" w:color="auto"/>
              <w:right w:val="single" w:sz="6" w:space="0" w:color="auto"/>
            </w:tcBorders>
            <w:shd w:val="clear" w:color="auto" w:fill="E7E6E6" w:themeFill="background2"/>
            <w:vAlign w:val="bottom"/>
          </w:tcPr>
          <w:p w14:paraId="45168CC6" w14:textId="3CA2825B" w:rsidR="000C6050" w:rsidRPr="00A83532" w:rsidRDefault="009350EE" w:rsidP="00A83532">
            <w:pPr>
              <w:spacing w:line="256" w:lineRule="auto"/>
            </w:pPr>
            <w:r>
              <w:rPr>
                <w:sz w:val="20"/>
                <w:szCs w:val="20"/>
              </w:rPr>
              <w:t>baseline</w:t>
            </w:r>
          </w:p>
        </w:tc>
        <w:tc>
          <w:tcPr>
            <w:tcW w:w="1620" w:type="dxa"/>
            <w:tcBorders>
              <w:top w:val="single" w:sz="6" w:space="0" w:color="auto"/>
              <w:left w:val="single" w:sz="6" w:space="0" w:color="auto"/>
              <w:bottom w:val="single" w:sz="6" w:space="0" w:color="auto"/>
              <w:right w:val="single" w:sz="4" w:space="0" w:color="auto"/>
            </w:tcBorders>
            <w:shd w:val="clear" w:color="auto" w:fill="DEEAF6" w:themeFill="accent5" w:themeFillTint="33"/>
            <w:vAlign w:val="bottom"/>
          </w:tcPr>
          <w:p w14:paraId="0D235675" w14:textId="29938770" w:rsidR="000C6050" w:rsidRPr="00A43CCE" w:rsidRDefault="00A43CCE" w:rsidP="00A83532">
            <w:pPr>
              <w:spacing w:line="256" w:lineRule="auto"/>
              <w:rPr>
                <w:bCs/>
              </w:rPr>
            </w:pPr>
            <w:r w:rsidRPr="00A43CCE">
              <w:rPr>
                <w:bCs/>
              </w:rPr>
              <w:t>58%</w:t>
            </w:r>
          </w:p>
        </w:tc>
        <w:tc>
          <w:tcPr>
            <w:tcW w:w="990" w:type="dxa"/>
            <w:tcBorders>
              <w:top w:val="single" w:sz="4" w:space="0" w:color="auto"/>
              <w:left w:val="nil"/>
              <w:bottom w:val="single" w:sz="6" w:space="0" w:color="auto"/>
              <w:right w:val="single" w:sz="4" w:space="0" w:color="auto"/>
            </w:tcBorders>
            <w:shd w:val="clear" w:color="auto" w:fill="E7E6E6" w:themeFill="background2"/>
          </w:tcPr>
          <w:p w14:paraId="08D1CDEE" w14:textId="77777777" w:rsidR="009350EE" w:rsidRDefault="009350EE" w:rsidP="00A83532">
            <w:pPr>
              <w:spacing w:line="256" w:lineRule="auto"/>
              <w:rPr>
                <w:sz w:val="20"/>
                <w:szCs w:val="20"/>
              </w:rPr>
            </w:pPr>
          </w:p>
          <w:p w14:paraId="1FB887C5" w14:textId="7480B5F7" w:rsidR="000C6050" w:rsidRPr="00A83532" w:rsidRDefault="009350EE" w:rsidP="00A83532">
            <w:pPr>
              <w:spacing w:line="256" w:lineRule="auto"/>
            </w:pPr>
            <w:r>
              <w:rPr>
                <w:sz w:val="20"/>
                <w:szCs w:val="20"/>
              </w:rPr>
              <w:t>baseline</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053D4C10" w14:textId="376A2AB8" w:rsidR="000C6050" w:rsidRPr="009350EE" w:rsidRDefault="00E92EF4" w:rsidP="00A83532">
            <w:pPr>
              <w:spacing w:line="256" w:lineRule="auto"/>
              <w:rPr>
                <w:bCs/>
              </w:rPr>
            </w:pPr>
            <w:r w:rsidRPr="009350EE">
              <w:rPr>
                <w:bCs/>
              </w:rPr>
              <w:t>40%</w:t>
            </w:r>
          </w:p>
        </w:tc>
        <w:tc>
          <w:tcPr>
            <w:tcW w:w="990" w:type="dxa"/>
            <w:tcBorders>
              <w:top w:val="single" w:sz="4" w:space="0" w:color="auto"/>
              <w:left w:val="single" w:sz="4" w:space="0" w:color="auto"/>
              <w:bottom w:val="single" w:sz="4" w:space="0" w:color="auto"/>
              <w:right w:val="single" w:sz="4" w:space="0" w:color="auto"/>
            </w:tcBorders>
            <w:shd w:val="clear" w:color="auto" w:fill="E7E6E6" w:themeFill="background2"/>
          </w:tcPr>
          <w:p w14:paraId="545C9151" w14:textId="77777777" w:rsidR="000C6050" w:rsidRDefault="000C6050" w:rsidP="00A83532">
            <w:pPr>
              <w:spacing w:line="256" w:lineRule="auto"/>
            </w:pPr>
          </w:p>
          <w:p w14:paraId="1B9BBDD5" w14:textId="76D3B9A9" w:rsidR="009350EE" w:rsidRPr="00A83532" w:rsidRDefault="009350EE" w:rsidP="00A83532">
            <w:pPr>
              <w:spacing w:line="256" w:lineRule="auto"/>
            </w:pPr>
            <w:r>
              <w:t>58%</w:t>
            </w:r>
          </w:p>
        </w:tc>
        <w:tc>
          <w:tcPr>
            <w:tcW w:w="157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40CE5AD0" w14:textId="1009D6D7" w:rsidR="000C6050" w:rsidRPr="00A83532" w:rsidRDefault="00701F0C" w:rsidP="00A83532">
            <w:pPr>
              <w:spacing w:line="256" w:lineRule="auto"/>
              <w:rPr>
                <w:b/>
                <w:color w:val="00B050"/>
              </w:rPr>
            </w:pPr>
            <w:r w:rsidRPr="009350EE">
              <w:rPr>
                <w:b/>
                <w:color w:val="FF0000"/>
              </w:rPr>
              <w:t>41%</w:t>
            </w:r>
          </w:p>
        </w:tc>
      </w:tr>
      <w:tr w:rsidR="00CF4442" w:rsidRPr="00A83532" w14:paraId="449B46E0" w14:textId="77777777" w:rsidTr="00CF4442">
        <w:trPr>
          <w:trHeight w:val="20"/>
          <w:jc w:val="center"/>
        </w:trPr>
        <w:tc>
          <w:tcPr>
            <w:tcW w:w="1795" w:type="dxa"/>
            <w:tcBorders>
              <w:top w:val="single" w:sz="4" w:space="0" w:color="auto"/>
              <w:left w:val="single" w:sz="4" w:space="0" w:color="auto"/>
              <w:bottom w:val="single" w:sz="6" w:space="0" w:color="auto"/>
              <w:right w:val="single" w:sz="4" w:space="0" w:color="auto"/>
            </w:tcBorders>
            <w:shd w:val="clear" w:color="auto" w:fill="E7E6E6" w:themeFill="background2"/>
            <w:noWrap/>
            <w:vAlign w:val="bottom"/>
          </w:tcPr>
          <w:p w14:paraId="17AAA2BA" w14:textId="2586B522" w:rsidR="000C6050" w:rsidRPr="00A83532" w:rsidRDefault="00701F0C" w:rsidP="00A83532">
            <w:pPr>
              <w:spacing w:line="256" w:lineRule="auto"/>
            </w:pPr>
            <w:r>
              <w:t>Attained any credential…</w:t>
            </w:r>
          </w:p>
        </w:tc>
        <w:tc>
          <w:tcPr>
            <w:tcW w:w="990" w:type="dxa"/>
            <w:tcBorders>
              <w:top w:val="single" w:sz="6" w:space="0" w:color="auto"/>
              <w:left w:val="single" w:sz="6" w:space="0" w:color="auto"/>
              <w:bottom w:val="single" w:sz="6" w:space="0" w:color="auto"/>
              <w:right w:val="single" w:sz="6" w:space="0" w:color="auto"/>
            </w:tcBorders>
            <w:shd w:val="clear" w:color="auto" w:fill="E7E6E6" w:themeFill="background2"/>
            <w:vAlign w:val="bottom"/>
          </w:tcPr>
          <w:p w14:paraId="08316974" w14:textId="321A09D4" w:rsidR="000C6050" w:rsidRPr="00A83532" w:rsidRDefault="009350EE" w:rsidP="00A83532">
            <w:pPr>
              <w:spacing w:line="256" w:lineRule="auto"/>
            </w:pPr>
            <w:r>
              <w:rPr>
                <w:sz w:val="20"/>
                <w:szCs w:val="20"/>
              </w:rPr>
              <w:t>baseline</w:t>
            </w:r>
          </w:p>
        </w:tc>
        <w:tc>
          <w:tcPr>
            <w:tcW w:w="1620" w:type="dxa"/>
            <w:tcBorders>
              <w:top w:val="single" w:sz="6" w:space="0" w:color="auto"/>
              <w:left w:val="single" w:sz="6" w:space="0" w:color="auto"/>
              <w:bottom w:val="single" w:sz="6" w:space="0" w:color="auto"/>
              <w:right w:val="single" w:sz="4" w:space="0" w:color="auto"/>
            </w:tcBorders>
            <w:shd w:val="clear" w:color="auto" w:fill="DEEAF6" w:themeFill="accent5" w:themeFillTint="33"/>
            <w:vAlign w:val="bottom"/>
          </w:tcPr>
          <w:p w14:paraId="6AA73D3D" w14:textId="06EB332A" w:rsidR="000C6050" w:rsidRPr="009350EE" w:rsidRDefault="009350EE" w:rsidP="00A83532">
            <w:pPr>
              <w:spacing w:line="256" w:lineRule="auto"/>
              <w:rPr>
                <w:bCs/>
                <w:color w:val="00B050"/>
              </w:rPr>
            </w:pPr>
            <w:r w:rsidRPr="009350EE">
              <w:rPr>
                <w:bCs/>
              </w:rPr>
              <w:t>28%</w:t>
            </w:r>
          </w:p>
        </w:tc>
        <w:tc>
          <w:tcPr>
            <w:tcW w:w="990" w:type="dxa"/>
            <w:tcBorders>
              <w:top w:val="single" w:sz="4" w:space="0" w:color="auto"/>
              <w:left w:val="nil"/>
              <w:bottom w:val="single" w:sz="6" w:space="0" w:color="auto"/>
              <w:right w:val="single" w:sz="4" w:space="0" w:color="auto"/>
            </w:tcBorders>
            <w:shd w:val="clear" w:color="auto" w:fill="E7E6E6" w:themeFill="background2"/>
          </w:tcPr>
          <w:p w14:paraId="14C2DE03" w14:textId="77777777" w:rsidR="000C6050" w:rsidRDefault="000C6050" w:rsidP="00A83532">
            <w:pPr>
              <w:spacing w:line="256" w:lineRule="auto"/>
            </w:pPr>
          </w:p>
          <w:p w14:paraId="2CE52C8C" w14:textId="12CBDE40" w:rsidR="009350EE" w:rsidRPr="00A83532" w:rsidRDefault="009350EE" w:rsidP="00A83532">
            <w:pPr>
              <w:spacing w:line="256" w:lineRule="auto"/>
            </w:pPr>
            <w:r>
              <w:rPr>
                <w:sz w:val="20"/>
                <w:szCs w:val="20"/>
              </w:rPr>
              <w:t>baseline</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6EEAB319" w14:textId="24F794D3" w:rsidR="000C6050" w:rsidRPr="009350EE" w:rsidRDefault="00E92EF4" w:rsidP="00A83532">
            <w:pPr>
              <w:spacing w:line="256" w:lineRule="auto"/>
              <w:rPr>
                <w:bCs/>
              </w:rPr>
            </w:pPr>
            <w:r w:rsidRPr="009350EE">
              <w:rPr>
                <w:bCs/>
              </w:rPr>
              <w:t>31%</w:t>
            </w:r>
          </w:p>
        </w:tc>
        <w:tc>
          <w:tcPr>
            <w:tcW w:w="990" w:type="dxa"/>
            <w:tcBorders>
              <w:top w:val="single" w:sz="4" w:space="0" w:color="auto"/>
              <w:left w:val="single" w:sz="4" w:space="0" w:color="auto"/>
              <w:bottom w:val="single" w:sz="4" w:space="0" w:color="auto"/>
              <w:right w:val="single" w:sz="4" w:space="0" w:color="auto"/>
            </w:tcBorders>
            <w:shd w:val="clear" w:color="auto" w:fill="E7E6E6" w:themeFill="background2"/>
          </w:tcPr>
          <w:p w14:paraId="13D4C76D" w14:textId="77777777" w:rsidR="000C6050" w:rsidRDefault="000C6050" w:rsidP="00A83532">
            <w:pPr>
              <w:spacing w:line="256" w:lineRule="auto"/>
            </w:pPr>
          </w:p>
          <w:p w14:paraId="3CE5C7C9" w14:textId="101B2140" w:rsidR="009350EE" w:rsidRPr="00A83532" w:rsidRDefault="009350EE" w:rsidP="00A83532">
            <w:pPr>
              <w:spacing w:line="256" w:lineRule="auto"/>
            </w:pPr>
            <w:r>
              <w:t>27%</w:t>
            </w:r>
          </w:p>
        </w:tc>
        <w:tc>
          <w:tcPr>
            <w:tcW w:w="157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562E2DAE" w14:textId="6483A828" w:rsidR="000C6050" w:rsidRPr="00A83532" w:rsidRDefault="00701F0C" w:rsidP="00A83532">
            <w:pPr>
              <w:spacing w:line="256" w:lineRule="auto"/>
              <w:rPr>
                <w:b/>
                <w:color w:val="00B050"/>
              </w:rPr>
            </w:pPr>
            <w:r>
              <w:rPr>
                <w:b/>
                <w:color w:val="00B050"/>
              </w:rPr>
              <w:t>34%</w:t>
            </w:r>
          </w:p>
        </w:tc>
      </w:tr>
    </w:tbl>
    <w:p w14:paraId="5FC3E59D" w14:textId="77777777" w:rsidR="00A83532" w:rsidRPr="00A83532" w:rsidRDefault="00A83532" w:rsidP="00A83532">
      <w:pPr>
        <w:rPr>
          <w:i/>
        </w:rPr>
      </w:pPr>
    </w:p>
    <w:p w14:paraId="6015B3F7" w14:textId="3184DEE4" w:rsidR="009D2A6A" w:rsidRDefault="00A83532" w:rsidP="00852A13">
      <w:pPr>
        <w:ind w:firstLine="720"/>
      </w:pPr>
      <w:r w:rsidRPr="00A83532">
        <w:t xml:space="preserve">This chart shows data over the past three years on </w:t>
      </w:r>
      <w:r w:rsidR="0041203D">
        <w:t xml:space="preserve">primary indicators of performance </w:t>
      </w:r>
      <w:r w:rsidR="00F20101">
        <w:t>and</w:t>
      </w:r>
      <w:r w:rsidR="0041203D">
        <w:t xml:space="preserve"> </w:t>
      </w:r>
      <w:r w:rsidRPr="00A83532">
        <w:t xml:space="preserve">measurable skill gains in the areas of: Adult Basic Education (ABE) and English Language Acquisition (ELA).  </w:t>
      </w:r>
      <w:r w:rsidR="009D2A6A">
        <w:t xml:space="preserve">Despite the challenges NJ’s providers and students faced because of the pandemic, Chart 1 shows consistent improvement in the </w:t>
      </w:r>
      <w:r w:rsidR="00CF4442">
        <w:t>median earnings, attainment of a SSD</w:t>
      </w:r>
      <w:r w:rsidR="00AF756E">
        <w:t xml:space="preserve"> and </w:t>
      </w:r>
      <w:r w:rsidR="00CF4442">
        <w:t>enrollment in PSE or training, and attainment of a SSD</w:t>
      </w:r>
      <w:r w:rsidR="00AF756E">
        <w:t xml:space="preserve"> and </w:t>
      </w:r>
      <w:r w:rsidR="002B1B0B">
        <w:t>employ</w:t>
      </w:r>
      <w:r w:rsidR="00AF756E">
        <w:t xml:space="preserve">ed, </w:t>
      </w:r>
      <w:r w:rsidR="009D2A6A">
        <w:t>primary indicators of performance</w:t>
      </w:r>
      <w:r w:rsidR="002B1B0B">
        <w:t>. There was a decrease in performance</w:t>
      </w:r>
      <w:r w:rsidR="00CF4442">
        <w:t xml:space="preserve"> for</w:t>
      </w:r>
      <w:r w:rsidR="009D2A6A">
        <w:t xml:space="preserve"> the attainment of a postsecondary credential while enrolled or within one year of exit. </w:t>
      </w:r>
      <w:r w:rsidR="000C0C3C">
        <w:t xml:space="preserve">As a result of </w:t>
      </w:r>
      <w:r w:rsidR="00CF4442">
        <w:t xml:space="preserve">COVID-19 </w:t>
      </w:r>
      <w:r w:rsidR="000C0C3C">
        <w:t xml:space="preserve">restrictions, </w:t>
      </w:r>
      <w:r w:rsidR="009D2A6A">
        <w:t>closures</w:t>
      </w:r>
      <w:r w:rsidR="00AF756E">
        <w:t>,</w:t>
      </w:r>
      <w:r w:rsidR="000C0C3C">
        <w:t xml:space="preserve"> and many other</w:t>
      </w:r>
      <w:r w:rsidR="009D2A6A">
        <w:t xml:space="preserve"> </w:t>
      </w:r>
      <w:r w:rsidR="000C0C3C">
        <w:t>significant challenges it was extremely difficult and at times impossible to provide students with hands-on training that would lead to credentials. There was a decrease in this indicator from 58% in PY 2018 which was the year prior to the pandemic</w:t>
      </w:r>
      <w:r w:rsidR="00CF4442">
        <w:t>,</w:t>
      </w:r>
      <w:r w:rsidR="000C0C3C">
        <w:t xml:space="preserve"> to 40% in PY 2019 and 41% in PY 2020. </w:t>
      </w:r>
      <w:r w:rsidR="002B1B0B">
        <w:t>There was also a decrease in performance regarding the employment measures as a result of business closings/restrictions, health concerns/fear, students needing to care for themselves and</w:t>
      </w:r>
      <w:r w:rsidR="00AF756E">
        <w:t>/or</w:t>
      </w:r>
      <w:r w:rsidR="002B1B0B">
        <w:t xml:space="preserve"> other sick family members, the need to stay home with their children during remote learning due to the inability to secure childcare among many other factor</w:t>
      </w:r>
      <w:r w:rsidR="00AF756E">
        <w:t>s</w:t>
      </w:r>
      <w:r w:rsidR="002B1B0B">
        <w:t>.</w:t>
      </w:r>
    </w:p>
    <w:p w14:paraId="794CA162" w14:textId="0DCC792C" w:rsidR="00A83532" w:rsidRPr="00A83532" w:rsidRDefault="00A83532" w:rsidP="00852A13">
      <w:pPr>
        <w:ind w:firstLine="720"/>
      </w:pPr>
      <w:r w:rsidRPr="00A83532">
        <w:t xml:space="preserve">For years prior to the COVID-19 pandemic, New Jersey demonstrated consistent and significant improvement in </w:t>
      </w:r>
      <w:r w:rsidR="00F20101" w:rsidRPr="00A83532">
        <w:t>all</w:t>
      </w:r>
      <w:r w:rsidRPr="00A83532">
        <w:t xml:space="preserve"> the Measurable Skill Gains (MSG)/Educational Functioning Level (EFL) gain areas. For PY 2017 and PY 2018 New Jersey met </w:t>
      </w:r>
      <w:r w:rsidRPr="00A83532">
        <w:rPr>
          <w:i/>
        </w:rPr>
        <w:t>all</w:t>
      </w:r>
      <w:r w:rsidRPr="00A83532">
        <w:t xml:space="preserve"> of its performance targets and were on track to meet their performance goals for PY 2019 when COVID-19 shocked all of New Jersey but especially our adult education programs. There is great improvement from PY 2019 to PY 2020 especially in regard to E</w:t>
      </w:r>
      <w:r w:rsidR="00705F65">
        <w:t xml:space="preserve">nglish </w:t>
      </w:r>
      <w:r w:rsidRPr="00A83532">
        <w:t>L</w:t>
      </w:r>
      <w:r w:rsidR="00705F65">
        <w:t xml:space="preserve">anguage </w:t>
      </w:r>
      <w:r w:rsidRPr="00A83532">
        <w:t>L</w:t>
      </w:r>
      <w:r w:rsidR="00705F65">
        <w:t>earners (ELLs)</w:t>
      </w:r>
      <w:r w:rsidRPr="00A83532">
        <w:t xml:space="preserve"> but with the continued pandemic there remained challenges and uncertainty.</w:t>
      </w:r>
    </w:p>
    <w:p w14:paraId="0BD81548" w14:textId="77777777" w:rsidR="00A83532" w:rsidRPr="00A83532" w:rsidRDefault="00A83532" w:rsidP="00A83532"/>
    <w:p w14:paraId="7BB51530" w14:textId="77777777" w:rsidR="00A83532" w:rsidRPr="00A83532" w:rsidRDefault="00A83532" w:rsidP="00852A13">
      <w:pPr>
        <w:ind w:firstLine="720"/>
        <w:outlineLvl w:val="0"/>
      </w:pPr>
      <w:r w:rsidRPr="00A83532">
        <w:lastRenderedPageBreak/>
        <w:t>During PY 2020, educational services and instruction to adults were provided through a variety of program offerings including:  ABE/ASE, ELA, volunteer literacy programs, adult high school programs, H</w:t>
      </w:r>
      <w:r w:rsidR="00705F65">
        <w:t xml:space="preserve">igh </w:t>
      </w:r>
      <w:r w:rsidRPr="00A83532">
        <w:t>S</w:t>
      </w:r>
      <w:r w:rsidR="00705F65">
        <w:t xml:space="preserve">chool </w:t>
      </w:r>
      <w:r w:rsidRPr="00A83532">
        <w:t>E</w:t>
      </w:r>
      <w:r w:rsidR="00705F65">
        <w:t>quivalency (HSE)</w:t>
      </w:r>
      <w:r w:rsidRPr="00A83532">
        <w:t xml:space="preserve"> test preparation, and programs at state and local correctional facilities. Despite the pandemic, agencies continued providing adult education services consistently through the program year. The provision of supportive services and information outside of the direct realm of adult education became increasingly necessary and agency staff did a great job of supporting and helping participants in so many different ways. </w:t>
      </w:r>
    </w:p>
    <w:p w14:paraId="6CDD15D8" w14:textId="77777777" w:rsidR="00A83532" w:rsidRPr="00A83532" w:rsidRDefault="00A83532" w:rsidP="00852A13">
      <w:pPr>
        <w:ind w:firstLine="720"/>
      </w:pPr>
      <w:r w:rsidRPr="00A83532">
        <w:t>The ABE/ELA and Integrated English Literacy and Civics Education (IELCE) program services were delivered through 17 consortia and lead agencies with multiple delivery sites throughout the counties coordinated by the individual consortium, community/technical colleges or public and private non-profit agencies and New Jersey State correctional institutions.  Together, 81 agencies participated in delivering services to 11,709 participants in PY 2020.</w:t>
      </w:r>
    </w:p>
    <w:p w14:paraId="109E5E69" w14:textId="77777777" w:rsidR="00A83532" w:rsidRPr="00A83532" w:rsidRDefault="00A83532" w:rsidP="00852A13">
      <w:pPr>
        <w:ind w:firstLine="720"/>
        <w:outlineLvl w:val="0"/>
      </w:pPr>
      <w:r w:rsidRPr="00A83532">
        <w:t>Chart 2 provides a breakdown of participants by educational functioning level for PY 2019 and PY 2020 demonstrating the enrollment difference by levels between the years. In PY 2020, New Jersey’s WIOA Title II agencies served 11,709 adult participants. In PY 2019 they served 14,947 adult participants</w:t>
      </w:r>
      <w:r w:rsidRPr="00A83532">
        <w:rPr>
          <w:i/>
        </w:rPr>
        <w:t xml:space="preserve">. </w:t>
      </w:r>
      <w:r w:rsidRPr="00A83532">
        <w:t xml:space="preserve">There was a decrease of 3,238 between last year and this year. This was the direct result of the COVID-19 pandemic. That decrease is similar to the one NJ experienced from PY 2018 to PY 2019 when the pandemic began with a decrease of 3,492. </w:t>
      </w:r>
    </w:p>
    <w:p w14:paraId="48EFAC91" w14:textId="77777777" w:rsidR="00A83532" w:rsidRPr="00A83532" w:rsidRDefault="00A83532" w:rsidP="00852A13">
      <w:pPr>
        <w:ind w:firstLine="720"/>
        <w:outlineLvl w:val="0"/>
      </w:pPr>
      <w:r w:rsidRPr="00A83532">
        <w:t>The populations served for PY 2020 included 4,447 ABE participants (3,691 ABE Levels 1 - 4 participants and 756 ABE Levels 5 and 6) and 7,262 ELA participants. For PY 2019 there was a decrease from PY 2018 in ABE/ASE enrollment of 2,592 and of ESL enrollment of 900. From PY 2019 to PY 2020 the decrease for ABE/ASE was 510 (compared to 2,592 the year before) and 2,728 (compared to 900 the year before). Agencies reported that many students had a very difficult time continuing their learning because they were lacking technology, including equipment, internet/reliable internet, and/or basic computer skills. Despite the challenges, agencies reported that the participants they were able to enroll and that participated were eager and happy to do so, especially due to their isolation. The classes, even though virtual brought many of them some normality.</w:t>
      </w:r>
    </w:p>
    <w:p w14:paraId="2DBC23D9" w14:textId="77777777" w:rsidR="00A83532" w:rsidRPr="00A83532" w:rsidRDefault="00A83532" w:rsidP="00A83532">
      <w:pPr>
        <w:outlineLvl w:val="0"/>
        <w:rPr>
          <w:b/>
        </w:rPr>
      </w:pPr>
    </w:p>
    <w:p w14:paraId="25B80843" w14:textId="2ABA7139" w:rsidR="00A83532" w:rsidRPr="00A83532" w:rsidRDefault="00A83532" w:rsidP="00A83532">
      <w:pPr>
        <w:outlineLvl w:val="0"/>
        <w:rPr>
          <w:b/>
        </w:rPr>
      </w:pPr>
      <w:r w:rsidRPr="00A83532">
        <w:rPr>
          <w:b/>
        </w:rPr>
        <w:t>Chart 2:  New Jersey Adult Education Enrolled Participants</w:t>
      </w:r>
    </w:p>
    <w:p w14:paraId="2021B04F" w14:textId="77777777" w:rsidR="00A83532" w:rsidRPr="00A83532" w:rsidRDefault="00A83532" w:rsidP="00A83532">
      <w:pPr>
        <w:outlineLvl w:val="0"/>
        <w:rPr>
          <w:b/>
        </w:rPr>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2434"/>
        <w:gridCol w:w="2434"/>
        <w:gridCol w:w="2432"/>
      </w:tblGrid>
      <w:tr w:rsidR="00A83532" w:rsidRPr="00A83532" w14:paraId="49534D14" w14:textId="77777777" w:rsidTr="00C25CF4">
        <w:trPr>
          <w:jc w:val="center"/>
        </w:trPr>
        <w:tc>
          <w:tcPr>
            <w:tcW w:w="1512" w:type="pct"/>
            <w:tcBorders>
              <w:top w:val="single" w:sz="4" w:space="0" w:color="auto"/>
              <w:left w:val="single" w:sz="4" w:space="0" w:color="auto"/>
              <w:bottom w:val="single" w:sz="4" w:space="0" w:color="auto"/>
              <w:right w:val="single" w:sz="4" w:space="0" w:color="auto"/>
            </w:tcBorders>
            <w:vAlign w:val="center"/>
            <w:hideMark/>
          </w:tcPr>
          <w:p w14:paraId="4775827E" w14:textId="77777777" w:rsidR="00A83532" w:rsidRPr="00A83532" w:rsidRDefault="00A83532" w:rsidP="00A83532">
            <w:pPr>
              <w:spacing w:line="256" w:lineRule="auto"/>
              <w:rPr>
                <w:b/>
              </w:rPr>
            </w:pPr>
            <w:r w:rsidRPr="00A83532">
              <w:rPr>
                <w:b/>
              </w:rPr>
              <w:t>Educational Functioning Level</w:t>
            </w:r>
          </w:p>
        </w:tc>
        <w:tc>
          <w:tcPr>
            <w:tcW w:w="1163" w:type="pct"/>
            <w:tcBorders>
              <w:top w:val="single" w:sz="4" w:space="0" w:color="auto"/>
              <w:left w:val="single" w:sz="4" w:space="0" w:color="auto"/>
              <w:bottom w:val="single" w:sz="4" w:space="0" w:color="auto"/>
              <w:right w:val="single" w:sz="4" w:space="0" w:color="auto"/>
            </w:tcBorders>
            <w:vAlign w:val="center"/>
            <w:hideMark/>
          </w:tcPr>
          <w:p w14:paraId="021BF3AB" w14:textId="77777777" w:rsidR="00A83532" w:rsidRPr="00A83532" w:rsidRDefault="00A83532" w:rsidP="00A83532">
            <w:pPr>
              <w:spacing w:line="256" w:lineRule="auto"/>
              <w:rPr>
                <w:b/>
              </w:rPr>
            </w:pPr>
            <w:r w:rsidRPr="00A83532">
              <w:rPr>
                <w:b/>
              </w:rPr>
              <w:t>PY 2019</w:t>
            </w:r>
          </w:p>
          <w:p w14:paraId="055F9D13" w14:textId="77777777" w:rsidR="00A83532" w:rsidRPr="00A83532" w:rsidRDefault="00A83532" w:rsidP="00A83532">
            <w:pPr>
              <w:spacing w:line="256" w:lineRule="auto"/>
              <w:rPr>
                <w:b/>
              </w:rPr>
            </w:pPr>
            <w:r w:rsidRPr="00A83532">
              <w:rPr>
                <w:b/>
              </w:rPr>
              <w:t>Total Enrollment</w:t>
            </w:r>
          </w:p>
        </w:tc>
        <w:tc>
          <w:tcPr>
            <w:tcW w:w="1163" w:type="pct"/>
            <w:tcBorders>
              <w:top w:val="single" w:sz="4" w:space="0" w:color="auto"/>
              <w:left w:val="single" w:sz="4" w:space="0" w:color="auto"/>
              <w:bottom w:val="single" w:sz="4" w:space="0" w:color="auto"/>
              <w:right w:val="single" w:sz="4" w:space="0" w:color="auto"/>
            </w:tcBorders>
            <w:vAlign w:val="center"/>
            <w:hideMark/>
          </w:tcPr>
          <w:p w14:paraId="40198CFD" w14:textId="77777777" w:rsidR="00A83532" w:rsidRPr="00A83532" w:rsidRDefault="00A83532" w:rsidP="00A83532">
            <w:pPr>
              <w:spacing w:line="256" w:lineRule="auto"/>
              <w:rPr>
                <w:b/>
              </w:rPr>
            </w:pPr>
            <w:r w:rsidRPr="00A83532">
              <w:rPr>
                <w:b/>
              </w:rPr>
              <w:t>PY 2020</w:t>
            </w:r>
          </w:p>
          <w:p w14:paraId="2F42A164" w14:textId="77777777" w:rsidR="00A83532" w:rsidRPr="00A83532" w:rsidRDefault="00A83532" w:rsidP="00A83532">
            <w:pPr>
              <w:spacing w:line="256" w:lineRule="auto"/>
              <w:rPr>
                <w:b/>
              </w:rPr>
            </w:pPr>
            <w:r w:rsidRPr="00A83532">
              <w:rPr>
                <w:b/>
              </w:rPr>
              <w:t>Total Enrollment</w:t>
            </w:r>
          </w:p>
        </w:tc>
        <w:tc>
          <w:tcPr>
            <w:tcW w:w="1163" w:type="pct"/>
            <w:tcBorders>
              <w:top w:val="single" w:sz="4" w:space="0" w:color="auto"/>
              <w:left w:val="single" w:sz="4" w:space="0" w:color="auto"/>
              <w:bottom w:val="single" w:sz="4" w:space="0" w:color="auto"/>
              <w:right w:val="single" w:sz="4" w:space="0" w:color="auto"/>
            </w:tcBorders>
          </w:tcPr>
          <w:p w14:paraId="2A363B91" w14:textId="77777777" w:rsidR="00A83532" w:rsidRPr="00A83532" w:rsidRDefault="00A83532" w:rsidP="00A83532">
            <w:pPr>
              <w:spacing w:line="256" w:lineRule="auto"/>
              <w:rPr>
                <w:b/>
              </w:rPr>
            </w:pPr>
            <w:r w:rsidRPr="00A83532">
              <w:rPr>
                <w:b/>
              </w:rPr>
              <w:t xml:space="preserve">Enrollment Difference between </w:t>
            </w:r>
          </w:p>
          <w:p w14:paraId="7D97F307" w14:textId="77777777" w:rsidR="00A83532" w:rsidRPr="00A83532" w:rsidRDefault="00A83532" w:rsidP="00A83532">
            <w:pPr>
              <w:spacing w:line="256" w:lineRule="auto"/>
              <w:rPr>
                <w:b/>
              </w:rPr>
            </w:pPr>
            <w:r w:rsidRPr="00A83532">
              <w:rPr>
                <w:b/>
              </w:rPr>
              <w:t>PY19 and PY20</w:t>
            </w:r>
          </w:p>
        </w:tc>
      </w:tr>
      <w:tr w:rsidR="00A83532" w:rsidRPr="00A83532" w14:paraId="3D872CE5" w14:textId="77777777" w:rsidTr="00C25CF4">
        <w:trPr>
          <w:jc w:val="center"/>
        </w:trPr>
        <w:tc>
          <w:tcPr>
            <w:tcW w:w="1512" w:type="pct"/>
            <w:tcBorders>
              <w:top w:val="single" w:sz="4" w:space="0" w:color="auto"/>
              <w:left w:val="single" w:sz="4" w:space="0" w:color="auto"/>
              <w:bottom w:val="single" w:sz="4" w:space="0" w:color="auto"/>
              <w:right w:val="single" w:sz="4" w:space="0" w:color="auto"/>
            </w:tcBorders>
            <w:vAlign w:val="bottom"/>
            <w:hideMark/>
          </w:tcPr>
          <w:p w14:paraId="1BC0C3B9" w14:textId="77777777" w:rsidR="00A83532" w:rsidRPr="00A83532" w:rsidRDefault="00A83532" w:rsidP="00A83532">
            <w:pPr>
              <w:spacing w:line="256" w:lineRule="auto"/>
            </w:pPr>
            <w:r w:rsidRPr="00A83532">
              <w:t>ABE Level 1</w:t>
            </w:r>
          </w:p>
        </w:tc>
        <w:tc>
          <w:tcPr>
            <w:tcW w:w="1163" w:type="pct"/>
            <w:tcBorders>
              <w:top w:val="single" w:sz="4" w:space="0" w:color="auto"/>
              <w:left w:val="single" w:sz="4" w:space="0" w:color="auto"/>
              <w:bottom w:val="single" w:sz="4" w:space="0" w:color="auto"/>
              <w:right w:val="single" w:sz="4" w:space="0" w:color="auto"/>
            </w:tcBorders>
            <w:vAlign w:val="bottom"/>
            <w:hideMark/>
          </w:tcPr>
          <w:p w14:paraId="4D21404F" w14:textId="77777777" w:rsidR="00A83532" w:rsidRPr="00A83532" w:rsidRDefault="00A83532" w:rsidP="00A83532">
            <w:pPr>
              <w:spacing w:line="256" w:lineRule="auto"/>
            </w:pPr>
            <w:r w:rsidRPr="00A83532">
              <w:t>519</w:t>
            </w:r>
          </w:p>
        </w:tc>
        <w:tc>
          <w:tcPr>
            <w:tcW w:w="1163" w:type="pct"/>
            <w:tcBorders>
              <w:top w:val="single" w:sz="4" w:space="0" w:color="auto"/>
              <w:left w:val="single" w:sz="4" w:space="0" w:color="auto"/>
              <w:bottom w:val="single" w:sz="4" w:space="0" w:color="auto"/>
              <w:right w:val="single" w:sz="4" w:space="0" w:color="auto"/>
            </w:tcBorders>
            <w:vAlign w:val="bottom"/>
            <w:hideMark/>
          </w:tcPr>
          <w:p w14:paraId="0FAD0812" w14:textId="77777777" w:rsidR="00A83532" w:rsidRPr="00A83532" w:rsidRDefault="00A83532" w:rsidP="00A83532">
            <w:pPr>
              <w:spacing w:line="256" w:lineRule="auto"/>
            </w:pPr>
            <w:r w:rsidRPr="00A83532">
              <w:t>581</w:t>
            </w:r>
          </w:p>
        </w:tc>
        <w:tc>
          <w:tcPr>
            <w:tcW w:w="1163" w:type="pct"/>
            <w:tcBorders>
              <w:top w:val="single" w:sz="4" w:space="0" w:color="auto"/>
              <w:left w:val="single" w:sz="4" w:space="0" w:color="auto"/>
              <w:bottom w:val="single" w:sz="4" w:space="0" w:color="auto"/>
              <w:right w:val="single" w:sz="4" w:space="0" w:color="auto"/>
            </w:tcBorders>
          </w:tcPr>
          <w:p w14:paraId="7C1B4731" w14:textId="77777777" w:rsidR="00A83532" w:rsidRPr="00A83532" w:rsidRDefault="00A83532" w:rsidP="00A83532">
            <w:pPr>
              <w:spacing w:line="256" w:lineRule="auto"/>
            </w:pPr>
            <w:r w:rsidRPr="00A83532">
              <w:t>62 more students</w:t>
            </w:r>
          </w:p>
        </w:tc>
      </w:tr>
      <w:tr w:rsidR="00A83532" w:rsidRPr="00A83532" w14:paraId="78356FF2" w14:textId="77777777" w:rsidTr="00C25CF4">
        <w:trPr>
          <w:jc w:val="center"/>
        </w:trPr>
        <w:tc>
          <w:tcPr>
            <w:tcW w:w="1512" w:type="pct"/>
            <w:tcBorders>
              <w:top w:val="single" w:sz="4" w:space="0" w:color="auto"/>
              <w:left w:val="single" w:sz="4" w:space="0" w:color="auto"/>
              <w:bottom w:val="single" w:sz="4" w:space="0" w:color="auto"/>
              <w:right w:val="single" w:sz="4" w:space="0" w:color="auto"/>
            </w:tcBorders>
            <w:vAlign w:val="bottom"/>
            <w:hideMark/>
          </w:tcPr>
          <w:p w14:paraId="05D21E0B" w14:textId="77777777" w:rsidR="00A83532" w:rsidRPr="00A83532" w:rsidRDefault="00A83532" w:rsidP="00A83532">
            <w:pPr>
              <w:spacing w:line="256" w:lineRule="auto"/>
            </w:pPr>
            <w:r w:rsidRPr="00A83532">
              <w:t>ABE Level 2</w:t>
            </w:r>
          </w:p>
        </w:tc>
        <w:tc>
          <w:tcPr>
            <w:tcW w:w="1163" w:type="pct"/>
            <w:tcBorders>
              <w:top w:val="single" w:sz="4" w:space="0" w:color="auto"/>
              <w:left w:val="single" w:sz="4" w:space="0" w:color="auto"/>
              <w:bottom w:val="single" w:sz="4" w:space="0" w:color="auto"/>
              <w:right w:val="single" w:sz="4" w:space="0" w:color="auto"/>
            </w:tcBorders>
            <w:vAlign w:val="bottom"/>
            <w:hideMark/>
          </w:tcPr>
          <w:p w14:paraId="68D73F18" w14:textId="77777777" w:rsidR="00A83532" w:rsidRPr="00A83532" w:rsidRDefault="00A83532" w:rsidP="00A83532">
            <w:pPr>
              <w:spacing w:line="256" w:lineRule="auto"/>
            </w:pPr>
            <w:r w:rsidRPr="00A83532">
              <w:t>798</w:t>
            </w:r>
          </w:p>
        </w:tc>
        <w:tc>
          <w:tcPr>
            <w:tcW w:w="1163" w:type="pct"/>
            <w:tcBorders>
              <w:top w:val="single" w:sz="4" w:space="0" w:color="auto"/>
              <w:left w:val="single" w:sz="4" w:space="0" w:color="auto"/>
              <w:bottom w:val="single" w:sz="4" w:space="0" w:color="auto"/>
              <w:right w:val="single" w:sz="4" w:space="0" w:color="auto"/>
            </w:tcBorders>
            <w:vAlign w:val="bottom"/>
            <w:hideMark/>
          </w:tcPr>
          <w:p w14:paraId="249C7747" w14:textId="77777777" w:rsidR="00A83532" w:rsidRPr="00A83532" w:rsidRDefault="00A83532" w:rsidP="00A83532">
            <w:pPr>
              <w:spacing w:line="256" w:lineRule="auto"/>
            </w:pPr>
            <w:r w:rsidRPr="00A83532">
              <w:t>713</w:t>
            </w:r>
          </w:p>
        </w:tc>
        <w:tc>
          <w:tcPr>
            <w:tcW w:w="1163" w:type="pct"/>
            <w:tcBorders>
              <w:top w:val="single" w:sz="4" w:space="0" w:color="auto"/>
              <w:left w:val="single" w:sz="4" w:space="0" w:color="auto"/>
              <w:bottom w:val="single" w:sz="4" w:space="0" w:color="auto"/>
              <w:right w:val="single" w:sz="4" w:space="0" w:color="auto"/>
            </w:tcBorders>
          </w:tcPr>
          <w:p w14:paraId="2198A66D" w14:textId="77777777" w:rsidR="00A83532" w:rsidRPr="00A83532" w:rsidRDefault="00A83532" w:rsidP="00A83532">
            <w:pPr>
              <w:spacing w:line="256" w:lineRule="auto"/>
            </w:pPr>
            <w:r w:rsidRPr="00A83532">
              <w:t>85 less students</w:t>
            </w:r>
          </w:p>
        </w:tc>
      </w:tr>
      <w:tr w:rsidR="00A83532" w:rsidRPr="00A83532" w14:paraId="3FD6AAAE" w14:textId="77777777" w:rsidTr="00C25CF4">
        <w:trPr>
          <w:jc w:val="center"/>
        </w:trPr>
        <w:tc>
          <w:tcPr>
            <w:tcW w:w="1512" w:type="pct"/>
            <w:tcBorders>
              <w:top w:val="single" w:sz="4" w:space="0" w:color="auto"/>
              <w:left w:val="single" w:sz="4" w:space="0" w:color="auto"/>
              <w:bottom w:val="single" w:sz="4" w:space="0" w:color="auto"/>
              <w:right w:val="single" w:sz="4" w:space="0" w:color="auto"/>
            </w:tcBorders>
            <w:vAlign w:val="bottom"/>
            <w:hideMark/>
          </w:tcPr>
          <w:p w14:paraId="35149AA4" w14:textId="77777777" w:rsidR="00A83532" w:rsidRPr="00A83532" w:rsidRDefault="00A83532" w:rsidP="00A83532">
            <w:pPr>
              <w:spacing w:line="256" w:lineRule="auto"/>
            </w:pPr>
            <w:r w:rsidRPr="00A83532">
              <w:t>ABE Level 3</w:t>
            </w:r>
          </w:p>
        </w:tc>
        <w:tc>
          <w:tcPr>
            <w:tcW w:w="1163" w:type="pct"/>
            <w:tcBorders>
              <w:top w:val="single" w:sz="4" w:space="0" w:color="auto"/>
              <w:left w:val="single" w:sz="4" w:space="0" w:color="auto"/>
              <w:bottom w:val="single" w:sz="4" w:space="0" w:color="auto"/>
              <w:right w:val="single" w:sz="4" w:space="0" w:color="auto"/>
            </w:tcBorders>
            <w:vAlign w:val="bottom"/>
            <w:hideMark/>
          </w:tcPr>
          <w:p w14:paraId="727D45A4" w14:textId="77777777" w:rsidR="00A83532" w:rsidRPr="00A83532" w:rsidRDefault="00A83532" w:rsidP="00A83532">
            <w:pPr>
              <w:spacing w:line="256" w:lineRule="auto"/>
            </w:pPr>
            <w:r w:rsidRPr="00A83532">
              <w:t>1,519</w:t>
            </w:r>
          </w:p>
        </w:tc>
        <w:tc>
          <w:tcPr>
            <w:tcW w:w="1163" w:type="pct"/>
            <w:tcBorders>
              <w:top w:val="single" w:sz="4" w:space="0" w:color="auto"/>
              <w:left w:val="single" w:sz="4" w:space="0" w:color="auto"/>
              <w:bottom w:val="single" w:sz="4" w:space="0" w:color="auto"/>
              <w:right w:val="single" w:sz="4" w:space="0" w:color="auto"/>
            </w:tcBorders>
            <w:vAlign w:val="bottom"/>
            <w:hideMark/>
          </w:tcPr>
          <w:p w14:paraId="4AE58A08" w14:textId="77777777" w:rsidR="00A83532" w:rsidRPr="00A83532" w:rsidRDefault="00A83532" w:rsidP="00A83532">
            <w:pPr>
              <w:spacing w:line="256" w:lineRule="auto"/>
            </w:pPr>
            <w:r w:rsidRPr="00A83532">
              <w:t>1,121</w:t>
            </w:r>
          </w:p>
        </w:tc>
        <w:tc>
          <w:tcPr>
            <w:tcW w:w="1163" w:type="pct"/>
            <w:tcBorders>
              <w:top w:val="single" w:sz="4" w:space="0" w:color="auto"/>
              <w:left w:val="single" w:sz="4" w:space="0" w:color="auto"/>
              <w:bottom w:val="single" w:sz="4" w:space="0" w:color="auto"/>
              <w:right w:val="single" w:sz="4" w:space="0" w:color="auto"/>
            </w:tcBorders>
          </w:tcPr>
          <w:p w14:paraId="62ED2CA5" w14:textId="77777777" w:rsidR="00A83532" w:rsidRPr="00A83532" w:rsidRDefault="00A83532" w:rsidP="00A83532">
            <w:pPr>
              <w:spacing w:line="256" w:lineRule="auto"/>
            </w:pPr>
            <w:r w:rsidRPr="00A83532">
              <w:t>398 less students</w:t>
            </w:r>
          </w:p>
        </w:tc>
      </w:tr>
      <w:tr w:rsidR="00A83532" w:rsidRPr="00A83532" w14:paraId="11EDC494" w14:textId="77777777" w:rsidTr="00C25CF4">
        <w:trPr>
          <w:jc w:val="center"/>
        </w:trPr>
        <w:tc>
          <w:tcPr>
            <w:tcW w:w="1512" w:type="pct"/>
            <w:tcBorders>
              <w:top w:val="single" w:sz="4" w:space="0" w:color="auto"/>
              <w:left w:val="single" w:sz="4" w:space="0" w:color="auto"/>
              <w:bottom w:val="single" w:sz="4" w:space="0" w:color="auto"/>
              <w:right w:val="single" w:sz="4" w:space="0" w:color="auto"/>
            </w:tcBorders>
            <w:vAlign w:val="bottom"/>
            <w:hideMark/>
          </w:tcPr>
          <w:p w14:paraId="295EAEE7" w14:textId="77777777" w:rsidR="00A83532" w:rsidRPr="00A83532" w:rsidRDefault="00A83532" w:rsidP="00A83532">
            <w:pPr>
              <w:spacing w:line="256" w:lineRule="auto"/>
            </w:pPr>
            <w:r w:rsidRPr="00A83532">
              <w:t>ABE Level 4</w:t>
            </w:r>
          </w:p>
        </w:tc>
        <w:tc>
          <w:tcPr>
            <w:tcW w:w="1163" w:type="pct"/>
            <w:tcBorders>
              <w:top w:val="single" w:sz="4" w:space="0" w:color="auto"/>
              <w:left w:val="single" w:sz="4" w:space="0" w:color="auto"/>
              <w:bottom w:val="single" w:sz="4" w:space="0" w:color="auto"/>
              <w:right w:val="single" w:sz="4" w:space="0" w:color="auto"/>
            </w:tcBorders>
            <w:vAlign w:val="bottom"/>
            <w:hideMark/>
          </w:tcPr>
          <w:p w14:paraId="306897A8" w14:textId="77777777" w:rsidR="00A83532" w:rsidRPr="00A83532" w:rsidRDefault="00A83532" w:rsidP="00A83532">
            <w:pPr>
              <w:spacing w:line="256" w:lineRule="auto"/>
            </w:pPr>
            <w:r w:rsidRPr="00A83532">
              <w:t>1,397</w:t>
            </w:r>
          </w:p>
        </w:tc>
        <w:tc>
          <w:tcPr>
            <w:tcW w:w="1163" w:type="pct"/>
            <w:tcBorders>
              <w:top w:val="single" w:sz="4" w:space="0" w:color="auto"/>
              <w:left w:val="single" w:sz="4" w:space="0" w:color="auto"/>
              <w:bottom w:val="single" w:sz="4" w:space="0" w:color="auto"/>
              <w:right w:val="single" w:sz="4" w:space="0" w:color="auto"/>
            </w:tcBorders>
            <w:vAlign w:val="bottom"/>
            <w:hideMark/>
          </w:tcPr>
          <w:p w14:paraId="378EC34D" w14:textId="77777777" w:rsidR="00A83532" w:rsidRPr="00A83532" w:rsidRDefault="00A83532" w:rsidP="00A83532">
            <w:pPr>
              <w:spacing w:line="256" w:lineRule="auto"/>
            </w:pPr>
            <w:r w:rsidRPr="00A83532">
              <w:t>1,276</w:t>
            </w:r>
          </w:p>
        </w:tc>
        <w:tc>
          <w:tcPr>
            <w:tcW w:w="1163" w:type="pct"/>
            <w:tcBorders>
              <w:top w:val="single" w:sz="4" w:space="0" w:color="auto"/>
              <w:left w:val="single" w:sz="4" w:space="0" w:color="auto"/>
              <w:bottom w:val="single" w:sz="4" w:space="0" w:color="auto"/>
              <w:right w:val="single" w:sz="4" w:space="0" w:color="auto"/>
            </w:tcBorders>
          </w:tcPr>
          <w:p w14:paraId="7AE72E72" w14:textId="77777777" w:rsidR="00A83532" w:rsidRPr="00A83532" w:rsidRDefault="00A83532" w:rsidP="00A83532">
            <w:pPr>
              <w:spacing w:line="256" w:lineRule="auto"/>
            </w:pPr>
            <w:r w:rsidRPr="00A83532">
              <w:t>416 less students</w:t>
            </w:r>
          </w:p>
        </w:tc>
      </w:tr>
      <w:tr w:rsidR="00A83532" w:rsidRPr="00A83532" w14:paraId="0C84A451" w14:textId="77777777" w:rsidTr="00C25CF4">
        <w:trPr>
          <w:jc w:val="center"/>
        </w:trPr>
        <w:tc>
          <w:tcPr>
            <w:tcW w:w="1512" w:type="pct"/>
            <w:tcBorders>
              <w:top w:val="single" w:sz="4" w:space="0" w:color="auto"/>
              <w:left w:val="single" w:sz="4" w:space="0" w:color="auto"/>
              <w:bottom w:val="single" w:sz="4" w:space="0" w:color="auto"/>
              <w:right w:val="single" w:sz="4" w:space="0" w:color="auto"/>
            </w:tcBorders>
            <w:vAlign w:val="bottom"/>
            <w:hideMark/>
          </w:tcPr>
          <w:p w14:paraId="699B0A4D" w14:textId="77777777" w:rsidR="00A83532" w:rsidRPr="00A83532" w:rsidRDefault="00A83532" w:rsidP="00A83532">
            <w:pPr>
              <w:spacing w:line="256" w:lineRule="auto"/>
            </w:pPr>
            <w:r w:rsidRPr="00A83532">
              <w:t>ABE Level 5</w:t>
            </w:r>
          </w:p>
        </w:tc>
        <w:tc>
          <w:tcPr>
            <w:tcW w:w="1163" w:type="pct"/>
            <w:tcBorders>
              <w:top w:val="single" w:sz="4" w:space="0" w:color="auto"/>
              <w:left w:val="single" w:sz="4" w:space="0" w:color="auto"/>
              <w:bottom w:val="single" w:sz="4" w:space="0" w:color="auto"/>
              <w:right w:val="single" w:sz="4" w:space="0" w:color="auto"/>
            </w:tcBorders>
            <w:vAlign w:val="bottom"/>
            <w:hideMark/>
          </w:tcPr>
          <w:p w14:paraId="7BE71013" w14:textId="77777777" w:rsidR="00A83532" w:rsidRPr="00A83532" w:rsidRDefault="00A83532" w:rsidP="00A83532">
            <w:pPr>
              <w:spacing w:line="256" w:lineRule="auto"/>
            </w:pPr>
            <w:r w:rsidRPr="00A83532">
              <w:t>477</w:t>
            </w:r>
          </w:p>
        </w:tc>
        <w:tc>
          <w:tcPr>
            <w:tcW w:w="1163" w:type="pct"/>
            <w:tcBorders>
              <w:top w:val="single" w:sz="4" w:space="0" w:color="auto"/>
              <w:left w:val="single" w:sz="4" w:space="0" w:color="auto"/>
              <w:bottom w:val="single" w:sz="4" w:space="0" w:color="auto"/>
              <w:right w:val="single" w:sz="4" w:space="0" w:color="auto"/>
            </w:tcBorders>
            <w:vAlign w:val="bottom"/>
            <w:hideMark/>
          </w:tcPr>
          <w:p w14:paraId="6A609C84" w14:textId="77777777" w:rsidR="00A83532" w:rsidRPr="00A83532" w:rsidRDefault="00A83532" w:rsidP="00A83532">
            <w:pPr>
              <w:spacing w:line="256" w:lineRule="auto"/>
            </w:pPr>
            <w:r w:rsidRPr="00A83532">
              <w:t>498</w:t>
            </w:r>
          </w:p>
        </w:tc>
        <w:tc>
          <w:tcPr>
            <w:tcW w:w="1163" w:type="pct"/>
            <w:tcBorders>
              <w:top w:val="single" w:sz="4" w:space="0" w:color="auto"/>
              <w:left w:val="single" w:sz="4" w:space="0" w:color="auto"/>
              <w:bottom w:val="single" w:sz="4" w:space="0" w:color="auto"/>
              <w:right w:val="single" w:sz="4" w:space="0" w:color="auto"/>
            </w:tcBorders>
          </w:tcPr>
          <w:p w14:paraId="17615849" w14:textId="77777777" w:rsidR="00A83532" w:rsidRPr="00A83532" w:rsidRDefault="00A83532" w:rsidP="00A83532">
            <w:pPr>
              <w:spacing w:line="256" w:lineRule="auto"/>
            </w:pPr>
            <w:r w:rsidRPr="00A83532">
              <w:t>121 less students</w:t>
            </w:r>
          </w:p>
        </w:tc>
      </w:tr>
      <w:tr w:rsidR="00A83532" w:rsidRPr="00A83532" w14:paraId="0158A6B3" w14:textId="77777777" w:rsidTr="00C25CF4">
        <w:trPr>
          <w:jc w:val="center"/>
        </w:trPr>
        <w:tc>
          <w:tcPr>
            <w:tcW w:w="1512" w:type="pct"/>
            <w:tcBorders>
              <w:top w:val="single" w:sz="4" w:space="0" w:color="auto"/>
              <w:left w:val="single" w:sz="4" w:space="0" w:color="auto"/>
              <w:bottom w:val="single" w:sz="4" w:space="0" w:color="auto"/>
              <w:right w:val="single" w:sz="4" w:space="0" w:color="auto"/>
            </w:tcBorders>
            <w:vAlign w:val="bottom"/>
            <w:hideMark/>
          </w:tcPr>
          <w:p w14:paraId="57A068F4" w14:textId="77777777" w:rsidR="00A83532" w:rsidRPr="00A83532" w:rsidRDefault="00A83532" w:rsidP="00A83532">
            <w:pPr>
              <w:spacing w:line="256" w:lineRule="auto"/>
            </w:pPr>
            <w:r w:rsidRPr="00A83532">
              <w:t>ABE Level 6</w:t>
            </w:r>
          </w:p>
        </w:tc>
        <w:tc>
          <w:tcPr>
            <w:tcW w:w="1163" w:type="pct"/>
            <w:tcBorders>
              <w:top w:val="single" w:sz="4" w:space="0" w:color="auto"/>
              <w:left w:val="single" w:sz="4" w:space="0" w:color="auto"/>
              <w:bottom w:val="single" w:sz="4" w:space="0" w:color="auto"/>
              <w:right w:val="single" w:sz="4" w:space="0" w:color="auto"/>
            </w:tcBorders>
            <w:vAlign w:val="bottom"/>
            <w:hideMark/>
          </w:tcPr>
          <w:p w14:paraId="3FE734F4" w14:textId="77777777" w:rsidR="00A83532" w:rsidRPr="00A83532" w:rsidRDefault="00A83532" w:rsidP="00A83532">
            <w:pPr>
              <w:spacing w:line="256" w:lineRule="auto"/>
            </w:pPr>
            <w:r w:rsidRPr="00A83532">
              <w:t>247</w:t>
            </w:r>
          </w:p>
        </w:tc>
        <w:tc>
          <w:tcPr>
            <w:tcW w:w="1163" w:type="pct"/>
            <w:tcBorders>
              <w:top w:val="single" w:sz="4" w:space="0" w:color="auto"/>
              <w:left w:val="single" w:sz="4" w:space="0" w:color="auto"/>
              <w:bottom w:val="single" w:sz="4" w:space="0" w:color="auto"/>
              <w:right w:val="single" w:sz="4" w:space="0" w:color="auto"/>
            </w:tcBorders>
            <w:vAlign w:val="bottom"/>
            <w:hideMark/>
          </w:tcPr>
          <w:p w14:paraId="23E74617" w14:textId="77777777" w:rsidR="00A83532" w:rsidRPr="00A83532" w:rsidRDefault="00A83532" w:rsidP="00A83532">
            <w:pPr>
              <w:spacing w:line="256" w:lineRule="auto"/>
            </w:pPr>
            <w:r w:rsidRPr="00A83532">
              <w:t>258</w:t>
            </w:r>
          </w:p>
        </w:tc>
        <w:tc>
          <w:tcPr>
            <w:tcW w:w="1163" w:type="pct"/>
            <w:tcBorders>
              <w:top w:val="single" w:sz="4" w:space="0" w:color="auto"/>
              <w:left w:val="single" w:sz="4" w:space="0" w:color="auto"/>
              <w:bottom w:val="single" w:sz="4" w:space="0" w:color="auto"/>
              <w:right w:val="single" w:sz="4" w:space="0" w:color="auto"/>
            </w:tcBorders>
          </w:tcPr>
          <w:p w14:paraId="7A78A4D6" w14:textId="77777777" w:rsidR="00A83532" w:rsidRPr="00A83532" w:rsidRDefault="00A83532" w:rsidP="00A83532">
            <w:pPr>
              <w:spacing w:line="256" w:lineRule="auto"/>
            </w:pPr>
            <w:r w:rsidRPr="00A83532">
              <w:t>11 more students</w:t>
            </w:r>
          </w:p>
        </w:tc>
      </w:tr>
      <w:tr w:rsidR="00A83532" w:rsidRPr="00A83532" w14:paraId="357C0BC0" w14:textId="77777777" w:rsidTr="00C25CF4">
        <w:trPr>
          <w:jc w:val="center"/>
        </w:trPr>
        <w:tc>
          <w:tcPr>
            <w:tcW w:w="1512" w:type="pct"/>
            <w:tcBorders>
              <w:top w:val="single" w:sz="4" w:space="0" w:color="auto"/>
              <w:left w:val="single" w:sz="4" w:space="0" w:color="auto"/>
              <w:bottom w:val="single" w:sz="4" w:space="0" w:color="auto"/>
              <w:right w:val="single" w:sz="4" w:space="0" w:color="auto"/>
            </w:tcBorders>
            <w:vAlign w:val="bottom"/>
          </w:tcPr>
          <w:p w14:paraId="40FFC55E" w14:textId="77777777" w:rsidR="00A83532" w:rsidRPr="00A83532" w:rsidRDefault="00A83532" w:rsidP="00A83532">
            <w:pPr>
              <w:spacing w:line="256" w:lineRule="auto"/>
              <w:rPr>
                <w:b/>
              </w:rPr>
            </w:pPr>
            <w:r w:rsidRPr="00A83532">
              <w:rPr>
                <w:b/>
              </w:rPr>
              <w:t xml:space="preserve">Total ABE </w:t>
            </w:r>
          </w:p>
        </w:tc>
        <w:tc>
          <w:tcPr>
            <w:tcW w:w="1163" w:type="pct"/>
            <w:tcBorders>
              <w:top w:val="single" w:sz="4" w:space="0" w:color="auto"/>
              <w:left w:val="single" w:sz="4" w:space="0" w:color="auto"/>
              <w:bottom w:val="single" w:sz="4" w:space="0" w:color="auto"/>
              <w:right w:val="single" w:sz="4" w:space="0" w:color="auto"/>
            </w:tcBorders>
            <w:vAlign w:val="bottom"/>
          </w:tcPr>
          <w:p w14:paraId="2F4384A9" w14:textId="77777777" w:rsidR="00A83532" w:rsidRPr="00A83532" w:rsidRDefault="00A83532" w:rsidP="00A83532">
            <w:pPr>
              <w:spacing w:line="256" w:lineRule="auto"/>
              <w:rPr>
                <w:b/>
              </w:rPr>
            </w:pPr>
            <w:r w:rsidRPr="00A83532">
              <w:rPr>
                <w:b/>
              </w:rPr>
              <w:t>4,957</w:t>
            </w:r>
          </w:p>
        </w:tc>
        <w:tc>
          <w:tcPr>
            <w:tcW w:w="1163" w:type="pct"/>
            <w:tcBorders>
              <w:top w:val="single" w:sz="4" w:space="0" w:color="auto"/>
              <w:left w:val="single" w:sz="4" w:space="0" w:color="auto"/>
              <w:bottom w:val="single" w:sz="4" w:space="0" w:color="auto"/>
              <w:right w:val="single" w:sz="4" w:space="0" w:color="auto"/>
            </w:tcBorders>
            <w:vAlign w:val="bottom"/>
          </w:tcPr>
          <w:p w14:paraId="4C4520B5" w14:textId="77777777" w:rsidR="00A83532" w:rsidRPr="00A83532" w:rsidRDefault="00A83532" w:rsidP="00A83532">
            <w:pPr>
              <w:spacing w:line="256" w:lineRule="auto"/>
              <w:rPr>
                <w:b/>
              </w:rPr>
            </w:pPr>
            <w:r w:rsidRPr="00A83532">
              <w:rPr>
                <w:b/>
              </w:rPr>
              <w:t>4,447</w:t>
            </w:r>
          </w:p>
        </w:tc>
        <w:tc>
          <w:tcPr>
            <w:tcW w:w="1163" w:type="pct"/>
            <w:tcBorders>
              <w:top w:val="single" w:sz="4" w:space="0" w:color="auto"/>
              <w:left w:val="single" w:sz="4" w:space="0" w:color="auto"/>
              <w:bottom w:val="single" w:sz="4" w:space="0" w:color="auto"/>
              <w:right w:val="single" w:sz="4" w:space="0" w:color="auto"/>
            </w:tcBorders>
          </w:tcPr>
          <w:p w14:paraId="1304AD61" w14:textId="77777777" w:rsidR="00A83532" w:rsidRPr="00A83532" w:rsidRDefault="00A83532" w:rsidP="00A83532">
            <w:pPr>
              <w:spacing w:line="256" w:lineRule="auto"/>
              <w:rPr>
                <w:b/>
              </w:rPr>
            </w:pPr>
            <w:r w:rsidRPr="00A83532">
              <w:rPr>
                <w:b/>
              </w:rPr>
              <w:t>510 less students</w:t>
            </w:r>
          </w:p>
        </w:tc>
      </w:tr>
      <w:tr w:rsidR="00A83532" w:rsidRPr="00A83532" w14:paraId="1D7290BD" w14:textId="77777777" w:rsidTr="00C25CF4">
        <w:trPr>
          <w:jc w:val="center"/>
        </w:trPr>
        <w:tc>
          <w:tcPr>
            <w:tcW w:w="1512" w:type="pct"/>
            <w:tcBorders>
              <w:top w:val="single" w:sz="4" w:space="0" w:color="auto"/>
              <w:left w:val="single" w:sz="4" w:space="0" w:color="auto"/>
              <w:bottom w:val="single" w:sz="4" w:space="0" w:color="auto"/>
              <w:right w:val="single" w:sz="4" w:space="0" w:color="auto"/>
            </w:tcBorders>
            <w:vAlign w:val="bottom"/>
            <w:hideMark/>
          </w:tcPr>
          <w:p w14:paraId="72DB905A" w14:textId="77777777" w:rsidR="00A83532" w:rsidRPr="00A83532" w:rsidRDefault="00A83532" w:rsidP="00A83532">
            <w:pPr>
              <w:spacing w:line="256" w:lineRule="auto"/>
            </w:pPr>
            <w:r w:rsidRPr="00A83532">
              <w:t>ESL Level 1</w:t>
            </w:r>
          </w:p>
        </w:tc>
        <w:tc>
          <w:tcPr>
            <w:tcW w:w="1163" w:type="pct"/>
            <w:tcBorders>
              <w:top w:val="single" w:sz="4" w:space="0" w:color="auto"/>
              <w:left w:val="single" w:sz="4" w:space="0" w:color="auto"/>
              <w:bottom w:val="single" w:sz="4" w:space="0" w:color="auto"/>
              <w:right w:val="single" w:sz="4" w:space="0" w:color="auto"/>
            </w:tcBorders>
            <w:vAlign w:val="bottom"/>
            <w:hideMark/>
          </w:tcPr>
          <w:p w14:paraId="6C3DB119" w14:textId="77777777" w:rsidR="00A83532" w:rsidRPr="00A83532" w:rsidRDefault="00A83532" w:rsidP="00A83532">
            <w:pPr>
              <w:spacing w:line="256" w:lineRule="auto"/>
            </w:pPr>
            <w:r w:rsidRPr="00A83532">
              <w:t>3,502</w:t>
            </w:r>
          </w:p>
        </w:tc>
        <w:tc>
          <w:tcPr>
            <w:tcW w:w="1163" w:type="pct"/>
            <w:tcBorders>
              <w:top w:val="single" w:sz="4" w:space="0" w:color="auto"/>
              <w:left w:val="single" w:sz="4" w:space="0" w:color="auto"/>
              <w:bottom w:val="single" w:sz="4" w:space="0" w:color="auto"/>
              <w:right w:val="single" w:sz="4" w:space="0" w:color="auto"/>
            </w:tcBorders>
            <w:vAlign w:val="bottom"/>
            <w:hideMark/>
          </w:tcPr>
          <w:p w14:paraId="15BFF536" w14:textId="77777777" w:rsidR="00A83532" w:rsidRPr="00A83532" w:rsidRDefault="00A83532" w:rsidP="00A83532">
            <w:pPr>
              <w:spacing w:line="256" w:lineRule="auto"/>
            </w:pPr>
            <w:r w:rsidRPr="00A83532">
              <w:t>2,124</w:t>
            </w:r>
          </w:p>
        </w:tc>
        <w:tc>
          <w:tcPr>
            <w:tcW w:w="1163" w:type="pct"/>
            <w:tcBorders>
              <w:top w:val="single" w:sz="4" w:space="0" w:color="auto"/>
              <w:left w:val="single" w:sz="4" w:space="0" w:color="auto"/>
              <w:bottom w:val="single" w:sz="4" w:space="0" w:color="auto"/>
              <w:right w:val="single" w:sz="4" w:space="0" w:color="auto"/>
            </w:tcBorders>
          </w:tcPr>
          <w:p w14:paraId="002EC61A" w14:textId="77777777" w:rsidR="00A83532" w:rsidRPr="00A83532" w:rsidRDefault="00A83532" w:rsidP="00A83532">
            <w:pPr>
              <w:spacing w:line="256" w:lineRule="auto"/>
            </w:pPr>
            <w:r w:rsidRPr="00A83532">
              <w:t>1,378 less students</w:t>
            </w:r>
          </w:p>
        </w:tc>
      </w:tr>
      <w:tr w:rsidR="00A83532" w:rsidRPr="00A83532" w14:paraId="6170912A" w14:textId="77777777" w:rsidTr="00C25CF4">
        <w:trPr>
          <w:jc w:val="center"/>
        </w:trPr>
        <w:tc>
          <w:tcPr>
            <w:tcW w:w="1512" w:type="pct"/>
            <w:tcBorders>
              <w:top w:val="single" w:sz="4" w:space="0" w:color="auto"/>
              <w:left w:val="single" w:sz="4" w:space="0" w:color="auto"/>
              <w:bottom w:val="single" w:sz="4" w:space="0" w:color="auto"/>
              <w:right w:val="single" w:sz="4" w:space="0" w:color="auto"/>
            </w:tcBorders>
            <w:vAlign w:val="bottom"/>
            <w:hideMark/>
          </w:tcPr>
          <w:p w14:paraId="4F276C77" w14:textId="77777777" w:rsidR="00A83532" w:rsidRPr="00A83532" w:rsidRDefault="00A83532" w:rsidP="00A83532">
            <w:pPr>
              <w:spacing w:line="256" w:lineRule="auto"/>
            </w:pPr>
            <w:r w:rsidRPr="00A83532">
              <w:t>ESL Level 2</w:t>
            </w:r>
          </w:p>
        </w:tc>
        <w:tc>
          <w:tcPr>
            <w:tcW w:w="1163" w:type="pct"/>
            <w:tcBorders>
              <w:top w:val="single" w:sz="4" w:space="0" w:color="auto"/>
              <w:left w:val="single" w:sz="4" w:space="0" w:color="auto"/>
              <w:bottom w:val="single" w:sz="4" w:space="0" w:color="auto"/>
              <w:right w:val="single" w:sz="4" w:space="0" w:color="auto"/>
            </w:tcBorders>
            <w:vAlign w:val="bottom"/>
            <w:hideMark/>
          </w:tcPr>
          <w:p w14:paraId="3678F63C" w14:textId="77777777" w:rsidR="00A83532" w:rsidRPr="00A83532" w:rsidRDefault="00A83532" w:rsidP="00A83532">
            <w:pPr>
              <w:spacing w:line="256" w:lineRule="auto"/>
            </w:pPr>
            <w:r w:rsidRPr="00A83532">
              <w:t>2,428</w:t>
            </w:r>
          </w:p>
        </w:tc>
        <w:tc>
          <w:tcPr>
            <w:tcW w:w="1163" w:type="pct"/>
            <w:tcBorders>
              <w:top w:val="single" w:sz="4" w:space="0" w:color="auto"/>
              <w:left w:val="single" w:sz="4" w:space="0" w:color="auto"/>
              <w:bottom w:val="single" w:sz="4" w:space="0" w:color="auto"/>
              <w:right w:val="single" w:sz="4" w:space="0" w:color="auto"/>
            </w:tcBorders>
            <w:vAlign w:val="bottom"/>
            <w:hideMark/>
          </w:tcPr>
          <w:p w14:paraId="598B2FF1" w14:textId="77777777" w:rsidR="00A83532" w:rsidRPr="00A83532" w:rsidRDefault="00A83532" w:rsidP="00A83532">
            <w:pPr>
              <w:spacing w:line="256" w:lineRule="auto"/>
            </w:pPr>
            <w:r w:rsidRPr="00A83532">
              <w:t>1,662</w:t>
            </w:r>
          </w:p>
        </w:tc>
        <w:tc>
          <w:tcPr>
            <w:tcW w:w="1163" w:type="pct"/>
            <w:tcBorders>
              <w:top w:val="single" w:sz="4" w:space="0" w:color="auto"/>
              <w:left w:val="single" w:sz="4" w:space="0" w:color="auto"/>
              <w:bottom w:val="single" w:sz="4" w:space="0" w:color="auto"/>
              <w:right w:val="single" w:sz="4" w:space="0" w:color="auto"/>
            </w:tcBorders>
          </w:tcPr>
          <w:p w14:paraId="4BBB09B7" w14:textId="77777777" w:rsidR="00A83532" w:rsidRPr="00A83532" w:rsidRDefault="00A83532" w:rsidP="00A83532">
            <w:pPr>
              <w:spacing w:line="256" w:lineRule="auto"/>
            </w:pPr>
            <w:r w:rsidRPr="00A83532">
              <w:t>766 less students</w:t>
            </w:r>
          </w:p>
        </w:tc>
      </w:tr>
      <w:tr w:rsidR="00A83532" w:rsidRPr="00A83532" w14:paraId="4BC18A9F" w14:textId="77777777" w:rsidTr="00C25CF4">
        <w:trPr>
          <w:jc w:val="center"/>
        </w:trPr>
        <w:tc>
          <w:tcPr>
            <w:tcW w:w="1512" w:type="pct"/>
            <w:tcBorders>
              <w:top w:val="single" w:sz="4" w:space="0" w:color="auto"/>
              <w:left w:val="single" w:sz="4" w:space="0" w:color="auto"/>
              <w:bottom w:val="single" w:sz="4" w:space="0" w:color="auto"/>
              <w:right w:val="single" w:sz="4" w:space="0" w:color="auto"/>
            </w:tcBorders>
            <w:vAlign w:val="bottom"/>
            <w:hideMark/>
          </w:tcPr>
          <w:p w14:paraId="367DD060" w14:textId="77777777" w:rsidR="00A83532" w:rsidRPr="00A83532" w:rsidRDefault="00A83532" w:rsidP="00A83532">
            <w:pPr>
              <w:spacing w:line="256" w:lineRule="auto"/>
            </w:pPr>
            <w:smartTag w:uri="urn:schemas-microsoft-com:office:smarttags" w:element="stockticker">
              <w:r w:rsidRPr="00A83532">
                <w:t>ESL</w:t>
              </w:r>
            </w:smartTag>
            <w:r w:rsidRPr="00A83532">
              <w:t xml:space="preserve"> Level 3</w:t>
            </w:r>
          </w:p>
        </w:tc>
        <w:tc>
          <w:tcPr>
            <w:tcW w:w="1163" w:type="pct"/>
            <w:tcBorders>
              <w:top w:val="single" w:sz="4" w:space="0" w:color="auto"/>
              <w:left w:val="single" w:sz="4" w:space="0" w:color="auto"/>
              <w:bottom w:val="single" w:sz="4" w:space="0" w:color="auto"/>
              <w:right w:val="single" w:sz="4" w:space="0" w:color="auto"/>
            </w:tcBorders>
            <w:vAlign w:val="bottom"/>
            <w:hideMark/>
          </w:tcPr>
          <w:p w14:paraId="13AFBDBB" w14:textId="77777777" w:rsidR="00A83532" w:rsidRPr="00A83532" w:rsidRDefault="00A83532" w:rsidP="00A83532">
            <w:pPr>
              <w:spacing w:line="256" w:lineRule="auto"/>
            </w:pPr>
            <w:r w:rsidRPr="00A83532">
              <w:t>1,652</w:t>
            </w:r>
          </w:p>
        </w:tc>
        <w:tc>
          <w:tcPr>
            <w:tcW w:w="1163" w:type="pct"/>
            <w:tcBorders>
              <w:top w:val="single" w:sz="4" w:space="0" w:color="auto"/>
              <w:left w:val="single" w:sz="4" w:space="0" w:color="auto"/>
              <w:bottom w:val="single" w:sz="4" w:space="0" w:color="auto"/>
              <w:right w:val="single" w:sz="4" w:space="0" w:color="auto"/>
            </w:tcBorders>
            <w:vAlign w:val="bottom"/>
            <w:hideMark/>
          </w:tcPr>
          <w:p w14:paraId="580E7404" w14:textId="77777777" w:rsidR="00A83532" w:rsidRPr="00A83532" w:rsidRDefault="00A83532" w:rsidP="00A83532">
            <w:pPr>
              <w:spacing w:line="256" w:lineRule="auto"/>
            </w:pPr>
            <w:r w:rsidRPr="00A83532">
              <w:t>1,116</w:t>
            </w:r>
          </w:p>
        </w:tc>
        <w:tc>
          <w:tcPr>
            <w:tcW w:w="1163" w:type="pct"/>
            <w:tcBorders>
              <w:top w:val="single" w:sz="4" w:space="0" w:color="auto"/>
              <w:left w:val="single" w:sz="4" w:space="0" w:color="auto"/>
              <w:bottom w:val="single" w:sz="4" w:space="0" w:color="auto"/>
              <w:right w:val="single" w:sz="4" w:space="0" w:color="auto"/>
            </w:tcBorders>
          </w:tcPr>
          <w:p w14:paraId="3D85A96D" w14:textId="77777777" w:rsidR="00A83532" w:rsidRPr="00A83532" w:rsidRDefault="00A83532" w:rsidP="00A83532">
            <w:pPr>
              <w:spacing w:line="256" w:lineRule="auto"/>
            </w:pPr>
            <w:r w:rsidRPr="00A83532">
              <w:t>536 less students</w:t>
            </w:r>
          </w:p>
        </w:tc>
      </w:tr>
      <w:tr w:rsidR="00A83532" w:rsidRPr="00A83532" w14:paraId="706063F2" w14:textId="77777777" w:rsidTr="00C25CF4">
        <w:trPr>
          <w:jc w:val="center"/>
        </w:trPr>
        <w:tc>
          <w:tcPr>
            <w:tcW w:w="1512" w:type="pct"/>
            <w:tcBorders>
              <w:top w:val="single" w:sz="4" w:space="0" w:color="auto"/>
              <w:left w:val="single" w:sz="4" w:space="0" w:color="auto"/>
              <w:bottom w:val="single" w:sz="4" w:space="0" w:color="auto"/>
              <w:right w:val="single" w:sz="4" w:space="0" w:color="auto"/>
            </w:tcBorders>
            <w:vAlign w:val="bottom"/>
            <w:hideMark/>
          </w:tcPr>
          <w:p w14:paraId="5AEFCF4D" w14:textId="77777777" w:rsidR="00A83532" w:rsidRPr="00A83532" w:rsidRDefault="00A83532" w:rsidP="00A83532">
            <w:pPr>
              <w:spacing w:line="256" w:lineRule="auto"/>
            </w:pPr>
            <w:smartTag w:uri="urn:schemas-microsoft-com:office:smarttags" w:element="stockticker">
              <w:r w:rsidRPr="00A83532">
                <w:t>ESL</w:t>
              </w:r>
            </w:smartTag>
            <w:r w:rsidRPr="00A83532">
              <w:t xml:space="preserve"> Level 4 </w:t>
            </w:r>
          </w:p>
        </w:tc>
        <w:tc>
          <w:tcPr>
            <w:tcW w:w="1163" w:type="pct"/>
            <w:tcBorders>
              <w:top w:val="single" w:sz="4" w:space="0" w:color="auto"/>
              <w:left w:val="single" w:sz="4" w:space="0" w:color="auto"/>
              <w:bottom w:val="single" w:sz="4" w:space="0" w:color="auto"/>
              <w:right w:val="single" w:sz="4" w:space="0" w:color="auto"/>
            </w:tcBorders>
            <w:vAlign w:val="bottom"/>
            <w:hideMark/>
          </w:tcPr>
          <w:p w14:paraId="3CF09923" w14:textId="77777777" w:rsidR="00A83532" w:rsidRPr="00A83532" w:rsidRDefault="00A83532" w:rsidP="00A83532">
            <w:pPr>
              <w:spacing w:line="256" w:lineRule="auto"/>
            </w:pPr>
            <w:r w:rsidRPr="00A83532">
              <w:t>1,190</w:t>
            </w:r>
          </w:p>
        </w:tc>
        <w:tc>
          <w:tcPr>
            <w:tcW w:w="1163" w:type="pct"/>
            <w:tcBorders>
              <w:top w:val="single" w:sz="4" w:space="0" w:color="auto"/>
              <w:left w:val="single" w:sz="4" w:space="0" w:color="auto"/>
              <w:bottom w:val="single" w:sz="4" w:space="0" w:color="auto"/>
              <w:right w:val="single" w:sz="4" w:space="0" w:color="auto"/>
            </w:tcBorders>
            <w:vAlign w:val="bottom"/>
            <w:hideMark/>
          </w:tcPr>
          <w:p w14:paraId="752F9739" w14:textId="77777777" w:rsidR="00A83532" w:rsidRPr="00A83532" w:rsidRDefault="00A83532" w:rsidP="00A83532">
            <w:pPr>
              <w:spacing w:line="256" w:lineRule="auto"/>
            </w:pPr>
            <w:r w:rsidRPr="00A83532">
              <w:t>1,025</w:t>
            </w:r>
          </w:p>
        </w:tc>
        <w:tc>
          <w:tcPr>
            <w:tcW w:w="1163" w:type="pct"/>
            <w:tcBorders>
              <w:top w:val="single" w:sz="4" w:space="0" w:color="auto"/>
              <w:left w:val="single" w:sz="4" w:space="0" w:color="auto"/>
              <w:bottom w:val="single" w:sz="4" w:space="0" w:color="auto"/>
              <w:right w:val="single" w:sz="4" w:space="0" w:color="auto"/>
            </w:tcBorders>
          </w:tcPr>
          <w:p w14:paraId="3DC958CC" w14:textId="77777777" w:rsidR="00A83532" w:rsidRPr="00A83532" w:rsidRDefault="00A83532" w:rsidP="00A83532">
            <w:pPr>
              <w:spacing w:line="256" w:lineRule="auto"/>
            </w:pPr>
            <w:r w:rsidRPr="00A83532">
              <w:t>165 less students</w:t>
            </w:r>
          </w:p>
        </w:tc>
      </w:tr>
      <w:tr w:rsidR="00A83532" w:rsidRPr="00A83532" w14:paraId="58C19160" w14:textId="77777777" w:rsidTr="00C25CF4">
        <w:trPr>
          <w:jc w:val="center"/>
        </w:trPr>
        <w:tc>
          <w:tcPr>
            <w:tcW w:w="1512" w:type="pct"/>
            <w:tcBorders>
              <w:top w:val="single" w:sz="4" w:space="0" w:color="auto"/>
              <w:left w:val="single" w:sz="4" w:space="0" w:color="auto"/>
              <w:bottom w:val="single" w:sz="4" w:space="0" w:color="auto"/>
              <w:right w:val="single" w:sz="4" w:space="0" w:color="auto"/>
            </w:tcBorders>
            <w:vAlign w:val="bottom"/>
            <w:hideMark/>
          </w:tcPr>
          <w:p w14:paraId="3CE732F3" w14:textId="77777777" w:rsidR="00A83532" w:rsidRPr="00A83532" w:rsidRDefault="00A83532" w:rsidP="00A83532">
            <w:pPr>
              <w:spacing w:line="256" w:lineRule="auto"/>
            </w:pPr>
            <w:smartTag w:uri="urn:schemas-microsoft-com:office:smarttags" w:element="stockticker">
              <w:r w:rsidRPr="00A83532">
                <w:t>ESL</w:t>
              </w:r>
            </w:smartTag>
            <w:r w:rsidRPr="00A83532">
              <w:t xml:space="preserve"> Level 5 </w:t>
            </w:r>
          </w:p>
        </w:tc>
        <w:tc>
          <w:tcPr>
            <w:tcW w:w="1163" w:type="pct"/>
            <w:tcBorders>
              <w:top w:val="single" w:sz="4" w:space="0" w:color="auto"/>
              <w:left w:val="single" w:sz="4" w:space="0" w:color="auto"/>
              <w:bottom w:val="single" w:sz="4" w:space="0" w:color="auto"/>
              <w:right w:val="single" w:sz="4" w:space="0" w:color="auto"/>
            </w:tcBorders>
            <w:vAlign w:val="bottom"/>
            <w:hideMark/>
          </w:tcPr>
          <w:p w14:paraId="0C9A6DD2" w14:textId="77777777" w:rsidR="00A83532" w:rsidRPr="00A83532" w:rsidRDefault="00A83532" w:rsidP="00A83532">
            <w:pPr>
              <w:spacing w:line="256" w:lineRule="auto"/>
            </w:pPr>
            <w:r w:rsidRPr="00A83532">
              <w:t>851</w:t>
            </w:r>
          </w:p>
        </w:tc>
        <w:tc>
          <w:tcPr>
            <w:tcW w:w="1163" w:type="pct"/>
            <w:tcBorders>
              <w:top w:val="single" w:sz="4" w:space="0" w:color="auto"/>
              <w:left w:val="single" w:sz="4" w:space="0" w:color="auto"/>
              <w:bottom w:val="single" w:sz="4" w:space="0" w:color="auto"/>
              <w:right w:val="single" w:sz="4" w:space="0" w:color="auto"/>
            </w:tcBorders>
            <w:vAlign w:val="bottom"/>
            <w:hideMark/>
          </w:tcPr>
          <w:p w14:paraId="1B73C717" w14:textId="77777777" w:rsidR="00A83532" w:rsidRPr="00A83532" w:rsidRDefault="00A83532" w:rsidP="00A83532">
            <w:pPr>
              <w:spacing w:line="256" w:lineRule="auto"/>
            </w:pPr>
            <w:r w:rsidRPr="00A83532">
              <w:t>921</w:t>
            </w:r>
          </w:p>
        </w:tc>
        <w:tc>
          <w:tcPr>
            <w:tcW w:w="1163" w:type="pct"/>
            <w:tcBorders>
              <w:top w:val="single" w:sz="4" w:space="0" w:color="auto"/>
              <w:left w:val="single" w:sz="4" w:space="0" w:color="auto"/>
              <w:bottom w:val="single" w:sz="4" w:space="0" w:color="auto"/>
              <w:right w:val="single" w:sz="4" w:space="0" w:color="auto"/>
            </w:tcBorders>
          </w:tcPr>
          <w:p w14:paraId="43A980DE" w14:textId="77777777" w:rsidR="00A83532" w:rsidRPr="00A83532" w:rsidRDefault="00A83532" w:rsidP="00A83532">
            <w:pPr>
              <w:spacing w:line="256" w:lineRule="auto"/>
            </w:pPr>
            <w:r w:rsidRPr="00A83532">
              <w:t>70 more students</w:t>
            </w:r>
          </w:p>
        </w:tc>
      </w:tr>
      <w:tr w:rsidR="00A83532" w:rsidRPr="00A83532" w14:paraId="310DBE1A" w14:textId="77777777" w:rsidTr="00C25CF4">
        <w:trPr>
          <w:jc w:val="center"/>
        </w:trPr>
        <w:tc>
          <w:tcPr>
            <w:tcW w:w="1512" w:type="pct"/>
            <w:tcBorders>
              <w:top w:val="single" w:sz="4" w:space="0" w:color="auto"/>
              <w:left w:val="single" w:sz="4" w:space="0" w:color="auto"/>
              <w:bottom w:val="single" w:sz="4" w:space="0" w:color="auto"/>
              <w:right w:val="single" w:sz="4" w:space="0" w:color="auto"/>
            </w:tcBorders>
            <w:vAlign w:val="bottom"/>
            <w:hideMark/>
          </w:tcPr>
          <w:p w14:paraId="14F2E9B8" w14:textId="77777777" w:rsidR="00A83532" w:rsidRPr="00A83532" w:rsidRDefault="00A83532" w:rsidP="00A83532">
            <w:pPr>
              <w:spacing w:line="256" w:lineRule="auto"/>
            </w:pPr>
            <w:r w:rsidRPr="00A83532">
              <w:t>ESL Level 6</w:t>
            </w:r>
          </w:p>
        </w:tc>
        <w:tc>
          <w:tcPr>
            <w:tcW w:w="1163" w:type="pct"/>
            <w:tcBorders>
              <w:top w:val="single" w:sz="4" w:space="0" w:color="auto"/>
              <w:left w:val="single" w:sz="4" w:space="0" w:color="auto"/>
              <w:bottom w:val="single" w:sz="4" w:space="0" w:color="auto"/>
              <w:right w:val="single" w:sz="4" w:space="0" w:color="auto"/>
            </w:tcBorders>
            <w:vAlign w:val="bottom"/>
            <w:hideMark/>
          </w:tcPr>
          <w:p w14:paraId="45FCE327" w14:textId="77777777" w:rsidR="00A83532" w:rsidRPr="00A83532" w:rsidRDefault="00A83532" w:rsidP="00A83532">
            <w:pPr>
              <w:spacing w:line="256" w:lineRule="auto"/>
            </w:pPr>
            <w:r w:rsidRPr="00A83532">
              <w:t>367</w:t>
            </w:r>
          </w:p>
        </w:tc>
        <w:tc>
          <w:tcPr>
            <w:tcW w:w="1163" w:type="pct"/>
            <w:tcBorders>
              <w:top w:val="single" w:sz="4" w:space="0" w:color="auto"/>
              <w:left w:val="single" w:sz="4" w:space="0" w:color="auto"/>
              <w:bottom w:val="single" w:sz="4" w:space="0" w:color="auto"/>
              <w:right w:val="single" w:sz="4" w:space="0" w:color="auto"/>
            </w:tcBorders>
            <w:vAlign w:val="bottom"/>
            <w:hideMark/>
          </w:tcPr>
          <w:p w14:paraId="11A32890" w14:textId="77777777" w:rsidR="00A83532" w:rsidRPr="00A83532" w:rsidRDefault="00A83532" w:rsidP="00A83532">
            <w:pPr>
              <w:spacing w:line="256" w:lineRule="auto"/>
            </w:pPr>
            <w:r w:rsidRPr="00A83532">
              <w:t>414</w:t>
            </w:r>
          </w:p>
        </w:tc>
        <w:tc>
          <w:tcPr>
            <w:tcW w:w="1163" w:type="pct"/>
            <w:tcBorders>
              <w:top w:val="single" w:sz="4" w:space="0" w:color="auto"/>
              <w:left w:val="single" w:sz="4" w:space="0" w:color="auto"/>
              <w:bottom w:val="single" w:sz="4" w:space="0" w:color="auto"/>
              <w:right w:val="single" w:sz="4" w:space="0" w:color="auto"/>
            </w:tcBorders>
          </w:tcPr>
          <w:p w14:paraId="3B57C42D" w14:textId="77777777" w:rsidR="00A83532" w:rsidRPr="00A83532" w:rsidRDefault="00A83532" w:rsidP="00A83532">
            <w:pPr>
              <w:spacing w:line="256" w:lineRule="auto"/>
            </w:pPr>
            <w:r w:rsidRPr="00A83532">
              <w:t>378 more students</w:t>
            </w:r>
          </w:p>
        </w:tc>
      </w:tr>
      <w:tr w:rsidR="00A83532" w:rsidRPr="00A83532" w14:paraId="24E284ED" w14:textId="77777777" w:rsidTr="00C25CF4">
        <w:trPr>
          <w:jc w:val="center"/>
        </w:trPr>
        <w:tc>
          <w:tcPr>
            <w:tcW w:w="1512" w:type="pct"/>
            <w:tcBorders>
              <w:top w:val="single" w:sz="4" w:space="0" w:color="auto"/>
              <w:left w:val="single" w:sz="4" w:space="0" w:color="auto"/>
              <w:bottom w:val="single" w:sz="4" w:space="0" w:color="auto"/>
              <w:right w:val="single" w:sz="4" w:space="0" w:color="auto"/>
            </w:tcBorders>
            <w:vAlign w:val="bottom"/>
          </w:tcPr>
          <w:p w14:paraId="7742B76B" w14:textId="77777777" w:rsidR="00A83532" w:rsidRPr="00A83532" w:rsidRDefault="00A83532" w:rsidP="00A83532">
            <w:pPr>
              <w:spacing w:line="256" w:lineRule="auto"/>
              <w:rPr>
                <w:b/>
              </w:rPr>
            </w:pPr>
            <w:r w:rsidRPr="00A83532">
              <w:rPr>
                <w:b/>
              </w:rPr>
              <w:t>Total ESL</w:t>
            </w:r>
          </w:p>
        </w:tc>
        <w:tc>
          <w:tcPr>
            <w:tcW w:w="1163" w:type="pct"/>
            <w:tcBorders>
              <w:top w:val="single" w:sz="4" w:space="0" w:color="auto"/>
              <w:left w:val="single" w:sz="4" w:space="0" w:color="auto"/>
              <w:bottom w:val="single" w:sz="4" w:space="0" w:color="auto"/>
              <w:right w:val="single" w:sz="4" w:space="0" w:color="auto"/>
            </w:tcBorders>
            <w:vAlign w:val="bottom"/>
          </w:tcPr>
          <w:p w14:paraId="55838B1E" w14:textId="77777777" w:rsidR="00A83532" w:rsidRPr="00A83532" w:rsidRDefault="00A83532" w:rsidP="00A83532">
            <w:pPr>
              <w:spacing w:line="256" w:lineRule="auto"/>
              <w:rPr>
                <w:b/>
              </w:rPr>
            </w:pPr>
            <w:r w:rsidRPr="00A83532">
              <w:rPr>
                <w:b/>
              </w:rPr>
              <w:t>9,990</w:t>
            </w:r>
          </w:p>
        </w:tc>
        <w:tc>
          <w:tcPr>
            <w:tcW w:w="1163" w:type="pct"/>
            <w:tcBorders>
              <w:top w:val="single" w:sz="4" w:space="0" w:color="auto"/>
              <w:left w:val="single" w:sz="4" w:space="0" w:color="auto"/>
              <w:bottom w:val="single" w:sz="4" w:space="0" w:color="auto"/>
              <w:right w:val="single" w:sz="4" w:space="0" w:color="auto"/>
            </w:tcBorders>
            <w:vAlign w:val="bottom"/>
          </w:tcPr>
          <w:p w14:paraId="327CD27E" w14:textId="77777777" w:rsidR="00A83532" w:rsidRPr="00A83532" w:rsidRDefault="00A83532" w:rsidP="00A83532">
            <w:pPr>
              <w:spacing w:line="256" w:lineRule="auto"/>
              <w:rPr>
                <w:b/>
              </w:rPr>
            </w:pPr>
            <w:r w:rsidRPr="00A83532">
              <w:rPr>
                <w:b/>
              </w:rPr>
              <w:t>7,262</w:t>
            </w:r>
          </w:p>
        </w:tc>
        <w:tc>
          <w:tcPr>
            <w:tcW w:w="1163" w:type="pct"/>
            <w:tcBorders>
              <w:top w:val="single" w:sz="4" w:space="0" w:color="auto"/>
              <w:left w:val="single" w:sz="4" w:space="0" w:color="auto"/>
              <w:bottom w:val="single" w:sz="4" w:space="0" w:color="auto"/>
              <w:right w:val="single" w:sz="4" w:space="0" w:color="auto"/>
            </w:tcBorders>
          </w:tcPr>
          <w:p w14:paraId="79A40862" w14:textId="77777777" w:rsidR="00A83532" w:rsidRPr="00A83532" w:rsidRDefault="00A83532" w:rsidP="00A83532">
            <w:pPr>
              <w:spacing w:line="256" w:lineRule="auto"/>
              <w:rPr>
                <w:b/>
              </w:rPr>
            </w:pPr>
            <w:r w:rsidRPr="00A83532">
              <w:rPr>
                <w:b/>
              </w:rPr>
              <w:t>2,728 less students</w:t>
            </w:r>
          </w:p>
        </w:tc>
      </w:tr>
      <w:tr w:rsidR="00A83532" w:rsidRPr="00A83532" w14:paraId="2898C1AA" w14:textId="77777777" w:rsidTr="00C25CF4">
        <w:trPr>
          <w:jc w:val="center"/>
        </w:trPr>
        <w:tc>
          <w:tcPr>
            <w:tcW w:w="1512" w:type="pct"/>
            <w:tcBorders>
              <w:top w:val="single" w:sz="4" w:space="0" w:color="auto"/>
              <w:left w:val="single" w:sz="4" w:space="0" w:color="auto"/>
              <w:bottom w:val="single" w:sz="4" w:space="0" w:color="auto"/>
              <w:right w:val="single" w:sz="4" w:space="0" w:color="auto"/>
            </w:tcBorders>
            <w:vAlign w:val="bottom"/>
            <w:hideMark/>
          </w:tcPr>
          <w:p w14:paraId="21122C2D" w14:textId="77777777" w:rsidR="00A83532" w:rsidRPr="00A83532" w:rsidRDefault="00A83532" w:rsidP="00A83532">
            <w:pPr>
              <w:spacing w:line="256" w:lineRule="auto"/>
              <w:rPr>
                <w:b/>
              </w:rPr>
            </w:pPr>
            <w:r w:rsidRPr="00A83532">
              <w:rPr>
                <w:b/>
              </w:rPr>
              <w:lastRenderedPageBreak/>
              <w:t>Total ABE and ESL</w:t>
            </w:r>
          </w:p>
        </w:tc>
        <w:tc>
          <w:tcPr>
            <w:tcW w:w="1163" w:type="pct"/>
            <w:tcBorders>
              <w:top w:val="single" w:sz="4" w:space="0" w:color="auto"/>
              <w:left w:val="single" w:sz="4" w:space="0" w:color="auto"/>
              <w:bottom w:val="single" w:sz="4" w:space="0" w:color="auto"/>
              <w:right w:val="single" w:sz="4" w:space="0" w:color="auto"/>
            </w:tcBorders>
            <w:vAlign w:val="bottom"/>
            <w:hideMark/>
          </w:tcPr>
          <w:p w14:paraId="5135770A" w14:textId="77777777" w:rsidR="00A83532" w:rsidRPr="00A83532" w:rsidRDefault="00A83532" w:rsidP="00A83532">
            <w:pPr>
              <w:spacing w:line="256" w:lineRule="auto"/>
              <w:rPr>
                <w:b/>
              </w:rPr>
            </w:pPr>
            <w:r w:rsidRPr="00A83532">
              <w:rPr>
                <w:b/>
              </w:rPr>
              <w:t>14,947</w:t>
            </w:r>
          </w:p>
        </w:tc>
        <w:tc>
          <w:tcPr>
            <w:tcW w:w="1163" w:type="pct"/>
            <w:tcBorders>
              <w:top w:val="single" w:sz="4" w:space="0" w:color="auto"/>
              <w:left w:val="single" w:sz="4" w:space="0" w:color="auto"/>
              <w:bottom w:val="single" w:sz="4" w:space="0" w:color="auto"/>
              <w:right w:val="single" w:sz="4" w:space="0" w:color="auto"/>
            </w:tcBorders>
            <w:vAlign w:val="bottom"/>
            <w:hideMark/>
          </w:tcPr>
          <w:p w14:paraId="0B24996C" w14:textId="77777777" w:rsidR="00A83532" w:rsidRPr="00A83532" w:rsidRDefault="00A83532" w:rsidP="00A83532">
            <w:pPr>
              <w:spacing w:line="256" w:lineRule="auto"/>
              <w:rPr>
                <w:b/>
              </w:rPr>
            </w:pPr>
            <w:r w:rsidRPr="00A83532">
              <w:rPr>
                <w:b/>
              </w:rPr>
              <w:t>11,709</w:t>
            </w:r>
          </w:p>
        </w:tc>
        <w:tc>
          <w:tcPr>
            <w:tcW w:w="1163" w:type="pct"/>
            <w:tcBorders>
              <w:top w:val="single" w:sz="4" w:space="0" w:color="auto"/>
              <w:left w:val="single" w:sz="4" w:space="0" w:color="auto"/>
              <w:bottom w:val="single" w:sz="4" w:space="0" w:color="auto"/>
              <w:right w:val="single" w:sz="4" w:space="0" w:color="auto"/>
            </w:tcBorders>
          </w:tcPr>
          <w:p w14:paraId="161E6F19" w14:textId="77777777" w:rsidR="00A83532" w:rsidRPr="00A83532" w:rsidRDefault="00A83532" w:rsidP="00A83532">
            <w:pPr>
              <w:spacing w:line="256" w:lineRule="auto"/>
              <w:rPr>
                <w:b/>
              </w:rPr>
            </w:pPr>
            <w:r w:rsidRPr="00A83532">
              <w:rPr>
                <w:b/>
              </w:rPr>
              <w:t>3,238 less students</w:t>
            </w:r>
          </w:p>
        </w:tc>
      </w:tr>
    </w:tbl>
    <w:p w14:paraId="074A575A" w14:textId="77777777" w:rsidR="00A83532" w:rsidRPr="00A83532" w:rsidRDefault="00A83532" w:rsidP="00A83532"/>
    <w:p w14:paraId="4A05BAD6" w14:textId="77777777" w:rsidR="00A83532" w:rsidRPr="00A83532" w:rsidRDefault="00A83532" w:rsidP="00852A13">
      <w:pPr>
        <w:ind w:firstLine="720"/>
      </w:pPr>
      <w:r w:rsidRPr="00A83532">
        <w:t>New Jersey’s ELA programs are offered at different venues from literacy-based volunteer programs to adult education programs.  The ELA population represented approximately 62% of all the students being served in the WIOA Title II program. This specific population may have limited reading or writing skills in any language and may function minimally or not at all in English.</w:t>
      </w:r>
      <w:r w:rsidRPr="00A83532">
        <w:rPr>
          <w:b/>
        </w:rPr>
        <w:t xml:space="preserve"> </w:t>
      </w:r>
      <w:r w:rsidRPr="00A83532">
        <w:t xml:space="preserve">For the volunteer-based programs, the majority of services are provided through tutor-learner matches that deliver one-on-one or small-group instructional services. The majority of the ELA students served (29%) were assessed at the ESL Level 1 EFL. This information is reflected in chart 3. This population may only understand isolated words or phrases, may have no or minimal reading or writing skills in any language, and functions minimally or not at all in English. </w:t>
      </w:r>
    </w:p>
    <w:p w14:paraId="58DD84D9" w14:textId="77777777" w:rsidR="00A83532" w:rsidRDefault="00A83532" w:rsidP="00A83532">
      <w:pPr>
        <w:outlineLvl w:val="0"/>
        <w:rPr>
          <w:b/>
        </w:rPr>
      </w:pPr>
    </w:p>
    <w:p w14:paraId="054C4743" w14:textId="77777777" w:rsidR="00A83532" w:rsidRPr="00A83532" w:rsidRDefault="00A83532" w:rsidP="00A83532">
      <w:pPr>
        <w:outlineLvl w:val="0"/>
        <w:rPr>
          <w:b/>
        </w:rPr>
      </w:pPr>
      <w:r>
        <w:rPr>
          <w:b/>
        </w:rPr>
        <w:t>C</w:t>
      </w:r>
      <w:r w:rsidRPr="00A83532">
        <w:rPr>
          <w:b/>
        </w:rPr>
        <w:t>hart 3:  New Jersey Adult Basic Education English Language Learners</w:t>
      </w:r>
    </w:p>
    <w:p w14:paraId="5A567B2D" w14:textId="77777777" w:rsidR="00A83532" w:rsidRPr="00A83532" w:rsidRDefault="00A83532" w:rsidP="00A83532">
      <w:pPr>
        <w:outlineLvl w:val="0"/>
        <w:rPr>
          <w:b/>
          <w:bCs/>
          <w:u w:val="single"/>
        </w:rPr>
      </w:pPr>
    </w:p>
    <w:tbl>
      <w:tblPr>
        <w:tblpPr w:leftFromText="180" w:rightFromText="180" w:bottomFromText="160" w:vertAnchor="text" w:horzAnchor="margin" w:tblpY="40"/>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6"/>
        <w:gridCol w:w="2882"/>
        <w:gridCol w:w="3242"/>
      </w:tblGrid>
      <w:tr w:rsidR="00A83532" w:rsidRPr="00A83532" w14:paraId="164CFB2C" w14:textId="77777777" w:rsidTr="00C25CF4">
        <w:tc>
          <w:tcPr>
            <w:tcW w:w="3416"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42C06323" w14:textId="77777777" w:rsidR="00A83532" w:rsidRPr="00A83532" w:rsidRDefault="00A83532" w:rsidP="00A83532">
            <w:pPr>
              <w:spacing w:line="256" w:lineRule="auto"/>
              <w:rPr>
                <w:b/>
              </w:rPr>
            </w:pPr>
            <w:r w:rsidRPr="00A83532">
              <w:rPr>
                <w:b/>
              </w:rPr>
              <w:t>Educational Functioning Level</w:t>
            </w:r>
          </w:p>
        </w:tc>
        <w:tc>
          <w:tcPr>
            <w:tcW w:w="28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A7FDDE" w14:textId="77777777" w:rsidR="00A83532" w:rsidRPr="00A83532" w:rsidRDefault="00A83532" w:rsidP="00A83532">
            <w:pPr>
              <w:spacing w:line="256" w:lineRule="auto"/>
              <w:rPr>
                <w:b/>
              </w:rPr>
            </w:pPr>
            <w:r w:rsidRPr="00A83532">
              <w:rPr>
                <w:b/>
              </w:rPr>
              <w:t>Total Number of ELLs  PY 2020</w:t>
            </w:r>
          </w:p>
        </w:tc>
        <w:tc>
          <w:tcPr>
            <w:tcW w:w="32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CC32AC7" w14:textId="77777777" w:rsidR="00A83532" w:rsidRPr="00A83532" w:rsidRDefault="00A83532" w:rsidP="00A83532">
            <w:pPr>
              <w:spacing w:line="256" w:lineRule="auto"/>
              <w:rPr>
                <w:b/>
              </w:rPr>
            </w:pPr>
            <w:r w:rsidRPr="00A83532">
              <w:rPr>
                <w:b/>
              </w:rPr>
              <w:t>Total Percentage of ELLs  PY 2020</w:t>
            </w:r>
          </w:p>
        </w:tc>
      </w:tr>
      <w:tr w:rsidR="00A83532" w:rsidRPr="00A83532" w14:paraId="52D118F0" w14:textId="77777777" w:rsidTr="00C25CF4">
        <w:tc>
          <w:tcPr>
            <w:tcW w:w="3416" w:type="dxa"/>
            <w:tcBorders>
              <w:top w:val="single" w:sz="4" w:space="0" w:color="auto"/>
              <w:left w:val="single" w:sz="4" w:space="0" w:color="auto"/>
              <w:bottom w:val="single" w:sz="4" w:space="0" w:color="auto"/>
              <w:right w:val="single" w:sz="4" w:space="0" w:color="auto"/>
            </w:tcBorders>
            <w:hideMark/>
          </w:tcPr>
          <w:p w14:paraId="224C8999" w14:textId="77777777" w:rsidR="00A83532" w:rsidRPr="00A83532" w:rsidRDefault="00A83532" w:rsidP="00A83532">
            <w:pPr>
              <w:spacing w:line="256" w:lineRule="auto"/>
            </w:pPr>
            <w:r w:rsidRPr="00A83532">
              <w:t>ESL Level 1</w:t>
            </w:r>
          </w:p>
        </w:tc>
        <w:tc>
          <w:tcPr>
            <w:tcW w:w="2882" w:type="dxa"/>
            <w:tcBorders>
              <w:top w:val="single" w:sz="4" w:space="0" w:color="auto"/>
              <w:left w:val="single" w:sz="4" w:space="0" w:color="auto"/>
              <w:bottom w:val="single" w:sz="4" w:space="0" w:color="auto"/>
              <w:right w:val="single" w:sz="4" w:space="0" w:color="auto"/>
            </w:tcBorders>
            <w:vAlign w:val="bottom"/>
            <w:hideMark/>
          </w:tcPr>
          <w:p w14:paraId="6D47786A" w14:textId="77777777" w:rsidR="00A83532" w:rsidRPr="00A83532" w:rsidRDefault="00A83532" w:rsidP="00A83532">
            <w:pPr>
              <w:spacing w:line="256" w:lineRule="auto"/>
            </w:pPr>
            <w:r w:rsidRPr="00A83532">
              <w:t>2,124</w:t>
            </w:r>
          </w:p>
        </w:tc>
        <w:tc>
          <w:tcPr>
            <w:tcW w:w="3242" w:type="dxa"/>
            <w:tcBorders>
              <w:top w:val="single" w:sz="4" w:space="0" w:color="auto"/>
              <w:left w:val="single" w:sz="4" w:space="0" w:color="auto"/>
              <w:bottom w:val="single" w:sz="4" w:space="0" w:color="auto"/>
              <w:right w:val="single" w:sz="4" w:space="0" w:color="auto"/>
            </w:tcBorders>
            <w:vAlign w:val="bottom"/>
            <w:hideMark/>
          </w:tcPr>
          <w:p w14:paraId="69E35F6F" w14:textId="77777777" w:rsidR="00A83532" w:rsidRPr="00A83532" w:rsidRDefault="00A83532" w:rsidP="00A83532">
            <w:pPr>
              <w:spacing w:line="256" w:lineRule="auto"/>
            </w:pPr>
            <w:r w:rsidRPr="00A83532">
              <w:t>29%</w:t>
            </w:r>
          </w:p>
        </w:tc>
      </w:tr>
      <w:tr w:rsidR="00A83532" w:rsidRPr="00A83532" w14:paraId="25FFECEC" w14:textId="77777777" w:rsidTr="00C25CF4">
        <w:tc>
          <w:tcPr>
            <w:tcW w:w="3416" w:type="dxa"/>
            <w:tcBorders>
              <w:top w:val="single" w:sz="4" w:space="0" w:color="auto"/>
              <w:left w:val="single" w:sz="4" w:space="0" w:color="auto"/>
              <w:bottom w:val="single" w:sz="4" w:space="0" w:color="auto"/>
              <w:right w:val="single" w:sz="4" w:space="0" w:color="auto"/>
            </w:tcBorders>
            <w:hideMark/>
          </w:tcPr>
          <w:p w14:paraId="3AB69371" w14:textId="77777777" w:rsidR="00A83532" w:rsidRPr="00A83532" w:rsidRDefault="00A83532" w:rsidP="00A83532">
            <w:pPr>
              <w:spacing w:line="256" w:lineRule="auto"/>
            </w:pPr>
            <w:r w:rsidRPr="00A83532">
              <w:t>ESL Level 2</w:t>
            </w:r>
          </w:p>
        </w:tc>
        <w:tc>
          <w:tcPr>
            <w:tcW w:w="2882" w:type="dxa"/>
            <w:tcBorders>
              <w:top w:val="single" w:sz="4" w:space="0" w:color="auto"/>
              <w:left w:val="single" w:sz="4" w:space="0" w:color="auto"/>
              <w:bottom w:val="single" w:sz="4" w:space="0" w:color="auto"/>
              <w:right w:val="single" w:sz="4" w:space="0" w:color="auto"/>
            </w:tcBorders>
            <w:vAlign w:val="bottom"/>
            <w:hideMark/>
          </w:tcPr>
          <w:p w14:paraId="0943313E" w14:textId="77777777" w:rsidR="00A83532" w:rsidRPr="00A83532" w:rsidRDefault="00A83532" w:rsidP="00A83532">
            <w:pPr>
              <w:spacing w:line="256" w:lineRule="auto"/>
            </w:pPr>
            <w:r w:rsidRPr="00A83532">
              <w:t>1,662</w:t>
            </w:r>
          </w:p>
        </w:tc>
        <w:tc>
          <w:tcPr>
            <w:tcW w:w="3242" w:type="dxa"/>
            <w:tcBorders>
              <w:top w:val="single" w:sz="4" w:space="0" w:color="auto"/>
              <w:left w:val="single" w:sz="4" w:space="0" w:color="auto"/>
              <w:bottom w:val="single" w:sz="4" w:space="0" w:color="auto"/>
              <w:right w:val="single" w:sz="4" w:space="0" w:color="auto"/>
            </w:tcBorders>
            <w:vAlign w:val="bottom"/>
            <w:hideMark/>
          </w:tcPr>
          <w:p w14:paraId="71C4CD2B" w14:textId="77777777" w:rsidR="00A83532" w:rsidRPr="00A83532" w:rsidRDefault="00A83532" w:rsidP="00A83532">
            <w:pPr>
              <w:spacing w:line="256" w:lineRule="auto"/>
            </w:pPr>
            <w:r w:rsidRPr="00A83532">
              <w:t>23%</w:t>
            </w:r>
          </w:p>
        </w:tc>
      </w:tr>
      <w:tr w:rsidR="00A83532" w:rsidRPr="00A83532" w14:paraId="6681C891" w14:textId="77777777" w:rsidTr="00C25CF4">
        <w:trPr>
          <w:trHeight w:val="197"/>
        </w:trPr>
        <w:tc>
          <w:tcPr>
            <w:tcW w:w="3416" w:type="dxa"/>
            <w:tcBorders>
              <w:top w:val="single" w:sz="4" w:space="0" w:color="auto"/>
              <w:left w:val="single" w:sz="4" w:space="0" w:color="auto"/>
              <w:bottom w:val="single" w:sz="4" w:space="0" w:color="auto"/>
              <w:right w:val="single" w:sz="4" w:space="0" w:color="auto"/>
            </w:tcBorders>
            <w:hideMark/>
          </w:tcPr>
          <w:p w14:paraId="6630EEC7" w14:textId="77777777" w:rsidR="00A83532" w:rsidRPr="00A83532" w:rsidRDefault="00A83532" w:rsidP="00A83532">
            <w:pPr>
              <w:spacing w:line="256" w:lineRule="auto"/>
            </w:pPr>
            <w:r w:rsidRPr="00A83532">
              <w:t>ESL Level 3</w:t>
            </w:r>
          </w:p>
        </w:tc>
        <w:tc>
          <w:tcPr>
            <w:tcW w:w="2882" w:type="dxa"/>
            <w:tcBorders>
              <w:top w:val="single" w:sz="4" w:space="0" w:color="auto"/>
              <w:left w:val="single" w:sz="4" w:space="0" w:color="auto"/>
              <w:bottom w:val="single" w:sz="4" w:space="0" w:color="auto"/>
              <w:right w:val="single" w:sz="4" w:space="0" w:color="auto"/>
            </w:tcBorders>
            <w:vAlign w:val="bottom"/>
            <w:hideMark/>
          </w:tcPr>
          <w:p w14:paraId="7E452859" w14:textId="77777777" w:rsidR="00A83532" w:rsidRPr="00A83532" w:rsidRDefault="00A83532" w:rsidP="00A83532">
            <w:pPr>
              <w:spacing w:line="256" w:lineRule="auto"/>
            </w:pPr>
            <w:r w:rsidRPr="00A83532">
              <w:t>1,116</w:t>
            </w:r>
          </w:p>
        </w:tc>
        <w:tc>
          <w:tcPr>
            <w:tcW w:w="3242" w:type="dxa"/>
            <w:tcBorders>
              <w:top w:val="single" w:sz="4" w:space="0" w:color="auto"/>
              <w:left w:val="single" w:sz="4" w:space="0" w:color="auto"/>
              <w:bottom w:val="single" w:sz="4" w:space="0" w:color="auto"/>
              <w:right w:val="single" w:sz="4" w:space="0" w:color="auto"/>
            </w:tcBorders>
            <w:vAlign w:val="bottom"/>
            <w:hideMark/>
          </w:tcPr>
          <w:p w14:paraId="3E29D94A" w14:textId="77777777" w:rsidR="00A83532" w:rsidRPr="00A83532" w:rsidRDefault="00A83532" w:rsidP="00A83532">
            <w:pPr>
              <w:spacing w:line="256" w:lineRule="auto"/>
            </w:pPr>
            <w:r w:rsidRPr="00A83532">
              <w:t>15%</w:t>
            </w:r>
          </w:p>
        </w:tc>
      </w:tr>
      <w:tr w:rsidR="00A83532" w:rsidRPr="00A83532" w14:paraId="6E5421C1" w14:textId="77777777" w:rsidTr="00C25CF4">
        <w:tc>
          <w:tcPr>
            <w:tcW w:w="3416" w:type="dxa"/>
            <w:tcBorders>
              <w:top w:val="single" w:sz="4" w:space="0" w:color="auto"/>
              <w:left w:val="single" w:sz="4" w:space="0" w:color="auto"/>
              <w:bottom w:val="single" w:sz="4" w:space="0" w:color="auto"/>
              <w:right w:val="single" w:sz="4" w:space="0" w:color="auto"/>
            </w:tcBorders>
            <w:hideMark/>
          </w:tcPr>
          <w:p w14:paraId="1BF856F8" w14:textId="77777777" w:rsidR="00A83532" w:rsidRPr="00A83532" w:rsidRDefault="00A83532" w:rsidP="00A83532">
            <w:pPr>
              <w:spacing w:line="256" w:lineRule="auto"/>
            </w:pPr>
            <w:r w:rsidRPr="00A83532">
              <w:t xml:space="preserve">ESL Level 4 </w:t>
            </w:r>
          </w:p>
        </w:tc>
        <w:tc>
          <w:tcPr>
            <w:tcW w:w="2882" w:type="dxa"/>
            <w:tcBorders>
              <w:top w:val="single" w:sz="4" w:space="0" w:color="auto"/>
              <w:left w:val="single" w:sz="4" w:space="0" w:color="auto"/>
              <w:bottom w:val="single" w:sz="4" w:space="0" w:color="auto"/>
              <w:right w:val="single" w:sz="4" w:space="0" w:color="auto"/>
            </w:tcBorders>
            <w:vAlign w:val="bottom"/>
            <w:hideMark/>
          </w:tcPr>
          <w:p w14:paraId="212D17FA" w14:textId="77777777" w:rsidR="00A83532" w:rsidRPr="00A83532" w:rsidRDefault="00A83532" w:rsidP="00A83532">
            <w:pPr>
              <w:spacing w:line="256" w:lineRule="auto"/>
            </w:pPr>
            <w:r w:rsidRPr="00A83532">
              <w:t>1,025</w:t>
            </w:r>
          </w:p>
        </w:tc>
        <w:tc>
          <w:tcPr>
            <w:tcW w:w="3242" w:type="dxa"/>
            <w:tcBorders>
              <w:top w:val="single" w:sz="4" w:space="0" w:color="auto"/>
              <w:left w:val="single" w:sz="4" w:space="0" w:color="auto"/>
              <w:bottom w:val="single" w:sz="4" w:space="0" w:color="auto"/>
              <w:right w:val="single" w:sz="4" w:space="0" w:color="auto"/>
            </w:tcBorders>
            <w:vAlign w:val="bottom"/>
            <w:hideMark/>
          </w:tcPr>
          <w:p w14:paraId="59FD87EB" w14:textId="77777777" w:rsidR="00A83532" w:rsidRPr="00A83532" w:rsidRDefault="00A83532" w:rsidP="00A83532">
            <w:pPr>
              <w:spacing w:line="256" w:lineRule="auto"/>
            </w:pPr>
            <w:r w:rsidRPr="00A83532">
              <w:t>14%</w:t>
            </w:r>
          </w:p>
        </w:tc>
      </w:tr>
      <w:tr w:rsidR="00A83532" w:rsidRPr="00A83532" w14:paraId="26975217" w14:textId="77777777" w:rsidTr="00C25CF4">
        <w:tc>
          <w:tcPr>
            <w:tcW w:w="3416" w:type="dxa"/>
            <w:tcBorders>
              <w:top w:val="single" w:sz="4" w:space="0" w:color="auto"/>
              <w:left w:val="single" w:sz="4" w:space="0" w:color="auto"/>
              <w:bottom w:val="single" w:sz="4" w:space="0" w:color="auto"/>
              <w:right w:val="single" w:sz="4" w:space="0" w:color="auto"/>
            </w:tcBorders>
            <w:hideMark/>
          </w:tcPr>
          <w:p w14:paraId="2C9FCBB8" w14:textId="77777777" w:rsidR="00A83532" w:rsidRPr="00A83532" w:rsidRDefault="00A83532" w:rsidP="00A83532">
            <w:pPr>
              <w:spacing w:line="256" w:lineRule="auto"/>
            </w:pPr>
            <w:smartTag w:uri="urn:schemas-microsoft-com:office:smarttags" w:element="stockticker">
              <w:r w:rsidRPr="00A83532">
                <w:t>ESL</w:t>
              </w:r>
            </w:smartTag>
            <w:r w:rsidRPr="00A83532">
              <w:t xml:space="preserve"> Level 5 </w:t>
            </w:r>
          </w:p>
        </w:tc>
        <w:tc>
          <w:tcPr>
            <w:tcW w:w="2882" w:type="dxa"/>
            <w:tcBorders>
              <w:top w:val="single" w:sz="4" w:space="0" w:color="auto"/>
              <w:left w:val="single" w:sz="4" w:space="0" w:color="auto"/>
              <w:bottom w:val="single" w:sz="4" w:space="0" w:color="auto"/>
              <w:right w:val="single" w:sz="4" w:space="0" w:color="auto"/>
            </w:tcBorders>
            <w:vAlign w:val="bottom"/>
            <w:hideMark/>
          </w:tcPr>
          <w:p w14:paraId="09572D2F" w14:textId="77777777" w:rsidR="00A83532" w:rsidRPr="00A83532" w:rsidRDefault="00A83532" w:rsidP="00A83532">
            <w:pPr>
              <w:spacing w:line="256" w:lineRule="auto"/>
            </w:pPr>
            <w:r w:rsidRPr="00A83532">
              <w:t>921</w:t>
            </w:r>
          </w:p>
        </w:tc>
        <w:tc>
          <w:tcPr>
            <w:tcW w:w="3242" w:type="dxa"/>
            <w:tcBorders>
              <w:top w:val="single" w:sz="4" w:space="0" w:color="auto"/>
              <w:left w:val="single" w:sz="4" w:space="0" w:color="auto"/>
              <w:bottom w:val="single" w:sz="4" w:space="0" w:color="auto"/>
              <w:right w:val="single" w:sz="4" w:space="0" w:color="auto"/>
            </w:tcBorders>
            <w:vAlign w:val="bottom"/>
            <w:hideMark/>
          </w:tcPr>
          <w:p w14:paraId="706D27A8" w14:textId="77777777" w:rsidR="00A83532" w:rsidRPr="00A83532" w:rsidRDefault="00A83532" w:rsidP="00A83532">
            <w:pPr>
              <w:spacing w:line="256" w:lineRule="auto"/>
            </w:pPr>
            <w:r w:rsidRPr="00A83532">
              <w:t>13%</w:t>
            </w:r>
          </w:p>
        </w:tc>
      </w:tr>
      <w:tr w:rsidR="00A83532" w:rsidRPr="00A83532" w14:paraId="2FAACFA1" w14:textId="77777777" w:rsidTr="00C25CF4">
        <w:tc>
          <w:tcPr>
            <w:tcW w:w="3416" w:type="dxa"/>
            <w:tcBorders>
              <w:top w:val="single" w:sz="4" w:space="0" w:color="auto"/>
              <w:left w:val="single" w:sz="4" w:space="0" w:color="auto"/>
              <w:bottom w:val="single" w:sz="4" w:space="0" w:color="auto"/>
              <w:right w:val="single" w:sz="4" w:space="0" w:color="auto"/>
            </w:tcBorders>
            <w:hideMark/>
          </w:tcPr>
          <w:p w14:paraId="16351227" w14:textId="77777777" w:rsidR="00A83532" w:rsidRPr="00A83532" w:rsidRDefault="00A83532" w:rsidP="00A83532">
            <w:pPr>
              <w:spacing w:line="256" w:lineRule="auto"/>
            </w:pPr>
            <w:r w:rsidRPr="00A83532">
              <w:t>ESL Level 6</w:t>
            </w:r>
          </w:p>
        </w:tc>
        <w:tc>
          <w:tcPr>
            <w:tcW w:w="2882" w:type="dxa"/>
            <w:tcBorders>
              <w:top w:val="single" w:sz="4" w:space="0" w:color="auto"/>
              <w:left w:val="single" w:sz="4" w:space="0" w:color="auto"/>
              <w:bottom w:val="single" w:sz="4" w:space="0" w:color="auto"/>
              <w:right w:val="single" w:sz="4" w:space="0" w:color="auto"/>
            </w:tcBorders>
            <w:vAlign w:val="bottom"/>
            <w:hideMark/>
          </w:tcPr>
          <w:p w14:paraId="0D0614D3" w14:textId="77777777" w:rsidR="00A83532" w:rsidRPr="00A83532" w:rsidRDefault="00A83532" w:rsidP="00A83532">
            <w:pPr>
              <w:spacing w:line="256" w:lineRule="auto"/>
            </w:pPr>
            <w:r w:rsidRPr="00A83532">
              <w:t>414</w:t>
            </w:r>
          </w:p>
        </w:tc>
        <w:tc>
          <w:tcPr>
            <w:tcW w:w="3242" w:type="dxa"/>
            <w:tcBorders>
              <w:top w:val="single" w:sz="4" w:space="0" w:color="auto"/>
              <w:left w:val="single" w:sz="4" w:space="0" w:color="auto"/>
              <w:bottom w:val="single" w:sz="4" w:space="0" w:color="auto"/>
              <w:right w:val="single" w:sz="4" w:space="0" w:color="auto"/>
            </w:tcBorders>
            <w:vAlign w:val="bottom"/>
            <w:hideMark/>
          </w:tcPr>
          <w:p w14:paraId="3D598E09" w14:textId="77777777" w:rsidR="00A83532" w:rsidRPr="00A83532" w:rsidRDefault="00A83532" w:rsidP="00A83532">
            <w:pPr>
              <w:spacing w:line="256" w:lineRule="auto"/>
            </w:pPr>
            <w:r w:rsidRPr="00A83532">
              <w:t>6%</w:t>
            </w:r>
          </w:p>
        </w:tc>
      </w:tr>
      <w:tr w:rsidR="00A83532" w:rsidRPr="00A83532" w14:paraId="53D5F3BC" w14:textId="77777777" w:rsidTr="00C25CF4">
        <w:tc>
          <w:tcPr>
            <w:tcW w:w="3416" w:type="dxa"/>
            <w:tcBorders>
              <w:top w:val="single" w:sz="4" w:space="0" w:color="auto"/>
              <w:left w:val="single" w:sz="4" w:space="0" w:color="auto"/>
              <w:bottom w:val="single" w:sz="4" w:space="0" w:color="auto"/>
              <w:right w:val="single" w:sz="4" w:space="0" w:color="auto"/>
            </w:tcBorders>
            <w:hideMark/>
          </w:tcPr>
          <w:p w14:paraId="46EC1D98" w14:textId="77777777" w:rsidR="00A83532" w:rsidRPr="00A83532" w:rsidRDefault="00A83532" w:rsidP="00A83532">
            <w:pPr>
              <w:spacing w:line="256" w:lineRule="auto"/>
              <w:rPr>
                <w:b/>
              </w:rPr>
            </w:pPr>
            <w:r w:rsidRPr="00A83532">
              <w:rPr>
                <w:b/>
              </w:rPr>
              <w:t xml:space="preserve">Total </w:t>
            </w:r>
          </w:p>
        </w:tc>
        <w:tc>
          <w:tcPr>
            <w:tcW w:w="2882" w:type="dxa"/>
            <w:tcBorders>
              <w:top w:val="single" w:sz="4" w:space="0" w:color="auto"/>
              <w:left w:val="single" w:sz="4" w:space="0" w:color="auto"/>
              <w:bottom w:val="single" w:sz="4" w:space="0" w:color="auto"/>
              <w:right w:val="single" w:sz="4" w:space="0" w:color="auto"/>
            </w:tcBorders>
            <w:vAlign w:val="bottom"/>
            <w:hideMark/>
          </w:tcPr>
          <w:p w14:paraId="6B381C58" w14:textId="77777777" w:rsidR="00A83532" w:rsidRPr="00A83532" w:rsidRDefault="00A83532" w:rsidP="00A83532">
            <w:pPr>
              <w:spacing w:line="256" w:lineRule="auto"/>
              <w:rPr>
                <w:b/>
              </w:rPr>
            </w:pPr>
            <w:r w:rsidRPr="00A83532">
              <w:rPr>
                <w:b/>
              </w:rPr>
              <w:t>7,262</w:t>
            </w:r>
          </w:p>
        </w:tc>
        <w:tc>
          <w:tcPr>
            <w:tcW w:w="3242" w:type="dxa"/>
            <w:tcBorders>
              <w:top w:val="single" w:sz="4" w:space="0" w:color="auto"/>
              <w:left w:val="single" w:sz="4" w:space="0" w:color="auto"/>
              <w:bottom w:val="single" w:sz="4" w:space="0" w:color="auto"/>
              <w:right w:val="single" w:sz="4" w:space="0" w:color="auto"/>
            </w:tcBorders>
            <w:vAlign w:val="bottom"/>
            <w:hideMark/>
          </w:tcPr>
          <w:p w14:paraId="62A44AC9" w14:textId="77777777" w:rsidR="00A83532" w:rsidRPr="00A83532" w:rsidRDefault="00A83532" w:rsidP="00A83532">
            <w:pPr>
              <w:spacing w:line="256" w:lineRule="auto"/>
              <w:rPr>
                <w:b/>
              </w:rPr>
            </w:pPr>
            <w:r w:rsidRPr="00A83532">
              <w:rPr>
                <w:b/>
              </w:rPr>
              <w:t>100%</w:t>
            </w:r>
          </w:p>
        </w:tc>
      </w:tr>
    </w:tbl>
    <w:p w14:paraId="51F450A8" w14:textId="77777777" w:rsidR="00D0275F" w:rsidRDefault="00D0275F" w:rsidP="00A83532"/>
    <w:p w14:paraId="24C7234F" w14:textId="77777777" w:rsidR="00D0275F" w:rsidRDefault="00D0275F" w:rsidP="00A83532"/>
    <w:p w14:paraId="06A26538" w14:textId="77777777" w:rsidR="00D0275F" w:rsidRDefault="00D0275F" w:rsidP="00A83532"/>
    <w:p w14:paraId="1F11CED1" w14:textId="77777777" w:rsidR="00D0275F" w:rsidRDefault="00D0275F" w:rsidP="00A83532"/>
    <w:p w14:paraId="0937E79E" w14:textId="77777777" w:rsidR="00D0275F" w:rsidRDefault="00D0275F" w:rsidP="00A83532"/>
    <w:p w14:paraId="40BD5B03" w14:textId="77777777" w:rsidR="00D0275F" w:rsidRDefault="00D0275F" w:rsidP="00A83532"/>
    <w:p w14:paraId="3B5947EC" w14:textId="77777777" w:rsidR="00D0275F" w:rsidRDefault="00D0275F" w:rsidP="00A83532"/>
    <w:p w14:paraId="6B290DA9" w14:textId="77777777" w:rsidR="00D0275F" w:rsidRDefault="00D0275F" w:rsidP="00A83532"/>
    <w:p w14:paraId="20FDFFF0" w14:textId="77777777" w:rsidR="00D0275F" w:rsidRDefault="00D0275F" w:rsidP="00A83532"/>
    <w:p w14:paraId="4B505142" w14:textId="77777777" w:rsidR="00D0275F" w:rsidRDefault="00D0275F" w:rsidP="00A83532"/>
    <w:p w14:paraId="634A3E38" w14:textId="77777777" w:rsidR="00D0275F" w:rsidRDefault="00D0275F" w:rsidP="00A83532"/>
    <w:p w14:paraId="3241E41A" w14:textId="77777777" w:rsidR="00A83532" w:rsidRPr="00A83532" w:rsidRDefault="00A83532" w:rsidP="00852A13">
      <w:pPr>
        <w:ind w:firstLine="720"/>
      </w:pPr>
      <w:r w:rsidRPr="00A83532">
        <w:t>As a result of the pandemic ESL students often found themselves struggling with assisting their children to complete their learning due to their own lack of basic computer skills or limited English for communicating with school staff and/or caring for sick family members. In addition, agencies reported that there was often a reluctance from some ESL students to pursue virtual education instead of face-to-face instruction. On the other hand, some agencies reported that ESL students became more engaged as they no longer had transportation or child care concerns. Another agency reported that participants experiences were more meaningful and relevant as they acquired the ability to utilize today’s technology while learning English and civics content.</w:t>
      </w:r>
    </w:p>
    <w:p w14:paraId="248B7E33" w14:textId="77777777" w:rsidR="00A83532" w:rsidRPr="00A83532" w:rsidRDefault="00A83532" w:rsidP="00852A13">
      <w:pPr>
        <w:ind w:firstLine="720"/>
      </w:pPr>
      <w:r w:rsidRPr="00A83532">
        <w:t xml:space="preserve">From PY 2019 to PY 2020 our programs demonstrated increases in educational gains in all ESL EFLs. New Jersey’s programs indicated a 1% educational gain increase at ESL Level 1; 6% at Level 2; 11% at Level 3; 4% at Level 4; 1% at Level 5 and; 13% at Level 6. Of the 11,709 students served in the WIOA Title II program for PY 2020, 7,262 of them were English Language Learners (ELLs). New Jersey met four of the ESL EFL gain targets for PY 2020 but was very close to meeting the other two ESL performance targets. These increases in performance for our ELA programs show the importance of analyzing and gathering information to determine best practices for serving ELLs now and in the future. </w:t>
      </w:r>
    </w:p>
    <w:p w14:paraId="2AFAC543" w14:textId="19D3FDB7" w:rsidR="00A83532" w:rsidRPr="00A83532" w:rsidRDefault="00852A13" w:rsidP="00A83532">
      <w:pPr>
        <w:widowControl w:val="0"/>
        <w:tabs>
          <w:tab w:val="left" w:pos="-360"/>
          <w:tab w:val="left" w:pos="0"/>
          <w:tab w:val="left" w:pos="360"/>
          <w:tab w:val="left" w:pos="1080"/>
          <w:tab w:val="left" w:pos="2160"/>
          <w:tab w:val="left" w:pos="3240"/>
          <w:tab w:val="left" w:pos="3960"/>
          <w:tab w:val="left" w:pos="4680"/>
          <w:tab w:val="left" w:pos="5400"/>
          <w:tab w:val="left" w:pos="6120"/>
          <w:tab w:val="left" w:pos="6840"/>
          <w:tab w:val="left" w:pos="7560"/>
          <w:tab w:val="left" w:pos="8280"/>
          <w:tab w:val="left" w:pos="9000"/>
        </w:tabs>
        <w:snapToGrid w:val="0"/>
      </w:pPr>
      <w:r>
        <w:tab/>
      </w:r>
      <w:r w:rsidR="00A83532" w:rsidRPr="00A83532">
        <w:t xml:space="preserve">New Jersey embraces its cultural diversity. New Jersey’s diverse makeup is consistent with its status as a gateway for immigrants. Agencies were required to integrate an English language/civics education component for their Section 243 funded IELCE programs. They are required to design programs to prepare ELLs for employment in in-demand industries and occupations that lead to economic self-sufficiency and integrate with the workforce development system. The IELCE programs support the immigrant community and other limited English proficient populations. </w:t>
      </w:r>
    </w:p>
    <w:p w14:paraId="349822A3" w14:textId="74B922E1" w:rsidR="00A83532" w:rsidRDefault="00852A13" w:rsidP="00A83532">
      <w:pPr>
        <w:widowControl w:val="0"/>
        <w:tabs>
          <w:tab w:val="left" w:pos="-360"/>
          <w:tab w:val="left" w:pos="0"/>
          <w:tab w:val="left" w:pos="360"/>
          <w:tab w:val="left" w:pos="1080"/>
          <w:tab w:val="left" w:pos="2160"/>
          <w:tab w:val="left" w:pos="3240"/>
          <w:tab w:val="left" w:pos="3960"/>
          <w:tab w:val="left" w:pos="4680"/>
          <w:tab w:val="left" w:pos="5400"/>
          <w:tab w:val="left" w:pos="6120"/>
          <w:tab w:val="left" w:pos="6840"/>
          <w:tab w:val="left" w:pos="7560"/>
          <w:tab w:val="left" w:pos="8280"/>
          <w:tab w:val="left" w:pos="9000"/>
        </w:tabs>
        <w:snapToGrid w:val="0"/>
      </w:pPr>
      <w:r>
        <w:tab/>
      </w:r>
      <w:r w:rsidR="00A83532" w:rsidRPr="00A83532">
        <w:t xml:space="preserve">During PY 2020, 2,315 participants were served through the IELCE program. Eighty-five of our ELLs passed their citizenship exam between July 1, 2020 and June 30, 2021. The IELCE program emphasizes contextualized instruction on the rights and responsibilities of citizenship, naturalization procedures, civic participation, and U.S. history and government, in accordance with the </w:t>
      </w:r>
      <w:r w:rsidR="00A83532" w:rsidRPr="00A83532">
        <w:rPr>
          <w:i/>
        </w:rPr>
        <w:t>National Standards for Civics and Government.</w:t>
      </w:r>
      <w:r w:rsidR="00A83532" w:rsidRPr="00A83532">
        <w:t xml:space="preserve"> Types of activities supported by these funds included:</w:t>
      </w:r>
    </w:p>
    <w:p w14:paraId="4B758794" w14:textId="77777777" w:rsidR="00D0275F" w:rsidRPr="00A83532" w:rsidRDefault="00D0275F" w:rsidP="00A83532">
      <w:pPr>
        <w:widowControl w:val="0"/>
        <w:tabs>
          <w:tab w:val="left" w:pos="-360"/>
          <w:tab w:val="left" w:pos="0"/>
          <w:tab w:val="left" w:pos="360"/>
          <w:tab w:val="left" w:pos="1080"/>
          <w:tab w:val="left" w:pos="2160"/>
          <w:tab w:val="left" w:pos="3240"/>
          <w:tab w:val="left" w:pos="3960"/>
          <w:tab w:val="left" w:pos="4680"/>
          <w:tab w:val="left" w:pos="5400"/>
          <w:tab w:val="left" w:pos="6120"/>
          <w:tab w:val="left" w:pos="6840"/>
          <w:tab w:val="left" w:pos="7560"/>
          <w:tab w:val="left" w:pos="8280"/>
          <w:tab w:val="left" w:pos="9000"/>
        </w:tabs>
        <w:snapToGrid w:val="0"/>
      </w:pPr>
    </w:p>
    <w:p w14:paraId="76DF13BA" w14:textId="77777777" w:rsidR="00A83532" w:rsidRPr="00A83532" w:rsidRDefault="00A83532" w:rsidP="00A83532">
      <w:pPr>
        <w:numPr>
          <w:ilvl w:val="0"/>
          <w:numId w:val="23"/>
        </w:numPr>
        <w:spacing w:line="276" w:lineRule="auto"/>
      </w:pPr>
      <w:r w:rsidRPr="00A83532">
        <w:t>provision of experiential learning opportunities including completing employment forms, completing the voter registration process, engaging participants in volunteer opportunities and linkages with community resources;</w:t>
      </w:r>
    </w:p>
    <w:p w14:paraId="6704B40A" w14:textId="77777777" w:rsidR="00A83532" w:rsidRPr="00A83532" w:rsidRDefault="00A83532" w:rsidP="00A83532">
      <w:pPr>
        <w:numPr>
          <w:ilvl w:val="0"/>
          <w:numId w:val="23"/>
        </w:numPr>
        <w:spacing w:line="276" w:lineRule="auto"/>
      </w:pPr>
      <w:r w:rsidRPr="00A83532">
        <w:t>provision of computers and software for instruction;</w:t>
      </w:r>
    </w:p>
    <w:p w14:paraId="3A7BCC02" w14:textId="77777777" w:rsidR="00A83532" w:rsidRPr="00A83532" w:rsidRDefault="00A83532" w:rsidP="00A83532">
      <w:pPr>
        <w:numPr>
          <w:ilvl w:val="0"/>
          <w:numId w:val="23"/>
        </w:numPr>
        <w:spacing w:line="276" w:lineRule="auto"/>
      </w:pPr>
      <w:r w:rsidRPr="00A83532">
        <w:t xml:space="preserve">citizen preparation including visiting of polling places and government buildings in the state capital; </w:t>
      </w:r>
    </w:p>
    <w:p w14:paraId="3A4E438A" w14:textId="77777777" w:rsidR="00A83532" w:rsidRPr="00A83532" w:rsidRDefault="00A83532" w:rsidP="00A83532">
      <w:pPr>
        <w:numPr>
          <w:ilvl w:val="0"/>
          <w:numId w:val="23"/>
        </w:numPr>
        <w:spacing w:line="276" w:lineRule="auto"/>
      </w:pPr>
      <w:r w:rsidRPr="00A83532">
        <w:t>field trips to promote American cultural awareness and skills; and</w:t>
      </w:r>
    </w:p>
    <w:p w14:paraId="6781E4AA" w14:textId="77777777" w:rsidR="00A83532" w:rsidRPr="00A83532" w:rsidRDefault="00A83532" w:rsidP="00A83532">
      <w:pPr>
        <w:numPr>
          <w:ilvl w:val="0"/>
          <w:numId w:val="23"/>
        </w:numPr>
        <w:spacing w:line="276" w:lineRule="auto"/>
      </w:pPr>
      <w:r w:rsidRPr="00A83532">
        <w:t xml:space="preserve">preparation of curricula focusing on issues of importance to non-citizens such as preparation for becoming a U.S. citizen, job training and placement, housing, parenting and civics preparation. </w:t>
      </w:r>
    </w:p>
    <w:p w14:paraId="7D2E3E4C" w14:textId="77777777" w:rsidR="00A83532" w:rsidRPr="00A83532" w:rsidRDefault="00A83532" w:rsidP="00A83532"/>
    <w:p w14:paraId="7218E311" w14:textId="77777777" w:rsidR="00A83532" w:rsidRPr="00A83532" w:rsidRDefault="00A83532" w:rsidP="00852A13">
      <w:pPr>
        <w:ind w:firstLine="360"/>
      </w:pPr>
      <w:r w:rsidRPr="00A83532">
        <w:t>ELLs enrolled in programs that received IELCE Section 243 funding were offered the opportunity to participate in Integrated Education and Training Programs (IETs). Twenty-three percent of ELLs served with Section 243 IELCE funds participated in an IET. Implementation of the IETs for PY 2020 continued to prove difficult as a result of the ongoing pandemic. Some of the hands-on components of established IET programs were still impossible as they could not be duplicated virtually.</w:t>
      </w:r>
    </w:p>
    <w:p w14:paraId="0D7456FA" w14:textId="77777777" w:rsidR="00A83532" w:rsidRPr="00A83532" w:rsidRDefault="00A83532" w:rsidP="00852A13">
      <w:pPr>
        <w:autoSpaceDE w:val="0"/>
        <w:autoSpaceDN w:val="0"/>
        <w:adjustRightInd w:val="0"/>
        <w:ind w:firstLine="360"/>
        <w:rPr>
          <w:color w:val="000000"/>
        </w:rPr>
      </w:pPr>
      <w:r w:rsidRPr="00A83532">
        <w:rPr>
          <w:color w:val="000000"/>
        </w:rPr>
        <w:t>The NJ</w:t>
      </w:r>
      <w:r w:rsidR="00705F65">
        <w:rPr>
          <w:color w:val="000000"/>
        </w:rPr>
        <w:t xml:space="preserve"> </w:t>
      </w:r>
      <w:r w:rsidRPr="00A83532">
        <w:rPr>
          <w:color w:val="000000"/>
        </w:rPr>
        <w:t xml:space="preserve">DOL made a variety of investments to help individuals obtain their high school diploma or its recognized equivalent, improve their basic math, reading and writing skills, and attain basic English listening and speaking skills along with computer proficiencies necessary for employment including the purchase of the Aztec online software as a remote instruction tool for use by all WIOA Title II and Workforce Learning Link agencies. The NJ DOL utilizes state funding to enhance adult education alternatives directly related to welfare registrants, dislocated workers and other jobseekers. </w:t>
      </w:r>
    </w:p>
    <w:p w14:paraId="0BC4E466" w14:textId="77777777" w:rsidR="00A83532" w:rsidRPr="00A83532" w:rsidRDefault="00A83532" w:rsidP="00852A13">
      <w:pPr>
        <w:ind w:firstLine="360"/>
      </w:pPr>
      <w:r w:rsidRPr="00A83532">
        <w:t>Educational opportunities were provided to adults via programs ranging from ABE Level 1 through ABE Level 6 and ESL Level 1 through ESL Level 6 to prepare adults to:</w:t>
      </w:r>
    </w:p>
    <w:p w14:paraId="1B7ACC90" w14:textId="77777777" w:rsidR="00A83532" w:rsidRPr="00A83532" w:rsidRDefault="00A83532" w:rsidP="00A83532">
      <w:pPr>
        <w:numPr>
          <w:ilvl w:val="0"/>
          <w:numId w:val="22"/>
        </w:numPr>
        <w:spacing w:after="200" w:line="276" w:lineRule="auto"/>
        <w:contextualSpacing/>
      </w:pPr>
      <w:r w:rsidRPr="00A83532">
        <w:t xml:space="preserve">enroll and participate in the appropriate level of an adult education program and receive ancillary support services if necessary; </w:t>
      </w:r>
    </w:p>
    <w:p w14:paraId="510669EF" w14:textId="77777777" w:rsidR="00A83532" w:rsidRPr="00A83532" w:rsidRDefault="00A83532" w:rsidP="00A83532">
      <w:pPr>
        <w:numPr>
          <w:ilvl w:val="0"/>
          <w:numId w:val="22"/>
        </w:numPr>
        <w:spacing w:after="200" w:line="276" w:lineRule="auto"/>
        <w:contextualSpacing/>
      </w:pPr>
      <w:r w:rsidRPr="00A83532">
        <w:t>move to the next EFL;</w:t>
      </w:r>
    </w:p>
    <w:p w14:paraId="7E1AC372" w14:textId="77777777" w:rsidR="00A83532" w:rsidRPr="00A83532" w:rsidRDefault="00A83532" w:rsidP="00A83532">
      <w:pPr>
        <w:numPr>
          <w:ilvl w:val="0"/>
          <w:numId w:val="22"/>
        </w:numPr>
        <w:spacing w:after="200" w:line="276" w:lineRule="auto"/>
        <w:contextualSpacing/>
        <w:rPr>
          <w:b/>
        </w:rPr>
      </w:pPr>
      <w:r w:rsidRPr="00A83532">
        <w:t>sit for an HSE exam and, if successful, receive a New Jersey state issued high school diploma; or graduate from an adult high school;</w:t>
      </w:r>
    </w:p>
    <w:p w14:paraId="63C8F382" w14:textId="77777777" w:rsidR="00A83532" w:rsidRPr="00A83532" w:rsidRDefault="00A83532" w:rsidP="00A83532">
      <w:pPr>
        <w:numPr>
          <w:ilvl w:val="0"/>
          <w:numId w:val="22"/>
        </w:numPr>
        <w:spacing w:after="200" w:line="276" w:lineRule="auto"/>
        <w:contextualSpacing/>
        <w:rPr>
          <w:b/>
        </w:rPr>
      </w:pPr>
      <w:r w:rsidRPr="00A83532">
        <w:t>obtain gainful employment;</w:t>
      </w:r>
    </w:p>
    <w:p w14:paraId="2F32AF40" w14:textId="77777777" w:rsidR="00A83532" w:rsidRPr="00A83532" w:rsidRDefault="00A83532" w:rsidP="00A83532">
      <w:pPr>
        <w:numPr>
          <w:ilvl w:val="0"/>
          <w:numId w:val="22"/>
        </w:numPr>
        <w:spacing w:after="200" w:line="276" w:lineRule="auto"/>
        <w:contextualSpacing/>
        <w:rPr>
          <w:b/>
        </w:rPr>
      </w:pPr>
      <w:r w:rsidRPr="00A83532">
        <w:t>enter postsecondary education or vocational training programs;</w:t>
      </w:r>
    </w:p>
    <w:p w14:paraId="4679E8BD" w14:textId="77777777" w:rsidR="00A83532" w:rsidRPr="00A83532" w:rsidRDefault="00A83532" w:rsidP="00A83532">
      <w:pPr>
        <w:numPr>
          <w:ilvl w:val="0"/>
          <w:numId w:val="22"/>
        </w:numPr>
        <w:spacing w:after="200" w:line="276" w:lineRule="auto"/>
        <w:contextualSpacing/>
        <w:rPr>
          <w:b/>
        </w:rPr>
      </w:pPr>
      <w:r w:rsidRPr="00A83532">
        <w:t>attain an industry-recognized credential(s).</w:t>
      </w:r>
    </w:p>
    <w:p w14:paraId="066AC3D8" w14:textId="77777777" w:rsidR="00A83532" w:rsidRPr="00A83532" w:rsidRDefault="00A83532" w:rsidP="00852A13">
      <w:pPr>
        <w:shd w:val="clear" w:color="auto" w:fill="FFFFFF"/>
        <w:ind w:firstLine="360"/>
        <w:rPr>
          <w:color w:val="000000"/>
          <w:lang w:val="en"/>
        </w:rPr>
      </w:pPr>
      <w:r w:rsidRPr="00A83532">
        <w:rPr>
          <w:color w:val="000000"/>
        </w:rPr>
        <w:t xml:space="preserve">There were 24 Workforce Learning Link (WLL) programs throughout the state for PY 2020 compared to 25 from PY 2019.  The majority of these programs are located at the One-Stop Career Centers (OSCCs). Through a combined training approach and computer-based instruction, the WLLs provide services that include basic computer literacy including typing, financial literacy, job search and employability skills, ELA instruction, and HSE preparation and testing.  This effort has allowed New Jersey to expand its literacy services to </w:t>
      </w:r>
      <w:r w:rsidRPr="00A83532">
        <w:rPr>
          <w:color w:val="000000"/>
          <w:lang w:val="en"/>
        </w:rPr>
        <w:t xml:space="preserve">provide interactive training services that allow participants to address individual employment-related issues at their own pace. </w:t>
      </w:r>
    </w:p>
    <w:p w14:paraId="04A3D4CC" w14:textId="03B82CBD" w:rsidR="00A83532" w:rsidRPr="00A83532" w:rsidRDefault="00A83532" w:rsidP="00852A13">
      <w:pPr>
        <w:shd w:val="clear" w:color="auto" w:fill="FFFFFF"/>
        <w:ind w:firstLine="360"/>
        <w:rPr>
          <w:rFonts w:eastAsia="Calibri"/>
          <w:color w:val="000000"/>
        </w:rPr>
      </w:pPr>
      <w:r w:rsidRPr="00A83532">
        <w:rPr>
          <w:color w:val="000000"/>
          <w:lang w:val="en"/>
        </w:rPr>
        <w:t xml:space="preserve">The WLLs </w:t>
      </w:r>
      <w:r w:rsidR="004171A2" w:rsidRPr="00A83532">
        <w:rPr>
          <w:color w:val="000000"/>
          <w:lang w:val="en"/>
        </w:rPr>
        <w:t>can</w:t>
      </w:r>
      <w:r w:rsidRPr="00A83532">
        <w:rPr>
          <w:color w:val="000000"/>
          <w:lang w:val="en"/>
        </w:rPr>
        <w:t xml:space="preserve"> assist individuals to </w:t>
      </w:r>
      <w:r w:rsidRPr="00A83532">
        <w:rPr>
          <w:color w:val="000000"/>
        </w:rPr>
        <w:t xml:space="preserve">raise their basic skill levels, obtain employment, enter occupational training, and attain their high school diplomas by passing their HSE exams using computer labs in OSCCs throughout the state. </w:t>
      </w:r>
      <w:r w:rsidRPr="00A83532">
        <w:rPr>
          <w:color w:val="000000"/>
          <w:lang w:val="en"/>
        </w:rPr>
        <w:t xml:space="preserve">For PY 2020, the </w:t>
      </w:r>
      <w:r w:rsidRPr="00A83532">
        <w:rPr>
          <w:color w:val="000000"/>
        </w:rPr>
        <w:t xml:space="preserve">state’s 24 WLL facilities helped approximately 1,055 individuals which was a decrease of 533 individuals compared to PY 2019 due to the ongoing pandemic. WLLs had actively offered virtual/online literacy services and training to their participants in order to continue to provide learning opportunities during these uncertain times. </w:t>
      </w:r>
    </w:p>
    <w:p w14:paraId="286D261E" w14:textId="77777777" w:rsidR="00157D7E" w:rsidRDefault="00157D7E" w:rsidP="00157D7E">
      <w:pPr>
        <w:rPr>
          <w:b/>
          <w:u w:val="single"/>
        </w:rPr>
      </w:pPr>
      <w:r>
        <w:rPr>
          <w:b/>
          <w:u w:val="single"/>
        </w:rPr>
        <w:t xml:space="preserve">Integration with One-Stop </w:t>
      </w:r>
      <w:r w:rsidR="00111DBF">
        <w:rPr>
          <w:b/>
          <w:u w:val="single"/>
        </w:rPr>
        <w:t xml:space="preserve">Career Center (OSCC) </w:t>
      </w:r>
      <w:r>
        <w:rPr>
          <w:b/>
          <w:u w:val="single"/>
        </w:rPr>
        <w:t>Partners</w:t>
      </w:r>
    </w:p>
    <w:p w14:paraId="2CC61AAF" w14:textId="77777777" w:rsidR="00111DBF" w:rsidRDefault="000F0F98" w:rsidP="00852A13">
      <w:pPr>
        <w:pStyle w:val="Default"/>
        <w:ind w:firstLine="720"/>
      </w:pPr>
      <w:r>
        <w:lastRenderedPageBreak/>
        <w:t>NJ</w:t>
      </w:r>
      <w:r w:rsidR="007415AD">
        <w:t xml:space="preserve"> </w:t>
      </w:r>
      <w:r>
        <w:t>DOL</w:t>
      </w:r>
      <w:r w:rsidR="00111DBF">
        <w:t xml:space="preserve"> </w:t>
      </w:r>
      <w:r w:rsidR="002E13B3">
        <w:t xml:space="preserve">OAL continues to work with OSCC leadership to </w:t>
      </w:r>
      <w:r w:rsidR="00070430">
        <w:t>determine</w:t>
      </w:r>
      <w:r w:rsidR="002E13B3">
        <w:t xml:space="preserve"> </w:t>
      </w:r>
      <w:r w:rsidR="00A83532">
        <w:t xml:space="preserve">client </w:t>
      </w:r>
      <w:r w:rsidR="00070430">
        <w:t xml:space="preserve">needs </w:t>
      </w:r>
      <w:r w:rsidR="002E13B3">
        <w:t xml:space="preserve">and </w:t>
      </w:r>
      <w:r w:rsidR="00070430">
        <w:t>create</w:t>
      </w:r>
      <w:r w:rsidR="002E13B3">
        <w:t xml:space="preserve"> professional development to assist counselors in OSCCs to better understand the Title II program and help co-enroll students. </w:t>
      </w:r>
      <w:r w:rsidR="00485338">
        <w:t>N</w:t>
      </w:r>
      <w:r w:rsidR="002E13B3">
        <w:t xml:space="preserve">eeds were identified through a survey </w:t>
      </w:r>
      <w:r w:rsidR="00A83532">
        <w:t xml:space="preserve">created in alignment with </w:t>
      </w:r>
      <w:r w:rsidR="002E13B3">
        <w:t>the Workforce Modernization study in which counselors were asked about areas of frustration</w:t>
      </w:r>
      <w:r w:rsidR="00A83532">
        <w:t>, challenges, and best practices</w:t>
      </w:r>
      <w:r w:rsidR="002E13B3">
        <w:t xml:space="preserve"> when referring clients to Title II and Title IV programs. The State </w:t>
      </w:r>
      <w:r w:rsidR="00485338">
        <w:t>Director</w:t>
      </w:r>
      <w:r w:rsidR="002E13B3">
        <w:t xml:space="preserve"> for Adult Education and the Director of DVR began to hold briefings on how we can work together to ensure </w:t>
      </w:r>
      <w:r w:rsidR="00485338">
        <w:t>clients</w:t>
      </w:r>
      <w:r w:rsidR="002E13B3">
        <w:t xml:space="preserve"> are not being </w:t>
      </w:r>
      <w:r w:rsidR="00485338">
        <w:t>lost in the referral process and these talks will continue in the new program year.</w:t>
      </w:r>
    </w:p>
    <w:p w14:paraId="46FA7288" w14:textId="77777777" w:rsidR="00111DBF" w:rsidRDefault="00111DBF" w:rsidP="00111DBF">
      <w:pPr>
        <w:pStyle w:val="Default"/>
      </w:pPr>
    </w:p>
    <w:p w14:paraId="1108A5C6" w14:textId="627FBDC8" w:rsidR="00F0098E" w:rsidRPr="00DD3DEF" w:rsidRDefault="00485338" w:rsidP="00404348">
      <w:pPr>
        <w:pStyle w:val="ListParagraph"/>
        <w:numPr>
          <w:ilvl w:val="0"/>
          <w:numId w:val="8"/>
        </w:numPr>
        <w:spacing w:after="160" w:line="256" w:lineRule="auto"/>
        <w:rPr>
          <w:u w:val="single"/>
        </w:rPr>
      </w:pPr>
      <w:r>
        <w:t>In PY</w:t>
      </w:r>
      <w:r w:rsidR="000D3DD0">
        <w:t xml:space="preserve"> </w:t>
      </w:r>
      <w:r>
        <w:t>2</w:t>
      </w:r>
      <w:r w:rsidR="000D3DD0">
        <w:t>02</w:t>
      </w:r>
      <w:r>
        <w:t xml:space="preserve">0 NJ DOL OAL </w:t>
      </w:r>
      <w:r w:rsidR="006D0696">
        <w:t xml:space="preserve">staff provided </w:t>
      </w:r>
      <w:r w:rsidR="007238A6">
        <w:t xml:space="preserve">additional </w:t>
      </w:r>
      <w:r w:rsidR="006D0696">
        <w:t>training on the LACES database to NJ</w:t>
      </w:r>
      <w:r w:rsidR="000D3DD0">
        <w:t xml:space="preserve"> </w:t>
      </w:r>
      <w:r w:rsidR="006D0696">
        <w:t>DOL Office of Research Information staff</w:t>
      </w:r>
      <w:r w:rsidR="007238A6">
        <w:t xml:space="preserve"> and the </w:t>
      </w:r>
      <w:r>
        <w:t xml:space="preserve">internal </w:t>
      </w:r>
      <w:r w:rsidR="007238A6">
        <w:t>data validation unit</w:t>
      </w:r>
      <w:r w:rsidR="006D0696">
        <w:t xml:space="preserve">; this information </w:t>
      </w:r>
      <w:r>
        <w:t xml:space="preserve">serves also to be public facing since it is </w:t>
      </w:r>
      <w:r w:rsidR="00F0098E">
        <w:t>shared</w:t>
      </w:r>
      <w:r>
        <w:t xml:space="preserve"> in a yearly public </w:t>
      </w:r>
      <w:r w:rsidR="006D0696">
        <w:t xml:space="preserve">dashboard </w:t>
      </w:r>
      <w:r w:rsidR="00F0098E">
        <w:t>on</w:t>
      </w:r>
      <w:r w:rsidR="006D0696">
        <w:t xml:space="preserve"> performance</w:t>
      </w:r>
      <w:r w:rsidR="00F0098E">
        <w:t>, barriers,</w:t>
      </w:r>
      <w:r w:rsidR="006D0696">
        <w:t xml:space="preserve"> and populations served. </w:t>
      </w:r>
    </w:p>
    <w:p w14:paraId="59A07EF1" w14:textId="48F95E9E" w:rsidR="00DD3DEF" w:rsidRDefault="004171A2" w:rsidP="00852A13">
      <w:pPr>
        <w:spacing w:line="256" w:lineRule="auto"/>
        <w:ind w:firstLine="720"/>
      </w:pPr>
      <w:r w:rsidRPr="00DD3DEF">
        <w:t>Regarding</w:t>
      </w:r>
      <w:r w:rsidR="00DD3DEF">
        <w:t xml:space="preserve"> oversight and delegation of the required one-stop requirements with core partners, the NJ DOL delegates responsibilities to local providers and workforce board directors. The Division of Career Services (DCS) at DOL encompasses WIOA Title II and all other WIOA Titles and as such, DCS leadership establishes the IFA/MOU procedure. All files are electronically received by local areas and reviewed internally by DOL and OAL staff. The Title II State Director and DCS leadership are working together on guidance for locals on further clarification of one-stop responsibilities.</w:t>
      </w:r>
      <w:r w:rsidR="0026192C">
        <w:t xml:space="preserve"> Title II directors and local areas have attended training provided by DOL on calculation of infrastructure costs and continue to follow US DOL and US ED guidance.</w:t>
      </w:r>
    </w:p>
    <w:p w14:paraId="610FE25A" w14:textId="287B851B" w:rsidR="00DD3DEF" w:rsidRPr="00DD3DEF" w:rsidRDefault="0026192C" w:rsidP="00852A13">
      <w:pPr>
        <w:spacing w:line="256" w:lineRule="auto"/>
        <w:ind w:firstLine="720"/>
      </w:pPr>
      <w:r>
        <w:t>Career Services are provided in the local one-stop and intake participant orientation, testing using CASAS approved assessments and referrals to Title II. Career services are tracked by Title II providers, recorded and ultimately, a quarterly match is conducted using information collected at the one-stop in the America’s One Stop Operating System (AOSOS) and it is compared to Title II files pulled from the LACES database to better determine the career services provided, clients served, and required participant data.</w:t>
      </w:r>
    </w:p>
    <w:p w14:paraId="13CC52A8" w14:textId="77777777" w:rsidR="00157D7E" w:rsidRPr="00F0098E" w:rsidRDefault="00157D7E" w:rsidP="00852A13">
      <w:pPr>
        <w:spacing w:line="256" w:lineRule="auto"/>
        <w:rPr>
          <w:u w:val="single"/>
        </w:rPr>
      </w:pPr>
      <w:r w:rsidRPr="00F0098E">
        <w:rPr>
          <w:b/>
          <w:u w:val="single"/>
        </w:rPr>
        <w:t xml:space="preserve">Integrated English Literacy and Civics Education (IELCE) Program </w:t>
      </w:r>
      <w:r w:rsidRPr="00F0098E">
        <w:rPr>
          <w:u w:val="single"/>
        </w:rPr>
        <w:t>(AEFLA Section 243)</w:t>
      </w:r>
    </w:p>
    <w:p w14:paraId="208BB393" w14:textId="77777777" w:rsidR="00404348" w:rsidRDefault="000F0F98" w:rsidP="00852A13">
      <w:pPr>
        <w:spacing w:line="256" w:lineRule="auto"/>
        <w:contextualSpacing/>
      </w:pPr>
      <w:r>
        <w:t>NJ</w:t>
      </w:r>
      <w:r w:rsidR="000D3DD0">
        <w:t xml:space="preserve"> </w:t>
      </w:r>
      <w:r>
        <w:t>DOL</w:t>
      </w:r>
      <w:r w:rsidR="00157D7E">
        <w:t xml:space="preserve"> </w:t>
      </w:r>
      <w:r w:rsidR="001D2027">
        <w:t>continue</w:t>
      </w:r>
      <w:r w:rsidR="004E2658">
        <w:t>s</w:t>
      </w:r>
      <w:r w:rsidR="001D2027">
        <w:t xml:space="preserve"> to offer</w:t>
      </w:r>
      <w:r w:rsidR="00157D7E">
        <w:t xml:space="preserve"> </w:t>
      </w:r>
      <w:r w:rsidR="004E2658">
        <w:t xml:space="preserve">competitive </w:t>
      </w:r>
      <w:r w:rsidR="00157D7E">
        <w:t xml:space="preserve">IELCE program funding. </w:t>
      </w:r>
      <w:r w:rsidR="00F0098E">
        <w:t xml:space="preserve">A new competition for Title II 243, 225, and 231 funds was held in Spring of 2021. </w:t>
      </w:r>
    </w:p>
    <w:p w14:paraId="2A74DF40" w14:textId="77777777" w:rsidR="00157D7E" w:rsidRDefault="00404348" w:rsidP="00404348">
      <w:pPr>
        <w:pStyle w:val="ListParagraph"/>
        <w:numPr>
          <w:ilvl w:val="0"/>
          <w:numId w:val="21"/>
        </w:numPr>
        <w:spacing w:line="256" w:lineRule="auto"/>
        <w:contextualSpacing/>
      </w:pPr>
      <w:r>
        <w:t>T</w:t>
      </w:r>
      <w:r w:rsidR="00F0098E">
        <w:t>he Department awarded a total</w:t>
      </w:r>
      <w:r>
        <w:t xml:space="preserve"> of 17 NJ Title II providers 243 funding.</w:t>
      </w:r>
    </w:p>
    <w:p w14:paraId="60A573B6" w14:textId="77777777" w:rsidR="00404348" w:rsidRDefault="00404348" w:rsidP="002B03C5">
      <w:pPr>
        <w:pStyle w:val="ListParagraph"/>
        <w:numPr>
          <w:ilvl w:val="0"/>
          <w:numId w:val="8"/>
        </w:numPr>
        <w:spacing w:after="160" w:line="256" w:lineRule="auto"/>
        <w:contextualSpacing/>
      </w:pPr>
      <w:r>
        <w:t xml:space="preserve">The Notice of </w:t>
      </w:r>
      <w:r w:rsidR="00921E75">
        <w:t>Grant</w:t>
      </w:r>
      <w:r>
        <w:t xml:space="preserve"> Opportunity required </w:t>
      </w:r>
      <w:r w:rsidR="00921E75">
        <w:t>eligible</w:t>
      </w:r>
      <w:r>
        <w:t xml:space="preserve"> providers to demonstrate strong plans that aligned with the</w:t>
      </w:r>
      <w:r w:rsidR="00921E75">
        <w:t xml:space="preserve"> </w:t>
      </w:r>
      <w:r>
        <w:t>needs of the local area and WDB local plans;</w:t>
      </w:r>
    </w:p>
    <w:p w14:paraId="465508AD" w14:textId="77777777" w:rsidR="00404348" w:rsidRDefault="00404348" w:rsidP="002B03C5">
      <w:pPr>
        <w:pStyle w:val="ListParagraph"/>
        <w:numPr>
          <w:ilvl w:val="0"/>
          <w:numId w:val="8"/>
        </w:numPr>
        <w:spacing w:after="160" w:line="256" w:lineRule="auto"/>
        <w:contextualSpacing/>
      </w:pPr>
      <w:r>
        <w:t>T</w:t>
      </w:r>
      <w:r w:rsidR="002B0ED7">
        <w:t xml:space="preserve">he IET monitoring tool </w:t>
      </w:r>
      <w:r w:rsidR="007D1D7E">
        <w:t>is</w:t>
      </w:r>
      <w:r w:rsidR="002B0ED7">
        <w:t xml:space="preserve"> used to observe every Title II </w:t>
      </w:r>
      <w:r>
        <w:t>agency utilizing 243 dollars for the IELCE program.</w:t>
      </w:r>
      <w:r w:rsidR="002B0ED7">
        <w:t xml:space="preserve"> </w:t>
      </w:r>
      <w:r>
        <w:t xml:space="preserve">Spending and direct instruction are observed virtually </w:t>
      </w:r>
      <w:r w:rsidR="004B6E98">
        <w:t>(</w:t>
      </w:r>
      <w:r>
        <w:t>and in-person when possible</w:t>
      </w:r>
      <w:r w:rsidR="004B6E98">
        <w:t>)</w:t>
      </w:r>
      <w:r>
        <w:t xml:space="preserve">. </w:t>
      </w:r>
    </w:p>
    <w:p w14:paraId="473A9C7B" w14:textId="77777777" w:rsidR="002B0ED7" w:rsidRDefault="00404348" w:rsidP="002B03C5">
      <w:pPr>
        <w:pStyle w:val="ListParagraph"/>
        <w:numPr>
          <w:ilvl w:val="0"/>
          <w:numId w:val="8"/>
        </w:numPr>
        <w:spacing w:after="160" w:line="256" w:lineRule="auto"/>
        <w:contextualSpacing/>
      </w:pPr>
      <w:r>
        <w:t xml:space="preserve">All providers funded with 243 dollars must provide annual forms </w:t>
      </w:r>
      <w:r w:rsidR="004B6E98">
        <w:t>which</w:t>
      </w:r>
      <w:r>
        <w:t xml:space="preserve"> outline the curricula, training plan and placement for IET/IELCE students.</w:t>
      </w:r>
    </w:p>
    <w:p w14:paraId="2E91E709" w14:textId="77777777" w:rsidR="00157D7E" w:rsidRDefault="00404348" w:rsidP="00404348">
      <w:pPr>
        <w:pStyle w:val="ListParagraph"/>
        <w:numPr>
          <w:ilvl w:val="0"/>
          <w:numId w:val="8"/>
        </w:numPr>
        <w:spacing w:line="256" w:lineRule="auto"/>
        <w:contextualSpacing/>
      </w:pPr>
      <w:r>
        <w:t xml:space="preserve">Title II program directors </w:t>
      </w:r>
      <w:r w:rsidR="00D942A3">
        <w:t xml:space="preserve">and staff </w:t>
      </w:r>
      <w:r>
        <w:t xml:space="preserve">continue to share best practices and </w:t>
      </w:r>
      <w:r w:rsidR="00921E75">
        <w:t>challenges</w:t>
      </w:r>
      <w:r>
        <w:t xml:space="preserve"> via a structured monthly forum with Regional </w:t>
      </w:r>
      <w:r w:rsidR="00921E75">
        <w:t>Coordinators</w:t>
      </w:r>
      <w:r>
        <w:t>. This new forum was started in 2020 and continues</w:t>
      </w:r>
      <w:r w:rsidR="00157D7E">
        <w:t xml:space="preserve"> </w:t>
      </w:r>
      <w:r w:rsidR="00D942A3">
        <w:t>virtually.</w:t>
      </w:r>
    </w:p>
    <w:p w14:paraId="2E5921A2" w14:textId="77777777" w:rsidR="00157D7E" w:rsidRDefault="000F0F98" w:rsidP="00157D7E">
      <w:pPr>
        <w:pStyle w:val="ListParagraph"/>
        <w:numPr>
          <w:ilvl w:val="0"/>
          <w:numId w:val="4"/>
        </w:numPr>
        <w:spacing w:after="160" w:line="256" w:lineRule="auto"/>
        <w:contextualSpacing/>
      </w:pPr>
      <w:r>
        <w:t>NJ</w:t>
      </w:r>
      <w:r w:rsidR="000D3DD0">
        <w:t xml:space="preserve"> </w:t>
      </w:r>
      <w:r>
        <w:t>DOL</w:t>
      </w:r>
      <w:r w:rsidR="00157D7E">
        <w:t xml:space="preserve"> is progressing towards program goals of ensuring that IELCE program activities are integrated with the local workforce development system by way of a required MOU which details the collaboration and pathway for literacy activities between the One-stop, WDB, and Title II lead agencies/partners.</w:t>
      </w:r>
    </w:p>
    <w:p w14:paraId="2C6C03C4" w14:textId="25AE34B4" w:rsidR="000F0F98" w:rsidRPr="0026192C" w:rsidRDefault="00157D7E" w:rsidP="001572BD">
      <w:pPr>
        <w:pStyle w:val="ListParagraph"/>
        <w:numPr>
          <w:ilvl w:val="0"/>
          <w:numId w:val="8"/>
        </w:numPr>
        <w:spacing w:after="160" w:line="256" w:lineRule="auto"/>
        <w:contextualSpacing/>
        <w:rPr>
          <w:b/>
          <w:u w:val="single"/>
        </w:rPr>
      </w:pPr>
      <w:r>
        <w:t xml:space="preserve">To that end, </w:t>
      </w:r>
      <w:r w:rsidR="00DF7840">
        <w:t xml:space="preserve">all Title II </w:t>
      </w:r>
      <w:r w:rsidR="00D942A3">
        <w:t>providers applying for funding during the competition period</w:t>
      </w:r>
      <w:r w:rsidR="008F689D">
        <w:t xml:space="preserve"> </w:t>
      </w:r>
      <w:r w:rsidR="00DF7840">
        <w:t xml:space="preserve">were required to collaborate with the local WDB and document the collaboration via an IET planning </w:t>
      </w:r>
      <w:r w:rsidR="00DF7840">
        <w:lastRenderedPageBreak/>
        <w:t>form</w:t>
      </w:r>
      <w:r w:rsidR="004A0CD2">
        <w:t xml:space="preserve"> as part of their application</w:t>
      </w:r>
      <w:r w:rsidR="00DF7840">
        <w:t>.</w:t>
      </w:r>
      <w:r w:rsidR="004A0CD2">
        <w:t xml:space="preserve"> </w:t>
      </w:r>
      <w:r w:rsidR="000D3DD0">
        <w:t xml:space="preserve">NJ </w:t>
      </w:r>
      <w:r w:rsidR="004A0CD2">
        <w:t>DOL OAL staff shared labor market information to all as a tool to help in planning.</w:t>
      </w:r>
      <w:r w:rsidR="00DF7840">
        <w:t xml:space="preserve"> </w:t>
      </w:r>
    </w:p>
    <w:p w14:paraId="27289357" w14:textId="43A11B82" w:rsidR="0026192C" w:rsidRPr="0026192C" w:rsidRDefault="0026192C" w:rsidP="00852A13">
      <w:pPr>
        <w:spacing w:after="160" w:line="256" w:lineRule="auto"/>
        <w:ind w:firstLine="720"/>
        <w:contextualSpacing/>
        <w:rPr>
          <w:bCs/>
        </w:rPr>
      </w:pPr>
      <w:r w:rsidRPr="0026192C">
        <w:rPr>
          <w:bCs/>
        </w:rPr>
        <w:t>NJ OAL</w:t>
      </w:r>
      <w:r>
        <w:rPr>
          <w:bCs/>
        </w:rPr>
        <w:t xml:space="preserve"> has worked with the DOL Office of</w:t>
      </w:r>
      <w:r w:rsidR="00852A13">
        <w:rPr>
          <w:bCs/>
        </w:rPr>
        <w:t xml:space="preserve"> R</w:t>
      </w:r>
      <w:r>
        <w:rPr>
          <w:bCs/>
        </w:rPr>
        <w:t xml:space="preserve">esearch Information to provide real-time data of in-demand jobs for all areas of the state that currently </w:t>
      </w:r>
      <w:r w:rsidR="00852A13">
        <w:rPr>
          <w:bCs/>
        </w:rPr>
        <w:t>house</w:t>
      </w:r>
      <w:r>
        <w:rPr>
          <w:bCs/>
        </w:rPr>
        <w:t xml:space="preserve"> Title II services. The </w:t>
      </w:r>
      <w:r w:rsidR="00852A13">
        <w:rPr>
          <w:bCs/>
        </w:rPr>
        <w:t xml:space="preserve">continued </w:t>
      </w:r>
      <w:r>
        <w:rPr>
          <w:bCs/>
        </w:rPr>
        <w:t xml:space="preserve">role of Title II is to work with </w:t>
      </w:r>
      <w:r w:rsidR="00852A13">
        <w:rPr>
          <w:bCs/>
        </w:rPr>
        <w:t>the</w:t>
      </w:r>
      <w:r>
        <w:rPr>
          <w:bCs/>
        </w:rPr>
        <w:t xml:space="preserve"> local WDB to understand local plans</w:t>
      </w:r>
      <w:r w:rsidR="00852A13">
        <w:rPr>
          <w:bCs/>
        </w:rPr>
        <w:t>/alignment to the greater workforce system</w:t>
      </w:r>
      <w:r>
        <w:rPr>
          <w:bCs/>
        </w:rPr>
        <w:t xml:space="preserve"> and </w:t>
      </w:r>
      <w:r w:rsidR="00852A13">
        <w:rPr>
          <w:bCs/>
        </w:rPr>
        <w:t>develop career pathways that fit with the labor market information and lead to sustainable career pathways. With that, the State Director of Adult Ed. Of working with the State Council for Adult Literacy Education Services and the NJ Community College Consortium to braid funding and co-plan a stronger career trajectory into unsubsidized employment.</w:t>
      </w:r>
    </w:p>
    <w:p w14:paraId="46D94DB8" w14:textId="77777777" w:rsidR="00157D7E" w:rsidRDefault="00157D7E" w:rsidP="000F0F98">
      <w:pPr>
        <w:spacing w:after="160" w:line="256" w:lineRule="auto"/>
        <w:contextualSpacing/>
        <w:rPr>
          <w:b/>
          <w:u w:val="single"/>
        </w:rPr>
      </w:pPr>
      <w:r w:rsidRPr="004E2658">
        <w:rPr>
          <w:b/>
          <w:u w:val="single"/>
        </w:rPr>
        <w:t>Adult Education Standards</w:t>
      </w:r>
    </w:p>
    <w:p w14:paraId="7B3AB1E6" w14:textId="77777777" w:rsidR="00157D7E" w:rsidRDefault="00157D7E" w:rsidP="00700DBE">
      <w:pPr>
        <w:spacing w:line="256" w:lineRule="auto"/>
        <w:ind w:firstLine="720"/>
        <w:contextualSpacing/>
      </w:pPr>
      <w:r>
        <w:t xml:space="preserve">New Jersey continues to utilize the College and Career Readiness (CCR) Standards for </w:t>
      </w:r>
      <w:r w:rsidR="004A0CD2">
        <w:t xml:space="preserve">Title II </w:t>
      </w:r>
      <w:r>
        <w:t xml:space="preserve">adult education. </w:t>
      </w:r>
      <w:r w:rsidR="000D3DD0">
        <w:t xml:space="preserve">NJ </w:t>
      </w:r>
      <w:r w:rsidR="00D251F1">
        <w:t>DOL</w:t>
      </w:r>
      <w:r>
        <w:t xml:space="preserve"> adult literacy </w:t>
      </w:r>
      <w:r w:rsidR="00330486">
        <w:t>r</w:t>
      </w:r>
      <w:r>
        <w:t xml:space="preserve">egional </w:t>
      </w:r>
      <w:r w:rsidR="00330486">
        <w:t>c</w:t>
      </w:r>
      <w:r>
        <w:t>oordinators regularly review grantee/partner curricul</w:t>
      </w:r>
      <w:r w:rsidR="004A0CD2">
        <w:t>a</w:t>
      </w:r>
      <w:r>
        <w:t xml:space="preserve"> and monitor instruction to ensure the CCR Standards are being effectively met.</w:t>
      </w:r>
      <w:r w:rsidR="00330486">
        <w:t xml:space="preserve"> Regional coordinators </w:t>
      </w:r>
      <w:r w:rsidR="00A8355D">
        <w:t>continue to work</w:t>
      </w:r>
      <w:r w:rsidR="002F1E0B">
        <w:t xml:space="preserve"> to develop professional development </w:t>
      </w:r>
      <w:r w:rsidR="00A8355D">
        <w:t>initiatives in order</w:t>
      </w:r>
      <w:r w:rsidR="002F1E0B">
        <w:t xml:space="preserve"> revisit </w:t>
      </w:r>
      <w:r w:rsidR="004A0CD2">
        <w:t>standards-based</w:t>
      </w:r>
      <w:r w:rsidR="002F1E0B">
        <w:t xml:space="preserve"> training in the coming year.</w:t>
      </w:r>
    </w:p>
    <w:p w14:paraId="15C7AD88" w14:textId="77777777" w:rsidR="00D83F0C" w:rsidRDefault="00D83F0C" w:rsidP="00700DBE">
      <w:pPr>
        <w:rPr>
          <w:b/>
          <w:u w:val="single"/>
        </w:rPr>
      </w:pPr>
    </w:p>
    <w:p w14:paraId="28590051" w14:textId="77777777" w:rsidR="00157D7E" w:rsidRDefault="00157D7E" w:rsidP="00700DBE">
      <w:pPr>
        <w:rPr>
          <w:u w:val="single"/>
        </w:rPr>
      </w:pPr>
      <w:r>
        <w:rPr>
          <w:b/>
          <w:u w:val="single"/>
        </w:rPr>
        <w:t xml:space="preserve">Programs for Corrections Education and the Education of Other Institutionalized Individuals </w:t>
      </w:r>
      <w:r>
        <w:rPr>
          <w:u w:val="single"/>
        </w:rPr>
        <w:t>(AEFLA Section 225)</w:t>
      </w:r>
    </w:p>
    <w:p w14:paraId="088EEE6D" w14:textId="71D691F9" w:rsidR="007D1D7E" w:rsidRDefault="00852A13" w:rsidP="00700DBE">
      <w:pPr>
        <w:ind w:firstLine="450"/>
      </w:pPr>
      <w:r>
        <w:t>P</w:t>
      </w:r>
      <w:r w:rsidR="007D1D7E" w:rsidRPr="007D1D7E">
        <w:t>risons and jails</w:t>
      </w:r>
      <w:r w:rsidR="007D1D7E">
        <w:t xml:space="preserve"> </w:t>
      </w:r>
      <w:r w:rsidR="007D1D7E" w:rsidRPr="007D1D7E">
        <w:t>throughout the State</w:t>
      </w:r>
      <w:r w:rsidR="007D1D7E">
        <w:t xml:space="preserve"> </w:t>
      </w:r>
      <w:r w:rsidR="007A5264">
        <w:t>continued to be</w:t>
      </w:r>
      <w:r w:rsidR="007D1D7E" w:rsidRPr="007D1D7E">
        <w:t xml:space="preserve"> restricted due to COVID-19</w:t>
      </w:r>
      <w:r w:rsidR="007D1D7E">
        <w:t xml:space="preserve"> </w:t>
      </w:r>
      <w:r w:rsidR="007D1D7E" w:rsidRPr="007D1D7E">
        <w:t>policies</w:t>
      </w:r>
      <w:r w:rsidR="009C10B0">
        <w:t xml:space="preserve"> and related closures. NJ</w:t>
      </w:r>
      <w:r w:rsidR="000D3DD0">
        <w:t xml:space="preserve"> </w:t>
      </w:r>
      <w:r w:rsidR="009C10B0">
        <w:t>D</w:t>
      </w:r>
      <w:r w:rsidR="00874A30">
        <w:t>epartment of Corrections (NJ DOC)</w:t>
      </w:r>
      <w:r w:rsidR="009C10B0">
        <w:t xml:space="preserve"> is a Title II provider</w:t>
      </w:r>
      <w:r w:rsidR="0034613A">
        <w:t xml:space="preserve"> awarded through the competition for AEFLA funds</w:t>
      </w:r>
      <w:r w:rsidR="007D1D7E" w:rsidRPr="007D1D7E">
        <w:t>.</w:t>
      </w:r>
      <w:r w:rsidR="009C10B0">
        <w:t xml:space="preserve"> </w:t>
      </w:r>
      <w:r w:rsidR="000F0F98">
        <w:t>NJ</w:t>
      </w:r>
      <w:r w:rsidR="000D3DD0">
        <w:t xml:space="preserve"> </w:t>
      </w:r>
      <w:r w:rsidR="00874A30">
        <w:t>OAL</w:t>
      </w:r>
      <w:r w:rsidR="009C10B0">
        <w:t xml:space="preserve"> staff works to ensure all policies are impl</w:t>
      </w:r>
      <w:r w:rsidR="004E2658">
        <w:t>eme</w:t>
      </w:r>
      <w:r w:rsidR="009C10B0">
        <w:t xml:space="preserve">nted and </w:t>
      </w:r>
      <w:r w:rsidR="00E45F89">
        <w:t xml:space="preserve">that </w:t>
      </w:r>
      <w:r w:rsidR="009C10B0">
        <w:t>NJ</w:t>
      </w:r>
      <w:r w:rsidR="000D3DD0">
        <w:t xml:space="preserve"> </w:t>
      </w:r>
      <w:r w:rsidR="009C10B0">
        <w:t>DOC staff are included in trainings</w:t>
      </w:r>
      <w:r w:rsidR="0034613A">
        <w:t xml:space="preserve"> and professional development</w:t>
      </w:r>
      <w:r w:rsidR="009C10B0">
        <w:t xml:space="preserve"> and are monitored accordingly.</w:t>
      </w:r>
    </w:p>
    <w:p w14:paraId="6E5D82F8" w14:textId="77777777" w:rsidR="007D1D7E" w:rsidRDefault="00A8355D" w:rsidP="004E2658">
      <w:pPr>
        <w:pStyle w:val="ListParagraph"/>
        <w:numPr>
          <w:ilvl w:val="0"/>
          <w:numId w:val="4"/>
        </w:numPr>
      </w:pPr>
      <w:r w:rsidRPr="00A8355D">
        <w:t>The NJ</w:t>
      </w:r>
      <w:r w:rsidR="00705F65">
        <w:t xml:space="preserve"> </w:t>
      </w:r>
      <w:r w:rsidRPr="00A8355D">
        <w:t>DOC provides mandatory education to inmates who do not have a high school diploma or a high school equivalency (HSE) degree. Under the State Facilities Education Act (SFEA) of 1979 (N.J.S.A. 18A:7B1 et seq.), all inmates under the age of 20, as well as those under age 21 with an Individualized Educational Plan (IEP), are provided traditional high school coursework. Students earn credits from their home school districts toward the fulfillment of their high school diplomas. Similarly, inmates who are over the age of 21 who do not have a high school diploma or HSE and have 18 months or more remaining on their sentence before a mandatory release date are eligible for mandatory education programming to obtain a HSE (N.J.S.A. 30:4-92.1 (P.L. 2009, c.330). Within the 2015 release cohort, there were a total of 351 inmates who participated in mandatory education programming during their stay of incarceration</w:t>
      </w:r>
      <w:r>
        <w:t xml:space="preserve"> (</w:t>
      </w:r>
      <w:r w:rsidRPr="00A8355D">
        <w:t>https://njdoc.gov/pdf/offender_statistics/2015_Release_Recidivism_Report.pdf</w:t>
      </w:r>
      <w:r>
        <w:t>.)</w:t>
      </w:r>
    </w:p>
    <w:p w14:paraId="147646DA" w14:textId="77777777" w:rsidR="007D1D7E" w:rsidRDefault="007D1D7E" w:rsidP="004E2658">
      <w:pPr>
        <w:pStyle w:val="ListParagraph"/>
        <w:numPr>
          <w:ilvl w:val="0"/>
          <w:numId w:val="4"/>
        </w:numPr>
      </w:pPr>
      <w:r>
        <w:t xml:space="preserve">It is important to note that educational services were </w:t>
      </w:r>
      <w:r w:rsidRPr="009C10B0">
        <w:rPr>
          <w:u w:val="single"/>
        </w:rPr>
        <w:t>never</w:t>
      </w:r>
      <w:r>
        <w:t xml:space="preserve"> suspended</w:t>
      </w:r>
      <w:r w:rsidR="00A8355D">
        <w:t xml:space="preserve"> during statewide Covid closures</w:t>
      </w:r>
      <w:r>
        <w:t>. Inmates enrolled in education received individualized, paper-based independent work designed and graded by their regular teachers.</w:t>
      </w:r>
    </w:p>
    <w:p w14:paraId="1888DC42" w14:textId="77777777" w:rsidR="007D1D7E" w:rsidRDefault="007D1D7E" w:rsidP="004E2658">
      <w:pPr>
        <w:pStyle w:val="ListParagraph"/>
        <w:numPr>
          <w:ilvl w:val="0"/>
          <w:numId w:val="4"/>
        </w:numPr>
      </w:pPr>
      <w:r>
        <w:t>Paper-based distance education was provided on a continual basis.</w:t>
      </w:r>
    </w:p>
    <w:p w14:paraId="55769941" w14:textId="77777777" w:rsidR="007D1D7E" w:rsidRDefault="009C10B0" w:rsidP="004E2658">
      <w:pPr>
        <w:pStyle w:val="ListParagraph"/>
        <w:numPr>
          <w:ilvl w:val="0"/>
          <w:numId w:val="4"/>
        </w:numPr>
      </w:pPr>
      <w:r>
        <w:t xml:space="preserve">The COVID-19 pandemic and resulting closures </w:t>
      </w:r>
      <w:r w:rsidR="00A8355D">
        <w:t>continue to expose a</w:t>
      </w:r>
      <w:r w:rsidR="007D1D7E">
        <w:t xml:space="preserve"> general lack of technology and connectivity in State prisons </w:t>
      </w:r>
      <w:r>
        <w:t xml:space="preserve">(and elsewhere) </w:t>
      </w:r>
      <w:r w:rsidR="007D1D7E">
        <w:t xml:space="preserve">which presents a constant challenge. Students do not have access to mobile devices or internet connectivity. </w:t>
      </w:r>
      <w:r w:rsidR="00A8355D">
        <w:t>The State Director for Adult Ed. continues to discuss this in a number of workgroups.</w:t>
      </w:r>
    </w:p>
    <w:p w14:paraId="41E2452E" w14:textId="77777777" w:rsidR="007D1D7E" w:rsidRDefault="007D1D7E" w:rsidP="004E2658">
      <w:pPr>
        <w:pStyle w:val="ListParagraph"/>
        <w:numPr>
          <w:ilvl w:val="0"/>
          <w:numId w:val="4"/>
        </w:numPr>
      </w:pPr>
      <w:r>
        <w:t>NJ</w:t>
      </w:r>
      <w:r w:rsidR="000D3DD0">
        <w:t xml:space="preserve"> </w:t>
      </w:r>
      <w:r>
        <w:t xml:space="preserve">DOC uses a return to DOC custody (i.e., a reincarceration) </w:t>
      </w:r>
      <w:r w:rsidRPr="009C10B0">
        <w:rPr>
          <w:u w:val="single"/>
        </w:rPr>
        <w:t>within three years</w:t>
      </w:r>
      <w:r>
        <w:t xml:space="preserve"> as a measure of recidivism. For the 2015 release cohort, the reincarceration rate was 30.4%. Said another way, 30.4% of persons released in 2015 returned to DOC custody within three years.</w:t>
      </w:r>
    </w:p>
    <w:p w14:paraId="208B97DF" w14:textId="77777777" w:rsidR="0034613A" w:rsidRPr="0034613A" w:rsidRDefault="0034613A" w:rsidP="002F1E0B">
      <w:pPr>
        <w:rPr>
          <w:b/>
          <w:u w:val="single"/>
        </w:rPr>
      </w:pPr>
      <w:r w:rsidRPr="0034613A">
        <w:rPr>
          <w:b/>
          <w:u w:val="single"/>
        </w:rPr>
        <w:t>Conclusion</w:t>
      </w:r>
    </w:p>
    <w:p w14:paraId="264E1CC8" w14:textId="77777777" w:rsidR="002F1E0B" w:rsidRDefault="002F1E0B" w:rsidP="00700DBE">
      <w:pPr>
        <w:ind w:firstLine="720"/>
      </w:pPr>
      <w:r>
        <w:t>New Jersey</w:t>
      </w:r>
      <w:r w:rsidRPr="002F1E0B">
        <w:t xml:space="preserve"> is placing increased emphasis on the development and continuous improvement of a seamless system of </w:t>
      </w:r>
      <w:r>
        <w:t xml:space="preserve">adult </w:t>
      </w:r>
      <w:r w:rsidRPr="002F1E0B">
        <w:t xml:space="preserve">education that ensures ease in student transition from </w:t>
      </w:r>
      <w:r>
        <w:t>education to sustainable career pathways. The NJ</w:t>
      </w:r>
      <w:r w:rsidR="000D3DD0">
        <w:t xml:space="preserve"> </w:t>
      </w:r>
      <w:r>
        <w:t xml:space="preserve">DOL OAL </w:t>
      </w:r>
      <w:r w:rsidRPr="002F1E0B">
        <w:t xml:space="preserve">is committed to </w:t>
      </w:r>
      <w:r>
        <w:t xml:space="preserve">ensuring </w:t>
      </w:r>
      <w:r w:rsidR="00A344D4">
        <w:t xml:space="preserve">full </w:t>
      </w:r>
      <w:r>
        <w:t>support and</w:t>
      </w:r>
      <w:r w:rsidR="00A344D4">
        <w:t xml:space="preserve"> innovation</w:t>
      </w:r>
      <w:r w:rsidRPr="002F1E0B">
        <w:t xml:space="preserve"> </w:t>
      </w:r>
      <w:r w:rsidR="00A344D4">
        <w:t>for every</w:t>
      </w:r>
      <w:r>
        <w:t xml:space="preserve"> </w:t>
      </w:r>
      <w:r w:rsidR="00A344D4">
        <w:t xml:space="preserve">Title II funded </w:t>
      </w:r>
      <w:r w:rsidR="00A344D4">
        <w:lastRenderedPageBreak/>
        <w:t>pro</w:t>
      </w:r>
      <w:r w:rsidR="00A8355D">
        <w:t xml:space="preserve">gram and is working to break down silos and barriers by way of multi-faceted approaches which involve </w:t>
      </w:r>
      <w:r w:rsidR="0034613A">
        <w:t xml:space="preserve">discussions across </w:t>
      </w:r>
      <w:r w:rsidR="00A8355D">
        <w:t xml:space="preserve">multiple agencies, </w:t>
      </w:r>
      <w:r w:rsidR="0034613A">
        <w:t xml:space="preserve">implementation of new </w:t>
      </w:r>
      <w:r w:rsidR="00A8355D">
        <w:t>technolog</w:t>
      </w:r>
      <w:r w:rsidR="0034613A">
        <w:t>y</w:t>
      </w:r>
      <w:r w:rsidR="00A8355D">
        <w:t xml:space="preserve"> and </w:t>
      </w:r>
      <w:r w:rsidR="0034613A">
        <w:t xml:space="preserve">professional </w:t>
      </w:r>
      <w:r w:rsidR="00A8355D">
        <w:t>training to better serve our Title II population.</w:t>
      </w:r>
    </w:p>
    <w:sectPr w:rsidR="002F1E0B" w:rsidSect="004E265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67F60" w14:textId="77777777" w:rsidR="00157CC4" w:rsidRDefault="00157CC4" w:rsidP="00DF7840">
      <w:r>
        <w:separator/>
      </w:r>
    </w:p>
  </w:endnote>
  <w:endnote w:type="continuationSeparator" w:id="0">
    <w:p w14:paraId="2FC7F906" w14:textId="77777777" w:rsidR="00157CC4" w:rsidRDefault="00157CC4" w:rsidP="00DF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C446" w14:textId="77777777" w:rsidR="00A73C51" w:rsidRDefault="00A73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95357"/>
      <w:docPartObj>
        <w:docPartGallery w:val="Page Numbers (Bottom of Page)"/>
        <w:docPartUnique/>
      </w:docPartObj>
    </w:sdtPr>
    <w:sdtEndPr>
      <w:rPr>
        <w:noProof/>
      </w:rPr>
    </w:sdtEndPr>
    <w:sdtContent>
      <w:p w14:paraId="0EAED984" w14:textId="77777777" w:rsidR="00404348" w:rsidRDefault="004043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DB5705" w14:textId="77777777" w:rsidR="00404348" w:rsidRDefault="004043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3E12" w14:textId="77777777" w:rsidR="00404348" w:rsidRDefault="00404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BF472" w14:textId="77777777" w:rsidR="00157CC4" w:rsidRDefault="00157CC4" w:rsidP="00DF7840">
      <w:r>
        <w:separator/>
      </w:r>
    </w:p>
  </w:footnote>
  <w:footnote w:type="continuationSeparator" w:id="0">
    <w:p w14:paraId="65418D90" w14:textId="77777777" w:rsidR="00157CC4" w:rsidRDefault="00157CC4" w:rsidP="00DF7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EF05" w14:textId="77777777" w:rsidR="00A73C51" w:rsidRDefault="00A73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A69A" w14:textId="77777777" w:rsidR="00A73C51" w:rsidRDefault="00A73C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4FA0" w14:textId="77777777" w:rsidR="00A73C51" w:rsidRDefault="00A73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E06A9"/>
    <w:multiLevelType w:val="hybridMultilevel"/>
    <w:tmpl w:val="4A18E18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8E5424C"/>
    <w:multiLevelType w:val="hybridMultilevel"/>
    <w:tmpl w:val="5008998E"/>
    <w:lvl w:ilvl="0" w:tplc="016CC3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94001E"/>
    <w:multiLevelType w:val="hybridMultilevel"/>
    <w:tmpl w:val="49F82540"/>
    <w:lvl w:ilvl="0" w:tplc="016CC3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3F0C01"/>
    <w:multiLevelType w:val="hybridMultilevel"/>
    <w:tmpl w:val="65F496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4B5978"/>
    <w:multiLevelType w:val="hybridMultilevel"/>
    <w:tmpl w:val="57AA7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8A0E6D"/>
    <w:multiLevelType w:val="hybridMultilevel"/>
    <w:tmpl w:val="57E8C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38CC3AB3"/>
    <w:multiLevelType w:val="hybridMultilevel"/>
    <w:tmpl w:val="D772B9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3E9D4497"/>
    <w:multiLevelType w:val="hybridMultilevel"/>
    <w:tmpl w:val="2F6490FA"/>
    <w:lvl w:ilvl="0" w:tplc="04090003">
      <w:start w:val="1"/>
      <w:numFmt w:val="bullet"/>
      <w:lvlText w:val="o"/>
      <w:lvlJc w:val="left"/>
      <w:pPr>
        <w:ind w:left="1740" w:hanging="360"/>
      </w:pPr>
      <w:rPr>
        <w:rFonts w:ascii="Courier New" w:hAnsi="Courier New" w:cs="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8" w15:restartNumberingAfterBreak="0">
    <w:nsid w:val="3EBE470A"/>
    <w:multiLevelType w:val="hybridMultilevel"/>
    <w:tmpl w:val="2012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52B0A"/>
    <w:multiLevelType w:val="hybridMultilevel"/>
    <w:tmpl w:val="C4DE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4A5A86"/>
    <w:multiLevelType w:val="hybridMultilevel"/>
    <w:tmpl w:val="302C627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9322429"/>
    <w:multiLevelType w:val="hybridMultilevel"/>
    <w:tmpl w:val="FA3444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F4819E8"/>
    <w:multiLevelType w:val="hybridMultilevel"/>
    <w:tmpl w:val="081C7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0BB23EA"/>
    <w:multiLevelType w:val="hybridMultilevel"/>
    <w:tmpl w:val="F9BC46A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66F21DC3"/>
    <w:multiLevelType w:val="hybridMultilevel"/>
    <w:tmpl w:val="B9E4E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FBB3195"/>
    <w:multiLevelType w:val="hybridMultilevel"/>
    <w:tmpl w:val="9F782F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1994C43"/>
    <w:multiLevelType w:val="hybridMultilevel"/>
    <w:tmpl w:val="CDDC2D9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4"/>
  </w:num>
  <w:num w:numId="2">
    <w:abstractNumId w:val="0"/>
  </w:num>
  <w:num w:numId="3">
    <w:abstractNumId w:val="4"/>
  </w:num>
  <w:num w:numId="4">
    <w:abstractNumId w:val="10"/>
  </w:num>
  <w:num w:numId="5">
    <w:abstractNumId w:val="11"/>
  </w:num>
  <w:num w:numId="6">
    <w:abstractNumId w:val="1"/>
  </w:num>
  <w:num w:numId="7">
    <w:abstractNumId w:val="2"/>
  </w:num>
  <w:num w:numId="8">
    <w:abstractNumId w:val="6"/>
  </w:num>
  <w:num w:numId="9">
    <w:abstractNumId w:val="12"/>
  </w:num>
  <w:num w:numId="10">
    <w:abstractNumId w:val="13"/>
  </w:num>
  <w:num w:numId="11">
    <w:abstractNumId w:val="0"/>
  </w:num>
  <w:num w:numId="12">
    <w:abstractNumId w:val="15"/>
  </w:num>
  <w:num w:numId="13">
    <w:abstractNumId w:val="7"/>
  </w:num>
  <w:num w:numId="14">
    <w:abstractNumId w:val="16"/>
  </w:num>
  <w:num w:numId="15">
    <w:abstractNumId w:val="3"/>
  </w:num>
  <w:num w:numId="16">
    <w:abstractNumId w:val="1"/>
  </w:num>
  <w:num w:numId="17">
    <w:abstractNumId w:val="2"/>
  </w:num>
  <w:num w:numId="18">
    <w:abstractNumId w:va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9"/>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D7E"/>
    <w:rsid w:val="00000633"/>
    <w:rsid w:val="00066AB9"/>
    <w:rsid w:val="00070430"/>
    <w:rsid w:val="00090064"/>
    <w:rsid w:val="000974AB"/>
    <w:rsid w:val="000A347C"/>
    <w:rsid w:val="000B793F"/>
    <w:rsid w:val="000C0C3C"/>
    <w:rsid w:val="000C6050"/>
    <w:rsid w:val="000D3DD0"/>
    <w:rsid w:val="000E107A"/>
    <w:rsid w:val="000F0F98"/>
    <w:rsid w:val="00102948"/>
    <w:rsid w:val="00111DBF"/>
    <w:rsid w:val="00121528"/>
    <w:rsid w:val="001261EB"/>
    <w:rsid w:val="001334E5"/>
    <w:rsid w:val="00140409"/>
    <w:rsid w:val="00157CC4"/>
    <w:rsid w:val="00157D7E"/>
    <w:rsid w:val="0016769B"/>
    <w:rsid w:val="001734E6"/>
    <w:rsid w:val="001A1E74"/>
    <w:rsid w:val="001B53A6"/>
    <w:rsid w:val="001C4353"/>
    <w:rsid w:val="001D0958"/>
    <w:rsid w:val="001D2027"/>
    <w:rsid w:val="001D2D99"/>
    <w:rsid w:val="001F7B46"/>
    <w:rsid w:val="002015A4"/>
    <w:rsid w:val="00242249"/>
    <w:rsid w:val="0026192C"/>
    <w:rsid w:val="002B03C5"/>
    <w:rsid w:val="002B0ED7"/>
    <w:rsid w:val="002B1B0B"/>
    <w:rsid w:val="002B1E05"/>
    <w:rsid w:val="002C234B"/>
    <w:rsid w:val="002D3058"/>
    <w:rsid w:val="002E13B3"/>
    <w:rsid w:val="002E54D1"/>
    <w:rsid w:val="002F1E0B"/>
    <w:rsid w:val="00322791"/>
    <w:rsid w:val="00327A16"/>
    <w:rsid w:val="00330032"/>
    <w:rsid w:val="00330486"/>
    <w:rsid w:val="00336CAA"/>
    <w:rsid w:val="00341952"/>
    <w:rsid w:val="0034613A"/>
    <w:rsid w:val="003732C4"/>
    <w:rsid w:val="00380BFA"/>
    <w:rsid w:val="003834BB"/>
    <w:rsid w:val="00397C35"/>
    <w:rsid w:val="003A6F7C"/>
    <w:rsid w:val="003B0E70"/>
    <w:rsid w:val="003D6955"/>
    <w:rsid w:val="003E4700"/>
    <w:rsid w:val="003E4B7A"/>
    <w:rsid w:val="003F32E9"/>
    <w:rsid w:val="00404348"/>
    <w:rsid w:val="0041203D"/>
    <w:rsid w:val="004171A2"/>
    <w:rsid w:val="00431BE1"/>
    <w:rsid w:val="00446202"/>
    <w:rsid w:val="00455DEE"/>
    <w:rsid w:val="00485338"/>
    <w:rsid w:val="004A0CD2"/>
    <w:rsid w:val="004A479D"/>
    <w:rsid w:val="004B6E98"/>
    <w:rsid w:val="004E2658"/>
    <w:rsid w:val="00515D48"/>
    <w:rsid w:val="005A1B22"/>
    <w:rsid w:val="005B4B9A"/>
    <w:rsid w:val="005C5AB9"/>
    <w:rsid w:val="005D12A2"/>
    <w:rsid w:val="005E1076"/>
    <w:rsid w:val="005F3A7E"/>
    <w:rsid w:val="005F5C1E"/>
    <w:rsid w:val="006260B2"/>
    <w:rsid w:val="00630390"/>
    <w:rsid w:val="0066019A"/>
    <w:rsid w:val="00662A67"/>
    <w:rsid w:val="006872B2"/>
    <w:rsid w:val="0069103A"/>
    <w:rsid w:val="00691D49"/>
    <w:rsid w:val="006C6EDC"/>
    <w:rsid w:val="006D0696"/>
    <w:rsid w:val="006F44C2"/>
    <w:rsid w:val="00700DBE"/>
    <w:rsid w:val="00701F0C"/>
    <w:rsid w:val="00705F65"/>
    <w:rsid w:val="0071437D"/>
    <w:rsid w:val="007238A6"/>
    <w:rsid w:val="007415AD"/>
    <w:rsid w:val="007415B4"/>
    <w:rsid w:val="00767E30"/>
    <w:rsid w:val="00781CA5"/>
    <w:rsid w:val="007844D1"/>
    <w:rsid w:val="00793727"/>
    <w:rsid w:val="00793BE5"/>
    <w:rsid w:val="007A2D53"/>
    <w:rsid w:val="007A5264"/>
    <w:rsid w:val="007A5B16"/>
    <w:rsid w:val="007A6912"/>
    <w:rsid w:val="007D1D7E"/>
    <w:rsid w:val="00824863"/>
    <w:rsid w:val="00852A13"/>
    <w:rsid w:val="008723C3"/>
    <w:rsid w:val="00874A30"/>
    <w:rsid w:val="00875CD8"/>
    <w:rsid w:val="0088134C"/>
    <w:rsid w:val="008B60E3"/>
    <w:rsid w:val="008C63A6"/>
    <w:rsid w:val="008E61AD"/>
    <w:rsid w:val="008F689D"/>
    <w:rsid w:val="008F7739"/>
    <w:rsid w:val="00921E75"/>
    <w:rsid w:val="009350EE"/>
    <w:rsid w:val="00957462"/>
    <w:rsid w:val="009B0A65"/>
    <w:rsid w:val="009B6C6E"/>
    <w:rsid w:val="009C10B0"/>
    <w:rsid w:val="009D2A6A"/>
    <w:rsid w:val="00A344D4"/>
    <w:rsid w:val="00A43AFA"/>
    <w:rsid w:val="00A43CCE"/>
    <w:rsid w:val="00A45F7F"/>
    <w:rsid w:val="00A57464"/>
    <w:rsid w:val="00A73C51"/>
    <w:rsid w:val="00A83532"/>
    <w:rsid w:val="00A8355D"/>
    <w:rsid w:val="00AB283E"/>
    <w:rsid w:val="00AF2BA0"/>
    <w:rsid w:val="00AF317C"/>
    <w:rsid w:val="00AF3E8A"/>
    <w:rsid w:val="00AF756E"/>
    <w:rsid w:val="00B0331F"/>
    <w:rsid w:val="00B13E53"/>
    <w:rsid w:val="00B465C1"/>
    <w:rsid w:val="00B8065B"/>
    <w:rsid w:val="00BD019A"/>
    <w:rsid w:val="00BF20BA"/>
    <w:rsid w:val="00BF7069"/>
    <w:rsid w:val="00C1584D"/>
    <w:rsid w:val="00C34EEE"/>
    <w:rsid w:val="00C360BF"/>
    <w:rsid w:val="00C561CB"/>
    <w:rsid w:val="00C57282"/>
    <w:rsid w:val="00C84754"/>
    <w:rsid w:val="00C911A3"/>
    <w:rsid w:val="00CB2B0A"/>
    <w:rsid w:val="00CF4442"/>
    <w:rsid w:val="00CF4798"/>
    <w:rsid w:val="00D0275F"/>
    <w:rsid w:val="00D251F1"/>
    <w:rsid w:val="00D31FE1"/>
    <w:rsid w:val="00D4170D"/>
    <w:rsid w:val="00D7140C"/>
    <w:rsid w:val="00D73ED9"/>
    <w:rsid w:val="00D83F0C"/>
    <w:rsid w:val="00D942A3"/>
    <w:rsid w:val="00DC1EE2"/>
    <w:rsid w:val="00DD3DEF"/>
    <w:rsid w:val="00DF7840"/>
    <w:rsid w:val="00E45F89"/>
    <w:rsid w:val="00E46439"/>
    <w:rsid w:val="00E51568"/>
    <w:rsid w:val="00E51B83"/>
    <w:rsid w:val="00E56AB3"/>
    <w:rsid w:val="00E8395D"/>
    <w:rsid w:val="00E92EF4"/>
    <w:rsid w:val="00F0098E"/>
    <w:rsid w:val="00F05989"/>
    <w:rsid w:val="00F13DE0"/>
    <w:rsid w:val="00F20101"/>
    <w:rsid w:val="00F20CC6"/>
    <w:rsid w:val="00F32D6B"/>
    <w:rsid w:val="00F338FC"/>
    <w:rsid w:val="00F37FD2"/>
    <w:rsid w:val="00F445AB"/>
    <w:rsid w:val="00F87E3B"/>
    <w:rsid w:val="00F97373"/>
    <w:rsid w:val="00FA3DF9"/>
    <w:rsid w:val="00FA53FA"/>
    <w:rsid w:val="00FC3AF2"/>
    <w:rsid w:val="00FC5C4F"/>
    <w:rsid w:val="00FE3642"/>
    <w:rsid w:val="00FF197C"/>
    <w:rsid w:val="00FF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3E1CB8D"/>
  <w15:chartTrackingRefBased/>
  <w15:docId w15:val="{045C2949-314B-4488-9601-C63CB8AC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D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7D7E"/>
    <w:rPr>
      <w:color w:val="0000FF"/>
      <w:u w:val="single"/>
    </w:rPr>
  </w:style>
  <w:style w:type="paragraph" w:styleId="ListParagraph">
    <w:name w:val="List Paragraph"/>
    <w:basedOn w:val="Normal"/>
    <w:uiPriority w:val="34"/>
    <w:qFormat/>
    <w:rsid w:val="00157D7E"/>
    <w:pPr>
      <w:ind w:left="720"/>
    </w:pPr>
  </w:style>
  <w:style w:type="paragraph" w:customStyle="1" w:styleId="Default">
    <w:name w:val="Default"/>
    <w:rsid w:val="00157D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DF7840"/>
    <w:pPr>
      <w:tabs>
        <w:tab w:val="center" w:pos="4680"/>
        <w:tab w:val="right" w:pos="9360"/>
      </w:tabs>
    </w:pPr>
  </w:style>
  <w:style w:type="character" w:customStyle="1" w:styleId="HeaderChar">
    <w:name w:val="Header Char"/>
    <w:basedOn w:val="DefaultParagraphFont"/>
    <w:link w:val="Header"/>
    <w:uiPriority w:val="99"/>
    <w:rsid w:val="00DF78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7840"/>
    <w:pPr>
      <w:tabs>
        <w:tab w:val="center" w:pos="4680"/>
        <w:tab w:val="right" w:pos="9360"/>
      </w:tabs>
    </w:pPr>
  </w:style>
  <w:style w:type="character" w:customStyle="1" w:styleId="FooterChar">
    <w:name w:val="Footer Char"/>
    <w:basedOn w:val="DefaultParagraphFont"/>
    <w:link w:val="Footer"/>
    <w:uiPriority w:val="99"/>
    <w:rsid w:val="00DF7840"/>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30486"/>
    <w:rPr>
      <w:color w:val="605E5C"/>
      <w:shd w:val="clear" w:color="auto" w:fill="E1DFDD"/>
    </w:rPr>
  </w:style>
  <w:style w:type="character" w:styleId="PlaceholderText">
    <w:name w:val="Placeholder Text"/>
    <w:basedOn w:val="DefaultParagraphFont"/>
    <w:uiPriority w:val="99"/>
    <w:semiHidden/>
    <w:rsid w:val="005F5C1E"/>
    <w:rPr>
      <w:color w:val="808080"/>
    </w:rPr>
  </w:style>
  <w:style w:type="character" w:styleId="CommentReference">
    <w:name w:val="annotation reference"/>
    <w:basedOn w:val="DefaultParagraphFont"/>
    <w:uiPriority w:val="99"/>
    <w:semiHidden/>
    <w:unhideWhenUsed/>
    <w:rsid w:val="007415AD"/>
    <w:rPr>
      <w:sz w:val="16"/>
      <w:szCs w:val="16"/>
    </w:rPr>
  </w:style>
  <w:style w:type="paragraph" w:styleId="CommentText">
    <w:name w:val="annotation text"/>
    <w:basedOn w:val="Normal"/>
    <w:link w:val="CommentTextChar"/>
    <w:uiPriority w:val="99"/>
    <w:semiHidden/>
    <w:unhideWhenUsed/>
    <w:rsid w:val="007415AD"/>
    <w:rPr>
      <w:sz w:val="20"/>
      <w:szCs w:val="20"/>
    </w:rPr>
  </w:style>
  <w:style w:type="character" w:customStyle="1" w:styleId="CommentTextChar">
    <w:name w:val="Comment Text Char"/>
    <w:basedOn w:val="DefaultParagraphFont"/>
    <w:link w:val="CommentText"/>
    <w:uiPriority w:val="99"/>
    <w:semiHidden/>
    <w:rsid w:val="007415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15AD"/>
    <w:rPr>
      <w:b/>
      <w:bCs/>
    </w:rPr>
  </w:style>
  <w:style w:type="character" w:customStyle="1" w:styleId="CommentSubjectChar">
    <w:name w:val="Comment Subject Char"/>
    <w:basedOn w:val="CommentTextChar"/>
    <w:link w:val="CommentSubject"/>
    <w:uiPriority w:val="99"/>
    <w:semiHidden/>
    <w:rsid w:val="007415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41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5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1700">
      <w:bodyDiv w:val="1"/>
      <w:marLeft w:val="0"/>
      <w:marRight w:val="0"/>
      <w:marTop w:val="0"/>
      <w:marBottom w:val="0"/>
      <w:divBdr>
        <w:top w:val="none" w:sz="0" w:space="0" w:color="auto"/>
        <w:left w:val="none" w:sz="0" w:space="0" w:color="auto"/>
        <w:bottom w:val="none" w:sz="0" w:space="0" w:color="auto"/>
        <w:right w:val="none" w:sz="0" w:space="0" w:color="auto"/>
      </w:divBdr>
    </w:div>
    <w:div w:id="418451570">
      <w:bodyDiv w:val="1"/>
      <w:marLeft w:val="0"/>
      <w:marRight w:val="0"/>
      <w:marTop w:val="0"/>
      <w:marBottom w:val="0"/>
      <w:divBdr>
        <w:top w:val="none" w:sz="0" w:space="0" w:color="auto"/>
        <w:left w:val="none" w:sz="0" w:space="0" w:color="auto"/>
        <w:bottom w:val="none" w:sz="0" w:space="0" w:color="auto"/>
        <w:right w:val="none" w:sz="0" w:space="0" w:color="auto"/>
      </w:divBdr>
    </w:div>
    <w:div w:id="113745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56754C80DB0E42AFD28E6D2F00C9F8" ma:contentTypeVersion="11" ma:contentTypeDescription="Create a new document." ma:contentTypeScope="" ma:versionID="27dff0eb9e2664b36edf21cc202b993f">
  <xsd:schema xmlns:xsd="http://www.w3.org/2001/XMLSchema" xmlns:xs="http://www.w3.org/2001/XMLSchema" xmlns:p="http://schemas.microsoft.com/office/2006/metadata/properties" xmlns:ns3="5fc2c4dc-e240-403f-bafc-ccfdc66f7669" xmlns:ns4="90f0a014-b5a8-42b6-97fd-2eda6097c3a7" targetNamespace="http://schemas.microsoft.com/office/2006/metadata/properties" ma:root="true" ma:fieldsID="efeb56e5430de04f113ce1f901a9202d" ns3:_="" ns4:_="">
    <xsd:import namespace="5fc2c4dc-e240-403f-bafc-ccfdc66f7669"/>
    <xsd:import namespace="90f0a014-b5a8-42b6-97fd-2eda6097c3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2c4dc-e240-403f-bafc-ccfdc66f7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f0a014-b5a8-42b6-97fd-2eda6097c3a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FEF236-9D99-4404-A95D-3A776A23F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2c4dc-e240-403f-bafc-ccfdc66f7669"/>
    <ds:schemaRef ds:uri="90f0a014-b5a8-42b6-97fd-2eda6097c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B58AEA-AF34-45D4-A9F6-13E0FDAF96B0}">
  <ds:schemaRefs>
    <ds:schemaRef ds:uri="http://schemas.openxmlformats.org/officeDocument/2006/bibliography"/>
  </ds:schemaRefs>
</ds:datastoreItem>
</file>

<file path=customXml/itemProps3.xml><?xml version="1.0" encoding="utf-8"?>
<ds:datastoreItem xmlns:ds="http://schemas.openxmlformats.org/officeDocument/2006/customXml" ds:itemID="{D8FA3928-E6CC-4EFC-A9E7-F42669F1E509}">
  <ds:schemaRefs>
    <ds:schemaRef ds:uri="http://schemas.microsoft.com/sharepoint/v3/contenttype/forms"/>
  </ds:schemaRefs>
</ds:datastoreItem>
</file>

<file path=customXml/itemProps4.xml><?xml version="1.0" encoding="utf-8"?>
<ds:datastoreItem xmlns:ds="http://schemas.openxmlformats.org/officeDocument/2006/customXml" ds:itemID="{199FFC8C-68B1-4185-9860-BC66BD5547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5158</Words>
  <Characters>29407</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Jubanyik, Danielle</dc:creator>
  <cp:keywords/>
  <dc:description/>
  <cp:lastModifiedBy>Jubanyik, Danielle [DOL]</cp:lastModifiedBy>
  <cp:revision>5</cp:revision>
  <cp:lastPrinted>2021-12-14T19:58:00Z</cp:lastPrinted>
  <dcterms:created xsi:type="dcterms:W3CDTF">2022-04-11T15:26:00Z</dcterms:created>
  <dcterms:modified xsi:type="dcterms:W3CDTF">2022-04-11T15:27:00Z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0x0101002156754C80DB0E42AFD28E6D2F00C9F8</vt:lpwstr>
  </property>
</Properties>
</file>