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imes New Roman" w:hAnsi="Calibri" w:cs="Times New Roman"/>
          <w:b w:val="0"/>
          <w:color w:val="auto"/>
          <w:sz w:val="20"/>
          <w:szCs w:val="22"/>
        </w:rPr>
        <w:id w:val="10729564"/>
        <w:docPartObj>
          <w:docPartGallery w:val="Cover Pages"/>
          <w:docPartUnique/>
        </w:docPartObj>
      </w:sdtPr>
      <w:sdtEndPr>
        <w:rPr>
          <w:rFonts w:asciiTheme="minorHAnsi" w:eastAsiaTheme="majorEastAsia" w:hAnsiTheme="minorHAnsi" w:cs="Arial"/>
          <w:b/>
          <w:color w:val="003865" w:themeColor="accent1"/>
          <w:sz w:val="24"/>
          <w:szCs w:val="24"/>
        </w:rPr>
      </w:sdtEndPr>
      <w:sdtContent>
        <w:p w14:paraId="33FEFF5A" w14:textId="77777777" w:rsidR="008E09D4" w:rsidRPr="00B82F89" w:rsidRDefault="008E09D4" w:rsidP="00281C1E">
          <w:pPr>
            <w:pStyle w:val="Heading2"/>
            <w:spacing w:before="240" w:after="120"/>
            <w:rPr>
              <w:sz w:val="28"/>
            </w:rPr>
          </w:pPr>
          <w:r w:rsidRPr="00B82F89">
            <w:rPr>
              <w:sz w:val="28"/>
            </w:rPr>
            <w:t>S</w:t>
          </w:r>
          <w:r w:rsidR="00F527D3" w:rsidRPr="00B82F89">
            <w:rPr>
              <w:sz w:val="28"/>
            </w:rPr>
            <w:t>ection 1: State Leadership Funds (AEFLA Section 223)</w:t>
          </w:r>
        </w:p>
        <w:p w14:paraId="5896DE7C" w14:textId="77777777" w:rsidR="008E09D4" w:rsidRPr="00403EA9" w:rsidRDefault="00F527D3" w:rsidP="00281C1E">
          <w:pPr>
            <w:pStyle w:val="Heading3"/>
            <w:numPr>
              <w:ilvl w:val="0"/>
              <w:numId w:val="28"/>
            </w:numPr>
            <w:tabs>
              <w:tab w:val="left" w:pos="360"/>
            </w:tabs>
            <w:spacing w:before="0" w:after="0"/>
            <w:ind w:left="360"/>
            <w:rPr>
              <w:b w:val="0"/>
              <w:i/>
              <w:sz w:val="22"/>
            </w:rPr>
          </w:pPr>
          <w:r w:rsidRPr="00403EA9">
            <w:rPr>
              <w:b w:val="0"/>
              <w:i/>
              <w:sz w:val="22"/>
            </w:rPr>
            <w:t>Describe how the State has used funds made available under section 223 (State Leadership activities) for each the following required activities:</w:t>
          </w:r>
        </w:p>
        <w:p w14:paraId="2EE21D21" w14:textId="77777777" w:rsidR="00E45AFA" w:rsidRPr="00403EA9" w:rsidRDefault="00E45AFA" w:rsidP="00B82F89">
          <w:pPr>
            <w:pStyle w:val="Heading4"/>
            <w:numPr>
              <w:ilvl w:val="0"/>
              <w:numId w:val="29"/>
            </w:numPr>
            <w:spacing w:before="0" w:after="0"/>
            <w:rPr>
              <w:b w:val="0"/>
              <w:i/>
              <w:sz w:val="22"/>
            </w:rPr>
          </w:pPr>
          <w:r w:rsidRPr="00403EA9">
            <w:rPr>
              <w:b w:val="0"/>
              <w:i/>
              <w:sz w:val="22"/>
            </w:rPr>
            <w:t>Alignment of adult education and literacy activities with other one-stop required partners to implement the strategies in the Unified or Combined State Plan as described in section 223(1)(a).</w:t>
          </w:r>
        </w:p>
        <w:p w14:paraId="07278E4C" w14:textId="06786B2D" w:rsidR="002048AB" w:rsidRDefault="002048AB" w:rsidP="002048AB">
          <w:pPr>
            <w:rPr>
              <w:lang w:bidi="ar-SA"/>
            </w:rPr>
          </w:pPr>
          <w:r>
            <w:rPr>
              <w:lang w:bidi="ar-SA"/>
            </w:rPr>
            <w:t xml:space="preserve">Minnesota funds 10 transitions regions across the state. The purpose of funding these regions is to build capacity within the </w:t>
          </w:r>
          <w:r w:rsidR="00D03A3F">
            <w:rPr>
              <w:lang w:bidi="ar-SA"/>
            </w:rPr>
            <w:t>Minnesota Adult E</w:t>
          </w:r>
          <w:r>
            <w:rPr>
              <w:lang w:bidi="ar-SA"/>
            </w:rPr>
            <w:t>ducation system to transition adult learners to training, postsecondary</w:t>
          </w:r>
          <w:r w:rsidR="00D03A3F">
            <w:rPr>
              <w:lang w:bidi="ar-SA"/>
            </w:rPr>
            <w:t>,</w:t>
          </w:r>
          <w:r>
            <w:rPr>
              <w:lang w:bidi="ar-SA"/>
            </w:rPr>
            <w:t xml:space="preserve"> or employment. Each region, one of which is the Department of Corrections, has a transitions coordinator who facilitates the development of a transitions regional plan. This plan includes activities that, preferably, are regional in scope so that all </w:t>
          </w:r>
          <w:r w:rsidR="00717762">
            <w:rPr>
              <w:lang w:bidi="ar-SA"/>
            </w:rPr>
            <w:t>adult education</w:t>
          </w:r>
          <w:r w:rsidRPr="00D03A3F">
            <w:rPr>
              <w:lang w:bidi="ar-SA"/>
            </w:rPr>
            <w:t xml:space="preserve"> providers </w:t>
          </w:r>
          <w:r>
            <w:rPr>
              <w:lang w:bidi="ar-SA"/>
            </w:rPr>
            <w:t>in the region can benefit from the activities. The funding supports the creation of new curriculum for career focused classes, development of new career pathways</w:t>
          </w:r>
          <w:r w:rsidR="00D03A3F">
            <w:rPr>
              <w:lang w:bidi="ar-SA"/>
            </w:rPr>
            <w:t>,</w:t>
          </w:r>
          <w:r>
            <w:rPr>
              <w:lang w:bidi="ar-SA"/>
            </w:rPr>
            <w:t xml:space="preserve"> and efforts to connect with employers. The </w:t>
          </w:r>
          <w:r w:rsidR="00D03A3F">
            <w:rPr>
              <w:lang w:bidi="ar-SA"/>
            </w:rPr>
            <w:t xml:space="preserve">Adult Education </w:t>
          </w:r>
          <w:r w:rsidR="00EF373D">
            <w:rPr>
              <w:lang w:bidi="ar-SA"/>
            </w:rPr>
            <w:t>L</w:t>
          </w:r>
          <w:r w:rsidR="00D03A3F">
            <w:rPr>
              <w:lang w:bidi="ar-SA"/>
            </w:rPr>
            <w:t xml:space="preserve">eadership </w:t>
          </w:r>
          <w:r w:rsidR="00EF373D">
            <w:rPr>
              <w:lang w:bidi="ar-SA"/>
            </w:rPr>
            <w:t>T</w:t>
          </w:r>
          <w:r w:rsidR="00D03A3F">
            <w:rPr>
              <w:lang w:bidi="ar-SA"/>
            </w:rPr>
            <w:t>eam</w:t>
          </w:r>
          <w:r w:rsidR="004708F2">
            <w:rPr>
              <w:lang w:bidi="ar-SA"/>
            </w:rPr>
            <w:t xml:space="preserve"> (the state team at the Minnesota Department of Education)</w:t>
          </w:r>
          <w:r>
            <w:rPr>
              <w:lang w:bidi="ar-SA"/>
            </w:rPr>
            <w:t xml:space="preserve"> promoted Integrated Education and Training (IET) as an approach to use in the development of the plans. Some of the activities that were written into the plans included: manufacturing, construction trades, service </w:t>
          </w:r>
          <w:r w:rsidR="00281C1E">
            <w:rPr>
              <w:lang w:bidi="ar-SA"/>
            </w:rPr>
            <w:t>and</w:t>
          </w:r>
          <w:r>
            <w:rPr>
              <w:lang w:bidi="ar-SA"/>
            </w:rPr>
            <w:t xml:space="preserve"> trades, food service management/</w:t>
          </w:r>
          <w:proofErr w:type="spellStart"/>
          <w:r>
            <w:rPr>
              <w:lang w:bidi="ar-SA"/>
            </w:rPr>
            <w:t>ServSafe</w:t>
          </w:r>
          <w:proofErr w:type="spellEnd"/>
          <w:r>
            <w:rPr>
              <w:lang w:bidi="ar-SA"/>
            </w:rPr>
            <w:t xml:space="preserve">©, emerging technology, train the trainer for Microsoft Office Specialists, blueprint </w:t>
          </w:r>
          <w:r w:rsidR="00281C1E">
            <w:rPr>
              <w:lang w:bidi="ar-SA"/>
            </w:rPr>
            <w:t>r</w:t>
          </w:r>
          <w:r>
            <w:rPr>
              <w:lang w:bidi="ar-SA"/>
            </w:rPr>
            <w:t xml:space="preserve">eading, OSHA 10, and </w:t>
          </w:r>
          <w:proofErr w:type="spellStart"/>
          <w:r>
            <w:rPr>
              <w:lang w:bidi="ar-SA"/>
            </w:rPr>
            <w:t>ParaPro</w:t>
          </w:r>
          <w:proofErr w:type="spellEnd"/>
          <w:r>
            <w:rPr>
              <w:lang w:bidi="ar-SA"/>
            </w:rPr>
            <w:t xml:space="preserve">. </w:t>
          </w:r>
        </w:p>
        <w:p w14:paraId="138AA825" w14:textId="627DC171" w:rsidR="002048AB" w:rsidRDefault="002048AB" w:rsidP="002048AB">
          <w:pPr>
            <w:rPr>
              <w:lang w:bidi="ar-SA"/>
            </w:rPr>
          </w:pPr>
          <w:r>
            <w:rPr>
              <w:lang w:bidi="ar-SA"/>
            </w:rPr>
            <w:t xml:space="preserve">The funding also supports work done with public post-secondary programs. Community and </w:t>
          </w:r>
          <w:r w:rsidR="00717762">
            <w:rPr>
              <w:lang w:bidi="ar-SA"/>
            </w:rPr>
            <w:t>t</w:t>
          </w:r>
          <w:r>
            <w:rPr>
              <w:lang w:bidi="ar-SA"/>
            </w:rPr>
            <w:t xml:space="preserve">echnical </w:t>
          </w:r>
          <w:r w:rsidR="00717762">
            <w:rPr>
              <w:lang w:bidi="ar-SA"/>
            </w:rPr>
            <w:t>c</w:t>
          </w:r>
          <w:r>
            <w:rPr>
              <w:lang w:bidi="ar-SA"/>
            </w:rPr>
            <w:t xml:space="preserve">olleges are the largest training providers in Minnesota. </w:t>
          </w:r>
          <w:r w:rsidR="00FB0741">
            <w:rPr>
              <w:lang w:bidi="ar-SA"/>
            </w:rPr>
            <w:t xml:space="preserve">The Adult Education Leadership Team </w:t>
          </w:r>
          <w:r>
            <w:rPr>
              <w:lang w:bidi="ar-SA"/>
            </w:rPr>
            <w:t xml:space="preserve">has been working </w:t>
          </w:r>
          <w:r w:rsidR="00FB0741">
            <w:rPr>
              <w:lang w:bidi="ar-SA"/>
            </w:rPr>
            <w:t xml:space="preserve">with multiple partners </w:t>
          </w:r>
          <w:r>
            <w:rPr>
              <w:lang w:bidi="ar-SA"/>
            </w:rPr>
            <w:t xml:space="preserve">on developmental education reform that would allow </w:t>
          </w:r>
          <w:r w:rsidR="00717762">
            <w:rPr>
              <w:lang w:bidi="ar-SA"/>
            </w:rPr>
            <w:t xml:space="preserve">adult </w:t>
          </w:r>
          <w:r>
            <w:rPr>
              <w:lang w:bidi="ar-SA"/>
            </w:rPr>
            <w:t>learners to bypass developmental education or reduce the amount of time in such coursework and go into their training program. This past year</w:t>
          </w:r>
          <w:r w:rsidR="00717762">
            <w:rPr>
              <w:lang w:bidi="ar-SA"/>
            </w:rPr>
            <w:t>,</w:t>
          </w:r>
          <w:r>
            <w:rPr>
              <w:lang w:bidi="ar-SA"/>
            </w:rPr>
            <w:t xml:space="preserve"> some </w:t>
          </w:r>
          <w:r w:rsidR="00717762">
            <w:rPr>
              <w:lang w:bidi="ar-SA"/>
            </w:rPr>
            <w:t xml:space="preserve">adult education </w:t>
          </w:r>
          <w:r>
            <w:rPr>
              <w:lang w:bidi="ar-SA"/>
            </w:rPr>
            <w:t xml:space="preserve">programs started teaching the lower levels of developmental education at no cost to the student and other programs worked on embedding an </w:t>
          </w:r>
          <w:r w:rsidR="00717762">
            <w:rPr>
              <w:lang w:bidi="ar-SA"/>
            </w:rPr>
            <w:t xml:space="preserve">adult education </w:t>
          </w:r>
          <w:r>
            <w:rPr>
              <w:lang w:bidi="ar-SA"/>
            </w:rPr>
            <w:t xml:space="preserve">instructor into a </w:t>
          </w:r>
          <w:r w:rsidR="0081643D">
            <w:rPr>
              <w:lang w:bidi="ar-SA"/>
            </w:rPr>
            <w:t xml:space="preserve">college </w:t>
          </w:r>
          <w:r>
            <w:rPr>
              <w:lang w:bidi="ar-SA"/>
            </w:rPr>
            <w:t xml:space="preserve">gateway course to ensure </w:t>
          </w:r>
          <w:r w:rsidR="0081643D">
            <w:rPr>
              <w:lang w:bidi="ar-SA"/>
            </w:rPr>
            <w:t>learner success</w:t>
          </w:r>
          <w:r>
            <w:rPr>
              <w:lang w:bidi="ar-SA"/>
            </w:rPr>
            <w:t>.</w:t>
          </w:r>
        </w:p>
        <w:p w14:paraId="2B2A236A" w14:textId="0BC7AF0E" w:rsidR="002048AB" w:rsidRPr="00E45AFA" w:rsidRDefault="002048AB" w:rsidP="002048AB">
          <w:pPr>
            <w:rPr>
              <w:lang w:bidi="ar-SA"/>
            </w:rPr>
          </w:pPr>
          <w:r>
            <w:rPr>
              <w:lang w:bidi="ar-SA"/>
            </w:rPr>
            <w:t xml:space="preserve">There have been a few more requests from employers to offer training. We are considering promoting this at a statewide level but have not determined if it is best done statewide or locally. All of these efforts require collaboration and alignment with WIOA core partners and other one-stop partners. The youth, adult, and dislocated worker programs under Title l are the WIOA entities that we work with </w:t>
          </w:r>
          <w:r w:rsidR="000B7F2D">
            <w:rPr>
              <w:lang w:bidi="ar-SA"/>
            </w:rPr>
            <w:t xml:space="preserve">most </w:t>
          </w:r>
          <w:r>
            <w:rPr>
              <w:lang w:bidi="ar-SA"/>
            </w:rPr>
            <w:t>close</w:t>
          </w:r>
          <w:r w:rsidR="000B7F2D">
            <w:rPr>
              <w:lang w:bidi="ar-SA"/>
            </w:rPr>
            <w:t>ly</w:t>
          </w:r>
          <w:r>
            <w:rPr>
              <w:lang w:bidi="ar-SA"/>
            </w:rPr>
            <w:t>. We are also working with Title III and Title IV in improving services to clients.</w:t>
          </w:r>
        </w:p>
        <w:p w14:paraId="75610A13" w14:textId="77777777" w:rsidR="00E45AFA" w:rsidRPr="00403EA9" w:rsidRDefault="00E45AFA" w:rsidP="00B82F89">
          <w:pPr>
            <w:pStyle w:val="Heading4"/>
            <w:numPr>
              <w:ilvl w:val="0"/>
              <w:numId w:val="29"/>
            </w:numPr>
            <w:spacing w:before="0" w:after="0"/>
            <w:rPr>
              <w:b w:val="0"/>
              <w:i/>
              <w:sz w:val="22"/>
            </w:rPr>
          </w:pPr>
          <w:r w:rsidRPr="00403EA9">
            <w:rPr>
              <w:b w:val="0"/>
              <w:i/>
              <w:sz w:val="22"/>
            </w:rPr>
            <w:t xml:space="preserve">Establishment or operation of a </w:t>
          </w:r>
          <w:proofErr w:type="gramStart"/>
          <w:r w:rsidRPr="00403EA9">
            <w:rPr>
              <w:b w:val="0"/>
              <w:i/>
              <w:sz w:val="22"/>
            </w:rPr>
            <w:t>high quality</w:t>
          </w:r>
          <w:proofErr w:type="gramEnd"/>
          <w:r w:rsidRPr="00403EA9">
            <w:rPr>
              <w:b w:val="0"/>
              <w:i/>
              <w:sz w:val="22"/>
            </w:rPr>
            <w:t xml:space="preserve"> professional development programs as described in section 223(1)(b).</w:t>
          </w:r>
        </w:p>
        <w:p w14:paraId="26CC7257" w14:textId="1A065DDA" w:rsidR="004E4F0C" w:rsidRPr="004E4F0C" w:rsidRDefault="004E4F0C" w:rsidP="00281C1E">
          <w:pPr>
            <w:spacing w:after="0" w:line="240" w:lineRule="auto"/>
            <w:rPr>
              <w:rFonts w:asciiTheme="minorHAnsi" w:hAnsiTheme="minorHAnsi" w:cs="Arial"/>
            </w:rPr>
          </w:pPr>
          <w:r w:rsidRPr="004E4F0C">
            <w:rPr>
              <w:rFonts w:asciiTheme="minorHAnsi" w:hAnsiTheme="minorHAnsi" w:cs="Arial"/>
            </w:rPr>
            <w:t>State leadership funds were used during 2020</w:t>
          </w:r>
          <w:r w:rsidR="00291628">
            <w:rPr>
              <w:rFonts w:asciiTheme="minorHAnsi" w:hAnsiTheme="minorHAnsi" w:cs="Arial"/>
            </w:rPr>
            <w:t>–20</w:t>
          </w:r>
          <w:r w:rsidRPr="004E4F0C">
            <w:rPr>
              <w:rFonts w:asciiTheme="minorHAnsi" w:hAnsiTheme="minorHAnsi" w:cs="Arial"/>
            </w:rPr>
            <w:t xml:space="preserve">21 to support one Minnesota </w:t>
          </w:r>
          <w:r w:rsidR="00EF5AEB">
            <w:rPr>
              <w:lang w:bidi="ar-SA"/>
            </w:rPr>
            <w:t>Adult Education Leadership Team</w:t>
          </w:r>
          <w:r w:rsidRPr="004E4F0C">
            <w:rPr>
              <w:rFonts w:asciiTheme="minorHAnsi" w:hAnsiTheme="minorHAnsi" w:cs="Arial"/>
            </w:rPr>
            <w:t xml:space="preserve"> position (the professional development specialist) to coordinate statewide professional development (PD) activities and assist local adult education program staff in designing and implementing effective PD. In addition, a statewide adult education PD advisory committee convened quarterly to identify key present and future PD needs, develop PD plans and resources, identify and implement best practices in PD, and coordinate and align PD activities for an efficient and effective PD system. This advisory committee has approximately 25 members, including state staff, PD providers</w:t>
          </w:r>
          <w:r w:rsidR="00291628">
            <w:rPr>
              <w:rFonts w:asciiTheme="minorHAnsi" w:hAnsiTheme="minorHAnsi" w:cs="Arial"/>
            </w:rPr>
            <w:t>,</w:t>
          </w:r>
          <w:r w:rsidRPr="004E4F0C">
            <w:rPr>
              <w:rFonts w:asciiTheme="minorHAnsi" w:hAnsiTheme="minorHAnsi" w:cs="Arial"/>
            </w:rPr>
            <w:t xml:space="preserve"> and local adult education instructors and administrators.</w:t>
          </w:r>
        </w:p>
        <w:p w14:paraId="0C4B3BC4" w14:textId="77777777" w:rsidR="004E4F0C" w:rsidRPr="004E4F0C" w:rsidRDefault="004E4F0C" w:rsidP="004E4F0C">
          <w:pPr>
            <w:spacing w:before="0" w:after="0" w:line="240" w:lineRule="auto"/>
            <w:rPr>
              <w:rFonts w:asciiTheme="minorHAnsi" w:hAnsiTheme="minorHAnsi" w:cs="Arial"/>
            </w:rPr>
          </w:pPr>
        </w:p>
        <w:p w14:paraId="3D407E9B" w14:textId="3931D31D" w:rsidR="004E4F0C" w:rsidRPr="004E4F0C" w:rsidRDefault="004E4F0C" w:rsidP="004E4F0C">
          <w:pPr>
            <w:spacing w:before="0" w:after="0" w:line="240" w:lineRule="auto"/>
            <w:rPr>
              <w:rFonts w:asciiTheme="minorHAnsi" w:hAnsiTheme="minorHAnsi" w:cs="Arial"/>
            </w:rPr>
          </w:pPr>
          <w:r w:rsidRPr="004E4F0C">
            <w:rPr>
              <w:rFonts w:asciiTheme="minorHAnsi" w:hAnsiTheme="minorHAnsi" w:cs="Arial"/>
              <w:b/>
            </w:rPr>
            <w:t>All PD activities were held virtually in 2020</w:t>
          </w:r>
          <w:r w:rsidR="00291628" w:rsidRPr="00281C1E">
            <w:rPr>
              <w:rFonts w:asciiTheme="minorHAnsi" w:hAnsiTheme="minorHAnsi" w:cs="Arial"/>
              <w:b/>
            </w:rPr>
            <w:t>–20</w:t>
          </w:r>
          <w:r w:rsidRPr="004E4F0C">
            <w:rPr>
              <w:rFonts w:asciiTheme="minorHAnsi" w:hAnsiTheme="minorHAnsi" w:cs="Arial"/>
              <w:b/>
            </w:rPr>
            <w:t>21 due to the ongoing pandemic.</w:t>
          </w:r>
          <w:r w:rsidRPr="004E4F0C">
            <w:rPr>
              <w:rFonts w:asciiTheme="minorHAnsi" w:hAnsiTheme="minorHAnsi" w:cs="Arial"/>
            </w:rPr>
            <w:t xml:space="preserve"> Key events and attendance totals for these are listed below:</w:t>
          </w:r>
        </w:p>
        <w:p w14:paraId="6E45E72F" w14:textId="77777777" w:rsidR="004E4F0C" w:rsidRPr="00D64713" w:rsidRDefault="004E4F0C" w:rsidP="004E4F0C">
          <w:pPr>
            <w:tabs>
              <w:tab w:val="left" w:pos="-1440"/>
              <w:tab w:val="left" w:pos="-720"/>
            </w:tabs>
            <w:spacing w:before="0" w:after="0" w:line="240" w:lineRule="auto"/>
            <w:ind w:right="-144"/>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0"/>
            <w:gridCol w:w="1880"/>
            <w:gridCol w:w="1890"/>
          </w:tblGrid>
          <w:tr w:rsidR="004E4F0C" w:rsidRPr="00D64713" w14:paraId="2B331414" w14:textId="77777777" w:rsidTr="00D80155">
            <w:trPr>
              <w:jc w:val="center"/>
            </w:trPr>
            <w:tc>
              <w:tcPr>
                <w:tcW w:w="4770" w:type="dxa"/>
                <w:shd w:val="clear" w:color="auto" w:fill="4F6228"/>
                <w:tcMar>
                  <w:top w:w="0" w:type="dxa"/>
                  <w:left w:w="57" w:type="dxa"/>
                  <w:bottom w:w="0" w:type="dxa"/>
                  <w:right w:w="57" w:type="dxa"/>
                </w:tcMar>
                <w:hideMark/>
              </w:tcPr>
              <w:p w14:paraId="0AC2DEFA" w14:textId="77777777" w:rsidR="004E4F0C" w:rsidRPr="00D64713" w:rsidRDefault="004E4F0C" w:rsidP="00D80155">
                <w:pPr>
                  <w:spacing w:before="0" w:after="0" w:line="240" w:lineRule="auto"/>
                  <w:rPr>
                    <w:rFonts w:asciiTheme="minorHAnsi" w:eastAsia="Calibri" w:hAnsiTheme="minorHAnsi" w:cs="Arial"/>
                    <w:b/>
                    <w:color w:val="FFFFFF"/>
                  </w:rPr>
                </w:pPr>
                <w:r w:rsidRPr="00D64713">
                  <w:rPr>
                    <w:rFonts w:asciiTheme="minorHAnsi" w:hAnsiTheme="minorHAnsi" w:cs="Arial"/>
                    <w:b/>
                    <w:color w:val="FFFFFF"/>
                  </w:rPr>
                  <w:lastRenderedPageBreak/>
                  <w:t xml:space="preserve">Professional Development Event </w:t>
                </w:r>
              </w:p>
            </w:tc>
            <w:tc>
              <w:tcPr>
                <w:tcW w:w="1880" w:type="dxa"/>
                <w:shd w:val="clear" w:color="auto" w:fill="4F6228"/>
                <w:tcMar>
                  <w:top w:w="0" w:type="dxa"/>
                  <w:left w:w="57" w:type="dxa"/>
                  <w:bottom w:w="0" w:type="dxa"/>
                  <w:right w:w="57" w:type="dxa"/>
                </w:tcMar>
                <w:hideMark/>
              </w:tcPr>
              <w:p w14:paraId="70F0DBAF" w14:textId="77777777" w:rsidR="004E4F0C" w:rsidRPr="00D64713" w:rsidRDefault="004E4F0C" w:rsidP="00D80155">
                <w:pPr>
                  <w:spacing w:before="0" w:after="0" w:line="240" w:lineRule="auto"/>
                  <w:jc w:val="center"/>
                  <w:rPr>
                    <w:rFonts w:asciiTheme="minorHAnsi" w:eastAsia="Calibri" w:hAnsiTheme="minorHAnsi" w:cs="Arial"/>
                    <w:b/>
                    <w:bCs/>
                    <w:color w:val="FFFFFF"/>
                  </w:rPr>
                </w:pPr>
                <w:r w:rsidRPr="00D64713">
                  <w:rPr>
                    <w:rFonts w:asciiTheme="minorHAnsi" w:hAnsiTheme="minorHAnsi" w:cs="Arial"/>
                    <w:b/>
                    <w:bCs/>
                    <w:color w:val="FFFFFF"/>
                  </w:rPr>
                  <w:t>Number of Events</w:t>
                </w:r>
              </w:p>
            </w:tc>
            <w:tc>
              <w:tcPr>
                <w:tcW w:w="1890" w:type="dxa"/>
                <w:shd w:val="clear" w:color="auto" w:fill="4F6228"/>
                <w:tcMar>
                  <w:top w:w="0" w:type="dxa"/>
                  <w:left w:w="57" w:type="dxa"/>
                  <w:bottom w:w="0" w:type="dxa"/>
                  <w:right w:w="57" w:type="dxa"/>
                </w:tcMar>
                <w:hideMark/>
              </w:tcPr>
              <w:p w14:paraId="6328B19F" w14:textId="77777777" w:rsidR="004E4F0C" w:rsidRPr="00D64713" w:rsidRDefault="004E4F0C" w:rsidP="00D80155">
                <w:pPr>
                  <w:spacing w:before="0" w:after="0" w:line="240" w:lineRule="auto"/>
                  <w:jc w:val="center"/>
                  <w:rPr>
                    <w:rFonts w:asciiTheme="minorHAnsi" w:eastAsia="Calibri" w:hAnsiTheme="minorHAnsi" w:cs="Arial"/>
                    <w:b/>
                    <w:bCs/>
                    <w:color w:val="FFFFFF"/>
                  </w:rPr>
                </w:pPr>
                <w:r w:rsidRPr="00D64713">
                  <w:rPr>
                    <w:rFonts w:asciiTheme="minorHAnsi" w:hAnsiTheme="minorHAnsi" w:cs="Arial"/>
                    <w:b/>
                    <w:bCs/>
                    <w:color w:val="FFFFFF"/>
                  </w:rPr>
                  <w:t>Attendance</w:t>
                </w:r>
                <w:r w:rsidRPr="00D64713">
                  <w:rPr>
                    <w:rFonts w:asciiTheme="minorHAnsi" w:eastAsia="Calibri" w:hAnsiTheme="minorHAnsi" w:cs="Arial"/>
                    <w:b/>
                    <w:bCs/>
                    <w:color w:val="FFFFFF"/>
                  </w:rPr>
                  <w:t xml:space="preserve"> </w:t>
                </w:r>
                <w:r w:rsidRPr="00D64713">
                  <w:rPr>
                    <w:rFonts w:asciiTheme="minorHAnsi" w:hAnsiTheme="minorHAnsi" w:cs="Arial"/>
                    <w:b/>
                    <w:bCs/>
                    <w:color w:val="FFFFFF"/>
                  </w:rPr>
                  <w:t>Totals</w:t>
                </w:r>
              </w:p>
            </w:tc>
          </w:tr>
          <w:tr w:rsidR="004E4F0C" w:rsidRPr="00D64713" w14:paraId="45A4E5E2" w14:textId="77777777" w:rsidTr="00D80155">
            <w:trPr>
              <w:jc w:val="center"/>
            </w:trPr>
            <w:tc>
              <w:tcPr>
                <w:tcW w:w="4770" w:type="dxa"/>
                <w:shd w:val="clear" w:color="auto" w:fill="auto"/>
                <w:tcMar>
                  <w:top w:w="0" w:type="dxa"/>
                  <w:left w:w="57" w:type="dxa"/>
                  <w:bottom w:w="0" w:type="dxa"/>
                  <w:right w:w="57" w:type="dxa"/>
                </w:tcMar>
                <w:hideMark/>
              </w:tcPr>
              <w:p w14:paraId="61960BA5" w14:textId="77777777" w:rsidR="004E4F0C" w:rsidRPr="00D64713" w:rsidRDefault="004E4F0C" w:rsidP="00D80155">
                <w:pPr>
                  <w:spacing w:before="0" w:after="0" w:line="240" w:lineRule="auto"/>
                  <w:rPr>
                    <w:rFonts w:asciiTheme="minorHAnsi" w:eastAsia="Calibri" w:hAnsiTheme="minorHAnsi" w:cs="Arial"/>
                  </w:rPr>
                </w:pPr>
                <w:r w:rsidRPr="00D64713">
                  <w:rPr>
                    <w:rFonts w:asciiTheme="minorHAnsi" w:hAnsiTheme="minorHAnsi" w:cs="Arial"/>
                  </w:rPr>
                  <w:t xml:space="preserve">Statewide ABE Summer Institute  </w:t>
                </w:r>
              </w:p>
            </w:tc>
            <w:tc>
              <w:tcPr>
                <w:tcW w:w="1880" w:type="dxa"/>
                <w:shd w:val="clear" w:color="auto" w:fill="auto"/>
                <w:tcMar>
                  <w:top w:w="0" w:type="dxa"/>
                  <w:left w:w="57" w:type="dxa"/>
                  <w:bottom w:w="0" w:type="dxa"/>
                  <w:right w:w="57" w:type="dxa"/>
                </w:tcMar>
                <w:hideMark/>
              </w:tcPr>
              <w:p w14:paraId="5449A49D" w14:textId="77777777" w:rsidR="004E4F0C" w:rsidRPr="000F689C" w:rsidRDefault="004E4F0C" w:rsidP="00D80155">
                <w:pPr>
                  <w:spacing w:before="0" w:after="0" w:line="240" w:lineRule="auto"/>
                  <w:jc w:val="right"/>
                  <w:rPr>
                    <w:rFonts w:asciiTheme="minorHAnsi" w:eastAsia="Calibri" w:hAnsiTheme="minorHAnsi" w:cs="Arial"/>
                  </w:rPr>
                </w:pPr>
                <w:r w:rsidRPr="000F689C">
                  <w:rPr>
                    <w:rFonts w:asciiTheme="minorHAnsi" w:hAnsiTheme="minorHAnsi" w:cs="Arial"/>
                  </w:rPr>
                  <w:t xml:space="preserve">1 </w:t>
                </w:r>
                <w:r>
                  <w:rPr>
                    <w:rFonts w:asciiTheme="minorHAnsi" w:hAnsiTheme="minorHAnsi" w:cs="Arial"/>
                  </w:rPr>
                  <w:t>2</w:t>
                </w:r>
                <w:r w:rsidRPr="000F689C">
                  <w:rPr>
                    <w:rFonts w:asciiTheme="minorHAnsi" w:hAnsiTheme="minorHAnsi" w:cs="Arial"/>
                  </w:rPr>
                  <w:t>-day event</w:t>
                </w:r>
              </w:p>
            </w:tc>
            <w:tc>
              <w:tcPr>
                <w:tcW w:w="1890" w:type="dxa"/>
                <w:shd w:val="clear" w:color="auto" w:fill="auto"/>
                <w:tcMar>
                  <w:top w:w="0" w:type="dxa"/>
                  <w:left w:w="57" w:type="dxa"/>
                  <w:bottom w:w="0" w:type="dxa"/>
                  <w:right w:w="57" w:type="dxa"/>
                </w:tcMar>
                <w:hideMark/>
              </w:tcPr>
              <w:p w14:paraId="283CF58D" w14:textId="77777777" w:rsidR="004E4F0C" w:rsidRPr="000F689C" w:rsidRDefault="004E4F0C" w:rsidP="00D80155">
                <w:pPr>
                  <w:spacing w:before="0" w:after="0" w:line="240" w:lineRule="auto"/>
                  <w:jc w:val="right"/>
                  <w:rPr>
                    <w:rFonts w:asciiTheme="minorHAnsi" w:eastAsia="Calibri" w:hAnsiTheme="minorHAnsi" w:cs="Arial"/>
                  </w:rPr>
                </w:pPr>
                <w:r w:rsidRPr="000F689C">
                  <w:rPr>
                    <w:rFonts w:asciiTheme="minorHAnsi" w:eastAsia="Calibri" w:hAnsiTheme="minorHAnsi" w:cs="Arial"/>
                  </w:rPr>
                  <w:t>4</w:t>
                </w:r>
                <w:r>
                  <w:rPr>
                    <w:rFonts w:asciiTheme="minorHAnsi" w:eastAsia="Calibri" w:hAnsiTheme="minorHAnsi" w:cs="Arial"/>
                  </w:rPr>
                  <w:t>54</w:t>
                </w:r>
              </w:p>
            </w:tc>
          </w:tr>
          <w:tr w:rsidR="004E4F0C" w:rsidRPr="00D64713" w14:paraId="3D77828A" w14:textId="77777777" w:rsidTr="00D80155">
            <w:trPr>
              <w:jc w:val="center"/>
            </w:trPr>
            <w:tc>
              <w:tcPr>
                <w:tcW w:w="4770" w:type="dxa"/>
                <w:shd w:val="clear" w:color="auto" w:fill="auto"/>
                <w:tcMar>
                  <w:top w:w="0" w:type="dxa"/>
                  <w:left w:w="57" w:type="dxa"/>
                  <w:bottom w:w="0" w:type="dxa"/>
                  <w:right w:w="57" w:type="dxa"/>
                </w:tcMar>
                <w:hideMark/>
              </w:tcPr>
              <w:p w14:paraId="6213E9C3" w14:textId="77777777" w:rsidR="004E4F0C" w:rsidRPr="00D64713" w:rsidRDefault="004E4F0C" w:rsidP="00D80155">
                <w:pPr>
                  <w:spacing w:before="0" w:after="0" w:line="240" w:lineRule="auto"/>
                  <w:rPr>
                    <w:rFonts w:asciiTheme="minorHAnsi" w:eastAsia="Calibri" w:hAnsiTheme="minorHAnsi" w:cs="Arial"/>
                  </w:rPr>
                </w:pPr>
                <w:r w:rsidRPr="00D64713">
                  <w:rPr>
                    <w:rFonts w:asciiTheme="minorHAnsi" w:hAnsiTheme="minorHAnsi" w:cs="Arial"/>
                  </w:rPr>
                  <w:t>ABE Foundations</w:t>
                </w:r>
                <w:r>
                  <w:rPr>
                    <w:rFonts w:asciiTheme="minorHAnsi" w:hAnsiTheme="minorHAnsi" w:cs="Arial"/>
                  </w:rPr>
                  <w:t xml:space="preserve"> for New Adult Ed Staff Webinar Series</w:t>
                </w:r>
              </w:p>
            </w:tc>
            <w:tc>
              <w:tcPr>
                <w:tcW w:w="1880" w:type="dxa"/>
                <w:shd w:val="clear" w:color="auto" w:fill="auto"/>
                <w:tcMar>
                  <w:top w:w="0" w:type="dxa"/>
                  <w:left w:w="57" w:type="dxa"/>
                  <w:bottom w:w="0" w:type="dxa"/>
                  <w:right w:w="57" w:type="dxa"/>
                </w:tcMar>
                <w:hideMark/>
              </w:tcPr>
              <w:p w14:paraId="30FBD5CD" w14:textId="77777777" w:rsidR="004E4F0C" w:rsidRPr="000F689C" w:rsidRDefault="004E4F0C" w:rsidP="00D80155">
                <w:pPr>
                  <w:spacing w:before="0" w:after="0" w:line="240" w:lineRule="auto"/>
                  <w:jc w:val="right"/>
                  <w:rPr>
                    <w:rFonts w:asciiTheme="minorHAnsi" w:eastAsia="Calibri" w:hAnsiTheme="minorHAnsi" w:cs="Arial"/>
                  </w:rPr>
                </w:pPr>
                <w:r>
                  <w:rPr>
                    <w:rFonts w:asciiTheme="minorHAnsi" w:hAnsiTheme="minorHAnsi" w:cs="Arial"/>
                  </w:rPr>
                  <w:t>3</w:t>
                </w:r>
                <w:r w:rsidRPr="000F689C">
                  <w:rPr>
                    <w:rFonts w:asciiTheme="minorHAnsi" w:hAnsiTheme="minorHAnsi" w:cs="Arial"/>
                  </w:rPr>
                  <w:t xml:space="preserve"> </w:t>
                </w:r>
              </w:p>
            </w:tc>
            <w:tc>
              <w:tcPr>
                <w:tcW w:w="1890" w:type="dxa"/>
                <w:shd w:val="clear" w:color="auto" w:fill="auto"/>
                <w:tcMar>
                  <w:top w:w="0" w:type="dxa"/>
                  <w:left w:w="57" w:type="dxa"/>
                  <w:bottom w:w="0" w:type="dxa"/>
                  <w:right w:w="57" w:type="dxa"/>
                </w:tcMar>
                <w:hideMark/>
              </w:tcPr>
              <w:p w14:paraId="4845EBE5" w14:textId="77777777" w:rsidR="004E4F0C" w:rsidRPr="000F689C" w:rsidRDefault="004E4F0C" w:rsidP="00D80155">
                <w:pPr>
                  <w:spacing w:before="0" w:after="0" w:line="240" w:lineRule="auto"/>
                  <w:jc w:val="right"/>
                  <w:rPr>
                    <w:rFonts w:asciiTheme="minorHAnsi" w:eastAsia="Calibri" w:hAnsiTheme="minorHAnsi" w:cs="Arial"/>
                  </w:rPr>
                </w:pPr>
                <w:r>
                  <w:rPr>
                    <w:rFonts w:asciiTheme="minorHAnsi" w:eastAsia="Calibri" w:hAnsiTheme="minorHAnsi" w:cs="Arial"/>
                  </w:rPr>
                  <w:t>95</w:t>
                </w:r>
              </w:p>
            </w:tc>
          </w:tr>
          <w:tr w:rsidR="004E4F0C" w:rsidRPr="00D64713" w14:paraId="55A11654" w14:textId="77777777" w:rsidTr="00D80155">
            <w:trPr>
              <w:jc w:val="center"/>
            </w:trPr>
            <w:tc>
              <w:tcPr>
                <w:tcW w:w="4770" w:type="dxa"/>
                <w:shd w:val="clear" w:color="auto" w:fill="auto"/>
                <w:tcMar>
                  <w:top w:w="0" w:type="dxa"/>
                  <w:left w:w="57" w:type="dxa"/>
                  <w:bottom w:w="0" w:type="dxa"/>
                  <w:right w:w="57" w:type="dxa"/>
                </w:tcMar>
                <w:hideMark/>
              </w:tcPr>
              <w:p w14:paraId="2CD7B383" w14:textId="77777777" w:rsidR="004E4F0C" w:rsidRPr="00D64713" w:rsidRDefault="004E4F0C" w:rsidP="00D80155">
                <w:pPr>
                  <w:spacing w:before="0" w:after="0" w:line="240" w:lineRule="auto"/>
                  <w:rPr>
                    <w:rFonts w:asciiTheme="minorHAnsi" w:eastAsia="Calibri" w:hAnsiTheme="minorHAnsi" w:cs="Arial"/>
                  </w:rPr>
                </w:pPr>
                <w:r>
                  <w:rPr>
                    <w:rFonts w:asciiTheme="minorHAnsi" w:hAnsiTheme="minorHAnsi" w:cs="Arial"/>
                  </w:rPr>
                  <w:t>Statewide Teaching &amp; Learning at a Distance Conference</w:t>
                </w:r>
              </w:p>
            </w:tc>
            <w:tc>
              <w:tcPr>
                <w:tcW w:w="1880" w:type="dxa"/>
                <w:shd w:val="clear" w:color="auto" w:fill="auto"/>
                <w:tcMar>
                  <w:top w:w="0" w:type="dxa"/>
                  <w:left w:w="57" w:type="dxa"/>
                  <w:bottom w:w="0" w:type="dxa"/>
                  <w:right w:w="57" w:type="dxa"/>
                </w:tcMar>
                <w:hideMark/>
              </w:tcPr>
              <w:p w14:paraId="6A0E7816" w14:textId="77777777" w:rsidR="004E4F0C" w:rsidRPr="000F689C" w:rsidRDefault="004E4F0C" w:rsidP="00D80155">
                <w:pPr>
                  <w:spacing w:before="0" w:after="0" w:line="240" w:lineRule="auto"/>
                  <w:jc w:val="right"/>
                  <w:rPr>
                    <w:rFonts w:asciiTheme="minorHAnsi" w:eastAsia="Calibri" w:hAnsiTheme="minorHAnsi" w:cs="Arial"/>
                  </w:rPr>
                </w:pPr>
                <w:r>
                  <w:rPr>
                    <w:rFonts w:asciiTheme="minorHAnsi" w:hAnsiTheme="minorHAnsi" w:cs="Arial"/>
                  </w:rPr>
                  <w:t>1</w:t>
                </w:r>
              </w:p>
            </w:tc>
            <w:tc>
              <w:tcPr>
                <w:tcW w:w="1890" w:type="dxa"/>
                <w:shd w:val="clear" w:color="auto" w:fill="auto"/>
                <w:tcMar>
                  <w:top w:w="0" w:type="dxa"/>
                  <w:left w:w="57" w:type="dxa"/>
                  <w:bottom w:w="0" w:type="dxa"/>
                  <w:right w:w="57" w:type="dxa"/>
                </w:tcMar>
                <w:hideMark/>
              </w:tcPr>
              <w:p w14:paraId="4821D97B" w14:textId="77777777" w:rsidR="004E4F0C" w:rsidRPr="000F689C" w:rsidRDefault="004E4F0C" w:rsidP="00D80155">
                <w:pPr>
                  <w:spacing w:before="0" w:after="0" w:line="240" w:lineRule="auto"/>
                  <w:jc w:val="right"/>
                  <w:rPr>
                    <w:rFonts w:asciiTheme="minorHAnsi" w:eastAsia="Calibri" w:hAnsiTheme="minorHAnsi" w:cs="Arial"/>
                  </w:rPr>
                </w:pPr>
                <w:r>
                  <w:rPr>
                    <w:rFonts w:asciiTheme="minorHAnsi" w:hAnsiTheme="minorHAnsi" w:cs="Arial"/>
                  </w:rPr>
                  <w:t>288</w:t>
                </w:r>
              </w:p>
            </w:tc>
          </w:tr>
          <w:tr w:rsidR="004E4F0C" w:rsidRPr="00D64713" w14:paraId="632D8FAC" w14:textId="77777777" w:rsidTr="00D80155">
            <w:trPr>
              <w:jc w:val="center"/>
            </w:trPr>
            <w:tc>
              <w:tcPr>
                <w:tcW w:w="4770" w:type="dxa"/>
                <w:shd w:val="clear" w:color="auto" w:fill="auto"/>
                <w:tcMar>
                  <w:top w:w="0" w:type="dxa"/>
                  <w:left w:w="57" w:type="dxa"/>
                  <w:bottom w:w="0" w:type="dxa"/>
                  <w:right w:w="57" w:type="dxa"/>
                </w:tcMar>
              </w:tcPr>
              <w:p w14:paraId="1FE27BC5" w14:textId="77777777" w:rsidR="004E4F0C" w:rsidRDefault="004E4F0C" w:rsidP="00D80155">
                <w:pPr>
                  <w:spacing w:before="0" w:after="0" w:line="240" w:lineRule="auto"/>
                  <w:rPr>
                    <w:rFonts w:asciiTheme="minorHAnsi" w:hAnsiTheme="minorHAnsi" w:cs="Arial"/>
                  </w:rPr>
                </w:pPr>
                <w:r>
                  <w:rPr>
                    <w:rFonts w:asciiTheme="minorHAnsi" w:hAnsiTheme="minorHAnsi" w:cs="Arial"/>
                  </w:rPr>
                  <w:t xml:space="preserve">Statewide Spring Conference </w:t>
                </w:r>
              </w:p>
            </w:tc>
            <w:tc>
              <w:tcPr>
                <w:tcW w:w="1880" w:type="dxa"/>
                <w:shd w:val="clear" w:color="auto" w:fill="auto"/>
                <w:tcMar>
                  <w:top w:w="0" w:type="dxa"/>
                  <w:left w:w="57" w:type="dxa"/>
                  <w:bottom w:w="0" w:type="dxa"/>
                  <w:right w:w="57" w:type="dxa"/>
                </w:tcMar>
              </w:tcPr>
              <w:p w14:paraId="4EB2F395" w14:textId="77777777" w:rsidR="004E4F0C" w:rsidRDefault="004E4F0C" w:rsidP="00D80155">
                <w:pPr>
                  <w:spacing w:before="0" w:after="0" w:line="240" w:lineRule="auto"/>
                  <w:jc w:val="right"/>
                  <w:rPr>
                    <w:rFonts w:asciiTheme="minorHAnsi" w:hAnsiTheme="minorHAnsi" w:cs="Arial"/>
                  </w:rPr>
                </w:pPr>
                <w:r>
                  <w:rPr>
                    <w:rFonts w:asciiTheme="minorHAnsi" w:hAnsiTheme="minorHAnsi" w:cs="Arial"/>
                  </w:rPr>
                  <w:t>1</w:t>
                </w:r>
              </w:p>
            </w:tc>
            <w:tc>
              <w:tcPr>
                <w:tcW w:w="1890" w:type="dxa"/>
                <w:shd w:val="clear" w:color="auto" w:fill="auto"/>
                <w:tcMar>
                  <w:top w:w="0" w:type="dxa"/>
                  <w:left w:w="57" w:type="dxa"/>
                  <w:bottom w:w="0" w:type="dxa"/>
                  <w:right w:w="57" w:type="dxa"/>
                </w:tcMar>
              </w:tcPr>
              <w:p w14:paraId="42376BC0" w14:textId="77777777" w:rsidR="004E4F0C" w:rsidRDefault="004E4F0C" w:rsidP="00D80155">
                <w:pPr>
                  <w:spacing w:before="0" w:after="0" w:line="240" w:lineRule="auto"/>
                  <w:jc w:val="right"/>
                  <w:rPr>
                    <w:rFonts w:asciiTheme="minorHAnsi" w:hAnsiTheme="minorHAnsi" w:cs="Arial"/>
                  </w:rPr>
                </w:pPr>
                <w:r>
                  <w:rPr>
                    <w:rFonts w:asciiTheme="minorHAnsi" w:hAnsiTheme="minorHAnsi" w:cs="Arial"/>
                  </w:rPr>
                  <w:t>259</w:t>
                </w:r>
              </w:p>
            </w:tc>
          </w:tr>
          <w:tr w:rsidR="004E4F0C" w:rsidRPr="00D64713" w14:paraId="1407391C" w14:textId="77777777" w:rsidTr="00D80155">
            <w:trPr>
              <w:jc w:val="center"/>
            </w:trPr>
            <w:tc>
              <w:tcPr>
                <w:tcW w:w="4770" w:type="dxa"/>
                <w:shd w:val="clear" w:color="auto" w:fill="auto"/>
                <w:tcMar>
                  <w:top w:w="0" w:type="dxa"/>
                  <w:left w:w="57" w:type="dxa"/>
                  <w:bottom w:w="0" w:type="dxa"/>
                  <w:right w:w="57" w:type="dxa"/>
                </w:tcMar>
                <w:hideMark/>
              </w:tcPr>
              <w:p w14:paraId="65ED9B0A" w14:textId="77777777" w:rsidR="004E4F0C" w:rsidRPr="00D64713" w:rsidRDefault="004E4F0C" w:rsidP="00D80155">
                <w:pPr>
                  <w:spacing w:before="0" w:after="0" w:line="240" w:lineRule="auto"/>
                  <w:rPr>
                    <w:rFonts w:asciiTheme="minorHAnsi" w:eastAsia="Calibri" w:hAnsiTheme="minorHAnsi" w:cs="Arial"/>
                  </w:rPr>
                </w:pPr>
                <w:r w:rsidRPr="00D64713">
                  <w:rPr>
                    <w:rFonts w:asciiTheme="minorHAnsi" w:hAnsiTheme="minorHAnsi" w:cs="Arial"/>
                  </w:rPr>
                  <w:t>Adult Language and Literacy Institute (ESL and ABE)</w:t>
                </w:r>
              </w:p>
            </w:tc>
            <w:tc>
              <w:tcPr>
                <w:tcW w:w="1880" w:type="dxa"/>
                <w:shd w:val="clear" w:color="auto" w:fill="auto"/>
                <w:tcMar>
                  <w:top w:w="0" w:type="dxa"/>
                  <w:left w:w="57" w:type="dxa"/>
                  <w:bottom w:w="0" w:type="dxa"/>
                  <w:right w:w="57" w:type="dxa"/>
                </w:tcMar>
                <w:hideMark/>
              </w:tcPr>
              <w:p w14:paraId="6761BB80" w14:textId="77777777" w:rsidR="004E4F0C" w:rsidRPr="000F689C" w:rsidRDefault="004E4F0C" w:rsidP="00D80155">
                <w:pPr>
                  <w:spacing w:before="0" w:after="0" w:line="240" w:lineRule="auto"/>
                  <w:jc w:val="right"/>
                  <w:rPr>
                    <w:rFonts w:asciiTheme="minorHAnsi" w:eastAsia="Calibri" w:hAnsiTheme="minorHAnsi" w:cs="Arial"/>
                  </w:rPr>
                </w:pPr>
                <w:r w:rsidRPr="000F689C">
                  <w:rPr>
                    <w:rFonts w:asciiTheme="minorHAnsi" w:hAnsiTheme="minorHAnsi" w:cs="Arial"/>
                  </w:rPr>
                  <w:t>1 2-day event</w:t>
                </w:r>
              </w:p>
            </w:tc>
            <w:tc>
              <w:tcPr>
                <w:tcW w:w="1890" w:type="dxa"/>
                <w:shd w:val="clear" w:color="auto" w:fill="auto"/>
                <w:tcMar>
                  <w:top w:w="0" w:type="dxa"/>
                  <w:left w:w="57" w:type="dxa"/>
                  <w:bottom w:w="0" w:type="dxa"/>
                  <w:right w:w="57" w:type="dxa"/>
                </w:tcMar>
                <w:hideMark/>
              </w:tcPr>
              <w:p w14:paraId="2B631AC8" w14:textId="77777777" w:rsidR="004E4F0C" w:rsidRPr="000F689C" w:rsidRDefault="004E4F0C" w:rsidP="00D80155">
                <w:pPr>
                  <w:spacing w:before="0" w:after="0" w:line="240" w:lineRule="auto"/>
                  <w:jc w:val="right"/>
                  <w:rPr>
                    <w:rFonts w:asciiTheme="minorHAnsi" w:eastAsia="Calibri" w:hAnsiTheme="minorHAnsi" w:cs="Arial"/>
                  </w:rPr>
                </w:pPr>
                <w:r>
                  <w:rPr>
                    <w:rFonts w:asciiTheme="minorHAnsi" w:eastAsia="Calibri" w:hAnsiTheme="minorHAnsi" w:cs="Arial"/>
                  </w:rPr>
                  <w:t>160</w:t>
                </w:r>
              </w:p>
            </w:tc>
          </w:tr>
          <w:tr w:rsidR="004E4F0C" w:rsidRPr="00D64713" w14:paraId="2EB5532B" w14:textId="77777777" w:rsidTr="00D80155">
            <w:trPr>
              <w:jc w:val="center"/>
            </w:trPr>
            <w:tc>
              <w:tcPr>
                <w:tcW w:w="4770" w:type="dxa"/>
                <w:shd w:val="clear" w:color="auto" w:fill="auto"/>
                <w:tcMar>
                  <w:top w:w="0" w:type="dxa"/>
                  <w:left w:w="57" w:type="dxa"/>
                  <w:bottom w:w="0" w:type="dxa"/>
                  <w:right w:w="57" w:type="dxa"/>
                </w:tcMar>
              </w:tcPr>
              <w:p w14:paraId="7426A177" w14:textId="77777777" w:rsidR="004E4F0C" w:rsidRPr="00D64713" w:rsidRDefault="004E4F0C" w:rsidP="00D80155">
                <w:pPr>
                  <w:spacing w:before="0" w:after="0" w:line="240" w:lineRule="auto"/>
                  <w:rPr>
                    <w:rFonts w:asciiTheme="minorHAnsi" w:hAnsiTheme="minorHAnsi" w:cs="Arial"/>
                  </w:rPr>
                </w:pPr>
                <w:r>
                  <w:rPr>
                    <w:rFonts w:asciiTheme="minorHAnsi" w:hAnsiTheme="minorHAnsi" w:cs="Arial"/>
                  </w:rPr>
                  <w:t xml:space="preserve">ABE Math Institute </w:t>
                </w:r>
              </w:p>
            </w:tc>
            <w:tc>
              <w:tcPr>
                <w:tcW w:w="1880" w:type="dxa"/>
                <w:shd w:val="clear" w:color="auto" w:fill="auto"/>
                <w:tcMar>
                  <w:top w:w="0" w:type="dxa"/>
                  <w:left w:w="57" w:type="dxa"/>
                  <w:bottom w:w="0" w:type="dxa"/>
                  <w:right w:w="57" w:type="dxa"/>
                </w:tcMar>
              </w:tcPr>
              <w:p w14:paraId="090D3836" w14:textId="77777777" w:rsidR="004E4F0C" w:rsidRPr="000F689C" w:rsidRDefault="004E4F0C" w:rsidP="00D80155">
                <w:pPr>
                  <w:spacing w:before="0" w:after="0" w:line="240" w:lineRule="auto"/>
                  <w:jc w:val="right"/>
                  <w:rPr>
                    <w:rFonts w:asciiTheme="minorHAnsi" w:hAnsiTheme="minorHAnsi" w:cs="Arial"/>
                  </w:rPr>
                </w:pPr>
                <w:r w:rsidRPr="000F689C">
                  <w:rPr>
                    <w:rFonts w:asciiTheme="minorHAnsi" w:hAnsiTheme="minorHAnsi" w:cs="Arial"/>
                  </w:rPr>
                  <w:t>1</w:t>
                </w:r>
              </w:p>
            </w:tc>
            <w:tc>
              <w:tcPr>
                <w:tcW w:w="1890" w:type="dxa"/>
                <w:shd w:val="clear" w:color="auto" w:fill="auto"/>
                <w:tcMar>
                  <w:top w:w="0" w:type="dxa"/>
                  <w:left w:w="57" w:type="dxa"/>
                  <w:bottom w:w="0" w:type="dxa"/>
                  <w:right w:w="57" w:type="dxa"/>
                </w:tcMar>
              </w:tcPr>
              <w:p w14:paraId="5B322B55" w14:textId="77777777" w:rsidR="004E4F0C" w:rsidRPr="000F689C" w:rsidRDefault="004E4F0C" w:rsidP="00D80155">
                <w:pPr>
                  <w:spacing w:before="0" w:after="0" w:line="240" w:lineRule="auto"/>
                  <w:jc w:val="right"/>
                  <w:rPr>
                    <w:rFonts w:asciiTheme="minorHAnsi" w:eastAsia="Calibri" w:hAnsiTheme="minorHAnsi" w:cs="Arial"/>
                  </w:rPr>
                </w:pPr>
                <w:r>
                  <w:rPr>
                    <w:rFonts w:asciiTheme="minorHAnsi" w:eastAsia="Calibri" w:hAnsiTheme="minorHAnsi" w:cs="Arial"/>
                  </w:rPr>
                  <w:t>105</w:t>
                </w:r>
              </w:p>
            </w:tc>
          </w:tr>
          <w:tr w:rsidR="004E4F0C" w:rsidRPr="00D64713" w14:paraId="2AD291AD" w14:textId="77777777" w:rsidTr="00D80155">
            <w:trPr>
              <w:jc w:val="center"/>
            </w:trPr>
            <w:tc>
              <w:tcPr>
                <w:tcW w:w="4770" w:type="dxa"/>
                <w:shd w:val="clear" w:color="auto" w:fill="auto"/>
                <w:tcMar>
                  <w:top w:w="0" w:type="dxa"/>
                  <w:left w:w="57" w:type="dxa"/>
                  <w:bottom w:w="0" w:type="dxa"/>
                  <w:right w:w="57" w:type="dxa"/>
                </w:tcMar>
              </w:tcPr>
              <w:p w14:paraId="7D4452B0" w14:textId="77777777" w:rsidR="004E4F0C" w:rsidRDefault="004E4F0C" w:rsidP="00D80155">
                <w:pPr>
                  <w:spacing w:before="0" w:after="0" w:line="240" w:lineRule="auto"/>
                  <w:rPr>
                    <w:rFonts w:asciiTheme="minorHAnsi" w:hAnsiTheme="minorHAnsi" w:cs="Arial"/>
                  </w:rPr>
                </w:pPr>
                <w:r>
                  <w:rPr>
                    <w:rFonts w:asciiTheme="minorHAnsi" w:hAnsiTheme="minorHAnsi" w:cs="Arial"/>
                  </w:rPr>
                  <w:t xml:space="preserve">Adult Career Pathway Institute </w:t>
                </w:r>
              </w:p>
            </w:tc>
            <w:tc>
              <w:tcPr>
                <w:tcW w:w="1880" w:type="dxa"/>
                <w:shd w:val="clear" w:color="auto" w:fill="auto"/>
                <w:tcMar>
                  <w:top w:w="0" w:type="dxa"/>
                  <w:left w:w="57" w:type="dxa"/>
                  <w:bottom w:w="0" w:type="dxa"/>
                  <w:right w:w="57" w:type="dxa"/>
                </w:tcMar>
              </w:tcPr>
              <w:p w14:paraId="41252160" w14:textId="77777777" w:rsidR="004E4F0C" w:rsidRPr="000F689C" w:rsidRDefault="004E4F0C" w:rsidP="00D80155">
                <w:pPr>
                  <w:spacing w:before="0" w:after="0" w:line="240" w:lineRule="auto"/>
                  <w:jc w:val="right"/>
                  <w:rPr>
                    <w:rFonts w:asciiTheme="minorHAnsi" w:hAnsiTheme="minorHAnsi" w:cs="Arial"/>
                  </w:rPr>
                </w:pPr>
                <w:r>
                  <w:rPr>
                    <w:rFonts w:asciiTheme="minorHAnsi" w:hAnsiTheme="minorHAnsi" w:cs="Arial"/>
                  </w:rPr>
                  <w:t>1</w:t>
                </w:r>
              </w:p>
            </w:tc>
            <w:tc>
              <w:tcPr>
                <w:tcW w:w="1890" w:type="dxa"/>
                <w:shd w:val="clear" w:color="auto" w:fill="auto"/>
                <w:tcMar>
                  <w:top w:w="0" w:type="dxa"/>
                  <w:left w:w="57" w:type="dxa"/>
                  <w:bottom w:w="0" w:type="dxa"/>
                  <w:right w:w="57" w:type="dxa"/>
                </w:tcMar>
              </w:tcPr>
              <w:p w14:paraId="487E2808" w14:textId="77777777" w:rsidR="004E4F0C" w:rsidRDefault="004E4F0C" w:rsidP="00D80155">
                <w:pPr>
                  <w:spacing w:before="0" w:after="0" w:line="240" w:lineRule="auto"/>
                  <w:jc w:val="right"/>
                  <w:rPr>
                    <w:rFonts w:asciiTheme="minorHAnsi" w:eastAsia="Calibri" w:hAnsiTheme="minorHAnsi" w:cs="Arial"/>
                  </w:rPr>
                </w:pPr>
                <w:r>
                  <w:rPr>
                    <w:rFonts w:asciiTheme="minorHAnsi" w:eastAsia="Calibri" w:hAnsiTheme="minorHAnsi" w:cs="Arial"/>
                  </w:rPr>
                  <w:t>68</w:t>
                </w:r>
              </w:p>
            </w:tc>
          </w:tr>
          <w:tr w:rsidR="004E4F0C" w:rsidRPr="00D64713" w14:paraId="1FB61994" w14:textId="77777777" w:rsidTr="00281C1E">
            <w:trPr>
              <w:jc w:val="center"/>
            </w:trPr>
            <w:tc>
              <w:tcPr>
                <w:tcW w:w="4770" w:type="dxa"/>
                <w:shd w:val="clear" w:color="auto" w:fill="auto"/>
                <w:tcMar>
                  <w:top w:w="0" w:type="dxa"/>
                  <w:left w:w="57" w:type="dxa"/>
                  <w:bottom w:w="0" w:type="dxa"/>
                  <w:right w:w="57" w:type="dxa"/>
                </w:tcMar>
                <w:hideMark/>
              </w:tcPr>
              <w:p w14:paraId="6B2B5A5C" w14:textId="77777777" w:rsidR="004E4F0C" w:rsidRPr="00D64713" w:rsidRDefault="004E4F0C" w:rsidP="00D80155">
                <w:pPr>
                  <w:spacing w:before="0" w:after="0" w:line="240" w:lineRule="auto"/>
                  <w:rPr>
                    <w:rFonts w:asciiTheme="minorHAnsi" w:eastAsia="Calibri" w:hAnsiTheme="minorHAnsi" w:cs="Arial"/>
                  </w:rPr>
                </w:pPr>
                <w:r w:rsidRPr="00D64713">
                  <w:rPr>
                    <w:rFonts w:asciiTheme="minorHAnsi" w:hAnsiTheme="minorHAnsi" w:cs="Arial"/>
                  </w:rPr>
                  <w:t>Support Staff Conference</w:t>
                </w:r>
              </w:p>
            </w:tc>
            <w:tc>
              <w:tcPr>
                <w:tcW w:w="1880" w:type="dxa"/>
                <w:shd w:val="clear" w:color="auto" w:fill="auto"/>
                <w:tcMar>
                  <w:top w:w="0" w:type="dxa"/>
                  <w:left w:w="57" w:type="dxa"/>
                  <w:bottom w:w="0" w:type="dxa"/>
                  <w:right w:w="57" w:type="dxa"/>
                </w:tcMar>
                <w:hideMark/>
              </w:tcPr>
              <w:p w14:paraId="79366451" w14:textId="77777777" w:rsidR="004E4F0C" w:rsidRPr="000F689C" w:rsidRDefault="004E4F0C" w:rsidP="00D80155">
                <w:pPr>
                  <w:spacing w:before="0" w:after="0" w:line="240" w:lineRule="auto"/>
                  <w:jc w:val="right"/>
                  <w:rPr>
                    <w:rFonts w:asciiTheme="minorHAnsi" w:eastAsia="Calibri" w:hAnsiTheme="minorHAnsi" w:cs="Arial"/>
                  </w:rPr>
                </w:pPr>
                <w:r>
                  <w:rPr>
                    <w:rFonts w:asciiTheme="minorHAnsi" w:hAnsiTheme="minorHAnsi" w:cs="Arial"/>
                  </w:rPr>
                  <w:t>1</w:t>
                </w:r>
              </w:p>
            </w:tc>
            <w:tc>
              <w:tcPr>
                <w:tcW w:w="1890" w:type="dxa"/>
                <w:shd w:val="clear" w:color="auto" w:fill="auto"/>
                <w:tcMar>
                  <w:top w:w="0" w:type="dxa"/>
                  <w:left w:w="57" w:type="dxa"/>
                  <w:bottom w:w="0" w:type="dxa"/>
                  <w:right w:w="57" w:type="dxa"/>
                </w:tcMar>
                <w:hideMark/>
              </w:tcPr>
              <w:p w14:paraId="36B38305" w14:textId="29DA5721" w:rsidR="004E4F0C" w:rsidRPr="000F689C" w:rsidRDefault="006044D6" w:rsidP="00D80155">
                <w:pPr>
                  <w:spacing w:before="0" w:after="0" w:line="240" w:lineRule="auto"/>
                  <w:jc w:val="right"/>
                  <w:rPr>
                    <w:rFonts w:asciiTheme="minorHAnsi" w:eastAsia="Calibri" w:hAnsiTheme="minorHAnsi" w:cs="Arial"/>
                  </w:rPr>
                </w:pPr>
                <w:r>
                  <w:rPr>
                    <w:rFonts w:asciiTheme="minorHAnsi" w:eastAsia="Calibri" w:hAnsiTheme="minorHAnsi" w:cs="Arial"/>
                  </w:rPr>
                  <w:t>110</w:t>
                </w:r>
              </w:p>
            </w:tc>
          </w:tr>
          <w:tr w:rsidR="004E4F0C" w:rsidRPr="00D64713" w14:paraId="01228235" w14:textId="77777777" w:rsidTr="00D80155">
            <w:trPr>
              <w:jc w:val="center"/>
            </w:trPr>
            <w:tc>
              <w:tcPr>
                <w:tcW w:w="4770" w:type="dxa"/>
                <w:shd w:val="clear" w:color="auto" w:fill="auto"/>
                <w:tcMar>
                  <w:top w:w="0" w:type="dxa"/>
                  <w:left w:w="57" w:type="dxa"/>
                  <w:bottom w:w="0" w:type="dxa"/>
                  <w:right w:w="57" w:type="dxa"/>
                </w:tcMar>
                <w:hideMark/>
              </w:tcPr>
              <w:p w14:paraId="2800168A" w14:textId="77777777" w:rsidR="004E4F0C" w:rsidRPr="00D64713" w:rsidRDefault="004E4F0C" w:rsidP="00D80155">
                <w:pPr>
                  <w:spacing w:before="0" w:after="0" w:line="240" w:lineRule="auto"/>
                  <w:rPr>
                    <w:rFonts w:asciiTheme="minorHAnsi" w:eastAsia="Calibri" w:hAnsiTheme="minorHAnsi" w:cs="Arial"/>
                  </w:rPr>
                </w:pPr>
                <w:r w:rsidRPr="00D64713">
                  <w:rPr>
                    <w:rFonts w:asciiTheme="minorHAnsi" w:hAnsiTheme="minorHAnsi" w:cs="Arial"/>
                  </w:rPr>
                  <w:t>Assessment Trainings</w:t>
                </w:r>
              </w:p>
            </w:tc>
            <w:tc>
              <w:tcPr>
                <w:tcW w:w="1880" w:type="dxa"/>
                <w:shd w:val="clear" w:color="auto" w:fill="auto"/>
                <w:tcMar>
                  <w:top w:w="0" w:type="dxa"/>
                  <w:left w:w="57" w:type="dxa"/>
                  <w:bottom w:w="0" w:type="dxa"/>
                  <w:right w:w="57" w:type="dxa"/>
                </w:tcMar>
                <w:hideMark/>
              </w:tcPr>
              <w:p w14:paraId="266D6275" w14:textId="77777777" w:rsidR="004E4F0C" w:rsidRPr="000F689C" w:rsidRDefault="004E4F0C" w:rsidP="00D80155">
                <w:pPr>
                  <w:spacing w:before="0" w:after="0" w:line="240" w:lineRule="auto"/>
                  <w:jc w:val="right"/>
                  <w:rPr>
                    <w:rFonts w:asciiTheme="minorHAnsi" w:eastAsia="Calibri" w:hAnsiTheme="minorHAnsi" w:cs="Arial"/>
                  </w:rPr>
                </w:pPr>
                <w:r>
                  <w:rPr>
                    <w:rFonts w:asciiTheme="minorHAnsi" w:eastAsia="Calibri" w:hAnsiTheme="minorHAnsi" w:cs="Arial"/>
                  </w:rPr>
                  <w:t>10</w:t>
                </w:r>
              </w:p>
            </w:tc>
            <w:tc>
              <w:tcPr>
                <w:tcW w:w="1890" w:type="dxa"/>
                <w:shd w:val="clear" w:color="auto" w:fill="auto"/>
                <w:tcMar>
                  <w:top w:w="0" w:type="dxa"/>
                  <w:left w:w="57" w:type="dxa"/>
                  <w:bottom w:w="0" w:type="dxa"/>
                  <w:right w:w="57" w:type="dxa"/>
                </w:tcMar>
                <w:hideMark/>
              </w:tcPr>
              <w:p w14:paraId="4D66F06E" w14:textId="77777777" w:rsidR="004E4F0C" w:rsidRPr="000F689C" w:rsidRDefault="004E4F0C" w:rsidP="00D80155">
                <w:pPr>
                  <w:spacing w:before="0" w:after="0" w:line="240" w:lineRule="auto"/>
                  <w:jc w:val="right"/>
                  <w:rPr>
                    <w:rFonts w:asciiTheme="minorHAnsi" w:eastAsia="Calibri" w:hAnsiTheme="minorHAnsi" w:cs="Arial"/>
                  </w:rPr>
                </w:pPr>
                <w:r>
                  <w:rPr>
                    <w:rFonts w:asciiTheme="minorHAnsi" w:eastAsia="Calibri" w:hAnsiTheme="minorHAnsi" w:cs="Arial"/>
                  </w:rPr>
                  <w:t>277</w:t>
                </w:r>
              </w:p>
            </w:tc>
          </w:tr>
          <w:tr w:rsidR="004E4F0C" w:rsidRPr="00D64713" w14:paraId="0D09E077" w14:textId="77777777" w:rsidTr="00D80155">
            <w:trPr>
              <w:jc w:val="center"/>
            </w:trPr>
            <w:tc>
              <w:tcPr>
                <w:tcW w:w="4770" w:type="dxa"/>
                <w:shd w:val="clear" w:color="auto" w:fill="auto"/>
                <w:tcMar>
                  <w:top w:w="0" w:type="dxa"/>
                  <w:left w:w="57" w:type="dxa"/>
                  <w:bottom w:w="0" w:type="dxa"/>
                  <w:right w:w="57" w:type="dxa"/>
                </w:tcMar>
                <w:hideMark/>
              </w:tcPr>
              <w:p w14:paraId="23E9E15B" w14:textId="77777777" w:rsidR="004E4F0C" w:rsidRPr="00D64713" w:rsidRDefault="004E4F0C" w:rsidP="00D80155">
                <w:pPr>
                  <w:spacing w:before="0" w:after="0" w:line="240" w:lineRule="auto"/>
                  <w:rPr>
                    <w:rFonts w:asciiTheme="minorHAnsi" w:eastAsia="Calibri" w:hAnsiTheme="minorHAnsi" w:cs="Arial"/>
                  </w:rPr>
                </w:pPr>
                <w:r w:rsidRPr="00D64713">
                  <w:rPr>
                    <w:rFonts w:asciiTheme="minorHAnsi" w:hAnsiTheme="minorHAnsi" w:cs="Arial"/>
                  </w:rPr>
                  <w:t>Trainings for volunteers working in ABE programs</w:t>
                </w:r>
              </w:p>
            </w:tc>
            <w:tc>
              <w:tcPr>
                <w:tcW w:w="1880" w:type="dxa"/>
                <w:shd w:val="clear" w:color="auto" w:fill="auto"/>
                <w:tcMar>
                  <w:top w:w="0" w:type="dxa"/>
                  <w:left w:w="57" w:type="dxa"/>
                  <w:bottom w:w="0" w:type="dxa"/>
                  <w:right w:w="57" w:type="dxa"/>
                </w:tcMar>
                <w:hideMark/>
              </w:tcPr>
              <w:p w14:paraId="5E771914" w14:textId="77777777" w:rsidR="004E4F0C" w:rsidRPr="000F689C" w:rsidRDefault="004E4F0C" w:rsidP="00D80155">
                <w:pPr>
                  <w:spacing w:before="0" w:after="0" w:line="240" w:lineRule="auto"/>
                  <w:jc w:val="right"/>
                  <w:rPr>
                    <w:rFonts w:asciiTheme="minorHAnsi" w:eastAsia="Calibri" w:hAnsiTheme="minorHAnsi" w:cs="Arial"/>
                  </w:rPr>
                </w:pPr>
                <w:r>
                  <w:rPr>
                    <w:rFonts w:asciiTheme="minorHAnsi" w:eastAsia="Calibri" w:hAnsiTheme="minorHAnsi" w:cs="Arial"/>
                  </w:rPr>
                  <w:t>146</w:t>
                </w:r>
              </w:p>
            </w:tc>
            <w:tc>
              <w:tcPr>
                <w:tcW w:w="1890" w:type="dxa"/>
                <w:shd w:val="clear" w:color="auto" w:fill="auto"/>
                <w:tcMar>
                  <w:top w:w="0" w:type="dxa"/>
                  <w:left w:w="57" w:type="dxa"/>
                  <w:bottom w:w="0" w:type="dxa"/>
                  <w:right w:w="57" w:type="dxa"/>
                </w:tcMar>
                <w:hideMark/>
              </w:tcPr>
              <w:p w14:paraId="1A0A0260" w14:textId="77777777" w:rsidR="004E4F0C" w:rsidRPr="000F689C" w:rsidRDefault="004E4F0C" w:rsidP="00D80155">
                <w:pPr>
                  <w:spacing w:before="0" w:after="0" w:line="240" w:lineRule="auto"/>
                  <w:jc w:val="right"/>
                  <w:rPr>
                    <w:rFonts w:asciiTheme="minorHAnsi" w:hAnsiTheme="minorHAnsi" w:cs="Arial"/>
                  </w:rPr>
                </w:pPr>
                <w:r w:rsidRPr="000F689C">
                  <w:rPr>
                    <w:rFonts w:asciiTheme="minorHAnsi" w:hAnsiTheme="minorHAnsi" w:cs="Arial"/>
                  </w:rPr>
                  <w:t>2</w:t>
                </w:r>
                <w:r>
                  <w:rPr>
                    <w:rFonts w:asciiTheme="minorHAnsi" w:hAnsiTheme="minorHAnsi" w:cs="Arial"/>
                  </w:rPr>
                  <w:t>792</w:t>
                </w:r>
              </w:p>
            </w:tc>
          </w:tr>
          <w:tr w:rsidR="004E4F0C" w:rsidRPr="00D64713" w14:paraId="71807E81" w14:textId="77777777" w:rsidTr="00D80155">
            <w:trPr>
              <w:jc w:val="center"/>
            </w:trPr>
            <w:tc>
              <w:tcPr>
                <w:tcW w:w="4770" w:type="dxa"/>
                <w:shd w:val="clear" w:color="auto" w:fill="auto"/>
                <w:tcMar>
                  <w:top w:w="0" w:type="dxa"/>
                  <w:left w:w="57" w:type="dxa"/>
                  <w:bottom w:w="0" w:type="dxa"/>
                  <w:right w:w="57" w:type="dxa"/>
                </w:tcMar>
              </w:tcPr>
              <w:p w14:paraId="4EF4E290" w14:textId="77777777" w:rsidR="004E4F0C" w:rsidRPr="00D64713" w:rsidRDefault="004E4F0C" w:rsidP="00D80155">
                <w:pPr>
                  <w:spacing w:before="0" w:after="0" w:line="240" w:lineRule="auto"/>
                  <w:rPr>
                    <w:rFonts w:asciiTheme="minorHAnsi" w:hAnsiTheme="minorHAnsi" w:cs="Arial"/>
                  </w:rPr>
                </w:pPr>
                <w:r w:rsidRPr="00D64713">
                  <w:rPr>
                    <w:rFonts w:asciiTheme="minorHAnsi" w:hAnsiTheme="minorHAnsi" w:cs="Arial"/>
                  </w:rPr>
                  <w:t xml:space="preserve">ABE Volunteer Management Conference </w:t>
                </w:r>
              </w:p>
            </w:tc>
            <w:tc>
              <w:tcPr>
                <w:tcW w:w="1880" w:type="dxa"/>
                <w:shd w:val="clear" w:color="auto" w:fill="auto"/>
                <w:tcMar>
                  <w:top w:w="0" w:type="dxa"/>
                  <w:left w:w="57" w:type="dxa"/>
                  <w:bottom w:w="0" w:type="dxa"/>
                  <w:right w:w="57" w:type="dxa"/>
                </w:tcMar>
              </w:tcPr>
              <w:p w14:paraId="23A48408" w14:textId="77777777" w:rsidR="004E4F0C" w:rsidRPr="000F689C" w:rsidRDefault="004E4F0C" w:rsidP="00D80155">
                <w:pPr>
                  <w:spacing w:before="0" w:after="0" w:line="240" w:lineRule="auto"/>
                  <w:jc w:val="right"/>
                  <w:rPr>
                    <w:rFonts w:asciiTheme="minorHAnsi" w:eastAsia="Calibri" w:hAnsiTheme="minorHAnsi" w:cs="Arial"/>
                  </w:rPr>
                </w:pPr>
                <w:r w:rsidRPr="000F689C">
                  <w:rPr>
                    <w:rFonts w:asciiTheme="minorHAnsi" w:eastAsia="Calibri" w:hAnsiTheme="minorHAnsi" w:cs="Arial"/>
                  </w:rPr>
                  <w:t>1</w:t>
                </w:r>
              </w:p>
            </w:tc>
            <w:tc>
              <w:tcPr>
                <w:tcW w:w="1890" w:type="dxa"/>
                <w:shd w:val="clear" w:color="auto" w:fill="auto"/>
                <w:tcMar>
                  <w:top w:w="0" w:type="dxa"/>
                  <w:left w:w="57" w:type="dxa"/>
                  <w:bottom w:w="0" w:type="dxa"/>
                  <w:right w:w="57" w:type="dxa"/>
                </w:tcMar>
              </w:tcPr>
              <w:p w14:paraId="7969F8F3" w14:textId="77777777" w:rsidR="004E4F0C" w:rsidRPr="000F689C" w:rsidRDefault="004E4F0C" w:rsidP="00D80155">
                <w:pPr>
                  <w:spacing w:before="0" w:after="0" w:line="240" w:lineRule="auto"/>
                  <w:jc w:val="right"/>
                  <w:rPr>
                    <w:rFonts w:asciiTheme="minorHAnsi" w:hAnsiTheme="minorHAnsi" w:cs="Arial"/>
                  </w:rPr>
                </w:pPr>
                <w:r>
                  <w:rPr>
                    <w:rFonts w:asciiTheme="minorHAnsi" w:hAnsiTheme="minorHAnsi" w:cs="Arial"/>
                  </w:rPr>
                  <w:t>115</w:t>
                </w:r>
              </w:p>
            </w:tc>
          </w:tr>
        </w:tbl>
        <w:p w14:paraId="6982215B" w14:textId="77777777" w:rsidR="004E4F0C" w:rsidRPr="007E502C" w:rsidRDefault="004E4F0C" w:rsidP="004E4F0C">
          <w:pPr>
            <w:spacing w:before="0" w:after="0" w:line="240" w:lineRule="auto"/>
            <w:rPr>
              <w:rFonts w:eastAsia="Calibri" w:cs="Arial"/>
              <w:sz w:val="16"/>
              <w:szCs w:val="20"/>
            </w:rPr>
          </w:pPr>
        </w:p>
        <w:p w14:paraId="4046A20F" w14:textId="193F257C" w:rsidR="004E4F0C" w:rsidRDefault="004E4F0C" w:rsidP="004E4F0C">
          <w:pPr>
            <w:spacing w:before="0" w:after="0" w:line="240" w:lineRule="auto"/>
            <w:rPr>
              <w:rFonts w:asciiTheme="minorHAnsi" w:hAnsiTheme="minorHAnsi" w:cs="Arial"/>
              <w:lang w:val="en"/>
            </w:rPr>
          </w:pPr>
          <w:r w:rsidRPr="007E502C">
            <w:rPr>
              <w:rFonts w:asciiTheme="minorHAnsi" w:hAnsiTheme="minorHAnsi" w:cs="Arial"/>
            </w:rPr>
            <w:t>In addition</w:t>
          </w:r>
          <w:r>
            <w:rPr>
              <w:rFonts w:asciiTheme="minorHAnsi" w:hAnsiTheme="minorHAnsi" w:cs="Arial"/>
            </w:rPr>
            <w:t xml:space="preserve"> to these events</w:t>
          </w:r>
          <w:r w:rsidRPr="007E502C">
            <w:rPr>
              <w:rFonts w:asciiTheme="minorHAnsi" w:hAnsiTheme="minorHAnsi" w:cs="Arial"/>
            </w:rPr>
            <w:t xml:space="preserve">, PD was provided through a number of long-term job-embedded </w:t>
          </w:r>
          <w:r>
            <w:rPr>
              <w:rFonts w:asciiTheme="minorHAnsi" w:hAnsiTheme="minorHAnsi" w:cs="Arial"/>
            </w:rPr>
            <w:t xml:space="preserve">virtual </w:t>
          </w:r>
          <w:r w:rsidRPr="007E502C">
            <w:rPr>
              <w:rFonts w:asciiTheme="minorHAnsi" w:hAnsiTheme="minorHAnsi" w:cs="Arial"/>
            </w:rPr>
            <w:t>activities, including</w:t>
          </w:r>
          <w:r>
            <w:rPr>
              <w:rFonts w:asciiTheme="minorHAnsi" w:hAnsiTheme="minorHAnsi" w:cs="Arial"/>
            </w:rPr>
            <w:t xml:space="preserve"> a College and Career Readiness Standards </w:t>
          </w:r>
          <w:r w:rsidR="00F75DA8">
            <w:rPr>
              <w:rFonts w:asciiTheme="minorHAnsi" w:hAnsiTheme="minorHAnsi" w:cs="Arial"/>
            </w:rPr>
            <w:t xml:space="preserve">(CCRS) </w:t>
          </w:r>
          <w:r>
            <w:rPr>
              <w:rFonts w:asciiTheme="minorHAnsi" w:hAnsiTheme="minorHAnsi" w:cs="Arial"/>
            </w:rPr>
            <w:t xml:space="preserve">Implementation Cohort, a </w:t>
          </w:r>
          <w:r w:rsidR="000B115A">
            <w:rPr>
              <w:rFonts w:asciiTheme="minorHAnsi" w:hAnsiTheme="minorHAnsi" w:cs="Arial"/>
            </w:rPr>
            <w:t>Student Achievement in Reading (</w:t>
          </w:r>
          <w:r>
            <w:rPr>
              <w:rFonts w:asciiTheme="minorHAnsi" w:hAnsiTheme="minorHAnsi" w:cs="Arial"/>
            </w:rPr>
            <w:t>STAR</w:t>
          </w:r>
          <w:r w:rsidR="000B115A">
            <w:rPr>
              <w:rFonts w:asciiTheme="minorHAnsi" w:hAnsiTheme="minorHAnsi" w:cs="Arial"/>
            </w:rPr>
            <w:t>)</w:t>
          </w:r>
          <w:r>
            <w:rPr>
              <w:rFonts w:asciiTheme="minorHAnsi" w:hAnsiTheme="minorHAnsi" w:cs="Arial"/>
            </w:rPr>
            <w:t xml:space="preserve"> cohort, an </w:t>
          </w:r>
          <w:r w:rsidR="00F75DA8">
            <w:rPr>
              <w:rFonts w:asciiTheme="minorHAnsi" w:hAnsiTheme="minorHAnsi" w:cs="Arial"/>
            </w:rPr>
            <w:t xml:space="preserve">Evidence-Based Reading Instruction </w:t>
          </w:r>
          <w:r>
            <w:rPr>
              <w:rFonts w:asciiTheme="minorHAnsi" w:hAnsiTheme="minorHAnsi" w:cs="Arial"/>
            </w:rPr>
            <w:t>(</w:t>
          </w:r>
          <w:r w:rsidR="00F75DA8">
            <w:rPr>
              <w:rFonts w:asciiTheme="minorHAnsi" w:hAnsiTheme="minorHAnsi" w:cs="Arial"/>
            </w:rPr>
            <w:t>EBRI</w:t>
          </w:r>
          <w:r>
            <w:rPr>
              <w:rFonts w:asciiTheme="minorHAnsi" w:hAnsiTheme="minorHAnsi" w:cs="Arial"/>
            </w:rPr>
            <w:t>) Study Circle</w:t>
          </w:r>
          <w:r w:rsidRPr="007E502C">
            <w:rPr>
              <w:rFonts w:asciiTheme="minorHAnsi" w:hAnsiTheme="minorHAnsi" w:cs="Arial"/>
            </w:rPr>
            <w:t xml:space="preserve">, a Technology Integration Initiative Cohort, </w:t>
          </w:r>
          <w:r>
            <w:rPr>
              <w:rFonts w:asciiTheme="minorHAnsi" w:hAnsiTheme="minorHAnsi" w:cs="Arial"/>
            </w:rPr>
            <w:t xml:space="preserve">a Distance Learning Instructional Issues Cohort, </w:t>
          </w:r>
          <w:r w:rsidRPr="007E502C">
            <w:rPr>
              <w:rFonts w:asciiTheme="minorHAnsi" w:hAnsiTheme="minorHAnsi" w:cs="Arial"/>
            </w:rPr>
            <w:t xml:space="preserve">and a </w:t>
          </w:r>
          <w:r>
            <w:rPr>
              <w:rFonts w:asciiTheme="minorHAnsi" w:hAnsiTheme="minorHAnsi" w:cs="Arial"/>
              <w:lang w:val="en"/>
            </w:rPr>
            <w:t>Pronunciation</w:t>
          </w:r>
          <w:r w:rsidRPr="007E502C">
            <w:rPr>
              <w:rFonts w:asciiTheme="minorHAnsi" w:hAnsiTheme="minorHAnsi" w:cs="Arial"/>
              <w:lang w:val="en"/>
            </w:rPr>
            <w:t xml:space="preserve"> Study Circle.</w:t>
          </w:r>
        </w:p>
        <w:p w14:paraId="70C3F8E8" w14:textId="77777777" w:rsidR="004E4F0C" w:rsidRPr="000711E2" w:rsidRDefault="004E4F0C" w:rsidP="004E4F0C">
          <w:pPr>
            <w:spacing w:before="0" w:after="0" w:line="240" w:lineRule="auto"/>
            <w:rPr>
              <w:rFonts w:asciiTheme="minorHAnsi" w:hAnsiTheme="minorHAnsi" w:cs="Arial"/>
              <w:color w:val="FF0000"/>
            </w:rPr>
          </w:pPr>
        </w:p>
        <w:p w14:paraId="2930C5DB" w14:textId="4CC26574" w:rsidR="004E4F0C" w:rsidRDefault="004E4F0C" w:rsidP="004E4F0C">
          <w:pPr>
            <w:spacing w:before="0" w:after="0" w:line="240" w:lineRule="auto"/>
            <w:rPr>
              <w:rFonts w:asciiTheme="minorHAnsi" w:hAnsiTheme="minorHAnsi" w:cs="Arial"/>
              <w:lang w:val="en"/>
            </w:rPr>
          </w:pPr>
          <w:r>
            <w:rPr>
              <w:rFonts w:asciiTheme="minorHAnsi" w:hAnsiTheme="minorHAnsi" w:cs="Arial"/>
              <w:lang w:val="en"/>
            </w:rPr>
            <w:t>Most Minnesota adult education programs continued to offer remote and distance education options, and much of the PD offered this year was designed to support high-quality distance learning. Some examples include:</w:t>
          </w:r>
        </w:p>
        <w:p w14:paraId="4F2339D9" w14:textId="77777777" w:rsidR="004E4F0C" w:rsidRDefault="004E4F0C" w:rsidP="004E4F0C">
          <w:pPr>
            <w:spacing w:before="0" w:after="0" w:line="240" w:lineRule="auto"/>
            <w:rPr>
              <w:rFonts w:asciiTheme="minorHAnsi" w:hAnsiTheme="minorHAnsi" w:cs="Arial"/>
              <w:lang w:val="en"/>
            </w:rPr>
          </w:pPr>
        </w:p>
        <w:p w14:paraId="156F2B20" w14:textId="272CCEAE" w:rsidR="004E4F0C" w:rsidRDefault="004E4F0C" w:rsidP="00A3782A">
          <w:pPr>
            <w:pStyle w:val="ListParagraph"/>
            <w:numPr>
              <w:ilvl w:val="0"/>
              <w:numId w:val="32"/>
            </w:numPr>
            <w:spacing w:before="0" w:after="0" w:line="240" w:lineRule="auto"/>
            <w:ind w:left="720"/>
            <w:rPr>
              <w:rFonts w:asciiTheme="minorHAnsi" w:hAnsiTheme="minorHAnsi" w:cs="Arial"/>
              <w:lang w:val="en"/>
            </w:rPr>
          </w:pPr>
          <w:r w:rsidRPr="0081676E">
            <w:rPr>
              <w:rFonts w:asciiTheme="minorHAnsi" w:hAnsiTheme="minorHAnsi" w:cs="Arial"/>
              <w:lang w:val="en"/>
            </w:rPr>
            <w:t xml:space="preserve">STAR programs provided training and support around virtual STAR instruction through webinars, newsletter articles, and technical assistance. </w:t>
          </w:r>
        </w:p>
        <w:p w14:paraId="64D636AD" w14:textId="77777777" w:rsidR="004E4F0C" w:rsidRDefault="004E4F0C" w:rsidP="00A3782A">
          <w:pPr>
            <w:pStyle w:val="ListParagraph"/>
            <w:numPr>
              <w:ilvl w:val="0"/>
              <w:numId w:val="32"/>
            </w:numPr>
            <w:spacing w:before="0" w:after="0" w:line="240" w:lineRule="auto"/>
            <w:ind w:left="720"/>
            <w:rPr>
              <w:rFonts w:asciiTheme="minorHAnsi" w:hAnsiTheme="minorHAnsi" w:cs="Arial"/>
              <w:lang w:val="en"/>
            </w:rPr>
          </w:pPr>
          <w:r w:rsidRPr="0081676E">
            <w:rPr>
              <w:rFonts w:asciiTheme="minorHAnsi" w:hAnsiTheme="minorHAnsi" w:cs="Arial"/>
              <w:lang w:val="en"/>
            </w:rPr>
            <w:t xml:space="preserve">The annual Math Institute focused on distance education and the flipped classroom, and a math webinar series focused on tools for virtual math instruction. </w:t>
          </w:r>
        </w:p>
        <w:p w14:paraId="08FC72B4" w14:textId="77777777" w:rsidR="004E4F0C" w:rsidRPr="0081676E" w:rsidRDefault="004E4F0C" w:rsidP="00A3782A">
          <w:pPr>
            <w:pStyle w:val="ListParagraph"/>
            <w:numPr>
              <w:ilvl w:val="0"/>
              <w:numId w:val="32"/>
            </w:numPr>
            <w:spacing w:before="0" w:after="0" w:line="240" w:lineRule="auto"/>
            <w:ind w:left="720"/>
            <w:rPr>
              <w:rFonts w:asciiTheme="minorHAnsi" w:hAnsiTheme="minorHAnsi" w:cs="Arial"/>
              <w:lang w:val="en"/>
            </w:rPr>
          </w:pPr>
          <w:r w:rsidRPr="0081676E">
            <w:rPr>
              <w:rFonts w:asciiTheme="minorHAnsi" w:hAnsiTheme="minorHAnsi"/>
            </w:rPr>
            <w:t xml:space="preserve">Computer-based and remote NRS testing was supported through virtual trainings, technical assistance, and </w:t>
          </w:r>
          <w:r>
            <w:rPr>
              <w:rFonts w:asciiTheme="minorHAnsi" w:hAnsiTheme="minorHAnsi"/>
            </w:rPr>
            <w:t xml:space="preserve">the </w:t>
          </w:r>
          <w:r w:rsidRPr="0081676E">
            <w:rPr>
              <w:rFonts w:asciiTheme="minorHAnsi" w:hAnsiTheme="minorHAnsi"/>
            </w:rPr>
            <w:t>bulk purchas</w:t>
          </w:r>
          <w:r>
            <w:rPr>
              <w:rFonts w:asciiTheme="minorHAnsi" w:hAnsiTheme="minorHAnsi"/>
            </w:rPr>
            <w:t xml:space="preserve">e and distribution </w:t>
          </w:r>
          <w:r w:rsidRPr="0081676E">
            <w:rPr>
              <w:rFonts w:asciiTheme="minorHAnsi" w:hAnsiTheme="minorHAnsi"/>
            </w:rPr>
            <w:t>of computer-based test administrations</w:t>
          </w:r>
          <w:r>
            <w:rPr>
              <w:rFonts w:asciiTheme="minorHAnsi" w:hAnsiTheme="minorHAnsi"/>
            </w:rPr>
            <w:t xml:space="preserve"> to local providers</w:t>
          </w:r>
          <w:r w:rsidRPr="0081676E">
            <w:rPr>
              <w:rFonts w:asciiTheme="minorHAnsi" w:hAnsiTheme="minorHAnsi"/>
            </w:rPr>
            <w:t xml:space="preserve">. </w:t>
          </w:r>
        </w:p>
        <w:p w14:paraId="57C90D6D" w14:textId="77777777" w:rsidR="004E4F0C" w:rsidRDefault="004E4F0C" w:rsidP="004E4F0C">
          <w:pPr>
            <w:spacing w:before="0" w:after="0" w:line="240" w:lineRule="auto"/>
            <w:rPr>
              <w:rFonts w:asciiTheme="minorHAnsi" w:hAnsiTheme="minorHAnsi"/>
            </w:rPr>
          </w:pPr>
        </w:p>
        <w:p w14:paraId="5714E49D" w14:textId="63A8FE2B" w:rsidR="004E4F0C" w:rsidRDefault="004E4F0C" w:rsidP="004E4F0C">
          <w:pPr>
            <w:spacing w:before="0" w:after="0" w:line="240" w:lineRule="auto"/>
            <w:rPr>
              <w:rFonts w:asciiTheme="minorHAnsi" w:hAnsiTheme="minorHAnsi"/>
            </w:rPr>
          </w:pPr>
          <w:r>
            <w:rPr>
              <w:rFonts w:asciiTheme="minorHAnsi" w:hAnsiTheme="minorHAnsi"/>
            </w:rPr>
            <w:t>In addition, due to the increase in use of teacher-developed asynchronous lessons during the pandemic, a teacher</w:t>
          </w:r>
          <w:r w:rsidR="00CF1CAD">
            <w:rPr>
              <w:rFonts w:asciiTheme="minorHAnsi" w:hAnsiTheme="minorHAnsi"/>
            </w:rPr>
            <w:t xml:space="preserve"> </w:t>
          </w:r>
          <w:r>
            <w:rPr>
              <w:rFonts w:asciiTheme="minorHAnsi" w:hAnsiTheme="minorHAnsi"/>
            </w:rPr>
            <w:t>verification model (TVM) for counting proxy hours was developed to support high-quality asynchronous instruction. In order to become certified to use the TVM</w:t>
          </w:r>
          <w:r w:rsidRPr="000452AF">
            <w:rPr>
              <w:rFonts w:asciiTheme="minorHAnsi" w:hAnsiTheme="minorHAnsi"/>
            </w:rPr>
            <w:t>, teachers must complete an online course, develop a sample TVM lesson, participate in a live webinar that includes time for peer feedback on sample lessons, and engage in coaching as needed to ensure their lesson meets all requirements.</w:t>
          </w:r>
          <w:r>
            <w:rPr>
              <w:rFonts w:asciiTheme="minorHAnsi" w:hAnsiTheme="minorHAnsi"/>
            </w:rPr>
            <w:t xml:space="preserve"> </w:t>
          </w:r>
        </w:p>
        <w:p w14:paraId="579348F4" w14:textId="77777777" w:rsidR="004E4F0C" w:rsidRDefault="004E4F0C" w:rsidP="004E4F0C">
          <w:pPr>
            <w:spacing w:before="0" w:after="0" w:line="240" w:lineRule="auto"/>
            <w:rPr>
              <w:rFonts w:asciiTheme="minorHAnsi" w:hAnsiTheme="minorHAnsi"/>
            </w:rPr>
          </w:pPr>
        </w:p>
        <w:p w14:paraId="4862A463" w14:textId="1A3D7779" w:rsidR="004E4F0C" w:rsidRPr="00E45AFA" w:rsidRDefault="004E4F0C" w:rsidP="00281C1E">
          <w:pPr>
            <w:spacing w:before="0"/>
            <w:rPr>
              <w:lang w:bidi="ar-SA"/>
            </w:rPr>
          </w:pPr>
          <w:r>
            <w:rPr>
              <w:rFonts w:asciiTheme="minorHAnsi" w:hAnsiTheme="minorHAnsi"/>
            </w:rPr>
            <w:t xml:space="preserve">Minnesota adult education professional development providers and the statewide PD committee continued to share and build their expertise and procedures around virtual PD delivery this year. </w:t>
          </w:r>
          <w:r w:rsidRPr="00EC76DB">
            <w:rPr>
              <w:rFonts w:asciiTheme="minorHAnsi" w:hAnsiTheme="minorHAnsi"/>
            </w:rPr>
            <w:t xml:space="preserve">Feedback on PD activities was consistently positive, and participants found the PD to be engaging, useful, relevant, and well-run. </w:t>
          </w:r>
          <w:r>
            <w:rPr>
              <w:rFonts w:asciiTheme="minorHAnsi" w:hAnsiTheme="minorHAnsi"/>
            </w:rPr>
            <w:t xml:space="preserve">To </w:t>
          </w:r>
          <w:r w:rsidRPr="000711E2">
            <w:rPr>
              <w:rFonts w:asciiTheme="minorHAnsi" w:hAnsiTheme="minorHAnsi" w:cstheme="minorHAnsi"/>
              <w:spacing w:val="-1"/>
            </w:rPr>
            <w:t>ensure they were accessible to those who could not attend the live events</w:t>
          </w:r>
          <w:r>
            <w:rPr>
              <w:rFonts w:asciiTheme="minorHAnsi" w:hAnsiTheme="minorHAnsi" w:cstheme="minorHAnsi"/>
              <w:spacing w:val="-1"/>
            </w:rPr>
            <w:t xml:space="preserve">, most virtual PD events were </w:t>
          </w:r>
          <w:r w:rsidRPr="000711E2">
            <w:rPr>
              <w:rFonts w:asciiTheme="minorHAnsi" w:hAnsiTheme="minorHAnsi" w:cstheme="minorHAnsi"/>
              <w:spacing w:val="-1"/>
            </w:rPr>
            <w:t xml:space="preserve">recorded and archived on the </w:t>
          </w:r>
          <w:hyperlink r:id="rId8" w:history="1">
            <w:r w:rsidRPr="00934D2F">
              <w:rPr>
                <w:rStyle w:val="Hyperlink"/>
                <w:rFonts w:asciiTheme="minorHAnsi" w:hAnsiTheme="minorHAnsi" w:cstheme="minorHAnsi"/>
                <w:spacing w:val="-1"/>
              </w:rPr>
              <w:t>MN ABE PD YouTube Channel</w:t>
            </w:r>
          </w:hyperlink>
          <w:r>
            <w:rPr>
              <w:rFonts w:asciiTheme="minorHAnsi" w:hAnsiTheme="minorHAnsi" w:cstheme="minorHAnsi"/>
              <w:spacing w:val="-1"/>
            </w:rPr>
            <w:t xml:space="preserve"> for practitioners to view individually or with colleagues.</w:t>
          </w:r>
        </w:p>
        <w:p w14:paraId="0B494B73" w14:textId="77777777" w:rsidR="00E45AFA" w:rsidRDefault="00E45AFA" w:rsidP="00B82F89">
          <w:pPr>
            <w:pStyle w:val="Heading4"/>
            <w:numPr>
              <w:ilvl w:val="0"/>
              <w:numId w:val="29"/>
            </w:numPr>
            <w:spacing w:before="0" w:after="0"/>
            <w:rPr>
              <w:b w:val="0"/>
              <w:i/>
            </w:rPr>
          </w:pPr>
          <w:r w:rsidRPr="00E45AFA">
            <w:rPr>
              <w:b w:val="0"/>
              <w:i/>
            </w:rPr>
            <w:t>Provision of technical assistance to funded eligible providers as described in section 223(1)(c).</w:t>
          </w:r>
        </w:p>
        <w:p w14:paraId="15E03A52" w14:textId="2D002169" w:rsidR="004E4F0C" w:rsidRDefault="004E4F0C" w:rsidP="004E4F0C">
          <w:pPr>
            <w:autoSpaceDE w:val="0"/>
            <w:autoSpaceDN w:val="0"/>
            <w:spacing w:line="240" w:lineRule="auto"/>
            <w:rPr>
              <w:rFonts w:asciiTheme="minorHAnsi" w:hAnsiTheme="minorHAnsi"/>
            </w:rPr>
          </w:pPr>
          <w:r w:rsidRPr="00D64713">
            <w:rPr>
              <w:rFonts w:asciiTheme="minorHAnsi" w:hAnsiTheme="minorHAnsi"/>
            </w:rPr>
            <w:t>Federal state leadership funds are used to support state-level technical assistance and to provide administrative and professional development ser</w:t>
          </w:r>
          <w:r>
            <w:rPr>
              <w:rFonts w:asciiTheme="minorHAnsi" w:hAnsiTheme="minorHAnsi"/>
            </w:rPr>
            <w:t>vices necessary to operate the adult education</w:t>
          </w:r>
          <w:r w:rsidRPr="00D64713">
            <w:rPr>
              <w:rFonts w:asciiTheme="minorHAnsi" w:hAnsiTheme="minorHAnsi"/>
            </w:rPr>
            <w:t xml:space="preserve"> system in Minnesota. </w:t>
          </w:r>
          <w:r w:rsidR="00F75DA8">
            <w:rPr>
              <w:rFonts w:asciiTheme="minorHAnsi" w:hAnsiTheme="minorHAnsi"/>
            </w:rPr>
            <w:t>These r</w:t>
          </w:r>
          <w:r w:rsidRPr="00D64713">
            <w:rPr>
              <w:rFonts w:asciiTheme="minorHAnsi" w:hAnsiTheme="minorHAnsi"/>
            </w:rPr>
            <w:t>esources helped to provide essential areas of technical assistance, such as: maintaining the Minnesota Adult Basic Education website (</w:t>
          </w:r>
          <w:hyperlink r:id="rId9" w:history="1">
            <w:r w:rsidRPr="00D64713">
              <w:rPr>
                <w:rStyle w:val="Hyperlink"/>
                <w:rFonts w:asciiTheme="minorHAnsi" w:hAnsiTheme="minorHAnsi"/>
              </w:rPr>
              <w:t>www.mnabe.org</w:t>
            </w:r>
          </w:hyperlink>
          <w:r w:rsidRPr="00D64713">
            <w:rPr>
              <w:rFonts w:asciiTheme="minorHAnsi" w:hAnsiTheme="minorHAnsi"/>
            </w:rPr>
            <w:t xml:space="preserve">); providing frequent communication with local program staff through quarterly webinars, fall meetings with </w:t>
          </w:r>
          <w:r>
            <w:rPr>
              <w:rFonts w:asciiTheme="minorHAnsi" w:hAnsiTheme="minorHAnsi"/>
            </w:rPr>
            <w:t>adult education</w:t>
          </w:r>
          <w:r w:rsidRPr="00D64713">
            <w:rPr>
              <w:rFonts w:asciiTheme="minorHAnsi" w:hAnsiTheme="minorHAnsi"/>
            </w:rPr>
            <w:t xml:space="preserve"> managers, spring grant application meetings, and </w:t>
          </w:r>
          <w:r w:rsidRPr="00D64713">
            <w:rPr>
              <w:rFonts w:asciiTheme="minorHAnsi" w:hAnsiTheme="minorHAnsi"/>
            </w:rPr>
            <w:lastRenderedPageBreak/>
            <w:t>trainings at the annual ABE Summer Institute; providing direct guidance through thousands of individual emails and calls from local program staff; and disseminating a weekly electronic PD newsletter with information about training opportunities, instructional resources</w:t>
          </w:r>
          <w:r w:rsidR="00A3782A">
            <w:rPr>
              <w:rFonts w:asciiTheme="minorHAnsi" w:hAnsiTheme="minorHAnsi"/>
            </w:rPr>
            <w:t>,</w:t>
          </w:r>
          <w:r w:rsidRPr="00D64713">
            <w:rPr>
              <w:rFonts w:asciiTheme="minorHAnsi" w:hAnsiTheme="minorHAnsi"/>
            </w:rPr>
            <w:t xml:space="preserve"> and promising practices.</w:t>
          </w:r>
        </w:p>
        <w:p w14:paraId="562A1076" w14:textId="790E7AA1" w:rsidR="004E4F0C" w:rsidRDefault="004E4F0C" w:rsidP="004E4F0C">
          <w:pPr>
            <w:autoSpaceDE w:val="0"/>
            <w:autoSpaceDN w:val="0"/>
            <w:spacing w:line="240" w:lineRule="auto"/>
            <w:rPr>
              <w:rFonts w:asciiTheme="minorHAnsi" w:hAnsiTheme="minorHAnsi"/>
            </w:rPr>
          </w:pPr>
          <w:r>
            <w:rPr>
              <w:rFonts w:asciiTheme="minorHAnsi" w:hAnsiTheme="minorHAnsi"/>
            </w:rPr>
            <w:t xml:space="preserve">This year technical assistance to providers focused heavily on </w:t>
          </w:r>
          <w:r w:rsidRPr="001B470D">
            <w:rPr>
              <w:rFonts w:asciiTheme="minorHAnsi" w:hAnsiTheme="minorHAnsi"/>
            </w:rPr>
            <w:t xml:space="preserve">guidance </w:t>
          </w:r>
          <w:r>
            <w:rPr>
              <w:rFonts w:asciiTheme="minorHAnsi" w:hAnsiTheme="minorHAnsi"/>
            </w:rPr>
            <w:t>around school closures</w:t>
          </w:r>
          <w:r w:rsidRPr="001B470D">
            <w:rPr>
              <w:rFonts w:asciiTheme="minorHAnsi" w:hAnsiTheme="minorHAnsi"/>
            </w:rPr>
            <w:t>, continuity of services, and distance education. Guidance and information were provided to local programs through frequent</w:t>
          </w:r>
          <w:r>
            <w:rPr>
              <w:rFonts w:asciiTheme="minorHAnsi" w:hAnsiTheme="minorHAnsi"/>
            </w:rPr>
            <w:t xml:space="preserve"> webinars and</w:t>
          </w:r>
          <w:r w:rsidRPr="001B470D">
            <w:rPr>
              <w:rFonts w:asciiTheme="minorHAnsi" w:hAnsiTheme="minorHAnsi"/>
            </w:rPr>
            <w:t xml:space="preserve"> written statements</w:t>
          </w:r>
          <w:r>
            <w:rPr>
              <w:rFonts w:asciiTheme="minorHAnsi" w:hAnsiTheme="minorHAnsi"/>
            </w:rPr>
            <w:t>.</w:t>
          </w:r>
          <w:r w:rsidRPr="001B470D">
            <w:rPr>
              <w:rFonts w:asciiTheme="minorHAnsi" w:hAnsiTheme="minorHAnsi"/>
            </w:rPr>
            <w:t xml:space="preserve"> </w:t>
          </w:r>
          <w:r>
            <w:rPr>
              <w:rFonts w:asciiTheme="minorHAnsi" w:hAnsiTheme="minorHAnsi"/>
            </w:rPr>
            <w:t xml:space="preserve">In addition, facilitated discussions on webinars offered </w:t>
          </w:r>
          <w:r w:rsidRPr="001B470D">
            <w:rPr>
              <w:rFonts w:asciiTheme="minorHAnsi" w:hAnsiTheme="minorHAnsi"/>
            </w:rPr>
            <w:t>attendees the opportunity to ask questions and share strategies and resources with peers</w:t>
          </w:r>
          <w:r>
            <w:rPr>
              <w:rFonts w:asciiTheme="minorHAnsi" w:hAnsiTheme="minorHAnsi"/>
            </w:rPr>
            <w:t xml:space="preserve"> as they made decisions about what programming models to offer and how best to serve their learners</w:t>
          </w:r>
          <w:r w:rsidR="00BC1E9C">
            <w:rPr>
              <w:rFonts w:asciiTheme="minorHAnsi" w:hAnsiTheme="minorHAnsi"/>
            </w:rPr>
            <w:t xml:space="preserve">. </w:t>
          </w:r>
        </w:p>
        <w:p w14:paraId="26C6734F" w14:textId="77777777" w:rsidR="004E4F0C" w:rsidRDefault="004E4F0C" w:rsidP="004E4F0C">
          <w:pPr>
            <w:pStyle w:val="ListParagraph"/>
            <w:numPr>
              <w:ilvl w:val="0"/>
              <w:numId w:val="0"/>
            </w:numPr>
            <w:autoSpaceDE w:val="0"/>
            <w:autoSpaceDN w:val="0"/>
            <w:spacing w:line="240" w:lineRule="auto"/>
            <w:rPr>
              <w:rFonts w:asciiTheme="minorHAnsi" w:hAnsiTheme="minorHAnsi"/>
            </w:rPr>
          </w:pPr>
          <w:r w:rsidRPr="00D64713">
            <w:rPr>
              <w:rFonts w:asciiTheme="minorHAnsi" w:hAnsiTheme="minorHAnsi"/>
            </w:rPr>
            <w:t>Technical assistance also supports funded eligible providers in the following specific ways:</w:t>
          </w:r>
        </w:p>
        <w:p w14:paraId="26425B84" w14:textId="77777777" w:rsidR="004E4F0C" w:rsidRPr="00D64713" w:rsidRDefault="004E4F0C" w:rsidP="004E4F0C">
          <w:pPr>
            <w:pStyle w:val="ListParagraph"/>
            <w:numPr>
              <w:ilvl w:val="0"/>
              <w:numId w:val="0"/>
            </w:numPr>
            <w:autoSpaceDE w:val="0"/>
            <w:autoSpaceDN w:val="0"/>
            <w:spacing w:line="240" w:lineRule="auto"/>
            <w:rPr>
              <w:rFonts w:asciiTheme="minorHAnsi" w:hAnsiTheme="minorHAnsi"/>
            </w:rPr>
          </w:pPr>
        </w:p>
        <w:p w14:paraId="5ABDAB2C" w14:textId="1DC5C192" w:rsidR="004E4F0C" w:rsidRPr="00D64713" w:rsidRDefault="004E4F0C" w:rsidP="004E4F0C">
          <w:pPr>
            <w:pStyle w:val="ListParagraph"/>
            <w:numPr>
              <w:ilvl w:val="0"/>
              <w:numId w:val="0"/>
            </w:numPr>
            <w:autoSpaceDE w:val="0"/>
            <w:autoSpaceDN w:val="0"/>
            <w:spacing w:line="240" w:lineRule="auto"/>
            <w:rPr>
              <w:rFonts w:asciiTheme="minorHAnsi" w:hAnsiTheme="minorHAnsi"/>
            </w:rPr>
          </w:pPr>
          <w:r w:rsidRPr="00D64713">
            <w:rPr>
              <w:rFonts w:asciiTheme="minorHAnsi" w:hAnsiTheme="minorHAnsi"/>
            </w:rPr>
            <w:t xml:space="preserve">(1) </w:t>
          </w:r>
          <w:r w:rsidR="00F773D2" w:rsidRPr="00F773D2">
            <w:rPr>
              <w:rFonts w:asciiTheme="minorHAnsi" w:hAnsiTheme="minorHAnsi"/>
              <w:i/>
            </w:rPr>
            <w:t>Developing and disseminating instructional and programmatic practices based on the most rigorous or scientifically valid research available in reading, writing, speaking, mathematics, English language acquisition programs, distance education, and staff training.</w:t>
          </w:r>
          <w:r w:rsidR="00F773D2" w:rsidRPr="00F773D2">
            <w:rPr>
              <w:rFonts w:asciiTheme="minorHAnsi" w:hAnsiTheme="minorHAnsi"/>
            </w:rPr>
            <w:t xml:space="preserve"> </w:t>
          </w:r>
          <w:r w:rsidR="00F773D2">
            <w:rPr>
              <w:rFonts w:asciiTheme="minorHAnsi" w:hAnsiTheme="minorHAnsi"/>
            </w:rPr>
            <w:t>The Adult Education Leadership Team is focusing on i</w:t>
          </w:r>
          <w:r w:rsidRPr="00D64713">
            <w:rPr>
              <w:rFonts w:asciiTheme="minorHAnsi" w:hAnsiTheme="minorHAnsi"/>
            </w:rPr>
            <w:t>ncreasing the capacity of instructors and programs to provide quality instruction in the areas of reading, writing, speaking, mathematics, English language acquisition, and distance education via implementation of PD activities and associated technical assistance such as: support to programs using the STAR model; Evidence-Based Reading Instruction study circles and online courses; annual Language and Literacy Institute; Adult ESL Study Circles; participation in the Minnesota Teachers of Mathematics Conference; M</w:t>
          </w:r>
          <w:r w:rsidR="0050159D">
            <w:rPr>
              <w:rFonts w:asciiTheme="minorHAnsi" w:hAnsiTheme="minorHAnsi"/>
            </w:rPr>
            <w:t>innesota</w:t>
          </w:r>
          <w:r w:rsidRPr="00D64713">
            <w:rPr>
              <w:rFonts w:asciiTheme="minorHAnsi" w:hAnsiTheme="minorHAnsi"/>
            </w:rPr>
            <w:t xml:space="preserve"> distance learning website</w:t>
          </w:r>
          <w:r w:rsidR="00934D2F">
            <w:rPr>
              <w:rFonts w:asciiTheme="minorHAnsi" w:hAnsiTheme="minorHAnsi"/>
            </w:rPr>
            <w:t xml:space="preserve"> (</w:t>
          </w:r>
          <w:hyperlink r:id="rId10" w:history="1">
            <w:r w:rsidR="00934D2F" w:rsidRPr="00230733">
              <w:rPr>
                <w:rStyle w:val="Hyperlink"/>
              </w:rPr>
              <w:t>https://www.literacymn.org/distancelearning</w:t>
            </w:r>
          </w:hyperlink>
          <w:r w:rsidR="00934D2F">
            <w:rPr>
              <w:rFonts w:asciiTheme="minorHAnsi" w:hAnsiTheme="minorHAnsi"/>
            </w:rPr>
            <w:t>)</w:t>
          </w:r>
          <w:r w:rsidRPr="00D64713">
            <w:rPr>
              <w:rFonts w:asciiTheme="minorHAnsi" w:hAnsiTheme="minorHAnsi"/>
            </w:rPr>
            <w:t xml:space="preserve">; </w:t>
          </w:r>
          <w:r w:rsidRPr="00EF5AEB">
            <w:rPr>
              <w:rFonts w:asciiTheme="minorHAnsi" w:hAnsiTheme="minorHAnsi"/>
              <w:i/>
            </w:rPr>
            <w:t>Distance and Blended Learning Basics</w:t>
          </w:r>
          <w:r w:rsidRPr="00D64713">
            <w:rPr>
              <w:rFonts w:asciiTheme="minorHAnsi" w:hAnsiTheme="minorHAnsi"/>
            </w:rPr>
            <w:t xml:space="preserve"> online course; and online resource libraries in the areas of </w:t>
          </w:r>
          <w:r>
            <w:rPr>
              <w:rFonts w:asciiTheme="minorHAnsi" w:hAnsiTheme="minorHAnsi"/>
            </w:rPr>
            <w:t>ACES (</w:t>
          </w:r>
          <w:r w:rsidR="00335AC1">
            <w:rPr>
              <w:rFonts w:asciiTheme="minorHAnsi" w:hAnsiTheme="minorHAnsi"/>
            </w:rPr>
            <w:t>A</w:t>
          </w:r>
          <w:r>
            <w:rPr>
              <w:rFonts w:asciiTheme="minorHAnsi" w:hAnsiTheme="minorHAnsi"/>
            </w:rPr>
            <w:t xml:space="preserve">cademic, </w:t>
          </w:r>
          <w:r w:rsidR="00335AC1">
            <w:rPr>
              <w:rFonts w:asciiTheme="minorHAnsi" w:hAnsiTheme="minorHAnsi"/>
            </w:rPr>
            <w:t>C</w:t>
          </w:r>
          <w:r>
            <w:rPr>
              <w:rFonts w:asciiTheme="minorHAnsi" w:hAnsiTheme="minorHAnsi"/>
            </w:rPr>
            <w:t xml:space="preserve">areer, and </w:t>
          </w:r>
          <w:r w:rsidR="00335AC1">
            <w:rPr>
              <w:rFonts w:asciiTheme="minorHAnsi" w:hAnsiTheme="minorHAnsi"/>
            </w:rPr>
            <w:t>E</w:t>
          </w:r>
          <w:r>
            <w:rPr>
              <w:rFonts w:asciiTheme="minorHAnsi" w:hAnsiTheme="minorHAnsi"/>
            </w:rPr>
            <w:t xml:space="preserve">mployability </w:t>
          </w:r>
          <w:r w:rsidR="00335AC1">
            <w:rPr>
              <w:rFonts w:asciiTheme="minorHAnsi" w:hAnsiTheme="minorHAnsi"/>
            </w:rPr>
            <w:t>S</w:t>
          </w:r>
          <w:r>
            <w:rPr>
              <w:rFonts w:asciiTheme="minorHAnsi" w:hAnsiTheme="minorHAnsi"/>
            </w:rPr>
            <w:t xml:space="preserve">kills), adult career pathways, adult diploma/high school equivalency, adult education staff orientation, </w:t>
          </w:r>
          <w:r w:rsidR="00F75DA8" w:rsidRPr="00F75DA8">
            <w:rPr>
              <w:rFonts w:asciiTheme="minorHAnsi" w:hAnsiTheme="minorHAnsi"/>
            </w:rPr>
            <w:t xml:space="preserve">College and Career Readiness </w:t>
          </w:r>
          <w:r>
            <w:rPr>
              <w:rFonts w:asciiTheme="minorHAnsi" w:hAnsiTheme="minorHAnsi"/>
            </w:rPr>
            <w:t>standards, cultural competency, ESL, numeracy, project-based learning, reading, science, social studies and civics, and writing</w:t>
          </w:r>
          <w:r w:rsidRPr="00D64713">
            <w:rPr>
              <w:rFonts w:asciiTheme="minorHAnsi" w:hAnsiTheme="minorHAnsi"/>
            </w:rPr>
            <w:t>. These online resource libraries can be found at</w:t>
          </w:r>
          <w:r>
            <w:rPr>
              <w:rFonts w:asciiTheme="minorHAnsi" w:hAnsiTheme="minorHAnsi"/>
            </w:rPr>
            <w:t xml:space="preserve"> </w:t>
          </w:r>
          <w:hyperlink r:id="rId11" w:history="1">
            <w:r w:rsidRPr="00012EE6">
              <w:rPr>
                <w:rStyle w:val="Hyperlink"/>
                <w:rFonts w:asciiTheme="minorHAnsi" w:hAnsiTheme="minorHAnsi"/>
              </w:rPr>
              <w:t>https://atlasabe.org/resources/</w:t>
            </w:r>
          </w:hyperlink>
          <w:r>
            <w:rPr>
              <w:rFonts w:asciiTheme="minorHAnsi" w:hAnsiTheme="minorHAnsi"/>
            </w:rPr>
            <w:t xml:space="preserve">. </w:t>
          </w:r>
        </w:p>
        <w:p w14:paraId="395C971E" w14:textId="77777777" w:rsidR="004E4F0C" w:rsidRPr="00D64713" w:rsidRDefault="004E4F0C" w:rsidP="004E4F0C">
          <w:pPr>
            <w:pStyle w:val="ListParagraph"/>
            <w:numPr>
              <w:ilvl w:val="0"/>
              <w:numId w:val="0"/>
            </w:numPr>
            <w:autoSpaceDE w:val="0"/>
            <w:autoSpaceDN w:val="0"/>
            <w:spacing w:before="0" w:after="0" w:line="240" w:lineRule="auto"/>
            <w:ind w:left="360"/>
            <w:contextualSpacing w:val="0"/>
            <w:rPr>
              <w:sz w:val="20"/>
              <w:szCs w:val="20"/>
            </w:rPr>
          </w:pPr>
          <w:r w:rsidRPr="00D64713">
            <w:rPr>
              <w:sz w:val="20"/>
              <w:szCs w:val="20"/>
            </w:rPr>
            <w:t xml:space="preserve"> </w:t>
          </w:r>
        </w:p>
        <w:p w14:paraId="37C2C3FB" w14:textId="5C0DA511" w:rsidR="004A5F63" w:rsidRPr="00D64713" w:rsidRDefault="004E4F0C" w:rsidP="00281C1E">
          <w:pPr>
            <w:autoSpaceDE w:val="0"/>
            <w:autoSpaceDN w:val="0"/>
            <w:spacing w:before="0" w:line="240" w:lineRule="auto"/>
            <w:rPr>
              <w:rFonts w:asciiTheme="minorHAnsi" w:hAnsiTheme="minorHAnsi"/>
            </w:rPr>
          </w:pPr>
          <w:r w:rsidRPr="00925109">
            <w:rPr>
              <w:rFonts w:asciiTheme="minorHAnsi" w:hAnsiTheme="minorHAnsi"/>
            </w:rPr>
            <w:t>(2) </w:t>
          </w:r>
          <w:r w:rsidR="00ED5BEC" w:rsidRPr="00F773D2">
            <w:rPr>
              <w:i/>
            </w:rPr>
            <w:t>Fulfilling their role to provide access to employment, education, and training services as required one-stop partners.</w:t>
          </w:r>
          <w:r w:rsidR="00ED5BEC" w:rsidRPr="00ED5BEC" w:rsidDel="00ED5BEC">
            <w:rPr>
              <w:rFonts w:asciiTheme="minorHAnsi" w:hAnsiTheme="minorHAnsi"/>
            </w:rPr>
            <w:t xml:space="preserve"> </w:t>
          </w:r>
          <w:r w:rsidR="004A5F63" w:rsidRPr="00ED5BEC">
            <w:rPr>
              <w:rFonts w:asciiTheme="minorHAnsi" w:hAnsiTheme="minorHAnsi"/>
            </w:rPr>
            <w:t xml:space="preserve">Minnesota has 39 consortia that have over 330 </w:t>
          </w:r>
          <w:r w:rsidR="00335AC1" w:rsidRPr="00ED5BEC">
            <w:rPr>
              <w:rFonts w:asciiTheme="minorHAnsi" w:hAnsiTheme="minorHAnsi"/>
            </w:rPr>
            <w:t xml:space="preserve">adult education </w:t>
          </w:r>
          <w:r w:rsidR="00F96EE8">
            <w:rPr>
              <w:rFonts w:asciiTheme="minorHAnsi" w:hAnsiTheme="minorHAnsi"/>
            </w:rPr>
            <w:t>providers</w:t>
          </w:r>
          <w:r w:rsidR="004A5F63" w:rsidRPr="00ED5BEC">
            <w:rPr>
              <w:rFonts w:asciiTheme="minorHAnsi" w:hAnsiTheme="minorHAnsi"/>
            </w:rPr>
            <w:t xml:space="preserve"> </w:t>
          </w:r>
          <w:r w:rsidR="00EF5AEB">
            <w:rPr>
              <w:rFonts w:asciiTheme="minorHAnsi" w:hAnsiTheme="minorHAnsi"/>
            </w:rPr>
            <w:t xml:space="preserve">combined </w:t>
          </w:r>
          <w:r w:rsidR="004A5F63" w:rsidRPr="00ED5BEC">
            <w:rPr>
              <w:rFonts w:asciiTheme="minorHAnsi" w:hAnsiTheme="minorHAnsi"/>
            </w:rPr>
            <w:t>and a multitude of online l</w:t>
          </w:r>
          <w:r w:rsidR="004A5F63" w:rsidRPr="004A5F63">
            <w:rPr>
              <w:rFonts w:asciiTheme="minorHAnsi" w:hAnsiTheme="minorHAnsi"/>
            </w:rPr>
            <w:t>earning options. These eligible provide</w:t>
          </w:r>
          <w:r w:rsidR="00335AC1">
            <w:rPr>
              <w:rFonts w:asciiTheme="minorHAnsi" w:hAnsiTheme="minorHAnsi"/>
            </w:rPr>
            <w:t>r</w:t>
          </w:r>
          <w:r w:rsidR="004A5F63" w:rsidRPr="004A5F63">
            <w:rPr>
              <w:rFonts w:asciiTheme="minorHAnsi" w:hAnsiTheme="minorHAnsi"/>
            </w:rPr>
            <w:t xml:space="preserve">s work closely with their one-stop partners and understand the roles each partner plays in supporting the client. Referrals and co-enrollment are encouraged. Co-enrollment is highest between </w:t>
          </w:r>
          <w:r w:rsidR="00335AC1">
            <w:rPr>
              <w:rFonts w:asciiTheme="minorHAnsi" w:hAnsiTheme="minorHAnsi"/>
            </w:rPr>
            <w:t>adult education</w:t>
          </w:r>
          <w:r w:rsidR="00335AC1" w:rsidRPr="004A5F63">
            <w:rPr>
              <w:rFonts w:asciiTheme="minorHAnsi" w:hAnsiTheme="minorHAnsi"/>
            </w:rPr>
            <w:t xml:space="preserve"> </w:t>
          </w:r>
          <w:r w:rsidR="004A5F63" w:rsidRPr="004A5F63">
            <w:rPr>
              <w:rFonts w:asciiTheme="minorHAnsi" w:hAnsiTheme="minorHAnsi"/>
            </w:rPr>
            <w:t>and the WIOA youth program. Several eligible providers have been in the process of trying to shift the delivery of integrated education and training</w:t>
          </w:r>
          <w:r w:rsidR="00335AC1">
            <w:rPr>
              <w:rFonts w:asciiTheme="minorHAnsi" w:hAnsiTheme="minorHAnsi"/>
            </w:rPr>
            <w:t xml:space="preserve"> (IET)</w:t>
          </w:r>
          <w:r w:rsidR="004A5F63" w:rsidRPr="004A5F63">
            <w:rPr>
              <w:rFonts w:asciiTheme="minorHAnsi" w:hAnsiTheme="minorHAnsi"/>
            </w:rPr>
            <w:t xml:space="preserve"> to online coursework. This would make the IET approach more accessible for </w:t>
          </w:r>
          <w:r w:rsidR="00ED5BEC">
            <w:rPr>
              <w:rFonts w:asciiTheme="minorHAnsi" w:hAnsiTheme="minorHAnsi"/>
            </w:rPr>
            <w:t>many</w:t>
          </w:r>
          <w:r w:rsidR="00ED5BEC" w:rsidRPr="004A5F63">
            <w:rPr>
              <w:rFonts w:asciiTheme="minorHAnsi" w:hAnsiTheme="minorHAnsi"/>
            </w:rPr>
            <w:t xml:space="preserve"> </w:t>
          </w:r>
          <w:r w:rsidR="004A5F63" w:rsidRPr="004A5F63">
            <w:rPr>
              <w:rFonts w:asciiTheme="minorHAnsi" w:hAnsiTheme="minorHAnsi"/>
            </w:rPr>
            <w:t xml:space="preserve">individuals. Two trainings were held to share practices and discuss the possibility of moving to a regional model. It has been difficult to offer the training portion of IET that ends with an industry recognized certificate at </w:t>
          </w:r>
          <w:r w:rsidR="0081643D">
            <w:rPr>
              <w:rFonts w:asciiTheme="minorHAnsi" w:hAnsiTheme="minorHAnsi"/>
            </w:rPr>
            <w:t>National Reporting System (NRS)</w:t>
          </w:r>
          <w:r w:rsidR="0081643D" w:rsidRPr="004A5F63">
            <w:rPr>
              <w:rFonts w:asciiTheme="minorHAnsi" w:hAnsiTheme="minorHAnsi"/>
            </w:rPr>
            <w:t xml:space="preserve"> </w:t>
          </w:r>
          <w:r w:rsidR="004A5F63" w:rsidRPr="004A5F63">
            <w:rPr>
              <w:rFonts w:asciiTheme="minorHAnsi" w:hAnsiTheme="minorHAnsi"/>
            </w:rPr>
            <w:t>educational functioning levels. Best practices were shared with the field on building pathways that end in employment and how to work with some of the employers. Initially, these have been entry level jobs for newcomers but the engagement with employers is a practice we will continue to highlight.</w:t>
          </w:r>
        </w:p>
        <w:p w14:paraId="11F5C85C" w14:textId="21912EA3" w:rsidR="004E4F0C" w:rsidRDefault="004E4F0C" w:rsidP="004E4F0C">
          <w:pPr>
            <w:autoSpaceDE w:val="0"/>
            <w:autoSpaceDN w:val="0"/>
            <w:spacing w:line="240" w:lineRule="auto"/>
            <w:rPr>
              <w:rFonts w:asciiTheme="minorHAnsi" w:hAnsiTheme="minorHAnsi"/>
            </w:rPr>
          </w:pPr>
          <w:r w:rsidRPr="00D64713">
            <w:rPr>
              <w:rFonts w:asciiTheme="minorHAnsi" w:hAnsiTheme="minorHAnsi"/>
            </w:rPr>
            <w:t>(3) </w:t>
          </w:r>
          <w:r w:rsidRPr="00F773D2">
            <w:rPr>
              <w:rFonts w:asciiTheme="minorHAnsi" w:hAnsiTheme="minorHAnsi"/>
              <w:i/>
            </w:rPr>
            <w:t>Using technology to improve program effectiveness through training and technical assistance focused on preparing instructors and program administrators to identify and utilize technology to enhance instruction, programming, and distance education.</w:t>
          </w:r>
          <w:r w:rsidRPr="00D64713">
            <w:rPr>
              <w:rFonts w:asciiTheme="minorHAnsi" w:hAnsiTheme="minorHAnsi"/>
            </w:rPr>
            <w:t xml:space="preserve"> The Minnesota Department of Education </w:t>
          </w:r>
          <w:r w:rsidR="00EF373D">
            <w:rPr>
              <w:rFonts w:asciiTheme="minorHAnsi" w:hAnsiTheme="minorHAnsi"/>
            </w:rPr>
            <w:t>A</w:t>
          </w:r>
          <w:r>
            <w:rPr>
              <w:rFonts w:asciiTheme="minorHAnsi" w:hAnsiTheme="minorHAnsi"/>
            </w:rPr>
            <w:t xml:space="preserve">dult </w:t>
          </w:r>
          <w:r w:rsidR="00EF373D">
            <w:rPr>
              <w:rFonts w:asciiTheme="minorHAnsi" w:hAnsiTheme="minorHAnsi"/>
            </w:rPr>
            <w:t>E</w:t>
          </w:r>
          <w:r>
            <w:rPr>
              <w:rFonts w:asciiTheme="minorHAnsi" w:hAnsiTheme="minorHAnsi"/>
            </w:rPr>
            <w:t>ducation</w:t>
          </w:r>
          <w:r w:rsidRPr="00D64713">
            <w:rPr>
              <w:rFonts w:asciiTheme="minorHAnsi" w:hAnsiTheme="minorHAnsi"/>
            </w:rPr>
            <w:t xml:space="preserve"> </w:t>
          </w:r>
          <w:r w:rsidR="00EF373D">
            <w:rPr>
              <w:rFonts w:asciiTheme="minorHAnsi" w:hAnsiTheme="minorHAnsi"/>
            </w:rPr>
            <w:t>L</w:t>
          </w:r>
          <w:r w:rsidR="00BC1E9C">
            <w:rPr>
              <w:rFonts w:asciiTheme="minorHAnsi" w:hAnsiTheme="minorHAnsi"/>
            </w:rPr>
            <w:t xml:space="preserve">eadership </w:t>
          </w:r>
          <w:r w:rsidR="00EF373D">
            <w:rPr>
              <w:rFonts w:asciiTheme="minorHAnsi" w:hAnsiTheme="minorHAnsi"/>
            </w:rPr>
            <w:t>T</w:t>
          </w:r>
          <w:r w:rsidR="00BC1E9C">
            <w:rPr>
              <w:rFonts w:asciiTheme="minorHAnsi" w:hAnsiTheme="minorHAnsi"/>
            </w:rPr>
            <w:t>eam</w:t>
          </w:r>
          <w:r w:rsidR="00BC1E9C" w:rsidRPr="00D64713">
            <w:rPr>
              <w:rFonts w:asciiTheme="minorHAnsi" w:hAnsiTheme="minorHAnsi"/>
            </w:rPr>
            <w:t xml:space="preserve"> </w:t>
          </w:r>
          <w:r w:rsidRPr="00D64713">
            <w:rPr>
              <w:rFonts w:asciiTheme="minorHAnsi" w:hAnsiTheme="minorHAnsi"/>
            </w:rPr>
            <w:t xml:space="preserve">contracted </w:t>
          </w:r>
          <w:r>
            <w:rPr>
              <w:rFonts w:asciiTheme="minorHAnsi" w:hAnsiTheme="minorHAnsi"/>
            </w:rPr>
            <w:t xml:space="preserve">with Literacy Minnesota </w:t>
          </w:r>
          <w:r w:rsidRPr="00D64713">
            <w:rPr>
              <w:rFonts w:asciiTheme="minorHAnsi" w:hAnsiTheme="minorHAnsi"/>
            </w:rPr>
            <w:t>to provide professional development</w:t>
          </w:r>
          <w:r>
            <w:rPr>
              <w:rFonts w:asciiTheme="minorHAnsi" w:hAnsiTheme="minorHAnsi"/>
            </w:rPr>
            <w:t xml:space="preserve"> and technical assistance</w:t>
          </w:r>
          <w:r w:rsidRPr="00D64713">
            <w:rPr>
              <w:rFonts w:asciiTheme="minorHAnsi" w:hAnsiTheme="minorHAnsi"/>
            </w:rPr>
            <w:t xml:space="preserve"> in the area</w:t>
          </w:r>
          <w:r>
            <w:rPr>
              <w:rFonts w:asciiTheme="minorHAnsi" w:hAnsiTheme="minorHAnsi"/>
            </w:rPr>
            <w:t>s</w:t>
          </w:r>
          <w:r w:rsidRPr="00D64713">
            <w:rPr>
              <w:rFonts w:asciiTheme="minorHAnsi" w:hAnsiTheme="minorHAnsi"/>
            </w:rPr>
            <w:t xml:space="preserve"> of educational technology</w:t>
          </w:r>
          <w:r>
            <w:rPr>
              <w:rFonts w:asciiTheme="minorHAnsi" w:hAnsiTheme="minorHAnsi"/>
            </w:rPr>
            <w:t xml:space="preserve">, </w:t>
          </w:r>
          <w:r w:rsidRPr="009B33BE">
            <w:rPr>
              <w:rFonts w:asciiTheme="minorHAnsi" w:hAnsiTheme="minorHAnsi"/>
            </w:rPr>
            <w:t>digital literacy, and distance learning.</w:t>
          </w:r>
          <w:r w:rsidRPr="00DA4FD4">
            <w:rPr>
              <w:rFonts w:asciiTheme="minorHAnsi" w:hAnsiTheme="minorHAnsi" w:cstheme="minorHAnsi"/>
            </w:rPr>
            <w:t xml:space="preserve"> </w:t>
          </w:r>
          <w:r>
            <w:rPr>
              <w:rFonts w:asciiTheme="minorHAnsi" w:hAnsiTheme="minorHAnsi"/>
            </w:rPr>
            <w:t>In 2020</w:t>
          </w:r>
          <w:r w:rsidR="00BC1E9C">
            <w:rPr>
              <w:rFonts w:asciiTheme="minorHAnsi" w:hAnsiTheme="minorHAnsi"/>
            </w:rPr>
            <w:t>–20</w:t>
          </w:r>
          <w:r>
            <w:rPr>
              <w:rFonts w:asciiTheme="minorHAnsi" w:hAnsiTheme="minorHAnsi"/>
            </w:rPr>
            <w:t>21, the</w:t>
          </w:r>
          <w:r w:rsidRPr="000B2427">
            <w:rPr>
              <w:rFonts w:asciiTheme="minorHAnsi" w:hAnsiTheme="minorHAnsi"/>
            </w:rPr>
            <w:t xml:space="preserve"> </w:t>
          </w:r>
          <w:r>
            <w:rPr>
              <w:rFonts w:asciiTheme="minorHAnsi" w:hAnsiTheme="minorHAnsi"/>
            </w:rPr>
            <w:t>M</w:t>
          </w:r>
          <w:r w:rsidR="006B602F">
            <w:rPr>
              <w:rFonts w:asciiTheme="minorHAnsi" w:hAnsiTheme="minorHAnsi"/>
            </w:rPr>
            <w:t>innesota</w:t>
          </w:r>
          <w:r>
            <w:rPr>
              <w:rFonts w:asciiTheme="minorHAnsi" w:hAnsiTheme="minorHAnsi"/>
            </w:rPr>
            <w:t xml:space="preserve"> Adult Education </w:t>
          </w:r>
          <w:r w:rsidRPr="000B2427">
            <w:rPr>
              <w:rFonts w:asciiTheme="minorHAnsi" w:hAnsiTheme="minorHAnsi"/>
            </w:rPr>
            <w:t xml:space="preserve">Technology &amp; Distance Learning </w:t>
          </w:r>
          <w:r w:rsidRPr="001E3A4A">
            <w:rPr>
              <w:rFonts w:asciiTheme="minorHAnsi" w:hAnsiTheme="minorHAnsi"/>
            </w:rPr>
            <w:t>Team led 40 training webinars and webinars with 2,328 participants attending.</w:t>
          </w:r>
          <w:r w:rsidRPr="000B2427">
            <w:rPr>
              <w:rFonts w:asciiTheme="minorHAnsi" w:hAnsiTheme="minorHAnsi"/>
            </w:rPr>
            <w:t xml:space="preserve"> </w:t>
          </w:r>
          <w:r>
            <w:rPr>
              <w:rFonts w:asciiTheme="minorHAnsi" w:hAnsiTheme="minorHAnsi"/>
            </w:rPr>
            <w:t>Trainings focused on a wide variety of topics, including remo</w:t>
          </w:r>
          <w:r w:rsidRPr="00626B35">
            <w:rPr>
              <w:rFonts w:asciiTheme="minorHAnsi" w:hAnsiTheme="minorHAnsi"/>
            </w:rPr>
            <w:t xml:space="preserve">te digital literacy instruction, distance learning best practices, </w:t>
          </w:r>
          <w:r>
            <w:rPr>
              <w:rFonts w:asciiTheme="minorHAnsi" w:hAnsiTheme="minorHAnsi"/>
            </w:rPr>
            <w:t xml:space="preserve">educational technology tools, </w:t>
          </w:r>
          <w:r w:rsidRPr="00626B35">
            <w:rPr>
              <w:rFonts w:asciiTheme="minorHAnsi" w:hAnsiTheme="minorHAnsi"/>
            </w:rPr>
            <w:t>and the use of distance learning platforms.</w:t>
          </w:r>
          <w:r>
            <w:rPr>
              <w:rFonts w:asciiTheme="minorHAnsi" w:hAnsiTheme="minorHAnsi"/>
            </w:rPr>
            <w:t xml:space="preserve"> In addition, two job-embedded professional development initiatives focused on technology and distance learning were offered in 2020</w:t>
          </w:r>
          <w:r w:rsidR="00BC1E9C">
            <w:rPr>
              <w:rFonts w:asciiTheme="minorHAnsi" w:hAnsiTheme="minorHAnsi"/>
            </w:rPr>
            <w:t>–20</w:t>
          </w:r>
          <w:r>
            <w:rPr>
              <w:rFonts w:asciiTheme="minorHAnsi" w:hAnsiTheme="minorHAnsi"/>
            </w:rPr>
            <w:t>21 and were particularly helpful to instructors and programs in their efforts to increase students’ access to technology, digital literacy instruction, and high-quality distance education during the pandemic:</w:t>
          </w:r>
        </w:p>
        <w:p w14:paraId="1D1438C2" w14:textId="77777777" w:rsidR="004E4F0C" w:rsidRPr="009C4957" w:rsidRDefault="004E4F0C" w:rsidP="00BC1E9C">
          <w:pPr>
            <w:pStyle w:val="ListParagraph"/>
            <w:numPr>
              <w:ilvl w:val="0"/>
              <w:numId w:val="32"/>
            </w:numPr>
            <w:tabs>
              <w:tab w:val="left" w:pos="720"/>
            </w:tabs>
            <w:spacing w:before="0" w:after="0" w:line="240" w:lineRule="auto"/>
            <w:ind w:left="720"/>
            <w:rPr>
              <w:rFonts w:asciiTheme="minorHAnsi" w:hAnsiTheme="minorHAnsi" w:cs="Arial"/>
            </w:rPr>
          </w:pPr>
          <w:r w:rsidRPr="009C4957">
            <w:rPr>
              <w:rFonts w:asciiTheme="minorHAnsi" w:hAnsiTheme="minorHAnsi" w:cs="Arial"/>
              <w:b/>
            </w:rPr>
            <w:lastRenderedPageBreak/>
            <w:t>Technology Integration Initiative Cohort:</w:t>
          </w:r>
          <w:r w:rsidRPr="009C4957">
            <w:rPr>
              <w:rFonts w:asciiTheme="minorHAnsi" w:hAnsiTheme="minorHAnsi" w:cs="Arial"/>
            </w:rPr>
            <w:t xml:space="preserve"> Training and support for </w:t>
          </w:r>
          <w:r>
            <w:rPr>
              <w:rFonts w:asciiTheme="minorHAnsi" w:hAnsiTheme="minorHAnsi" w:cs="Arial"/>
            </w:rPr>
            <w:t>adult education program teams</w:t>
          </w:r>
          <w:r w:rsidRPr="009C4957">
            <w:rPr>
              <w:rFonts w:asciiTheme="minorHAnsi" w:hAnsiTheme="minorHAnsi" w:cs="Arial"/>
            </w:rPr>
            <w:t xml:space="preserve"> on </w:t>
          </w:r>
          <w:r>
            <w:rPr>
              <w:rFonts w:asciiTheme="minorHAnsi" w:hAnsiTheme="minorHAnsi" w:cs="Arial"/>
            </w:rPr>
            <w:t>developing and implementing a digital equity plan for their program</w:t>
          </w:r>
          <w:r w:rsidRPr="009C4957">
            <w:rPr>
              <w:rFonts w:asciiTheme="minorHAnsi" w:hAnsiTheme="minorHAnsi" w:cs="Arial"/>
            </w:rPr>
            <w:t xml:space="preserve"> </w:t>
          </w:r>
        </w:p>
        <w:p w14:paraId="2BD21AF5" w14:textId="5019811D" w:rsidR="004E4F0C" w:rsidRPr="009C4957" w:rsidRDefault="004E4F0C" w:rsidP="00BC1E9C">
          <w:pPr>
            <w:pStyle w:val="ListParagraph"/>
            <w:numPr>
              <w:ilvl w:val="0"/>
              <w:numId w:val="32"/>
            </w:numPr>
            <w:tabs>
              <w:tab w:val="left" w:pos="720"/>
            </w:tabs>
            <w:spacing w:before="0" w:after="0" w:line="240" w:lineRule="auto"/>
            <w:ind w:left="720"/>
            <w:jc w:val="both"/>
            <w:rPr>
              <w:rFonts w:asciiTheme="minorHAnsi" w:hAnsiTheme="minorHAnsi" w:cs="Arial"/>
            </w:rPr>
          </w:pPr>
          <w:r w:rsidRPr="00F773D2">
            <w:rPr>
              <w:rFonts w:asciiTheme="minorHAnsi" w:hAnsiTheme="minorHAnsi" w:cs="Arial"/>
              <w:b/>
              <w:i/>
            </w:rPr>
            <w:t>DL 102</w:t>
          </w:r>
          <w:r w:rsidR="007953AA" w:rsidRPr="00F773D2">
            <w:rPr>
              <w:rFonts w:asciiTheme="minorHAnsi" w:hAnsiTheme="minorHAnsi" w:cs="Arial"/>
              <w:b/>
              <w:i/>
            </w:rPr>
            <w:t>:</w:t>
          </w:r>
          <w:r w:rsidRPr="00F773D2">
            <w:rPr>
              <w:rFonts w:asciiTheme="minorHAnsi" w:hAnsiTheme="minorHAnsi" w:cs="Arial"/>
              <w:b/>
              <w:i/>
            </w:rPr>
            <w:t xml:space="preserve"> Instructional Issues</w:t>
          </w:r>
          <w:r w:rsidRPr="009C4957">
            <w:rPr>
              <w:rFonts w:asciiTheme="minorHAnsi" w:hAnsiTheme="minorHAnsi" w:cs="Arial"/>
              <w:b/>
            </w:rPr>
            <w:t>:</w:t>
          </w:r>
          <w:r w:rsidRPr="009C4957">
            <w:rPr>
              <w:rFonts w:asciiTheme="minorHAnsi" w:hAnsiTheme="minorHAnsi" w:cs="Arial"/>
            </w:rPr>
            <w:t xml:space="preserve"> Coaching and support for </w:t>
          </w:r>
          <w:r>
            <w:rPr>
              <w:rFonts w:asciiTheme="minorHAnsi" w:hAnsiTheme="minorHAnsi" w:cs="Arial"/>
            </w:rPr>
            <w:t>instructors</w:t>
          </w:r>
          <w:r w:rsidRPr="009C4957">
            <w:rPr>
              <w:rFonts w:asciiTheme="minorHAnsi" w:hAnsiTheme="minorHAnsi" w:cs="Arial"/>
            </w:rPr>
            <w:t xml:space="preserve"> around </w:t>
          </w:r>
          <w:r>
            <w:rPr>
              <w:rFonts w:asciiTheme="minorHAnsi" w:hAnsiTheme="minorHAnsi" w:cs="Arial"/>
            </w:rPr>
            <w:t>distance learning instructional challenges</w:t>
          </w:r>
        </w:p>
        <w:p w14:paraId="3660F07D" w14:textId="77777777" w:rsidR="004E4F0C" w:rsidRDefault="004E4F0C" w:rsidP="004E4F0C">
          <w:pPr>
            <w:autoSpaceDE w:val="0"/>
            <w:autoSpaceDN w:val="0"/>
            <w:spacing w:line="240" w:lineRule="auto"/>
            <w:rPr>
              <w:rFonts w:asciiTheme="minorHAnsi" w:hAnsiTheme="minorHAnsi"/>
            </w:rPr>
          </w:pPr>
          <w:r>
            <w:rPr>
              <w:rFonts w:asciiTheme="minorHAnsi" w:hAnsiTheme="minorHAnsi"/>
            </w:rPr>
            <w:t xml:space="preserve">Two new self-paced online courses were developed to support effective distance education: </w:t>
          </w:r>
          <w:r w:rsidRPr="00626B35">
            <w:rPr>
              <w:rFonts w:asciiTheme="minorHAnsi" w:hAnsiTheme="minorHAnsi"/>
              <w:i/>
            </w:rPr>
            <w:t>Distance and Blended Learning Basics for Minnesota Adult Education</w:t>
          </w:r>
          <w:r>
            <w:rPr>
              <w:rFonts w:asciiTheme="minorHAnsi" w:hAnsiTheme="minorHAnsi"/>
            </w:rPr>
            <w:t xml:space="preserve"> and </w:t>
          </w:r>
          <w:r w:rsidRPr="00626B35">
            <w:rPr>
              <w:rFonts w:asciiTheme="minorHAnsi" w:hAnsiTheme="minorHAnsi"/>
              <w:i/>
            </w:rPr>
            <w:t>Using an LMS to Build Teacher-Created Distance Learning Courses</w:t>
          </w:r>
          <w:r>
            <w:rPr>
              <w:rFonts w:asciiTheme="minorHAnsi" w:hAnsiTheme="minorHAnsi"/>
            </w:rPr>
            <w:t xml:space="preserve">. </w:t>
          </w:r>
          <w:r w:rsidRPr="00D64713">
            <w:rPr>
              <w:rFonts w:asciiTheme="minorHAnsi" w:hAnsiTheme="minorHAnsi"/>
            </w:rPr>
            <w:t xml:space="preserve">A </w:t>
          </w:r>
          <w:r>
            <w:rPr>
              <w:rFonts w:asciiTheme="minorHAnsi" w:hAnsiTheme="minorHAnsi"/>
            </w:rPr>
            <w:t xml:space="preserve">complete </w:t>
          </w:r>
          <w:r w:rsidRPr="00D64713">
            <w:rPr>
              <w:rFonts w:asciiTheme="minorHAnsi" w:hAnsiTheme="minorHAnsi"/>
            </w:rPr>
            <w:t xml:space="preserve">list of current </w:t>
          </w:r>
          <w:r>
            <w:rPr>
              <w:rFonts w:asciiTheme="minorHAnsi" w:hAnsiTheme="minorHAnsi"/>
            </w:rPr>
            <w:t xml:space="preserve">self-paced online </w:t>
          </w:r>
          <w:r w:rsidRPr="00D64713">
            <w:rPr>
              <w:rFonts w:asciiTheme="minorHAnsi" w:hAnsiTheme="minorHAnsi"/>
            </w:rPr>
            <w:t xml:space="preserve">courses </w:t>
          </w:r>
          <w:r>
            <w:rPr>
              <w:rFonts w:asciiTheme="minorHAnsi" w:hAnsiTheme="minorHAnsi"/>
            </w:rPr>
            <w:t xml:space="preserve">offered through Literacy Minnesota </w:t>
          </w:r>
          <w:r w:rsidRPr="00D64713">
            <w:rPr>
              <w:rFonts w:asciiTheme="minorHAnsi" w:hAnsiTheme="minorHAnsi"/>
            </w:rPr>
            <w:t>can be found at:</w:t>
          </w:r>
          <w:r w:rsidRPr="00DA4FD4">
            <w:rPr>
              <w:rFonts w:asciiTheme="minorHAnsi" w:hAnsiTheme="minorHAnsi" w:cstheme="minorHAnsi"/>
            </w:rPr>
            <w:t xml:space="preserve"> </w:t>
          </w:r>
          <w:hyperlink r:id="rId12" w:history="1">
            <w:r w:rsidRPr="00DA4FD4">
              <w:rPr>
                <w:rStyle w:val="Hyperlink"/>
                <w:rFonts w:asciiTheme="minorHAnsi" w:hAnsiTheme="minorHAnsi" w:cstheme="minorHAnsi"/>
              </w:rPr>
              <w:t>https://literacymn.crhosts.cloud/</w:t>
            </w:r>
          </w:hyperlink>
          <w:r w:rsidRPr="00DA4FD4">
            <w:rPr>
              <w:rFonts w:asciiTheme="minorHAnsi" w:hAnsiTheme="minorHAnsi" w:cstheme="minorHAnsi"/>
            </w:rPr>
            <w:t>. </w:t>
          </w:r>
        </w:p>
        <w:p w14:paraId="3FF6A9D3" w14:textId="174683A4" w:rsidR="004E4F0C" w:rsidRDefault="004E4F0C" w:rsidP="004E4F0C">
          <w:pPr>
            <w:autoSpaceDE w:val="0"/>
            <w:autoSpaceDN w:val="0"/>
            <w:spacing w:line="240" w:lineRule="auto"/>
            <w:rPr>
              <w:rFonts w:asciiTheme="minorHAnsi" w:hAnsiTheme="minorHAnsi"/>
            </w:rPr>
          </w:pPr>
          <w:r w:rsidRPr="00D64713">
            <w:rPr>
              <w:rFonts w:asciiTheme="minorHAnsi" w:hAnsiTheme="minorHAnsi"/>
            </w:rPr>
            <w:t xml:space="preserve">More information about </w:t>
          </w:r>
          <w:r>
            <w:rPr>
              <w:rFonts w:asciiTheme="minorHAnsi" w:hAnsiTheme="minorHAnsi"/>
            </w:rPr>
            <w:t xml:space="preserve">Minnesota </w:t>
          </w:r>
          <w:r w:rsidR="001A5A8F">
            <w:rPr>
              <w:rFonts w:asciiTheme="minorHAnsi" w:hAnsiTheme="minorHAnsi"/>
            </w:rPr>
            <w:t>A</w:t>
          </w:r>
          <w:r>
            <w:rPr>
              <w:rFonts w:asciiTheme="minorHAnsi" w:hAnsiTheme="minorHAnsi"/>
            </w:rPr>
            <w:t xml:space="preserve">dult </w:t>
          </w:r>
          <w:r w:rsidR="001A5A8F">
            <w:rPr>
              <w:rFonts w:asciiTheme="minorHAnsi" w:hAnsiTheme="minorHAnsi"/>
            </w:rPr>
            <w:t>E</w:t>
          </w:r>
          <w:r>
            <w:rPr>
              <w:rFonts w:asciiTheme="minorHAnsi" w:hAnsiTheme="minorHAnsi"/>
            </w:rPr>
            <w:t xml:space="preserve">ducation distance learning </w:t>
          </w:r>
          <w:r w:rsidRPr="00D64713">
            <w:rPr>
              <w:rFonts w:asciiTheme="minorHAnsi" w:hAnsiTheme="minorHAnsi"/>
            </w:rPr>
            <w:t xml:space="preserve">current training and resources can be found at: </w:t>
          </w:r>
          <w:hyperlink r:id="rId13" w:history="1">
            <w:r w:rsidRPr="00DF08E7">
              <w:rPr>
                <w:rStyle w:val="Hyperlink"/>
                <w:rFonts w:asciiTheme="minorHAnsi" w:hAnsiTheme="minorHAnsi"/>
              </w:rPr>
              <w:t>https://www.literacymn.org/distancelearning</w:t>
            </w:r>
          </w:hyperlink>
          <w:r w:rsidR="00BC1E9C">
            <w:rPr>
              <w:rFonts w:asciiTheme="minorHAnsi" w:hAnsiTheme="minorHAnsi"/>
            </w:rPr>
            <w:t>.</w:t>
          </w:r>
        </w:p>
        <w:p w14:paraId="74DDE941" w14:textId="13CCDE87" w:rsidR="004E4F0C" w:rsidRPr="00D64713" w:rsidRDefault="004E4F0C" w:rsidP="004E4F0C">
          <w:pPr>
            <w:autoSpaceDE w:val="0"/>
            <w:autoSpaceDN w:val="0"/>
            <w:spacing w:line="240" w:lineRule="auto"/>
            <w:rPr>
              <w:rFonts w:asciiTheme="minorHAnsi" w:hAnsiTheme="minorHAnsi"/>
            </w:rPr>
          </w:pPr>
          <w:r>
            <w:rPr>
              <w:rFonts w:asciiTheme="minorHAnsi" w:hAnsiTheme="minorHAnsi"/>
            </w:rPr>
            <w:t xml:space="preserve">In order to support student technology access and digital literacy skills, </w:t>
          </w:r>
          <w:r w:rsidRPr="00660209">
            <w:rPr>
              <w:rFonts w:asciiTheme="minorHAnsi" w:hAnsiTheme="minorHAnsi"/>
            </w:rPr>
            <w:t xml:space="preserve">state </w:t>
          </w:r>
          <w:r w:rsidR="00EE36C2">
            <w:rPr>
              <w:rFonts w:asciiTheme="minorHAnsi" w:hAnsiTheme="minorHAnsi"/>
            </w:rPr>
            <w:t xml:space="preserve">adult education </w:t>
          </w:r>
          <w:r w:rsidRPr="00660209">
            <w:rPr>
              <w:rFonts w:asciiTheme="minorHAnsi" w:hAnsiTheme="minorHAnsi"/>
            </w:rPr>
            <w:t xml:space="preserve">supplemental service funding </w:t>
          </w:r>
          <w:r>
            <w:rPr>
              <w:rFonts w:asciiTheme="minorHAnsi" w:hAnsiTheme="minorHAnsi"/>
            </w:rPr>
            <w:t xml:space="preserve">was offered </w:t>
          </w:r>
          <w:r w:rsidRPr="00660209">
            <w:rPr>
              <w:rFonts w:asciiTheme="minorHAnsi" w:hAnsiTheme="minorHAnsi"/>
            </w:rPr>
            <w:t xml:space="preserve">to adult education consortia </w:t>
          </w:r>
          <w:r>
            <w:rPr>
              <w:rFonts w:asciiTheme="minorHAnsi" w:hAnsiTheme="minorHAnsi"/>
            </w:rPr>
            <w:t xml:space="preserve">so that they could </w:t>
          </w:r>
          <w:r w:rsidRPr="00660209">
            <w:rPr>
              <w:rFonts w:asciiTheme="minorHAnsi" w:hAnsiTheme="minorHAnsi"/>
            </w:rPr>
            <w:t>purchase devices, internet service, and/or staffing to help students access and utilize technology for learning.</w:t>
          </w:r>
          <w:r>
            <w:rPr>
              <w:rFonts w:asciiTheme="minorHAnsi" w:hAnsiTheme="minorHAnsi"/>
            </w:rPr>
            <w:t xml:space="preserve"> Literacy Minnesota, the technology and distance learning professional development provider, also provided training and resources to local providers to support their digital navigation efforts</w:t>
          </w:r>
          <w:r w:rsidR="00BC1E9C">
            <w:rPr>
              <w:rFonts w:asciiTheme="minorHAnsi" w:hAnsiTheme="minorHAnsi"/>
            </w:rPr>
            <w:t xml:space="preserve">. </w:t>
          </w:r>
        </w:p>
        <w:p w14:paraId="004A4825" w14:textId="77777777" w:rsidR="004E4F0C" w:rsidRPr="00D64713" w:rsidRDefault="004E4F0C" w:rsidP="004E4F0C">
          <w:pPr>
            <w:autoSpaceDE w:val="0"/>
            <w:autoSpaceDN w:val="0"/>
            <w:spacing w:line="240" w:lineRule="auto"/>
            <w:rPr>
              <w:rFonts w:asciiTheme="minorHAnsi" w:hAnsiTheme="minorHAnsi"/>
            </w:rPr>
          </w:pPr>
          <w:r>
            <w:rPr>
              <w:rFonts w:asciiTheme="minorHAnsi" w:hAnsiTheme="minorHAnsi"/>
            </w:rPr>
            <w:t>Finally</w:t>
          </w:r>
          <w:r w:rsidRPr="00D64713">
            <w:rPr>
              <w:rFonts w:asciiTheme="minorHAnsi" w:hAnsiTheme="minorHAnsi"/>
            </w:rPr>
            <w:t xml:space="preserve">, other training and technical assistance focused on the effective use of the statewide data system to maintain accurate student data and continuously improve programming. This support was offered through online </w:t>
          </w:r>
          <w:r>
            <w:rPr>
              <w:rFonts w:asciiTheme="minorHAnsi" w:hAnsiTheme="minorHAnsi"/>
            </w:rPr>
            <w:t xml:space="preserve">synchronous and asynchronous </w:t>
          </w:r>
          <w:r w:rsidRPr="00D64713">
            <w:rPr>
              <w:rFonts w:asciiTheme="minorHAnsi" w:hAnsiTheme="minorHAnsi"/>
            </w:rPr>
            <w:t>training.</w:t>
          </w:r>
        </w:p>
        <w:p w14:paraId="3CBE6BB7" w14:textId="77777777" w:rsidR="00E45AFA" w:rsidRPr="00403EA9" w:rsidRDefault="00E45AFA" w:rsidP="00B82F89">
          <w:pPr>
            <w:pStyle w:val="Heading4"/>
            <w:numPr>
              <w:ilvl w:val="0"/>
              <w:numId w:val="29"/>
            </w:numPr>
            <w:spacing w:before="0" w:after="0"/>
            <w:rPr>
              <w:b w:val="0"/>
              <w:i/>
              <w:sz w:val="22"/>
            </w:rPr>
          </w:pPr>
          <w:r w:rsidRPr="00403EA9">
            <w:rPr>
              <w:b w:val="0"/>
              <w:i/>
              <w:sz w:val="22"/>
            </w:rPr>
            <w:t>Monitoring and evaluation of the quality and improvement of adult education activities as described in section 223(1)(d).</w:t>
          </w:r>
        </w:p>
        <w:p w14:paraId="70370EC4" w14:textId="54B533B5" w:rsidR="0058799E" w:rsidRPr="007B534C" w:rsidRDefault="0058799E" w:rsidP="0058799E">
          <w:pPr>
            <w:autoSpaceDE w:val="0"/>
            <w:autoSpaceDN w:val="0"/>
            <w:spacing w:line="240" w:lineRule="auto"/>
            <w:rPr>
              <w:rFonts w:asciiTheme="minorHAnsi" w:hAnsiTheme="minorHAnsi"/>
              <w:i/>
              <w:spacing w:val="-1"/>
            </w:rPr>
          </w:pPr>
          <w:r w:rsidRPr="007B534C">
            <w:rPr>
              <w:rFonts w:asciiTheme="minorHAnsi" w:hAnsiTheme="minorHAnsi" w:cs="Arial"/>
            </w:rPr>
            <w:t xml:space="preserve">The state </w:t>
          </w:r>
          <w:r w:rsidR="00EF373D">
            <w:rPr>
              <w:rFonts w:asciiTheme="minorHAnsi" w:hAnsiTheme="minorHAnsi" w:cs="Arial"/>
            </w:rPr>
            <w:t>A</w:t>
          </w:r>
          <w:r w:rsidR="00916191">
            <w:rPr>
              <w:rFonts w:asciiTheme="minorHAnsi" w:hAnsiTheme="minorHAnsi" w:cs="Arial"/>
            </w:rPr>
            <w:t xml:space="preserve">dult </w:t>
          </w:r>
          <w:r w:rsidR="00EF373D">
            <w:rPr>
              <w:rFonts w:asciiTheme="minorHAnsi" w:hAnsiTheme="minorHAnsi" w:cs="Arial"/>
            </w:rPr>
            <w:t>E</w:t>
          </w:r>
          <w:r w:rsidR="00916191">
            <w:rPr>
              <w:rFonts w:asciiTheme="minorHAnsi" w:hAnsiTheme="minorHAnsi" w:cs="Arial"/>
            </w:rPr>
            <w:t>ducation</w:t>
          </w:r>
          <w:r w:rsidR="00916191" w:rsidRPr="007B534C">
            <w:rPr>
              <w:rFonts w:asciiTheme="minorHAnsi" w:hAnsiTheme="minorHAnsi" w:cs="Arial"/>
            </w:rPr>
            <w:t xml:space="preserve"> </w:t>
          </w:r>
          <w:r w:rsidR="00EF373D">
            <w:rPr>
              <w:rFonts w:asciiTheme="minorHAnsi" w:hAnsiTheme="minorHAnsi" w:cs="Arial"/>
            </w:rPr>
            <w:t>L</w:t>
          </w:r>
          <w:r w:rsidRPr="007B534C">
            <w:rPr>
              <w:rFonts w:asciiTheme="minorHAnsi" w:hAnsiTheme="minorHAnsi" w:cs="Arial"/>
            </w:rPr>
            <w:t xml:space="preserve">eadership </w:t>
          </w:r>
          <w:r w:rsidR="00EF373D">
            <w:rPr>
              <w:rFonts w:asciiTheme="minorHAnsi" w:hAnsiTheme="minorHAnsi" w:cs="Arial"/>
            </w:rPr>
            <w:t>T</w:t>
          </w:r>
          <w:r w:rsidRPr="007B534C">
            <w:rPr>
              <w:rFonts w:asciiTheme="minorHAnsi" w:hAnsiTheme="minorHAnsi" w:cs="Arial"/>
            </w:rPr>
            <w:t xml:space="preserve">eam monitored the quality of adult education activities through the following: ongoing data system development and training to better equip local and state staff to monitor </w:t>
          </w:r>
          <w:r w:rsidR="00A13AE2">
            <w:rPr>
              <w:rFonts w:asciiTheme="minorHAnsi" w:hAnsiTheme="minorHAnsi" w:cs="Arial"/>
            </w:rPr>
            <w:t>adult education</w:t>
          </w:r>
          <w:r w:rsidRPr="007B534C">
            <w:rPr>
              <w:rFonts w:asciiTheme="minorHAnsi" w:hAnsiTheme="minorHAnsi" w:cs="Arial"/>
            </w:rPr>
            <w:t xml:space="preserve"> data; review of NRS data; expenditure verification via submission of audit</w:t>
          </w:r>
          <w:r w:rsidR="00916191">
            <w:rPr>
              <w:rFonts w:asciiTheme="minorHAnsi" w:hAnsiTheme="minorHAnsi" w:cs="Arial"/>
            </w:rPr>
            <w:t>-</w:t>
          </w:r>
          <w:r w:rsidRPr="007B534C">
            <w:rPr>
              <w:rFonts w:asciiTheme="minorHAnsi" w:hAnsiTheme="minorHAnsi" w:cs="Arial"/>
            </w:rPr>
            <w:t xml:space="preserve">certified expenditure reports; site visits to local </w:t>
          </w:r>
          <w:r w:rsidR="00916191">
            <w:rPr>
              <w:rFonts w:asciiTheme="minorHAnsi" w:hAnsiTheme="minorHAnsi" w:cs="Arial"/>
            </w:rPr>
            <w:t>adult education</w:t>
          </w:r>
          <w:r w:rsidR="00916191" w:rsidRPr="007B534C">
            <w:rPr>
              <w:rFonts w:asciiTheme="minorHAnsi" w:hAnsiTheme="minorHAnsi" w:cs="Arial"/>
            </w:rPr>
            <w:t xml:space="preserve"> </w:t>
          </w:r>
          <w:r w:rsidRPr="007B534C">
            <w:rPr>
              <w:rFonts w:asciiTheme="minorHAnsi" w:hAnsiTheme="minorHAnsi" w:cs="Arial"/>
            </w:rPr>
            <w:t>programs</w:t>
          </w:r>
          <w:r>
            <w:rPr>
              <w:rFonts w:asciiTheme="minorHAnsi" w:hAnsiTheme="minorHAnsi" w:cs="Arial"/>
            </w:rPr>
            <w:t xml:space="preserve"> (in-person and virtual)</w:t>
          </w:r>
          <w:r w:rsidRPr="007B534C">
            <w:rPr>
              <w:rFonts w:asciiTheme="minorHAnsi" w:hAnsiTheme="minorHAnsi" w:cs="Arial"/>
            </w:rPr>
            <w:t xml:space="preserve">; annual submission of assurances by grantees; implementation of the annual “report card”; </w:t>
          </w:r>
          <w:r>
            <w:rPr>
              <w:rFonts w:asciiTheme="minorHAnsi" w:hAnsiTheme="minorHAnsi" w:cs="Arial"/>
            </w:rPr>
            <w:t xml:space="preserve">and </w:t>
          </w:r>
          <w:r w:rsidRPr="007B534C">
            <w:rPr>
              <w:rFonts w:asciiTheme="minorHAnsi" w:hAnsiTheme="minorHAnsi" w:cs="Arial"/>
            </w:rPr>
            <w:t>Program Improvement cohort participation for low-performing consortia as identified on the “report card</w:t>
          </w:r>
          <w:r w:rsidR="00916191">
            <w:rPr>
              <w:rFonts w:asciiTheme="minorHAnsi" w:hAnsiTheme="minorHAnsi" w:cs="Arial"/>
            </w:rPr>
            <w:t>.</w:t>
          </w:r>
          <w:r w:rsidRPr="007B534C">
            <w:rPr>
              <w:rFonts w:asciiTheme="minorHAnsi" w:hAnsiTheme="minorHAnsi" w:cs="Arial"/>
            </w:rPr>
            <w:t>”</w:t>
          </w:r>
          <w:r w:rsidR="00BC1E9C">
            <w:rPr>
              <w:rFonts w:asciiTheme="minorHAnsi" w:hAnsiTheme="minorHAnsi" w:cs="Arial"/>
            </w:rPr>
            <w:t xml:space="preserve"> </w:t>
          </w:r>
          <w:r w:rsidRPr="007B534C">
            <w:rPr>
              <w:rFonts w:asciiTheme="minorHAnsi" w:hAnsiTheme="minorHAnsi" w:cs="Arial"/>
            </w:rPr>
            <w:t>In addition, accountability training was provided at the following events: support services conference, ABE summer institute, fall and spring “regional” events, statewide local administrator meetings, quarterly webinars, and other events. Additional details can be found online at</w:t>
          </w:r>
          <w:r w:rsidR="005C16A2">
            <w:rPr>
              <w:rFonts w:asciiTheme="minorHAnsi" w:hAnsiTheme="minorHAnsi" w:cs="Arial"/>
            </w:rPr>
            <w:t xml:space="preserve">: </w:t>
          </w:r>
          <w:hyperlink r:id="rId14" w:history="1">
            <w:r w:rsidRPr="007B534C">
              <w:rPr>
                <w:rStyle w:val="Hyperlink"/>
                <w:rFonts w:asciiTheme="minorHAnsi" w:hAnsiTheme="minorHAnsi" w:cs="Arial"/>
              </w:rPr>
              <w:t>http://www.mnabe.org/accountability-reporting</w:t>
            </w:r>
          </w:hyperlink>
          <w:r w:rsidR="00916191">
            <w:rPr>
              <w:rStyle w:val="Hyperlink"/>
              <w:rFonts w:asciiTheme="minorHAnsi" w:hAnsiTheme="minorHAnsi" w:cs="Arial"/>
            </w:rPr>
            <w:t>.</w:t>
          </w:r>
          <w:r w:rsidRPr="007B534C">
            <w:rPr>
              <w:rStyle w:val="Hyperlink"/>
              <w:rFonts w:asciiTheme="minorHAnsi" w:hAnsiTheme="minorHAnsi" w:cs="Arial"/>
            </w:rPr>
            <w:t xml:space="preserve"> </w:t>
          </w:r>
        </w:p>
        <w:p w14:paraId="7886D8B8" w14:textId="77777777" w:rsidR="00E45AFA" w:rsidRPr="00403EA9" w:rsidRDefault="00E45AFA" w:rsidP="00E45AFA">
          <w:pPr>
            <w:pStyle w:val="Heading3"/>
            <w:numPr>
              <w:ilvl w:val="0"/>
              <w:numId w:val="28"/>
            </w:numPr>
            <w:tabs>
              <w:tab w:val="left" w:pos="360"/>
            </w:tabs>
            <w:ind w:left="360"/>
            <w:rPr>
              <w:b w:val="0"/>
              <w:i/>
              <w:sz w:val="22"/>
            </w:rPr>
          </w:pPr>
          <w:r w:rsidRPr="00403EA9">
            <w:rPr>
              <w:b w:val="0"/>
              <w:i/>
              <w:sz w:val="22"/>
            </w:rPr>
            <w:t>As applicable, describe how the State has used funds for additional permissible activities described in section 223(a)(2).</w:t>
          </w:r>
        </w:p>
        <w:p w14:paraId="683509B2" w14:textId="7F07FC3E" w:rsidR="004E4F0C" w:rsidRDefault="004E4F0C" w:rsidP="004E4F0C">
          <w:pPr>
            <w:tabs>
              <w:tab w:val="left" w:pos="-1440"/>
              <w:tab w:val="left" w:pos="-720"/>
            </w:tabs>
            <w:spacing w:before="0" w:after="0" w:line="240" w:lineRule="auto"/>
            <w:ind w:right="-144"/>
            <w:rPr>
              <w:rFonts w:asciiTheme="minorHAnsi" w:hAnsiTheme="minorHAnsi"/>
            </w:rPr>
          </w:pPr>
          <w:r w:rsidRPr="00D64713">
            <w:rPr>
              <w:rFonts w:asciiTheme="minorHAnsi" w:hAnsiTheme="minorHAnsi"/>
              <w:b/>
            </w:rPr>
            <w:t>Volunteer Training and Support</w:t>
          </w:r>
          <w:r w:rsidR="005C16A2">
            <w:rPr>
              <w:rFonts w:asciiTheme="minorHAnsi" w:hAnsiTheme="minorHAnsi"/>
            </w:rPr>
            <w:t xml:space="preserve">: </w:t>
          </w:r>
          <w:r w:rsidR="00DF019D">
            <w:rPr>
              <w:rFonts w:asciiTheme="minorHAnsi" w:hAnsiTheme="minorHAnsi"/>
            </w:rPr>
            <w:t>T</w:t>
          </w:r>
          <w:r w:rsidRPr="00D64713">
            <w:rPr>
              <w:rFonts w:asciiTheme="minorHAnsi" w:hAnsiTheme="minorHAnsi"/>
            </w:rPr>
            <w:t xml:space="preserve">he Minnesota Department of Education Adult Education </w:t>
          </w:r>
          <w:r w:rsidR="00DE0F15">
            <w:rPr>
              <w:rFonts w:asciiTheme="minorHAnsi" w:hAnsiTheme="minorHAnsi"/>
            </w:rPr>
            <w:t>Leadership Team</w:t>
          </w:r>
          <w:r w:rsidRPr="00D64713">
            <w:rPr>
              <w:rFonts w:asciiTheme="minorHAnsi" w:hAnsiTheme="minorHAnsi"/>
            </w:rPr>
            <w:t xml:space="preserve"> continues to collaborate with and provide state leadership resources to </w:t>
          </w:r>
          <w:r>
            <w:rPr>
              <w:rFonts w:asciiTheme="minorHAnsi" w:hAnsiTheme="minorHAnsi"/>
            </w:rPr>
            <w:t>Literacy Minnesota</w:t>
          </w:r>
          <w:r w:rsidRPr="00D64713">
            <w:rPr>
              <w:rFonts w:asciiTheme="minorHAnsi" w:hAnsiTheme="minorHAnsi"/>
            </w:rPr>
            <w:t xml:space="preserve"> (</w:t>
          </w:r>
          <w:hyperlink r:id="rId15" w:history="1">
            <w:r w:rsidRPr="000D028D">
              <w:rPr>
                <w:rStyle w:val="Hyperlink"/>
                <w:rFonts w:asciiTheme="minorHAnsi" w:hAnsiTheme="minorHAnsi"/>
              </w:rPr>
              <w:t>www.literacymn.org</w:t>
            </w:r>
          </w:hyperlink>
          <w:r w:rsidRPr="00D64713">
            <w:rPr>
              <w:rFonts w:asciiTheme="minorHAnsi" w:hAnsiTheme="minorHAnsi"/>
            </w:rPr>
            <w:t xml:space="preserve">) to provide literacy </w:t>
          </w:r>
          <w:r>
            <w:rPr>
              <w:rFonts w:asciiTheme="minorHAnsi" w:hAnsiTheme="minorHAnsi"/>
            </w:rPr>
            <w:t>volunteer</w:t>
          </w:r>
          <w:r w:rsidRPr="00D64713">
            <w:rPr>
              <w:rFonts w:asciiTheme="minorHAnsi" w:hAnsiTheme="minorHAnsi"/>
            </w:rPr>
            <w:t xml:space="preserve"> training in Minnesota. That collaboration and support yields a substantial capacity to deliver volunteer tutor training statewide</w:t>
          </w:r>
          <w:r w:rsidR="00BC1E9C">
            <w:rPr>
              <w:rFonts w:asciiTheme="minorHAnsi" w:hAnsiTheme="minorHAnsi"/>
            </w:rPr>
            <w:t xml:space="preserve">. </w:t>
          </w:r>
          <w:r>
            <w:rPr>
              <w:rFonts w:asciiTheme="minorHAnsi" w:hAnsiTheme="minorHAnsi"/>
            </w:rPr>
            <w:t>Literacy Minnesota</w:t>
          </w:r>
          <w:r w:rsidRPr="00D64713">
            <w:rPr>
              <w:rFonts w:asciiTheme="minorHAnsi" w:hAnsiTheme="minorHAnsi"/>
            </w:rPr>
            <w:t xml:space="preserve"> also supports volunteer tutors through their “Tutor Tip” emails and </w:t>
          </w:r>
          <w:r>
            <w:rPr>
              <w:rFonts w:asciiTheme="minorHAnsi" w:hAnsiTheme="minorHAnsi"/>
            </w:rPr>
            <w:t xml:space="preserve">a wide range of resources on their </w:t>
          </w:r>
          <w:r w:rsidRPr="00D64713">
            <w:rPr>
              <w:rFonts w:asciiTheme="minorHAnsi" w:hAnsiTheme="minorHAnsi"/>
            </w:rPr>
            <w:t xml:space="preserve">website. Most tutors work in settings where their work supports that of a licensed </w:t>
          </w:r>
          <w:r w:rsidR="00C7160D">
            <w:rPr>
              <w:rFonts w:asciiTheme="minorHAnsi" w:hAnsiTheme="minorHAnsi"/>
            </w:rPr>
            <w:t>adult education</w:t>
          </w:r>
          <w:r w:rsidR="00C7160D" w:rsidRPr="00D64713">
            <w:rPr>
              <w:rFonts w:asciiTheme="minorHAnsi" w:hAnsiTheme="minorHAnsi"/>
            </w:rPr>
            <w:t xml:space="preserve"> </w:t>
          </w:r>
          <w:r w:rsidRPr="00D64713">
            <w:rPr>
              <w:rFonts w:asciiTheme="minorHAnsi" w:hAnsiTheme="minorHAnsi"/>
            </w:rPr>
            <w:t>teacher.</w:t>
          </w:r>
        </w:p>
        <w:p w14:paraId="55C1DF6F" w14:textId="77777777" w:rsidR="004E4F0C" w:rsidRDefault="004E4F0C" w:rsidP="004E4F0C">
          <w:pPr>
            <w:tabs>
              <w:tab w:val="left" w:pos="-1440"/>
              <w:tab w:val="left" w:pos="-720"/>
            </w:tabs>
            <w:spacing w:before="0" w:after="0" w:line="240" w:lineRule="auto"/>
            <w:ind w:right="-144"/>
            <w:rPr>
              <w:rFonts w:asciiTheme="minorHAnsi" w:hAnsiTheme="minorHAnsi"/>
            </w:rPr>
          </w:pPr>
        </w:p>
        <w:p w14:paraId="09A58323" w14:textId="60350568" w:rsidR="004E4F0C" w:rsidRPr="0084333D" w:rsidRDefault="004E4F0C" w:rsidP="004E4F0C">
          <w:pPr>
            <w:tabs>
              <w:tab w:val="left" w:pos="-1440"/>
              <w:tab w:val="left" w:pos="-720"/>
            </w:tabs>
            <w:spacing w:before="0" w:after="0" w:line="240" w:lineRule="auto"/>
            <w:ind w:right="-144"/>
            <w:rPr>
              <w:rFonts w:asciiTheme="minorHAnsi" w:hAnsiTheme="minorHAnsi"/>
            </w:rPr>
          </w:pPr>
          <w:r w:rsidRPr="00C0769A">
            <w:rPr>
              <w:rFonts w:asciiTheme="minorHAnsi" w:hAnsiTheme="minorHAnsi"/>
            </w:rPr>
            <w:t>Because so many Minnesota adult education programs were still only offering remote instruction, this year Literacy Minnesota offered a series of high-quality, targeted training webinars to improve volunteers</w:t>
          </w:r>
          <w:r w:rsidR="00C7160D">
            <w:rPr>
              <w:rFonts w:asciiTheme="minorHAnsi" w:hAnsiTheme="minorHAnsi"/>
            </w:rPr>
            <w:t>’</w:t>
          </w:r>
          <w:r w:rsidRPr="00C0769A">
            <w:rPr>
              <w:rFonts w:asciiTheme="minorHAnsi" w:hAnsiTheme="minorHAnsi"/>
            </w:rPr>
            <w:t> ability to deliver quality instruction remotely</w:t>
          </w:r>
          <w:r>
            <w:rPr>
              <w:rFonts w:asciiTheme="minorHAnsi" w:hAnsiTheme="minorHAnsi"/>
            </w:rPr>
            <w:t xml:space="preserve">, including </w:t>
          </w:r>
          <w:r w:rsidRPr="00281C1E">
            <w:rPr>
              <w:rFonts w:asciiTheme="minorHAnsi" w:hAnsiTheme="minorHAnsi" w:cs="Arial"/>
              <w:i/>
              <w:lang w:val="en"/>
            </w:rPr>
            <w:t>Remote Instruction 101</w:t>
          </w:r>
          <w:r>
            <w:rPr>
              <w:rFonts w:asciiTheme="minorHAnsi" w:hAnsiTheme="minorHAnsi" w:cs="Arial"/>
              <w:lang w:val="en"/>
            </w:rPr>
            <w:t xml:space="preserve">, </w:t>
          </w:r>
          <w:r w:rsidRPr="00C0769A">
            <w:rPr>
              <w:rFonts w:asciiTheme="minorHAnsi" w:hAnsiTheme="minorHAnsi" w:cs="Arial"/>
              <w:lang w:val="en"/>
            </w:rPr>
            <w:t>remote instructional strategies</w:t>
          </w:r>
          <w:r>
            <w:rPr>
              <w:rFonts w:asciiTheme="minorHAnsi" w:hAnsiTheme="minorHAnsi" w:cs="Arial"/>
              <w:lang w:val="en"/>
            </w:rPr>
            <w:t>, and training on using a variety of video conferencing tools and other technology tools for online engagement</w:t>
          </w:r>
          <w:r w:rsidR="00BC1E9C">
            <w:rPr>
              <w:rFonts w:asciiTheme="minorHAnsi" w:hAnsiTheme="minorHAnsi" w:cs="Arial"/>
              <w:lang w:val="en"/>
            </w:rPr>
            <w:t xml:space="preserve">. </w:t>
          </w:r>
          <w:r w:rsidRPr="00C0769A">
            <w:rPr>
              <w:rFonts w:asciiTheme="minorHAnsi" w:hAnsiTheme="minorHAnsi"/>
            </w:rPr>
            <w:t xml:space="preserve">The Foundations of Remote Instruction Certificate Program helped volunteers to develop a solid grasp of the </w:t>
          </w:r>
          <w:r w:rsidRPr="00C0769A">
            <w:rPr>
              <w:rFonts w:asciiTheme="minorHAnsi" w:hAnsiTheme="minorHAnsi"/>
            </w:rPr>
            <w:lastRenderedPageBreak/>
            <w:t>fundamentals of remote tutoring and teaching.</w:t>
          </w:r>
          <w:r>
            <w:rPr>
              <w:rFonts w:asciiTheme="minorHAnsi" w:hAnsiTheme="minorHAnsi"/>
            </w:rPr>
            <w:t xml:space="preserve"> </w:t>
          </w:r>
          <w:r>
            <w:rPr>
              <w:rFonts w:asciiTheme="minorHAnsi" w:hAnsiTheme="minorHAnsi" w:cs="Arial"/>
              <w:lang w:val="en"/>
            </w:rPr>
            <w:t>Literacy Minnesota also led trainings for adult education</w:t>
          </w:r>
          <w:r w:rsidR="00C7160D">
            <w:rPr>
              <w:rFonts w:asciiTheme="minorHAnsi" w:hAnsiTheme="minorHAnsi" w:cs="Arial"/>
              <w:lang w:val="en"/>
            </w:rPr>
            <w:t xml:space="preserve"> program</w:t>
          </w:r>
          <w:r>
            <w:rPr>
              <w:rFonts w:asciiTheme="minorHAnsi" w:hAnsiTheme="minorHAnsi" w:cs="Arial"/>
              <w:lang w:val="en"/>
            </w:rPr>
            <w:t xml:space="preserve"> teachers and administrators on ways to use volunteers to support remote instruction.</w:t>
          </w:r>
        </w:p>
        <w:p w14:paraId="2DA49914" w14:textId="77777777" w:rsidR="004E4F0C" w:rsidRPr="00D64713" w:rsidRDefault="004E4F0C" w:rsidP="004E4F0C">
          <w:pPr>
            <w:tabs>
              <w:tab w:val="left" w:pos="-1440"/>
              <w:tab w:val="left" w:pos="-720"/>
            </w:tabs>
            <w:spacing w:before="0" w:after="0" w:line="240" w:lineRule="auto"/>
            <w:ind w:right="-144"/>
            <w:rPr>
              <w:rFonts w:asciiTheme="minorHAnsi" w:hAnsiTheme="minorHAnsi"/>
              <w:b/>
              <w:color w:val="000000"/>
            </w:rPr>
          </w:pPr>
        </w:p>
        <w:p w14:paraId="1E91530F" w14:textId="63D2730E" w:rsidR="004E4F0C" w:rsidRPr="00D64713" w:rsidRDefault="004E4F0C" w:rsidP="004E4F0C">
          <w:pPr>
            <w:tabs>
              <w:tab w:val="left" w:pos="-1440"/>
              <w:tab w:val="left" w:pos="-720"/>
            </w:tabs>
            <w:spacing w:before="0" w:after="0" w:line="240" w:lineRule="auto"/>
            <w:ind w:right="-144"/>
            <w:rPr>
              <w:rFonts w:asciiTheme="minorHAnsi" w:hAnsiTheme="minorHAnsi"/>
              <w:color w:val="000000"/>
            </w:rPr>
          </w:pPr>
          <w:r w:rsidRPr="00D64713">
            <w:rPr>
              <w:rFonts w:asciiTheme="minorHAnsi" w:hAnsiTheme="minorHAnsi"/>
              <w:b/>
              <w:color w:val="000000"/>
            </w:rPr>
            <w:t>Distance Learning and Digital Literacy</w:t>
          </w:r>
          <w:r w:rsidR="005C16A2">
            <w:rPr>
              <w:rFonts w:asciiTheme="minorHAnsi" w:hAnsiTheme="minorHAnsi"/>
              <w:b/>
              <w:color w:val="000000"/>
            </w:rPr>
            <w:t xml:space="preserve">: </w:t>
          </w:r>
          <w:r w:rsidRPr="00D64713">
            <w:rPr>
              <w:rFonts w:asciiTheme="minorHAnsi" w:hAnsiTheme="minorHAnsi"/>
              <w:b/>
              <w:color w:val="000000"/>
            </w:rPr>
            <w:t>Building Adults’ Technology Skills</w:t>
          </w:r>
          <w:r w:rsidRPr="00D64713">
            <w:rPr>
              <w:rFonts w:asciiTheme="minorHAnsi" w:hAnsiTheme="minorHAnsi"/>
              <w:color w:val="000000"/>
            </w:rPr>
            <w:t xml:space="preserve">: Leadership resources helped </w:t>
          </w:r>
          <w:r>
            <w:rPr>
              <w:rFonts w:asciiTheme="minorHAnsi" w:hAnsiTheme="minorHAnsi"/>
              <w:color w:val="000000"/>
            </w:rPr>
            <w:t>Literacy Minnesota</w:t>
          </w:r>
          <w:r w:rsidRPr="00D64713">
            <w:rPr>
              <w:rFonts w:asciiTheme="minorHAnsi" w:hAnsiTheme="minorHAnsi"/>
              <w:color w:val="000000"/>
            </w:rPr>
            <w:t xml:space="preserve"> ensure that technical assistance and training was available for programs so they can help </w:t>
          </w:r>
          <w:r>
            <w:rPr>
              <w:rFonts w:asciiTheme="minorHAnsi" w:hAnsiTheme="minorHAnsi"/>
              <w:color w:val="000000"/>
            </w:rPr>
            <w:t>adult education</w:t>
          </w:r>
          <w:r w:rsidRPr="00D64713">
            <w:rPr>
              <w:rFonts w:asciiTheme="minorHAnsi" w:hAnsiTheme="minorHAnsi"/>
              <w:color w:val="000000"/>
            </w:rPr>
            <w:t xml:space="preserve"> students access numerous distance learning options through their local </w:t>
          </w:r>
          <w:r w:rsidR="005C16A2">
            <w:rPr>
              <w:rFonts w:asciiTheme="minorHAnsi" w:hAnsiTheme="minorHAnsi"/>
              <w:color w:val="000000"/>
            </w:rPr>
            <w:t>adult education providers</w:t>
          </w:r>
          <w:r w:rsidRPr="00D64713">
            <w:rPr>
              <w:rFonts w:asciiTheme="minorHAnsi" w:hAnsiTheme="minorHAnsi"/>
              <w:color w:val="000000"/>
            </w:rPr>
            <w:t xml:space="preserve">. </w:t>
          </w:r>
          <w:r>
            <w:rPr>
              <w:rFonts w:asciiTheme="minorHAnsi" w:hAnsiTheme="minorHAnsi"/>
              <w:color w:val="000000"/>
            </w:rPr>
            <w:t>Literacy Minnesota</w:t>
          </w:r>
          <w:r w:rsidRPr="00D64713">
            <w:rPr>
              <w:rFonts w:asciiTheme="minorHAnsi" w:hAnsiTheme="minorHAnsi"/>
              <w:color w:val="000000"/>
            </w:rPr>
            <w:t xml:space="preserve"> also conducted trainings with </w:t>
          </w:r>
          <w:r>
            <w:rPr>
              <w:rFonts w:asciiTheme="minorHAnsi" w:hAnsiTheme="minorHAnsi"/>
              <w:color w:val="000000"/>
            </w:rPr>
            <w:t>adult education</w:t>
          </w:r>
          <w:r w:rsidRPr="00D64713">
            <w:rPr>
              <w:rFonts w:asciiTheme="minorHAnsi" w:hAnsiTheme="minorHAnsi"/>
              <w:color w:val="000000"/>
            </w:rPr>
            <w:t xml:space="preserve"> staff to support their integration of digital literacy skill instruction and assessment of students using the </w:t>
          </w:r>
          <w:proofErr w:type="spellStart"/>
          <w:r w:rsidRPr="00D64713">
            <w:rPr>
              <w:rFonts w:asciiTheme="minorHAnsi" w:hAnsiTheme="minorHAnsi"/>
              <w:color w:val="000000"/>
            </w:rPr>
            <w:t>Northstar</w:t>
          </w:r>
          <w:proofErr w:type="spellEnd"/>
          <w:r w:rsidRPr="00D64713">
            <w:rPr>
              <w:rFonts w:asciiTheme="minorHAnsi" w:hAnsiTheme="minorHAnsi"/>
              <w:color w:val="000000"/>
            </w:rPr>
            <w:t xml:space="preserve"> Digital Literacy Standards and Assessments.</w:t>
          </w:r>
          <w:r w:rsidR="006017B9">
            <w:rPr>
              <w:rFonts w:asciiTheme="minorHAnsi" w:hAnsiTheme="minorHAnsi"/>
              <w:color w:val="000000"/>
            </w:rPr>
            <w:t xml:space="preserve"> Due to the increased amount of and innovations in distance education, the Distance Learning Team (DL Team) revised the distance learning online course and added training on the new Teacher Verification Model. The DL Team is made up of adult education staff from Literacy Minnesota, the Minnesota Department of Education</w:t>
          </w:r>
          <w:r w:rsidR="005C16A2">
            <w:rPr>
              <w:rFonts w:asciiTheme="minorHAnsi" w:hAnsiTheme="minorHAnsi"/>
              <w:color w:val="000000"/>
            </w:rPr>
            <w:t xml:space="preserve"> </w:t>
          </w:r>
          <w:r w:rsidR="00EF373D">
            <w:rPr>
              <w:rFonts w:asciiTheme="minorHAnsi" w:hAnsiTheme="minorHAnsi"/>
              <w:color w:val="000000"/>
            </w:rPr>
            <w:t>A</w:t>
          </w:r>
          <w:r w:rsidR="005C16A2">
            <w:rPr>
              <w:rFonts w:asciiTheme="minorHAnsi" w:hAnsiTheme="minorHAnsi"/>
              <w:color w:val="000000"/>
            </w:rPr>
            <w:t xml:space="preserve">dult </w:t>
          </w:r>
          <w:r w:rsidR="00EF373D">
            <w:rPr>
              <w:rFonts w:asciiTheme="minorHAnsi" w:hAnsiTheme="minorHAnsi"/>
              <w:color w:val="000000"/>
            </w:rPr>
            <w:t>E</w:t>
          </w:r>
          <w:r w:rsidR="005C16A2">
            <w:rPr>
              <w:rFonts w:asciiTheme="minorHAnsi" w:hAnsiTheme="minorHAnsi"/>
              <w:color w:val="000000"/>
            </w:rPr>
            <w:t xml:space="preserve">ducation </w:t>
          </w:r>
          <w:r w:rsidR="00EF373D">
            <w:rPr>
              <w:rFonts w:asciiTheme="minorHAnsi" w:hAnsiTheme="minorHAnsi"/>
              <w:color w:val="000000"/>
            </w:rPr>
            <w:t>L</w:t>
          </w:r>
          <w:r w:rsidR="005C16A2">
            <w:rPr>
              <w:rFonts w:asciiTheme="minorHAnsi" w:hAnsiTheme="minorHAnsi"/>
              <w:color w:val="000000"/>
            </w:rPr>
            <w:t xml:space="preserve">eadership </w:t>
          </w:r>
          <w:r w:rsidR="00EF373D">
            <w:rPr>
              <w:rFonts w:asciiTheme="minorHAnsi" w:hAnsiTheme="minorHAnsi"/>
              <w:color w:val="000000"/>
            </w:rPr>
            <w:t>T</w:t>
          </w:r>
          <w:r w:rsidR="005C16A2">
            <w:rPr>
              <w:rFonts w:asciiTheme="minorHAnsi" w:hAnsiTheme="minorHAnsi"/>
              <w:color w:val="000000"/>
            </w:rPr>
            <w:t>eam</w:t>
          </w:r>
          <w:r w:rsidR="006017B9">
            <w:rPr>
              <w:rFonts w:asciiTheme="minorHAnsi" w:hAnsiTheme="minorHAnsi"/>
              <w:color w:val="000000"/>
            </w:rPr>
            <w:t>, and local providers.</w:t>
          </w:r>
        </w:p>
        <w:p w14:paraId="482C222B" w14:textId="77777777" w:rsidR="004E4F0C" w:rsidRPr="00D64713" w:rsidRDefault="004E4F0C" w:rsidP="004E4F0C">
          <w:pPr>
            <w:tabs>
              <w:tab w:val="left" w:pos="-1440"/>
              <w:tab w:val="left" w:pos="-720"/>
            </w:tabs>
            <w:spacing w:before="0" w:after="0" w:line="240" w:lineRule="auto"/>
            <w:ind w:right="-144"/>
            <w:rPr>
              <w:rFonts w:asciiTheme="minorHAnsi" w:hAnsiTheme="minorHAnsi"/>
            </w:rPr>
          </w:pPr>
        </w:p>
        <w:p w14:paraId="60279C8B" w14:textId="778ABE84" w:rsidR="004E4F0C" w:rsidRPr="004E4F0C" w:rsidRDefault="004E4F0C" w:rsidP="004E4F0C">
          <w:pPr>
            <w:tabs>
              <w:tab w:val="left" w:pos="-1440"/>
              <w:tab w:val="left" w:pos="-720"/>
            </w:tabs>
            <w:spacing w:before="0" w:after="0" w:line="240" w:lineRule="auto"/>
            <w:ind w:right="-144"/>
            <w:rPr>
              <w:rFonts w:asciiTheme="minorHAnsi" w:hAnsiTheme="minorHAnsi"/>
            </w:rPr>
          </w:pPr>
          <w:r w:rsidRPr="00D64713">
            <w:rPr>
              <w:rFonts w:asciiTheme="minorHAnsi" w:hAnsiTheme="minorHAnsi"/>
              <w:b/>
            </w:rPr>
            <w:t>Serving Students with Disabilities:</w:t>
          </w:r>
          <w:r w:rsidRPr="00D64713">
            <w:rPr>
              <w:rFonts w:asciiTheme="minorHAnsi" w:hAnsiTheme="minorHAnsi"/>
            </w:rPr>
            <w:t xml:space="preserve"> Leadership resources supported the delivery of professional development and technical assistance in the arena of serving adults with disabilities and maintenance of a disabilities</w:t>
          </w:r>
          <w:r w:rsidR="00DF019D">
            <w:rPr>
              <w:rFonts w:asciiTheme="minorHAnsi" w:hAnsiTheme="minorHAnsi"/>
            </w:rPr>
            <w:t xml:space="preserve"> support</w:t>
          </w:r>
          <w:r w:rsidRPr="00D64713">
            <w:rPr>
              <w:rFonts w:asciiTheme="minorHAnsi" w:hAnsiTheme="minorHAnsi"/>
            </w:rPr>
            <w:t xml:space="preserve"> website</w:t>
          </w:r>
          <w:r>
            <w:rPr>
              <w:rFonts w:asciiTheme="minorHAnsi" w:hAnsiTheme="minorHAnsi"/>
            </w:rPr>
            <w:t>:</w:t>
          </w:r>
          <w:r w:rsidRPr="00CD3D67">
            <w:t xml:space="preserve"> </w:t>
          </w:r>
          <w:hyperlink r:id="rId16" w:history="1">
            <w:r w:rsidRPr="000D028D">
              <w:rPr>
                <w:rStyle w:val="Hyperlink"/>
                <w:rFonts w:asciiTheme="minorHAnsi" w:hAnsiTheme="minorHAnsi"/>
              </w:rPr>
              <w:t>https://pandamn.org/</w:t>
            </w:r>
          </w:hyperlink>
          <w:r w:rsidR="00BC1E9C">
            <w:rPr>
              <w:rFonts w:asciiTheme="minorHAnsi" w:hAnsiTheme="minorHAnsi"/>
            </w:rPr>
            <w:t xml:space="preserve">. </w:t>
          </w:r>
          <w:r w:rsidRPr="00D64713">
            <w:rPr>
              <w:rFonts w:asciiTheme="minorHAnsi" w:hAnsiTheme="minorHAnsi"/>
            </w:rPr>
            <w:t>The disabilities service provider also provided training on using Universal Design for Learning principles and strategies to address the varied needs of adult learners.</w:t>
          </w:r>
        </w:p>
        <w:p w14:paraId="6AAD60ED" w14:textId="77777777" w:rsidR="00E45AFA" w:rsidRPr="00B82F89" w:rsidRDefault="00E45AFA" w:rsidP="00281C1E">
          <w:pPr>
            <w:pStyle w:val="Heading2"/>
            <w:spacing w:after="120"/>
            <w:rPr>
              <w:sz w:val="28"/>
              <w:lang w:bidi="ar-SA"/>
            </w:rPr>
          </w:pPr>
          <w:r w:rsidRPr="00B82F89">
            <w:rPr>
              <w:sz w:val="28"/>
              <w:lang w:bidi="ar-SA"/>
            </w:rPr>
            <w:t>Section 2: Performance Data Analyses</w:t>
          </w:r>
        </w:p>
        <w:p w14:paraId="186C5B89" w14:textId="77777777" w:rsidR="00E45AFA" w:rsidRPr="00403EA9" w:rsidRDefault="009401F5" w:rsidP="00281C1E">
          <w:pPr>
            <w:pStyle w:val="Heading3"/>
            <w:spacing w:before="120"/>
            <w:rPr>
              <w:b w:val="0"/>
              <w:i/>
              <w:sz w:val="22"/>
              <w:lang w:bidi="ar-SA"/>
            </w:rPr>
          </w:pPr>
          <w:r w:rsidRPr="00403EA9">
            <w:rPr>
              <w:b w:val="0"/>
              <w:i/>
              <w:sz w:val="22"/>
              <w:lang w:bidi="ar-SA"/>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10005EC7" w14:textId="77777777" w:rsidR="0058799E" w:rsidRDefault="0058799E" w:rsidP="0058799E">
          <w:pPr>
            <w:rPr>
              <w:rFonts w:asciiTheme="minorHAnsi" w:hAnsiTheme="minorHAnsi"/>
              <w:b/>
            </w:rPr>
          </w:pPr>
          <w:r w:rsidRPr="00D37699">
            <w:rPr>
              <w:rFonts w:asciiTheme="minorHAnsi" w:hAnsiTheme="minorHAnsi"/>
              <w:b/>
            </w:rPr>
            <w:t>Minnesota A</w:t>
          </w:r>
          <w:r>
            <w:rPr>
              <w:rFonts w:asciiTheme="minorHAnsi" w:hAnsiTheme="minorHAnsi"/>
              <w:b/>
            </w:rPr>
            <w:t>dult Education</w:t>
          </w:r>
          <w:r w:rsidRPr="00D37699">
            <w:rPr>
              <w:rFonts w:asciiTheme="minorHAnsi" w:hAnsiTheme="minorHAnsi"/>
              <w:b/>
            </w:rPr>
            <w:t xml:space="preserve"> </w:t>
          </w:r>
          <w:r>
            <w:rPr>
              <w:rFonts w:asciiTheme="minorHAnsi" w:hAnsiTheme="minorHAnsi"/>
              <w:b/>
            </w:rPr>
            <w:t>Performance</w:t>
          </w:r>
          <w:r w:rsidRPr="00D37699">
            <w:rPr>
              <w:rFonts w:asciiTheme="minorHAnsi" w:hAnsiTheme="minorHAnsi"/>
              <w:b/>
            </w:rPr>
            <w:t xml:space="preserve"> </w:t>
          </w:r>
          <w:r>
            <w:rPr>
              <w:rFonts w:asciiTheme="minorHAnsi" w:hAnsiTheme="minorHAnsi"/>
              <w:b/>
            </w:rPr>
            <w:t>Results</w:t>
          </w:r>
        </w:p>
        <w:tbl>
          <w:tblPr>
            <w:tblStyle w:val="TableGrid"/>
            <w:tblW w:w="4824" w:type="pct"/>
            <w:tblLook w:val="04A0" w:firstRow="1" w:lastRow="0" w:firstColumn="1" w:lastColumn="0" w:noHBand="0" w:noVBand="1"/>
          </w:tblPr>
          <w:tblGrid>
            <w:gridCol w:w="5129"/>
            <w:gridCol w:w="1529"/>
            <w:gridCol w:w="1529"/>
            <w:gridCol w:w="1529"/>
          </w:tblGrid>
          <w:tr w:rsidR="0058799E" w:rsidRPr="00CA0D86" w14:paraId="45B2FB96" w14:textId="77777777" w:rsidTr="00D80155">
            <w:tc>
              <w:tcPr>
                <w:tcW w:w="2638" w:type="pct"/>
                <w:shd w:val="clear" w:color="auto" w:fill="3B5F10" w:themeFill="accent2" w:themeFillShade="80"/>
              </w:tcPr>
              <w:p w14:paraId="7940C11F" w14:textId="77777777" w:rsidR="0058799E" w:rsidRPr="00CA0D86" w:rsidRDefault="0058799E" w:rsidP="00D80155">
                <w:pPr>
                  <w:spacing w:before="0" w:after="0"/>
                  <w:rPr>
                    <w:rFonts w:asciiTheme="minorHAnsi" w:hAnsiTheme="minorHAnsi" w:cstheme="minorHAnsi"/>
                    <w:b/>
                    <w:color w:val="FFFFFF" w:themeColor="background1"/>
                  </w:rPr>
                </w:pPr>
                <w:r>
                  <w:rPr>
                    <w:rFonts w:asciiTheme="minorHAnsi" w:hAnsiTheme="minorHAnsi" w:cstheme="minorHAnsi"/>
                    <w:b/>
                    <w:color w:val="FFFFFF" w:themeColor="background1"/>
                  </w:rPr>
                  <w:t>WIOA Indicator</w:t>
                </w:r>
              </w:p>
            </w:tc>
            <w:tc>
              <w:tcPr>
                <w:tcW w:w="787" w:type="pct"/>
                <w:shd w:val="clear" w:color="auto" w:fill="3B5F10" w:themeFill="accent2" w:themeFillShade="80"/>
              </w:tcPr>
              <w:p w14:paraId="443DB161" w14:textId="20BBCF0F" w:rsidR="0058799E" w:rsidRPr="00CA0D86" w:rsidRDefault="0058799E">
                <w:pPr>
                  <w:spacing w:before="0" w:after="0"/>
                  <w:rPr>
                    <w:rFonts w:asciiTheme="minorHAnsi" w:hAnsiTheme="minorHAnsi" w:cstheme="minorHAnsi"/>
                    <w:b/>
                    <w:color w:val="FFFFFF" w:themeColor="background1"/>
                  </w:rPr>
                </w:pPr>
                <w:r w:rsidRPr="00CA0D86">
                  <w:rPr>
                    <w:rFonts w:asciiTheme="minorHAnsi" w:hAnsiTheme="minorHAnsi" w:cstheme="minorHAnsi"/>
                    <w:b/>
                    <w:color w:val="FFFFFF" w:themeColor="background1"/>
                  </w:rPr>
                  <w:t>FY 2018</w:t>
                </w:r>
                <w:r w:rsidR="004F61D3" w:rsidRPr="004F61D3">
                  <w:rPr>
                    <w:rFonts w:asciiTheme="minorHAnsi" w:hAnsiTheme="minorHAnsi" w:cstheme="minorHAnsi"/>
                    <w:b/>
                    <w:color w:val="FFFFFF" w:themeColor="background1"/>
                  </w:rPr>
                  <w:t>–</w:t>
                </w:r>
                <w:r w:rsidRPr="00CA0D86">
                  <w:rPr>
                    <w:rFonts w:asciiTheme="minorHAnsi" w:hAnsiTheme="minorHAnsi" w:cstheme="minorHAnsi"/>
                    <w:b/>
                    <w:color w:val="FFFFFF" w:themeColor="background1"/>
                  </w:rPr>
                  <w:t>2019</w:t>
                </w:r>
              </w:p>
            </w:tc>
            <w:tc>
              <w:tcPr>
                <w:tcW w:w="787" w:type="pct"/>
                <w:shd w:val="clear" w:color="auto" w:fill="3B5F10" w:themeFill="accent2" w:themeFillShade="80"/>
              </w:tcPr>
              <w:p w14:paraId="0DCABE78" w14:textId="600324B9" w:rsidR="0058799E" w:rsidRPr="00CA0D86" w:rsidRDefault="0058799E" w:rsidP="00D80155">
                <w:pPr>
                  <w:spacing w:before="0" w:after="0"/>
                  <w:rPr>
                    <w:rFonts w:asciiTheme="minorHAnsi" w:hAnsiTheme="minorHAnsi" w:cstheme="minorHAnsi"/>
                    <w:b/>
                    <w:color w:val="FFFFFF" w:themeColor="background1"/>
                  </w:rPr>
                </w:pPr>
                <w:r w:rsidRPr="00CA0D86">
                  <w:rPr>
                    <w:rFonts w:asciiTheme="minorHAnsi" w:hAnsiTheme="minorHAnsi" w:cstheme="minorHAnsi"/>
                    <w:b/>
                    <w:color w:val="FFFFFF" w:themeColor="background1"/>
                  </w:rPr>
                  <w:t>FY 201</w:t>
                </w:r>
                <w:r>
                  <w:rPr>
                    <w:rFonts w:asciiTheme="minorHAnsi" w:hAnsiTheme="minorHAnsi" w:cstheme="minorHAnsi"/>
                    <w:b/>
                    <w:color w:val="FFFFFF" w:themeColor="background1"/>
                  </w:rPr>
                  <w:t>9</w:t>
                </w:r>
                <w:r w:rsidR="004F61D3" w:rsidRPr="004F61D3">
                  <w:rPr>
                    <w:rFonts w:asciiTheme="minorHAnsi" w:hAnsiTheme="minorHAnsi" w:cstheme="minorHAnsi"/>
                    <w:b/>
                    <w:color w:val="FFFFFF" w:themeColor="background1"/>
                  </w:rPr>
                  <w:t>–</w:t>
                </w:r>
                <w:r w:rsidRPr="00CA0D86">
                  <w:rPr>
                    <w:rFonts w:asciiTheme="minorHAnsi" w:hAnsiTheme="minorHAnsi" w:cstheme="minorHAnsi"/>
                    <w:b/>
                    <w:color w:val="FFFFFF" w:themeColor="background1"/>
                  </w:rPr>
                  <w:t>20</w:t>
                </w:r>
                <w:r>
                  <w:rPr>
                    <w:rFonts w:asciiTheme="minorHAnsi" w:hAnsiTheme="minorHAnsi" w:cstheme="minorHAnsi"/>
                    <w:b/>
                    <w:color w:val="FFFFFF" w:themeColor="background1"/>
                  </w:rPr>
                  <w:t>20</w:t>
                </w:r>
              </w:p>
            </w:tc>
            <w:tc>
              <w:tcPr>
                <w:tcW w:w="787" w:type="pct"/>
                <w:shd w:val="clear" w:color="auto" w:fill="3B5F10" w:themeFill="accent2" w:themeFillShade="80"/>
              </w:tcPr>
              <w:p w14:paraId="35F9A81C" w14:textId="73A4C8D6" w:rsidR="0058799E" w:rsidRPr="00CA0D86" w:rsidRDefault="0058799E" w:rsidP="00D80155">
                <w:pPr>
                  <w:spacing w:before="0" w:after="0"/>
                  <w:rPr>
                    <w:rFonts w:asciiTheme="minorHAnsi" w:hAnsiTheme="minorHAnsi" w:cstheme="minorHAnsi"/>
                    <w:b/>
                    <w:color w:val="FFFFFF" w:themeColor="background1"/>
                  </w:rPr>
                </w:pPr>
                <w:r>
                  <w:rPr>
                    <w:rFonts w:asciiTheme="minorHAnsi" w:hAnsiTheme="minorHAnsi" w:cstheme="minorHAnsi"/>
                    <w:b/>
                    <w:color w:val="FFFFFF" w:themeColor="background1"/>
                  </w:rPr>
                  <w:t>FY 2020</w:t>
                </w:r>
                <w:r w:rsidR="004F61D3" w:rsidRPr="004F61D3">
                  <w:rPr>
                    <w:rFonts w:asciiTheme="minorHAnsi" w:hAnsiTheme="minorHAnsi" w:cstheme="minorHAnsi"/>
                    <w:b/>
                    <w:color w:val="FFFFFF" w:themeColor="background1"/>
                  </w:rPr>
                  <w:t>–</w:t>
                </w:r>
                <w:r>
                  <w:rPr>
                    <w:rFonts w:asciiTheme="minorHAnsi" w:hAnsiTheme="minorHAnsi" w:cstheme="minorHAnsi"/>
                    <w:b/>
                    <w:color w:val="FFFFFF" w:themeColor="background1"/>
                  </w:rPr>
                  <w:t>2021</w:t>
                </w:r>
              </w:p>
            </w:tc>
          </w:tr>
          <w:tr w:rsidR="0058799E" w:rsidRPr="00CA0D86" w14:paraId="7FEEE62B" w14:textId="77777777" w:rsidTr="00D80155">
            <w:tc>
              <w:tcPr>
                <w:tcW w:w="2638" w:type="pct"/>
              </w:tcPr>
              <w:p w14:paraId="7E6A72EB" w14:textId="77777777" w:rsidR="0058799E" w:rsidRPr="00CA0D86" w:rsidRDefault="0058799E" w:rsidP="00D80155">
                <w:pPr>
                  <w:spacing w:before="0" w:after="0"/>
                  <w:rPr>
                    <w:rFonts w:asciiTheme="minorHAnsi" w:hAnsiTheme="minorHAnsi" w:cstheme="minorHAnsi"/>
                  </w:rPr>
                </w:pPr>
                <w:r w:rsidRPr="00CA0D86">
                  <w:rPr>
                    <w:rFonts w:asciiTheme="minorHAnsi" w:hAnsiTheme="minorHAnsi" w:cstheme="minorHAnsi"/>
                  </w:rPr>
                  <w:t>Measurable skill gain</w:t>
                </w:r>
                <w:r>
                  <w:rPr>
                    <w:rFonts w:asciiTheme="minorHAnsi" w:hAnsiTheme="minorHAnsi" w:cstheme="minorHAnsi"/>
                  </w:rPr>
                  <w:t xml:space="preserve"> (MSG)</w:t>
                </w:r>
              </w:p>
            </w:tc>
            <w:tc>
              <w:tcPr>
                <w:tcW w:w="787" w:type="pct"/>
              </w:tcPr>
              <w:p w14:paraId="54C7A1DF" w14:textId="77777777" w:rsidR="0058799E" w:rsidRPr="00CA0D86" w:rsidRDefault="0058799E" w:rsidP="00D80155">
                <w:pPr>
                  <w:spacing w:before="0" w:after="0"/>
                  <w:rPr>
                    <w:rFonts w:asciiTheme="minorHAnsi" w:hAnsiTheme="minorHAnsi" w:cstheme="minorHAnsi"/>
                  </w:rPr>
                </w:pPr>
                <w:r w:rsidRPr="00CA0D86">
                  <w:rPr>
                    <w:rFonts w:asciiTheme="minorHAnsi" w:hAnsiTheme="minorHAnsi" w:cstheme="minorHAnsi"/>
                  </w:rPr>
                  <w:t>42.56%</w:t>
                </w:r>
              </w:p>
            </w:tc>
            <w:tc>
              <w:tcPr>
                <w:tcW w:w="787" w:type="pct"/>
              </w:tcPr>
              <w:p w14:paraId="0999D5A3" w14:textId="77777777" w:rsidR="0058799E" w:rsidRPr="00CA0D86" w:rsidRDefault="0058799E" w:rsidP="00D80155">
                <w:pPr>
                  <w:spacing w:before="0" w:after="0"/>
                  <w:rPr>
                    <w:rFonts w:asciiTheme="minorHAnsi" w:hAnsiTheme="minorHAnsi" w:cstheme="minorHAnsi"/>
                  </w:rPr>
                </w:pPr>
                <w:r>
                  <w:rPr>
                    <w:rFonts w:asciiTheme="minorHAnsi" w:hAnsiTheme="minorHAnsi" w:cstheme="minorHAnsi"/>
                  </w:rPr>
                  <w:t>36.89%</w:t>
                </w:r>
              </w:p>
            </w:tc>
            <w:tc>
              <w:tcPr>
                <w:tcW w:w="787" w:type="pct"/>
              </w:tcPr>
              <w:p w14:paraId="6DA577B9" w14:textId="77777777" w:rsidR="0058799E" w:rsidRDefault="0058799E" w:rsidP="00D80155">
                <w:pPr>
                  <w:spacing w:before="0" w:after="0"/>
                  <w:rPr>
                    <w:rFonts w:asciiTheme="minorHAnsi" w:hAnsiTheme="minorHAnsi" w:cstheme="minorHAnsi"/>
                  </w:rPr>
                </w:pPr>
                <w:r>
                  <w:rPr>
                    <w:rFonts w:asciiTheme="minorHAnsi" w:hAnsiTheme="minorHAnsi" w:cstheme="minorHAnsi"/>
                  </w:rPr>
                  <w:t>23.01%</w:t>
                </w:r>
              </w:p>
            </w:tc>
          </w:tr>
          <w:tr w:rsidR="0058799E" w:rsidRPr="00CA0D86" w14:paraId="5F76D58F" w14:textId="77777777" w:rsidTr="00D80155">
            <w:tc>
              <w:tcPr>
                <w:tcW w:w="2638" w:type="pct"/>
              </w:tcPr>
              <w:p w14:paraId="0B010A77" w14:textId="77777777" w:rsidR="0058799E" w:rsidRPr="00CA0D86" w:rsidRDefault="0058799E" w:rsidP="00D80155">
                <w:pPr>
                  <w:spacing w:before="0" w:after="0"/>
                  <w:rPr>
                    <w:rFonts w:asciiTheme="minorHAnsi" w:hAnsiTheme="minorHAnsi" w:cstheme="minorHAnsi"/>
                  </w:rPr>
                </w:pPr>
                <w:r w:rsidRPr="00CA0D86">
                  <w:rPr>
                    <w:rFonts w:asciiTheme="minorHAnsi" w:hAnsiTheme="minorHAnsi" w:cstheme="minorHAnsi"/>
                  </w:rPr>
                  <w:t>Employment at second quarter after exit</w:t>
                </w:r>
              </w:p>
            </w:tc>
            <w:tc>
              <w:tcPr>
                <w:tcW w:w="787" w:type="pct"/>
              </w:tcPr>
              <w:p w14:paraId="41FB4109" w14:textId="77777777" w:rsidR="0058799E" w:rsidRPr="00CA0D86" w:rsidRDefault="0058799E" w:rsidP="00D80155">
                <w:pPr>
                  <w:spacing w:before="0" w:after="0"/>
                  <w:rPr>
                    <w:rFonts w:asciiTheme="minorHAnsi" w:hAnsiTheme="minorHAnsi" w:cstheme="minorHAnsi"/>
                  </w:rPr>
                </w:pPr>
                <w:r w:rsidRPr="00CA0D86">
                  <w:rPr>
                    <w:rFonts w:asciiTheme="minorHAnsi" w:hAnsiTheme="minorHAnsi" w:cstheme="minorHAnsi"/>
                  </w:rPr>
                  <w:t>37.59%</w:t>
                </w:r>
              </w:p>
            </w:tc>
            <w:tc>
              <w:tcPr>
                <w:tcW w:w="787" w:type="pct"/>
              </w:tcPr>
              <w:p w14:paraId="5EFACCE3" w14:textId="77777777" w:rsidR="0058799E" w:rsidRPr="00CA0D86" w:rsidRDefault="0058799E" w:rsidP="00D80155">
                <w:pPr>
                  <w:spacing w:before="0" w:after="0"/>
                  <w:rPr>
                    <w:rFonts w:asciiTheme="minorHAnsi" w:hAnsiTheme="minorHAnsi" w:cstheme="minorHAnsi"/>
                  </w:rPr>
                </w:pPr>
                <w:r>
                  <w:rPr>
                    <w:rFonts w:asciiTheme="minorHAnsi" w:hAnsiTheme="minorHAnsi" w:cstheme="minorHAnsi"/>
                  </w:rPr>
                  <w:t>37.74%</w:t>
                </w:r>
              </w:p>
            </w:tc>
            <w:tc>
              <w:tcPr>
                <w:tcW w:w="787" w:type="pct"/>
              </w:tcPr>
              <w:p w14:paraId="5692F967" w14:textId="77777777" w:rsidR="0058799E" w:rsidRDefault="0058799E" w:rsidP="00D80155">
                <w:pPr>
                  <w:spacing w:before="0" w:after="0"/>
                  <w:rPr>
                    <w:rFonts w:asciiTheme="minorHAnsi" w:hAnsiTheme="minorHAnsi" w:cstheme="minorHAnsi"/>
                  </w:rPr>
                </w:pPr>
                <w:r>
                  <w:rPr>
                    <w:rFonts w:asciiTheme="minorHAnsi" w:hAnsiTheme="minorHAnsi" w:cstheme="minorHAnsi"/>
                  </w:rPr>
                  <w:t>34.25%</w:t>
                </w:r>
              </w:p>
            </w:tc>
          </w:tr>
          <w:tr w:rsidR="0058799E" w:rsidRPr="00CA0D86" w14:paraId="7919D802" w14:textId="77777777" w:rsidTr="00D80155">
            <w:tc>
              <w:tcPr>
                <w:tcW w:w="2638" w:type="pct"/>
              </w:tcPr>
              <w:p w14:paraId="6CEBB36D" w14:textId="77777777" w:rsidR="0058799E" w:rsidRPr="00CA0D86" w:rsidRDefault="0058799E" w:rsidP="00D80155">
                <w:pPr>
                  <w:spacing w:before="0" w:after="0"/>
                  <w:rPr>
                    <w:rFonts w:asciiTheme="minorHAnsi" w:hAnsiTheme="minorHAnsi" w:cstheme="minorHAnsi"/>
                  </w:rPr>
                </w:pPr>
                <w:r w:rsidRPr="00CA0D86">
                  <w:rPr>
                    <w:rFonts w:asciiTheme="minorHAnsi" w:hAnsiTheme="minorHAnsi" w:cstheme="minorHAnsi"/>
                  </w:rPr>
                  <w:t>Employment at fourth quarter after exit</w:t>
                </w:r>
              </w:p>
            </w:tc>
            <w:tc>
              <w:tcPr>
                <w:tcW w:w="787" w:type="pct"/>
              </w:tcPr>
              <w:p w14:paraId="294F4CB1" w14:textId="77777777" w:rsidR="0058799E" w:rsidRPr="00CA0D86" w:rsidRDefault="0058799E" w:rsidP="00D80155">
                <w:pPr>
                  <w:spacing w:before="0" w:after="0"/>
                  <w:rPr>
                    <w:rFonts w:asciiTheme="minorHAnsi" w:hAnsiTheme="minorHAnsi" w:cstheme="minorHAnsi"/>
                  </w:rPr>
                </w:pPr>
                <w:r w:rsidRPr="00CA0D86">
                  <w:rPr>
                    <w:rFonts w:asciiTheme="minorHAnsi" w:hAnsiTheme="minorHAnsi" w:cstheme="minorHAnsi"/>
                  </w:rPr>
                  <w:t>33.54%</w:t>
                </w:r>
              </w:p>
            </w:tc>
            <w:tc>
              <w:tcPr>
                <w:tcW w:w="787" w:type="pct"/>
              </w:tcPr>
              <w:p w14:paraId="623DF1F3" w14:textId="77777777" w:rsidR="0058799E" w:rsidRPr="00CA0D86" w:rsidRDefault="0058799E" w:rsidP="00D80155">
                <w:pPr>
                  <w:spacing w:before="0" w:after="0"/>
                  <w:rPr>
                    <w:rFonts w:asciiTheme="minorHAnsi" w:hAnsiTheme="minorHAnsi" w:cstheme="minorHAnsi"/>
                  </w:rPr>
                </w:pPr>
                <w:r>
                  <w:rPr>
                    <w:rFonts w:asciiTheme="minorHAnsi" w:hAnsiTheme="minorHAnsi" w:cstheme="minorHAnsi"/>
                  </w:rPr>
                  <w:t>36.46%</w:t>
                </w:r>
              </w:p>
            </w:tc>
            <w:tc>
              <w:tcPr>
                <w:tcW w:w="787" w:type="pct"/>
              </w:tcPr>
              <w:p w14:paraId="7D77D456" w14:textId="77777777" w:rsidR="0058799E" w:rsidRDefault="0058799E" w:rsidP="00D80155">
                <w:pPr>
                  <w:spacing w:before="0" w:after="0"/>
                  <w:rPr>
                    <w:rFonts w:asciiTheme="minorHAnsi" w:hAnsiTheme="minorHAnsi" w:cstheme="minorHAnsi"/>
                  </w:rPr>
                </w:pPr>
                <w:r>
                  <w:rPr>
                    <w:rFonts w:asciiTheme="minorHAnsi" w:hAnsiTheme="minorHAnsi" w:cstheme="minorHAnsi"/>
                  </w:rPr>
                  <w:t>35.26%</w:t>
                </w:r>
              </w:p>
            </w:tc>
          </w:tr>
          <w:tr w:rsidR="0058799E" w:rsidRPr="00CA0D86" w14:paraId="77B4AC47" w14:textId="77777777" w:rsidTr="00D80155">
            <w:tc>
              <w:tcPr>
                <w:tcW w:w="2638" w:type="pct"/>
              </w:tcPr>
              <w:p w14:paraId="6F80ACCD" w14:textId="77777777" w:rsidR="0058799E" w:rsidRPr="00CA0D86" w:rsidRDefault="0058799E" w:rsidP="00D80155">
                <w:pPr>
                  <w:spacing w:before="0" w:after="0"/>
                  <w:rPr>
                    <w:rFonts w:asciiTheme="minorHAnsi" w:hAnsiTheme="minorHAnsi" w:cstheme="minorHAnsi"/>
                  </w:rPr>
                </w:pPr>
                <w:r w:rsidRPr="00CA0D86">
                  <w:rPr>
                    <w:rFonts w:asciiTheme="minorHAnsi" w:hAnsiTheme="minorHAnsi" w:cstheme="minorHAnsi"/>
                  </w:rPr>
                  <w:t>Median quarterly earnings at second quarter after exit</w:t>
                </w:r>
              </w:p>
            </w:tc>
            <w:tc>
              <w:tcPr>
                <w:tcW w:w="787" w:type="pct"/>
              </w:tcPr>
              <w:p w14:paraId="367219DA" w14:textId="77777777" w:rsidR="0058799E" w:rsidRPr="00CA0D86" w:rsidRDefault="0058799E" w:rsidP="00D80155">
                <w:pPr>
                  <w:spacing w:before="0" w:after="0"/>
                  <w:rPr>
                    <w:rFonts w:asciiTheme="minorHAnsi" w:hAnsiTheme="minorHAnsi" w:cstheme="minorHAnsi"/>
                  </w:rPr>
                </w:pPr>
                <w:r w:rsidRPr="00CA0D86">
                  <w:rPr>
                    <w:rFonts w:asciiTheme="minorHAnsi" w:hAnsiTheme="minorHAnsi" w:cstheme="minorHAnsi"/>
                  </w:rPr>
                  <w:t>$5,660</w:t>
                </w:r>
              </w:p>
            </w:tc>
            <w:tc>
              <w:tcPr>
                <w:tcW w:w="787" w:type="pct"/>
              </w:tcPr>
              <w:p w14:paraId="525690E4" w14:textId="77777777" w:rsidR="0058799E" w:rsidRPr="00CA0D86" w:rsidRDefault="0058799E" w:rsidP="00D80155">
                <w:pPr>
                  <w:spacing w:before="0" w:after="0"/>
                  <w:rPr>
                    <w:rFonts w:asciiTheme="minorHAnsi" w:hAnsiTheme="minorHAnsi" w:cstheme="minorHAnsi"/>
                  </w:rPr>
                </w:pPr>
                <w:r>
                  <w:rPr>
                    <w:rFonts w:asciiTheme="minorHAnsi" w:hAnsiTheme="minorHAnsi" w:cstheme="minorHAnsi"/>
                  </w:rPr>
                  <w:t>$6,070</w:t>
                </w:r>
              </w:p>
            </w:tc>
            <w:tc>
              <w:tcPr>
                <w:tcW w:w="787" w:type="pct"/>
              </w:tcPr>
              <w:p w14:paraId="5E016CB8" w14:textId="77777777" w:rsidR="0058799E" w:rsidRDefault="0058799E" w:rsidP="00D80155">
                <w:pPr>
                  <w:spacing w:before="0" w:after="0"/>
                  <w:rPr>
                    <w:rFonts w:asciiTheme="minorHAnsi" w:hAnsiTheme="minorHAnsi" w:cstheme="minorHAnsi"/>
                  </w:rPr>
                </w:pPr>
                <w:r>
                  <w:rPr>
                    <w:rFonts w:asciiTheme="minorHAnsi" w:hAnsiTheme="minorHAnsi" w:cstheme="minorHAnsi"/>
                  </w:rPr>
                  <w:t>$6,188</w:t>
                </w:r>
              </w:p>
            </w:tc>
          </w:tr>
          <w:tr w:rsidR="0058799E" w:rsidRPr="00CA0D86" w14:paraId="0B33CEEF" w14:textId="77777777" w:rsidTr="00D80155">
            <w:tc>
              <w:tcPr>
                <w:tcW w:w="2638" w:type="pct"/>
              </w:tcPr>
              <w:p w14:paraId="69420D09" w14:textId="77777777" w:rsidR="0058799E" w:rsidRPr="00CA0D86" w:rsidRDefault="0058799E" w:rsidP="00D80155">
                <w:pPr>
                  <w:spacing w:before="0" w:after="0"/>
                  <w:rPr>
                    <w:rFonts w:asciiTheme="minorHAnsi" w:hAnsiTheme="minorHAnsi" w:cstheme="minorHAnsi"/>
                  </w:rPr>
                </w:pPr>
                <w:r w:rsidRPr="00CA0D86">
                  <w:rPr>
                    <w:rFonts w:asciiTheme="minorHAnsi" w:hAnsiTheme="minorHAnsi" w:cstheme="minorHAnsi"/>
                  </w:rPr>
                  <w:t>Credential Attainment</w:t>
                </w:r>
              </w:p>
            </w:tc>
            <w:tc>
              <w:tcPr>
                <w:tcW w:w="787" w:type="pct"/>
              </w:tcPr>
              <w:p w14:paraId="25FB0C2E" w14:textId="77777777" w:rsidR="0058799E" w:rsidRPr="00CA0D86" w:rsidRDefault="0058799E" w:rsidP="00D80155">
                <w:pPr>
                  <w:spacing w:before="0" w:after="0"/>
                  <w:rPr>
                    <w:rFonts w:asciiTheme="minorHAnsi" w:hAnsiTheme="minorHAnsi" w:cstheme="minorHAnsi"/>
                  </w:rPr>
                </w:pPr>
                <w:r w:rsidRPr="00CA0D86">
                  <w:rPr>
                    <w:rFonts w:asciiTheme="minorHAnsi" w:hAnsiTheme="minorHAnsi" w:cstheme="minorHAnsi"/>
                  </w:rPr>
                  <w:t>22.88%</w:t>
                </w:r>
              </w:p>
            </w:tc>
            <w:tc>
              <w:tcPr>
                <w:tcW w:w="787" w:type="pct"/>
              </w:tcPr>
              <w:p w14:paraId="2B0F087E" w14:textId="77777777" w:rsidR="0058799E" w:rsidRPr="00CA0D86" w:rsidRDefault="0058799E" w:rsidP="00D80155">
                <w:pPr>
                  <w:spacing w:before="0" w:after="0"/>
                  <w:rPr>
                    <w:rFonts w:asciiTheme="minorHAnsi" w:hAnsiTheme="minorHAnsi" w:cstheme="minorHAnsi"/>
                  </w:rPr>
                </w:pPr>
                <w:r>
                  <w:rPr>
                    <w:rFonts w:asciiTheme="minorHAnsi" w:hAnsiTheme="minorHAnsi" w:cstheme="minorHAnsi"/>
                  </w:rPr>
                  <w:t>13.41%</w:t>
                </w:r>
              </w:p>
            </w:tc>
            <w:tc>
              <w:tcPr>
                <w:tcW w:w="787" w:type="pct"/>
              </w:tcPr>
              <w:p w14:paraId="7AC5A40F" w14:textId="77777777" w:rsidR="0058799E" w:rsidRDefault="0058799E" w:rsidP="00D80155">
                <w:pPr>
                  <w:spacing w:before="0" w:after="0"/>
                  <w:rPr>
                    <w:rFonts w:asciiTheme="minorHAnsi" w:hAnsiTheme="minorHAnsi" w:cstheme="minorHAnsi"/>
                  </w:rPr>
                </w:pPr>
                <w:r>
                  <w:rPr>
                    <w:rFonts w:asciiTheme="minorHAnsi" w:hAnsiTheme="minorHAnsi" w:cstheme="minorHAnsi"/>
                  </w:rPr>
                  <w:t>19.03%</w:t>
                </w:r>
              </w:p>
            </w:tc>
          </w:tr>
        </w:tbl>
        <w:p w14:paraId="5D96677C" w14:textId="13B9AEB5" w:rsidR="0058799E" w:rsidRPr="00602AF0" w:rsidRDefault="0058799E" w:rsidP="0058799E">
          <w:pPr>
            <w:rPr>
              <w:rFonts w:asciiTheme="minorHAnsi" w:hAnsiTheme="minorHAnsi"/>
            </w:rPr>
          </w:pPr>
          <w:r w:rsidRPr="00602AF0">
            <w:rPr>
              <w:rFonts w:asciiTheme="minorHAnsi" w:hAnsiTheme="minorHAnsi"/>
            </w:rPr>
            <w:t>Key data points for Minnesota A</w:t>
          </w:r>
          <w:r w:rsidR="00F071D8">
            <w:rPr>
              <w:rFonts w:asciiTheme="minorHAnsi" w:hAnsiTheme="minorHAnsi"/>
            </w:rPr>
            <w:t>dult Education</w:t>
          </w:r>
          <w:r w:rsidRPr="00602AF0">
            <w:rPr>
              <w:rFonts w:asciiTheme="minorHAnsi" w:hAnsiTheme="minorHAnsi"/>
            </w:rPr>
            <w:t xml:space="preserve"> include: </w:t>
          </w:r>
        </w:p>
        <w:p w14:paraId="6E0CF6E1" w14:textId="493E0A27" w:rsidR="0058799E" w:rsidRPr="00602AF0" w:rsidRDefault="0058799E" w:rsidP="00281C1E">
          <w:pPr>
            <w:pStyle w:val="ListParagraph"/>
            <w:numPr>
              <w:ilvl w:val="0"/>
              <w:numId w:val="34"/>
            </w:numPr>
            <w:ind w:left="720"/>
            <w:rPr>
              <w:rFonts w:asciiTheme="minorHAnsi" w:hAnsiTheme="minorHAnsi"/>
            </w:rPr>
          </w:pPr>
          <w:r w:rsidRPr="00602AF0">
            <w:rPr>
              <w:rFonts w:asciiTheme="minorHAnsi" w:hAnsiTheme="minorHAnsi"/>
            </w:rPr>
            <w:t xml:space="preserve">Outcomes increased in WIOA indicators for median earnings </w:t>
          </w:r>
          <w:r>
            <w:rPr>
              <w:rFonts w:asciiTheme="minorHAnsi" w:hAnsiTheme="minorHAnsi"/>
            </w:rPr>
            <w:t xml:space="preserve">and for credential attainment </w:t>
          </w:r>
          <w:r w:rsidRPr="00602AF0">
            <w:rPr>
              <w:rFonts w:asciiTheme="minorHAnsi" w:hAnsiTheme="minorHAnsi"/>
            </w:rPr>
            <w:t>from 2019</w:t>
          </w:r>
          <w:r w:rsidR="005C16A2">
            <w:rPr>
              <w:rFonts w:asciiTheme="minorHAnsi" w:hAnsiTheme="minorHAnsi"/>
            </w:rPr>
            <w:t>–20</w:t>
          </w:r>
          <w:r w:rsidRPr="00602AF0">
            <w:rPr>
              <w:rFonts w:asciiTheme="minorHAnsi" w:hAnsiTheme="minorHAnsi"/>
            </w:rPr>
            <w:t>20</w:t>
          </w:r>
          <w:r>
            <w:rPr>
              <w:rFonts w:asciiTheme="minorHAnsi" w:hAnsiTheme="minorHAnsi"/>
            </w:rPr>
            <w:t xml:space="preserve"> to 2020</w:t>
          </w:r>
          <w:r w:rsidR="005C16A2">
            <w:rPr>
              <w:rFonts w:asciiTheme="minorHAnsi" w:hAnsiTheme="minorHAnsi"/>
            </w:rPr>
            <w:t>–20</w:t>
          </w:r>
          <w:r>
            <w:rPr>
              <w:rFonts w:asciiTheme="minorHAnsi" w:hAnsiTheme="minorHAnsi"/>
            </w:rPr>
            <w:t>21.</w:t>
          </w:r>
        </w:p>
        <w:p w14:paraId="02681917" w14:textId="35DF00E1" w:rsidR="0058799E" w:rsidRDefault="0058799E" w:rsidP="00281C1E">
          <w:pPr>
            <w:pStyle w:val="ListParagraph"/>
            <w:numPr>
              <w:ilvl w:val="0"/>
              <w:numId w:val="34"/>
            </w:numPr>
            <w:ind w:left="720"/>
            <w:rPr>
              <w:rFonts w:asciiTheme="minorHAnsi" w:hAnsiTheme="minorHAnsi"/>
            </w:rPr>
          </w:pPr>
          <w:r>
            <w:rPr>
              <w:rFonts w:asciiTheme="minorHAnsi" w:hAnsiTheme="minorHAnsi"/>
            </w:rPr>
            <w:t>Outcomes declined for the employment</w:t>
          </w:r>
          <w:r w:rsidRPr="009333E4">
            <w:rPr>
              <w:rFonts w:asciiTheme="minorHAnsi" w:hAnsiTheme="minorHAnsi"/>
            </w:rPr>
            <w:t xml:space="preserve"> </w:t>
          </w:r>
          <w:r>
            <w:rPr>
              <w:rFonts w:asciiTheme="minorHAnsi" w:hAnsiTheme="minorHAnsi"/>
            </w:rPr>
            <w:t>i</w:t>
          </w:r>
          <w:r w:rsidRPr="009333E4">
            <w:rPr>
              <w:rFonts w:asciiTheme="minorHAnsi" w:hAnsiTheme="minorHAnsi"/>
            </w:rPr>
            <w:t>ndicators</w:t>
          </w:r>
          <w:r>
            <w:rPr>
              <w:rFonts w:asciiTheme="minorHAnsi" w:hAnsiTheme="minorHAnsi"/>
            </w:rPr>
            <w:t xml:space="preserve"> and for MSG (MSG results were below the target due to COVID-related disruptions, especially in testing).</w:t>
          </w:r>
        </w:p>
        <w:p w14:paraId="473184C4" w14:textId="37503BCA" w:rsidR="002B4F46" w:rsidRPr="002B4F46" w:rsidRDefault="002B4F46" w:rsidP="002B4F46">
          <w:pPr>
            <w:rPr>
              <w:rFonts w:asciiTheme="minorHAnsi" w:hAnsiTheme="minorHAnsi"/>
            </w:rPr>
          </w:pPr>
          <w:r>
            <w:rPr>
              <w:rFonts w:asciiTheme="minorHAnsi" w:hAnsiTheme="minorHAnsi"/>
            </w:rPr>
            <w:t>Minnesota collects data information via data match with the adult education, state unemployment, and Minnesota State postsecondary data systems. Minnesota does not use surveys to collect official data.</w:t>
          </w:r>
        </w:p>
        <w:p w14:paraId="67F9DD5B" w14:textId="77777777" w:rsidR="00403EA9" w:rsidRDefault="0058799E" w:rsidP="0058799E">
          <w:pPr>
            <w:rPr>
              <w:rFonts w:asciiTheme="minorHAnsi" w:hAnsiTheme="minorHAnsi"/>
            </w:rPr>
          </w:pPr>
          <w:r w:rsidRPr="004A5EFC">
            <w:rPr>
              <w:rFonts w:asciiTheme="minorHAnsi" w:hAnsiTheme="minorHAnsi"/>
              <w:b/>
            </w:rPr>
            <w:t>COVID Impact</w:t>
          </w:r>
          <w:r w:rsidRPr="004A5EFC">
            <w:rPr>
              <w:rFonts w:asciiTheme="minorHAnsi" w:hAnsiTheme="minorHAnsi"/>
            </w:rPr>
            <w:t xml:space="preserve">: </w:t>
          </w:r>
          <w:r>
            <w:rPr>
              <w:rFonts w:asciiTheme="minorHAnsi" w:hAnsiTheme="minorHAnsi"/>
            </w:rPr>
            <w:t xml:space="preserve">COVID has had a major impact on </w:t>
          </w:r>
          <w:r w:rsidR="005C16A2">
            <w:rPr>
              <w:rFonts w:asciiTheme="minorHAnsi" w:hAnsiTheme="minorHAnsi"/>
            </w:rPr>
            <w:t xml:space="preserve">adult education </w:t>
          </w:r>
          <w:r>
            <w:rPr>
              <w:rFonts w:asciiTheme="minorHAnsi" w:hAnsiTheme="minorHAnsi"/>
            </w:rPr>
            <w:t>in Minnesota. Throughout the entire 2020</w:t>
          </w:r>
          <w:r w:rsidR="005C16A2">
            <w:rPr>
              <w:rFonts w:asciiTheme="minorHAnsi" w:hAnsiTheme="minorHAnsi"/>
            </w:rPr>
            <w:t>–20</w:t>
          </w:r>
          <w:r>
            <w:rPr>
              <w:rFonts w:asciiTheme="minorHAnsi" w:hAnsiTheme="minorHAnsi"/>
            </w:rPr>
            <w:t>21 year</w:t>
          </w:r>
          <w:r w:rsidRPr="004A5EFC">
            <w:rPr>
              <w:rFonts w:asciiTheme="minorHAnsi" w:hAnsiTheme="minorHAnsi"/>
            </w:rPr>
            <w:t xml:space="preserve">, programs </w:t>
          </w:r>
          <w:r>
            <w:rPr>
              <w:rFonts w:asciiTheme="minorHAnsi" w:hAnsiTheme="minorHAnsi"/>
            </w:rPr>
            <w:t xml:space="preserve">have had to quickly adapt back and forth between </w:t>
          </w:r>
          <w:r w:rsidRPr="004A5EFC">
            <w:rPr>
              <w:rFonts w:asciiTheme="minorHAnsi" w:hAnsiTheme="minorHAnsi"/>
            </w:rPr>
            <w:t>in-pers</w:t>
          </w:r>
          <w:r>
            <w:rPr>
              <w:rFonts w:asciiTheme="minorHAnsi" w:hAnsiTheme="minorHAnsi"/>
            </w:rPr>
            <w:t xml:space="preserve">on programming and distance learning due to COVID-19. Due to these disruptions and the implications of COVID, contact hours have declined by 45%, enrollees have declined by 22%, participant numbers have declined by nearly 10,000 participants, and 11,008 adult education participants were unable to be tested due to COVID-related disruptions. In response, the </w:t>
          </w:r>
          <w:r w:rsidR="00E73D6F">
            <w:rPr>
              <w:rFonts w:asciiTheme="minorHAnsi" w:hAnsiTheme="minorHAnsi"/>
            </w:rPr>
            <w:t>A</w:t>
          </w:r>
          <w:r>
            <w:rPr>
              <w:rFonts w:asciiTheme="minorHAnsi" w:hAnsiTheme="minorHAnsi"/>
            </w:rPr>
            <w:t xml:space="preserve">dult </w:t>
          </w:r>
          <w:r w:rsidR="00E73D6F">
            <w:rPr>
              <w:rFonts w:asciiTheme="minorHAnsi" w:hAnsiTheme="minorHAnsi"/>
            </w:rPr>
            <w:t>E</w:t>
          </w:r>
          <w:r>
            <w:rPr>
              <w:rFonts w:asciiTheme="minorHAnsi" w:hAnsiTheme="minorHAnsi"/>
            </w:rPr>
            <w:t xml:space="preserve">ducation </w:t>
          </w:r>
          <w:r w:rsidR="00E73D6F">
            <w:rPr>
              <w:rFonts w:asciiTheme="minorHAnsi" w:hAnsiTheme="minorHAnsi"/>
            </w:rPr>
            <w:t>L</w:t>
          </w:r>
          <w:r w:rsidR="00B43824">
            <w:rPr>
              <w:rFonts w:asciiTheme="minorHAnsi" w:hAnsiTheme="minorHAnsi"/>
            </w:rPr>
            <w:t>eadership T</w:t>
          </w:r>
          <w:r>
            <w:rPr>
              <w:rFonts w:asciiTheme="minorHAnsi" w:hAnsiTheme="minorHAnsi"/>
            </w:rPr>
            <w:t xml:space="preserve">eam has approved remote testing and started implementing a teacher verification </w:t>
          </w:r>
          <w:r>
            <w:rPr>
              <w:rFonts w:asciiTheme="minorHAnsi" w:hAnsiTheme="minorHAnsi"/>
            </w:rPr>
            <w:lastRenderedPageBreak/>
            <w:t>model (TVM) to create more flexibility for</w:t>
          </w:r>
          <w:r w:rsidR="005C16A2">
            <w:rPr>
              <w:rFonts w:asciiTheme="minorHAnsi" w:hAnsiTheme="minorHAnsi"/>
            </w:rPr>
            <w:t xml:space="preserve"> program</w:t>
          </w:r>
          <w:r>
            <w:rPr>
              <w:rFonts w:asciiTheme="minorHAnsi" w:hAnsiTheme="minorHAnsi"/>
            </w:rPr>
            <w:t xml:space="preserve"> staff so they can count the effective instructional models they are implementing.</w:t>
          </w:r>
          <w:r w:rsidR="002B4F46">
            <w:rPr>
              <w:rFonts w:asciiTheme="minorHAnsi" w:hAnsiTheme="minorHAnsi"/>
            </w:rPr>
            <w:t xml:space="preserve"> </w:t>
          </w:r>
        </w:p>
        <w:p w14:paraId="6E9BDD96" w14:textId="074A5DB8" w:rsidR="002B4F46" w:rsidRPr="004A5EFC" w:rsidRDefault="00403EA9" w:rsidP="0058799E">
          <w:pPr>
            <w:rPr>
              <w:rFonts w:asciiTheme="minorHAnsi" w:hAnsiTheme="minorHAnsi"/>
            </w:rPr>
          </w:pPr>
          <w:r>
            <w:rPr>
              <w:rFonts w:asciiTheme="minorHAnsi" w:hAnsiTheme="minorHAnsi"/>
            </w:rPr>
            <w:t>COVID has also decreased</w:t>
          </w:r>
          <w:r w:rsidR="002B4F46">
            <w:rPr>
              <w:rFonts w:asciiTheme="minorHAnsi" w:hAnsiTheme="minorHAnsi"/>
            </w:rPr>
            <w:t xml:space="preserve"> employment, median earnings and credential attainment outcomes due to exited participants</w:t>
          </w:r>
          <w:r>
            <w:rPr>
              <w:rFonts w:asciiTheme="minorHAnsi" w:hAnsiTheme="minorHAnsi"/>
            </w:rPr>
            <w:t xml:space="preserve"> not starting careers or completing postsecondary because they are:</w:t>
          </w:r>
          <w:r w:rsidR="002B4F46">
            <w:rPr>
              <w:rFonts w:asciiTheme="minorHAnsi" w:hAnsiTheme="minorHAnsi"/>
            </w:rPr>
            <w:t xml:space="preserve"> </w:t>
          </w:r>
          <w:r>
            <w:rPr>
              <w:rFonts w:asciiTheme="minorHAnsi" w:hAnsiTheme="minorHAnsi"/>
            </w:rPr>
            <w:t xml:space="preserve"> </w:t>
          </w:r>
          <w:r w:rsidR="002B4F46">
            <w:rPr>
              <w:rFonts w:asciiTheme="minorHAnsi" w:hAnsiTheme="minorHAnsi"/>
            </w:rPr>
            <w:t>apprehensive about safety concerns</w:t>
          </w:r>
          <w:r>
            <w:rPr>
              <w:rFonts w:asciiTheme="minorHAnsi" w:hAnsiTheme="minorHAnsi"/>
            </w:rPr>
            <w:t xml:space="preserve"> with in-person jobs or postsecondary courses;</w:t>
          </w:r>
          <w:r w:rsidR="002B4F46">
            <w:rPr>
              <w:rFonts w:asciiTheme="minorHAnsi" w:hAnsiTheme="minorHAnsi"/>
            </w:rPr>
            <w:t xml:space="preserve"> </w:t>
          </w:r>
          <w:r>
            <w:rPr>
              <w:rFonts w:asciiTheme="minorHAnsi" w:hAnsiTheme="minorHAnsi"/>
            </w:rPr>
            <w:t>needing to stay home with children attending school virtually; taking care of family members who are sick; unable to find careers that are paying family-sustaining wages; etc.</w:t>
          </w:r>
        </w:p>
        <w:p w14:paraId="3D1FF361" w14:textId="3F583746" w:rsidR="0058799E" w:rsidRDefault="0058799E" w:rsidP="0058799E">
          <w:pPr>
            <w:rPr>
              <w:rFonts w:asciiTheme="minorHAnsi" w:hAnsiTheme="minorHAnsi"/>
            </w:rPr>
          </w:pPr>
          <w:r w:rsidRPr="009333E4">
            <w:rPr>
              <w:rFonts w:asciiTheme="minorHAnsi" w:hAnsiTheme="minorHAnsi"/>
              <w:b/>
            </w:rPr>
            <w:t>A</w:t>
          </w:r>
          <w:r>
            <w:rPr>
              <w:rFonts w:asciiTheme="minorHAnsi" w:hAnsiTheme="minorHAnsi"/>
              <w:b/>
            </w:rPr>
            <w:t>nalysis and Action</w:t>
          </w:r>
          <w:r w:rsidR="005C16A2">
            <w:rPr>
              <w:rFonts w:asciiTheme="minorHAnsi" w:hAnsiTheme="minorHAnsi"/>
            </w:rPr>
            <w:t xml:space="preserve">: </w:t>
          </w:r>
          <w:r>
            <w:rPr>
              <w:rFonts w:asciiTheme="minorHAnsi" w:hAnsiTheme="minorHAnsi"/>
            </w:rPr>
            <w:t xml:space="preserve">Performance data were reviewed and analyzed by the Adult Education </w:t>
          </w:r>
          <w:r w:rsidR="00BC686F">
            <w:rPr>
              <w:rFonts w:asciiTheme="minorHAnsi" w:hAnsiTheme="minorHAnsi"/>
            </w:rPr>
            <w:t>L</w:t>
          </w:r>
          <w:r>
            <w:rPr>
              <w:rFonts w:asciiTheme="minorHAnsi" w:hAnsiTheme="minorHAnsi"/>
            </w:rPr>
            <w:t xml:space="preserve">eadership </w:t>
          </w:r>
          <w:r w:rsidR="00BC686F">
            <w:rPr>
              <w:rFonts w:asciiTheme="minorHAnsi" w:hAnsiTheme="minorHAnsi"/>
            </w:rPr>
            <w:t>T</w:t>
          </w:r>
          <w:r>
            <w:rPr>
              <w:rFonts w:asciiTheme="minorHAnsi" w:hAnsiTheme="minorHAnsi"/>
            </w:rPr>
            <w:t xml:space="preserve">eam in meetings and with providers at the Fall ABE Manager Meeting, SPARC (Support Professional Advisory Committee) meetings, special data analysis virtual discussions open to all adult education providers, and during quarterly meetings with state database staff. </w:t>
          </w:r>
        </w:p>
        <w:p w14:paraId="0DC89ACC" w14:textId="43C78935" w:rsidR="0058799E" w:rsidRDefault="0058799E" w:rsidP="0058799E">
          <w:pPr>
            <w:rPr>
              <w:rFonts w:asciiTheme="minorHAnsi" w:hAnsiTheme="minorHAnsi"/>
            </w:rPr>
          </w:pPr>
          <w:r>
            <w:rPr>
              <w:rFonts w:asciiTheme="minorHAnsi" w:hAnsiTheme="minorHAnsi"/>
            </w:rPr>
            <w:t xml:space="preserve">The results are also shared with providers in the state </w:t>
          </w:r>
          <w:r w:rsidR="00BC686F">
            <w:rPr>
              <w:rFonts w:asciiTheme="minorHAnsi" w:hAnsiTheme="minorHAnsi"/>
            </w:rPr>
            <w:t xml:space="preserve">adult education </w:t>
          </w:r>
          <w:r>
            <w:rPr>
              <w:rFonts w:asciiTheme="minorHAnsi" w:hAnsiTheme="minorHAnsi"/>
            </w:rPr>
            <w:t>report card and help define program quality</w:t>
          </w:r>
          <w:r w:rsidRPr="009333E4">
            <w:rPr>
              <w:rFonts w:asciiTheme="minorHAnsi" w:hAnsiTheme="minorHAnsi"/>
            </w:rPr>
            <w:t xml:space="preserve"> </w:t>
          </w:r>
          <w:r>
            <w:rPr>
              <w:rFonts w:asciiTheme="minorHAnsi" w:hAnsiTheme="minorHAnsi"/>
            </w:rPr>
            <w:t>expectations in</w:t>
          </w:r>
          <w:r w:rsidRPr="009333E4">
            <w:rPr>
              <w:rFonts w:asciiTheme="minorHAnsi" w:hAnsiTheme="minorHAnsi"/>
            </w:rPr>
            <w:t xml:space="preserve"> the state grant </w:t>
          </w:r>
          <w:r>
            <w:rPr>
              <w:rFonts w:asciiTheme="minorHAnsi" w:hAnsiTheme="minorHAnsi"/>
            </w:rPr>
            <w:t xml:space="preserve">application and review process. </w:t>
          </w:r>
          <w:r w:rsidRPr="009333E4">
            <w:rPr>
              <w:rFonts w:asciiTheme="minorHAnsi" w:hAnsiTheme="minorHAnsi"/>
            </w:rPr>
            <w:t xml:space="preserve">The </w:t>
          </w:r>
          <w:r>
            <w:rPr>
              <w:rFonts w:asciiTheme="minorHAnsi" w:hAnsiTheme="minorHAnsi"/>
            </w:rPr>
            <w:t>MSG results and targets are utilized to create benchmarks in</w:t>
          </w:r>
          <w:r w:rsidRPr="009333E4">
            <w:rPr>
              <w:rFonts w:asciiTheme="minorHAnsi" w:hAnsiTheme="minorHAnsi"/>
            </w:rPr>
            <w:t xml:space="preserve"> </w:t>
          </w:r>
          <w:r>
            <w:rPr>
              <w:rFonts w:asciiTheme="minorHAnsi" w:hAnsiTheme="minorHAnsi"/>
            </w:rPr>
            <w:t xml:space="preserve">the </w:t>
          </w:r>
          <w:r w:rsidRPr="009333E4">
            <w:rPr>
              <w:rFonts w:asciiTheme="minorHAnsi" w:hAnsiTheme="minorHAnsi"/>
            </w:rPr>
            <w:t xml:space="preserve">Minnesota </w:t>
          </w:r>
          <w:r w:rsidR="00BC686F">
            <w:rPr>
              <w:rFonts w:asciiTheme="minorHAnsi" w:hAnsiTheme="minorHAnsi"/>
            </w:rPr>
            <w:t xml:space="preserve">Adult Education </w:t>
          </w:r>
          <w:r>
            <w:rPr>
              <w:rFonts w:asciiTheme="minorHAnsi" w:hAnsiTheme="minorHAnsi"/>
            </w:rPr>
            <w:t xml:space="preserve">Statewide Report Card. The state report card and targets can be found online on the </w:t>
          </w:r>
          <w:r w:rsidR="000B115A" w:rsidRPr="00281C1E">
            <w:t>MNABE Accountability page</w:t>
          </w:r>
          <w:r>
            <w:rPr>
              <w:rFonts w:asciiTheme="minorHAnsi" w:hAnsiTheme="minorHAnsi"/>
            </w:rPr>
            <w:t xml:space="preserve"> (</w:t>
          </w:r>
          <w:hyperlink r:id="rId17" w:history="1">
            <w:r w:rsidR="00E22D97" w:rsidRPr="005A21CB">
              <w:rPr>
                <w:rStyle w:val="Hyperlink"/>
                <w:rFonts w:asciiTheme="minorHAnsi" w:hAnsiTheme="minorHAnsi"/>
              </w:rPr>
              <w:t>http://www.mnabe.org/accountability-reporting/performance-targets-results</w:t>
            </w:r>
          </w:hyperlink>
          <w:r>
            <w:rPr>
              <w:rFonts w:asciiTheme="minorHAnsi" w:hAnsiTheme="minorHAnsi"/>
            </w:rPr>
            <w:t>)</w:t>
          </w:r>
          <w:r w:rsidR="00BC1E9C">
            <w:rPr>
              <w:rFonts w:asciiTheme="minorHAnsi" w:hAnsiTheme="minorHAnsi"/>
            </w:rPr>
            <w:t xml:space="preserve">. </w:t>
          </w:r>
        </w:p>
        <w:p w14:paraId="63E72D51" w14:textId="58748948" w:rsidR="0058799E" w:rsidRPr="004A5EFC" w:rsidRDefault="0058799E" w:rsidP="0058799E">
          <w:pPr>
            <w:rPr>
              <w:rFonts w:asciiTheme="minorHAnsi" w:hAnsiTheme="minorHAnsi"/>
            </w:rPr>
          </w:pPr>
          <w:r>
            <w:rPr>
              <w:rFonts w:asciiTheme="minorHAnsi" w:hAnsiTheme="minorHAnsi"/>
            </w:rPr>
            <w:t>The majority of adult education programs have still been proctoring NRS tests using paper forms. The Adult Education Leadership Team prioritized building local programs</w:t>
          </w:r>
          <w:r w:rsidR="00E22D97">
            <w:rPr>
              <w:rFonts w:asciiTheme="minorHAnsi" w:hAnsiTheme="minorHAnsi"/>
            </w:rPr>
            <w:t>’</w:t>
          </w:r>
          <w:r>
            <w:rPr>
              <w:rFonts w:asciiTheme="minorHAnsi" w:hAnsiTheme="minorHAnsi"/>
            </w:rPr>
            <w:t xml:space="preserve"> use of computer-based tests over the last year. Our state assessment trainers have been promoting and offering more training on computer-based testing and remote testing. Using state funding, more than 25,000 computer-based TABE and CASAS test administrations were purchased and distributed to providers with staff that were trained on the assessments. More programs are trying computer-based testing, but the providers are facing challenges with remote testing. The Adult Education Leadership Team is considering contracting with an entity to offer remote NRS testing statewide for distance education students at programs where they do not have the expertise with remote testing. </w:t>
          </w:r>
        </w:p>
        <w:p w14:paraId="36C278E2" w14:textId="77777777" w:rsidR="009401F5" w:rsidRPr="009401F5" w:rsidRDefault="0058799E" w:rsidP="0058799E">
          <w:pPr>
            <w:rPr>
              <w:lang w:bidi="ar-SA"/>
            </w:rPr>
          </w:pPr>
          <w:r w:rsidRPr="004A5EFC">
            <w:rPr>
              <w:rFonts w:asciiTheme="minorHAnsi" w:hAnsiTheme="minorHAnsi"/>
            </w:rPr>
            <w:t xml:space="preserve">The Adult Education Leadership Team utilizes state and local performance data to create and adapt professional development offered, especially with </w:t>
          </w:r>
          <w:proofErr w:type="spellStart"/>
          <w:r w:rsidRPr="004A5EFC">
            <w:rPr>
              <w:rFonts w:asciiTheme="minorHAnsi" w:hAnsiTheme="minorHAnsi"/>
            </w:rPr>
            <w:t>WebChats</w:t>
          </w:r>
          <w:proofErr w:type="spellEnd"/>
          <w:r w:rsidRPr="004A5EFC">
            <w:rPr>
              <w:rFonts w:asciiTheme="minorHAnsi" w:hAnsiTheme="minorHAnsi"/>
            </w:rPr>
            <w:t xml:space="preserve"> (quarterly webinars for providers), ABE Manager Meetings, database trainings, the SPARC Conference, and other trainings.</w:t>
          </w:r>
        </w:p>
        <w:p w14:paraId="5DA444A0" w14:textId="77777777" w:rsidR="00E45AFA" w:rsidRPr="00B82F89" w:rsidRDefault="00E45AFA" w:rsidP="00281C1E">
          <w:pPr>
            <w:pStyle w:val="Heading2"/>
            <w:spacing w:after="0"/>
            <w:rPr>
              <w:sz w:val="28"/>
              <w:lang w:bidi="ar-SA"/>
            </w:rPr>
          </w:pPr>
          <w:r w:rsidRPr="00B82F89">
            <w:rPr>
              <w:sz w:val="28"/>
              <w:lang w:bidi="ar-SA"/>
            </w:rPr>
            <w:t>Section 3: Integration with One-stop Partners</w:t>
          </w:r>
        </w:p>
        <w:p w14:paraId="01E995C1" w14:textId="77777777" w:rsidR="00E45AFA" w:rsidRPr="00403EA9" w:rsidRDefault="009401F5" w:rsidP="00281C1E">
          <w:pPr>
            <w:pStyle w:val="Heading3"/>
            <w:spacing w:before="120" w:after="0"/>
            <w:rPr>
              <w:b w:val="0"/>
              <w:i/>
              <w:sz w:val="22"/>
              <w:lang w:bidi="ar-SA"/>
            </w:rPr>
          </w:pPr>
          <w:r w:rsidRPr="00403EA9">
            <w:rPr>
              <w:b w:val="0"/>
              <w:i/>
              <w:sz w:val="22"/>
              <w:lang w:bidi="ar-SA"/>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14:paraId="33B4AB5C" w14:textId="22ED43B8" w:rsidR="004A5F63" w:rsidRDefault="004A5F63" w:rsidP="004A5F63">
          <w:pPr>
            <w:rPr>
              <w:lang w:bidi="ar-SA"/>
            </w:rPr>
          </w:pPr>
          <w:r>
            <w:rPr>
              <w:lang w:bidi="ar-SA"/>
            </w:rPr>
            <w:t xml:space="preserve">The Minnesota Department of Education </w:t>
          </w:r>
          <w:r w:rsidR="00BC686F">
            <w:rPr>
              <w:lang w:bidi="ar-SA"/>
            </w:rPr>
            <w:t>Adult Education Leadership Team</w:t>
          </w:r>
          <w:r>
            <w:rPr>
              <w:lang w:bidi="ar-SA"/>
            </w:rPr>
            <w:t xml:space="preserve"> delegates its one-stop responsibilities to 39 consortia of eligible providers. There are 330 sites across the state that are funded to provide access to adult education and literacy programs and services. Access to career services takes different forms across the state. Several </w:t>
          </w:r>
          <w:r w:rsidR="007C0F69">
            <w:rPr>
              <w:lang w:bidi="ar-SA"/>
            </w:rPr>
            <w:t xml:space="preserve">adult education </w:t>
          </w:r>
          <w:r>
            <w:rPr>
              <w:lang w:bidi="ar-SA"/>
            </w:rPr>
            <w:t>consortia have at least one eligible provider who has placed an individual at a CareerForce Center</w:t>
          </w:r>
          <w:r w:rsidR="00B43824">
            <w:rPr>
              <w:lang w:bidi="ar-SA"/>
            </w:rPr>
            <w:t>,</w:t>
          </w:r>
          <w:r>
            <w:rPr>
              <w:lang w:bidi="ar-SA"/>
            </w:rPr>
            <w:t xml:space="preserve"> whereas other </w:t>
          </w:r>
          <w:r w:rsidR="00B43824">
            <w:rPr>
              <w:lang w:bidi="ar-SA"/>
            </w:rPr>
            <w:t>consortia</w:t>
          </w:r>
          <w:r>
            <w:rPr>
              <w:lang w:bidi="ar-SA"/>
            </w:rPr>
            <w:t xml:space="preserve"> choose to train partner staff who are </w:t>
          </w:r>
          <w:r w:rsidR="0009408D">
            <w:rPr>
              <w:lang w:bidi="ar-SA"/>
            </w:rPr>
            <w:t xml:space="preserve">on site </w:t>
          </w:r>
          <w:r>
            <w:rPr>
              <w:lang w:bidi="ar-SA"/>
            </w:rPr>
            <w:t>at the CareerForce Center</w:t>
          </w:r>
          <w:r w:rsidR="00BC1E9C">
            <w:rPr>
              <w:lang w:bidi="ar-SA"/>
            </w:rPr>
            <w:t xml:space="preserve">. </w:t>
          </w:r>
          <w:r>
            <w:rPr>
              <w:lang w:bidi="ar-SA"/>
            </w:rPr>
            <w:t xml:space="preserve">A few centers </w:t>
          </w:r>
          <w:r w:rsidR="000B115A">
            <w:rPr>
              <w:lang w:bidi="ar-SA"/>
            </w:rPr>
            <w:t xml:space="preserve">use </w:t>
          </w:r>
          <w:r>
            <w:rPr>
              <w:lang w:bidi="ar-SA"/>
            </w:rPr>
            <w:t>technology to</w:t>
          </w:r>
          <w:r w:rsidR="000B115A">
            <w:rPr>
              <w:lang w:bidi="ar-SA"/>
            </w:rPr>
            <w:t xml:space="preserve"> provide a direct link to</w:t>
          </w:r>
          <w:r>
            <w:rPr>
              <w:lang w:bidi="ar-SA"/>
            </w:rPr>
            <w:t xml:space="preserve"> program staff who can provide services</w:t>
          </w:r>
          <w:r w:rsidR="007C0F69">
            <w:rPr>
              <w:lang w:bidi="ar-SA"/>
            </w:rPr>
            <w:t>.</w:t>
          </w:r>
          <w:r>
            <w:rPr>
              <w:lang w:bidi="ar-SA"/>
            </w:rPr>
            <w:t xml:space="preserve"> The state received a Workforce Innovation Fund federal grant to create a new website</w:t>
          </w:r>
          <w:r w:rsidR="000B115A">
            <w:rPr>
              <w:lang w:bidi="ar-SA"/>
            </w:rPr>
            <w:t xml:space="preserve"> </w:t>
          </w:r>
          <w:r w:rsidR="000B115A">
            <w:rPr>
              <w:lang w:bidi="ar-SA"/>
            </w:rPr>
            <w:lastRenderedPageBreak/>
            <w:t>(</w:t>
          </w:r>
          <w:hyperlink r:id="rId18" w:history="1">
            <w:r w:rsidR="000B115A" w:rsidRPr="00230733">
              <w:rPr>
                <w:rStyle w:val="Hyperlink"/>
              </w:rPr>
              <w:t>https://www.careerforcemn.com</w:t>
            </w:r>
          </w:hyperlink>
          <w:r w:rsidR="000B115A">
            <w:rPr>
              <w:lang w:bidi="ar-SA"/>
            </w:rPr>
            <w:t>)</w:t>
          </w:r>
          <w:r>
            <w:rPr>
              <w:lang w:bidi="ar-SA"/>
            </w:rPr>
            <w:t>. One of the features of the website was to build in an electronic referral system. The website has the capability</w:t>
          </w:r>
          <w:r w:rsidR="005A4E4E">
            <w:rPr>
              <w:lang w:bidi="ar-SA"/>
            </w:rPr>
            <w:t xml:space="preserve">; </w:t>
          </w:r>
          <w:r>
            <w:rPr>
              <w:lang w:bidi="ar-SA"/>
            </w:rPr>
            <w:t xml:space="preserve">however, there have been issues with </w:t>
          </w:r>
          <w:r w:rsidR="000B115A">
            <w:rPr>
              <w:lang w:bidi="ar-SA"/>
            </w:rPr>
            <w:t xml:space="preserve">getting </w:t>
          </w:r>
          <w:r>
            <w:rPr>
              <w:lang w:bidi="ar-SA"/>
            </w:rPr>
            <w:t>all partners</w:t>
          </w:r>
          <w:r w:rsidR="000B115A">
            <w:rPr>
              <w:lang w:bidi="ar-SA"/>
            </w:rPr>
            <w:t xml:space="preserve"> to</w:t>
          </w:r>
          <w:r>
            <w:rPr>
              <w:lang w:bidi="ar-SA"/>
            </w:rPr>
            <w:t xml:space="preserve"> use the system</w:t>
          </w:r>
          <w:r w:rsidR="005A4E4E">
            <w:rPr>
              <w:lang w:bidi="ar-SA"/>
            </w:rPr>
            <w:t>,</w:t>
          </w:r>
          <w:r>
            <w:rPr>
              <w:lang w:bidi="ar-SA"/>
            </w:rPr>
            <w:t xml:space="preserve"> which </w:t>
          </w:r>
          <w:r w:rsidR="00B43824">
            <w:rPr>
              <w:lang w:bidi="ar-SA"/>
            </w:rPr>
            <w:t xml:space="preserve">therefore </w:t>
          </w:r>
          <w:r>
            <w:rPr>
              <w:lang w:bidi="ar-SA"/>
            </w:rPr>
            <w:t>isn’t providing the best service to the client.</w:t>
          </w:r>
        </w:p>
        <w:p w14:paraId="351EB287" w14:textId="39317C90" w:rsidR="004A5F63" w:rsidRDefault="004A5F63" w:rsidP="004A5F63">
          <w:pPr>
            <w:rPr>
              <w:lang w:bidi="ar-SA"/>
            </w:rPr>
          </w:pPr>
          <w:r>
            <w:rPr>
              <w:lang w:bidi="ar-SA"/>
            </w:rPr>
            <w:t xml:space="preserve">With the exception of the Department of Corrections, all </w:t>
          </w:r>
          <w:r w:rsidR="00187983">
            <w:rPr>
              <w:lang w:bidi="ar-SA"/>
            </w:rPr>
            <w:t xml:space="preserve">adult education </w:t>
          </w:r>
          <w:r>
            <w:rPr>
              <w:lang w:bidi="ar-SA"/>
            </w:rPr>
            <w:t xml:space="preserve">providers offer outreach. All providers offer intake, orientation, and can provide the career service </w:t>
          </w:r>
          <w:r w:rsidR="00187983">
            <w:rPr>
              <w:lang w:bidi="ar-SA"/>
            </w:rPr>
            <w:t xml:space="preserve">function </w:t>
          </w:r>
          <w:r>
            <w:rPr>
              <w:lang w:bidi="ar-SA"/>
            </w:rPr>
            <w:t xml:space="preserve">of initial assessment of skill levels </w:t>
          </w:r>
          <w:r w:rsidR="00187983">
            <w:rPr>
              <w:lang w:bidi="ar-SA"/>
            </w:rPr>
            <w:t xml:space="preserve">in areas </w:t>
          </w:r>
          <w:r>
            <w:rPr>
              <w:lang w:bidi="ar-SA"/>
            </w:rPr>
            <w:t xml:space="preserve">including literacy, numeracy, and English language proficiency. All </w:t>
          </w:r>
          <w:r w:rsidR="00187983">
            <w:rPr>
              <w:lang w:bidi="ar-SA"/>
            </w:rPr>
            <w:t xml:space="preserve">adult education </w:t>
          </w:r>
          <w:r>
            <w:rPr>
              <w:lang w:bidi="ar-SA"/>
            </w:rPr>
            <w:t xml:space="preserve">consortia have had training on workforce preparation and how to build those skills into every class. In addition, </w:t>
          </w:r>
          <w:proofErr w:type="spellStart"/>
          <w:r>
            <w:rPr>
              <w:lang w:bidi="ar-SA"/>
            </w:rPr>
            <w:t>Northstar</w:t>
          </w:r>
          <w:proofErr w:type="spellEnd"/>
          <w:r>
            <w:rPr>
              <w:lang w:bidi="ar-SA"/>
            </w:rPr>
            <w:t xml:space="preserve"> Digital Literacy modules are taught at some CareerForce Centers. The promotion of </w:t>
          </w:r>
          <w:hyperlink r:id="rId19" w:history="1">
            <w:r w:rsidRPr="00B43824">
              <w:rPr>
                <w:rStyle w:val="Hyperlink"/>
                <w:lang w:bidi="ar-SA"/>
              </w:rPr>
              <w:t>Bridge to Benefits</w:t>
            </w:r>
          </w:hyperlink>
          <w:r>
            <w:rPr>
              <w:lang w:bidi="ar-SA"/>
            </w:rPr>
            <w:t xml:space="preserve"> by </w:t>
          </w:r>
          <w:r w:rsidR="00187983">
            <w:rPr>
              <w:lang w:bidi="ar-SA"/>
            </w:rPr>
            <w:t xml:space="preserve">adult education </w:t>
          </w:r>
          <w:r>
            <w:rPr>
              <w:lang w:bidi="ar-SA"/>
            </w:rPr>
            <w:t>programs connects learners to supportive services.</w:t>
          </w:r>
        </w:p>
        <w:p w14:paraId="75B3B12B" w14:textId="68D44741" w:rsidR="004A5F63" w:rsidRDefault="004A5F63" w:rsidP="004A5F63">
          <w:pPr>
            <w:rPr>
              <w:lang w:bidi="ar-SA"/>
            </w:rPr>
          </w:pPr>
          <w:r>
            <w:rPr>
              <w:lang w:bidi="ar-SA"/>
            </w:rPr>
            <w:t>Minnesota is a locally driven state and as such each one</w:t>
          </w:r>
          <w:r w:rsidR="005B0053">
            <w:rPr>
              <w:lang w:bidi="ar-SA"/>
            </w:rPr>
            <w:t>-</w:t>
          </w:r>
          <w:r>
            <w:rPr>
              <w:lang w:bidi="ar-SA"/>
            </w:rPr>
            <w:t xml:space="preserve">stop operator negotiates infrastructure costs between CareerForce partners. Some </w:t>
          </w:r>
          <w:r w:rsidR="005B0053">
            <w:rPr>
              <w:lang w:bidi="ar-SA"/>
            </w:rPr>
            <w:t>adult educat</w:t>
          </w:r>
          <w:r w:rsidR="007953AA">
            <w:rPr>
              <w:lang w:bidi="ar-SA"/>
            </w:rPr>
            <w:t>i</w:t>
          </w:r>
          <w:r w:rsidR="005B0053">
            <w:rPr>
              <w:lang w:bidi="ar-SA"/>
            </w:rPr>
            <w:t xml:space="preserve">on </w:t>
          </w:r>
          <w:r>
            <w:rPr>
              <w:lang w:bidi="ar-SA"/>
            </w:rPr>
            <w:t xml:space="preserve">programs rent space at a CareerForce Center </w:t>
          </w:r>
          <w:r w:rsidR="00AE6448">
            <w:rPr>
              <w:lang w:bidi="ar-SA"/>
            </w:rPr>
            <w:t>as</w:t>
          </w:r>
          <w:r>
            <w:rPr>
              <w:lang w:bidi="ar-SA"/>
            </w:rPr>
            <w:t xml:space="preserve"> their contribution, others provide additional trainings and services as their contribution, and still others cover all assessment costs as their contribution. Infrastructure costs have been an area of confusion in Minnesota. During 2020</w:t>
          </w:r>
          <w:r w:rsidR="005B0053">
            <w:rPr>
              <w:lang w:bidi="ar-SA"/>
            </w:rPr>
            <w:t>,</w:t>
          </w:r>
          <w:r>
            <w:rPr>
              <w:lang w:bidi="ar-SA"/>
            </w:rPr>
            <w:t xml:space="preserve"> there were three meetings with staff from the Department of Employment and Economic Development (DEED) where WIOA Titles I, </w:t>
          </w:r>
          <w:proofErr w:type="spellStart"/>
          <w:r>
            <w:rPr>
              <w:lang w:bidi="ar-SA"/>
            </w:rPr>
            <w:t>lll</w:t>
          </w:r>
          <w:proofErr w:type="spellEnd"/>
          <w:r>
            <w:rPr>
              <w:lang w:bidi="ar-SA"/>
            </w:rPr>
            <w:t xml:space="preserve">, and IV are operated. DEED sought guidance from their regional Department of Labor office regarding some of the questions partners were asking. This caused a delay in infrastructure agreements. </w:t>
          </w:r>
        </w:p>
        <w:p w14:paraId="09A0AD72" w14:textId="0FA86B47" w:rsidR="004A5F63" w:rsidRDefault="000B115A" w:rsidP="004A5F63">
          <w:pPr>
            <w:rPr>
              <w:lang w:bidi="ar-SA"/>
            </w:rPr>
          </w:pPr>
          <w:r>
            <w:rPr>
              <w:lang w:bidi="ar-SA"/>
            </w:rPr>
            <w:t>Memoranda of Understanding (</w:t>
          </w:r>
          <w:r w:rsidR="004A5F63">
            <w:rPr>
              <w:lang w:bidi="ar-SA"/>
            </w:rPr>
            <w:t>MOUs</w:t>
          </w:r>
          <w:r>
            <w:rPr>
              <w:lang w:bidi="ar-SA"/>
            </w:rPr>
            <w:t>)</w:t>
          </w:r>
          <w:r w:rsidR="004A5F63">
            <w:rPr>
              <w:lang w:bidi="ar-SA"/>
            </w:rPr>
            <w:t xml:space="preserve"> were signed by July 1, 2020</w:t>
          </w:r>
          <w:r w:rsidR="005B0053">
            <w:rPr>
              <w:lang w:bidi="ar-SA"/>
            </w:rPr>
            <w:t>,</w:t>
          </w:r>
          <w:r w:rsidR="004A5F63">
            <w:rPr>
              <w:lang w:bidi="ar-SA"/>
            </w:rPr>
            <w:t xml:space="preserve"> for the 16 local </w:t>
          </w:r>
          <w:hyperlink r:id="rId20" w:history="1">
            <w:r w:rsidR="004A5F63" w:rsidRPr="00642974">
              <w:rPr>
                <w:rStyle w:val="Hyperlink"/>
                <w:lang w:bidi="ar-SA"/>
              </w:rPr>
              <w:t>workforce development areas</w:t>
            </w:r>
          </w:hyperlink>
          <w:r w:rsidR="004A5F63">
            <w:rPr>
              <w:lang w:bidi="ar-SA"/>
            </w:rPr>
            <w:t xml:space="preserve">. As in the past, complaints were received </w:t>
          </w:r>
          <w:r w:rsidR="00A034CE">
            <w:rPr>
              <w:lang w:bidi="ar-SA"/>
            </w:rPr>
            <w:t>by the Adult Education Leadership Team</w:t>
          </w:r>
          <w:r w:rsidR="004A5F63">
            <w:rPr>
              <w:lang w:bidi="ar-SA"/>
            </w:rPr>
            <w:t xml:space="preserve"> from local </w:t>
          </w:r>
          <w:r w:rsidR="00F071D8">
            <w:rPr>
              <w:lang w:bidi="ar-SA"/>
            </w:rPr>
            <w:t xml:space="preserve">adult education </w:t>
          </w:r>
          <w:r w:rsidR="004A5F63">
            <w:rPr>
              <w:lang w:bidi="ar-SA"/>
            </w:rPr>
            <w:t xml:space="preserve">partners. The complaint is usually around the lack of involvement of </w:t>
          </w:r>
          <w:r w:rsidR="00A034CE">
            <w:rPr>
              <w:lang w:bidi="ar-SA"/>
            </w:rPr>
            <w:t xml:space="preserve">adult education </w:t>
          </w:r>
          <w:r w:rsidR="004A5F63">
            <w:rPr>
              <w:lang w:bidi="ar-SA"/>
            </w:rPr>
            <w:t xml:space="preserve">partners in developing the MOU. Developing the MOU is a task that is often assigned to a CareerForce staff member who sends out the document for signatures. </w:t>
          </w:r>
          <w:r w:rsidR="00A034CE">
            <w:rPr>
              <w:lang w:bidi="ar-SA"/>
            </w:rPr>
            <w:t xml:space="preserve">Adult education </w:t>
          </w:r>
          <w:r w:rsidR="004A5F63">
            <w:rPr>
              <w:lang w:bidi="ar-SA"/>
            </w:rPr>
            <w:t>providers would rather build the MOU together with all partners so that all partners understand the roles and what each entity can contribute.</w:t>
          </w:r>
        </w:p>
        <w:p w14:paraId="7922C89A" w14:textId="1CE0DE29" w:rsidR="009401F5" w:rsidRPr="009401F5" w:rsidRDefault="004A5F63" w:rsidP="004A5F63">
          <w:pPr>
            <w:rPr>
              <w:lang w:bidi="ar-SA"/>
            </w:rPr>
          </w:pPr>
          <w:r>
            <w:rPr>
              <w:lang w:bidi="ar-SA"/>
            </w:rPr>
            <w:t xml:space="preserve">Each local board has an </w:t>
          </w:r>
          <w:r w:rsidR="00A034CE">
            <w:rPr>
              <w:lang w:bidi="ar-SA"/>
            </w:rPr>
            <w:t xml:space="preserve">adult education </w:t>
          </w:r>
          <w:r>
            <w:rPr>
              <w:lang w:bidi="ar-SA"/>
            </w:rPr>
            <w:t xml:space="preserve">representative. This representative represents all the eligible </w:t>
          </w:r>
          <w:r w:rsidR="00642974">
            <w:rPr>
              <w:lang w:bidi="ar-SA"/>
            </w:rPr>
            <w:t xml:space="preserve">adult education </w:t>
          </w:r>
          <w:r>
            <w:rPr>
              <w:lang w:bidi="ar-SA"/>
            </w:rPr>
            <w:t xml:space="preserve">providers within the workforce development area. There are also </w:t>
          </w:r>
          <w:r w:rsidR="00A034CE">
            <w:rPr>
              <w:lang w:bidi="ar-SA"/>
            </w:rPr>
            <w:t xml:space="preserve">adult education </w:t>
          </w:r>
          <w:r>
            <w:rPr>
              <w:lang w:bidi="ar-SA"/>
            </w:rPr>
            <w:t xml:space="preserve">representatives on committees of some workforce development boards. For instance, there are </w:t>
          </w:r>
          <w:r w:rsidR="00A034CE">
            <w:rPr>
              <w:lang w:bidi="ar-SA"/>
            </w:rPr>
            <w:t xml:space="preserve">adult education </w:t>
          </w:r>
          <w:r>
            <w:rPr>
              <w:lang w:bidi="ar-SA"/>
            </w:rPr>
            <w:t xml:space="preserve">representatives on </w:t>
          </w:r>
          <w:r w:rsidR="00A034CE">
            <w:rPr>
              <w:lang w:bidi="ar-SA"/>
            </w:rPr>
            <w:t xml:space="preserve">the </w:t>
          </w:r>
          <w:r>
            <w:rPr>
              <w:lang w:bidi="ar-SA"/>
            </w:rPr>
            <w:t>Career Pathways and youth committees.</w:t>
          </w:r>
        </w:p>
        <w:p w14:paraId="4676C4B1" w14:textId="77777777" w:rsidR="00E45AFA" w:rsidRPr="00B82F89" w:rsidRDefault="00E45AFA" w:rsidP="00281C1E">
          <w:pPr>
            <w:pStyle w:val="Heading2"/>
            <w:spacing w:after="120"/>
            <w:rPr>
              <w:sz w:val="28"/>
              <w:lang w:bidi="ar-SA"/>
            </w:rPr>
          </w:pPr>
          <w:r w:rsidRPr="00B82F89">
            <w:rPr>
              <w:sz w:val="28"/>
              <w:lang w:bidi="ar-SA"/>
            </w:rPr>
            <w:t>Section 4: Integrated English Literacy and Civics Education (IELCE) Program (AEFLA Section 243)</w:t>
          </w:r>
        </w:p>
        <w:p w14:paraId="556497BC" w14:textId="77777777" w:rsidR="009B6259" w:rsidRPr="00403EA9" w:rsidRDefault="009B6259" w:rsidP="00281C1E">
          <w:pPr>
            <w:pStyle w:val="Heading3"/>
            <w:spacing w:before="120" w:after="0"/>
            <w:rPr>
              <w:b w:val="0"/>
              <w:i/>
              <w:sz w:val="22"/>
              <w:lang w:bidi="ar-SA"/>
            </w:rPr>
          </w:pPr>
          <w:r w:rsidRPr="00403EA9">
            <w:rPr>
              <w:b w:val="0"/>
              <w:i/>
              <w:sz w:val="22"/>
              <w:lang w:bidi="ar-SA"/>
            </w:rPr>
            <w:t>Describe how the state is using funds under Section 243 to support the following activities under the IELCE program:</w:t>
          </w:r>
        </w:p>
        <w:p w14:paraId="0F1DF48C" w14:textId="77777777" w:rsidR="009401F5" w:rsidRPr="00403EA9" w:rsidRDefault="009401F5" w:rsidP="00B82F89">
          <w:pPr>
            <w:pStyle w:val="Heading4"/>
            <w:numPr>
              <w:ilvl w:val="0"/>
              <w:numId w:val="31"/>
            </w:numPr>
            <w:spacing w:before="0" w:after="0"/>
            <w:rPr>
              <w:b w:val="0"/>
              <w:i/>
              <w:sz w:val="22"/>
            </w:rPr>
          </w:pPr>
          <w:r w:rsidRPr="00403EA9">
            <w:rPr>
              <w:b w:val="0"/>
              <w:i/>
              <w:sz w:val="22"/>
            </w:rPr>
            <w:t>Describe when your State held a competition [the latest competition] for IELCE program funds and the number of grants awarded by your State to support IELCE programs.</w:t>
          </w:r>
        </w:p>
        <w:p w14:paraId="0B3B4BE5" w14:textId="77777777" w:rsidR="009401F5" w:rsidRPr="00403EA9" w:rsidRDefault="009401F5" w:rsidP="00B82F89">
          <w:pPr>
            <w:pStyle w:val="Heading4"/>
            <w:numPr>
              <w:ilvl w:val="0"/>
              <w:numId w:val="31"/>
            </w:numPr>
            <w:spacing w:before="0" w:after="0"/>
            <w:rPr>
              <w:b w:val="0"/>
              <w:i/>
              <w:sz w:val="22"/>
            </w:rPr>
          </w:pPr>
          <w:r w:rsidRPr="00403EA9">
            <w:rPr>
              <w:b w:val="0"/>
              <w:i/>
              <w:sz w:val="22"/>
            </w:rPr>
            <w:t>Describe your State efforts in meeting the requirement to provide IELCE services in combination with integrated education and training activities;</w:t>
          </w:r>
        </w:p>
        <w:p w14:paraId="7CDB4A08" w14:textId="77777777" w:rsidR="009401F5" w:rsidRPr="00403EA9" w:rsidRDefault="009401F5" w:rsidP="00B82F89">
          <w:pPr>
            <w:pStyle w:val="Heading4"/>
            <w:numPr>
              <w:ilvl w:val="0"/>
              <w:numId w:val="31"/>
            </w:numPr>
            <w:spacing w:before="0" w:after="0"/>
            <w:rPr>
              <w:b w:val="0"/>
              <w:i/>
              <w:sz w:val="22"/>
            </w:rPr>
          </w:pPr>
          <w:r w:rsidRPr="00403EA9">
            <w:rPr>
              <w:b w:val="0"/>
              <w:i/>
              <w:sz w:val="22"/>
            </w:rPr>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and</w:t>
          </w:r>
        </w:p>
        <w:p w14:paraId="03B41DCE" w14:textId="77777777" w:rsidR="00E45AFA" w:rsidRPr="00403EA9" w:rsidRDefault="009401F5" w:rsidP="00B82F89">
          <w:pPr>
            <w:pStyle w:val="Heading4"/>
            <w:numPr>
              <w:ilvl w:val="0"/>
              <w:numId w:val="31"/>
            </w:numPr>
            <w:spacing w:before="0" w:after="0"/>
            <w:rPr>
              <w:b w:val="0"/>
              <w:i/>
              <w:sz w:val="22"/>
            </w:rPr>
          </w:pPr>
          <w:r w:rsidRPr="00403EA9">
            <w:rPr>
              <w:b w:val="0"/>
              <w:i/>
              <w:sz w:val="22"/>
            </w:rPr>
            <w:t xml:space="preserve">Describe how the State is progressing towards program goals of ensuring that IELCE program activities are integrated with the local workforce development system and its functions as described in section 243(c)(2) </w:t>
          </w:r>
          <w:r w:rsidRPr="00403EA9">
            <w:rPr>
              <w:b w:val="0"/>
              <w:i/>
              <w:sz w:val="22"/>
            </w:rPr>
            <w:lastRenderedPageBreak/>
            <w:t>and discuss any performance results, challenges, and lessons learned from implementing those program goals.</w:t>
          </w:r>
        </w:p>
        <w:p w14:paraId="519827ED" w14:textId="479810F0" w:rsidR="004A5F63" w:rsidRPr="00D55F48" w:rsidRDefault="004A5F63" w:rsidP="004A5F63">
          <w:pPr>
            <w:rPr>
              <w:i/>
              <w:iCs/>
            </w:rPr>
          </w:pPr>
          <w:r>
            <w:t>The</w:t>
          </w:r>
          <w:r w:rsidR="00D55F48">
            <w:t xml:space="preserve"> IELCE</w:t>
          </w:r>
          <w:r>
            <w:t xml:space="preserve"> grants are </w:t>
          </w:r>
          <w:r w:rsidR="009E2EAA">
            <w:t>on a different grant cycle tha</w:t>
          </w:r>
          <w:r w:rsidR="00D55F48">
            <w:t xml:space="preserve">n the AEFLA grants. </w:t>
          </w:r>
          <w:r w:rsidR="00D55F48" w:rsidRPr="00D55F48">
            <w:rPr>
              <w:iCs/>
            </w:rPr>
            <w:t xml:space="preserve">The IELCE grant competition is open every three years in Minnesota. The last competition was in 2019. </w:t>
          </w:r>
          <w:r w:rsidRPr="00D55F48">
            <w:t>Twelve grantees were awarded grants the first year.</w:t>
          </w:r>
          <w:r>
            <w:t xml:space="preserve"> Due to COVID</w:t>
          </w:r>
          <w:r w:rsidR="008472FF">
            <w:t>,</w:t>
          </w:r>
          <w:r>
            <w:t xml:space="preserve"> there was some underspending, so two more grantees were added</w:t>
          </w:r>
          <w:r w:rsidR="00944217">
            <w:t xml:space="preserve"> in 2021</w:t>
          </w:r>
          <w:r>
            <w:t xml:space="preserve"> for a total of 14 grantees. </w:t>
          </w:r>
        </w:p>
        <w:p w14:paraId="55408D22" w14:textId="2FCEA4C6" w:rsidR="004A5F63" w:rsidRDefault="004A5F63" w:rsidP="004A5F63">
          <w:r>
            <w:t xml:space="preserve">Minnesota has had a difficult time in meeting the requirements to provide IELCE services in combination with integrated education and training (IET) activities. Traditionally, these funds </w:t>
          </w:r>
          <w:r w:rsidR="008472FF">
            <w:t xml:space="preserve">have gone </w:t>
          </w:r>
          <w:r>
            <w:t xml:space="preserve">to serve English Language Acquisition (ELA) in combination with civics and citizenship. Minnesota does a tremendous job at offering these services together. However, by adding </w:t>
          </w:r>
          <w:r w:rsidR="008472FF">
            <w:t>IET</w:t>
          </w:r>
          <w:r>
            <w:t xml:space="preserve"> it has been more difficult to meet the requirements. Although federal regulation does not mandate that those participating in the ELA/Civics portion of the grant must participate in the IET portion of the grant, the assumption is that is how the model should be designed. Most trainings require a </w:t>
          </w:r>
          <w:r w:rsidR="00E11623">
            <w:t>stronger</w:t>
          </w:r>
          <w:r>
            <w:t xml:space="preserve"> understanding of the English language to successfully complete the</w:t>
          </w:r>
          <w:r w:rsidR="00642974">
            <w:t xml:space="preserve"> IET</w:t>
          </w:r>
          <w:r>
            <w:t xml:space="preserve"> training. We have grantees who will offer an ELA/Civics class and then offer an IET separate</w:t>
          </w:r>
          <w:r w:rsidR="00E11623">
            <w:t>ly</w:t>
          </w:r>
          <w:r>
            <w:t xml:space="preserve"> from the ELA/Civics to meet the requirements. COVID definitely had an impact on the training portion of the IET. Many students did not have the technology or know</w:t>
          </w:r>
          <w:r w:rsidR="00E11623">
            <w:t>-</w:t>
          </w:r>
          <w:r>
            <w:t xml:space="preserve">how to set it up in order to participate. </w:t>
          </w:r>
          <w:r w:rsidR="008472FF">
            <w:t xml:space="preserve">Additionally, </w:t>
          </w:r>
          <w:r>
            <w:t>many of the trainings could not be offered online</w:t>
          </w:r>
          <w:r w:rsidR="008472FF">
            <w:t>,</w:t>
          </w:r>
          <w:r>
            <w:t xml:space="preserve"> although work is being done </w:t>
          </w:r>
          <w:r w:rsidR="00642974">
            <w:t>to make this possible</w:t>
          </w:r>
          <w:r>
            <w:t>.</w:t>
          </w:r>
        </w:p>
        <w:p w14:paraId="259414C0" w14:textId="444479B3" w:rsidR="00D55F48" w:rsidRPr="00D55F48" w:rsidRDefault="00D55F48" w:rsidP="004A5F63">
          <w:pPr>
            <w:rPr>
              <w:iCs/>
            </w:rPr>
          </w:pPr>
          <w:r w:rsidRPr="00D55F48">
            <w:rPr>
              <w:iCs/>
            </w:rPr>
            <w:t>Minnesota has several IELCE grantees who have done incredible work in building pathways for adults that prepare and place the participants in unsubsidized employment in in-demand occupations that lead to economic self-sufficiency. These programs have been highlighted and shared with the ABE field in Minnesota. COVID did cause some disruption in placing people in employment and offering training that could be done virtually. This impacted many of the smaller programs. Overall, Minnesota is seeing progress in this area.</w:t>
          </w:r>
        </w:p>
        <w:p w14:paraId="020629BF" w14:textId="41715FA4" w:rsidR="004A5F63" w:rsidRDefault="004A5F63" w:rsidP="004A5F63">
          <w:pPr>
            <w:rPr>
              <w:lang w:bidi="ar-SA"/>
            </w:rPr>
          </w:pPr>
          <w:r>
            <w:t xml:space="preserve">All IELCE applications are reviewed by their Local Workforce Development Board and the feedback from the board is taken into consideration. Applicants are expected to align the training to a </w:t>
          </w:r>
          <w:r w:rsidR="00642974">
            <w:t>career or industry</w:t>
          </w:r>
          <w:r>
            <w:t xml:space="preserve"> that is in-demand in their local area. In addition, we ask that providers work with their local one-stop partners to help place and support participants.</w:t>
          </w:r>
        </w:p>
        <w:p w14:paraId="759DA70B" w14:textId="77777777" w:rsidR="009401F5" w:rsidRPr="00B82F89" w:rsidRDefault="009401F5" w:rsidP="00281C1E">
          <w:pPr>
            <w:pStyle w:val="Heading2"/>
            <w:spacing w:after="120"/>
            <w:rPr>
              <w:sz w:val="28"/>
              <w:lang w:bidi="ar-SA"/>
            </w:rPr>
          </w:pPr>
          <w:r w:rsidRPr="00B82F89">
            <w:rPr>
              <w:sz w:val="28"/>
              <w:lang w:bidi="ar-SA"/>
            </w:rPr>
            <w:t>Section 5: Adult Education Standards</w:t>
          </w:r>
        </w:p>
        <w:p w14:paraId="3C1E468F" w14:textId="77777777" w:rsidR="009401F5" w:rsidRPr="00403EA9" w:rsidRDefault="009401F5" w:rsidP="00281C1E">
          <w:pPr>
            <w:pStyle w:val="Heading3"/>
            <w:spacing w:before="120" w:after="0"/>
            <w:rPr>
              <w:b w:val="0"/>
              <w:i/>
              <w:sz w:val="22"/>
              <w:lang w:bidi="ar-SA"/>
            </w:rPr>
          </w:pPr>
          <w:r w:rsidRPr="00403EA9">
            <w:rPr>
              <w:b w:val="0"/>
              <w:i/>
              <w:sz w:val="22"/>
              <w:lang w:bidi="ar-SA"/>
            </w:rPr>
            <w:t>If your State has adopted new challenging K-12 standards under title I of the Elementary and Secondary Education Act of 1965, as amended, describe how your Adult Education content standards are aligned with those K-12 standards.</w:t>
          </w:r>
        </w:p>
        <w:p w14:paraId="7085B5A3" w14:textId="77777777" w:rsidR="001B143F" w:rsidRPr="00403EA9" w:rsidRDefault="00887534" w:rsidP="00B82F89">
          <w:pPr>
            <w:pStyle w:val="Heading4"/>
            <w:numPr>
              <w:ilvl w:val="0"/>
              <w:numId w:val="31"/>
            </w:numPr>
            <w:spacing w:before="0" w:after="0"/>
            <w:rPr>
              <w:b w:val="0"/>
              <w:i/>
              <w:sz w:val="22"/>
            </w:rPr>
          </w:pPr>
          <w:r w:rsidRPr="00403EA9">
            <w:rPr>
              <w:b w:val="0"/>
              <w:i/>
              <w:sz w:val="22"/>
            </w:rPr>
            <w:t>Optional – Describe implementation efforts, challenges, and any lessons learned.</w:t>
          </w:r>
        </w:p>
        <w:p w14:paraId="54961850" w14:textId="45ED8EBE" w:rsidR="00887534" w:rsidRPr="00D64713" w:rsidRDefault="00887534" w:rsidP="00887534">
          <w:pPr>
            <w:rPr>
              <w:rFonts w:asciiTheme="minorHAnsi" w:hAnsiTheme="minorHAnsi" w:cs="Arial"/>
            </w:rPr>
          </w:pPr>
          <w:r w:rsidRPr="00D64713">
            <w:rPr>
              <w:rFonts w:asciiTheme="minorHAnsi" w:hAnsiTheme="minorHAnsi" w:cs="Arial"/>
            </w:rPr>
            <w:t>Minnesota has adopted three sets of content standards for Adult Education: 1) the College and Career Readiness Standards for Adult Education (CCRS) for English Language Arts/Literacy and Mathematics; 2) the M</w:t>
          </w:r>
          <w:r w:rsidR="00F071D8">
            <w:rPr>
              <w:rFonts w:asciiTheme="minorHAnsi" w:hAnsiTheme="minorHAnsi" w:cs="Arial"/>
            </w:rPr>
            <w:t xml:space="preserve">innesota </w:t>
          </w:r>
          <w:r w:rsidRPr="00D64713">
            <w:rPr>
              <w:rFonts w:asciiTheme="minorHAnsi" w:hAnsiTheme="minorHAnsi" w:cs="Arial"/>
            </w:rPr>
            <w:t>ACES Transitions Integration Framework (TIF) (available at</w:t>
          </w:r>
          <w:r>
            <w:rPr>
              <w:rFonts w:asciiTheme="minorHAnsi" w:hAnsiTheme="minorHAnsi" w:cs="Arial"/>
            </w:rPr>
            <w:t xml:space="preserve"> </w:t>
          </w:r>
          <w:hyperlink r:id="rId21" w:history="1">
            <w:r w:rsidRPr="00012EE6">
              <w:rPr>
                <w:rStyle w:val="Hyperlink"/>
                <w:rFonts w:asciiTheme="minorHAnsi" w:hAnsiTheme="minorHAnsi" w:cs="Arial"/>
              </w:rPr>
              <w:t>https://atlasabe.org/key-activities/aces/</w:t>
            </w:r>
          </w:hyperlink>
          <w:r>
            <w:rPr>
              <w:rFonts w:asciiTheme="minorHAnsi" w:hAnsiTheme="minorHAnsi" w:cs="Arial"/>
            </w:rPr>
            <w:t xml:space="preserve">) </w:t>
          </w:r>
          <w:r w:rsidRPr="00D64713">
            <w:rPr>
              <w:rFonts w:asciiTheme="minorHAnsi" w:hAnsiTheme="minorHAnsi" w:cs="Arial"/>
            </w:rPr>
            <w:t xml:space="preserve">for professional or “soft skills”; and 3) the </w:t>
          </w:r>
          <w:proofErr w:type="spellStart"/>
          <w:r w:rsidRPr="00D64713">
            <w:rPr>
              <w:rFonts w:asciiTheme="minorHAnsi" w:hAnsiTheme="minorHAnsi" w:cs="Arial"/>
            </w:rPr>
            <w:t>Northstar</w:t>
          </w:r>
          <w:proofErr w:type="spellEnd"/>
          <w:r w:rsidRPr="00D64713">
            <w:rPr>
              <w:rFonts w:asciiTheme="minorHAnsi" w:hAnsiTheme="minorHAnsi" w:cs="Arial"/>
            </w:rPr>
            <w:t xml:space="preserve"> Digital Literacy Standards (available at </w:t>
          </w:r>
          <w:hyperlink r:id="rId22" w:history="1">
            <w:r w:rsidRPr="00D64713">
              <w:rPr>
                <w:rStyle w:val="Hyperlink"/>
                <w:rFonts w:asciiTheme="minorHAnsi" w:hAnsiTheme="minorHAnsi" w:cs="Arial"/>
              </w:rPr>
              <w:t>www.digitalliteracyassessment.org</w:t>
            </w:r>
          </w:hyperlink>
          <w:r w:rsidRPr="00D64713">
            <w:rPr>
              <w:rFonts w:asciiTheme="minorHAnsi" w:hAnsiTheme="minorHAnsi" w:cs="Arial"/>
            </w:rPr>
            <w:t>) for digital literacy skills.</w:t>
          </w:r>
        </w:p>
        <w:p w14:paraId="1D2F96B2" w14:textId="57EACA1E" w:rsidR="00887534" w:rsidRDefault="00887534" w:rsidP="00887534">
          <w:pPr>
            <w:rPr>
              <w:rFonts w:asciiTheme="minorHAnsi" w:hAnsiTheme="minorHAnsi"/>
            </w:rPr>
          </w:pPr>
          <w:r w:rsidRPr="00D64713">
            <w:rPr>
              <w:rFonts w:asciiTheme="minorHAnsi" w:hAnsiTheme="minorHAnsi"/>
            </w:rPr>
            <w:t xml:space="preserve">Minnesota has adopted the English Language Arts Common Core State Standards for K-12. </w:t>
          </w:r>
          <w:r w:rsidRPr="0084333D">
            <w:rPr>
              <w:rFonts w:asciiTheme="minorHAnsi" w:hAnsiTheme="minorHAnsi"/>
            </w:rPr>
            <w:t>While the Minnesota K-12 Mathematics standards were developed prior to the Common Core and are not due to be revised until 2021</w:t>
          </w:r>
          <w:r w:rsidR="004F61D3">
            <w:rPr>
              <w:rFonts w:asciiTheme="minorHAnsi" w:hAnsiTheme="minorHAnsi" w:cs="Arial"/>
            </w:rPr>
            <w:t>–20</w:t>
          </w:r>
          <w:r w:rsidRPr="0084333D">
            <w:rPr>
              <w:rFonts w:asciiTheme="minorHAnsi" w:hAnsiTheme="minorHAnsi"/>
            </w:rPr>
            <w:t>22,</w:t>
          </w:r>
          <w:r w:rsidRPr="00D64713">
            <w:rPr>
              <w:rFonts w:asciiTheme="minorHAnsi" w:hAnsiTheme="minorHAnsi"/>
            </w:rPr>
            <w:t xml:space="preserve"> it has been determined that they have a strong alignment with the Common Core. The College and </w:t>
          </w:r>
          <w:r w:rsidRPr="00D64713">
            <w:rPr>
              <w:rFonts w:asciiTheme="minorHAnsi" w:hAnsiTheme="minorHAnsi"/>
            </w:rPr>
            <w:lastRenderedPageBreak/>
            <w:t xml:space="preserve">Career Readiness Standards for Adult Education being used for Minnesota </w:t>
          </w:r>
          <w:r w:rsidR="00A32244">
            <w:rPr>
              <w:rFonts w:asciiTheme="minorHAnsi" w:hAnsiTheme="minorHAnsi"/>
            </w:rPr>
            <w:t>Adult Education</w:t>
          </w:r>
          <w:r w:rsidR="00A32244" w:rsidRPr="00D64713">
            <w:rPr>
              <w:rFonts w:asciiTheme="minorHAnsi" w:hAnsiTheme="minorHAnsi"/>
            </w:rPr>
            <w:t xml:space="preserve"> </w:t>
          </w:r>
          <w:r w:rsidRPr="00D64713">
            <w:rPr>
              <w:rFonts w:asciiTheme="minorHAnsi" w:hAnsiTheme="minorHAnsi"/>
            </w:rPr>
            <w:t xml:space="preserve">are drawn from the Common Core State Standards, and therefore have strong alignment with the Minnesota K-12 standards. </w:t>
          </w:r>
        </w:p>
        <w:p w14:paraId="45B4F824" w14:textId="5CF57B5D" w:rsidR="00887534" w:rsidRDefault="00887534" w:rsidP="00887534">
          <w:pPr>
            <w:rPr>
              <w:rFonts w:asciiTheme="minorHAnsi" w:hAnsiTheme="minorHAnsi"/>
            </w:rPr>
          </w:pPr>
          <w:r>
            <w:rPr>
              <w:rFonts w:asciiTheme="minorHAnsi" w:hAnsiTheme="minorHAnsi"/>
            </w:rPr>
            <w:t xml:space="preserve">When </w:t>
          </w:r>
          <w:r w:rsidR="00E11623">
            <w:rPr>
              <w:rFonts w:asciiTheme="minorHAnsi" w:hAnsiTheme="minorHAnsi"/>
            </w:rPr>
            <w:t>Minnesota</w:t>
          </w:r>
          <w:r>
            <w:rPr>
              <w:rFonts w:asciiTheme="minorHAnsi" w:hAnsiTheme="minorHAnsi"/>
            </w:rPr>
            <w:t xml:space="preserve"> adult education consortia submit documentation for the </w:t>
          </w:r>
          <w:r w:rsidRPr="00CF7644">
            <w:rPr>
              <w:rFonts w:asciiTheme="minorHAnsi" w:hAnsiTheme="minorHAnsi"/>
            </w:rPr>
            <w:t>state funding reauthorization process</w:t>
          </w:r>
          <w:r>
            <w:rPr>
              <w:rFonts w:asciiTheme="minorHAnsi" w:hAnsiTheme="minorHAnsi"/>
            </w:rPr>
            <w:t>, they must provide an instructional program description which indicates how each of their courses is aligned to M</w:t>
          </w:r>
          <w:r w:rsidR="006B602F">
            <w:rPr>
              <w:rFonts w:asciiTheme="minorHAnsi" w:hAnsiTheme="minorHAnsi"/>
            </w:rPr>
            <w:t>innesota</w:t>
          </w:r>
          <w:r>
            <w:rPr>
              <w:rFonts w:asciiTheme="minorHAnsi" w:hAnsiTheme="minorHAnsi"/>
            </w:rPr>
            <w:t xml:space="preserve"> </w:t>
          </w:r>
          <w:r w:rsidR="001A5A8F">
            <w:rPr>
              <w:rFonts w:asciiTheme="minorHAnsi" w:hAnsiTheme="minorHAnsi"/>
            </w:rPr>
            <w:t>A</w:t>
          </w:r>
          <w:r w:rsidR="00A32244">
            <w:rPr>
              <w:rFonts w:asciiTheme="minorHAnsi" w:hAnsiTheme="minorHAnsi"/>
            </w:rPr>
            <w:t xml:space="preserve">dult </w:t>
          </w:r>
          <w:r w:rsidR="001A5A8F">
            <w:rPr>
              <w:rFonts w:asciiTheme="minorHAnsi" w:hAnsiTheme="minorHAnsi"/>
            </w:rPr>
            <w:t>E</w:t>
          </w:r>
          <w:r w:rsidR="00A32244">
            <w:rPr>
              <w:rFonts w:asciiTheme="minorHAnsi" w:hAnsiTheme="minorHAnsi"/>
            </w:rPr>
            <w:t xml:space="preserve">ducation </w:t>
          </w:r>
          <w:r>
            <w:rPr>
              <w:rFonts w:asciiTheme="minorHAnsi" w:hAnsiTheme="minorHAnsi"/>
            </w:rPr>
            <w:t>content standards</w:t>
          </w:r>
          <w:r w:rsidR="00BC1E9C">
            <w:rPr>
              <w:rFonts w:asciiTheme="minorHAnsi" w:hAnsiTheme="minorHAnsi"/>
            </w:rPr>
            <w:t xml:space="preserve">. </w:t>
          </w:r>
          <w:r>
            <w:rPr>
              <w:rFonts w:asciiTheme="minorHAnsi" w:hAnsiTheme="minorHAnsi"/>
            </w:rPr>
            <w:t>In addition, they must submit a content standards implementation plan and provide evidence of standards integration to date</w:t>
          </w:r>
          <w:r w:rsidR="00BC1E9C">
            <w:rPr>
              <w:rFonts w:asciiTheme="minorHAnsi" w:hAnsiTheme="minorHAnsi"/>
            </w:rPr>
            <w:t xml:space="preserve">. </w:t>
          </w:r>
        </w:p>
        <w:p w14:paraId="4AA04FE0" w14:textId="1AC80D5C" w:rsidR="00887534" w:rsidRPr="00D64713" w:rsidRDefault="00887534" w:rsidP="00887534">
          <w:pPr>
            <w:rPr>
              <w:rFonts w:asciiTheme="minorHAnsi" w:hAnsiTheme="minorHAnsi"/>
            </w:rPr>
          </w:pPr>
          <w:r>
            <w:rPr>
              <w:rFonts w:asciiTheme="minorHAnsi" w:hAnsiTheme="minorHAnsi"/>
            </w:rPr>
            <w:t xml:space="preserve">Extensive professional development opportunities support the implementation of content standards in Minnesota </w:t>
          </w:r>
          <w:r w:rsidR="001A5A8F">
            <w:rPr>
              <w:rFonts w:asciiTheme="minorHAnsi" w:hAnsiTheme="minorHAnsi"/>
            </w:rPr>
            <w:t>A</w:t>
          </w:r>
          <w:r>
            <w:rPr>
              <w:rFonts w:asciiTheme="minorHAnsi" w:hAnsiTheme="minorHAnsi"/>
            </w:rPr>
            <w:t xml:space="preserve">dult </w:t>
          </w:r>
          <w:r w:rsidR="001A5A8F">
            <w:rPr>
              <w:rFonts w:asciiTheme="minorHAnsi" w:hAnsiTheme="minorHAnsi"/>
            </w:rPr>
            <w:t>E</w:t>
          </w:r>
          <w:r>
            <w:rPr>
              <w:rFonts w:asciiTheme="minorHAnsi" w:hAnsiTheme="minorHAnsi"/>
            </w:rPr>
            <w:t xml:space="preserve">ducation. The </w:t>
          </w:r>
          <w:r w:rsidRPr="00985406">
            <w:rPr>
              <w:rFonts w:asciiTheme="minorHAnsi" w:hAnsiTheme="minorHAnsi"/>
              <w:i/>
            </w:rPr>
            <w:t>CCRS Foundations</w:t>
          </w:r>
          <w:r>
            <w:rPr>
              <w:rFonts w:asciiTheme="minorHAnsi" w:hAnsiTheme="minorHAnsi"/>
            </w:rPr>
            <w:t xml:space="preserve"> online </w:t>
          </w:r>
          <w:r w:rsidRPr="00985406">
            <w:rPr>
              <w:rFonts w:asciiTheme="minorHAnsi" w:hAnsiTheme="minorHAnsi"/>
            </w:rPr>
            <w:t xml:space="preserve">course provides an introduction to the CCR standards for English Language Arts/Literacy </w:t>
          </w:r>
          <w:r>
            <w:rPr>
              <w:rFonts w:asciiTheme="minorHAnsi" w:hAnsiTheme="minorHAnsi"/>
            </w:rPr>
            <w:t>and</w:t>
          </w:r>
          <w:r w:rsidRPr="00985406">
            <w:rPr>
              <w:rFonts w:asciiTheme="minorHAnsi" w:hAnsiTheme="minorHAnsi"/>
            </w:rPr>
            <w:t xml:space="preserve"> Mathematics in a self-paced format. Participants can complete the entire course for ELA and/or Mathematics, or access specific topics for a refresher or further practice.</w:t>
          </w:r>
          <w:r>
            <w:rPr>
              <w:rFonts w:asciiTheme="minorHAnsi" w:hAnsiTheme="minorHAnsi"/>
            </w:rPr>
            <w:t xml:space="preserve"> </w:t>
          </w:r>
          <w:r w:rsidRPr="00985406">
            <w:rPr>
              <w:rFonts w:asciiTheme="minorHAnsi" w:hAnsiTheme="minorHAnsi"/>
            </w:rPr>
            <w:t xml:space="preserve">This course </w:t>
          </w:r>
          <w:r>
            <w:rPr>
              <w:rFonts w:asciiTheme="minorHAnsi" w:hAnsiTheme="minorHAnsi"/>
            </w:rPr>
            <w:t xml:space="preserve">is a </w:t>
          </w:r>
          <w:r w:rsidRPr="00985406">
            <w:rPr>
              <w:rFonts w:asciiTheme="minorHAnsi" w:hAnsiTheme="minorHAnsi"/>
            </w:rPr>
            <w:t>prerequisite requirement for several M</w:t>
          </w:r>
          <w:r w:rsidR="006B602F">
            <w:rPr>
              <w:rFonts w:asciiTheme="minorHAnsi" w:hAnsiTheme="minorHAnsi"/>
            </w:rPr>
            <w:t>innesota</w:t>
          </w:r>
          <w:r w:rsidRPr="00985406">
            <w:rPr>
              <w:rFonts w:asciiTheme="minorHAnsi" w:hAnsiTheme="minorHAnsi"/>
            </w:rPr>
            <w:t xml:space="preserve"> </w:t>
          </w:r>
          <w:r w:rsidR="001A5A8F">
            <w:rPr>
              <w:rFonts w:asciiTheme="minorHAnsi" w:hAnsiTheme="minorHAnsi"/>
            </w:rPr>
            <w:t>A</w:t>
          </w:r>
          <w:r w:rsidR="00A32244">
            <w:rPr>
              <w:rFonts w:asciiTheme="minorHAnsi" w:hAnsiTheme="minorHAnsi"/>
            </w:rPr>
            <w:t xml:space="preserve">dult </w:t>
          </w:r>
          <w:r w:rsidR="001A5A8F">
            <w:rPr>
              <w:rFonts w:asciiTheme="minorHAnsi" w:hAnsiTheme="minorHAnsi"/>
            </w:rPr>
            <w:t>E</w:t>
          </w:r>
          <w:r w:rsidR="00A32244">
            <w:rPr>
              <w:rFonts w:asciiTheme="minorHAnsi" w:hAnsiTheme="minorHAnsi"/>
            </w:rPr>
            <w:t>ducation</w:t>
          </w:r>
          <w:r w:rsidR="00A32244" w:rsidRPr="00985406">
            <w:rPr>
              <w:rFonts w:asciiTheme="minorHAnsi" w:hAnsiTheme="minorHAnsi"/>
            </w:rPr>
            <w:t xml:space="preserve"> </w:t>
          </w:r>
          <w:r w:rsidRPr="00985406">
            <w:rPr>
              <w:rFonts w:asciiTheme="minorHAnsi" w:hAnsiTheme="minorHAnsi"/>
            </w:rPr>
            <w:t>professional development activities, including the CCRS Implementation Cohort.</w:t>
          </w:r>
        </w:p>
        <w:p w14:paraId="03251334" w14:textId="1A50396E" w:rsidR="00887534" w:rsidRDefault="00A32244" w:rsidP="00887534">
          <w:pPr>
            <w:rPr>
              <w:rFonts w:asciiTheme="minorHAnsi" w:hAnsiTheme="minorHAnsi"/>
            </w:rPr>
          </w:pPr>
          <w:r>
            <w:rPr>
              <w:rFonts w:asciiTheme="minorHAnsi" w:hAnsiTheme="minorHAnsi"/>
            </w:rPr>
            <w:t xml:space="preserve">The </w:t>
          </w:r>
          <w:r w:rsidR="00887534" w:rsidRPr="00D64713">
            <w:rPr>
              <w:rFonts w:asciiTheme="minorHAnsi" w:hAnsiTheme="minorHAnsi"/>
              <w:i/>
            </w:rPr>
            <w:t>CCRS Implementation Cohort Training</w:t>
          </w:r>
          <w:r>
            <w:rPr>
              <w:rFonts w:asciiTheme="minorHAnsi" w:hAnsiTheme="minorHAnsi"/>
            </w:rPr>
            <w:t>,</w:t>
          </w:r>
          <w:r w:rsidR="00887534" w:rsidRPr="00D64713">
            <w:rPr>
              <w:rFonts w:asciiTheme="minorHAnsi" w:hAnsiTheme="minorHAnsi"/>
            </w:rPr>
            <w:t xml:space="preserve"> </w:t>
          </w:r>
          <w:r w:rsidR="00887534">
            <w:rPr>
              <w:rFonts w:asciiTheme="minorHAnsi" w:hAnsiTheme="minorHAnsi"/>
            </w:rPr>
            <w:t>designed to support implementation of the standards at the local program level</w:t>
          </w:r>
          <w:r>
            <w:rPr>
              <w:rFonts w:asciiTheme="minorHAnsi" w:hAnsiTheme="minorHAnsi"/>
            </w:rPr>
            <w:t>,</w:t>
          </w:r>
          <w:r w:rsidR="00887534">
            <w:rPr>
              <w:rFonts w:asciiTheme="minorHAnsi" w:hAnsiTheme="minorHAnsi"/>
            </w:rPr>
            <w:t xml:space="preserve"> is being delivered on a biannual basis</w:t>
          </w:r>
          <w:r w:rsidR="00BC1E9C">
            <w:rPr>
              <w:rFonts w:asciiTheme="minorHAnsi" w:hAnsiTheme="minorHAnsi"/>
            </w:rPr>
            <w:t xml:space="preserve">. </w:t>
          </w:r>
          <w:r w:rsidR="00887534">
            <w:rPr>
              <w:rFonts w:asciiTheme="minorHAnsi" w:hAnsiTheme="minorHAnsi"/>
            </w:rPr>
            <w:t>Program teams participating in the cohort learn</w:t>
          </w:r>
          <w:r w:rsidR="00887534" w:rsidRPr="00D64713">
            <w:rPr>
              <w:rFonts w:asciiTheme="minorHAnsi" w:hAnsiTheme="minorHAnsi"/>
            </w:rPr>
            <w:t xml:space="preserve"> to evaluate and improve the CCRS-alignment of lessons, resources, assignments, and instruction</w:t>
          </w:r>
          <w:r w:rsidR="00BC1E9C">
            <w:rPr>
              <w:rFonts w:asciiTheme="minorHAnsi" w:hAnsiTheme="minorHAnsi"/>
            </w:rPr>
            <w:t xml:space="preserve">. </w:t>
          </w:r>
          <w:r w:rsidR="00887534" w:rsidRPr="00D64713">
            <w:rPr>
              <w:rFonts w:asciiTheme="minorHAnsi" w:hAnsiTheme="minorHAnsi"/>
            </w:rPr>
            <w:t>In addition, they develop a multi-year CCRS implementation plan for their program, and provide leadership and training for standards imple</w:t>
          </w:r>
          <w:r w:rsidR="00887534">
            <w:rPr>
              <w:rFonts w:asciiTheme="minorHAnsi" w:hAnsiTheme="minorHAnsi"/>
            </w:rPr>
            <w:t>mentation to their colleagues. Prior to this year, the cohort was delivered through</w:t>
          </w:r>
          <w:r w:rsidR="00887534" w:rsidRPr="00D64713">
            <w:rPr>
              <w:rFonts w:asciiTheme="minorHAnsi" w:hAnsiTheme="minorHAnsi"/>
            </w:rPr>
            <w:t xml:space="preserve"> a combination of </w:t>
          </w:r>
          <w:r w:rsidR="00887534">
            <w:rPr>
              <w:rFonts w:asciiTheme="minorHAnsi" w:hAnsiTheme="minorHAnsi"/>
            </w:rPr>
            <w:t>in-person institutes</w:t>
          </w:r>
          <w:r w:rsidR="00887534" w:rsidRPr="00D64713">
            <w:rPr>
              <w:rFonts w:asciiTheme="minorHAnsi" w:hAnsiTheme="minorHAnsi"/>
            </w:rPr>
            <w:t xml:space="preserve">, webinars, online communication, and </w:t>
          </w:r>
          <w:r w:rsidR="00887534">
            <w:rPr>
              <w:rFonts w:asciiTheme="minorHAnsi" w:hAnsiTheme="minorHAnsi"/>
            </w:rPr>
            <w:t>local implementation activities</w:t>
          </w:r>
          <w:r w:rsidR="00BC1E9C">
            <w:rPr>
              <w:rFonts w:asciiTheme="minorHAnsi" w:hAnsiTheme="minorHAnsi"/>
            </w:rPr>
            <w:t xml:space="preserve">. </w:t>
          </w:r>
          <w:r w:rsidR="00887534">
            <w:rPr>
              <w:rFonts w:asciiTheme="minorHAnsi" w:hAnsiTheme="minorHAnsi"/>
            </w:rPr>
            <w:t>In 2020</w:t>
          </w:r>
          <w:r w:rsidR="004F61D3">
            <w:rPr>
              <w:rFonts w:asciiTheme="minorHAnsi" w:hAnsiTheme="minorHAnsi" w:cs="Arial"/>
            </w:rPr>
            <w:t>–20</w:t>
          </w:r>
          <w:r w:rsidR="00887534">
            <w:rPr>
              <w:rFonts w:asciiTheme="minorHAnsi" w:hAnsiTheme="minorHAnsi"/>
            </w:rPr>
            <w:t>21, the cohort was successfully conducted completely at a distance, with virtual institutes and remote peer observations taking the place of in-person ones</w:t>
          </w:r>
          <w:r w:rsidR="00BC1E9C">
            <w:rPr>
              <w:rFonts w:asciiTheme="minorHAnsi" w:hAnsiTheme="minorHAnsi"/>
            </w:rPr>
            <w:t>.</w:t>
          </w:r>
          <w:r w:rsidR="00887534">
            <w:rPr>
              <w:rFonts w:asciiTheme="minorHAnsi" w:hAnsiTheme="minorHAnsi"/>
            </w:rPr>
            <w:t xml:space="preserve"> </w:t>
          </w:r>
        </w:p>
        <w:p w14:paraId="405E68AA" w14:textId="12B7EEA1" w:rsidR="00887534" w:rsidRDefault="00887534" w:rsidP="00887534">
          <w:pPr>
            <w:rPr>
              <w:rFonts w:asciiTheme="minorHAnsi" w:hAnsiTheme="minorHAnsi"/>
            </w:rPr>
          </w:pPr>
          <w:r>
            <w:rPr>
              <w:rFonts w:asciiTheme="minorHAnsi" w:hAnsiTheme="minorHAnsi"/>
            </w:rPr>
            <w:t>Ongoing PD opportunities such as CCRS support webinars, conference sessions</w:t>
          </w:r>
          <w:r w:rsidR="009627B1">
            <w:rPr>
              <w:rFonts w:asciiTheme="minorHAnsi" w:hAnsiTheme="minorHAnsi"/>
            </w:rPr>
            <w:t>,</w:t>
          </w:r>
          <w:r>
            <w:rPr>
              <w:rFonts w:asciiTheme="minorHAnsi" w:hAnsiTheme="minorHAnsi"/>
            </w:rPr>
            <w:t xml:space="preserve"> and newsletter articles provided guidance on and examples of standards-based instruction and resources in virtual instruction. Resources to support individual and program-based PD around the standards were also disseminated via the CCR Standards Resource Library (</w:t>
          </w:r>
          <w:hyperlink r:id="rId23" w:history="1">
            <w:r w:rsidRPr="00DF08E7">
              <w:rPr>
                <w:rStyle w:val="Hyperlink"/>
                <w:rFonts w:asciiTheme="minorHAnsi" w:hAnsiTheme="minorHAnsi"/>
              </w:rPr>
              <w:t>https://atlasabe.org/resources/ccr-standards/</w:t>
            </w:r>
          </w:hyperlink>
          <w:r>
            <w:rPr>
              <w:rFonts w:asciiTheme="minorHAnsi" w:hAnsiTheme="minorHAnsi"/>
            </w:rPr>
            <w:t>), including a CCRS professional learning community guide, CCRS classroom videos and viewing guides, and CCRS Teacher Workouts (short, focused PD activities)</w:t>
          </w:r>
          <w:r w:rsidR="00BC1E9C">
            <w:rPr>
              <w:rFonts w:asciiTheme="minorHAnsi" w:hAnsiTheme="minorHAnsi"/>
            </w:rPr>
            <w:t xml:space="preserve">. </w:t>
          </w:r>
        </w:p>
        <w:p w14:paraId="00E21323" w14:textId="00D5D9F2" w:rsidR="00887534" w:rsidRPr="00887534" w:rsidRDefault="00887534" w:rsidP="00887534">
          <w:pPr>
            <w:rPr>
              <w:lang w:bidi="ar-SA"/>
            </w:rPr>
          </w:pPr>
          <w:r>
            <w:rPr>
              <w:rFonts w:asciiTheme="minorHAnsi" w:hAnsiTheme="minorHAnsi"/>
            </w:rPr>
            <w:t>In June 2021, a team of M</w:t>
          </w:r>
          <w:r w:rsidR="006B602F">
            <w:rPr>
              <w:rFonts w:asciiTheme="minorHAnsi" w:hAnsiTheme="minorHAnsi"/>
            </w:rPr>
            <w:t>innesota</w:t>
          </w:r>
          <w:r>
            <w:rPr>
              <w:rFonts w:asciiTheme="minorHAnsi" w:hAnsiTheme="minorHAnsi"/>
            </w:rPr>
            <w:t xml:space="preserve"> instructional leaders and professional developers participated in the national Standards-in-Action (SIA) 2.0 Training, aimed at equipping educators to support English Language Learners (ELLs) with both English Language Arts and math content</w:t>
          </w:r>
          <w:r w:rsidR="00BC1E9C">
            <w:rPr>
              <w:rFonts w:asciiTheme="minorHAnsi" w:hAnsiTheme="minorHAnsi"/>
            </w:rPr>
            <w:t xml:space="preserve">. </w:t>
          </w:r>
          <w:r>
            <w:rPr>
              <w:rFonts w:asciiTheme="minorHAnsi" w:hAnsiTheme="minorHAnsi"/>
            </w:rPr>
            <w:t>This team will be incorporating SIA 2.0 tools and strategies in PD focused on standards-based instruction for ELLs.</w:t>
          </w:r>
        </w:p>
        <w:p w14:paraId="7C04D3DE" w14:textId="77777777" w:rsidR="009401F5" w:rsidRPr="00B82F89" w:rsidRDefault="009401F5" w:rsidP="00281C1E">
          <w:pPr>
            <w:pStyle w:val="Heading2"/>
            <w:spacing w:after="120"/>
            <w:rPr>
              <w:sz w:val="28"/>
              <w:lang w:bidi="ar-SA"/>
            </w:rPr>
          </w:pPr>
          <w:r w:rsidRPr="00B82F89">
            <w:rPr>
              <w:sz w:val="28"/>
              <w:lang w:bidi="ar-SA"/>
            </w:rPr>
            <w:t>Section 6: Programs for Corrections Education and the Education of Other Institutionalized Individuals (AEFLA Section 225)</w:t>
          </w:r>
        </w:p>
        <w:p w14:paraId="3503EEB9" w14:textId="2716CD5E" w:rsidR="00887534" w:rsidRPr="00403EA9" w:rsidRDefault="001B143F" w:rsidP="00281C1E">
          <w:pPr>
            <w:pStyle w:val="Heading3"/>
            <w:spacing w:before="120"/>
            <w:rPr>
              <w:sz w:val="24"/>
            </w:rPr>
          </w:pPr>
          <w:r w:rsidRPr="00403EA9">
            <w:rPr>
              <w:b w:val="0"/>
              <w:i/>
              <w:sz w:val="22"/>
              <w:lang w:bidi="ar-SA"/>
            </w:rPr>
            <w:t>What was the relative rate of recidivism for criminal offenders served? Please describe the methods and factors used in calculating the rate for this reporting period.</w:t>
          </w:r>
        </w:p>
      </w:sdtContent>
    </w:sdt>
    <w:p w14:paraId="72EA0F1D" w14:textId="48A4DBDA" w:rsidR="00887534" w:rsidRPr="00C8719E" w:rsidRDefault="00887534" w:rsidP="00281C1E">
      <w:pPr>
        <w:spacing w:after="0"/>
        <w:rPr>
          <w:rFonts w:cs="Calibri"/>
        </w:rPr>
      </w:pPr>
      <w:r w:rsidRPr="00C8719E">
        <w:rPr>
          <w:rFonts w:cs="Calibri"/>
        </w:rPr>
        <w:t>According to the Minnesota Department of Corrections (MN DOC), the state’s adult prison population was 7,257</w:t>
      </w:r>
      <w:r w:rsidRPr="00C8719E">
        <w:rPr>
          <w:rFonts w:cs="Calibri"/>
          <w:sz w:val="24"/>
          <w:szCs w:val="24"/>
          <w:lang w:bidi="ar-SA"/>
        </w:rPr>
        <w:t xml:space="preserve"> </w:t>
      </w:r>
      <w:r w:rsidRPr="00C8719E">
        <w:rPr>
          <w:rFonts w:cs="Calibri"/>
        </w:rPr>
        <w:t>incarcerated individuals as of July 1, 2021. 96.4% were held in state prisons, and the remaining 3.6% resided either in county jails, a state juvenile facility, or other facilities. Of the new admissions during the year (July 2020</w:t>
      </w:r>
      <w:r w:rsidR="009627B1" w:rsidRPr="009627B1">
        <w:rPr>
          <w:rFonts w:cs="Calibri"/>
        </w:rPr>
        <w:t>–</w:t>
      </w:r>
      <w:r w:rsidRPr="00C8719E">
        <w:rPr>
          <w:rFonts w:cs="Calibri"/>
        </w:rPr>
        <w:t xml:space="preserve">June 2021), 37% were release returns. In 2018, MN DOC calculated that 74% of offenders do not return to prison (MN DOC 2018 Performance Report). </w:t>
      </w:r>
    </w:p>
    <w:p w14:paraId="1852B88F" w14:textId="77777777" w:rsidR="00887534" w:rsidRPr="00281C1E" w:rsidRDefault="00887534" w:rsidP="00887534">
      <w:pPr>
        <w:spacing w:before="0" w:after="0"/>
        <w:rPr>
          <w:rFonts w:cs="Calibri"/>
          <w:szCs w:val="24"/>
          <w:lang w:bidi="ar-SA"/>
        </w:rPr>
      </w:pPr>
    </w:p>
    <w:p w14:paraId="387F0484" w14:textId="5DFCE8E7" w:rsidR="00887534" w:rsidRPr="00C8719E" w:rsidRDefault="00887534" w:rsidP="00887534">
      <w:pPr>
        <w:pStyle w:val="Default"/>
        <w:rPr>
          <w:color w:val="auto"/>
          <w:sz w:val="22"/>
          <w:szCs w:val="22"/>
        </w:rPr>
      </w:pPr>
      <w:r w:rsidRPr="00C8719E">
        <w:rPr>
          <w:sz w:val="22"/>
          <w:szCs w:val="22"/>
        </w:rPr>
        <w:t xml:space="preserve">MN DOC utilizes the federal recidivism rate calculation, based on a three-year follow up period after release from prison. Minnesota’s rate of recidivism is 25%, </w:t>
      </w:r>
      <w:r w:rsidRPr="00C8719E">
        <w:rPr>
          <w:color w:val="auto"/>
          <w:sz w:val="22"/>
          <w:szCs w:val="22"/>
        </w:rPr>
        <w:t>according to MN DOC in the latest data available. In a 2013 study (</w:t>
      </w:r>
      <w:r w:rsidR="00ED5870">
        <w:rPr>
          <w:color w:val="auto"/>
          <w:sz w:val="22"/>
          <w:szCs w:val="22"/>
        </w:rPr>
        <w:t>“</w:t>
      </w:r>
      <w:hyperlink r:id="rId24" w:history="1">
        <w:r w:rsidRPr="004708F2">
          <w:rPr>
            <w:rStyle w:val="Hyperlink"/>
            <w:sz w:val="22"/>
            <w:szCs w:val="22"/>
          </w:rPr>
          <w:t>The Effects of Minnesota Prison-Based Educational Programming on Recidivism and Employment</w:t>
        </w:r>
      </w:hyperlink>
      <w:r w:rsidR="00ED5870">
        <w:rPr>
          <w:color w:val="auto"/>
          <w:sz w:val="22"/>
          <w:szCs w:val="22"/>
        </w:rPr>
        <w:t>,”</w:t>
      </w:r>
      <w:r w:rsidRPr="00C8719E">
        <w:rPr>
          <w:color w:val="auto"/>
          <w:sz w:val="22"/>
          <w:szCs w:val="22"/>
        </w:rPr>
        <w:t xml:space="preserve"> </w:t>
      </w:r>
      <w:proofErr w:type="spellStart"/>
      <w:r w:rsidRPr="00C8719E">
        <w:rPr>
          <w:color w:val="auto"/>
          <w:sz w:val="22"/>
          <w:szCs w:val="22"/>
        </w:rPr>
        <w:t>Duwe</w:t>
      </w:r>
      <w:proofErr w:type="spellEnd"/>
      <w:r w:rsidRPr="00C8719E">
        <w:rPr>
          <w:color w:val="auto"/>
          <w:sz w:val="22"/>
          <w:szCs w:val="22"/>
        </w:rPr>
        <w:t xml:space="preserve"> and Clark), obtaining secondary credentials helped offenders enter postsecondary education and gain employment, but diplomas alone were not the primary factor </w:t>
      </w:r>
      <w:r w:rsidRPr="00C8719E">
        <w:rPr>
          <w:sz w:val="22"/>
          <w:szCs w:val="22"/>
        </w:rPr>
        <w:t>to reduce recidivism. The study found that “obtaining a [diploma] in prison significantly increased the odds of securing post-release employment by 59%”</w:t>
      </w:r>
      <w:r w:rsidR="00ED5870">
        <w:rPr>
          <w:sz w:val="22"/>
          <w:szCs w:val="22"/>
        </w:rPr>
        <w:t xml:space="preserve"> (3).</w:t>
      </w:r>
      <w:r w:rsidRPr="00C8719E">
        <w:rPr>
          <w:sz w:val="22"/>
          <w:szCs w:val="22"/>
        </w:rPr>
        <w:t xml:space="preserve"> Post-release employment data show that 60% of offenders who earned diplomas in prison found employment within the first two years compared to 50% in the comparison group. The study found that earning a postsecondary degree in prison was associated with greater number of hours worked, higher overall wages, </w:t>
      </w:r>
      <w:r w:rsidRPr="00C8719E">
        <w:rPr>
          <w:color w:val="auto"/>
          <w:sz w:val="22"/>
          <w:szCs w:val="22"/>
        </w:rPr>
        <w:t>and less recidivism</w:t>
      </w:r>
      <w:r w:rsidR="00F071D8">
        <w:rPr>
          <w:color w:val="auto"/>
          <w:sz w:val="22"/>
          <w:szCs w:val="22"/>
        </w:rPr>
        <w:t xml:space="preserve"> (3)</w:t>
      </w:r>
      <w:r w:rsidRPr="00C8719E">
        <w:rPr>
          <w:color w:val="auto"/>
          <w:sz w:val="22"/>
          <w:szCs w:val="22"/>
        </w:rPr>
        <w:t xml:space="preserve">. Earning a diploma is also critical as a prerequisite to postsecondary education. Obtaining postsecondary credentials in corrections resulted in reduced recidivism, higher numbers of hours worked, and increased wages. Obtaining a postsecondary credential reduced re-arrest by 14%, reconviction by 16%, and new offense re-incarceration by 24%. The employment rate for offenders who earned post-secondary degrees (71%) was slightly higher than that of the </w:t>
      </w:r>
      <w:r w:rsidR="006B602F">
        <w:rPr>
          <w:color w:val="auto"/>
          <w:sz w:val="22"/>
          <w:szCs w:val="22"/>
        </w:rPr>
        <w:t>offenders</w:t>
      </w:r>
      <w:r w:rsidR="006B602F" w:rsidRPr="00C8719E">
        <w:rPr>
          <w:color w:val="auto"/>
          <w:sz w:val="22"/>
          <w:szCs w:val="22"/>
        </w:rPr>
        <w:t xml:space="preserve"> </w:t>
      </w:r>
      <w:r w:rsidRPr="00C8719E">
        <w:rPr>
          <w:color w:val="auto"/>
          <w:sz w:val="22"/>
          <w:szCs w:val="22"/>
        </w:rPr>
        <w:t xml:space="preserve">in the comparison group (68%). The study was completed with offenders released in 2007 and 2008, which gives enough time to determine meaningful outcomes post-release. For learners served in corrections systems during this program year, it is difficult to determine recidivism rates as many are still incarcerated and others have been released only recently. </w:t>
      </w:r>
    </w:p>
    <w:p w14:paraId="7BDD0920" w14:textId="77777777" w:rsidR="00887534" w:rsidRPr="00C8719E" w:rsidRDefault="00887534" w:rsidP="00887534">
      <w:pPr>
        <w:pStyle w:val="Default"/>
        <w:rPr>
          <w:color w:val="auto"/>
          <w:sz w:val="22"/>
          <w:szCs w:val="22"/>
        </w:rPr>
      </w:pPr>
    </w:p>
    <w:p w14:paraId="69B41446" w14:textId="69EAC4A1" w:rsidR="00887534" w:rsidRPr="00C8719E" w:rsidRDefault="00887534" w:rsidP="00887534">
      <w:pPr>
        <w:pStyle w:val="Default"/>
        <w:rPr>
          <w:color w:val="auto"/>
          <w:sz w:val="22"/>
          <w:szCs w:val="22"/>
        </w:rPr>
      </w:pPr>
      <w:r w:rsidRPr="00C8719E">
        <w:rPr>
          <w:color w:val="auto"/>
          <w:sz w:val="22"/>
          <w:szCs w:val="22"/>
        </w:rPr>
        <w:t>Approximately 26% of people in corrections in Minnesota do not have a secondary credential. In the 2020</w:t>
      </w:r>
      <w:r w:rsidR="004F61D3" w:rsidRPr="004F61D3">
        <w:rPr>
          <w:color w:val="auto"/>
          <w:sz w:val="22"/>
          <w:szCs w:val="22"/>
        </w:rPr>
        <w:t>–20</w:t>
      </w:r>
      <w:r w:rsidRPr="00C8719E">
        <w:rPr>
          <w:color w:val="auto"/>
          <w:sz w:val="22"/>
          <w:szCs w:val="22"/>
        </w:rPr>
        <w:t xml:space="preserve">21 program year, enrollees in corrections </w:t>
      </w:r>
      <w:r w:rsidR="00A02DC2">
        <w:rPr>
          <w:color w:val="auto"/>
          <w:sz w:val="22"/>
          <w:szCs w:val="22"/>
        </w:rPr>
        <w:t>adult education</w:t>
      </w:r>
      <w:r w:rsidR="00A02DC2" w:rsidRPr="00C8719E">
        <w:rPr>
          <w:color w:val="auto"/>
          <w:sz w:val="22"/>
          <w:szCs w:val="22"/>
        </w:rPr>
        <w:t xml:space="preserve"> </w:t>
      </w:r>
      <w:r w:rsidRPr="00C8719E">
        <w:rPr>
          <w:color w:val="auto"/>
          <w:sz w:val="22"/>
          <w:szCs w:val="22"/>
        </w:rPr>
        <w:t xml:space="preserve">programs generated 372,726 contact hours; 43% of correctional students achieved a measurable skill gain. </w:t>
      </w:r>
      <w:r w:rsidR="00234BFE">
        <w:rPr>
          <w:color w:val="auto"/>
          <w:sz w:val="22"/>
          <w:szCs w:val="22"/>
        </w:rPr>
        <w:t>C</w:t>
      </w:r>
      <w:r w:rsidRPr="00C8719E">
        <w:rPr>
          <w:color w:val="auto"/>
          <w:sz w:val="22"/>
          <w:szCs w:val="22"/>
        </w:rPr>
        <w:t>ontact hours dropped 40% between 2019</w:t>
      </w:r>
      <w:r w:rsidR="004F61D3" w:rsidRPr="004F61D3">
        <w:rPr>
          <w:color w:val="auto"/>
          <w:sz w:val="22"/>
          <w:szCs w:val="22"/>
        </w:rPr>
        <w:t>–</w:t>
      </w:r>
      <w:r w:rsidR="004F61D3">
        <w:rPr>
          <w:color w:val="auto"/>
          <w:sz w:val="22"/>
          <w:szCs w:val="22"/>
        </w:rPr>
        <w:t>20</w:t>
      </w:r>
      <w:r w:rsidRPr="00C8719E">
        <w:rPr>
          <w:color w:val="auto"/>
          <w:sz w:val="22"/>
          <w:szCs w:val="22"/>
        </w:rPr>
        <w:t>20 and 2020</w:t>
      </w:r>
      <w:r w:rsidR="004F61D3" w:rsidRPr="004F61D3">
        <w:rPr>
          <w:color w:val="auto"/>
          <w:sz w:val="22"/>
          <w:szCs w:val="22"/>
        </w:rPr>
        <w:t>–20</w:t>
      </w:r>
      <w:r w:rsidRPr="00C8719E">
        <w:rPr>
          <w:color w:val="auto"/>
          <w:sz w:val="22"/>
          <w:szCs w:val="22"/>
        </w:rPr>
        <w:t>21</w:t>
      </w:r>
      <w:r w:rsidR="00BC1E9C">
        <w:rPr>
          <w:color w:val="auto"/>
          <w:sz w:val="22"/>
          <w:szCs w:val="22"/>
        </w:rPr>
        <w:t xml:space="preserve">. </w:t>
      </w:r>
      <w:r w:rsidRPr="00C8719E">
        <w:rPr>
          <w:color w:val="auto"/>
          <w:sz w:val="22"/>
          <w:szCs w:val="22"/>
        </w:rPr>
        <w:t xml:space="preserve">This decrease is attributed to the impacts of the </w:t>
      </w:r>
      <w:r w:rsidRPr="00C8719E">
        <w:rPr>
          <w:sz w:val="22"/>
          <w:szCs w:val="22"/>
        </w:rPr>
        <w:t>COVID-19 pandemic</w:t>
      </w:r>
      <w:r w:rsidR="00BC1E9C">
        <w:rPr>
          <w:color w:val="auto"/>
          <w:sz w:val="22"/>
          <w:szCs w:val="22"/>
        </w:rPr>
        <w:t xml:space="preserve">. </w:t>
      </w:r>
    </w:p>
    <w:p w14:paraId="3C7AA0D0" w14:textId="77777777" w:rsidR="00887534" w:rsidRPr="00C8719E" w:rsidRDefault="00887534" w:rsidP="00887534">
      <w:pPr>
        <w:pStyle w:val="Default"/>
        <w:rPr>
          <w:color w:val="auto"/>
          <w:sz w:val="22"/>
          <w:szCs w:val="22"/>
        </w:rPr>
      </w:pPr>
    </w:p>
    <w:p w14:paraId="47782E2B" w14:textId="6E8640D5" w:rsidR="00887534" w:rsidRPr="00C8719E" w:rsidRDefault="00887534" w:rsidP="00887534">
      <w:pPr>
        <w:pStyle w:val="Default"/>
        <w:rPr>
          <w:color w:val="auto"/>
          <w:sz w:val="22"/>
          <w:szCs w:val="22"/>
        </w:rPr>
      </w:pPr>
      <w:r w:rsidRPr="00C8719E">
        <w:rPr>
          <w:color w:val="auto"/>
          <w:sz w:val="22"/>
          <w:szCs w:val="22"/>
        </w:rPr>
        <w:t xml:space="preserve">MN DOC has an education-first policy, which means individuals who do not have a secondary credential (a high school diploma or high school equivalency diploma) are required to enroll in </w:t>
      </w:r>
      <w:r w:rsidR="00A02DC2">
        <w:rPr>
          <w:color w:val="auto"/>
          <w:sz w:val="22"/>
          <w:szCs w:val="22"/>
        </w:rPr>
        <w:t>adult education</w:t>
      </w:r>
      <w:r w:rsidR="00A02DC2" w:rsidRPr="00C8719E">
        <w:rPr>
          <w:color w:val="auto"/>
          <w:sz w:val="22"/>
          <w:szCs w:val="22"/>
        </w:rPr>
        <w:t xml:space="preserve"> </w:t>
      </w:r>
      <w:r w:rsidRPr="00C8719E">
        <w:rPr>
          <w:color w:val="auto"/>
          <w:sz w:val="22"/>
          <w:szCs w:val="22"/>
        </w:rPr>
        <w:t xml:space="preserve">and achieve a secondary credential through one of three options: </w:t>
      </w:r>
      <w:r w:rsidRPr="00C8719E">
        <w:rPr>
          <w:sz w:val="22"/>
          <w:szCs w:val="22"/>
        </w:rPr>
        <w:t xml:space="preserve">a GED, high school, or state </w:t>
      </w:r>
      <w:r w:rsidR="00ED5870">
        <w:rPr>
          <w:sz w:val="22"/>
          <w:szCs w:val="22"/>
        </w:rPr>
        <w:t xml:space="preserve">standard </w:t>
      </w:r>
      <w:r w:rsidRPr="00C8719E">
        <w:rPr>
          <w:sz w:val="22"/>
          <w:szCs w:val="22"/>
        </w:rPr>
        <w:t>adult diploma</w:t>
      </w:r>
      <w:r w:rsidRPr="00C8719E">
        <w:rPr>
          <w:color w:val="auto"/>
          <w:sz w:val="22"/>
          <w:szCs w:val="22"/>
        </w:rPr>
        <w:t xml:space="preserve">. Once learners complete a secondary credential, they are eligible for work assignments within the facility and/or to enroll into a post-secondary (career technical or credit-based) program. </w:t>
      </w:r>
    </w:p>
    <w:p w14:paraId="689002F5" w14:textId="77777777" w:rsidR="00887534" w:rsidRPr="00C8719E" w:rsidRDefault="00887534" w:rsidP="00887534">
      <w:pPr>
        <w:pStyle w:val="Default"/>
        <w:rPr>
          <w:color w:val="auto"/>
          <w:sz w:val="22"/>
          <w:szCs w:val="22"/>
        </w:rPr>
      </w:pPr>
    </w:p>
    <w:p w14:paraId="77CE5AF3" w14:textId="45DC0BF8" w:rsidR="00887534" w:rsidRPr="00C8719E" w:rsidRDefault="00887534" w:rsidP="00887534">
      <w:pPr>
        <w:pStyle w:val="Default"/>
        <w:rPr>
          <w:color w:val="auto"/>
          <w:sz w:val="22"/>
          <w:szCs w:val="22"/>
        </w:rPr>
      </w:pPr>
      <w:r w:rsidRPr="00C8719E">
        <w:rPr>
          <w:color w:val="auto"/>
          <w:sz w:val="22"/>
          <w:szCs w:val="22"/>
        </w:rPr>
        <w:t xml:space="preserve">Twenty-six (26) Standard Adult High School Diplomas and eleven (11) credit-based high school diplomas were earned by </w:t>
      </w:r>
      <w:r w:rsidR="00A02DC2">
        <w:rPr>
          <w:color w:val="auto"/>
          <w:sz w:val="22"/>
          <w:szCs w:val="22"/>
        </w:rPr>
        <w:t>adult education</w:t>
      </w:r>
      <w:r w:rsidR="00A02DC2" w:rsidRPr="00C8719E">
        <w:rPr>
          <w:color w:val="auto"/>
          <w:sz w:val="22"/>
          <w:szCs w:val="22"/>
        </w:rPr>
        <w:t xml:space="preserve"> </w:t>
      </w:r>
      <w:r w:rsidRPr="00C8719E">
        <w:rPr>
          <w:color w:val="auto"/>
          <w:sz w:val="22"/>
          <w:szCs w:val="22"/>
        </w:rPr>
        <w:t>students in Minnesota correctional facilities from July 2020</w:t>
      </w:r>
      <w:r w:rsidR="009627B1" w:rsidRPr="009627B1">
        <w:rPr>
          <w:color w:val="auto"/>
          <w:sz w:val="22"/>
          <w:szCs w:val="22"/>
        </w:rPr>
        <w:t>–</w:t>
      </w:r>
      <w:r w:rsidRPr="00C8719E">
        <w:rPr>
          <w:color w:val="auto"/>
          <w:sz w:val="22"/>
          <w:szCs w:val="22"/>
        </w:rPr>
        <w:t xml:space="preserve">June 2021. </w:t>
      </w:r>
      <w:r w:rsidR="00443B3F">
        <w:rPr>
          <w:color w:val="auto"/>
          <w:sz w:val="22"/>
          <w:szCs w:val="22"/>
        </w:rPr>
        <w:t>Adult education</w:t>
      </w:r>
      <w:r w:rsidR="00443B3F" w:rsidRPr="00C8719E">
        <w:rPr>
          <w:color w:val="auto"/>
          <w:sz w:val="22"/>
          <w:szCs w:val="22"/>
        </w:rPr>
        <w:t xml:space="preserve"> </w:t>
      </w:r>
      <w:r w:rsidRPr="00C8719E">
        <w:rPr>
          <w:color w:val="auto"/>
          <w:sz w:val="22"/>
          <w:szCs w:val="22"/>
        </w:rPr>
        <w:t>students in Minnesota’s correctional facilities also performed well on the GED exam, with 133 test-based high school equivalency diplomas issued in 2020</w:t>
      </w:r>
      <w:r w:rsidR="004F61D3" w:rsidRPr="004F61D3">
        <w:rPr>
          <w:color w:val="auto"/>
          <w:sz w:val="22"/>
          <w:szCs w:val="22"/>
        </w:rPr>
        <w:t>–20</w:t>
      </w:r>
      <w:r w:rsidRPr="00C8719E">
        <w:rPr>
          <w:color w:val="auto"/>
          <w:sz w:val="22"/>
          <w:szCs w:val="22"/>
        </w:rPr>
        <w:t xml:space="preserve">21. The GED passing rate for MN DOC programs was 84%. </w:t>
      </w:r>
      <w:r w:rsidR="00443B3F">
        <w:rPr>
          <w:color w:val="auto"/>
          <w:sz w:val="22"/>
          <w:szCs w:val="22"/>
        </w:rPr>
        <w:t>Adult e</w:t>
      </w:r>
      <w:r w:rsidR="00F75DA8">
        <w:rPr>
          <w:color w:val="auto"/>
          <w:sz w:val="22"/>
          <w:szCs w:val="22"/>
        </w:rPr>
        <w:t>d</w:t>
      </w:r>
      <w:r w:rsidR="00443B3F">
        <w:rPr>
          <w:color w:val="auto"/>
          <w:sz w:val="22"/>
          <w:szCs w:val="22"/>
        </w:rPr>
        <w:t>ucation</w:t>
      </w:r>
      <w:r w:rsidR="00443B3F" w:rsidRPr="00C8719E">
        <w:rPr>
          <w:color w:val="auto"/>
          <w:sz w:val="22"/>
          <w:szCs w:val="22"/>
        </w:rPr>
        <w:t xml:space="preserve"> </w:t>
      </w:r>
      <w:r w:rsidRPr="00C8719E">
        <w:rPr>
          <w:color w:val="auto"/>
          <w:sz w:val="22"/>
          <w:szCs w:val="22"/>
        </w:rPr>
        <w:t xml:space="preserve">programming and assessment was significantly impacted by COVID-19 related restrictions throughout FY </w:t>
      </w:r>
      <w:r w:rsidR="00443B3F">
        <w:rPr>
          <w:color w:val="auto"/>
          <w:sz w:val="22"/>
          <w:szCs w:val="22"/>
        </w:rPr>
        <w:t>20</w:t>
      </w:r>
      <w:r w:rsidRPr="00C8719E">
        <w:rPr>
          <w:color w:val="auto"/>
          <w:sz w:val="22"/>
          <w:szCs w:val="22"/>
        </w:rPr>
        <w:t>21.</w:t>
      </w:r>
    </w:p>
    <w:p w14:paraId="275D3F7D" w14:textId="01373DE1" w:rsidR="00F071D8" w:rsidRPr="00887534" w:rsidRDefault="00887534" w:rsidP="00887534">
      <w:pPr>
        <w:pStyle w:val="xmsonormal"/>
        <w:rPr>
          <w:rFonts w:ascii="Calibri" w:hAnsi="Calibri" w:cs="Calibri"/>
          <w:sz w:val="22"/>
          <w:szCs w:val="22"/>
        </w:rPr>
      </w:pPr>
      <w:r w:rsidRPr="00C8719E">
        <w:rPr>
          <w:rFonts w:ascii="Calibri" w:hAnsi="Calibri" w:cs="Calibri"/>
          <w:sz w:val="22"/>
          <w:szCs w:val="22"/>
        </w:rPr>
        <w:t xml:space="preserve">Education within the Minnesota Department of Corrections is based on a vision of inclusive excellence. MN DOC’s intensive educational and training programs provide the opportunity for individuals to bridge into postsecondary career pathways options. MN DOC also offers mental health services and other support services to facilitate stability. These policies and strategies promote a robust system of </w:t>
      </w:r>
      <w:r w:rsidR="00443B3F">
        <w:rPr>
          <w:rFonts w:ascii="Calibri" w:hAnsi="Calibri" w:cs="Calibri"/>
          <w:sz w:val="22"/>
          <w:szCs w:val="22"/>
        </w:rPr>
        <w:t>adult education</w:t>
      </w:r>
      <w:r w:rsidR="00443B3F" w:rsidRPr="00C8719E">
        <w:rPr>
          <w:rFonts w:ascii="Calibri" w:hAnsi="Calibri" w:cs="Calibri"/>
          <w:sz w:val="22"/>
          <w:szCs w:val="22"/>
        </w:rPr>
        <w:t xml:space="preserve"> </w:t>
      </w:r>
      <w:r w:rsidRPr="00C8719E">
        <w:rPr>
          <w:rFonts w:ascii="Calibri" w:hAnsi="Calibri" w:cs="Calibri"/>
          <w:sz w:val="22"/>
          <w:szCs w:val="22"/>
        </w:rPr>
        <w:t xml:space="preserve">within </w:t>
      </w:r>
      <w:r w:rsidR="0050159D">
        <w:rPr>
          <w:rFonts w:ascii="Calibri" w:hAnsi="Calibri" w:cs="Calibri"/>
          <w:sz w:val="22"/>
          <w:szCs w:val="22"/>
        </w:rPr>
        <w:t>Minnesota</w:t>
      </w:r>
      <w:r w:rsidRPr="00C8719E">
        <w:rPr>
          <w:rFonts w:ascii="Calibri" w:hAnsi="Calibri" w:cs="Calibri"/>
          <w:sz w:val="22"/>
          <w:szCs w:val="22"/>
        </w:rPr>
        <w:t xml:space="preserve"> prisons. MN DOC funds their education program with </w:t>
      </w:r>
      <w:r w:rsidR="00443B3F">
        <w:rPr>
          <w:rFonts w:ascii="Calibri" w:hAnsi="Calibri" w:cs="Calibri"/>
          <w:sz w:val="22"/>
          <w:szCs w:val="22"/>
        </w:rPr>
        <w:t>adult education</w:t>
      </w:r>
      <w:r w:rsidR="00443B3F" w:rsidRPr="00C8719E">
        <w:rPr>
          <w:rFonts w:ascii="Calibri" w:hAnsi="Calibri" w:cs="Calibri"/>
          <w:sz w:val="22"/>
          <w:szCs w:val="22"/>
        </w:rPr>
        <w:t xml:space="preserve"> </w:t>
      </w:r>
      <w:r w:rsidRPr="00C8719E">
        <w:rPr>
          <w:rFonts w:ascii="Calibri" w:hAnsi="Calibri" w:cs="Calibri"/>
          <w:sz w:val="22"/>
          <w:szCs w:val="22"/>
        </w:rPr>
        <w:t>funding and also with supplemental corrections funding.</w:t>
      </w:r>
    </w:p>
    <w:sectPr w:rsidR="00F071D8" w:rsidRPr="00887534" w:rsidSect="003816D3">
      <w:headerReference w:type="default" r:id="rId25"/>
      <w:footerReference w:type="default" r:id="rId26"/>
      <w:footerReference w:type="first" r:id="rId27"/>
      <w:type w:val="continuous"/>
      <w:pgSz w:w="12240" w:h="15840" w:code="1"/>
      <w:pgMar w:top="1080" w:right="1080" w:bottom="108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2926A" w14:textId="77777777" w:rsidR="000B115A" w:rsidRDefault="000B115A" w:rsidP="00D91FF4">
      <w:r>
        <w:separator/>
      </w:r>
    </w:p>
  </w:endnote>
  <w:endnote w:type="continuationSeparator" w:id="0">
    <w:p w14:paraId="4FC5A713" w14:textId="77777777" w:rsidR="000B115A" w:rsidRDefault="000B115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29E7" w14:textId="630DCBBC" w:rsidR="000B115A" w:rsidRDefault="000B115A" w:rsidP="001B143F">
    <w:pPr>
      <w:pStyle w:val="Footer"/>
      <w:jc w:val="center"/>
    </w:pPr>
    <w:r w:rsidRPr="00AF5107">
      <w:fldChar w:fldCharType="begin"/>
    </w:r>
    <w:r w:rsidRPr="00AF5107">
      <w:instrText xml:space="preserve"> PAGE   \* MERGEFORMAT </w:instrText>
    </w:r>
    <w:r w:rsidRPr="00AF5107">
      <w:fldChar w:fldCharType="separate"/>
    </w:r>
    <w:r w:rsidR="003816D3">
      <w:rPr>
        <w:noProof/>
      </w:rPr>
      <w:t>2</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4287" w14:textId="77777777" w:rsidR="000B115A" w:rsidRPr="00B437C8" w:rsidRDefault="000B115A"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2779" w14:textId="77777777" w:rsidR="000B115A" w:rsidRDefault="000B115A" w:rsidP="00D91FF4">
      <w:r>
        <w:separator/>
      </w:r>
    </w:p>
  </w:footnote>
  <w:footnote w:type="continuationSeparator" w:id="0">
    <w:p w14:paraId="36D18BD9" w14:textId="77777777" w:rsidR="000B115A" w:rsidRDefault="000B115A"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4892" w14:textId="77777777" w:rsidR="000B115A" w:rsidRDefault="000B115A" w:rsidP="00F527D3">
    <w:pPr>
      <w:pStyle w:val="Header"/>
    </w:pPr>
  </w:p>
  <w:p w14:paraId="67DBFFA6" w14:textId="77777777" w:rsidR="000B115A" w:rsidRDefault="000B115A" w:rsidP="00F527D3">
    <w:pPr>
      <w:pStyle w:val="Header"/>
    </w:pPr>
  </w:p>
  <w:p w14:paraId="7DEB71D2" w14:textId="77777777" w:rsidR="000B115A" w:rsidRDefault="000B115A" w:rsidP="00F527D3">
    <w:pPr>
      <w:pStyle w:val="Header"/>
    </w:pPr>
    <w:r w:rsidRPr="00F527D3">
      <w:t>Minnesota Adult Education Annual AEFLA Performance Report, Program Year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52774D"/>
    <w:multiLevelType w:val="hybridMultilevel"/>
    <w:tmpl w:val="2438C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A1CCF"/>
    <w:multiLevelType w:val="hybridMultilevel"/>
    <w:tmpl w:val="C198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564FB"/>
    <w:multiLevelType w:val="hybridMultilevel"/>
    <w:tmpl w:val="A0428564"/>
    <w:lvl w:ilvl="0" w:tplc="10500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23E51"/>
    <w:multiLevelType w:val="hybridMultilevel"/>
    <w:tmpl w:val="D0F02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4E24E2B"/>
    <w:multiLevelType w:val="hybridMultilevel"/>
    <w:tmpl w:val="01161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06AE4"/>
    <w:multiLevelType w:val="hybridMultilevel"/>
    <w:tmpl w:val="297C0168"/>
    <w:lvl w:ilvl="0" w:tplc="04090001">
      <w:start w:val="1"/>
      <w:numFmt w:val="bullet"/>
      <w:lvlText w:val=""/>
      <w:lvlJc w:val="left"/>
      <w:pPr>
        <w:ind w:left="360" w:hanging="360"/>
      </w:pPr>
      <w:rPr>
        <w:rFonts w:ascii="Symbol" w:hAnsi="Symbol" w:hint="default"/>
        <w:b/>
        <w:bCs/>
        <w:sz w:val="24"/>
        <w:szCs w:val="24"/>
      </w:rPr>
    </w:lvl>
    <w:lvl w:ilvl="1" w:tplc="04090001">
      <w:start w:val="1"/>
      <w:numFmt w:val="bullet"/>
      <w:lvlText w:val=""/>
      <w:lvlJc w:val="left"/>
      <w:pPr>
        <w:ind w:left="820" w:hanging="360"/>
      </w:pPr>
      <w:rPr>
        <w:rFonts w:ascii="Symbol" w:hAnsi="Symbol" w:hint="default"/>
        <w:spacing w:val="-1"/>
        <w:sz w:val="24"/>
        <w:szCs w:val="24"/>
      </w:rPr>
    </w:lvl>
    <w:lvl w:ilvl="2" w:tplc="E87672A8">
      <w:start w:val="1"/>
      <w:numFmt w:val="bullet"/>
      <w:lvlText w:val=""/>
      <w:lvlJc w:val="left"/>
      <w:pPr>
        <w:ind w:left="1180" w:hanging="360"/>
      </w:pPr>
      <w:rPr>
        <w:rFonts w:ascii="Symbol" w:eastAsia="Symbol" w:hAnsi="Symbol" w:hint="default"/>
        <w:sz w:val="24"/>
        <w:szCs w:val="24"/>
      </w:rPr>
    </w:lvl>
    <w:lvl w:ilvl="3" w:tplc="39B2DE30">
      <w:start w:val="1"/>
      <w:numFmt w:val="bullet"/>
      <w:lvlText w:val="•"/>
      <w:lvlJc w:val="left"/>
      <w:pPr>
        <w:ind w:left="2227" w:hanging="360"/>
      </w:pPr>
      <w:rPr>
        <w:rFonts w:hint="default"/>
      </w:rPr>
    </w:lvl>
    <w:lvl w:ilvl="4" w:tplc="61C07036">
      <w:start w:val="1"/>
      <w:numFmt w:val="bullet"/>
      <w:lvlText w:val="•"/>
      <w:lvlJc w:val="left"/>
      <w:pPr>
        <w:ind w:left="3275" w:hanging="360"/>
      </w:pPr>
      <w:rPr>
        <w:rFonts w:hint="default"/>
      </w:rPr>
    </w:lvl>
    <w:lvl w:ilvl="5" w:tplc="53322AD4">
      <w:start w:val="1"/>
      <w:numFmt w:val="bullet"/>
      <w:lvlText w:val="•"/>
      <w:lvlJc w:val="left"/>
      <w:pPr>
        <w:ind w:left="4322" w:hanging="360"/>
      </w:pPr>
      <w:rPr>
        <w:rFonts w:hint="default"/>
      </w:rPr>
    </w:lvl>
    <w:lvl w:ilvl="6" w:tplc="903820B0">
      <w:start w:val="1"/>
      <w:numFmt w:val="bullet"/>
      <w:lvlText w:val="•"/>
      <w:lvlJc w:val="left"/>
      <w:pPr>
        <w:ind w:left="5370" w:hanging="360"/>
      </w:pPr>
      <w:rPr>
        <w:rFonts w:hint="default"/>
      </w:rPr>
    </w:lvl>
    <w:lvl w:ilvl="7" w:tplc="8AD6D2EC">
      <w:start w:val="1"/>
      <w:numFmt w:val="bullet"/>
      <w:lvlText w:val="•"/>
      <w:lvlJc w:val="left"/>
      <w:pPr>
        <w:ind w:left="6417" w:hanging="360"/>
      </w:pPr>
      <w:rPr>
        <w:rFonts w:hint="default"/>
      </w:rPr>
    </w:lvl>
    <w:lvl w:ilvl="8" w:tplc="37A8A76A">
      <w:start w:val="1"/>
      <w:numFmt w:val="bullet"/>
      <w:lvlText w:val="•"/>
      <w:lvlJc w:val="left"/>
      <w:pPr>
        <w:ind w:left="7465" w:hanging="360"/>
      </w:pPr>
      <w:rPr>
        <w:rFont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46CB9"/>
    <w:multiLevelType w:val="hybridMultilevel"/>
    <w:tmpl w:val="7D36E99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6"/>
  </w:num>
  <w:num w:numId="4">
    <w:abstractNumId w:val="22"/>
  </w:num>
  <w:num w:numId="5">
    <w:abstractNumId w:val="19"/>
  </w:num>
  <w:num w:numId="6">
    <w:abstractNumId w:val="4"/>
  </w:num>
  <w:num w:numId="7">
    <w:abstractNumId w:val="13"/>
  </w:num>
  <w:num w:numId="8">
    <w:abstractNumId w:val="8"/>
  </w:num>
  <w:num w:numId="9">
    <w:abstractNumId w:val="11"/>
  </w:num>
  <w:num w:numId="10">
    <w:abstractNumId w:val="2"/>
  </w:num>
  <w:num w:numId="11">
    <w:abstractNumId w:val="2"/>
  </w:num>
  <w:num w:numId="12">
    <w:abstractNumId w:val="27"/>
  </w:num>
  <w:num w:numId="13">
    <w:abstractNumId w:val="28"/>
  </w:num>
  <w:num w:numId="14">
    <w:abstractNumId w:val="17"/>
  </w:num>
  <w:num w:numId="15">
    <w:abstractNumId w:val="2"/>
  </w:num>
  <w:num w:numId="16">
    <w:abstractNumId w:val="28"/>
  </w:num>
  <w:num w:numId="17">
    <w:abstractNumId w:val="17"/>
  </w:num>
  <w:num w:numId="18">
    <w:abstractNumId w:val="10"/>
  </w:num>
  <w:num w:numId="19">
    <w:abstractNumId w:val="5"/>
  </w:num>
  <w:num w:numId="20">
    <w:abstractNumId w:val="1"/>
  </w:num>
  <w:num w:numId="21">
    <w:abstractNumId w:val="0"/>
  </w:num>
  <w:num w:numId="22">
    <w:abstractNumId w:val="9"/>
  </w:num>
  <w:num w:numId="23">
    <w:abstractNumId w:val="21"/>
  </w:num>
  <w:num w:numId="24">
    <w:abstractNumId w:val="23"/>
  </w:num>
  <w:num w:numId="25">
    <w:abstractNumId w:val="23"/>
  </w:num>
  <w:num w:numId="26">
    <w:abstractNumId w:val="24"/>
  </w:num>
  <w:num w:numId="27">
    <w:abstractNumId w:val="12"/>
  </w:num>
  <w:num w:numId="28">
    <w:abstractNumId w:val="15"/>
  </w:num>
  <w:num w:numId="29">
    <w:abstractNumId w:val="7"/>
  </w:num>
  <w:num w:numId="30">
    <w:abstractNumId w:val="14"/>
  </w:num>
  <w:num w:numId="31">
    <w:abstractNumId w:val="18"/>
  </w:num>
  <w:num w:numId="32">
    <w:abstractNumId w:val="20"/>
  </w:num>
  <w:num w:numId="33">
    <w:abstractNumId w:val="25"/>
  </w:num>
  <w:num w:numId="3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D3"/>
    <w:rsid w:val="00002DEC"/>
    <w:rsid w:val="00005497"/>
    <w:rsid w:val="000065AC"/>
    <w:rsid w:val="00006A0A"/>
    <w:rsid w:val="00021F9D"/>
    <w:rsid w:val="00040C79"/>
    <w:rsid w:val="00064B90"/>
    <w:rsid w:val="000722DA"/>
    <w:rsid w:val="0007374A"/>
    <w:rsid w:val="00077A06"/>
    <w:rsid w:val="00080404"/>
    <w:rsid w:val="00084742"/>
    <w:rsid w:val="0009408D"/>
    <w:rsid w:val="000B0A75"/>
    <w:rsid w:val="000B115A"/>
    <w:rsid w:val="000B2E68"/>
    <w:rsid w:val="000B5540"/>
    <w:rsid w:val="000B7F2D"/>
    <w:rsid w:val="000C3708"/>
    <w:rsid w:val="000C3761"/>
    <w:rsid w:val="000C7373"/>
    <w:rsid w:val="000E313B"/>
    <w:rsid w:val="000E3E9D"/>
    <w:rsid w:val="000F4BB1"/>
    <w:rsid w:val="00107932"/>
    <w:rsid w:val="00135082"/>
    <w:rsid w:val="00135DC7"/>
    <w:rsid w:val="00147ED1"/>
    <w:rsid w:val="001500D6"/>
    <w:rsid w:val="00157C41"/>
    <w:rsid w:val="0016451B"/>
    <w:rsid w:val="001661D9"/>
    <w:rsid w:val="001708EC"/>
    <w:rsid w:val="0017374F"/>
    <w:rsid w:val="00187983"/>
    <w:rsid w:val="001925A8"/>
    <w:rsid w:val="001934FB"/>
    <w:rsid w:val="0019673D"/>
    <w:rsid w:val="00197518"/>
    <w:rsid w:val="00197F44"/>
    <w:rsid w:val="001A46BB"/>
    <w:rsid w:val="001A5A8F"/>
    <w:rsid w:val="001B143F"/>
    <w:rsid w:val="001B3F34"/>
    <w:rsid w:val="001B6FD0"/>
    <w:rsid w:val="001B7D48"/>
    <w:rsid w:val="001C3208"/>
    <w:rsid w:val="001C55E0"/>
    <w:rsid w:val="001E5573"/>
    <w:rsid w:val="001E5ECF"/>
    <w:rsid w:val="002048AB"/>
    <w:rsid w:val="00211CA3"/>
    <w:rsid w:val="00222A49"/>
    <w:rsid w:val="0022552E"/>
    <w:rsid w:val="00227E68"/>
    <w:rsid w:val="00232F7C"/>
    <w:rsid w:val="00234BFE"/>
    <w:rsid w:val="00236CB0"/>
    <w:rsid w:val="00261247"/>
    <w:rsid w:val="00264652"/>
    <w:rsid w:val="0026674F"/>
    <w:rsid w:val="00280071"/>
    <w:rsid w:val="00281C1E"/>
    <w:rsid w:val="00282084"/>
    <w:rsid w:val="00291052"/>
    <w:rsid w:val="00291628"/>
    <w:rsid w:val="002A12EA"/>
    <w:rsid w:val="002B4F46"/>
    <w:rsid w:val="002B57CC"/>
    <w:rsid w:val="002B5E79"/>
    <w:rsid w:val="002C0859"/>
    <w:rsid w:val="002C4D0D"/>
    <w:rsid w:val="002E7098"/>
    <w:rsid w:val="002F1947"/>
    <w:rsid w:val="00306D94"/>
    <w:rsid w:val="003125DF"/>
    <w:rsid w:val="003306BB"/>
    <w:rsid w:val="00330A0B"/>
    <w:rsid w:val="00335736"/>
    <w:rsid w:val="00335AC1"/>
    <w:rsid w:val="003563D2"/>
    <w:rsid w:val="00376FA5"/>
    <w:rsid w:val="003816D3"/>
    <w:rsid w:val="003A1479"/>
    <w:rsid w:val="003A1813"/>
    <w:rsid w:val="003B7D82"/>
    <w:rsid w:val="003C4644"/>
    <w:rsid w:val="003C5BE3"/>
    <w:rsid w:val="003E064D"/>
    <w:rsid w:val="003E36BE"/>
    <w:rsid w:val="00403EA9"/>
    <w:rsid w:val="00413A7C"/>
    <w:rsid w:val="004141DD"/>
    <w:rsid w:val="00443B3F"/>
    <w:rsid w:val="00443DC4"/>
    <w:rsid w:val="00461804"/>
    <w:rsid w:val="004643F7"/>
    <w:rsid w:val="00466810"/>
    <w:rsid w:val="004708F2"/>
    <w:rsid w:val="0047706A"/>
    <w:rsid w:val="004816B5"/>
    <w:rsid w:val="00483DD2"/>
    <w:rsid w:val="004914DB"/>
    <w:rsid w:val="00494E6F"/>
    <w:rsid w:val="004A1B4D"/>
    <w:rsid w:val="004A58DD"/>
    <w:rsid w:val="004A5F63"/>
    <w:rsid w:val="004A6119"/>
    <w:rsid w:val="004B47DC"/>
    <w:rsid w:val="004E3DF6"/>
    <w:rsid w:val="004E4F0C"/>
    <w:rsid w:val="004E75B3"/>
    <w:rsid w:val="004F04BA"/>
    <w:rsid w:val="004F0EFF"/>
    <w:rsid w:val="004F61D3"/>
    <w:rsid w:val="0050093F"/>
    <w:rsid w:val="0050159D"/>
    <w:rsid w:val="00514788"/>
    <w:rsid w:val="005322D4"/>
    <w:rsid w:val="0054371B"/>
    <w:rsid w:val="0056615E"/>
    <w:rsid w:val="005666F2"/>
    <w:rsid w:val="0057515F"/>
    <w:rsid w:val="0058227B"/>
    <w:rsid w:val="0058799E"/>
    <w:rsid w:val="005A2BD8"/>
    <w:rsid w:val="005A4E4E"/>
    <w:rsid w:val="005B0053"/>
    <w:rsid w:val="005B2DDF"/>
    <w:rsid w:val="005B4AE7"/>
    <w:rsid w:val="005B53B0"/>
    <w:rsid w:val="005C16A2"/>
    <w:rsid w:val="005C16D8"/>
    <w:rsid w:val="005C25BD"/>
    <w:rsid w:val="005D4207"/>
    <w:rsid w:val="005D4509"/>
    <w:rsid w:val="005D4525"/>
    <w:rsid w:val="005D45B3"/>
    <w:rsid w:val="005E3FC1"/>
    <w:rsid w:val="005F6005"/>
    <w:rsid w:val="006017B9"/>
    <w:rsid w:val="00601B3F"/>
    <w:rsid w:val="006044D6"/>
    <w:rsid w:val="006064AB"/>
    <w:rsid w:val="00621BD2"/>
    <w:rsid w:val="00622BB5"/>
    <w:rsid w:val="00642974"/>
    <w:rsid w:val="00652D74"/>
    <w:rsid w:val="006547B1"/>
    <w:rsid w:val="00655345"/>
    <w:rsid w:val="0065683E"/>
    <w:rsid w:val="006575CB"/>
    <w:rsid w:val="00672536"/>
    <w:rsid w:val="00681EDC"/>
    <w:rsid w:val="00683D66"/>
    <w:rsid w:val="0068649F"/>
    <w:rsid w:val="00687189"/>
    <w:rsid w:val="00697CCC"/>
    <w:rsid w:val="006B13B7"/>
    <w:rsid w:val="006B2942"/>
    <w:rsid w:val="006B3994"/>
    <w:rsid w:val="006B602F"/>
    <w:rsid w:val="006C0E45"/>
    <w:rsid w:val="006D4829"/>
    <w:rsid w:val="006E18EC"/>
    <w:rsid w:val="006E26FF"/>
    <w:rsid w:val="006F3B38"/>
    <w:rsid w:val="006F6A39"/>
    <w:rsid w:val="007114FB"/>
    <w:rsid w:val="007137A4"/>
    <w:rsid w:val="00717762"/>
    <w:rsid w:val="0074778B"/>
    <w:rsid w:val="0077225E"/>
    <w:rsid w:val="007857F7"/>
    <w:rsid w:val="00793F48"/>
    <w:rsid w:val="007953AA"/>
    <w:rsid w:val="007B35B2"/>
    <w:rsid w:val="007C0F69"/>
    <w:rsid w:val="007D1FFF"/>
    <w:rsid w:val="007D42A0"/>
    <w:rsid w:val="007E685C"/>
    <w:rsid w:val="007F0E1B"/>
    <w:rsid w:val="007F6108"/>
    <w:rsid w:val="007F7097"/>
    <w:rsid w:val="00806678"/>
    <w:rsid w:val="008067A6"/>
    <w:rsid w:val="008140CC"/>
    <w:rsid w:val="0081643D"/>
    <w:rsid w:val="008251B3"/>
    <w:rsid w:val="00844F1D"/>
    <w:rsid w:val="008472FF"/>
    <w:rsid w:val="0084749F"/>
    <w:rsid w:val="00864202"/>
    <w:rsid w:val="00887534"/>
    <w:rsid w:val="008B5443"/>
    <w:rsid w:val="008B7A1E"/>
    <w:rsid w:val="008C5637"/>
    <w:rsid w:val="008C7EEB"/>
    <w:rsid w:val="008D0DEF"/>
    <w:rsid w:val="008D2256"/>
    <w:rsid w:val="008D5E3D"/>
    <w:rsid w:val="008E09D4"/>
    <w:rsid w:val="008F7133"/>
    <w:rsid w:val="00905BC6"/>
    <w:rsid w:val="0090737A"/>
    <w:rsid w:val="00916191"/>
    <w:rsid w:val="00931C22"/>
    <w:rsid w:val="00934D2F"/>
    <w:rsid w:val="009401F5"/>
    <w:rsid w:val="00944217"/>
    <w:rsid w:val="0094786F"/>
    <w:rsid w:val="009515EA"/>
    <w:rsid w:val="0096108C"/>
    <w:rsid w:val="009627B1"/>
    <w:rsid w:val="00963BA0"/>
    <w:rsid w:val="00967764"/>
    <w:rsid w:val="009810EE"/>
    <w:rsid w:val="009837DB"/>
    <w:rsid w:val="00984CC9"/>
    <w:rsid w:val="00990E51"/>
    <w:rsid w:val="0099233F"/>
    <w:rsid w:val="009A0D02"/>
    <w:rsid w:val="009B54A0"/>
    <w:rsid w:val="009B6259"/>
    <w:rsid w:val="009C6405"/>
    <w:rsid w:val="009E2EAA"/>
    <w:rsid w:val="009F6B2C"/>
    <w:rsid w:val="00A018DE"/>
    <w:rsid w:val="00A02DC2"/>
    <w:rsid w:val="00A034CE"/>
    <w:rsid w:val="00A13AE2"/>
    <w:rsid w:val="00A30799"/>
    <w:rsid w:val="00A32244"/>
    <w:rsid w:val="00A3782A"/>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0C64"/>
    <w:rsid w:val="00AD122F"/>
    <w:rsid w:val="00AD39DA"/>
    <w:rsid w:val="00AD5DFE"/>
    <w:rsid w:val="00AE5772"/>
    <w:rsid w:val="00AE6448"/>
    <w:rsid w:val="00AF22AD"/>
    <w:rsid w:val="00AF5107"/>
    <w:rsid w:val="00B06264"/>
    <w:rsid w:val="00B07C8F"/>
    <w:rsid w:val="00B275D4"/>
    <w:rsid w:val="00B437C8"/>
    <w:rsid w:val="00B43824"/>
    <w:rsid w:val="00B75051"/>
    <w:rsid w:val="00B77CC5"/>
    <w:rsid w:val="00B82F89"/>
    <w:rsid w:val="00B859DE"/>
    <w:rsid w:val="00BC1E9C"/>
    <w:rsid w:val="00BC686F"/>
    <w:rsid w:val="00BD0E59"/>
    <w:rsid w:val="00BD2B3C"/>
    <w:rsid w:val="00BE0288"/>
    <w:rsid w:val="00BE3444"/>
    <w:rsid w:val="00C05A8E"/>
    <w:rsid w:val="00C12D2F"/>
    <w:rsid w:val="00C277A8"/>
    <w:rsid w:val="00C309AE"/>
    <w:rsid w:val="00C365CE"/>
    <w:rsid w:val="00C417EB"/>
    <w:rsid w:val="00C528AE"/>
    <w:rsid w:val="00C7160D"/>
    <w:rsid w:val="00C90830"/>
    <w:rsid w:val="00CA5D23"/>
    <w:rsid w:val="00CE0FEE"/>
    <w:rsid w:val="00CE45B0"/>
    <w:rsid w:val="00CF1393"/>
    <w:rsid w:val="00CF1CAD"/>
    <w:rsid w:val="00CF4F3A"/>
    <w:rsid w:val="00D0014D"/>
    <w:rsid w:val="00D03A3F"/>
    <w:rsid w:val="00D22819"/>
    <w:rsid w:val="00D33929"/>
    <w:rsid w:val="00D511F0"/>
    <w:rsid w:val="00D54EE5"/>
    <w:rsid w:val="00D55F48"/>
    <w:rsid w:val="00D63F82"/>
    <w:rsid w:val="00D640FC"/>
    <w:rsid w:val="00D70F7D"/>
    <w:rsid w:val="00D761F7"/>
    <w:rsid w:val="00D80155"/>
    <w:rsid w:val="00D91FF4"/>
    <w:rsid w:val="00D92929"/>
    <w:rsid w:val="00D93C2E"/>
    <w:rsid w:val="00D970A5"/>
    <w:rsid w:val="00DB4224"/>
    <w:rsid w:val="00DB4967"/>
    <w:rsid w:val="00DC1A1C"/>
    <w:rsid w:val="00DC2198"/>
    <w:rsid w:val="00DC22CF"/>
    <w:rsid w:val="00DE0F15"/>
    <w:rsid w:val="00DE50CB"/>
    <w:rsid w:val="00DF019D"/>
    <w:rsid w:val="00E11623"/>
    <w:rsid w:val="00E1669D"/>
    <w:rsid w:val="00E206AE"/>
    <w:rsid w:val="00E20F02"/>
    <w:rsid w:val="00E229C1"/>
    <w:rsid w:val="00E22D97"/>
    <w:rsid w:val="00E23397"/>
    <w:rsid w:val="00E32CD7"/>
    <w:rsid w:val="00E37DF5"/>
    <w:rsid w:val="00E44EE1"/>
    <w:rsid w:val="00E45AFA"/>
    <w:rsid w:val="00E5241D"/>
    <w:rsid w:val="00E55EE8"/>
    <w:rsid w:val="00E5680C"/>
    <w:rsid w:val="00E61A16"/>
    <w:rsid w:val="00E7358D"/>
    <w:rsid w:val="00E73D6F"/>
    <w:rsid w:val="00E76267"/>
    <w:rsid w:val="00EA535B"/>
    <w:rsid w:val="00EC579D"/>
    <w:rsid w:val="00ED5870"/>
    <w:rsid w:val="00ED5BDC"/>
    <w:rsid w:val="00ED5BEC"/>
    <w:rsid w:val="00ED7DAC"/>
    <w:rsid w:val="00EE36C2"/>
    <w:rsid w:val="00EE4763"/>
    <w:rsid w:val="00EF32CB"/>
    <w:rsid w:val="00EF373D"/>
    <w:rsid w:val="00EF5AEB"/>
    <w:rsid w:val="00F067A6"/>
    <w:rsid w:val="00F071D8"/>
    <w:rsid w:val="00F20B25"/>
    <w:rsid w:val="00F212F3"/>
    <w:rsid w:val="00F278C3"/>
    <w:rsid w:val="00F3166F"/>
    <w:rsid w:val="00F527D3"/>
    <w:rsid w:val="00F70C03"/>
    <w:rsid w:val="00F75DA8"/>
    <w:rsid w:val="00F773D2"/>
    <w:rsid w:val="00F9084A"/>
    <w:rsid w:val="00F96EE8"/>
    <w:rsid w:val="00FB0741"/>
    <w:rsid w:val="00FB6E40"/>
    <w:rsid w:val="00FC19E2"/>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7037F"/>
  <w15:docId w15:val="{E89904FB-1ED4-4075-AAC4-F367CF56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4F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6F6A39"/>
    <w:pPr>
      <w:keepNext/>
      <w:spacing w:before="240" w:after="120"/>
      <w:outlineLvl w:val="3"/>
    </w:pPr>
    <w:rPr>
      <w:rFonts w:eastAsiaTheme="majorEastAsia" w:cstheme="majorBidi"/>
      <w:b/>
      <w:bCs/>
      <w:iCs/>
      <w:color w:val="003865" w:themeColor="accent1"/>
      <w:sz w:val="24"/>
      <w:szCs w:val="24"/>
      <w:lang w:bidi="ar-SA"/>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semiHidden/>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aliases w:val="Indented Paragraph Char"/>
    <w:basedOn w:val="DefaultParagraphFont"/>
    <w:link w:val="ListParagraph"/>
    <w:rsid w:val="00DB4224"/>
  </w:style>
  <w:style w:type="paragraph" w:styleId="Header">
    <w:name w:val="header"/>
    <w:basedOn w:val="Normal"/>
    <w:link w:val="HeaderChar"/>
    <w:uiPriority w:val="99"/>
    <w:unhideWhenUsed/>
    <w:rsid w:val="00F52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527D3"/>
  </w:style>
  <w:style w:type="paragraph" w:customStyle="1" w:styleId="NumberListLevel3">
    <w:name w:val="Number List Level 3"/>
    <w:basedOn w:val="ListParagraph"/>
    <w:qFormat/>
    <w:rsid w:val="004E4F0C"/>
    <w:pPr>
      <w:numPr>
        <w:numId w:val="0"/>
      </w:numPr>
      <w:tabs>
        <w:tab w:val="num" w:pos="360"/>
      </w:tabs>
      <w:spacing w:before="120" w:after="120" w:line="240" w:lineRule="auto"/>
      <w:ind w:left="1440" w:hanging="360"/>
    </w:pPr>
    <w:rPr>
      <w:rFonts w:ascii="Arial" w:eastAsiaTheme="minorHAnsi" w:hAnsi="Arial" w:cstheme="minorBidi"/>
      <w:lang w:bidi="ar-SA"/>
    </w:rPr>
  </w:style>
  <w:style w:type="paragraph" w:styleId="CommentText">
    <w:name w:val="annotation text"/>
    <w:basedOn w:val="Normal"/>
    <w:link w:val="CommentTextChar"/>
    <w:uiPriority w:val="99"/>
    <w:semiHidden/>
    <w:unhideWhenUsed/>
    <w:rsid w:val="004E4F0C"/>
    <w:pPr>
      <w:spacing w:before="12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4E4F0C"/>
    <w:rPr>
      <w:rFonts w:ascii="Arial" w:eastAsiaTheme="minorHAnsi" w:hAnsi="Arial" w:cstheme="minorBidi"/>
      <w:sz w:val="20"/>
      <w:szCs w:val="20"/>
      <w:lang w:bidi="ar-SA"/>
    </w:rPr>
  </w:style>
  <w:style w:type="character" w:styleId="CommentReference">
    <w:name w:val="annotation reference"/>
    <w:basedOn w:val="DefaultParagraphFont"/>
    <w:uiPriority w:val="99"/>
    <w:semiHidden/>
    <w:unhideWhenUsed/>
    <w:rsid w:val="004E4F0C"/>
    <w:rPr>
      <w:sz w:val="16"/>
      <w:szCs w:val="16"/>
    </w:rPr>
  </w:style>
  <w:style w:type="paragraph" w:customStyle="1" w:styleId="Default">
    <w:name w:val="Default"/>
    <w:rsid w:val="00887534"/>
    <w:pPr>
      <w:autoSpaceDE w:val="0"/>
      <w:autoSpaceDN w:val="0"/>
      <w:adjustRightInd w:val="0"/>
      <w:spacing w:before="0" w:line="240" w:lineRule="auto"/>
    </w:pPr>
    <w:rPr>
      <w:rFonts w:cs="Calibri"/>
      <w:color w:val="000000"/>
      <w:sz w:val="24"/>
      <w:szCs w:val="24"/>
      <w:lang w:bidi="ar-SA"/>
    </w:rPr>
  </w:style>
  <w:style w:type="paragraph" w:customStyle="1" w:styleId="xmsonormal">
    <w:name w:val="x_msonormal"/>
    <w:basedOn w:val="Normal"/>
    <w:rsid w:val="00887534"/>
    <w:pPr>
      <w:spacing w:before="100" w:beforeAutospacing="1" w:after="100" w:afterAutospacing="1" w:line="240" w:lineRule="auto"/>
    </w:pPr>
    <w:rPr>
      <w:rFonts w:ascii="Times New Roman" w:hAnsi="Times New Roman"/>
      <w:sz w:val="24"/>
      <w:szCs w:val="24"/>
      <w:lang w:bidi="ar-SA"/>
    </w:rPr>
  </w:style>
  <w:style w:type="paragraph" w:styleId="CommentSubject">
    <w:name w:val="annotation subject"/>
    <w:basedOn w:val="CommentText"/>
    <w:next w:val="CommentText"/>
    <w:link w:val="CommentSubjectChar"/>
    <w:semiHidden/>
    <w:unhideWhenUsed/>
    <w:rsid w:val="0058799E"/>
    <w:pPr>
      <w:spacing w:before="200"/>
    </w:pPr>
    <w:rPr>
      <w:rFonts w:ascii="Calibri" w:eastAsia="Times New Roman" w:hAnsi="Calibri" w:cs="Times New Roman"/>
      <w:b/>
      <w:bCs/>
      <w:lang w:bidi="en-US"/>
    </w:rPr>
  </w:style>
  <w:style w:type="character" w:customStyle="1" w:styleId="CommentSubjectChar">
    <w:name w:val="Comment Subject Char"/>
    <w:basedOn w:val="CommentTextChar"/>
    <w:link w:val="CommentSubject"/>
    <w:semiHidden/>
    <w:rsid w:val="0058799E"/>
    <w:rPr>
      <w:rFonts w:ascii="Arial" w:eastAsiaTheme="minorHAnsi" w:hAnsi="Arial" w:cstheme="minorBidi"/>
      <w:b/>
      <w:bCs/>
      <w:sz w:val="20"/>
      <w:szCs w:val="20"/>
      <w:lang w:bidi="ar-SA"/>
    </w:rPr>
  </w:style>
  <w:style w:type="character" w:styleId="FollowedHyperlink">
    <w:name w:val="FollowedHyperlink"/>
    <w:basedOn w:val="DefaultParagraphFont"/>
    <w:semiHidden/>
    <w:unhideWhenUsed/>
    <w:rsid w:val="00335AC1"/>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26234121">
      <w:bodyDiv w:val="1"/>
      <w:marLeft w:val="0"/>
      <w:marRight w:val="0"/>
      <w:marTop w:val="0"/>
      <w:marBottom w:val="0"/>
      <w:divBdr>
        <w:top w:val="none" w:sz="0" w:space="0" w:color="auto"/>
        <w:left w:val="none" w:sz="0" w:space="0" w:color="auto"/>
        <w:bottom w:val="none" w:sz="0" w:space="0" w:color="auto"/>
        <w:right w:val="none" w:sz="0" w:space="0" w:color="auto"/>
      </w:divBdr>
    </w:div>
    <w:div w:id="13459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lUrz7VTkCnXb_7wPfh2U1w" TargetMode="External"/><Relationship Id="rId13" Type="http://schemas.openxmlformats.org/officeDocument/2006/relationships/hyperlink" Target="https://www.literacymn.org/distancelearning" TargetMode="External"/><Relationship Id="rId18" Type="http://schemas.openxmlformats.org/officeDocument/2006/relationships/hyperlink" Target="https://www.careerforcemn.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tlasabe.org/key-activities/aces/" TargetMode="External"/><Relationship Id="rId7" Type="http://schemas.openxmlformats.org/officeDocument/2006/relationships/endnotes" Target="endnotes.xml"/><Relationship Id="rId12" Type="http://schemas.openxmlformats.org/officeDocument/2006/relationships/hyperlink" Target="https://gcc01.safelinks.protection.outlook.com/?url=https%3A%2F%2Fliteracymn.crhosts.cloud%2F&amp;data=04%7C01%7CAstrid.Liden%40state.mn.us%7C99873c6a86ba4ccde0ce08d896e047e6%7Ceb14b04624c445198f26b89c2159828c%7C0%7C0%7C637425237310836097%7CUnknown%7CTWFpbGZsb3d8eyJWIjoiMC4wLjAwMDAiLCJQIjoiV2luMzIiLCJBTiI6Ik1haWwiLCJXVCI6Mn0%3D%7C1000&amp;sdata=%2Bw7Kx9LU4c6EBTV%2B8ZADlrQ5pxBcYJlTenmYbMI%2BygI%3D&amp;reserved=0" TargetMode="External"/><Relationship Id="rId17" Type="http://schemas.openxmlformats.org/officeDocument/2006/relationships/hyperlink" Target="http://www.mnabe.org/accountability-reporting/performance-targets-resul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andamn.org/" TargetMode="External"/><Relationship Id="rId20" Type="http://schemas.openxmlformats.org/officeDocument/2006/relationships/hyperlink" Target="https://mn.gov/deed/assets/workforce-development-areas_tcm1045-26493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lasabe.org/resources/" TargetMode="External"/><Relationship Id="rId24" Type="http://schemas.openxmlformats.org/officeDocument/2006/relationships/hyperlink" Target="https://mn.gov/doc/assets/Prison_Education_Evaluation_Research_in_Brief_Final_tcm1089-270907.pdf" TargetMode="External"/><Relationship Id="rId5" Type="http://schemas.openxmlformats.org/officeDocument/2006/relationships/webSettings" Target="webSettings.xml"/><Relationship Id="rId15" Type="http://schemas.openxmlformats.org/officeDocument/2006/relationships/hyperlink" Target="http://www.literacymn.org" TargetMode="External"/><Relationship Id="rId23" Type="http://schemas.openxmlformats.org/officeDocument/2006/relationships/hyperlink" Target="https://atlasabe.org/resources/ccr-standards/" TargetMode="External"/><Relationship Id="rId28" Type="http://schemas.openxmlformats.org/officeDocument/2006/relationships/fontTable" Target="fontTable.xml"/><Relationship Id="rId10" Type="http://schemas.openxmlformats.org/officeDocument/2006/relationships/hyperlink" Target="https://www.literacymn.org/distancelearning" TargetMode="External"/><Relationship Id="rId19" Type="http://schemas.openxmlformats.org/officeDocument/2006/relationships/hyperlink" Target="http://bridgetobenefits.org/Home2" TargetMode="External"/><Relationship Id="rId4" Type="http://schemas.openxmlformats.org/officeDocument/2006/relationships/settings" Target="settings.xml"/><Relationship Id="rId9" Type="http://schemas.openxmlformats.org/officeDocument/2006/relationships/hyperlink" Target="http://www.mnabe.org" TargetMode="External"/><Relationship Id="rId14" Type="http://schemas.openxmlformats.org/officeDocument/2006/relationships/hyperlink" Target="http://www.mnabe.org/accountability-reporting" TargetMode="External"/><Relationship Id="rId22" Type="http://schemas.openxmlformats.org/officeDocument/2006/relationships/hyperlink" Target="http://www.digitalliteracyassessment.org"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incau\appdata\local\microsoft\office\MDE_Templates_W10_O2016\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1863-D0E8-45B4-A999-BF6C25A0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Use</Template>
  <TotalTime>1</TotalTime>
  <Pages>10</Pages>
  <Words>5395</Words>
  <Characters>33893</Characters>
  <Application>Microsoft Office Word</Application>
  <DocSecurity>4</DocSecurity>
  <Lines>282</Lines>
  <Paragraphs>78</Paragraphs>
  <ScaleCrop>false</ScaleCrop>
  <HeadingPairs>
    <vt:vector size="2" baseType="variant">
      <vt:variant>
        <vt:lpstr>Title</vt:lpstr>
      </vt:variant>
      <vt:variant>
        <vt:i4>1</vt:i4>
      </vt:variant>
    </vt:vector>
  </HeadingPairs>
  <TitlesOfParts>
    <vt:vector size="1" baseType="lpstr">
      <vt:lpstr/>
    </vt:vector>
  </TitlesOfParts>
  <Manager/>
  <Company>State of Minnesota</Company>
  <LinksUpToDate>false</LinksUpToDate>
  <CharactersWithSpaces>39210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 Allard</dc:creator>
  <cp:keywords/>
  <dc:description/>
  <cp:lastModifiedBy>Washington, Stephanie</cp:lastModifiedBy>
  <cp:revision>2</cp:revision>
  <dcterms:created xsi:type="dcterms:W3CDTF">2022-03-29T12:40:00Z</dcterms:created>
  <dcterms:modified xsi:type="dcterms:W3CDTF">2022-03-29T12:40:00Z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