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0799" w14:textId="1F3E5AA1" w:rsidR="00BC370A" w:rsidRPr="002E0C57" w:rsidRDefault="00CA55B4" w:rsidP="00175B11">
      <w:pPr>
        <w:rPr>
          <w:rFonts w:cstheme="minorHAnsi"/>
          <w:b/>
          <w:bCs/>
          <w:i/>
          <w:iCs/>
        </w:rPr>
      </w:pPr>
      <w:r w:rsidRPr="000A77C7">
        <w:rPr>
          <w:rFonts w:cstheme="minorHAnsi"/>
          <w:b/>
          <w:bCs/>
          <w:i/>
          <w:iCs/>
        </w:rPr>
        <w:t>Maine Narrative Report PY</w:t>
      </w:r>
      <w:r w:rsidR="007C5BD6" w:rsidRPr="000A77C7">
        <w:rPr>
          <w:rFonts w:cstheme="minorHAnsi"/>
          <w:b/>
          <w:bCs/>
          <w:i/>
          <w:iCs/>
        </w:rPr>
        <w:t xml:space="preserve"> 20</w:t>
      </w:r>
      <w:r w:rsidR="009D1775" w:rsidRPr="000A77C7">
        <w:rPr>
          <w:rFonts w:cstheme="minorHAnsi"/>
          <w:b/>
          <w:bCs/>
          <w:i/>
          <w:iCs/>
        </w:rPr>
        <w:t xml:space="preserve">20 </w:t>
      </w:r>
    </w:p>
    <w:p w14:paraId="5E864ACA" w14:textId="74B1453B" w:rsidR="00406D04" w:rsidRPr="002E0C57" w:rsidRDefault="00DA7A9E" w:rsidP="00406D04">
      <w:pPr>
        <w:pStyle w:val="ListParagraph"/>
        <w:numPr>
          <w:ilvl w:val="0"/>
          <w:numId w:val="8"/>
        </w:numPr>
        <w:rPr>
          <w:rFonts w:asciiTheme="minorHAnsi" w:hAnsiTheme="minorHAnsi" w:cstheme="minorHAnsi"/>
          <w:b/>
          <w:bCs/>
          <w:i/>
          <w:iCs/>
        </w:rPr>
      </w:pPr>
      <w:r w:rsidRPr="002E0C57">
        <w:rPr>
          <w:rFonts w:asciiTheme="minorHAnsi" w:hAnsiTheme="minorHAnsi" w:cstheme="minorHAnsi"/>
          <w:b/>
          <w:bCs/>
          <w:i/>
          <w:iCs/>
        </w:rPr>
        <w:t xml:space="preserve">State Leadership Funds </w:t>
      </w:r>
    </w:p>
    <w:p w14:paraId="4FB9E484" w14:textId="77777777" w:rsidR="00175B11" w:rsidRPr="002E0C57" w:rsidRDefault="00175B11" w:rsidP="00857586">
      <w:pPr>
        <w:pStyle w:val="ListParagraph"/>
        <w:rPr>
          <w:rFonts w:asciiTheme="minorHAnsi" w:hAnsiTheme="minorHAnsi" w:cstheme="minorHAnsi"/>
          <w:b/>
          <w:bCs/>
          <w:i/>
          <w:iCs/>
        </w:rPr>
      </w:pPr>
    </w:p>
    <w:p w14:paraId="4653C38A" w14:textId="2594E2FC" w:rsidR="00406D04" w:rsidRPr="002E0C57" w:rsidRDefault="00627724" w:rsidP="00627724">
      <w:pPr>
        <w:rPr>
          <w:rFonts w:cstheme="minorHAnsi"/>
          <w:b/>
          <w:bCs/>
          <w:i/>
          <w:iCs/>
        </w:rPr>
      </w:pPr>
      <w:r w:rsidRPr="002E0C57">
        <w:rPr>
          <w:rFonts w:cstheme="minorHAnsi"/>
          <w:b/>
          <w:bCs/>
          <w:i/>
          <w:iCs/>
        </w:rPr>
        <w:t>i.</w:t>
      </w:r>
      <w:r w:rsidR="00CD0449">
        <w:rPr>
          <w:rFonts w:cstheme="minorHAnsi"/>
          <w:b/>
          <w:bCs/>
          <w:i/>
          <w:iCs/>
        </w:rPr>
        <w:t xml:space="preserve"> </w:t>
      </w:r>
      <w:r w:rsidRPr="002E0C57">
        <w:rPr>
          <w:rFonts w:cstheme="minorHAnsi"/>
          <w:b/>
          <w:bCs/>
          <w:i/>
          <w:iCs/>
        </w:rPr>
        <w:t>Alignment</w:t>
      </w:r>
      <w:r w:rsidR="000F4362" w:rsidRPr="002E0C57">
        <w:rPr>
          <w:rFonts w:cstheme="minorHAnsi"/>
          <w:b/>
          <w:bCs/>
          <w:i/>
          <w:iCs/>
        </w:rPr>
        <w:t xml:space="preserve"> of adult education and literacy activities with other one-stop partners to implement the strategies in the Unifie</w:t>
      </w:r>
      <w:r w:rsidR="00126B73" w:rsidRPr="002E0C57">
        <w:rPr>
          <w:rFonts w:cstheme="minorHAnsi"/>
          <w:b/>
          <w:bCs/>
          <w:i/>
          <w:iCs/>
        </w:rPr>
        <w:t>d or Combined State Plan as described in section 223(1)(a).</w:t>
      </w:r>
    </w:p>
    <w:p w14:paraId="56FE14A9" w14:textId="265B88C6" w:rsidR="001349A8" w:rsidRPr="002E0C57" w:rsidRDefault="00673F31" w:rsidP="00627724">
      <w:pPr>
        <w:rPr>
          <w:rFonts w:cstheme="minorHAnsi"/>
        </w:rPr>
      </w:pPr>
      <w:r>
        <w:rPr>
          <w:rFonts w:cstheme="minorHAnsi"/>
        </w:rPr>
        <w:t>Each of the s</w:t>
      </w:r>
      <w:r w:rsidR="003776C6">
        <w:rPr>
          <w:rFonts w:cstheme="minorHAnsi"/>
        </w:rPr>
        <w:t xml:space="preserve">tate’s </w:t>
      </w:r>
      <w:r w:rsidR="00594515" w:rsidRPr="002E0C57">
        <w:rPr>
          <w:rFonts w:cstheme="minorHAnsi"/>
        </w:rPr>
        <w:t xml:space="preserve">three </w:t>
      </w:r>
      <w:r w:rsidR="00DC018E" w:rsidRPr="002E0C57">
        <w:rPr>
          <w:rFonts w:cstheme="minorHAnsi"/>
        </w:rPr>
        <w:t>workforce board</w:t>
      </w:r>
      <w:r>
        <w:rPr>
          <w:rFonts w:cstheme="minorHAnsi"/>
        </w:rPr>
        <w:t xml:space="preserve">s’ </w:t>
      </w:r>
      <w:r w:rsidR="00B77C4E">
        <w:rPr>
          <w:rFonts w:cstheme="minorHAnsi"/>
        </w:rPr>
        <w:t>o</w:t>
      </w:r>
      <w:r>
        <w:rPr>
          <w:rFonts w:cstheme="minorHAnsi"/>
        </w:rPr>
        <w:t>ne-stop operators</w:t>
      </w:r>
      <w:r w:rsidR="00DC018E" w:rsidRPr="002E0C57">
        <w:rPr>
          <w:rFonts w:cstheme="minorHAnsi"/>
        </w:rPr>
        <w:t xml:space="preserve"> </w:t>
      </w:r>
      <w:r w:rsidR="00723766" w:rsidRPr="002E0C57">
        <w:rPr>
          <w:rFonts w:cstheme="minorHAnsi"/>
        </w:rPr>
        <w:t>host</w:t>
      </w:r>
      <w:r w:rsidR="00DC018E" w:rsidRPr="002E0C57">
        <w:rPr>
          <w:rFonts w:cstheme="minorHAnsi"/>
        </w:rPr>
        <w:t xml:space="preserve"> regular meetings </w:t>
      </w:r>
      <w:r w:rsidR="00723766" w:rsidRPr="002E0C57">
        <w:rPr>
          <w:rFonts w:cstheme="minorHAnsi"/>
        </w:rPr>
        <w:t xml:space="preserve">for </w:t>
      </w:r>
      <w:r w:rsidR="00DC018E" w:rsidRPr="002E0C57">
        <w:rPr>
          <w:rFonts w:cstheme="minorHAnsi"/>
        </w:rPr>
        <w:t>one-stop partner</w:t>
      </w:r>
      <w:r w:rsidR="00B77C4E">
        <w:rPr>
          <w:rFonts w:cstheme="minorHAnsi"/>
        </w:rPr>
        <w:t>s</w:t>
      </w:r>
      <w:r w:rsidR="00F36A0E">
        <w:rPr>
          <w:rFonts w:cstheme="minorHAnsi"/>
        </w:rPr>
        <w:t xml:space="preserve">. </w:t>
      </w:r>
      <w:r w:rsidR="009A7318">
        <w:rPr>
          <w:rFonts w:cstheme="minorHAnsi"/>
        </w:rPr>
        <w:t xml:space="preserve">Meetings were held </w:t>
      </w:r>
      <w:proofErr w:type="gramStart"/>
      <w:r w:rsidR="009A7318">
        <w:rPr>
          <w:rFonts w:cstheme="minorHAnsi"/>
        </w:rPr>
        <w:t>remotely</w:t>
      </w:r>
      <w:proofErr w:type="gramEnd"/>
      <w:r w:rsidR="009A7318">
        <w:rPr>
          <w:rFonts w:cstheme="minorHAnsi"/>
        </w:rPr>
        <w:t xml:space="preserve"> and </w:t>
      </w:r>
      <w:r w:rsidR="00DC018E" w:rsidRPr="002E0C57">
        <w:rPr>
          <w:rFonts w:cstheme="minorHAnsi"/>
        </w:rPr>
        <w:t>agenda item</w:t>
      </w:r>
      <w:r w:rsidR="00723766" w:rsidRPr="002E0C57">
        <w:rPr>
          <w:rFonts w:cstheme="minorHAnsi"/>
        </w:rPr>
        <w:t>s</w:t>
      </w:r>
      <w:r w:rsidR="00B77C4E">
        <w:rPr>
          <w:rFonts w:cstheme="minorHAnsi"/>
        </w:rPr>
        <w:t xml:space="preserve"> continue</w:t>
      </w:r>
      <w:r w:rsidR="009A7318">
        <w:rPr>
          <w:rFonts w:cstheme="minorHAnsi"/>
        </w:rPr>
        <w:t>d</w:t>
      </w:r>
      <w:r w:rsidR="00B77C4E">
        <w:rPr>
          <w:rFonts w:cstheme="minorHAnsi"/>
        </w:rPr>
        <w:t xml:space="preserve"> to focus</w:t>
      </w:r>
      <w:r w:rsidR="00B97239">
        <w:rPr>
          <w:rFonts w:cstheme="minorHAnsi"/>
        </w:rPr>
        <w:t xml:space="preserve"> </w:t>
      </w:r>
      <w:r w:rsidR="007C6541">
        <w:rPr>
          <w:rFonts w:cstheme="minorHAnsi"/>
        </w:rPr>
        <w:t xml:space="preserve">on </w:t>
      </w:r>
      <w:r w:rsidR="00B97239">
        <w:rPr>
          <w:rFonts w:cstheme="minorHAnsi"/>
        </w:rPr>
        <w:t>how to best address needs exacerbated by COVID-19</w:t>
      </w:r>
      <w:r w:rsidR="009A7318">
        <w:rPr>
          <w:rFonts w:cstheme="minorHAnsi"/>
        </w:rPr>
        <w:t xml:space="preserve"> a</w:t>
      </w:r>
      <w:r w:rsidR="007C6541">
        <w:rPr>
          <w:rFonts w:cstheme="minorHAnsi"/>
        </w:rPr>
        <w:t xml:space="preserve">midst the added </w:t>
      </w:r>
      <w:r w:rsidR="009A7318">
        <w:rPr>
          <w:rFonts w:cstheme="minorHAnsi"/>
        </w:rPr>
        <w:t xml:space="preserve">challenges of </w:t>
      </w:r>
      <w:r w:rsidR="00F907A3">
        <w:rPr>
          <w:rFonts w:cstheme="minorHAnsi"/>
        </w:rPr>
        <w:t>diminished staff.</w:t>
      </w:r>
    </w:p>
    <w:p w14:paraId="283D831F" w14:textId="703A385E" w:rsidR="00126B73" w:rsidRPr="002E0C57" w:rsidRDefault="00F045D0" w:rsidP="00627724">
      <w:pPr>
        <w:rPr>
          <w:rFonts w:cstheme="minorHAnsi"/>
        </w:rPr>
      </w:pPr>
      <w:r>
        <w:rPr>
          <w:rFonts w:cstheme="minorHAnsi"/>
        </w:rPr>
        <w:t>Hoping to b</w:t>
      </w:r>
      <w:r w:rsidR="00B7679B">
        <w:rPr>
          <w:rFonts w:cstheme="minorHAnsi"/>
        </w:rPr>
        <w:t xml:space="preserve">uild on the progress made in </w:t>
      </w:r>
      <w:r w:rsidR="006E3518" w:rsidRPr="002E0C57">
        <w:rPr>
          <w:rFonts w:cstheme="minorHAnsi"/>
        </w:rPr>
        <w:t>PY19</w:t>
      </w:r>
      <w:r w:rsidR="00D62233">
        <w:rPr>
          <w:rFonts w:cstheme="minorHAnsi"/>
        </w:rPr>
        <w:t xml:space="preserve">, local </w:t>
      </w:r>
      <w:r w:rsidR="00D30E70">
        <w:rPr>
          <w:rFonts w:cstheme="minorHAnsi"/>
        </w:rPr>
        <w:t xml:space="preserve">adult education </w:t>
      </w:r>
      <w:r w:rsidR="00D62233">
        <w:rPr>
          <w:rFonts w:cstheme="minorHAnsi"/>
        </w:rPr>
        <w:t xml:space="preserve">providers </w:t>
      </w:r>
      <w:r>
        <w:rPr>
          <w:rFonts w:cstheme="minorHAnsi"/>
        </w:rPr>
        <w:t>found the</w:t>
      </w:r>
      <w:r w:rsidR="00B40763">
        <w:rPr>
          <w:rFonts w:cstheme="minorHAnsi"/>
        </w:rPr>
        <w:t>ir</w:t>
      </w:r>
      <w:r>
        <w:rPr>
          <w:rFonts w:cstheme="minorHAnsi"/>
        </w:rPr>
        <w:t xml:space="preserve"> efforts with</w:t>
      </w:r>
      <w:r w:rsidR="00B40763">
        <w:rPr>
          <w:rFonts w:cstheme="minorHAnsi"/>
        </w:rPr>
        <w:t xml:space="preserve"> the community colleges on pause. </w:t>
      </w:r>
      <w:r>
        <w:rPr>
          <w:rFonts w:cstheme="minorHAnsi"/>
        </w:rPr>
        <w:t xml:space="preserve"> </w:t>
      </w:r>
      <w:r w:rsidR="00B40763">
        <w:rPr>
          <w:rFonts w:cstheme="minorHAnsi"/>
        </w:rPr>
        <w:t xml:space="preserve">With most students going remote, the adult education center on a community college campus </w:t>
      </w:r>
      <w:r w:rsidR="0077205B">
        <w:rPr>
          <w:rFonts w:cstheme="minorHAnsi"/>
        </w:rPr>
        <w:t xml:space="preserve">did not serve as many students </w:t>
      </w:r>
      <w:r w:rsidR="007C28BD">
        <w:rPr>
          <w:rFonts w:cstheme="minorHAnsi"/>
        </w:rPr>
        <w:t xml:space="preserve">there </w:t>
      </w:r>
      <w:r w:rsidR="0077205B">
        <w:rPr>
          <w:rFonts w:cstheme="minorHAnsi"/>
        </w:rPr>
        <w:t>as anticipated</w:t>
      </w:r>
      <w:r w:rsidR="00D30E70">
        <w:rPr>
          <w:rFonts w:cstheme="minorHAnsi"/>
        </w:rPr>
        <w:t xml:space="preserve"> and our state level work on implementing free classes for adults and Ability to Benefit stalled</w:t>
      </w:r>
      <w:r w:rsidR="0077205B">
        <w:rPr>
          <w:rFonts w:cstheme="minorHAnsi"/>
        </w:rPr>
        <w:t xml:space="preserve">. </w:t>
      </w:r>
      <w:r w:rsidR="001D703F">
        <w:rPr>
          <w:rFonts w:cstheme="minorHAnsi"/>
        </w:rPr>
        <w:t>To help meet the demand for entry level healthcare providers, the</w:t>
      </w:r>
      <w:r w:rsidR="007C28BD">
        <w:rPr>
          <w:rFonts w:cstheme="minorHAnsi"/>
        </w:rPr>
        <w:t xml:space="preserve"> community college system did </w:t>
      </w:r>
      <w:r w:rsidR="00FE05B6">
        <w:rPr>
          <w:rFonts w:cstheme="minorHAnsi"/>
        </w:rPr>
        <w:t>contract adult education programs to deliver additional courses</w:t>
      </w:r>
      <w:r w:rsidR="00654292">
        <w:rPr>
          <w:rFonts w:cstheme="minorHAnsi"/>
        </w:rPr>
        <w:t xml:space="preserve"> and our collaborative work</w:t>
      </w:r>
      <w:r w:rsidR="00FE05B6">
        <w:rPr>
          <w:rFonts w:cstheme="minorHAnsi"/>
        </w:rPr>
        <w:t xml:space="preserve"> with the university system</w:t>
      </w:r>
      <w:r w:rsidR="009D07AD">
        <w:rPr>
          <w:rFonts w:cstheme="minorHAnsi"/>
        </w:rPr>
        <w:t xml:space="preserve"> </w:t>
      </w:r>
      <w:r w:rsidR="00654292">
        <w:rPr>
          <w:rFonts w:cstheme="minorHAnsi"/>
        </w:rPr>
        <w:t>on micr</w:t>
      </w:r>
      <w:r w:rsidR="009D07AD">
        <w:rPr>
          <w:rFonts w:cstheme="minorHAnsi"/>
        </w:rPr>
        <w:t>o-credentials</w:t>
      </w:r>
      <w:r w:rsidR="00FE05B6">
        <w:rPr>
          <w:rFonts w:cstheme="minorHAnsi"/>
        </w:rPr>
        <w:t xml:space="preserve"> </w:t>
      </w:r>
      <w:r w:rsidR="009D07AD">
        <w:rPr>
          <w:rFonts w:cstheme="minorHAnsi"/>
        </w:rPr>
        <w:t xml:space="preserve">and </w:t>
      </w:r>
      <w:r w:rsidR="00FE05B6">
        <w:rPr>
          <w:rFonts w:cstheme="minorHAnsi"/>
        </w:rPr>
        <w:t>implementation of the</w:t>
      </w:r>
      <w:r w:rsidR="000B56C4" w:rsidRPr="002E0C57">
        <w:rPr>
          <w:rFonts w:cstheme="minorHAnsi"/>
        </w:rPr>
        <w:t xml:space="preserve"> </w:t>
      </w:r>
      <w:r w:rsidR="009D07AD">
        <w:rPr>
          <w:rFonts w:cstheme="minorHAnsi"/>
        </w:rPr>
        <w:t xml:space="preserve">Computer Support Specialist </w:t>
      </w:r>
      <w:r w:rsidR="000B56C4" w:rsidRPr="002E0C57">
        <w:rPr>
          <w:rFonts w:cstheme="minorHAnsi"/>
        </w:rPr>
        <w:t>IT micro-credential</w:t>
      </w:r>
      <w:r w:rsidR="00CD0807">
        <w:rPr>
          <w:rFonts w:cstheme="minorHAnsi"/>
        </w:rPr>
        <w:t xml:space="preserve"> pilots</w:t>
      </w:r>
      <w:r w:rsidR="00743B99">
        <w:rPr>
          <w:rFonts w:cstheme="minorHAnsi"/>
        </w:rPr>
        <w:t xml:space="preserve"> continued.</w:t>
      </w:r>
    </w:p>
    <w:p w14:paraId="24F96EF4" w14:textId="7D7597FA" w:rsidR="000B7ECD" w:rsidRDefault="005544DA" w:rsidP="001E21C4">
      <w:pPr>
        <w:rPr>
          <w:rFonts w:cstheme="minorHAnsi"/>
          <w:b/>
          <w:bCs/>
          <w:i/>
          <w:iCs/>
        </w:rPr>
      </w:pPr>
      <w:r w:rsidRPr="002E0C57">
        <w:rPr>
          <w:rFonts w:cstheme="minorHAnsi"/>
          <w:b/>
          <w:bCs/>
          <w:i/>
          <w:iCs/>
        </w:rPr>
        <w:t>ii. Establishment or operation of high-quality</w:t>
      </w:r>
      <w:r w:rsidR="006770E4">
        <w:rPr>
          <w:rFonts w:cstheme="minorHAnsi"/>
          <w:b/>
          <w:bCs/>
          <w:i/>
          <w:iCs/>
        </w:rPr>
        <w:t xml:space="preserve"> professional</w:t>
      </w:r>
      <w:r w:rsidRPr="002E0C57">
        <w:rPr>
          <w:rFonts w:cstheme="minorHAnsi"/>
          <w:b/>
          <w:bCs/>
          <w:i/>
          <w:iCs/>
        </w:rPr>
        <w:t xml:space="preserve"> development programs as described in section 223(a)(1)(B).</w:t>
      </w:r>
    </w:p>
    <w:p w14:paraId="3CB0084A" w14:textId="2F1CF128" w:rsidR="002B0DE6" w:rsidRPr="009A07FB" w:rsidRDefault="002B0DE6" w:rsidP="002B0DE6">
      <w:r w:rsidRPr="009A07FB">
        <w:t xml:space="preserve">The State Office’s goals for the professional development system in </w:t>
      </w:r>
      <w:r w:rsidR="006770E4">
        <w:t>P</w:t>
      </w:r>
      <w:r w:rsidRPr="009A07FB">
        <w:t>Y2</w:t>
      </w:r>
      <w:r>
        <w:t>0</w:t>
      </w:r>
      <w:r w:rsidRPr="009A07FB">
        <w:t xml:space="preserve"> were to increase technical assistance related to distance</w:t>
      </w:r>
      <w:r>
        <w:t>/blended</w:t>
      </w:r>
      <w:r w:rsidRPr="009A07FB">
        <w:t xml:space="preserve"> learning</w:t>
      </w:r>
      <w:r w:rsidR="00886A2C">
        <w:t>,</w:t>
      </w:r>
      <w:r w:rsidRPr="009A07FB">
        <w:t xml:space="preserve"> digital </w:t>
      </w:r>
      <w:proofErr w:type="gramStart"/>
      <w:r w:rsidRPr="009A07FB">
        <w:t>literacy</w:t>
      </w:r>
      <w:r w:rsidR="00886A2C">
        <w:t>,</w:t>
      </w:r>
      <w:r>
        <w:t xml:space="preserve"> </w:t>
      </w:r>
      <w:r w:rsidR="00886A2C">
        <w:t xml:space="preserve"> learn</w:t>
      </w:r>
      <w:r w:rsidR="00017A8B">
        <w:t>er</w:t>
      </w:r>
      <w:proofErr w:type="gramEnd"/>
      <w:r w:rsidR="00886A2C">
        <w:t xml:space="preserve"> r</w:t>
      </w:r>
      <w:r>
        <w:t>esilience</w:t>
      </w:r>
      <w:r w:rsidR="00886A2C">
        <w:t>,</w:t>
      </w:r>
      <w:r w:rsidRPr="009A07FB">
        <w:t xml:space="preserve"> and to leverage the expertise in the field to deliver high-quality PD opportunities that improve adult education services for learners.</w:t>
      </w:r>
      <w:r w:rsidRPr="009A07FB">
        <w:rPr>
          <w:b/>
          <w:bCs/>
        </w:rPr>
        <w:t xml:space="preserve"> </w:t>
      </w:r>
    </w:p>
    <w:p w14:paraId="483AE516" w14:textId="0255DEFF" w:rsidR="002B0DE6" w:rsidRDefault="002B0DE6" w:rsidP="002B0DE6">
      <w:pPr>
        <w:widowControl w:val="0"/>
        <w:pBdr>
          <w:top w:val="nil"/>
          <w:left w:val="nil"/>
          <w:bottom w:val="nil"/>
          <w:right w:val="nil"/>
          <w:between w:val="nil"/>
        </w:pBdr>
        <w:spacing w:before="60"/>
      </w:pPr>
      <w:r w:rsidRPr="000F4AA3">
        <w:t xml:space="preserve">Our statewide professional development advisory committee made up of adult education staff representing a diversity of roles and providers, built on their work from </w:t>
      </w:r>
      <w:r w:rsidR="003502EB">
        <w:t>PY19</w:t>
      </w:r>
      <w:r w:rsidR="001973CB">
        <w:t>. Members e</w:t>
      </w:r>
      <w:r w:rsidRPr="000F4AA3">
        <w:t xml:space="preserve">xpanded the priorities for </w:t>
      </w:r>
      <w:r w:rsidR="003502EB">
        <w:t>PY</w:t>
      </w:r>
      <w:r w:rsidRPr="000F4AA3">
        <w:t>2</w:t>
      </w:r>
      <w:r w:rsidR="003502EB">
        <w:t>0</w:t>
      </w:r>
      <w:r w:rsidRPr="000F4AA3">
        <w:t xml:space="preserve"> to include developing a structure for regional hubs that fosters local instructional leadership, building a high-quality library of human and instructional resources, and creating professional learnings pathways for effective online teaching and learning. Workgroups tackled each of the goals throughout the year in regular meetings and continue to work on implementing their </w:t>
      </w:r>
      <w:r>
        <w:t>plans</w:t>
      </w:r>
      <w:r w:rsidRPr="000F4AA3">
        <w:t xml:space="preserve"> in </w:t>
      </w:r>
      <w:r w:rsidR="0025553B">
        <w:t>PY21</w:t>
      </w:r>
      <w:r w:rsidRPr="000F4AA3">
        <w:t>.</w:t>
      </w:r>
      <w:r>
        <w:t xml:space="preserve"> </w:t>
      </w:r>
    </w:p>
    <w:p w14:paraId="16734D8B" w14:textId="4AD6053C" w:rsidR="002B0DE6" w:rsidRPr="0087075F" w:rsidRDefault="002B0DE6" w:rsidP="002B0DE6">
      <w:pPr>
        <w:widowControl w:val="0"/>
        <w:pBdr>
          <w:top w:val="nil"/>
          <w:left w:val="nil"/>
          <w:bottom w:val="nil"/>
          <w:right w:val="nil"/>
          <w:between w:val="nil"/>
        </w:pBdr>
        <w:spacing w:before="60"/>
        <w:rPr>
          <w:b/>
          <w:i/>
          <w:sz w:val="24"/>
          <w:szCs w:val="24"/>
        </w:rPr>
      </w:pPr>
      <w:r>
        <w:t xml:space="preserve">The State Office solicited proposals </w:t>
      </w:r>
      <w:r w:rsidR="00CD4F66">
        <w:t>to serve as:</w:t>
      </w:r>
      <w:r>
        <w:t xml:space="preserve"> facilitators for webinars, mini-courses, or instructional strategies workshops. Mini-courses and instructional strategies workshops were to be grounded in research-based strategies and result in a practical application for participants. For example, participants in a distance learning instruction and assessment course used backwards design to develop their online or blended course, and participants in a social-emotional learning course developed an action plan for integrating social-emotional learning skills in their classrooms. </w:t>
      </w:r>
    </w:p>
    <w:p w14:paraId="60728B16" w14:textId="0574499E" w:rsidR="002B0DE6" w:rsidRPr="00F022BD" w:rsidRDefault="002B0DE6" w:rsidP="002B0DE6">
      <w:r w:rsidRPr="000418B4">
        <w:t xml:space="preserve">All professional development in </w:t>
      </w:r>
      <w:r w:rsidR="00807762">
        <w:t>PY</w:t>
      </w:r>
      <w:r w:rsidRPr="000418B4">
        <w:t>2</w:t>
      </w:r>
      <w:r w:rsidR="00807762">
        <w:t>0</w:t>
      </w:r>
      <w:r w:rsidRPr="000418B4">
        <w:t xml:space="preserve"> was delivered through Schoology or Zoom. The State Office has a well-established system for delivering professional development virtually, and before the pandemic, professional development offerings were mostly online to support the primarily part-time staff and the </w:t>
      </w:r>
      <w:r w:rsidRPr="000418B4">
        <w:lastRenderedPageBreak/>
        <w:t xml:space="preserve">geographical and logistical challenges local providers face in rural Maine. </w:t>
      </w:r>
      <w:r w:rsidRPr="00F022BD">
        <w:t>Professional development</w:t>
      </w:r>
      <w:r w:rsidR="00E76B5A">
        <w:t xml:space="preserve">, both </w:t>
      </w:r>
      <w:r w:rsidR="009A3F18">
        <w:t>facilitated and self-paced,</w:t>
      </w:r>
      <w:r w:rsidRPr="00F022BD">
        <w:t xml:space="preserve"> focused on improving instructional strategies, including the Adult Numeracy Instruction workshops, Reading Apprenticeship, courses in distance learning instruction and assessment, social emotional learning and advising, and CCRS-SIA and ELPS trainings</w:t>
      </w:r>
      <w:r>
        <w:t xml:space="preserve">. </w:t>
      </w:r>
      <w:r w:rsidRPr="00F022BD">
        <w:t>Course facilitators adjusted course content to consider remote learning contexts in addition to traditional in-person learning.</w:t>
      </w:r>
    </w:p>
    <w:p w14:paraId="254EB0AC" w14:textId="0F86F5ED" w:rsidR="002B0DE6" w:rsidRPr="00860F60" w:rsidRDefault="002B0DE6" w:rsidP="002B0DE6">
      <w:r w:rsidRPr="00860F60">
        <w:t>Staff trainings that were typically offered in-person before the pandemic moved to Zoom or were developed as on-demand</w:t>
      </w:r>
      <w:r w:rsidR="00132453">
        <w:t>, online</w:t>
      </w:r>
      <w:r w:rsidRPr="00860F60">
        <w:t xml:space="preserve"> modules resulting in greater participation and access. The CASAS implementation trainings, including new modules for analyzing </w:t>
      </w:r>
      <w:proofErr w:type="spellStart"/>
      <w:r w:rsidRPr="00860F60">
        <w:t>TopsPro</w:t>
      </w:r>
      <w:proofErr w:type="spellEnd"/>
      <w:r w:rsidRPr="00860F60">
        <w:t xml:space="preserve"> reports for instruction, and the Introduction to the English Language Proficiency Standards, using the LINCS modules, were delivered remotely. The HiSET Test Center Administrator training was developed as an on-demand training ma</w:t>
      </w:r>
      <w:r w:rsidR="0048753E">
        <w:t>king</w:t>
      </w:r>
      <w:r w:rsidRPr="00860F60">
        <w:t xml:space="preserve"> it more accessible for local providers</w:t>
      </w:r>
      <w:r w:rsidR="000C5313">
        <w:t xml:space="preserve"> </w:t>
      </w:r>
      <w:r w:rsidRPr="00860F60">
        <w:t>to train new staff. Most of the virtual trainings were recorded and shared in the state Schoology groups for later or repeated viewing.</w:t>
      </w:r>
    </w:p>
    <w:p w14:paraId="56DC7C9E" w14:textId="34C4CC45" w:rsidR="002B0DE6" w:rsidRPr="002973FE" w:rsidRDefault="002B0DE6" w:rsidP="002B0DE6">
      <w:r w:rsidRPr="002973FE">
        <w:t>To support the field with</w:t>
      </w:r>
      <w:r w:rsidR="000C5313">
        <w:t xml:space="preserve"> </w:t>
      </w:r>
      <w:r w:rsidR="00D042B0">
        <w:t xml:space="preserve">strategies for </w:t>
      </w:r>
      <w:r w:rsidRPr="002973FE">
        <w:t xml:space="preserve">remote and online learning, the State Office prioritized professional development and technical assistance in integrating technology and developing digital resilience among staff and students. Leveraging our state license for the IC3 Digital Literacy credential, we offered 20 adult education staff the opportunity to complete the credential with </w:t>
      </w:r>
      <w:r>
        <w:t xml:space="preserve">facilitated </w:t>
      </w:r>
      <w:r w:rsidRPr="002973FE">
        <w:t>support</w:t>
      </w:r>
      <w:r>
        <w:t>.</w:t>
      </w:r>
      <w:r w:rsidRPr="002973FE">
        <w:t xml:space="preserve"> </w:t>
      </w:r>
      <w:r w:rsidR="004B43CD">
        <w:t>A</w:t>
      </w:r>
      <w:r w:rsidRPr="002973FE">
        <w:t xml:space="preserve"> part-time</w:t>
      </w:r>
      <w:r w:rsidR="004B43CD">
        <w:t>,</w:t>
      </w:r>
      <w:r w:rsidRPr="002973FE">
        <w:t xml:space="preserve"> contracted position focused on coordinating and developing technology related professional development. This included development of a series of distance learning basics courses using the IDEAL Distance and Blended Learning Handbook as the foundation: Distance Learning Basics—unpacks the state’s distance education guidance and NRS requirements (self-paced and on-demand); Distance Learning Basics: Instruction &amp; Assessment—developing high-quality online and blended courses (facilitated), and Distance Learning Basics: Recruitment, Intake and Orientation</w:t>
      </w:r>
      <w:r>
        <w:t>—developing processes for distance learners (facilitated</w:t>
      </w:r>
      <w:r w:rsidRPr="002973FE">
        <w:t>). We also launched a twice monthly webinar series, Tech Talks, featuring adult education staff sharing how they use technology in their roles. Once a month the webinar focuse</w:t>
      </w:r>
      <w:r w:rsidR="00325473">
        <w:t>d</w:t>
      </w:r>
      <w:r w:rsidRPr="002973FE">
        <w:t xml:space="preserve"> on technology in instruction, </w:t>
      </w:r>
      <w:r w:rsidR="009B4289">
        <w:t>and</w:t>
      </w:r>
      <w:r w:rsidRPr="002973FE">
        <w:t xml:space="preserve"> the second of the month highlight</w:t>
      </w:r>
      <w:r w:rsidR="009B4289">
        <w:t>ed</w:t>
      </w:r>
      <w:r w:rsidRPr="002973FE">
        <w:t xml:space="preserve"> digital skills applicable to any staff role. Topics included using document cameras, organizing your Google Drive, using breakout rooms, and Excel spreadsheet tips and tricks. </w:t>
      </w:r>
      <w:r w:rsidR="00D66F40">
        <w:t>Maine’s</w:t>
      </w:r>
      <w:r w:rsidRPr="002973FE">
        <w:t xml:space="preserve"> IDEAL consortium </w:t>
      </w:r>
      <w:r w:rsidR="00D66F40">
        <w:t xml:space="preserve">membership </w:t>
      </w:r>
      <w:r w:rsidRPr="002973FE">
        <w:t xml:space="preserve">ensured that we had access to high-quality distance learning resources to share and access to technical assistance from the EdTech Center. </w:t>
      </w:r>
      <w:r>
        <w:t xml:space="preserve">We partnered with the EdTech Center to develop a Remote Instruction Observation Tool to assist the field with assessing effective remote teaching. </w:t>
      </w:r>
      <w:r w:rsidRPr="002973FE">
        <w:t>As IDEAL members</w:t>
      </w:r>
      <w:r w:rsidR="00FE7238">
        <w:t>,</w:t>
      </w:r>
      <w:r w:rsidR="00F74F4C">
        <w:t xml:space="preserve"> </w:t>
      </w:r>
      <w:r w:rsidRPr="002973FE">
        <w:t xml:space="preserve">we also offered introductory courses in blended and mobile learning and open educational resources through </w:t>
      </w:r>
      <w:proofErr w:type="spellStart"/>
      <w:r w:rsidRPr="002973FE">
        <w:t>WorldEd’s</w:t>
      </w:r>
      <w:proofErr w:type="spellEnd"/>
      <w:r w:rsidRPr="002973FE">
        <w:t xml:space="preserve"> </w:t>
      </w:r>
      <w:proofErr w:type="spellStart"/>
      <w:r w:rsidRPr="002973FE">
        <w:t>elearning</w:t>
      </w:r>
      <w:proofErr w:type="spellEnd"/>
      <w:r w:rsidRPr="002973FE">
        <w:t xml:space="preserve"> platform.</w:t>
      </w:r>
    </w:p>
    <w:p w14:paraId="63A593D6" w14:textId="512536E4" w:rsidR="002B0DE6" w:rsidRPr="00F35C5F" w:rsidRDefault="002B0DE6" w:rsidP="002B0DE6">
      <w:r w:rsidRPr="00F35C5F">
        <w:t>The State Office continued to share information and resources through the group feature of Schoology, the statewide listserv, and a weekly ICYMI (</w:t>
      </w:r>
      <w:r>
        <w:t>I</w:t>
      </w:r>
      <w:r w:rsidRPr="00F35C5F">
        <w:t xml:space="preserve">n </w:t>
      </w:r>
      <w:r>
        <w:t>C</w:t>
      </w:r>
      <w:r w:rsidRPr="00F35C5F">
        <w:t xml:space="preserve">ase </w:t>
      </w:r>
      <w:r>
        <w:t>Y</w:t>
      </w:r>
      <w:r w:rsidRPr="00F35C5F">
        <w:t xml:space="preserve">ou </w:t>
      </w:r>
      <w:r>
        <w:t>M</w:t>
      </w:r>
      <w:r w:rsidRPr="00F35C5F">
        <w:t xml:space="preserve">issed </w:t>
      </w:r>
      <w:r>
        <w:t>I</w:t>
      </w:r>
      <w:r w:rsidRPr="00F35C5F">
        <w:t xml:space="preserve">t) newsletter. Recordings of Tech Talks and other webinars/meetings, updates to guidance, reporting templates, etc. are shared in topic specific groups, such as State Office Technical Assistance, </w:t>
      </w:r>
      <w:proofErr w:type="spellStart"/>
      <w:r w:rsidRPr="00F35C5F">
        <w:t>HiSET</w:t>
      </w:r>
      <w:proofErr w:type="spellEnd"/>
      <w:r w:rsidRPr="00F35C5F">
        <w:t xml:space="preserve">, </w:t>
      </w:r>
      <w:proofErr w:type="spellStart"/>
      <w:r w:rsidRPr="00F35C5F">
        <w:t>eCASAS</w:t>
      </w:r>
      <w:proofErr w:type="spellEnd"/>
      <w:r w:rsidRPr="00F35C5F">
        <w:t>, and Data/</w:t>
      </w:r>
      <w:proofErr w:type="spellStart"/>
      <w:r w:rsidRPr="00F35C5F">
        <w:t>MaineSTARS</w:t>
      </w:r>
      <w:proofErr w:type="spellEnd"/>
      <w:r w:rsidRPr="00F35C5F">
        <w:t>. We continued to use the statewide listserv (over 300 members) to disseminate promising practices and to share listings for upcoming professional development opportunities sponsored by the State Office and our</w:t>
      </w:r>
      <w:r w:rsidR="00D96506">
        <w:t xml:space="preserve"> </w:t>
      </w:r>
      <w:r w:rsidRPr="00F35C5F">
        <w:lastRenderedPageBreak/>
        <w:t xml:space="preserve">partners. </w:t>
      </w:r>
      <w:r w:rsidRPr="00CB58EF">
        <w:t>The weekly ICYMI newsletter highlights key updates, upcoming professional development, links to articles or other resources, and successes from the field.</w:t>
      </w:r>
    </w:p>
    <w:p w14:paraId="62255BCC" w14:textId="1B61B7A2" w:rsidR="002B0DE6" w:rsidRPr="00875AC8" w:rsidRDefault="002B0DE6" w:rsidP="002B0DE6">
      <w:r>
        <w:t>Monthly</w:t>
      </w:r>
      <w:r w:rsidRPr="00875AC8">
        <w:t xml:space="preserve"> office hours</w:t>
      </w:r>
      <w:r w:rsidR="00793694">
        <w:t xml:space="preserve"> connected as a means </w:t>
      </w:r>
      <w:proofErr w:type="gramStart"/>
      <w:r w:rsidR="00793694">
        <w:t xml:space="preserve">to </w:t>
      </w:r>
      <w:r>
        <w:t xml:space="preserve"> connect</w:t>
      </w:r>
      <w:proofErr w:type="gramEnd"/>
      <w:r>
        <w:t xml:space="preserve"> staff from around the state. They </w:t>
      </w:r>
      <w:r w:rsidRPr="00875AC8">
        <w:t>are facilitated by local practitioners and offered for specific program roles (advising, data, ESOL teachers, math, and ELA/Literacy teachers). Office hours attendees determine the topics for discussion</w:t>
      </w:r>
      <w:r>
        <w:t>, and</w:t>
      </w:r>
      <w:r w:rsidRPr="00875AC8">
        <w:t xml:space="preserve"> </w:t>
      </w:r>
      <w:r>
        <w:t>r</w:t>
      </w:r>
      <w:r w:rsidRPr="00875AC8">
        <w:t>esources and notes are shared in Schoology.</w:t>
      </w:r>
    </w:p>
    <w:p w14:paraId="1388C39E" w14:textId="33F50B3A" w:rsidR="00961A60" w:rsidRPr="0006055C" w:rsidRDefault="002B0DE6" w:rsidP="0006055C">
      <w:pPr>
        <w:autoSpaceDE w:val="0"/>
        <w:autoSpaceDN w:val="0"/>
        <w:rPr>
          <w:rFonts w:cstheme="minorHAnsi"/>
          <w:bCs/>
          <w:strike/>
          <w:szCs w:val="28"/>
        </w:rPr>
      </w:pPr>
      <w:r w:rsidRPr="00CB58EF">
        <w:rPr>
          <w:rFonts w:cstheme="minorHAnsi"/>
          <w:bCs/>
          <w:szCs w:val="28"/>
        </w:rPr>
        <w:t>State Office personnel attend relevant and appropriate federal and regional technical assistance training</w:t>
      </w:r>
      <w:r w:rsidR="006E48C2">
        <w:rPr>
          <w:rFonts w:cstheme="minorHAnsi"/>
          <w:bCs/>
          <w:szCs w:val="28"/>
        </w:rPr>
        <w:t>:</w:t>
      </w:r>
      <w:r w:rsidRPr="00CB58EF">
        <w:rPr>
          <w:rFonts w:cstheme="minorHAnsi"/>
          <w:bCs/>
          <w:szCs w:val="28"/>
        </w:rPr>
        <w:t xml:space="preserve"> National Reporting System on-line trainings</w:t>
      </w:r>
      <w:r w:rsidR="006E48C2">
        <w:rPr>
          <w:rFonts w:cstheme="minorHAnsi"/>
          <w:bCs/>
          <w:szCs w:val="28"/>
        </w:rPr>
        <w:t>;</w:t>
      </w:r>
      <w:r w:rsidRPr="00CB58EF">
        <w:rPr>
          <w:rFonts w:cstheme="minorHAnsi"/>
          <w:bCs/>
          <w:szCs w:val="28"/>
        </w:rPr>
        <w:t xml:space="preserve"> OCTAE Shop </w:t>
      </w:r>
      <w:proofErr w:type="gramStart"/>
      <w:r w:rsidRPr="00CB58EF">
        <w:rPr>
          <w:rFonts w:cstheme="minorHAnsi"/>
          <w:bCs/>
          <w:szCs w:val="28"/>
        </w:rPr>
        <w:t>Talk</w:t>
      </w:r>
      <w:r w:rsidR="006E48C2">
        <w:rPr>
          <w:rFonts w:cstheme="minorHAnsi"/>
          <w:bCs/>
          <w:szCs w:val="28"/>
        </w:rPr>
        <w:t>s;</w:t>
      </w:r>
      <w:r w:rsidRPr="00CB58EF">
        <w:rPr>
          <w:rFonts w:cstheme="minorHAnsi"/>
          <w:bCs/>
          <w:szCs w:val="28"/>
        </w:rPr>
        <w:t>,</w:t>
      </w:r>
      <w:proofErr w:type="gramEnd"/>
      <w:r w:rsidRPr="00CB58EF">
        <w:rPr>
          <w:rFonts w:cstheme="minorHAnsi"/>
          <w:bCs/>
          <w:szCs w:val="28"/>
        </w:rPr>
        <w:t xml:space="preserve"> LINCS webinars</w:t>
      </w:r>
      <w:r w:rsidR="006E48C2">
        <w:rPr>
          <w:rFonts w:cstheme="minorHAnsi"/>
          <w:bCs/>
          <w:szCs w:val="28"/>
        </w:rPr>
        <w:t>;</w:t>
      </w:r>
      <w:r w:rsidRPr="00CB58EF">
        <w:rPr>
          <w:rFonts w:cstheme="minorHAnsi"/>
          <w:bCs/>
          <w:szCs w:val="28"/>
        </w:rPr>
        <w:t xml:space="preserve"> the NASDAE National Training Institute</w:t>
      </w:r>
      <w:r w:rsidR="006E48C2">
        <w:rPr>
          <w:rFonts w:cstheme="minorHAnsi"/>
          <w:bCs/>
          <w:szCs w:val="28"/>
        </w:rPr>
        <w:t>;</w:t>
      </w:r>
      <w:r w:rsidRPr="00CB58EF">
        <w:rPr>
          <w:rFonts w:cstheme="minorHAnsi"/>
          <w:bCs/>
          <w:szCs w:val="28"/>
        </w:rPr>
        <w:t xml:space="preserve"> IDEAL consortium summer </w:t>
      </w:r>
      <w:r w:rsidR="006E48C2">
        <w:rPr>
          <w:rFonts w:cstheme="minorHAnsi"/>
          <w:bCs/>
          <w:szCs w:val="28"/>
        </w:rPr>
        <w:t>institute;</w:t>
      </w:r>
      <w:r w:rsidR="00B0555B">
        <w:rPr>
          <w:rFonts w:cstheme="minorHAnsi"/>
          <w:bCs/>
          <w:szCs w:val="28"/>
        </w:rPr>
        <w:t xml:space="preserve"> CASAS trainings</w:t>
      </w:r>
      <w:r w:rsidR="006E48C2">
        <w:rPr>
          <w:rFonts w:cstheme="minorHAnsi"/>
          <w:bCs/>
          <w:szCs w:val="28"/>
        </w:rPr>
        <w:t>;</w:t>
      </w:r>
      <w:r w:rsidRPr="00CB58EF">
        <w:rPr>
          <w:rFonts w:cstheme="minorHAnsi"/>
          <w:bCs/>
          <w:szCs w:val="28"/>
        </w:rPr>
        <w:t xml:space="preserve"> Teaching the Skills that Matter</w:t>
      </w:r>
      <w:r w:rsidR="006E48C2">
        <w:rPr>
          <w:rFonts w:cstheme="minorHAnsi"/>
          <w:bCs/>
          <w:szCs w:val="28"/>
        </w:rPr>
        <w:t>; and ASDM</w:t>
      </w:r>
      <w:r w:rsidR="0006055C">
        <w:rPr>
          <w:rFonts w:cstheme="minorHAnsi"/>
          <w:bCs/>
          <w:szCs w:val="28"/>
        </w:rPr>
        <w:t>. Attendees</w:t>
      </w:r>
      <w:r w:rsidRPr="00CB58EF">
        <w:rPr>
          <w:rFonts w:cstheme="minorHAnsi"/>
          <w:bCs/>
          <w:szCs w:val="28"/>
        </w:rPr>
        <w:t xml:space="preserve"> then report back to local service providers with information, materials, and guidance on </w:t>
      </w:r>
      <w:r w:rsidR="0006055C">
        <w:rPr>
          <w:rFonts w:cstheme="minorHAnsi"/>
          <w:bCs/>
          <w:szCs w:val="28"/>
        </w:rPr>
        <w:t>i</w:t>
      </w:r>
      <w:r w:rsidRPr="00CB58EF">
        <w:rPr>
          <w:rFonts w:cstheme="minorHAnsi"/>
          <w:bCs/>
          <w:szCs w:val="28"/>
        </w:rPr>
        <w:t>mpacts</w:t>
      </w:r>
      <w:r w:rsidR="0006055C">
        <w:rPr>
          <w:rFonts w:cstheme="minorHAnsi"/>
          <w:bCs/>
          <w:szCs w:val="28"/>
        </w:rPr>
        <w:t xml:space="preserve"> from participation</w:t>
      </w:r>
      <w:r w:rsidRPr="00CB58EF">
        <w:rPr>
          <w:rFonts w:cstheme="minorHAnsi"/>
          <w:bCs/>
          <w:szCs w:val="28"/>
        </w:rPr>
        <w:t xml:space="preserve">. </w:t>
      </w:r>
      <w:r>
        <w:rPr>
          <w:rFonts w:cstheme="minorHAnsi"/>
          <w:bCs/>
          <w:szCs w:val="28"/>
        </w:rPr>
        <w:t xml:space="preserve">The online trainings allowed </w:t>
      </w:r>
      <w:r w:rsidRPr="00CB58EF">
        <w:rPr>
          <w:rFonts w:cstheme="minorHAnsi"/>
          <w:bCs/>
          <w:szCs w:val="28"/>
        </w:rPr>
        <w:t xml:space="preserve">State Office personnel to participate in opportunities that were usually not available due to travel costs. </w:t>
      </w:r>
    </w:p>
    <w:p w14:paraId="20E9CD94" w14:textId="02721BF2" w:rsidR="00C65595" w:rsidRPr="002E0C57" w:rsidRDefault="005544DA" w:rsidP="001E21C4">
      <w:pPr>
        <w:rPr>
          <w:rFonts w:cstheme="minorHAnsi"/>
          <w:b/>
          <w:bCs/>
          <w:i/>
          <w:iCs/>
        </w:rPr>
      </w:pPr>
      <w:r w:rsidRPr="002E0C57">
        <w:rPr>
          <w:rFonts w:cstheme="minorHAnsi"/>
          <w:b/>
          <w:bCs/>
          <w:i/>
          <w:iCs/>
        </w:rPr>
        <w:t>iii. Prov</w:t>
      </w:r>
      <w:r w:rsidR="007637DC" w:rsidRPr="002E0C57">
        <w:rPr>
          <w:rFonts w:cstheme="minorHAnsi"/>
          <w:b/>
          <w:bCs/>
          <w:i/>
          <w:iCs/>
        </w:rPr>
        <w:t>i</w:t>
      </w:r>
      <w:r w:rsidRPr="002E0C57">
        <w:rPr>
          <w:rFonts w:cstheme="minorHAnsi"/>
          <w:b/>
          <w:bCs/>
          <w:i/>
          <w:iCs/>
        </w:rPr>
        <w:t>sion of technical assistance to funded eligible providers as described in section 223 (a)(1)(C)</w:t>
      </w:r>
    </w:p>
    <w:p w14:paraId="02FAE1CF" w14:textId="7AAEC2E9" w:rsidR="003826D0" w:rsidRPr="0000649F" w:rsidRDefault="003826D0" w:rsidP="003826D0">
      <w:r w:rsidRPr="0000649F">
        <w:rPr>
          <w:rFonts w:cstheme="minorHAnsi"/>
          <w:bCs/>
        </w:rPr>
        <w:t xml:space="preserve">The State Office provides </w:t>
      </w:r>
      <w:r w:rsidR="008116BE">
        <w:rPr>
          <w:rFonts w:cstheme="minorHAnsi"/>
          <w:bCs/>
        </w:rPr>
        <w:t xml:space="preserve">Title II </w:t>
      </w:r>
      <w:r w:rsidRPr="0000649F">
        <w:rPr>
          <w:rFonts w:cstheme="minorHAnsi"/>
          <w:bCs/>
        </w:rPr>
        <w:t>technical assistance</w:t>
      </w:r>
      <w:r w:rsidR="0077278F">
        <w:rPr>
          <w:rFonts w:cstheme="minorHAnsi"/>
          <w:bCs/>
        </w:rPr>
        <w:t xml:space="preserve"> to meet the criteria of WIOA integrated into the needs of local providers.</w:t>
      </w:r>
    </w:p>
    <w:p w14:paraId="6DB579DE" w14:textId="3FB0EFC7" w:rsidR="003826D0" w:rsidRPr="00A369D9" w:rsidRDefault="003826D0" w:rsidP="003826D0">
      <w:pPr>
        <w:autoSpaceDE w:val="0"/>
        <w:autoSpaceDN w:val="0"/>
        <w:rPr>
          <w:rFonts w:cstheme="minorHAnsi"/>
          <w:bCs/>
        </w:rPr>
      </w:pPr>
      <w:r w:rsidRPr="00A369D9">
        <w:rPr>
          <w:rFonts w:cstheme="minorHAnsi"/>
          <w:bCs/>
        </w:rPr>
        <w:t xml:space="preserve">Updated Maine Adult Education Guidance for Distance Education was released in </w:t>
      </w:r>
      <w:r>
        <w:rPr>
          <w:rFonts w:cstheme="minorHAnsi"/>
          <w:bCs/>
        </w:rPr>
        <w:t>PY20</w:t>
      </w:r>
      <w:r w:rsidRPr="00A369D9">
        <w:rPr>
          <w:rFonts w:cstheme="minorHAnsi"/>
          <w:bCs/>
        </w:rPr>
        <w:t xml:space="preserve"> to reflect the most recent guidance from OCTAE and NRS, to share information about assessing learners remotely, to clarify language around tracking attendance and reporting, and to encourage a collaborative approach to distance education among local providers. A recorded webinar and on-demand course gave an overview of the guidance and changes. The implementation plan was also updated to reflect the changes to the guidance and to allow for additional detail</w:t>
      </w:r>
      <w:r w:rsidR="00935AEF">
        <w:rPr>
          <w:rFonts w:cstheme="minorHAnsi"/>
          <w:bCs/>
        </w:rPr>
        <w:t>s</w:t>
      </w:r>
      <w:r w:rsidRPr="00A369D9">
        <w:rPr>
          <w:rFonts w:cstheme="minorHAnsi"/>
          <w:bCs/>
        </w:rPr>
        <w:t xml:space="preserve"> to be added to the course information, especially for teacher verification courses. </w:t>
      </w:r>
    </w:p>
    <w:p w14:paraId="66113847" w14:textId="1E38E39C" w:rsidR="003826D0" w:rsidRPr="00C8159D" w:rsidRDefault="003826D0" w:rsidP="003826D0">
      <w:r>
        <w:t>To increase equity of access to technology and to build the digital skills and resilience of staff and students, the State Office provides the IC3 Digital Literacy credential curriculum to all local providers and offers support for implementation. Providers used the IC3 Digital Literacy curriculum with staff and students. Te</w:t>
      </w:r>
      <w:r w:rsidRPr="00C8159D">
        <w:t xml:space="preserve">ch </w:t>
      </w:r>
      <w:r w:rsidR="006B4B34">
        <w:t>T</w:t>
      </w:r>
      <w:r w:rsidRPr="00C8159D">
        <w:t>alk webinars highlight</w:t>
      </w:r>
      <w:r w:rsidR="00406508">
        <w:t>ed</w:t>
      </w:r>
      <w:r w:rsidRPr="00C8159D">
        <w:t xml:space="preserve"> best practices for using technology in the classroom and workplace</w:t>
      </w:r>
      <w:r>
        <w:t>.</w:t>
      </w:r>
      <w:r w:rsidRPr="00C8159D">
        <w:t xml:space="preserve"> </w:t>
      </w:r>
    </w:p>
    <w:p w14:paraId="3DA8EBA9" w14:textId="77777777" w:rsidR="003826D0" w:rsidRPr="00C358D1" w:rsidRDefault="003826D0" w:rsidP="003826D0">
      <w:pPr>
        <w:autoSpaceDE w:val="0"/>
        <w:autoSpaceDN w:val="0"/>
        <w:rPr>
          <w:rFonts w:cstheme="minorHAnsi"/>
          <w:bCs/>
        </w:rPr>
      </w:pPr>
      <w:r w:rsidRPr="00C358D1">
        <w:rPr>
          <w:rFonts w:cstheme="minorHAnsi"/>
          <w:bCs/>
        </w:rPr>
        <w:t xml:space="preserve">Additionally, the State Office offered the following </w:t>
      </w:r>
      <w:r>
        <w:rPr>
          <w:rFonts w:cstheme="minorHAnsi"/>
          <w:bCs/>
        </w:rPr>
        <w:t>PY20</w:t>
      </w:r>
      <w:r w:rsidRPr="00C358D1">
        <w:rPr>
          <w:rFonts w:cstheme="minorHAnsi"/>
          <w:bCs/>
        </w:rPr>
        <w:t xml:space="preserve"> events based on the most rigorous or scientifically valid research available and appropriate:</w:t>
      </w:r>
    </w:p>
    <w:p w14:paraId="14659381" w14:textId="77777777" w:rsidR="003826D0" w:rsidRPr="00C358D1" w:rsidRDefault="003826D0" w:rsidP="003826D0">
      <w:pPr>
        <w:pStyle w:val="ListParagraph"/>
        <w:numPr>
          <w:ilvl w:val="0"/>
          <w:numId w:val="1"/>
        </w:numPr>
        <w:autoSpaceDE w:val="0"/>
        <w:autoSpaceDN w:val="0"/>
        <w:spacing w:line="276" w:lineRule="auto"/>
        <w:rPr>
          <w:rFonts w:asciiTheme="minorHAnsi" w:hAnsiTheme="minorHAnsi" w:cstheme="minorHAnsi"/>
          <w:b/>
          <w:bCs/>
        </w:rPr>
      </w:pPr>
      <w:r w:rsidRPr="00C358D1">
        <w:rPr>
          <w:rFonts w:asciiTheme="minorHAnsi" w:hAnsiTheme="minorHAnsi" w:cstheme="minorHAnsi"/>
          <w:b/>
          <w:bCs/>
        </w:rPr>
        <w:t xml:space="preserve">Reading, writing, speaking: </w:t>
      </w:r>
      <w:r w:rsidRPr="00C358D1">
        <w:rPr>
          <w:rFonts w:asciiTheme="minorHAnsi" w:hAnsiTheme="minorHAnsi" w:cstheme="minorHAnsi"/>
          <w:bCs/>
        </w:rPr>
        <w:t>CCRS-SIA ELA/Literacy Implementation; Reading Apprenticeship, Part 1 &amp; 2; Reading Apprenticeship in Writing</w:t>
      </w:r>
    </w:p>
    <w:p w14:paraId="17D87EED" w14:textId="77777777" w:rsidR="003826D0" w:rsidRPr="00C358D1" w:rsidRDefault="003826D0" w:rsidP="003826D0">
      <w:pPr>
        <w:pStyle w:val="ListParagraph"/>
        <w:numPr>
          <w:ilvl w:val="0"/>
          <w:numId w:val="1"/>
        </w:numPr>
        <w:autoSpaceDE w:val="0"/>
        <w:autoSpaceDN w:val="0"/>
        <w:spacing w:line="276" w:lineRule="auto"/>
        <w:rPr>
          <w:rFonts w:asciiTheme="minorHAnsi" w:hAnsiTheme="minorHAnsi" w:cstheme="minorHAnsi"/>
          <w:b/>
          <w:bCs/>
        </w:rPr>
      </w:pPr>
      <w:r w:rsidRPr="00C358D1">
        <w:rPr>
          <w:rFonts w:asciiTheme="minorHAnsi" w:hAnsiTheme="minorHAnsi" w:cstheme="minorHAnsi"/>
          <w:b/>
          <w:bCs/>
        </w:rPr>
        <w:t xml:space="preserve">Mathematics: </w:t>
      </w:r>
      <w:r w:rsidRPr="00C358D1">
        <w:rPr>
          <w:rFonts w:asciiTheme="minorHAnsi" w:hAnsiTheme="minorHAnsi" w:cstheme="minorHAnsi"/>
          <w:bCs/>
        </w:rPr>
        <w:t>CCRS-SIA Mathematics Implementation; Adult Numeracy Instruction Series</w:t>
      </w:r>
    </w:p>
    <w:p w14:paraId="678A1360" w14:textId="77777777" w:rsidR="003826D0" w:rsidRPr="00C358D1" w:rsidRDefault="003826D0" w:rsidP="003826D0">
      <w:pPr>
        <w:pStyle w:val="ListParagraph"/>
        <w:numPr>
          <w:ilvl w:val="0"/>
          <w:numId w:val="1"/>
        </w:numPr>
        <w:autoSpaceDE w:val="0"/>
        <w:autoSpaceDN w:val="0"/>
        <w:spacing w:line="276" w:lineRule="auto"/>
        <w:rPr>
          <w:rFonts w:asciiTheme="minorHAnsi" w:hAnsiTheme="minorHAnsi" w:cstheme="minorHAnsi"/>
          <w:bCs/>
        </w:rPr>
      </w:pPr>
      <w:r w:rsidRPr="00C358D1">
        <w:rPr>
          <w:rFonts w:asciiTheme="minorHAnsi" w:hAnsiTheme="minorHAnsi" w:cstheme="minorHAnsi"/>
          <w:b/>
          <w:bCs/>
        </w:rPr>
        <w:t xml:space="preserve">English Language Acquisition: </w:t>
      </w:r>
      <w:r w:rsidRPr="00C358D1">
        <w:rPr>
          <w:rFonts w:asciiTheme="minorHAnsi" w:hAnsiTheme="minorHAnsi" w:cstheme="minorHAnsi"/>
        </w:rPr>
        <w:t xml:space="preserve">ELPS, Module 1: </w:t>
      </w:r>
      <w:r w:rsidRPr="00C358D1">
        <w:rPr>
          <w:rFonts w:asciiTheme="minorHAnsi" w:hAnsiTheme="minorHAnsi" w:cstheme="minorHAnsi"/>
          <w:bCs/>
        </w:rPr>
        <w:t>Introduction to the English Language Proficiency Standards for Adults; ELPS, Module 2: Analyzing Student Tasks in Relation to Content Demands</w:t>
      </w:r>
    </w:p>
    <w:p w14:paraId="37163C71" w14:textId="77777777" w:rsidR="003826D0" w:rsidRPr="00C358D1" w:rsidRDefault="003826D0" w:rsidP="003826D0">
      <w:pPr>
        <w:pStyle w:val="ListParagraph"/>
        <w:numPr>
          <w:ilvl w:val="0"/>
          <w:numId w:val="1"/>
        </w:numPr>
        <w:autoSpaceDE w:val="0"/>
        <w:autoSpaceDN w:val="0"/>
        <w:spacing w:line="276" w:lineRule="auto"/>
        <w:rPr>
          <w:rFonts w:asciiTheme="minorHAnsi" w:hAnsiTheme="minorHAnsi" w:cstheme="minorHAnsi"/>
          <w:bCs/>
        </w:rPr>
      </w:pPr>
      <w:r w:rsidRPr="00C358D1">
        <w:rPr>
          <w:rFonts w:asciiTheme="minorHAnsi" w:hAnsiTheme="minorHAnsi" w:cstheme="minorHAnsi"/>
          <w:b/>
          <w:bCs/>
        </w:rPr>
        <w:lastRenderedPageBreak/>
        <w:t>Technology:</w:t>
      </w:r>
      <w:r w:rsidRPr="00C358D1">
        <w:rPr>
          <w:rFonts w:asciiTheme="minorHAnsi" w:hAnsiTheme="minorHAnsi" w:cstheme="minorHAnsi"/>
          <w:bCs/>
        </w:rPr>
        <w:t xml:space="preserve"> Digital Citizenship: Preparing the 21</w:t>
      </w:r>
      <w:r w:rsidRPr="00C358D1">
        <w:rPr>
          <w:rFonts w:asciiTheme="minorHAnsi" w:hAnsiTheme="minorHAnsi" w:cstheme="minorHAnsi"/>
          <w:bCs/>
          <w:vertAlign w:val="superscript"/>
        </w:rPr>
        <w:t>st</w:t>
      </w:r>
      <w:r w:rsidRPr="00C358D1">
        <w:rPr>
          <w:rFonts w:asciiTheme="minorHAnsi" w:hAnsiTheme="minorHAnsi" w:cstheme="minorHAnsi"/>
          <w:bCs/>
        </w:rPr>
        <w:t xml:space="preserve"> Century Citizen for the 21</w:t>
      </w:r>
      <w:r w:rsidRPr="00C358D1">
        <w:rPr>
          <w:rFonts w:asciiTheme="minorHAnsi" w:hAnsiTheme="minorHAnsi" w:cstheme="minorHAnsi"/>
          <w:bCs/>
          <w:vertAlign w:val="superscript"/>
        </w:rPr>
        <w:t>st</w:t>
      </w:r>
      <w:r w:rsidRPr="00C358D1">
        <w:rPr>
          <w:rFonts w:asciiTheme="minorHAnsi" w:hAnsiTheme="minorHAnsi" w:cstheme="minorHAnsi"/>
          <w:bCs/>
        </w:rPr>
        <w:t xml:space="preserve"> Century World; Distance Learning Basics: Instruction and </w:t>
      </w:r>
      <w:proofErr w:type="gramStart"/>
      <w:r w:rsidRPr="00C358D1">
        <w:rPr>
          <w:rFonts w:asciiTheme="minorHAnsi" w:hAnsiTheme="minorHAnsi" w:cstheme="minorHAnsi"/>
          <w:bCs/>
        </w:rPr>
        <w:t>Assessment;  Distance</w:t>
      </w:r>
      <w:proofErr w:type="gramEnd"/>
      <w:r w:rsidRPr="00C358D1">
        <w:rPr>
          <w:rFonts w:asciiTheme="minorHAnsi" w:hAnsiTheme="minorHAnsi" w:cstheme="minorHAnsi"/>
          <w:bCs/>
        </w:rPr>
        <w:t xml:space="preserve"> Learning Basics: Recruitment, Intake, and Orientation; Tech Talk webinar series; Onboarding Students to Schoology and Zoom; IC3 Digital Literacy for Adult Education Staff; IDEAL courses—Introduction to Blended Learning, Introduction to Mobile Learning, Introduction to Open Educational Resources</w:t>
      </w:r>
    </w:p>
    <w:p w14:paraId="6B198A79" w14:textId="1199E41B" w:rsidR="003826D0" w:rsidRPr="00C358D1" w:rsidRDefault="003826D0" w:rsidP="003826D0">
      <w:pPr>
        <w:pStyle w:val="ListParagraph"/>
        <w:numPr>
          <w:ilvl w:val="0"/>
          <w:numId w:val="1"/>
        </w:numPr>
        <w:autoSpaceDE w:val="0"/>
        <w:autoSpaceDN w:val="0"/>
        <w:spacing w:line="276" w:lineRule="auto"/>
        <w:rPr>
          <w:rFonts w:asciiTheme="minorHAnsi" w:hAnsiTheme="minorHAnsi" w:cstheme="minorHAnsi"/>
          <w:b/>
          <w:bCs/>
        </w:rPr>
      </w:pPr>
      <w:r w:rsidRPr="00C358D1">
        <w:rPr>
          <w:rFonts w:asciiTheme="minorHAnsi" w:hAnsiTheme="minorHAnsi" w:cstheme="minorHAnsi"/>
          <w:b/>
          <w:bCs/>
        </w:rPr>
        <w:t xml:space="preserve">Instructional Strategies: </w:t>
      </w:r>
      <w:r w:rsidRPr="00C358D1">
        <w:rPr>
          <w:rFonts w:asciiTheme="minorHAnsi" w:hAnsiTheme="minorHAnsi" w:cstheme="minorHAnsi"/>
        </w:rPr>
        <w:t>Workshops: Designing Online Assessments and Adapting Workbook Problems in Math; Learner Accessibility; Slideshows that Perform</w:t>
      </w:r>
    </w:p>
    <w:p w14:paraId="4DE2327A" w14:textId="77777777" w:rsidR="003826D0" w:rsidRPr="00C358D1" w:rsidRDefault="003826D0" w:rsidP="003826D0">
      <w:pPr>
        <w:pStyle w:val="ListParagraph"/>
        <w:numPr>
          <w:ilvl w:val="0"/>
          <w:numId w:val="1"/>
        </w:numPr>
        <w:autoSpaceDE w:val="0"/>
        <w:autoSpaceDN w:val="0"/>
        <w:spacing w:line="276" w:lineRule="auto"/>
        <w:rPr>
          <w:rFonts w:asciiTheme="minorHAnsi" w:hAnsiTheme="minorHAnsi" w:cstheme="minorHAnsi"/>
          <w:b/>
          <w:bCs/>
        </w:rPr>
      </w:pPr>
      <w:r w:rsidRPr="00C358D1">
        <w:rPr>
          <w:rFonts w:asciiTheme="minorHAnsi" w:hAnsiTheme="minorHAnsi" w:cstheme="minorHAnsi"/>
          <w:b/>
          <w:bCs/>
        </w:rPr>
        <w:t xml:space="preserve">Advising: </w:t>
      </w:r>
      <w:r w:rsidRPr="00C358D1">
        <w:rPr>
          <w:rFonts w:asciiTheme="minorHAnsi" w:hAnsiTheme="minorHAnsi" w:cstheme="minorHAnsi"/>
        </w:rPr>
        <w:t>Approaches to Advising; Best Practices for Supporting Our Advisees; Identifying Executive Functioning Strengths and Weaknesses; Learning Moments of Mindfulness: Managing Difficult Situations; Using a Functional-Based Thinking Approach for Social-Emotional Learning</w:t>
      </w:r>
    </w:p>
    <w:p w14:paraId="79B74929" w14:textId="77777777" w:rsidR="003826D0" w:rsidRPr="00C358D1" w:rsidRDefault="003826D0" w:rsidP="003826D0">
      <w:pPr>
        <w:pStyle w:val="ListParagraph"/>
        <w:numPr>
          <w:ilvl w:val="0"/>
          <w:numId w:val="1"/>
        </w:numPr>
        <w:autoSpaceDE w:val="0"/>
        <w:autoSpaceDN w:val="0"/>
        <w:spacing w:line="276" w:lineRule="auto"/>
        <w:rPr>
          <w:rFonts w:asciiTheme="minorHAnsi" w:hAnsiTheme="minorHAnsi" w:cstheme="minorHAnsi"/>
          <w:b/>
          <w:bCs/>
        </w:rPr>
      </w:pPr>
      <w:r w:rsidRPr="00C358D1">
        <w:rPr>
          <w:rFonts w:asciiTheme="minorHAnsi" w:hAnsiTheme="minorHAnsi" w:cstheme="minorHAnsi"/>
          <w:b/>
          <w:bCs/>
        </w:rPr>
        <w:t xml:space="preserve">Staff Training:  </w:t>
      </w:r>
      <w:r w:rsidRPr="00C358D1">
        <w:rPr>
          <w:rFonts w:asciiTheme="minorHAnsi" w:hAnsiTheme="minorHAnsi" w:cstheme="minorHAnsi"/>
          <w:bCs/>
        </w:rPr>
        <w:t xml:space="preserve">World of Work Inventory Level 1 Training; </w:t>
      </w:r>
      <w:proofErr w:type="spellStart"/>
      <w:r w:rsidRPr="00C358D1">
        <w:rPr>
          <w:rFonts w:asciiTheme="minorHAnsi" w:hAnsiTheme="minorHAnsi" w:cstheme="minorHAnsi"/>
          <w:bCs/>
        </w:rPr>
        <w:t>WorkReady</w:t>
      </w:r>
      <w:proofErr w:type="spellEnd"/>
      <w:r w:rsidRPr="00C358D1">
        <w:rPr>
          <w:rFonts w:asciiTheme="minorHAnsi" w:hAnsiTheme="minorHAnsi" w:cstheme="minorHAnsi"/>
          <w:bCs/>
        </w:rPr>
        <w:t xml:space="preserve"> Facilitator Training; </w:t>
      </w:r>
      <w:proofErr w:type="spellStart"/>
      <w:r w:rsidRPr="00C358D1">
        <w:rPr>
          <w:rFonts w:asciiTheme="minorHAnsi" w:hAnsiTheme="minorHAnsi" w:cstheme="minorHAnsi"/>
          <w:bCs/>
        </w:rPr>
        <w:t>eCASAS</w:t>
      </w:r>
      <w:proofErr w:type="spellEnd"/>
      <w:r w:rsidRPr="00C358D1">
        <w:rPr>
          <w:rFonts w:asciiTheme="minorHAnsi" w:hAnsiTheme="minorHAnsi" w:cstheme="minorHAnsi"/>
          <w:bCs/>
        </w:rPr>
        <w:t xml:space="preserve"> Basic Implementation Training; CASAS Basics: </w:t>
      </w:r>
      <w:proofErr w:type="spellStart"/>
      <w:r w:rsidRPr="00C358D1">
        <w:rPr>
          <w:rFonts w:asciiTheme="minorHAnsi" w:hAnsiTheme="minorHAnsi" w:cstheme="minorHAnsi"/>
          <w:bCs/>
        </w:rPr>
        <w:t>eTests</w:t>
      </w:r>
      <w:proofErr w:type="spellEnd"/>
      <w:r w:rsidRPr="00C358D1">
        <w:rPr>
          <w:rFonts w:asciiTheme="minorHAnsi" w:hAnsiTheme="minorHAnsi" w:cstheme="minorHAnsi"/>
          <w:bCs/>
        </w:rPr>
        <w:t>; CASAS: Test Results and Reports for Teachers; HiSET Test Center Administrator training; MaineSTARS data training (collecting, analyzing, reporting); MaineSTARS: Best Practices for Back to School; AEFLA Budgeting Best Practices; new program administrator training</w:t>
      </w:r>
    </w:p>
    <w:p w14:paraId="077E97BE" w14:textId="77777777" w:rsidR="003826D0" w:rsidRDefault="003826D0" w:rsidP="003826D0">
      <w:pPr>
        <w:pStyle w:val="ListParagraph"/>
        <w:autoSpaceDE w:val="0"/>
        <w:autoSpaceDN w:val="0"/>
        <w:spacing w:line="276" w:lineRule="auto"/>
        <w:rPr>
          <w:rFonts w:asciiTheme="minorHAnsi" w:hAnsiTheme="minorHAnsi" w:cstheme="minorHAnsi"/>
          <w:bCs/>
        </w:rPr>
      </w:pPr>
    </w:p>
    <w:p w14:paraId="1E901297" w14:textId="3A413342" w:rsidR="003826D0" w:rsidRPr="00A1641D" w:rsidRDefault="003826D0" w:rsidP="003826D0">
      <w:pPr>
        <w:pStyle w:val="ListParagraph"/>
        <w:autoSpaceDE w:val="0"/>
        <w:autoSpaceDN w:val="0"/>
        <w:spacing w:line="276" w:lineRule="auto"/>
        <w:ind w:left="0"/>
        <w:rPr>
          <w:rFonts w:asciiTheme="minorHAnsi" w:hAnsiTheme="minorHAnsi" w:cstheme="minorHAnsi"/>
          <w:bCs/>
        </w:rPr>
      </w:pPr>
      <w:r w:rsidRPr="00A1641D">
        <w:rPr>
          <w:rFonts w:asciiTheme="minorHAnsi" w:hAnsiTheme="minorHAnsi" w:cstheme="minorHAnsi"/>
          <w:bCs/>
        </w:rPr>
        <w:t xml:space="preserve">Schoology, a learning management system, continues to be the primary vehicle to provide both a model of online learning and a repository for educational and programmatic materials and resources. Consortia of local providers </w:t>
      </w:r>
      <w:r w:rsidR="000E0AD7">
        <w:rPr>
          <w:rFonts w:asciiTheme="minorHAnsi" w:hAnsiTheme="minorHAnsi" w:cstheme="minorHAnsi"/>
          <w:bCs/>
        </w:rPr>
        <w:t>have started using</w:t>
      </w:r>
      <w:r w:rsidRPr="00A1641D">
        <w:rPr>
          <w:rFonts w:asciiTheme="minorHAnsi" w:hAnsiTheme="minorHAnsi" w:cstheme="minorHAnsi"/>
          <w:bCs/>
        </w:rPr>
        <w:t xml:space="preserve"> the Schoology group feature to create online professional learning communities where instructors and advisors across the consortia can share resources and best practices. </w:t>
      </w:r>
    </w:p>
    <w:p w14:paraId="1825F809" w14:textId="77777777" w:rsidR="003826D0" w:rsidRPr="00B448CD" w:rsidRDefault="003826D0" w:rsidP="003826D0">
      <w:pPr>
        <w:pStyle w:val="ListParagraph"/>
        <w:autoSpaceDE w:val="0"/>
        <w:autoSpaceDN w:val="0"/>
        <w:spacing w:line="276" w:lineRule="auto"/>
        <w:rPr>
          <w:rFonts w:asciiTheme="minorHAnsi" w:hAnsiTheme="minorHAnsi" w:cstheme="minorHAnsi"/>
          <w:bCs/>
          <w:color w:val="FF0000"/>
        </w:rPr>
      </w:pPr>
    </w:p>
    <w:p w14:paraId="03A92832" w14:textId="0E6B62F3" w:rsidR="003826D0" w:rsidRPr="00C358D1" w:rsidRDefault="003826D0" w:rsidP="003826D0">
      <w:r w:rsidRPr="00C358D1">
        <w:t>2020-2021 Professional Development Opportunities by Category*</w:t>
      </w:r>
    </w:p>
    <w:tbl>
      <w:tblPr>
        <w:tblStyle w:val="TableGrid"/>
        <w:tblW w:w="7200" w:type="dxa"/>
        <w:jc w:val="center"/>
        <w:tblLook w:val="04A0" w:firstRow="1" w:lastRow="0" w:firstColumn="1" w:lastColumn="0" w:noHBand="0" w:noVBand="1"/>
      </w:tblPr>
      <w:tblGrid>
        <w:gridCol w:w="5186"/>
        <w:gridCol w:w="2014"/>
      </w:tblGrid>
      <w:tr w:rsidR="003826D0" w:rsidRPr="004D1926" w14:paraId="625394A8" w14:textId="77777777" w:rsidTr="005C2FFB">
        <w:trPr>
          <w:jc w:val="center"/>
        </w:trPr>
        <w:tc>
          <w:tcPr>
            <w:tcW w:w="5186" w:type="dxa"/>
          </w:tcPr>
          <w:p w14:paraId="0B77BF1D" w14:textId="77777777" w:rsidR="003826D0" w:rsidRPr="004D1926" w:rsidRDefault="003826D0" w:rsidP="005C2FFB">
            <w:pPr>
              <w:autoSpaceDE w:val="0"/>
              <w:autoSpaceDN w:val="0"/>
              <w:spacing w:line="276" w:lineRule="auto"/>
              <w:rPr>
                <w:rFonts w:cstheme="minorHAnsi"/>
                <w:b/>
                <w:bCs/>
              </w:rPr>
            </w:pPr>
            <w:r w:rsidRPr="004D1926">
              <w:rPr>
                <w:rFonts w:cstheme="minorHAnsi"/>
                <w:b/>
                <w:bCs/>
              </w:rPr>
              <w:t>Category</w:t>
            </w:r>
          </w:p>
        </w:tc>
        <w:tc>
          <w:tcPr>
            <w:tcW w:w="2014" w:type="dxa"/>
          </w:tcPr>
          <w:p w14:paraId="0BEB70D0" w14:textId="77777777" w:rsidR="003826D0" w:rsidRPr="004D1926" w:rsidRDefault="003826D0" w:rsidP="005C2FFB">
            <w:pPr>
              <w:autoSpaceDE w:val="0"/>
              <w:autoSpaceDN w:val="0"/>
              <w:spacing w:line="276" w:lineRule="auto"/>
              <w:rPr>
                <w:rFonts w:cstheme="minorHAnsi"/>
                <w:b/>
                <w:bCs/>
              </w:rPr>
            </w:pPr>
            <w:r w:rsidRPr="004D1926">
              <w:rPr>
                <w:rFonts w:cstheme="minorHAnsi"/>
                <w:b/>
                <w:bCs/>
              </w:rPr>
              <w:t>Number of events</w:t>
            </w:r>
          </w:p>
        </w:tc>
      </w:tr>
      <w:tr w:rsidR="003826D0" w:rsidRPr="004D1926" w14:paraId="5E285600" w14:textId="77777777" w:rsidTr="005C2FFB">
        <w:trPr>
          <w:jc w:val="center"/>
        </w:trPr>
        <w:tc>
          <w:tcPr>
            <w:tcW w:w="5186" w:type="dxa"/>
          </w:tcPr>
          <w:p w14:paraId="3B7ADA9B" w14:textId="77777777" w:rsidR="003826D0" w:rsidRPr="004D1926" w:rsidRDefault="003826D0" w:rsidP="005C2FFB">
            <w:pPr>
              <w:autoSpaceDE w:val="0"/>
              <w:autoSpaceDN w:val="0"/>
              <w:spacing w:line="276" w:lineRule="auto"/>
              <w:rPr>
                <w:rFonts w:cstheme="minorHAnsi"/>
                <w:bCs/>
              </w:rPr>
            </w:pPr>
            <w:r w:rsidRPr="004D1926">
              <w:rPr>
                <w:rFonts w:cstheme="minorHAnsi"/>
                <w:bCs/>
              </w:rPr>
              <w:t>Assessment</w:t>
            </w:r>
          </w:p>
        </w:tc>
        <w:tc>
          <w:tcPr>
            <w:tcW w:w="2014" w:type="dxa"/>
          </w:tcPr>
          <w:p w14:paraId="73214386" w14:textId="77777777" w:rsidR="003826D0" w:rsidRPr="004D1926" w:rsidRDefault="003826D0" w:rsidP="005C2FFB">
            <w:pPr>
              <w:autoSpaceDE w:val="0"/>
              <w:autoSpaceDN w:val="0"/>
              <w:spacing w:line="276" w:lineRule="auto"/>
              <w:jc w:val="center"/>
              <w:rPr>
                <w:rFonts w:cstheme="minorHAnsi"/>
                <w:bCs/>
              </w:rPr>
            </w:pPr>
            <w:r w:rsidRPr="004D1926">
              <w:rPr>
                <w:rFonts w:cstheme="minorHAnsi"/>
                <w:bCs/>
              </w:rPr>
              <w:t>4</w:t>
            </w:r>
          </w:p>
        </w:tc>
      </w:tr>
      <w:tr w:rsidR="003826D0" w:rsidRPr="004D1926" w14:paraId="6FC0D5B2" w14:textId="77777777" w:rsidTr="005C2FFB">
        <w:trPr>
          <w:jc w:val="center"/>
        </w:trPr>
        <w:tc>
          <w:tcPr>
            <w:tcW w:w="5186" w:type="dxa"/>
          </w:tcPr>
          <w:p w14:paraId="4C78349C" w14:textId="77777777" w:rsidR="003826D0" w:rsidRPr="004D1926" w:rsidRDefault="003826D0" w:rsidP="005C2FFB">
            <w:pPr>
              <w:autoSpaceDE w:val="0"/>
              <w:autoSpaceDN w:val="0"/>
              <w:spacing w:line="276" w:lineRule="auto"/>
              <w:rPr>
                <w:rFonts w:cstheme="minorHAnsi"/>
                <w:bCs/>
              </w:rPr>
            </w:pPr>
            <w:r w:rsidRPr="004D1926">
              <w:rPr>
                <w:rFonts w:cstheme="minorHAnsi"/>
                <w:bCs/>
              </w:rPr>
              <w:t>College and Career Readiness</w:t>
            </w:r>
          </w:p>
        </w:tc>
        <w:tc>
          <w:tcPr>
            <w:tcW w:w="2014" w:type="dxa"/>
          </w:tcPr>
          <w:p w14:paraId="3A87331E" w14:textId="77777777" w:rsidR="003826D0" w:rsidRPr="004D1926" w:rsidRDefault="003826D0" w:rsidP="005C2FFB">
            <w:pPr>
              <w:autoSpaceDE w:val="0"/>
              <w:autoSpaceDN w:val="0"/>
              <w:spacing w:line="276" w:lineRule="auto"/>
              <w:jc w:val="center"/>
              <w:rPr>
                <w:rFonts w:cstheme="minorHAnsi"/>
                <w:bCs/>
              </w:rPr>
            </w:pPr>
            <w:r w:rsidRPr="004D1926">
              <w:rPr>
                <w:rFonts w:cstheme="minorHAnsi"/>
                <w:bCs/>
              </w:rPr>
              <w:t>13</w:t>
            </w:r>
          </w:p>
        </w:tc>
      </w:tr>
      <w:tr w:rsidR="003826D0" w:rsidRPr="004D1926" w14:paraId="3E92471F" w14:textId="77777777" w:rsidTr="005C2FFB">
        <w:trPr>
          <w:jc w:val="center"/>
        </w:trPr>
        <w:tc>
          <w:tcPr>
            <w:tcW w:w="5186" w:type="dxa"/>
          </w:tcPr>
          <w:p w14:paraId="53D2F8A9" w14:textId="77777777" w:rsidR="003826D0" w:rsidRPr="004D1926" w:rsidRDefault="003826D0" w:rsidP="005C2FFB">
            <w:pPr>
              <w:autoSpaceDE w:val="0"/>
              <w:autoSpaceDN w:val="0"/>
              <w:spacing w:line="276" w:lineRule="auto"/>
              <w:rPr>
                <w:rFonts w:cstheme="minorHAnsi"/>
                <w:bCs/>
              </w:rPr>
            </w:pPr>
            <w:r w:rsidRPr="004D1926">
              <w:rPr>
                <w:rFonts w:cstheme="minorHAnsi"/>
                <w:bCs/>
              </w:rPr>
              <w:t>Instructional Practice</w:t>
            </w:r>
          </w:p>
        </w:tc>
        <w:tc>
          <w:tcPr>
            <w:tcW w:w="2014" w:type="dxa"/>
          </w:tcPr>
          <w:p w14:paraId="5F9A53EB" w14:textId="77777777" w:rsidR="003826D0" w:rsidRPr="004D1926" w:rsidRDefault="003826D0" w:rsidP="005C2FFB">
            <w:pPr>
              <w:autoSpaceDE w:val="0"/>
              <w:autoSpaceDN w:val="0"/>
              <w:spacing w:line="276" w:lineRule="auto"/>
              <w:jc w:val="center"/>
              <w:rPr>
                <w:rFonts w:cstheme="minorHAnsi"/>
                <w:bCs/>
              </w:rPr>
            </w:pPr>
            <w:r w:rsidRPr="004D1926">
              <w:rPr>
                <w:rFonts w:cstheme="minorHAnsi"/>
                <w:bCs/>
              </w:rPr>
              <w:t>13</w:t>
            </w:r>
          </w:p>
        </w:tc>
      </w:tr>
      <w:tr w:rsidR="003826D0" w:rsidRPr="004D1926" w14:paraId="37C6DD02" w14:textId="77777777" w:rsidTr="005C2FFB">
        <w:trPr>
          <w:jc w:val="center"/>
        </w:trPr>
        <w:tc>
          <w:tcPr>
            <w:tcW w:w="5186" w:type="dxa"/>
          </w:tcPr>
          <w:p w14:paraId="0CBF478E" w14:textId="77777777" w:rsidR="003826D0" w:rsidRPr="004D1926" w:rsidRDefault="003826D0" w:rsidP="005C2FFB">
            <w:pPr>
              <w:autoSpaceDE w:val="0"/>
              <w:autoSpaceDN w:val="0"/>
              <w:spacing w:line="276" w:lineRule="auto"/>
              <w:rPr>
                <w:rFonts w:cstheme="minorHAnsi"/>
                <w:bCs/>
              </w:rPr>
            </w:pPr>
            <w:r w:rsidRPr="004D1926">
              <w:rPr>
                <w:rFonts w:cstheme="minorHAnsi"/>
                <w:bCs/>
              </w:rPr>
              <w:t>Data Collection and Analysis</w:t>
            </w:r>
          </w:p>
        </w:tc>
        <w:tc>
          <w:tcPr>
            <w:tcW w:w="2014" w:type="dxa"/>
          </w:tcPr>
          <w:p w14:paraId="2128DD84" w14:textId="77777777" w:rsidR="003826D0" w:rsidRPr="004D1926" w:rsidRDefault="003826D0" w:rsidP="005C2FFB">
            <w:pPr>
              <w:autoSpaceDE w:val="0"/>
              <w:autoSpaceDN w:val="0"/>
              <w:spacing w:line="276" w:lineRule="auto"/>
              <w:jc w:val="center"/>
              <w:rPr>
                <w:rFonts w:cstheme="minorHAnsi"/>
                <w:bCs/>
              </w:rPr>
            </w:pPr>
            <w:r w:rsidRPr="004D1926">
              <w:rPr>
                <w:rFonts w:cstheme="minorHAnsi"/>
                <w:bCs/>
              </w:rPr>
              <w:t>3</w:t>
            </w:r>
          </w:p>
        </w:tc>
      </w:tr>
      <w:tr w:rsidR="003826D0" w:rsidRPr="004D1926" w14:paraId="7EF5C441" w14:textId="77777777" w:rsidTr="005C2FFB">
        <w:trPr>
          <w:jc w:val="center"/>
        </w:trPr>
        <w:tc>
          <w:tcPr>
            <w:tcW w:w="5186" w:type="dxa"/>
          </w:tcPr>
          <w:p w14:paraId="63195736" w14:textId="77777777" w:rsidR="003826D0" w:rsidRPr="004D1926" w:rsidRDefault="003826D0" w:rsidP="005C2FFB">
            <w:pPr>
              <w:autoSpaceDE w:val="0"/>
              <w:autoSpaceDN w:val="0"/>
              <w:spacing w:line="276" w:lineRule="auto"/>
              <w:rPr>
                <w:rFonts w:cstheme="minorHAnsi"/>
                <w:bCs/>
              </w:rPr>
            </w:pPr>
            <w:r w:rsidRPr="004D1926">
              <w:rPr>
                <w:rFonts w:cstheme="minorHAnsi"/>
                <w:bCs/>
              </w:rPr>
              <w:t>Advising</w:t>
            </w:r>
          </w:p>
        </w:tc>
        <w:tc>
          <w:tcPr>
            <w:tcW w:w="2014" w:type="dxa"/>
          </w:tcPr>
          <w:p w14:paraId="5E33A961" w14:textId="77777777" w:rsidR="003826D0" w:rsidRPr="004D1926" w:rsidRDefault="003826D0" w:rsidP="005C2FFB">
            <w:pPr>
              <w:autoSpaceDE w:val="0"/>
              <w:autoSpaceDN w:val="0"/>
              <w:spacing w:line="276" w:lineRule="auto"/>
              <w:jc w:val="center"/>
              <w:rPr>
                <w:rFonts w:cstheme="minorHAnsi"/>
                <w:bCs/>
              </w:rPr>
            </w:pPr>
            <w:r w:rsidRPr="004D1926">
              <w:rPr>
                <w:rFonts w:cstheme="minorHAnsi"/>
                <w:bCs/>
              </w:rPr>
              <w:t>8</w:t>
            </w:r>
          </w:p>
        </w:tc>
      </w:tr>
      <w:tr w:rsidR="003826D0" w:rsidRPr="004D1926" w14:paraId="0594A986" w14:textId="77777777" w:rsidTr="005C2FFB">
        <w:trPr>
          <w:jc w:val="center"/>
        </w:trPr>
        <w:tc>
          <w:tcPr>
            <w:tcW w:w="5186" w:type="dxa"/>
          </w:tcPr>
          <w:p w14:paraId="3576DF89" w14:textId="77777777" w:rsidR="003826D0" w:rsidRPr="004D1926" w:rsidRDefault="003826D0" w:rsidP="005C2FFB">
            <w:pPr>
              <w:autoSpaceDE w:val="0"/>
              <w:autoSpaceDN w:val="0"/>
              <w:spacing w:line="276" w:lineRule="auto"/>
              <w:rPr>
                <w:rFonts w:cstheme="minorHAnsi"/>
                <w:bCs/>
              </w:rPr>
            </w:pPr>
            <w:r w:rsidRPr="004D1926">
              <w:rPr>
                <w:rFonts w:cstheme="minorHAnsi"/>
                <w:bCs/>
              </w:rPr>
              <w:t>Administrator/Leadership</w:t>
            </w:r>
          </w:p>
        </w:tc>
        <w:tc>
          <w:tcPr>
            <w:tcW w:w="2014" w:type="dxa"/>
          </w:tcPr>
          <w:p w14:paraId="2C6A503B" w14:textId="77777777" w:rsidR="003826D0" w:rsidRPr="004D1926" w:rsidRDefault="003826D0" w:rsidP="005C2FFB">
            <w:pPr>
              <w:autoSpaceDE w:val="0"/>
              <w:autoSpaceDN w:val="0"/>
              <w:spacing w:line="276" w:lineRule="auto"/>
              <w:jc w:val="center"/>
              <w:rPr>
                <w:rFonts w:cstheme="minorHAnsi"/>
                <w:bCs/>
              </w:rPr>
            </w:pPr>
            <w:r w:rsidRPr="004D1926">
              <w:rPr>
                <w:rFonts w:cstheme="minorHAnsi"/>
                <w:bCs/>
              </w:rPr>
              <w:t>8</w:t>
            </w:r>
          </w:p>
        </w:tc>
      </w:tr>
      <w:tr w:rsidR="003826D0" w:rsidRPr="004D1926" w14:paraId="284661B1" w14:textId="77777777" w:rsidTr="005C2FFB">
        <w:trPr>
          <w:jc w:val="center"/>
        </w:trPr>
        <w:tc>
          <w:tcPr>
            <w:tcW w:w="5186" w:type="dxa"/>
          </w:tcPr>
          <w:p w14:paraId="33383519" w14:textId="77777777" w:rsidR="003826D0" w:rsidRPr="004D1926" w:rsidRDefault="003826D0" w:rsidP="005C2FFB">
            <w:pPr>
              <w:autoSpaceDE w:val="0"/>
              <w:autoSpaceDN w:val="0"/>
              <w:spacing w:line="276" w:lineRule="auto"/>
              <w:rPr>
                <w:rFonts w:cstheme="minorHAnsi"/>
                <w:bCs/>
              </w:rPr>
            </w:pPr>
            <w:r w:rsidRPr="004D1926">
              <w:rPr>
                <w:rFonts w:cstheme="minorHAnsi"/>
                <w:bCs/>
              </w:rPr>
              <w:t>Distance Education/Technology</w:t>
            </w:r>
          </w:p>
        </w:tc>
        <w:tc>
          <w:tcPr>
            <w:tcW w:w="2014" w:type="dxa"/>
          </w:tcPr>
          <w:p w14:paraId="0E59DB7F" w14:textId="77777777" w:rsidR="003826D0" w:rsidRPr="004D1926" w:rsidRDefault="003826D0" w:rsidP="005C2FFB">
            <w:pPr>
              <w:autoSpaceDE w:val="0"/>
              <w:autoSpaceDN w:val="0"/>
              <w:spacing w:line="276" w:lineRule="auto"/>
              <w:jc w:val="center"/>
              <w:rPr>
                <w:rFonts w:cstheme="minorHAnsi"/>
                <w:bCs/>
              </w:rPr>
            </w:pPr>
            <w:r w:rsidRPr="004D1926">
              <w:rPr>
                <w:rFonts w:cstheme="minorHAnsi"/>
                <w:bCs/>
              </w:rPr>
              <w:t>11</w:t>
            </w:r>
          </w:p>
        </w:tc>
      </w:tr>
      <w:tr w:rsidR="003826D0" w:rsidRPr="004D1926" w14:paraId="5D0ED71E" w14:textId="77777777" w:rsidTr="005C2FFB">
        <w:trPr>
          <w:jc w:val="center"/>
        </w:trPr>
        <w:tc>
          <w:tcPr>
            <w:tcW w:w="5186" w:type="dxa"/>
          </w:tcPr>
          <w:p w14:paraId="2F1E92E0" w14:textId="77777777" w:rsidR="003826D0" w:rsidRPr="004D1926" w:rsidRDefault="003826D0" w:rsidP="005C2FFB">
            <w:pPr>
              <w:autoSpaceDE w:val="0"/>
              <w:autoSpaceDN w:val="0"/>
              <w:spacing w:line="276" w:lineRule="auto"/>
              <w:rPr>
                <w:rFonts w:cstheme="minorHAnsi"/>
                <w:bCs/>
              </w:rPr>
            </w:pPr>
            <w:proofErr w:type="spellStart"/>
            <w:r w:rsidRPr="004D1926">
              <w:rPr>
                <w:rFonts w:cstheme="minorHAnsi"/>
                <w:bCs/>
              </w:rPr>
              <w:t>WorkReady</w:t>
            </w:r>
            <w:proofErr w:type="spellEnd"/>
          </w:p>
        </w:tc>
        <w:tc>
          <w:tcPr>
            <w:tcW w:w="2014" w:type="dxa"/>
          </w:tcPr>
          <w:p w14:paraId="42F57178" w14:textId="77777777" w:rsidR="003826D0" w:rsidRPr="004D1926" w:rsidRDefault="003826D0" w:rsidP="005C2FFB">
            <w:pPr>
              <w:autoSpaceDE w:val="0"/>
              <w:autoSpaceDN w:val="0"/>
              <w:spacing w:line="276" w:lineRule="auto"/>
              <w:jc w:val="center"/>
              <w:rPr>
                <w:rFonts w:cstheme="minorHAnsi"/>
                <w:bCs/>
              </w:rPr>
            </w:pPr>
            <w:r w:rsidRPr="004D1926">
              <w:rPr>
                <w:rFonts w:cstheme="minorHAnsi"/>
                <w:bCs/>
              </w:rPr>
              <w:t>3</w:t>
            </w:r>
          </w:p>
        </w:tc>
      </w:tr>
      <w:tr w:rsidR="003826D0" w:rsidRPr="004D1926" w14:paraId="2BD81127" w14:textId="77777777" w:rsidTr="005C2FFB">
        <w:trPr>
          <w:jc w:val="center"/>
        </w:trPr>
        <w:tc>
          <w:tcPr>
            <w:tcW w:w="5186" w:type="dxa"/>
          </w:tcPr>
          <w:p w14:paraId="1D5F8187" w14:textId="77777777" w:rsidR="003826D0" w:rsidRPr="004D1926" w:rsidRDefault="003826D0" w:rsidP="005C2FFB">
            <w:pPr>
              <w:autoSpaceDE w:val="0"/>
              <w:autoSpaceDN w:val="0"/>
              <w:spacing w:line="276" w:lineRule="auto"/>
              <w:rPr>
                <w:rFonts w:cstheme="minorHAnsi"/>
                <w:bCs/>
              </w:rPr>
            </w:pPr>
            <w:r w:rsidRPr="004D1926">
              <w:rPr>
                <w:rFonts w:cstheme="minorHAnsi"/>
                <w:bCs/>
              </w:rPr>
              <w:t>WIOA/AEFLA</w:t>
            </w:r>
          </w:p>
        </w:tc>
        <w:tc>
          <w:tcPr>
            <w:tcW w:w="2014" w:type="dxa"/>
          </w:tcPr>
          <w:p w14:paraId="73F8D388" w14:textId="77777777" w:rsidR="003826D0" w:rsidRPr="004D1926" w:rsidRDefault="003826D0" w:rsidP="005C2FFB">
            <w:pPr>
              <w:autoSpaceDE w:val="0"/>
              <w:autoSpaceDN w:val="0"/>
              <w:spacing w:line="276" w:lineRule="auto"/>
              <w:jc w:val="center"/>
              <w:rPr>
                <w:rFonts w:cstheme="minorHAnsi"/>
                <w:bCs/>
              </w:rPr>
            </w:pPr>
            <w:r w:rsidRPr="004D1926">
              <w:rPr>
                <w:rFonts w:cstheme="minorHAnsi"/>
                <w:bCs/>
              </w:rPr>
              <w:t>3</w:t>
            </w:r>
          </w:p>
        </w:tc>
      </w:tr>
      <w:tr w:rsidR="003826D0" w:rsidRPr="004D1926" w14:paraId="46F567A7" w14:textId="77777777" w:rsidTr="005C2FFB">
        <w:trPr>
          <w:jc w:val="center"/>
        </w:trPr>
        <w:tc>
          <w:tcPr>
            <w:tcW w:w="5186" w:type="dxa"/>
          </w:tcPr>
          <w:p w14:paraId="1B16CBAE" w14:textId="77777777" w:rsidR="003826D0" w:rsidRPr="004D1926" w:rsidRDefault="003826D0" w:rsidP="005C2FFB">
            <w:pPr>
              <w:autoSpaceDE w:val="0"/>
              <w:autoSpaceDN w:val="0"/>
              <w:rPr>
                <w:rFonts w:cstheme="minorHAnsi"/>
                <w:bCs/>
              </w:rPr>
            </w:pPr>
            <w:r w:rsidRPr="004D1926">
              <w:rPr>
                <w:rFonts w:cstheme="minorHAnsi"/>
                <w:bCs/>
              </w:rPr>
              <w:t>Office Hours</w:t>
            </w:r>
          </w:p>
        </w:tc>
        <w:tc>
          <w:tcPr>
            <w:tcW w:w="2014" w:type="dxa"/>
          </w:tcPr>
          <w:p w14:paraId="549082C3" w14:textId="77777777" w:rsidR="003826D0" w:rsidRPr="004D1926" w:rsidRDefault="003826D0" w:rsidP="005C2FFB">
            <w:pPr>
              <w:autoSpaceDE w:val="0"/>
              <w:autoSpaceDN w:val="0"/>
              <w:jc w:val="center"/>
              <w:rPr>
                <w:rFonts w:cstheme="minorHAnsi"/>
                <w:bCs/>
              </w:rPr>
            </w:pPr>
            <w:r w:rsidRPr="004D1926">
              <w:rPr>
                <w:rFonts w:cstheme="minorHAnsi"/>
                <w:bCs/>
              </w:rPr>
              <w:t>63</w:t>
            </w:r>
          </w:p>
        </w:tc>
      </w:tr>
    </w:tbl>
    <w:p w14:paraId="54E12021" w14:textId="61C80B4A" w:rsidR="003826D0" w:rsidRPr="00C358D1" w:rsidRDefault="003826D0" w:rsidP="003826D0">
      <w:r w:rsidRPr="00C358D1">
        <w:t xml:space="preserve">* This </w:t>
      </w:r>
      <w:r w:rsidR="00D96506">
        <w:t>t</w:t>
      </w:r>
      <w:r w:rsidRPr="00C358D1">
        <w:t xml:space="preserve">able does not reflect the self-paced courses offered throughout the year. </w:t>
      </w:r>
      <w:r>
        <w:t>Events were categorized by primary purpose, but several could be classified with other categories.</w:t>
      </w:r>
    </w:p>
    <w:p w14:paraId="40D23C31" w14:textId="2C920C80" w:rsidR="00417ED8" w:rsidRDefault="003B1219" w:rsidP="00417ED8">
      <w:pPr>
        <w:rPr>
          <w:rFonts w:cstheme="minorHAnsi"/>
        </w:rPr>
      </w:pPr>
      <w:r>
        <w:rPr>
          <w:rFonts w:cstheme="minorHAnsi"/>
        </w:rPr>
        <w:t xml:space="preserve">We continue to </w:t>
      </w:r>
      <w:r w:rsidR="00A30600" w:rsidRPr="002E0C57">
        <w:rPr>
          <w:rFonts w:cstheme="minorHAnsi"/>
        </w:rPr>
        <w:t>r</w:t>
      </w:r>
      <w:r>
        <w:rPr>
          <w:rFonts w:cstheme="minorHAnsi"/>
        </w:rPr>
        <w:t>ely</w:t>
      </w:r>
      <w:r w:rsidR="00A30600" w:rsidRPr="002E0C57">
        <w:rPr>
          <w:rFonts w:cstheme="minorHAnsi"/>
        </w:rPr>
        <w:t xml:space="preserve"> on </w:t>
      </w:r>
      <w:r w:rsidR="00B632E2" w:rsidRPr="002E0C57">
        <w:rPr>
          <w:rFonts w:cstheme="minorHAnsi"/>
        </w:rPr>
        <w:t>desk monitoring, the submission of standardized quarterly reports</w:t>
      </w:r>
      <w:r w:rsidR="009E1F83" w:rsidRPr="002E0C57">
        <w:rPr>
          <w:rFonts w:cstheme="minorHAnsi"/>
        </w:rPr>
        <w:t xml:space="preserve">, targeted </w:t>
      </w:r>
      <w:r w:rsidR="00140CE8" w:rsidRPr="002E0C57">
        <w:rPr>
          <w:rFonts w:cstheme="minorHAnsi"/>
        </w:rPr>
        <w:t>technical assistance to address any issues coming up in reports (</w:t>
      </w:r>
      <w:proofErr w:type="gramStart"/>
      <w:r w:rsidR="00140CE8" w:rsidRPr="002E0C57">
        <w:rPr>
          <w:rFonts w:cstheme="minorHAnsi"/>
        </w:rPr>
        <w:t>i.e.</w:t>
      </w:r>
      <w:proofErr w:type="gramEnd"/>
      <w:r w:rsidR="00140CE8" w:rsidRPr="002E0C57">
        <w:rPr>
          <w:rFonts w:cstheme="minorHAnsi"/>
        </w:rPr>
        <w:t xml:space="preserve"> SSN collection, </w:t>
      </w:r>
      <w:r w:rsidR="005E7A5E" w:rsidRPr="002E0C57">
        <w:rPr>
          <w:rFonts w:cstheme="minorHAnsi"/>
        </w:rPr>
        <w:t xml:space="preserve">data sharing </w:t>
      </w:r>
      <w:r w:rsidR="005E7A5E" w:rsidRPr="002E0C57">
        <w:rPr>
          <w:rFonts w:cstheme="minorHAnsi"/>
        </w:rPr>
        <w:lastRenderedPageBreak/>
        <w:t>agreements, etc.)</w:t>
      </w:r>
      <w:r w:rsidR="007C7B8C" w:rsidRPr="002E0C57">
        <w:rPr>
          <w:rFonts w:cstheme="minorHAnsi"/>
        </w:rPr>
        <w:t>, evaluations of professional development courses offered,</w:t>
      </w:r>
      <w:r w:rsidR="005E7A5E" w:rsidRPr="002E0C57">
        <w:rPr>
          <w:rFonts w:cstheme="minorHAnsi"/>
        </w:rPr>
        <w:t xml:space="preserve"> and </w:t>
      </w:r>
      <w:r w:rsidR="005E7953">
        <w:rPr>
          <w:rFonts w:cstheme="minorHAnsi"/>
        </w:rPr>
        <w:t xml:space="preserve">limited </w:t>
      </w:r>
      <w:r w:rsidR="005E7A5E" w:rsidRPr="002E0C57">
        <w:rPr>
          <w:rFonts w:cstheme="minorHAnsi"/>
        </w:rPr>
        <w:t xml:space="preserve">one-on-one visits </w:t>
      </w:r>
      <w:r w:rsidR="00FD55B8" w:rsidRPr="002E0C57">
        <w:rPr>
          <w:rFonts w:cstheme="minorHAnsi"/>
        </w:rPr>
        <w:t xml:space="preserve">initiated by a program or the state office </w:t>
      </w:r>
      <w:r w:rsidR="005E7A5E" w:rsidRPr="002E0C57">
        <w:rPr>
          <w:rFonts w:cstheme="minorHAnsi"/>
        </w:rPr>
        <w:t xml:space="preserve">as needed. </w:t>
      </w:r>
      <w:r w:rsidR="00417ED8">
        <w:rPr>
          <w:rFonts w:cstheme="minorHAnsi"/>
        </w:rPr>
        <w:t>With the ongoing impacts of COVID-19, we have determ</w:t>
      </w:r>
      <w:r w:rsidR="00A937F0">
        <w:rPr>
          <w:rFonts w:cstheme="minorHAnsi"/>
        </w:rPr>
        <w:t>ined</w:t>
      </w:r>
      <w:r w:rsidR="00417ED8">
        <w:rPr>
          <w:rFonts w:cstheme="minorHAnsi"/>
        </w:rPr>
        <w:t xml:space="preserve"> it necessary to make use of available resources from other states to develop a fully remote monitoring system.</w:t>
      </w:r>
    </w:p>
    <w:p w14:paraId="2A0BA061" w14:textId="77777777" w:rsidR="00055970" w:rsidRPr="00AD28D0" w:rsidRDefault="00055970" w:rsidP="00055970">
      <w:pPr>
        <w:rPr>
          <w:b/>
          <w:bCs/>
          <w:sz w:val="24"/>
          <w:szCs w:val="24"/>
        </w:rPr>
      </w:pPr>
      <w:r w:rsidRPr="00AD28D0">
        <w:rPr>
          <w:b/>
          <w:bCs/>
          <w:sz w:val="24"/>
          <w:szCs w:val="24"/>
        </w:rPr>
        <w:t>Permissible Activities</w:t>
      </w:r>
    </w:p>
    <w:p w14:paraId="5CB47D2F" w14:textId="5B7DA414" w:rsidR="00FB353D" w:rsidRPr="00FB353D" w:rsidRDefault="00055970" w:rsidP="00FB353D">
      <w:pPr>
        <w:autoSpaceDE w:val="0"/>
        <w:autoSpaceDN w:val="0"/>
        <w:rPr>
          <w:rFonts w:cstheme="minorHAnsi"/>
          <w:bCs/>
        </w:rPr>
      </w:pPr>
      <w:r w:rsidRPr="00AD28D0">
        <w:rPr>
          <w:rFonts w:cstheme="minorHAnsi"/>
          <w:bCs/>
        </w:rPr>
        <w:t xml:space="preserve">The State Office contracts with outside agencies and individuals to conduct state leadership activities. These contracts, funded through the leadership activities portion of the AEFLA grant, provide a variety of services to support the grantees. The contracts are in the areas of: </w:t>
      </w:r>
    </w:p>
    <w:p w14:paraId="78523D59" w14:textId="53906B59" w:rsidR="00055970" w:rsidRPr="00FB353D" w:rsidRDefault="00055970" w:rsidP="00FB353D">
      <w:pPr>
        <w:pStyle w:val="ListParagraph"/>
        <w:numPr>
          <w:ilvl w:val="0"/>
          <w:numId w:val="2"/>
        </w:numPr>
        <w:autoSpaceDE w:val="0"/>
        <w:autoSpaceDN w:val="0"/>
        <w:rPr>
          <w:rFonts w:cstheme="minorHAnsi"/>
          <w:b/>
          <w:bCs/>
        </w:rPr>
      </w:pPr>
      <w:r w:rsidRPr="00FB353D">
        <w:rPr>
          <w:rFonts w:cstheme="minorHAnsi"/>
          <w:b/>
          <w:bCs/>
        </w:rPr>
        <w:t>Assessment and Accountability:</w:t>
      </w:r>
      <w:r w:rsidRPr="00FB353D">
        <w:rPr>
          <w:rFonts w:cstheme="minorHAnsi"/>
          <w:bCs/>
        </w:rPr>
        <w:t xml:space="preserve"> Tracking the progress and successes of students and the performance of local programs through a standardized assessment system allows the State Office to determine if programs are meeting their goals and objectives. Use of the Comprehensive Adult Student Assessment System (CASAS) provides a common assessment for all levels of ABE, ELL, and ASE/HSE, including IET programs. Local service providers can access program-specific data results and are given technical assistance on analyzing the data for local reporting, program planning, and instructional purposes. The State Office also offers regular CASAS basic implementation training, as well as training in using assessment results and </w:t>
      </w:r>
      <w:proofErr w:type="spellStart"/>
      <w:r w:rsidRPr="00FB353D">
        <w:rPr>
          <w:rFonts w:cstheme="minorHAnsi"/>
          <w:bCs/>
        </w:rPr>
        <w:t>TopsPRO</w:t>
      </w:r>
      <w:proofErr w:type="spellEnd"/>
      <w:r w:rsidRPr="00FB353D">
        <w:rPr>
          <w:rFonts w:cstheme="minorHAnsi"/>
          <w:bCs/>
        </w:rPr>
        <w:t xml:space="preserve"> results to inform instruction.  </w:t>
      </w:r>
    </w:p>
    <w:p w14:paraId="060866BD" w14:textId="77777777" w:rsidR="00055970" w:rsidRPr="008E7D75" w:rsidRDefault="00055970" w:rsidP="00055970">
      <w:pPr>
        <w:pStyle w:val="ListParagraph"/>
        <w:autoSpaceDE w:val="0"/>
        <w:autoSpaceDN w:val="0"/>
        <w:spacing w:line="276" w:lineRule="auto"/>
        <w:rPr>
          <w:rFonts w:asciiTheme="minorHAnsi" w:hAnsiTheme="minorHAnsi" w:cstheme="minorHAnsi"/>
          <w:b/>
          <w:bCs/>
          <w:i/>
          <w:iCs/>
          <w:color w:val="FF0000"/>
        </w:rPr>
      </w:pPr>
    </w:p>
    <w:p w14:paraId="17D4EAA2" w14:textId="519D07B5" w:rsidR="00055970" w:rsidRPr="000907C6" w:rsidRDefault="00055970" w:rsidP="00055970">
      <w:pPr>
        <w:pStyle w:val="ListParagraph"/>
        <w:numPr>
          <w:ilvl w:val="0"/>
          <w:numId w:val="2"/>
        </w:numPr>
        <w:autoSpaceDE w:val="0"/>
        <w:autoSpaceDN w:val="0"/>
        <w:spacing w:line="276" w:lineRule="auto"/>
        <w:rPr>
          <w:rFonts w:asciiTheme="minorHAnsi" w:hAnsiTheme="minorHAnsi" w:cstheme="minorHAnsi"/>
          <w:b/>
          <w:bCs/>
        </w:rPr>
      </w:pPr>
      <w:r w:rsidRPr="00AD28D0">
        <w:rPr>
          <w:rFonts w:asciiTheme="minorHAnsi" w:hAnsiTheme="minorHAnsi" w:cstheme="minorHAnsi"/>
          <w:b/>
          <w:bCs/>
        </w:rPr>
        <w:t xml:space="preserve">Technology and Distance Learning: </w:t>
      </w:r>
      <w:r w:rsidRPr="00AD28D0">
        <w:rPr>
          <w:rFonts w:asciiTheme="minorHAnsi" w:hAnsiTheme="minorHAnsi" w:cstheme="minorHAnsi"/>
          <w:bCs/>
        </w:rPr>
        <w:t xml:space="preserve">The State Office promotes, models, and provides support around technology integration at the program administration and classroom levels. A contract with Schoology, a statewide learning management system, provides a space for online and blended professional development instruction, a repository for resources, and for local service providers to develop student-level online learning opportunities. Membership in the IDEAL consortium provides the State Office access to professional development materials, including a summer institute for members, on-demand courses in blended and mobile learning and open educational resources, and technical assistance. </w:t>
      </w:r>
    </w:p>
    <w:p w14:paraId="26CEE1F5" w14:textId="77777777" w:rsidR="000907C6" w:rsidRPr="000907C6" w:rsidRDefault="000907C6" w:rsidP="000907C6">
      <w:pPr>
        <w:pStyle w:val="ListParagraph"/>
        <w:rPr>
          <w:rFonts w:asciiTheme="minorHAnsi" w:hAnsiTheme="minorHAnsi" w:cstheme="minorHAnsi"/>
          <w:b/>
          <w:bCs/>
        </w:rPr>
      </w:pPr>
    </w:p>
    <w:p w14:paraId="103D9D79" w14:textId="77777777" w:rsidR="000907C6" w:rsidRPr="000907C6" w:rsidRDefault="000907C6" w:rsidP="000907C6">
      <w:pPr>
        <w:pStyle w:val="ListParagraph"/>
        <w:autoSpaceDE w:val="0"/>
        <w:autoSpaceDN w:val="0"/>
        <w:spacing w:line="276" w:lineRule="auto"/>
        <w:rPr>
          <w:rFonts w:asciiTheme="minorHAnsi" w:hAnsiTheme="minorHAnsi" w:cstheme="minorHAnsi"/>
          <w:b/>
          <w:bCs/>
        </w:rPr>
      </w:pPr>
    </w:p>
    <w:p w14:paraId="5E3A0E29" w14:textId="77777777" w:rsidR="00055970" w:rsidRPr="00F638B8" w:rsidRDefault="00055970" w:rsidP="00055970">
      <w:pPr>
        <w:pStyle w:val="ListParagraph"/>
        <w:numPr>
          <w:ilvl w:val="0"/>
          <w:numId w:val="2"/>
        </w:numPr>
        <w:autoSpaceDE w:val="0"/>
        <w:autoSpaceDN w:val="0"/>
        <w:spacing w:line="276" w:lineRule="auto"/>
        <w:rPr>
          <w:rFonts w:asciiTheme="minorHAnsi" w:hAnsiTheme="minorHAnsi" w:cstheme="minorHAnsi"/>
          <w:b/>
          <w:bCs/>
        </w:rPr>
      </w:pPr>
      <w:r w:rsidRPr="00F638B8">
        <w:rPr>
          <w:rFonts w:asciiTheme="minorHAnsi" w:hAnsiTheme="minorHAnsi" w:cstheme="minorHAnsi"/>
          <w:b/>
          <w:bCs/>
        </w:rPr>
        <w:t xml:space="preserve">Professional Development: </w:t>
      </w:r>
      <w:r w:rsidRPr="00F638B8">
        <w:rPr>
          <w:rFonts w:asciiTheme="minorHAnsi" w:hAnsiTheme="minorHAnsi" w:cstheme="minorHAnsi"/>
          <w:bCs/>
        </w:rPr>
        <w:t>Leadership funds supported contracts that delivered high-quality professional development. The State Office contracted a part-time professional development assistant to support the development and coordination of PD and technical assistance in technology and distance learning. Funds also supported members of the statewide professional development advisory committee and other experienced, high-performing practitioners at the local level who facilitated course in FY21.  The State Office also invests in high-performing practitioners’ training so that professional development efforts and priorities can be supported regionally, as needed, including the Teaching the Skills that Matter in Adult Education federal training, and the Adult Numeracy Instruction series.</w:t>
      </w:r>
    </w:p>
    <w:p w14:paraId="79F65A25" w14:textId="77777777" w:rsidR="00847E28" w:rsidRDefault="00847E28" w:rsidP="00417ED8">
      <w:pPr>
        <w:rPr>
          <w:rFonts w:cstheme="minorHAnsi"/>
        </w:rPr>
      </w:pPr>
    </w:p>
    <w:p w14:paraId="71AB6BFA" w14:textId="77777777" w:rsidR="00D96506" w:rsidRDefault="00D96506" w:rsidP="00D96506">
      <w:pPr>
        <w:pStyle w:val="ListParagraph"/>
        <w:ind w:left="1080"/>
        <w:rPr>
          <w:rFonts w:cstheme="minorHAnsi"/>
          <w:b/>
          <w:bCs/>
          <w:i/>
          <w:iCs/>
        </w:rPr>
      </w:pPr>
    </w:p>
    <w:p w14:paraId="1A1F12E6" w14:textId="77777777" w:rsidR="00D96506" w:rsidRDefault="00D96506" w:rsidP="00D96506">
      <w:pPr>
        <w:pStyle w:val="ListParagraph"/>
        <w:ind w:left="1080"/>
        <w:rPr>
          <w:rFonts w:cstheme="minorHAnsi"/>
          <w:b/>
          <w:bCs/>
          <w:i/>
          <w:iCs/>
        </w:rPr>
      </w:pPr>
    </w:p>
    <w:p w14:paraId="501BAE5C" w14:textId="585A453D" w:rsidR="00936891" w:rsidRPr="00A96BFC" w:rsidRDefault="00936891" w:rsidP="00A96BFC">
      <w:pPr>
        <w:pStyle w:val="ListParagraph"/>
        <w:numPr>
          <w:ilvl w:val="0"/>
          <w:numId w:val="8"/>
        </w:numPr>
        <w:rPr>
          <w:rFonts w:cstheme="minorHAnsi"/>
          <w:b/>
          <w:bCs/>
          <w:i/>
          <w:iCs/>
        </w:rPr>
      </w:pPr>
      <w:r w:rsidRPr="00A96BFC">
        <w:rPr>
          <w:rFonts w:cstheme="minorHAnsi"/>
          <w:b/>
          <w:bCs/>
          <w:i/>
          <w:iCs/>
        </w:rPr>
        <w:lastRenderedPageBreak/>
        <w:t>Performance Data Analysis</w:t>
      </w:r>
    </w:p>
    <w:p w14:paraId="50072108" w14:textId="566A1B32" w:rsidR="009D1775" w:rsidRDefault="009D1775" w:rsidP="009D1775">
      <w:pPr>
        <w:rPr>
          <w:sz w:val="23"/>
          <w:szCs w:val="23"/>
        </w:rPr>
      </w:pPr>
      <w:r>
        <w:rPr>
          <w:sz w:val="23"/>
          <w:szCs w:val="23"/>
        </w:rPr>
        <w:t xml:space="preserve">Maine Adult Education’s core performance indicators for </w:t>
      </w:r>
      <w:r w:rsidR="005728A9">
        <w:rPr>
          <w:sz w:val="23"/>
          <w:szCs w:val="23"/>
        </w:rPr>
        <w:t>PY</w:t>
      </w:r>
      <w:r>
        <w:rPr>
          <w:sz w:val="23"/>
          <w:szCs w:val="23"/>
        </w:rPr>
        <w:t xml:space="preserve">20 revealed both positive and negative data trends and demonstrated the continued impact of the COVID-19 pandemic on both adult learners and the local programs who serve them. NRS enrollment for both ABE and ESL level learners continues to decline and overall NRS enrollment has decreased 30.80% from the pre-pandemic levels of PY18. However, the effect on specific programming areas has been uneven.  </w:t>
      </w:r>
    </w:p>
    <w:p w14:paraId="0842EEBD" w14:textId="3FA229ED" w:rsidR="00A96BFC" w:rsidRDefault="000907C6" w:rsidP="009D1775">
      <w:pPr>
        <w:rPr>
          <w:sz w:val="23"/>
          <w:szCs w:val="23"/>
        </w:rPr>
      </w:pPr>
      <w:r>
        <w:rPr>
          <w:noProof/>
        </w:rPr>
        <w:drawing>
          <wp:anchor distT="0" distB="0" distL="114300" distR="114300" simplePos="0" relativeHeight="251671552" behindDoc="0" locked="0" layoutInCell="1" allowOverlap="1" wp14:anchorId="11D0D409" wp14:editId="4B2F3DFE">
            <wp:simplePos x="0" y="0"/>
            <wp:positionH relativeFrom="margin">
              <wp:align>right</wp:align>
            </wp:positionH>
            <wp:positionV relativeFrom="paragraph">
              <wp:posOffset>6045</wp:posOffset>
            </wp:positionV>
            <wp:extent cx="6076950" cy="2619375"/>
            <wp:effectExtent l="0" t="0" r="0" b="9525"/>
            <wp:wrapNone/>
            <wp:docPr id="1" name="Chart 1">
              <a:extLst xmlns:a="http://schemas.openxmlformats.org/drawingml/2006/main">
                <a:ext uri="{FF2B5EF4-FFF2-40B4-BE49-F238E27FC236}">
                  <a16:creationId xmlns:a16="http://schemas.microsoft.com/office/drawing/2014/main" id="{2906D7F9-49BA-4089-B96D-4F79677DDC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p>
    <w:p w14:paraId="3C8B01CE" w14:textId="03124237" w:rsidR="009D1775" w:rsidRDefault="009D1775" w:rsidP="009D1775">
      <w:pPr>
        <w:rPr>
          <w:sz w:val="23"/>
          <w:szCs w:val="23"/>
        </w:rPr>
      </w:pPr>
    </w:p>
    <w:p w14:paraId="3BD103C5" w14:textId="3E1D8DA3" w:rsidR="009D1775" w:rsidRDefault="009D1775" w:rsidP="009D1775">
      <w:pPr>
        <w:rPr>
          <w:sz w:val="23"/>
          <w:szCs w:val="23"/>
        </w:rPr>
      </w:pPr>
    </w:p>
    <w:p w14:paraId="5C8A5E6D" w14:textId="4D253ACA" w:rsidR="009D1775" w:rsidRDefault="009D1775" w:rsidP="009D1775">
      <w:pPr>
        <w:rPr>
          <w:sz w:val="23"/>
          <w:szCs w:val="23"/>
        </w:rPr>
      </w:pPr>
    </w:p>
    <w:p w14:paraId="1814064E" w14:textId="1B01E7BC" w:rsidR="00A96BFC" w:rsidRDefault="00A96BFC" w:rsidP="009D1775">
      <w:pPr>
        <w:rPr>
          <w:sz w:val="23"/>
          <w:szCs w:val="23"/>
        </w:rPr>
      </w:pPr>
    </w:p>
    <w:p w14:paraId="2C8DE121" w14:textId="10DB8BE7" w:rsidR="00A96BFC" w:rsidRDefault="00A96BFC" w:rsidP="009D1775">
      <w:pPr>
        <w:rPr>
          <w:sz w:val="23"/>
          <w:szCs w:val="23"/>
        </w:rPr>
      </w:pPr>
    </w:p>
    <w:p w14:paraId="33668501" w14:textId="77777777" w:rsidR="000907C6" w:rsidRDefault="000907C6" w:rsidP="009D1775">
      <w:pPr>
        <w:rPr>
          <w:sz w:val="23"/>
          <w:szCs w:val="23"/>
        </w:rPr>
      </w:pPr>
    </w:p>
    <w:p w14:paraId="2437E129" w14:textId="77777777" w:rsidR="000907C6" w:rsidRDefault="000907C6" w:rsidP="009D1775">
      <w:pPr>
        <w:rPr>
          <w:sz w:val="23"/>
          <w:szCs w:val="23"/>
        </w:rPr>
      </w:pPr>
    </w:p>
    <w:p w14:paraId="0AF567A7" w14:textId="3D0EEFEF" w:rsidR="009D1775" w:rsidRDefault="00961214" w:rsidP="009D1775">
      <w:pPr>
        <w:rPr>
          <w:sz w:val="23"/>
          <w:szCs w:val="23"/>
        </w:rPr>
      </w:pPr>
      <w:r>
        <w:rPr>
          <w:sz w:val="23"/>
          <w:szCs w:val="23"/>
        </w:rPr>
        <w:t xml:space="preserve">years. </w:t>
      </w:r>
      <w:r w:rsidR="009D1775">
        <w:rPr>
          <w:sz w:val="23"/>
          <w:szCs w:val="23"/>
        </w:rPr>
        <w:t>Workforce training and development programming has seen the greatest decline (over 35%), while college transitions programming has held steady and high school completion programming has even seen a slight increase in enrollments.</w:t>
      </w:r>
    </w:p>
    <w:p w14:paraId="49E88337" w14:textId="7084DEC1" w:rsidR="009D1775" w:rsidRDefault="00D96506" w:rsidP="009D1775">
      <w:pPr>
        <w:rPr>
          <w:sz w:val="23"/>
          <w:szCs w:val="23"/>
        </w:rPr>
      </w:pPr>
      <w:r>
        <w:rPr>
          <w:noProof/>
          <w:sz w:val="23"/>
          <w:szCs w:val="23"/>
        </w:rPr>
        <w:drawing>
          <wp:inline distT="0" distB="0" distL="0" distR="0" wp14:anchorId="137F6224" wp14:editId="728E8F76">
            <wp:extent cx="5943600" cy="26911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691130"/>
                    </a:xfrm>
                    <a:prstGeom prst="rect">
                      <a:avLst/>
                    </a:prstGeom>
                    <a:noFill/>
                  </pic:spPr>
                </pic:pic>
              </a:graphicData>
            </a:graphic>
          </wp:inline>
        </w:drawing>
      </w:r>
      <w:r w:rsidR="009D1775">
        <w:rPr>
          <w:sz w:val="23"/>
          <w:szCs w:val="23"/>
        </w:rPr>
        <w:t xml:space="preserve">The significant decline in workforce training enrollments sent local programs scrambling both to recruit more learners for their workforce courses and to find distance options for the workforce training programs they could no longer hold in person.  The learning curve for developing distance </w:t>
      </w:r>
      <w:r w:rsidR="009D1775">
        <w:rPr>
          <w:sz w:val="23"/>
          <w:szCs w:val="23"/>
        </w:rPr>
        <w:lastRenderedPageBreak/>
        <w:t xml:space="preserve">workforce training programming has been substantial. Local providers needed to coordinate with partner agencies and employers – many of whom did not have the capacity to continue with the partnership during the pandemic. Revamped workforce programming, though, is stronger than ever with distance options and virtual programming that allows cohorts to be filled with adult learners throughout Maine. </w:t>
      </w:r>
    </w:p>
    <w:p w14:paraId="5650184B" w14:textId="47930D9E" w:rsidR="00DD4501" w:rsidRDefault="009D1775" w:rsidP="009D1775">
      <w:pPr>
        <w:rPr>
          <w:sz w:val="23"/>
          <w:szCs w:val="23"/>
        </w:rPr>
      </w:pPr>
      <w:r>
        <w:rPr>
          <w:sz w:val="23"/>
          <w:szCs w:val="23"/>
        </w:rPr>
        <w:t>Considering the significant impact Covid-19 has had on adult education enrollment, programming, and services, it seems to have had only minimal effect on Maine’s performance data.  Employment and postsecondary measures have held steady and even improved over the past year resulting in Maine meeting four out of five target measures. However, both the fourth quarter employment rate and credential rate are based on pre-pandemic data (January 1, 2019 thru December 31, 2019).  The second quarter employment rate does include data from the beginning of the pandemic (July 1, 2019 thru June 30, 2020) and is the only measure that did not meet the negotiated target.  The median wage increased significantly from the previous year perhaps due in part to Covid-19 and the increased hourly pay rates and extra hours worked.</w:t>
      </w:r>
    </w:p>
    <w:tbl>
      <w:tblPr>
        <w:tblW w:w="9060" w:type="dxa"/>
        <w:tblLook w:val="04A0" w:firstRow="1" w:lastRow="0" w:firstColumn="1" w:lastColumn="0" w:noHBand="0" w:noVBand="1"/>
      </w:tblPr>
      <w:tblGrid>
        <w:gridCol w:w="5860"/>
        <w:gridCol w:w="1600"/>
        <w:gridCol w:w="1600"/>
      </w:tblGrid>
      <w:tr w:rsidR="009D1775" w:rsidRPr="00513A8F" w14:paraId="7985C6D6" w14:textId="77777777" w:rsidTr="00C403C2">
        <w:trPr>
          <w:trHeight w:val="615"/>
        </w:trPr>
        <w:tc>
          <w:tcPr>
            <w:tcW w:w="586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74383BB5" w14:textId="77777777" w:rsidR="009D1775" w:rsidRPr="00513A8F" w:rsidRDefault="009D1775" w:rsidP="00C403C2">
            <w:pPr>
              <w:jc w:val="center"/>
              <w:rPr>
                <w:rFonts w:ascii="Calibri" w:eastAsia="Times New Roman" w:hAnsi="Calibri" w:cs="Calibri"/>
                <w:color w:val="000000"/>
              </w:rPr>
            </w:pPr>
            <w:r w:rsidRPr="00513A8F">
              <w:rPr>
                <w:rFonts w:ascii="Calibri" w:eastAsia="Times New Roman" w:hAnsi="Calibri" w:cs="Calibri"/>
                <w:color w:val="000000"/>
              </w:rPr>
              <w:t>Federal Level Adult Education Learner Outcomes</w:t>
            </w:r>
          </w:p>
        </w:tc>
        <w:tc>
          <w:tcPr>
            <w:tcW w:w="1600" w:type="dxa"/>
            <w:tcBorders>
              <w:top w:val="single" w:sz="4" w:space="0" w:color="auto"/>
              <w:left w:val="nil"/>
              <w:bottom w:val="single" w:sz="8" w:space="0" w:color="auto"/>
              <w:right w:val="nil"/>
            </w:tcBorders>
            <w:shd w:val="clear" w:color="auto" w:fill="auto"/>
            <w:vAlign w:val="center"/>
            <w:hideMark/>
          </w:tcPr>
          <w:p w14:paraId="2C5796D4" w14:textId="77777777" w:rsidR="009D1775" w:rsidRPr="00513A8F" w:rsidRDefault="009D1775" w:rsidP="00C403C2">
            <w:pPr>
              <w:jc w:val="center"/>
              <w:rPr>
                <w:rFonts w:ascii="Calibri" w:eastAsia="Times New Roman" w:hAnsi="Calibri" w:cs="Calibri"/>
                <w:color w:val="000000"/>
              </w:rPr>
            </w:pPr>
            <w:r w:rsidRPr="00513A8F">
              <w:rPr>
                <w:rFonts w:ascii="Calibri" w:eastAsia="Times New Roman" w:hAnsi="Calibri" w:cs="Calibri"/>
                <w:color w:val="000000"/>
              </w:rPr>
              <w:t>PY20 Target (2020-2021)</w:t>
            </w:r>
          </w:p>
        </w:tc>
        <w:tc>
          <w:tcPr>
            <w:tcW w:w="1600" w:type="dxa"/>
            <w:tcBorders>
              <w:top w:val="single" w:sz="4" w:space="0" w:color="auto"/>
              <w:left w:val="single" w:sz="4" w:space="0" w:color="auto"/>
              <w:bottom w:val="nil"/>
              <w:right w:val="single" w:sz="4" w:space="0" w:color="auto"/>
            </w:tcBorders>
            <w:shd w:val="clear" w:color="auto" w:fill="auto"/>
            <w:vAlign w:val="center"/>
            <w:hideMark/>
          </w:tcPr>
          <w:p w14:paraId="3741FCA3" w14:textId="77777777" w:rsidR="009D1775" w:rsidRPr="00513A8F" w:rsidRDefault="009D1775" w:rsidP="00C403C2">
            <w:pPr>
              <w:jc w:val="center"/>
              <w:rPr>
                <w:rFonts w:ascii="Calibri" w:eastAsia="Times New Roman" w:hAnsi="Calibri" w:cs="Calibri"/>
                <w:color w:val="000000"/>
              </w:rPr>
            </w:pPr>
            <w:r w:rsidRPr="00513A8F">
              <w:rPr>
                <w:rFonts w:ascii="Calibri" w:eastAsia="Times New Roman" w:hAnsi="Calibri" w:cs="Calibri"/>
                <w:color w:val="000000"/>
              </w:rPr>
              <w:t xml:space="preserve">PY20 Actual     </w:t>
            </w:r>
            <w:proofErr w:type="gramStart"/>
            <w:r w:rsidRPr="00513A8F">
              <w:rPr>
                <w:rFonts w:ascii="Calibri" w:eastAsia="Times New Roman" w:hAnsi="Calibri" w:cs="Calibri"/>
                <w:color w:val="000000"/>
              </w:rPr>
              <w:t xml:space="preserve">   (</w:t>
            </w:r>
            <w:proofErr w:type="gramEnd"/>
            <w:r w:rsidRPr="00513A8F">
              <w:rPr>
                <w:rFonts w:ascii="Calibri" w:eastAsia="Times New Roman" w:hAnsi="Calibri" w:cs="Calibri"/>
                <w:color w:val="000000"/>
              </w:rPr>
              <w:t>2020-2021)</w:t>
            </w:r>
          </w:p>
        </w:tc>
      </w:tr>
      <w:tr w:rsidR="009D1775" w:rsidRPr="00513A8F" w14:paraId="1D1D87E0" w14:textId="77777777" w:rsidTr="00C403C2">
        <w:trPr>
          <w:trHeight w:val="300"/>
        </w:trPr>
        <w:tc>
          <w:tcPr>
            <w:tcW w:w="5860" w:type="dxa"/>
            <w:tcBorders>
              <w:top w:val="nil"/>
              <w:left w:val="single" w:sz="4" w:space="0" w:color="auto"/>
              <w:bottom w:val="single" w:sz="4" w:space="0" w:color="auto"/>
              <w:right w:val="single" w:sz="4" w:space="0" w:color="auto"/>
            </w:tcBorders>
            <w:shd w:val="clear" w:color="000000" w:fill="F2F2F2"/>
            <w:vAlign w:val="center"/>
            <w:hideMark/>
          </w:tcPr>
          <w:p w14:paraId="1C2A06D7" w14:textId="77777777" w:rsidR="009D1775" w:rsidRPr="00513A8F" w:rsidRDefault="009D1775" w:rsidP="00C403C2">
            <w:pPr>
              <w:jc w:val="center"/>
              <w:rPr>
                <w:rFonts w:ascii="Calibri" w:eastAsia="Times New Roman" w:hAnsi="Calibri" w:cs="Calibri"/>
                <w:color w:val="000000"/>
              </w:rPr>
            </w:pPr>
            <w:r w:rsidRPr="00513A8F">
              <w:rPr>
                <w:rFonts w:ascii="Calibri" w:eastAsia="Times New Roman" w:hAnsi="Calibri" w:cs="Calibri"/>
                <w:color w:val="000000"/>
              </w:rPr>
              <w:t>Employment Rate (Q2)</w:t>
            </w:r>
          </w:p>
        </w:tc>
        <w:tc>
          <w:tcPr>
            <w:tcW w:w="1600" w:type="dxa"/>
            <w:tcBorders>
              <w:top w:val="nil"/>
              <w:left w:val="nil"/>
              <w:bottom w:val="nil"/>
              <w:right w:val="nil"/>
            </w:tcBorders>
            <w:shd w:val="clear" w:color="auto" w:fill="auto"/>
            <w:vAlign w:val="center"/>
            <w:hideMark/>
          </w:tcPr>
          <w:p w14:paraId="13552CC4" w14:textId="77777777" w:rsidR="009D1775" w:rsidRPr="00513A8F" w:rsidRDefault="009D1775" w:rsidP="00C403C2">
            <w:pPr>
              <w:jc w:val="center"/>
              <w:rPr>
                <w:rFonts w:ascii="Calibri" w:eastAsia="Times New Roman" w:hAnsi="Calibri" w:cs="Calibri"/>
                <w:i/>
                <w:iCs/>
                <w:color w:val="000000"/>
              </w:rPr>
            </w:pPr>
            <w:r w:rsidRPr="00513A8F">
              <w:rPr>
                <w:rFonts w:ascii="Calibri" w:eastAsia="Times New Roman" w:hAnsi="Calibri" w:cs="Calibri"/>
                <w:i/>
                <w:iCs/>
                <w:color w:val="000000"/>
              </w:rPr>
              <w:t>34.00%</w:t>
            </w:r>
          </w:p>
        </w:tc>
        <w:tc>
          <w:tcPr>
            <w:tcW w:w="1600" w:type="dxa"/>
            <w:tcBorders>
              <w:top w:val="single" w:sz="8" w:space="0" w:color="auto"/>
              <w:left w:val="single" w:sz="4" w:space="0" w:color="auto"/>
              <w:bottom w:val="nil"/>
              <w:right w:val="single" w:sz="4" w:space="0" w:color="auto"/>
            </w:tcBorders>
            <w:shd w:val="clear" w:color="auto" w:fill="auto"/>
            <w:vAlign w:val="center"/>
            <w:hideMark/>
          </w:tcPr>
          <w:p w14:paraId="45A319B1" w14:textId="77777777" w:rsidR="009D1775" w:rsidRPr="00513A8F" w:rsidRDefault="009D1775" w:rsidP="00C403C2">
            <w:pPr>
              <w:jc w:val="center"/>
              <w:rPr>
                <w:rFonts w:ascii="Calibri" w:eastAsia="Times New Roman" w:hAnsi="Calibri" w:cs="Calibri"/>
                <w:color w:val="000000"/>
              </w:rPr>
            </w:pPr>
            <w:r w:rsidRPr="00513A8F">
              <w:rPr>
                <w:rFonts w:ascii="Calibri" w:eastAsia="Times New Roman" w:hAnsi="Calibri" w:cs="Calibri"/>
                <w:color w:val="000000"/>
              </w:rPr>
              <w:t>33.22%</w:t>
            </w:r>
          </w:p>
        </w:tc>
      </w:tr>
      <w:tr w:rsidR="009D1775" w:rsidRPr="00513A8F" w14:paraId="4F14BF56" w14:textId="77777777" w:rsidTr="00C403C2">
        <w:trPr>
          <w:trHeight w:val="300"/>
        </w:trPr>
        <w:tc>
          <w:tcPr>
            <w:tcW w:w="5860" w:type="dxa"/>
            <w:tcBorders>
              <w:top w:val="nil"/>
              <w:left w:val="single" w:sz="4" w:space="0" w:color="auto"/>
              <w:bottom w:val="single" w:sz="4" w:space="0" w:color="auto"/>
              <w:right w:val="single" w:sz="4" w:space="0" w:color="auto"/>
            </w:tcBorders>
            <w:shd w:val="clear" w:color="000000" w:fill="F2F2F2"/>
            <w:vAlign w:val="center"/>
            <w:hideMark/>
          </w:tcPr>
          <w:p w14:paraId="10F2576C" w14:textId="77777777" w:rsidR="009D1775" w:rsidRPr="00513A8F" w:rsidRDefault="009D1775" w:rsidP="00C403C2">
            <w:pPr>
              <w:jc w:val="center"/>
              <w:rPr>
                <w:rFonts w:ascii="Calibri" w:eastAsia="Times New Roman" w:hAnsi="Calibri" w:cs="Calibri"/>
                <w:color w:val="000000"/>
              </w:rPr>
            </w:pPr>
            <w:r w:rsidRPr="00513A8F">
              <w:rPr>
                <w:rFonts w:ascii="Calibri" w:eastAsia="Times New Roman" w:hAnsi="Calibri" w:cs="Calibri"/>
                <w:color w:val="000000"/>
              </w:rPr>
              <w:t>Employment Rate (Q4)</w:t>
            </w:r>
          </w:p>
        </w:tc>
        <w:tc>
          <w:tcPr>
            <w:tcW w:w="1600" w:type="dxa"/>
            <w:tcBorders>
              <w:top w:val="single" w:sz="4" w:space="0" w:color="auto"/>
              <w:left w:val="nil"/>
              <w:bottom w:val="single" w:sz="4" w:space="0" w:color="auto"/>
              <w:right w:val="nil"/>
            </w:tcBorders>
            <w:shd w:val="clear" w:color="auto" w:fill="auto"/>
            <w:vAlign w:val="center"/>
            <w:hideMark/>
          </w:tcPr>
          <w:p w14:paraId="3C1082CE" w14:textId="77777777" w:rsidR="009D1775" w:rsidRPr="00513A8F" w:rsidRDefault="009D1775" w:rsidP="00C403C2">
            <w:pPr>
              <w:jc w:val="center"/>
              <w:rPr>
                <w:rFonts w:ascii="Calibri" w:eastAsia="Times New Roman" w:hAnsi="Calibri" w:cs="Calibri"/>
                <w:i/>
                <w:iCs/>
                <w:color w:val="000000"/>
              </w:rPr>
            </w:pPr>
            <w:r w:rsidRPr="00513A8F">
              <w:rPr>
                <w:rFonts w:ascii="Calibri" w:eastAsia="Times New Roman" w:hAnsi="Calibri" w:cs="Calibri"/>
                <w:i/>
                <w:iCs/>
                <w:color w:val="000000"/>
              </w:rPr>
              <w:t>32.00%</w:t>
            </w:r>
          </w:p>
        </w:tc>
        <w:tc>
          <w:tcPr>
            <w:tcW w:w="1600" w:type="dxa"/>
            <w:tcBorders>
              <w:top w:val="single" w:sz="4" w:space="0" w:color="auto"/>
              <w:left w:val="single" w:sz="4" w:space="0" w:color="auto"/>
              <w:bottom w:val="single" w:sz="4" w:space="0" w:color="auto"/>
              <w:right w:val="single" w:sz="4" w:space="0" w:color="auto"/>
            </w:tcBorders>
            <w:shd w:val="clear" w:color="000000" w:fill="CDFDCF"/>
            <w:vAlign w:val="center"/>
            <w:hideMark/>
          </w:tcPr>
          <w:p w14:paraId="6076F7FE" w14:textId="77777777" w:rsidR="009D1775" w:rsidRPr="00513A8F" w:rsidRDefault="009D1775" w:rsidP="00C403C2">
            <w:pPr>
              <w:jc w:val="center"/>
              <w:rPr>
                <w:rFonts w:ascii="Calibri" w:eastAsia="Times New Roman" w:hAnsi="Calibri" w:cs="Calibri"/>
                <w:color w:val="000000"/>
              </w:rPr>
            </w:pPr>
            <w:r w:rsidRPr="00513A8F">
              <w:rPr>
                <w:rFonts w:ascii="Calibri" w:eastAsia="Times New Roman" w:hAnsi="Calibri" w:cs="Calibri"/>
                <w:color w:val="000000"/>
              </w:rPr>
              <w:t>32.10%</w:t>
            </w:r>
          </w:p>
        </w:tc>
      </w:tr>
      <w:tr w:rsidR="009D1775" w:rsidRPr="00513A8F" w14:paraId="78A43985" w14:textId="77777777" w:rsidTr="00C403C2">
        <w:trPr>
          <w:trHeight w:val="300"/>
        </w:trPr>
        <w:tc>
          <w:tcPr>
            <w:tcW w:w="5860" w:type="dxa"/>
            <w:tcBorders>
              <w:top w:val="nil"/>
              <w:left w:val="single" w:sz="4" w:space="0" w:color="auto"/>
              <w:bottom w:val="single" w:sz="4" w:space="0" w:color="auto"/>
              <w:right w:val="single" w:sz="4" w:space="0" w:color="auto"/>
            </w:tcBorders>
            <w:shd w:val="clear" w:color="000000" w:fill="F2F2F2"/>
            <w:vAlign w:val="center"/>
            <w:hideMark/>
          </w:tcPr>
          <w:p w14:paraId="69FD2DF1" w14:textId="77777777" w:rsidR="009D1775" w:rsidRPr="00513A8F" w:rsidRDefault="009D1775" w:rsidP="00C403C2">
            <w:pPr>
              <w:jc w:val="center"/>
              <w:rPr>
                <w:rFonts w:ascii="Calibri" w:eastAsia="Times New Roman" w:hAnsi="Calibri" w:cs="Calibri"/>
                <w:color w:val="000000"/>
              </w:rPr>
            </w:pPr>
            <w:r w:rsidRPr="00513A8F">
              <w:rPr>
                <w:rFonts w:ascii="Calibri" w:eastAsia="Times New Roman" w:hAnsi="Calibri" w:cs="Calibri"/>
                <w:color w:val="000000"/>
              </w:rPr>
              <w:t>Median Wage (Q2)</w:t>
            </w:r>
          </w:p>
        </w:tc>
        <w:tc>
          <w:tcPr>
            <w:tcW w:w="1600" w:type="dxa"/>
            <w:tcBorders>
              <w:top w:val="nil"/>
              <w:left w:val="nil"/>
              <w:bottom w:val="nil"/>
              <w:right w:val="nil"/>
            </w:tcBorders>
            <w:shd w:val="clear" w:color="auto" w:fill="auto"/>
            <w:vAlign w:val="center"/>
            <w:hideMark/>
          </w:tcPr>
          <w:p w14:paraId="30D85F60" w14:textId="77777777" w:rsidR="009D1775" w:rsidRPr="00513A8F" w:rsidRDefault="009D1775" w:rsidP="00C403C2">
            <w:pPr>
              <w:jc w:val="center"/>
              <w:rPr>
                <w:rFonts w:ascii="Calibri" w:eastAsia="Times New Roman" w:hAnsi="Calibri" w:cs="Calibri"/>
                <w:i/>
                <w:iCs/>
                <w:color w:val="000000"/>
              </w:rPr>
            </w:pPr>
            <w:r w:rsidRPr="00513A8F">
              <w:rPr>
                <w:rFonts w:ascii="Calibri" w:eastAsia="Times New Roman" w:hAnsi="Calibri" w:cs="Calibri"/>
                <w:i/>
                <w:iCs/>
                <w:color w:val="000000"/>
              </w:rPr>
              <w:t>$4,250.00</w:t>
            </w:r>
          </w:p>
        </w:tc>
        <w:tc>
          <w:tcPr>
            <w:tcW w:w="1600" w:type="dxa"/>
            <w:tcBorders>
              <w:top w:val="nil"/>
              <w:left w:val="single" w:sz="4" w:space="0" w:color="auto"/>
              <w:bottom w:val="nil"/>
              <w:right w:val="single" w:sz="4" w:space="0" w:color="auto"/>
            </w:tcBorders>
            <w:shd w:val="clear" w:color="000000" w:fill="CDFDCF"/>
            <w:vAlign w:val="center"/>
            <w:hideMark/>
          </w:tcPr>
          <w:p w14:paraId="77CFC422" w14:textId="77777777" w:rsidR="009D1775" w:rsidRPr="00513A8F" w:rsidRDefault="009D1775" w:rsidP="00C403C2">
            <w:pPr>
              <w:jc w:val="center"/>
              <w:rPr>
                <w:rFonts w:ascii="Calibri" w:eastAsia="Times New Roman" w:hAnsi="Calibri" w:cs="Calibri"/>
                <w:color w:val="000000"/>
              </w:rPr>
            </w:pPr>
            <w:r w:rsidRPr="00513A8F">
              <w:rPr>
                <w:rFonts w:ascii="Calibri" w:eastAsia="Times New Roman" w:hAnsi="Calibri" w:cs="Calibri"/>
                <w:color w:val="000000"/>
              </w:rPr>
              <w:t>$5,270.94</w:t>
            </w:r>
          </w:p>
        </w:tc>
      </w:tr>
      <w:tr w:rsidR="009D1775" w:rsidRPr="00513A8F" w14:paraId="4000FAFF" w14:textId="77777777" w:rsidTr="00C403C2">
        <w:trPr>
          <w:trHeight w:val="600"/>
        </w:trPr>
        <w:tc>
          <w:tcPr>
            <w:tcW w:w="5860" w:type="dxa"/>
            <w:tcBorders>
              <w:top w:val="nil"/>
              <w:left w:val="single" w:sz="4" w:space="0" w:color="auto"/>
              <w:bottom w:val="single" w:sz="4" w:space="0" w:color="auto"/>
              <w:right w:val="single" w:sz="4" w:space="0" w:color="auto"/>
            </w:tcBorders>
            <w:shd w:val="clear" w:color="000000" w:fill="F2F2F2"/>
            <w:vAlign w:val="center"/>
            <w:hideMark/>
          </w:tcPr>
          <w:p w14:paraId="4F3F962E" w14:textId="77777777" w:rsidR="009D1775" w:rsidRPr="00513A8F" w:rsidRDefault="009D1775" w:rsidP="00C403C2">
            <w:pPr>
              <w:jc w:val="center"/>
              <w:rPr>
                <w:rFonts w:ascii="Calibri" w:eastAsia="Times New Roman" w:hAnsi="Calibri" w:cs="Calibri"/>
                <w:color w:val="000000"/>
              </w:rPr>
            </w:pPr>
            <w:r w:rsidRPr="00513A8F">
              <w:rPr>
                <w:rFonts w:ascii="Calibri" w:eastAsia="Times New Roman" w:hAnsi="Calibri" w:cs="Calibri"/>
                <w:color w:val="000000"/>
              </w:rPr>
              <w:t xml:space="preserve">Credential Rate                                                                           </w:t>
            </w:r>
            <w:proofErr w:type="gramStart"/>
            <w:r w:rsidRPr="00513A8F">
              <w:rPr>
                <w:rFonts w:ascii="Calibri" w:eastAsia="Times New Roman" w:hAnsi="Calibri" w:cs="Calibri"/>
                <w:color w:val="000000"/>
              </w:rPr>
              <w:t xml:space="preserve">   (</w:t>
            </w:r>
            <w:proofErr w:type="gramEnd"/>
            <w:r w:rsidRPr="00513A8F">
              <w:rPr>
                <w:rFonts w:ascii="Calibri" w:eastAsia="Times New Roman" w:hAnsi="Calibri" w:cs="Calibri"/>
                <w:color w:val="000000"/>
              </w:rPr>
              <w:t>Secondary School Attain. &amp; Postsecondary Enroll. or Employ.)</w:t>
            </w:r>
          </w:p>
        </w:tc>
        <w:tc>
          <w:tcPr>
            <w:tcW w:w="1600" w:type="dxa"/>
            <w:tcBorders>
              <w:top w:val="single" w:sz="4" w:space="0" w:color="auto"/>
              <w:left w:val="nil"/>
              <w:bottom w:val="single" w:sz="4" w:space="0" w:color="auto"/>
              <w:right w:val="nil"/>
            </w:tcBorders>
            <w:shd w:val="clear" w:color="auto" w:fill="auto"/>
            <w:vAlign w:val="center"/>
            <w:hideMark/>
          </w:tcPr>
          <w:p w14:paraId="55714E15" w14:textId="77777777" w:rsidR="009D1775" w:rsidRPr="00513A8F" w:rsidRDefault="009D1775" w:rsidP="00C403C2">
            <w:pPr>
              <w:jc w:val="center"/>
              <w:rPr>
                <w:rFonts w:ascii="Calibri" w:eastAsia="Times New Roman" w:hAnsi="Calibri" w:cs="Calibri"/>
                <w:i/>
                <w:iCs/>
                <w:color w:val="000000"/>
              </w:rPr>
            </w:pPr>
            <w:r w:rsidRPr="00513A8F">
              <w:rPr>
                <w:rFonts w:ascii="Calibri" w:eastAsia="Times New Roman" w:hAnsi="Calibri" w:cs="Calibri"/>
                <w:i/>
                <w:iCs/>
                <w:color w:val="000000"/>
              </w:rPr>
              <w:t>32.00%</w:t>
            </w:r>
          </w:p>
        </w:tc>
        <w:tc>
          <w:tcPr>
            <w:tcW w:w="1600" w:type="dxa"/>
            <w:tcBorders>
              <w:top w:val="single" w:sz="4" w:space="0" w:color="auto"/>
              <w:left w:val="single" w:sz="4" w:space="0" w:color="auto"/>
              <w:bottom w:val="single" w:sz="4" w:space="0" w:color="auto"/>
              <w:right w:val="single" w:sz="4" w:space="0" w:color="auto"/>
            </w:tcBorders>
            <w:shd w:val="clear" w:color="000000" w:fill="CDFDCF"/>
            <w:vAlign w:val="center"/>
            <w:hideMark/>
          </w:tcPr>
          <w:p w14:paraId="76CD60A1" w14:textId="77777777" w:rsidR="009D1775" w:rsidRPr="00513A8F" w:rsidRDefault="009D1775" w:rsidP="00C403C2">
            <w:pPr>
              <w:jc w:val="center"/>
              <w:rPr>
                <w:rFonts w:ascii="Calibri" w:eastAsia="Times New Roman" w:hAnsi="Calibri" w:cs="Calibri"/>
                <w:color w:val="000000"/>
              </w:rPr>
            </w:pPr>
            <w:r w:rsidRPr="00513A8F">
              <w:rPr>
                <w:rFonts w:ascii="Calibri" w:eastAsia="Times New Roman" w:hAnsi="Calibri" w:cs="Calibri"/>
                <w:color w:val="000000"/>
              </w:rPr>
              <w:t>48.07%</w:t>
            </w:r>
          </w:p>
        </w:tc>
      </w:tr>
      <w:tr w:rsidR="009D1775" w:rsidRPr="00513A8F" w14:paraId="5A9981DC" w14:textId="77777777" w:rsidTr="00C403C2">
        <w:trPr>
          <w:trHeight w:val="300"/>
        </w:trPr>
        <w:tc>
          <w:tcPr>
            <w:tcW w:w="5860" w:type="dxa"/>
            <w:tcBorders>
              <w:top w:val="nil"/>
              <w:left w:val="single" w:sz="4" w:space="0" w:color="auto"/>
              <w:bottom w:val="single" w:sz="4" w:space="0" w:color="auto"/>
              <w:right w:val="single" w:sz="4" w:space="0" w:color="auto"/>
            </w:tcBorders>
            <w:shd w:val="clear" w:color="000000" w:fill="F2F2F2"/>
            <w:vAlign w:val="center"/>
            <w:hideMark/>
          </w:tcPr>
          <w:p w14:paraId="00A9E1E1" w14:textId="77777777" w:rsidR="009D1775" w:rsidRPr="00513A8F" w:rsidRDefault="009D1775" w:rsidP="00C403C2">
            <w:pPr>
              <w:jc w:val="center"/>
              <w:rPr>
                <w:rFonts w:ascii="Calibri" w:eastAsia="Times New Roman" w:hAnsi="Calibri" w:cs="Calibri"/>
                <w:color w:val="000000"/>
              </w:rPr>
            </w:pPr>
            <w:r w:rsidRPr="00513A8F">
              <w:rPr>
                <w:rFonts w:ascii="Calibri" w:eastAsia="Times New Roman" w:hAnsi="Calibri" w:cs="Calibri"/>
                <w:color w:val="000000"/>
              </w:rPr>
              <w:t xml:space="preserve">Measurable Skill Gains Rate </w:t>
            </w:r>
          </w:p>
        </w:tc>
        <w:tc>
          <w:tcPr>
            <w:tcW w:w="1600" w:type="dxa"/>
            <w:tcBorders>
              <w:top w:val="nil"/>
              <w:left w:val="nil"/>
              <w:bottom w:val="single" w:sz="4" w:space="0" w:color="auto"/>
              <w:right w:val="nil"/>
            </w:tcBorders>
            <w:shd w:val="clear" w:color="auto" w:fill="auto"/>
            <w:vAlign w:val="center"/>
            <w:hideMark/>
          </w:tcPr>
          <w:p w14:paraId="104B3508" w14:textId="77777777" w:rsidR="009D1775" w:rsidRPr="00513A8F" w:rsidRDefault="009D1775" w:rsidP="00C403C2">
            <w:pPr>
              <w:jc w:val="center"/>
              <w:rPr>
                <w:rFonts w:ascii="Calibri" w:eastAsia="Times New Roman" w:hAnsi="Calibri" w:cs="Calibri"/>
                <w:i/>
                <w:iCs/>
                <w:color w:val="000000"/>
              </w:rPr>
            </w:pPr>
            <w:r w:rsidRPr="00513A8F">
              <w:rPr>
                <w:rFonts w:ascii="Calibri" w:eastAsia="Times New Roman" w:hAnsi="Calibri" w:cs="Calibri"/>
                <w:i/>
                <w:iCs/>
                <w:color w:val="000000"/>
              </w:rPr>
              <w:t>36.00%</w:t>
            </w:r>
          </w:p>
        </w:tc>
        <w:tc>
          <w:tcPr>
            <w:tcW w:w="1600" w:type="dxa"/>
            <w:tcBorders>
              <w:top w:val="nil"/>
              <w:left w:val="single" w:sz="4" w:space="0" w:color="auto"/>
              <w:bottom w:val="single" w:sz="4" w:space="0" w:color="auto"/>
              <w:right w:val="single" w:sz="4" w:space="0" w:color="auto"/>
            </w:tcBorders>
            <w:shd w:val="clear" w:color="000000" w:fill="CDFDCF"/>
            <w:vAlign w:val="center"/>
            <w:hideMark/>
          </w:tcPr>
          <w:p w14:paraId="303E218A" w14:textId="77777777" w:rsidR="009D1775" w:rsidRPr="00513A8F" w:rsidRDefault="009D1775" w:rsidP="00C403C2">
            <w:pPr>
              <w:jc w:val="center"/>
              <w:rPr>
                <w:rFonts w:ascii="Calibri" w:eastAsia="Times New Roman" w:hAnsi="Calibri" w:cs="Calibri"/>
                <w:color w:val="000000"/>
              </w:rPr>
            </w:pPr>
            <w:r w:rsidRPr="00513A8F">
              <w:rPr>
                <w:rFonts w:ascii="Calibri" w:eastAsia="Times New Roman" w:hAnsi="Calibri" w:cs="Calibri"/>
                <w:color w:val="000000"/>
              </w:rPr>
              <w:t>37.62%</w:t>
            </w:r>
          </w:p>
        </w:tc>
      </w:tr>
    </w:tbl>
    <w:p w14:paraId="4E17CB7F" w14:textId="77777777" w:rsidR="009D1775" w:rsidRDefault="009D1775" w:rsidP="009D1775">
      <w:pPr>
        <w:rPr>
          <w:sz w:val="23"/>
          <w:szCs w:val="23"/>
        </w:rPr>
      </w:pPr>
    </w:p>
    <w:p w14:paraId="01E69EF5" w14:textId="77777777" w:rsidR="009D1775" w:rsidRDefault="009D1775" w:rsidP="009D1775">
      <w:pPr>
        <w:rPr>
          <w:sz w:val="23"/>
          <w:szCs w:val="23"/>
        </w:rPr>
      </w:pPr>
      <w:r>
        <w:rPr>
          <w:sz w:val="23"/>
          <w:szCs w:val="23"/>
        </w:rPr>
        <w:t>Maine’s Measurable Skill Gains rate exceeded its target and is the highest it has been in three years (37.62%).  The data suggests that two key improvement initiatives may be responsible for Maine being able to meet it targets- a focus, on better reporting of high school credential attainment and a focus on improving the State data match rate.</w:t>
      </w:r>
    </w:p>
    <w:p w14:paraId="1A735201" w14:textId="4F0E4AC8" w:rsidR="009D1775" w:rsidRDefault="009D1775" w:rsidP="009D1775">
      <w:pPr>
        <w:rPr>
          <w:sz w:val="23"/>
          <w:szCs w:val="23"/>
        </w:rPr>
      </w:pPr>
      <w:r>
        <w:rPr>
          <w:sz w:val="23"/>
          <w:szCs w:val="23"/>
        </w:rPr>
        <w:t xml:space="preserve">By confirming that every high school completion credential was entered and counting correctly in the State’s managed information system, we were able to achieve a 41.89% measurable skill gain rate for ABE learners even though the </w:t>
      </w:r>
      <w:proofErr w:type="spellStart"/>
      <w:r>
        <w:rPr>
          <w:sz w:val="23"/>
          <w:szCs w:val="23"/>
        </w:rPr>
        <w:t>posttesting</w:t>
      </w:r>
      <w:proofErr w:type="spellEnd"/>
      <w:r>
        <w:rPr>
          <w:sz w:val="23"/>
          <w:szCs w:val="23"/>
        </w:rPr>
        <w:t xml:space="preserve"> rate remained low.     </w:t>
      </w:r>
    </w:p>
    <w:p w14:paraId="7257B17F" w14:textId="77777777" w:rsidR="00A464FF" w:rsidRDefault="00A464FF" w:rsidP="009D1775">
      <w:pPr>
        <w:rPr>
          <w:sz w:val="23"/>
          <w:szCs w:val="23"/>
        </w:rPr>
      </w:pPr>
    </w:p>
    <w:tbl>
      <w:tblPr>
        <w:tblW w:w="8700" w:type="dxa"/>
        <w:tblLook w:val="04A0" w:firstRow="1" w:lastRow="0" w:firstColumn="1" w:lastColumn="0" w:noHBand="0" w:noVBand="1"/>
      </w:tblPr>
      <w:tblGrid>
        <w:gridCol w:w="4360"/>
        <w:gridCol w:w="960"/>
        <w:gridCol w:w="960"/>
        <w:gridCol w:w="960"/>
        <w:gridCol w:w="1460"/>
      </w:tblGrid>
      <w:tr w:rsidR="009D1775" w:rsidRPr="00D756D0" w14:paraId="61CE1BDE" w14:textId="77777777" w:rsidTr="00C403C2">
        <w:trPr>
          <w:trHeight w:val="645"/>
        </w:trPr>
        <w:tc>
          <w:tcPr>
            <w:tcW w:w="4360" w:type="dxa"/>
            <w:tcBorders>
              <w:top w:val="nil"/>
              <w:left w:val="nil"/>
              <w:bottom w:val="single" w:sz="8" w:space="0" w:color="auto"/>
              <w:right w:val="nil"/>
            </w:tcBorders>
            <w:shd w:val="clear" w:color="auto" w:fill="auto"/>
            <w:vAlign w:val="bottom"/>
            <w:hideMark/>
          </w:tcPr>
          <w:p w14:paraId="551DB645" w14:textId="77777777" w:rsidR="009D1775" w:rsidRPr="00D756D0" w:rsidRDefault="009D1775" w:rsidP="00C403C2">
            <w:pPr>
              <w:jc w:val="center"/>
              <w:rPr>
                <w:rFonts w:ascii="Calibri" w:eastAsia="Times New Roman" w:hAnsi="Calibri" w:cs="Calibri"/>
                <w:b/>
                <w:bCs/>
                <w:color w:val="000000"/>
              </w:rPr>
            </w:pPr>
            <w:r>
              <w:rPr>
                <w:sz w:val="23"/>
                <w:szCs w:val="23"/>
              </w:rPr>
              <w:lastRenderedPageBreak/>
              <w:t xml:space="preserve"> </w:t>
            </w:r>
            <w:r w:rsidRPr="00D756D0">
              <w:rPr>
                <w:rFonts w:ascii="Calibri" w:eastAsia="Times New Roman" w:hAnsi="Calibri" w:cs="Calibri"/>
                <w:b/>
                <w:bCs/>
                <w:color w:val="000000"/>
              </w:rPr>
              <w:t xml:space="preserve">Additional Performance Outcomes -ALL </w:t>
            </w:r>
            <w:proofErr w:type="spellStart"/>
            <w:r w:rsidRPr="00D756D0">
              <w:rPr>
                <w:rFonts w:ascii="Calibri" w:eastAsia="Times New Roman" w:hAnsi="Calibri" w:cs="Calibri"/>
                <w:b/>
                <w:bCs/>
                <w:color w:val="000000"/>
              </w:rPr>
              <w:t>PoPs</w:t>
            </w:r>
            <w:proofErr w:type="spellEnd"/>
            <w:r w:rsidRPr="00D756D0">
              <w:rPr>
                <w:rFonts w:ascii="Calibri" w:eastAsia="Times New Roman" w:hAnsi="Calibri" w:cs="Calibri"/>
                <w:b/>
                <w:bCs/>
                <w:color w:val="000000"/>
              </w:rPr>
              <w:t xml:space="preserve">                                                   </w:t>
            </w:r>
          </w:p>
        </w:tc>
        <w:tc>
          <w:tcPr>
            <w:tcW w:w="960" w:type="dxa"/>
            <w:tcBorders>
              <w:top w:val="nil"/>
              <w:left w:val="single" w:sz="4" w:space="0" w:color="auto"/>
              <w:bottom w:val="single" w:sz="8" w:space="0" w:color="auto"/>
              <w:right w:val="single" w:sz="4" w:space="0" w:color="auto"/>
            </w:tcBorders>
            <w:shd w:val="clear" w:color="auto" w:fill="auto"/>
            <w:vAlign w:val="bottom"/>
            <w:hideMark/>
          </w:tcPr>
          <w:p w14:paraId="6FE660F6" w14:textId="77777777" w:rsidR="009D1775" w:rsidRPr="00D756D0" w:rsidRDefault="009D1775" w:rsidP="00C403C2">
            <w:pPr>
              <w:jc w:val="center"/>
              <w:rPr>
                <w:rFonts w:ascii="Calibri" w:eastAsia="Times New Roman" w:hAnsi="Calibri" w:cs="Calibri"/>
                <w:b/>
                <w:bCs/>
                <w:color w:val="000000"/>
              </w:rPr>
            </w:pPr>
            <w:r w:rsidRPr="00D756D0">
              <w:rPr>
                <w:rFonts w:ascii="Calibri" w:eastAsia="Times New Roman" w:hAnsi="Calibri" w:cs="Calibri"/>
                <w:b/>
                <w:bCs/>
                <w:color w:val="000000"/>
              </w:rPr>
              <w:t>PY18 (FY19)</w:t>
            </w:r>
          </w:p>
        </w:tc>
        <w:tc>
          <w:tcPr>
            <w:tcW w:w="960" w:type="dxa"/>
            <w:tcBorders>
              <w:top w:val="nil"/>
              <w:left w:val="nil"/>
              <w:bottom w:val="single" w:sz="8" w:space="0" w:color="auto"/>
              <w:right w:val="single" w:sz="4" w:space="0" w:color="auto"/>
            </w:tcBorders>
            <w:shd w:val="clear" w:color="auto" w:fill="auto"/>
            <w:vAlign w:val="bottom"/>
            <w:hideMark/>
          </w:tcPr>
          <w:p w14:paraId="7422ACC8" w14:textId="77777777" w:rsidR="009D1775" w:rsidRPr="00D756D0" w:rsidRDefault="009D1775" w:rsidP="00C403C2">
            <w:pPr>
              <w:jc w:val="center"/>
              <w:rPr>
                <w:rFonts w:ascii="Calibri" w:eastAsia="Times New Roman" w:hAnsi="Calibri" w:cs="Calibri"/>
                <w:b/>
                <w:bCs/>
                <w:color w:val="000000"/>
              </w:rPr>
            </w:pPr>
            <w:r w:rsidRPr="00D756D0">
              <w:rPr>
                <w:rFonts w:ascii="Calibri" w:eastAsia="Times New Roman" w:hAnsi="Calibri" w:cs="Calibri"/>
                <w:b/>
                <w:bCs/>
                <w:color w:val="000000"/>
              </w:rPr>
              <w:t>PY19 (FY20)</w:t>
            </w:r>
          </w:p>
        </w:tc>
        <w:tc>
          <w:tcPr>
            <w:tcW w:w="960" w:type="dxa"/>
            <w:tcBorders>
              <w:top w:val="nil"/>
              <w:left w:val="nil"/>
              <w:bottom w:val="single" w:sz="8" w:space="0" w:color="auto"/>
              <w:right w:val="nil"/>
            </w:tcBorders>
            <w:shd w:val="clear" w:color="auto" w:fill="auto"/>
            <w:vAlign w:val="bottom"/>
            <w:hideMark/>
          </w:tcPr>
          <w:p w14:paraId="714B78C1" w14:textId="77777777" w:rsidR="009D1775" w:rsidRPr="00D756D0" w:rsidRDefault="009D1775" w:rsidP="00C403C2">
            <w:pPr>
              <w:jc w:val="center"/>
              <w:rPr>
                <w:rFonts w:ascii="Calibri" w:eastAsia="Times New Roman" w:hAnsi="Calibri" w:cs="Calibri"/>
                <w:b/>
                <w:bCs/>
                <w:color w:val="000000"/>
              </w:rPr>
            </w:pPr>
            <w:r w:rsidRPr="00D756D0">
              <w:rPr>
                <w:rFonts w:ascii="Calibri" w:eastAsia="Times New Roman" w:hAnsi="Calibri" w:cs="Calibri"/>
                <w:b/>
                <w:bCs/>
                <w:color w:val="000000"/>
              </w:rPr>
              <w:t>PY20 (FY21)</w:t>
            </w:r>
          </w:p>
        </w:tc>
        <w:tc>
          <w:tcPr>
            <w:tcW w:w="1460" w:type="dxa"/>
            <w:tcBorders>
              <w:top w:val="nil"/>
              <w:left w:val="single" w:sz="4" w:space="0" w:color="auto"/>
              <w:bottom w:val="single" w:sz="8" w:space="0" w:color="auto"/>
              <w:right w:val="nil"/>
            </w:tcBorders>
            <w:shd w:val="clear" w:color="auto" w:fill="auto"/>
            <w:vAlign w:val="bottom"/>
            <w:hideMark/>
          </w:tcPr>
          <w:p w14:paraId="776466F1" w14:textId="77777777" w:rsidR="009D1775" w:rsidRPr="00D756D0" w:rsidRDefault="009D1775" w:rsidP="00C403C2">
            <w:pPr>
              <w:jc w:val="center"/>
              <w:rPr>
                <w:rFonts w:ascii="Calibri" w:eastAsia="Times New Roman" w:hAnsi="Calibri" w:cs="Calibri"/>
                <w:b/>
                <w:bCs/>
                <w:color w:val="000000"/>
              </w:rPr>
            </w:pPr>
            <w:r w:rsidRPr="00D756D0">
              <w:rPr>
                <w:rFonts w:ascii="Calibri" w:eastAsia="Times New Roman" w:hAnsi="Calibri" w:cs="Calibri"/>
                <w:b/>
                <w:bCs/>
                <w:color w:val="000000"/>
              </w:rPr>
              <w:t xml:space="preserve"> Percent +/- from PY18</w:t>
            </w:r>
          </w:p>
        </w:tc>
      </w:tr>
      <w:tr w:rsidR="009D1775" w:rsidRPr="00D756D0" w14:paraId="0D44AA26" w14:textId="77777777" w:rsidTr="00C403C2">
        <w:trPr>
          <w:trHeight w:val="300"/>
        </w:trPr>
        <w:tc>
          <w:tcPr>
            <w:tcW w:w="4360" w:type="dxa"/>
            <w:tcBorders>
              <w:top w:val="nil"/>
              <w:left w:val="nil"/>
              <w:bottom w:val="nil"/>
              <w:right w:val="nil"/>
            </w:tcBorders>
            <w:shd w:val="clear" w:color="auto" w:fill="auto"/>
            <w:noWrap/>
            <w:vAlign w:val="bottom"/>
            <w:hideMark/>
          </w:tcPr>
          <w:p w14:paraId="3B0FF847" w14:textId="77777777" w:rsidR="009D1775" w:rsidRPr="00D756D0" w:rsidRDefault="009D1775" w:rsidP="00C403C2">
            <w:pPr>
              <w:jc w:val="center"/>
              <w:rPr>
                <w:rFonts w:ascii="Calibri" w:eastAsia="Times New Roman" w:hAnsi="Calibri" w:cs="Calibri"/>
                <w:b/>
                <w:bCs/>
                <w:color w:val="000000"/>
              </w:rPr>
            </w:pPr>
            <w:r w:rsidRPr="00D756D0">
              <w:rPr>
                <w:rFonts w:ascii="Calibri" w:eastAsia="Times New Roman" w:hAnsi="Calibri" w:cs="Calibri"/>
                <w:b/>
                <w:bCs/>
                <w:color w:val="000000"/>
              </w:rPr>
              <w:t>NRS Enrollment- ABE</w:t>
            </w:r>
          </w:p>
        </w:tc>
        <w:tc>
          <w:tcPr>
            <w:tcW w:w="960" w:type="dxa"/>
            <w:tcBorders>
              <w:top w:val="nil"/>
              <w:left w:val="single" w:sz="4" w:space="0" w:color="auto"/>
              <w:bottom w:val="nil"/>
              <w:right w:val="single" w:sz="4" w:space="0" w:color="auto"/>
            </w:tcBorders>
            <w:shd w:val="clear" w:color="auto" w:fill="auto"/>
            <w:noWrap/>
            <w:vAlign w:val="bottom"/>
            <w:hideMark/>
          </w:tcPr>
          <w:p w14:paraId="6EB49375"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3,783</w:t>
            </w:r>
          </w:p>
        </w:tc>
        <w:tc>
          <w:tcPr>
            <w:tcW w:w="960" w:type="dxa"/>
            <w:tcBorders>
              <w:top w:val="nil"/>
              <w:left w:val="nil"/>
              <w:bottom w:val="nil"/>
              <w:right w:val="single" w:sz="4" w:space="0" w:color="auto"/>
            </w:tcBorders>
            <w:shd w:val="clear" w:color="auto" w:fill="auto"/>
            <w:noWrap/>
            <w:vAlign w:val="bottom"/>
            <w:hideMark/>
          </w:tcPr>
          <w:p w14:paraId="2089DD47"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2,935</w:t>
            </w:r>
          </w:p>
        </w:tc>
        <w:tc>
          <w:tcPr>
            <w:tcW w:w="960" w:type="dxa"/>
            <w:tcBorders>
              <w:top w:val="nil"/>
              <w:left w:val="nil"/>
              <w:bottom w:val="nil"/>
              <w:right w:val="nil"/>
            </w:tcBorders>
            <w:shd w:val="clear" w:color="auto" w:fill="auto"/>
            <w:noWrap/>
            <w:vAlign w:val="bottom"/>
            <w:hideMark/>
          </w:tcPr>
          <w:p w14:paraId="63FAA450"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2,678</w:t>
            </w:r>
          </w:p>
        </w:tc>
        <w:tc>
          <w:tcPr>
            <w:tcW w:w="1460" w:type="dxa"/>
            <w:tcBorders>
              <w:top w:val="nil"/>
              <w:left w:val="single" w:sz="4" w:space="0" w:color="auto"/>
              <w:bottom w:val="nil"/>
              <w:right w:val="nil"/>
            </w:tcBorders>
            <w:shd w:val="clear" w:color="auto" w:fill="auto"/>
            <w:noWrap/>
            <w:vAlign w:val="bottom"/>
            <w:hideMark/>
          </w:tcPr>
          <w:p w14:paraId="217E81C2"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-29.21%</w:t>
            </w:r>
          </w:p>
        </w:tc>
      </w:tr>
      <w:tr w:rsidR="009D1775" w:rsidRPr="00D756D0" w14:paraId="7C7940E6" w14:textId="77777777" w:rsidTr="00C403C2">
        <w:trPr>
          <w:trHeight w:val="300"/>
        </w:trPr>
        <w:tc>
          <w:tcPr>
            <w:tcW w:w="4360" w:type="dxa"/>
            <w:tcBorders>
              <w:top w:val="nil"/>
              <w:left w:val="nil"/>
              <w:bottom w:val="nil"/>
              <w:right w:val="nil"/>
            </w:tcBorders>
            <w:shd w:val="clear" w:color="auto" w:fill="auto"/>
            <w:noWrap/>
            <w:vAlign w:val="bottom"/>
            <w:hideMark/>
          </w:tcPr>
          <w:p w14:paraId="1E402FE6" w14:textId="77777777" w:rsidR="009D1775" w:rsidRPr="00D756D0" w:rsidRDefault="009D1775" w:rsidP="00C403C2">
            <w:pPr>
              <w:jc w:val="center"/>
              <w:rPr>
                <w:rFonts w:ascii="Calibri" w:eastAsia="Times New Roman" w:hAnsi="Calibri" w:cs="Calibri"/>
                <w:b/>
                <w:bCs/>
                <w:color w:val="000000"/>
              </w:rPr>
            </w:pPr>
            <w:r w:rsidRPr="00D756D0">
              <w:rPr>
                <w:rFonts w:ascii="Calibri" w:eastAsia="Times New Roman" w:hAnsi="Calibri" w:cs="Calibri"/>
                <w:b/>
                <w:bCs/>
                <w:color w:val="000000"/>
              </w:rPr>
              <w:t>NRS Enrollment- ESL</w:t>
            </w:r>
          </w:p>
        </w:tc>
        <w:tc>
          <w:tcPr>
            <w:tcW w:w="960" w:type="dxa"/>
            <w:tcBorders>
              <w:top w:val="nil"/>
              <w:left w:val="single" w:sz="4" w:space="0" w:color="auto"/>
              <w:bottom w:val="nil"/>
              <w:right w:val="single" w:sz="4" w:space="0" w:color="auto"/>
            </w:tcBorders>
            <w:shd w:val="clear" w:color="auto" w:fill="auto"/>
            <w:noWrap/>
            <w:vAlign w:val="bottom"/>
            <w:hideMark/>
          </w:tcPr>
          <w:p w14:paraId="1F7A57F5"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2,101</w:t>
            </w:r>
          </w:p>
        </w:tc>
        <w:tc>
          <w:tcPr>
            <w:tcW w:w="960" w:type="dxa"/>
            <w:tcBorders>
              <w:top w:val="nil"/>
              <w:left w:val="nil"/>
              <w:bottom w:val="nil"/>
              <w:right w:val="single" w:sz="4" w:space="0" w:color="auto"/>
            </w:tcBorders>
            <w:shd w:val="clear" w:color="auto" w:fill="auto"/>
            <w:noWrap/>
            <w:vAlign w:val="bottom"/>
            <w:hideMark/>
          </w:tcPr>
          <w:p w14:paraId="338D1DD5"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1,940</w:t>
            </w:r>
          </w:p>
        </w:tc>
        <w:tc>
          <w:tcPr>
            <w:tcW w:w="960" w:type="dxa"/>
            <w:tcBorders>
              <w:top w:val="nil"/>
              <w:left w:val="nil"/>
              <w:bottom w:val="nil"/>
              <w:right w:val="nil"/>
            </w:tcBorders>
            <w:shd w:val="clear" w:color="auto" w:fill="auto"/>
            <w:noWrap/>
            <w:vAlign w:val="bottom"/>
            <w:hideMark/>
          </w:tcPr>
          <w:p w14:paraId="47BE4753"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1,394</w:t>
            </w:r>
          </w:p>
        </w:tc>
        <w:tc>
          <w:tcPr>
            <w:tcW w:w="1460" w:type="dxa"/>
            <w:tcBorders>
              <w:top w:val="nil"/>
              <w:left w:val="single" w:sz="4" w:space="0" w:color="auto"/>
              <w:bottom w:val="nil"/>
              <w:right w:val="nil"/>
            </w:tcBorders>
            <w:shd w:val="clear" w:color="auto" w:fill="auto"/>
            <w:noWrap/>
            <w:vAlign w:val="bottom"/>
            <w:hideMark/>
          </w:tcPr>
          <w:p w14:paraId="69C317E9"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-33.65%</w:t>
            </w:r>
          </w:p>
        </w:tc>
      </w:tr>
      <w:tr w:rsidR="009D1775" w:rsidRPr="00D756D0" w14:paraId="56CEA03E" w14:textId="77777777" w:rsidTr="00C403C2">
        <w:trPr>
          <w:trHeight w:val="300"/>
        </w:trPr>
        <w:tc>
          <w:tcPr>
            <w:tcW w:w="4360" w:type="dxa"/>
            <w:tcBorders>
              <w:top w:val="nil"/>
              <w:left w:val="nil"/>
              <w:bottom w:val="single" w:sz="4" w:space="0" w:color="auto"/>
              <w:right w:val="nil"/>
            </w:tcBorders>
            <w:shd w:val="clear" w:color="000000" w:fill="E7E6E6"/>
            <w:noWrap/>
            <w:vAlign w:val="bottom"/>
            <w:hideMark/>
          </w:tcPr>
          <w:p w14:paraId="52BBB00A" w14:textId="77777777" w:rsidR="009D1775" w:rsidRPr="00D756D0" w:rsidRDefault="009D1775" w:rsidP="00C403C2">
            <w:pPr>
              <w:jc w:val="center"/>
              <w:rPr>
                <w:rFonts w:ascii="Calibri" w:eastAsia="Times New Roman" w:hAnsi="Calibri" w:cs="Calibri"/>
                <w:b/>
                <w:bCs/>
                <w:color w:val="000000"/>
              </w:rPr>
            </w:pPr>
            <w:r w:rsidRPr="00D756D0">
              <w:rPr>
                <w:rFonts w:ascii="Calibri" w:eastAsia="Times New Roman" w:hAnsi="Calibri" w:cs="Calibri"/>
                <w:b/>
                <w:bCs/>
                <w:color w:val="000000"/>
              </w:rPr>
              <w:t>Annual NRS Enrollment- ALL</w:t>
            </w:r>
          </w:p>
        </w:tc>
        <w:tc>
          <w:tcPr>
            <w:tcW w:w="960" w:type="dxa"/>
            <w:tcBorders>
              <w:top w:val="nil"/>
              <w:left w:val="single" w:sz="4" w:space="0" w:color="auto"/>
              <w:bottom w:val="single" w:sz="4" w:space="0" w:color="auto"/>
              <w:right w:val="single" w:sz="4" w:space="0" w:color="auto"/>
            </w:tcBorders>
            <w:shd w:val="clear" w:color="000000" w:fill="E7E6E6"/>
            <w:noWrap/>
            <w:vAlign w:val="bottom"/>
            <w:hideMark/>
          </w:tcPr>
          <w:p w14:paraId="055D4C79"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5,884</w:t>
            </w:r>
          </w:p>
        </w:tc>
        <w:tc>
          <w:tcPr>
            <w:tcW w:w="960" w:type="dxa"/>
            <w:tcBorders>
              <w:top w:val="nil"/>
              <w:left w:val="nil"/>
              <w:bottom w:val="single" w:sz="4" w:space="0" w:color="auto"/>
              <w:right w:val="single" w:sz="4" w:space="0" w:color="auto"/>
            </w:tcBorders>
            <w:shd w:val="clear" w:color="000000" w:fill="E7E6E6"/>
            <w:noWrap/>
            <w:vAlign w:val="bottom"/>
            <w:hideMark/>
          </w:tcPr>
          <w:p w14:paraId="674B7374"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4,875</w:t>
            </w:r>
          </w:p>
        </w:tc>
        <w:tc>
          <w:tcPr>
            <w:tcW w:w="960" w:type="dxa"/>
            <w:tcBorders>
              <w:top w:val="nil"/>
              <w:left w:val="nil"/>
              <w:bottom w:val="single" w:sz="4" w:space="0" w:color="auto"/>
              <w:right w:val="nil"/>
            </w:tcBorders>
            <w:shd w:val="clear" w:color="000000" w:fill="E7E6E6"/>
            <w:noWrap/>
            <w:vAlign w:val="bottom"/>
            <w:hideMark/>
          </w:tcPr>
          <w:p w14:paraId="54991D81"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4,072</w:t>
            </w:r>
          </w:p>
        </w:tc>
        <w:tc>
          <w:tcPr>
            <w:tcW w:w="1460" w:type="dxa"/>
            <w:tcBorders>
              <w:top w:val="nil"/>
              <w:left w:val="single" w:sz="4" w:space="0" w:color="auto"/>
              <w:bottom w:val="single" w:sz="4" w:space="0" w:color="auto"/>
              <w:right w:val="nil"/>
            </w:tcBorders>
            <w:shd w:val="clear" w:color="000000" w:fill="E7E6E6"/>
            <w:noWrap/>
            <w:vAlign w:val="bottom"/>
            <w:hideMark/>
          </w:tcPr>
          <w:p w14:paraId="110DBB14"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-30.80%</w:t>
            </w:r>
          </w:p>
        </w:tc>
      </w:tr>
      <w:tr w:rsidR="009D1775" w:rsidRPr="00D756D0" w14:paraId="5B851095" w14:textId="77777777" w:rsidTr="00C403C2">
        <w:trPr>
          <w:trHeight w:val="300"/>
        </w:trPr>
        <w:tc>
          <w:tcPr>
            <w:tcW w:w="4360" w:type="dxa"/>
            <w:tcBorders>
              <w:top w:val="nil"/>
              <w:left w:val="nil"/>
              <w:bottom w:val="nil"/>
              <w:right w:val="nil"/>
            </w:tcBorders>
            <w:shd w:val="clear" w:color="auto" w:fill="auto"/>
            <w:vAlign w:val="bottom"/>
            <w:hideMark/>
          </w:tcPr>
          <w:p w14:paraId="4FE64A48" w14:textId="77777777" w:rsidR="009D1775" w:rsidRPr="00D756D0" w:rsidRDefault="009D1775" w:rsidP="00C403C2">
            <w:pPr>
              <w:jc w:val="center"/>
              <w:rPr>
                <w:rFonts w:ascii="Calibri" w:eastAsia="Times New Roman" w:hAnsi="Calibri" w:cs="Calibri"/>
                <w:b/>
                <w:bCs/>
                <w:color w:val="000000"/>
              </w:rPr>
            </w:pPr>
            <w:r w:rsidRPr="00D756D0">
              <w:rPr>
                <w:rFonts w:ascii="Calibri" w:eastAsia="Times New Roman" w:hAnsi="Calibri" w:cs="Calibri"/>
                <w:b/>
                <w:bCs/>
                <w:color w:val="000000"/>
              </w:rPr>
              <w:t>* SSN Release Rate - ABE</w:t>
            </w:r>
          </w:p>
        </w:tc>
        <w:tc>
          <w:tcPr>
            <w:tcW w:w="960" w:type="dxa"/>
            <w:tcBorders>
              <w:top w:val="nil"/>
              <w:left w:val="single" w:sz="4" w:space="0" w:color="auto"/>
              <w:bottom w:val="nil"/>
              <w:right w:val="single" w:sz="4" w:space="0" w:color="auto"/>
            </w:tcBorders>
            <w:shd w:val="clear" w:color="auto" w:fill="auto"/>
            <w:noWrap/>
            <w:vAlign w:val="bottom"/>
            <w:hideMark/>
          </w:tcPr>
          <w:p w14:paraId="50BC8B3D"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79.64%</w:t>
            </w:r>
          </w:p>
        </w:tc>
        <w:tc>
          <w:tcPr>
            <w:tcW w:w="960" w:type="dxa"/>
            <w:tcBorders>
              <w:top w:val="nil"/>
              <w:left w:val="nil"/>
              <w:bottom w:val="nil"/>
              <w:right w:val="single" w:sz="4" w:space="0" w:color="auto"/>
            </w:tcBorders>
            <w:shd w:val="clear" w:color="auto" w:fill="auto"/>
            <w:noWrap/>
            <w:vAlign w:val="bottom"/>
            <w:hideMark/>
          </w:tcPr>
          <w:p w14:paraId="6C369041"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86.41%</w:t>
            </w:r>
          </w:p>
        </w:tc>
        <w:tc>
          <w:tcPr>
            <w:tcW w:w="960" w:type="dxa"/>
            <w:tcBorders>
              <w:top w:val="nil"/>
              <w:left w:val="nil"/>
              <w:bottom w:val="nil"/>
              <w:right w:val="nil"/>
            </w:tcBorders>
            <w:shd w:val="clear" w:color="000000" w:fill="CDFDCF"/>
            <w:noWrap/>
            <w:vAlign w:val="bottom"/>
            <w:hideMark/>
          </w:tcPr>
          <w:p w14:paraId="0448F970"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91.40%</w:t>
            </w:r>
          </w:p>
        </w:tc>
        <w:tc>
          <w:tcPr>
            <w:tcW w:w="1460" w:type="dxa"/>
            <w:tcBorders>
              <w:top w:val="nil"/>
              <w:left w:val="single" w:sz="4" w:space="0" w:color="auto"/>
              <w:bottom w:val="nil"/>
              <w:right w:val="nil"/>
            </w:tcBorders>
            <w:shd w:val="clear" w:color="auto" w:fill="auto"/>
            <w:noWrap/>
            <w:vAlign w:val="bottom"/>
            <w:hideMark/>
          </w:tcPr>
          <w:p w14:paraId="7E95FFD8"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14.77%</w:t>
            </w:r>
          </w:p>
        </w:tc>
      </w:tr>
      <w:tr w:rsidR="009D1775" w:rsidRPr="00D756D0" w14:paraId="5975D697" w14:textId="77777777" w:rsidTr="00C403C2">
        <w:trPr>
          <w:trHeight w:val="300"/>
        </w:trPr>
        <w:tc>
          <w:tcPr>
            <w:tcW w:w="4360" w:type="dxa"/>
            <w:tcBorders>
              <w:top w:val="nil"/>
              <w:left w:val="nil"/>
              <w:bottom w:val="nil"/>
              <w:right w:val="nil"/>
            </w:tcBorders>
            <w:shd w:val="clear" w:color="auto" w:fill="auto"/>
            <w:noWrap/>
            <w:vAlign w:val="bottom"/>
            <w:hideMark/>
          </w:tcPr>
          <w:p w14:paraId="1AD9FB93" w14:textId="77777777" w:rsidR="009D1775" w:rsidRPr="00D756D0" w:rsidRDefault="009D1775" w:rsidP="00C403C2">
            <w:pPr>
              <w:jc w:val="center"/>
              <w:rPr>
                <w:rFonts w:ascii="Calibri" w:eastAsia="Times New Roman" w:hAnsi="Calibri" w:cs="Calibri"/>
                <w:b/>
                <w:bCs/>
                <w:color w:val="000000"/>
              </w:rPr>
            </w:pPr>
            <w:r w:rsidRPr="00D756D0">
              <w:rPr>
                <w:rFonts w:ascii="Calibri" w:eastAsia="Times New Roman" w:hAnsi="Calibri" w:cs="Calibri"/>
                <w:b/>
                <w:bCs/>
                <w:color w:val="000000"/>
              </w:rPr>
              <w:t>* SSN Release Rate - ESL</w:t>
            </w:r>
          </w:p>
        </w:tc>
        <w:tc>
          <w:tcPr>
            <w:tcW w:w="960" w:type="dxa"/>
            <w:tcBorders>
              <w:top w:val="nil"/>
              <w:left w:val="single" w:sz="4" w:space="0" w:color="auto"/>
              <w:bottom w:val="nil"/>
              <w:right w:val="single" w:sz="4" w:space="0" w:color="auto"/>
            </w:tcBorders>
            <w:shd w:val="clear" w:color="auto" w:fill="auto"/>
            <w:noWrap/>
            <w:vAlign w:val="bottom"/>
            <w:hideMark/>
          </w:tcPr>
          <w:p w14:paraId="3794E8E8"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28.82%</w:t>
            </w:r>
          </w:p>
        </w:tc>
        <w:tc>
          <w:tcPr>
            <w:tcW w:w="960" w:type="dxa"/>
            <w:tcBorders>
              <w:top w:val="nil"/>
              <w:left w:val="nil"/>
              <w:bottom w:val="nil"/>
              <w:right w:val="single" w:sz="4" w:space="0" w:color="auto"/>
            </w:tcBorders>
            <w:shd w:val="clear" w:color="auto" w:fill="auto"/>
            <w:noWrap/>
            <w:vAlign w:val="bottom"/>
            <w:hideMark/>
          </w:tcPr>
          <w:p w14:paraId="66B7D017"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32.35%</w:t>
            </w:r>
          </w:p>
        </w:tc>
        <w:tc>
          <w:tcPr>
            <w:tcW w:w="960" w:type="dxa"/>
            <w:tcBorders>
              <w:top w:val="nil"/>
              <w:left w:val="nil"/>
              <w:bottom w:val="nil"/>
              <w:right w:val="nil"/>
            </w:tcBorders>
            <w:shd w:val="clear" w:color="000000" w:fill="CDFDCF"/>
            <w:noWrap/>
            <w:vAlign w:val="bottom"/>
            <w:hideMark/>
          </w:tcPr>
          <w:p w14:paraId="34B6EAF5"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49.10%</w:t>
            </w:r>
          </w:p>
        </w:tc>
        <w:tc>
          <w:tcPr>
            <w:tcW w:w="1460" w:type="dxa"/>
            <w:tcBorders>
              <w:top w:val="nil"/>
              <w:left w:val="single" w:sz="4" w:space="0" w:color="auto"/>
              <w:bottom w:val="nil"/>
              <w:right w:val="nil"/>
            </w:tcBorders>
            <w:shd w:val="clear" w:color="auto" w:fill="auto"/>
            <w:noWrap/>
            <w:vAlign w:val="bottom"/>
            <w:hideMark/>
          </w:tcPr>
          <w:p w14:paraId="6860825B"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70.37%</w:t>
            </w:r>
          </w:p>
        </w:tc>
      </w:tr>
      <w:tr w:rsidR="009D1775" w:rsidRPr="00D756D0" w14:paraId="39B4460B" w14:textId="77777777" w:rsidTr="00C403C2">
        <w:trPr>
          <w:trHeight w:val="300"/>
        </w:trPr>
        <w:tc>
          <w:tcPr>
            <w:tcW w:w="4360" w:type="dxa"/>
            <w:tcBorders>
              <w:top w:val="nil"/>
              <w:left w:val="nil"/>
              <w:bottom w:val="single" w:sz="4" w:space="0" w:color="auto"/>
              <w:right w:val="nil"/>
            </w:tcBorders>
            <w:shd w:val="clear" w:color="000000" w:fill="E7E6E6"/>
            <w:noWrap/>
            <w:vAlign w:val="bottom"/>
            <w:hideMark/>
          </w:tcPr>
          <w:p w14:paraId="18B65086" w14:textId="77777777" w:rsidR="009D1775" w:rsidRPr="00D756D0" w:rsidRDefault="009D1775" w:rsidP="00C403C2">
            <w:pPr>
              <w:jc w:val="center"/>
              <w:rPr>
                <w:rFonts w:ascii="Calibri" w:eastAsia="Times New Roman" w:hAnsi="Calibri" w:cs="Calibri"/>
                <w:b/>
                <w:bCs/>
                <w:color w:val="000000"/>
              </w:rPr>
            </w:pPr>
            <w:r w:rsidRPr="00D756D0">
              <w:rPr>
                <w:rFonts w:ascii="Calibri" w:eastAsia="Times New Roman" w:hAnsi="Calibri" w:cs="Calibri"/>
                <w:b/>
                <w:bCs/>
                <w:color w:val="000000"/>
              </w:rPr>
              <w:t xml:space="preserve"> * Annual SSN Release Rate - ALL</w:t>
            </w:r>
          </w:p>
        </w:tc>
        <w:tc>
          <w:tcPr>
            <w:tcW w:w="960" w:type="dxa"/>
            <w:tcBorders>
              <w:top w:val="nil"/>
              <w:left w:val="single" w:sz="4" w:space="0" w:color="auto"/>
              <w:bottom w:val="single" w:sz="4" w:space="0" w:color="auto"/>
              <w:right w:val="single" w:sz="4" w:space="0" w:color="auto"/>
            </w:tcBorders>
            <w:shd w:val="clear" w:color="000000" w:fill="E7E6E6"/>
            <w:noWrap/>
            <w:vAlign w:val="bottom"/>
            <w:hideMark/>
          </w:tcPr>
          <w:p w14:paraId="253BED36"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63.20%</w:t>
            </w:r>
          </w:p>
        </w:tc>
        <w:tc>
          <w:tcPr>
            <w:tcW w:w="960" w:type="dxa"/>
            <w:tcBorders>
              <w:top w:val="nil"/>
              <w:left w:val="nil"/>
              <w:bottom w:val="single" w:sz="4" w:space="0" w:color="auto"/>
              <w:right w:val="single" w:sz="4" w:space="0" w:color="auto"/>
            </w:tcBorders>
            <w:shd w:val="clear" w:color="000000" w:fill="E7E6E6"/>
            <w:noWrap/>
            <w:vAlign w:val="bottom"/>
            <w:hideMark/>
          </w:tcPr>
          <w:p w14:paraId="070803DE"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67.76%</w:t>
            </w:r>
          </w:p>
        </w:tc>
        <w:tc>
          <w:tcPr>
            <w:tcW w:w="960" w:type="dxa"/>
            <w:tcBorders>
              <w:top w:val="nil"/>
              <w:left w:val="nil"/>
              <w:bottom w:val="single" w:sz="4" w:space="0" w:color="auto"/>
              <w:right w:val="nil"/>
            </w:tcBorders>
            <w:shd w:val="clear" w:color="000000" w:fill="7ED4A9"/>
            <w:noWrap/>
            <w:vAlign w:val="bottom"/>
            <w:hideMark/>
          </w:tcPr>
          <w:p w14:paraId="5989078E"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78.28%</w:t>
            </w:r>
          </w:p>
        </w:tc>
        <w:tc>
          <w:tcPr>
            <w:tcW w:w="1460" w:type="dxa"/>
            <w:tcBorders>
              <w:top w:val="nil"/>
              <w:left w:val="single" w:sz="4" w:space="0" w:color="auto"/>
              <w:bottom w:val="single" w:sz="4" w:space="0" w:color="auto"/>
              <w:right w:val="nil"/>
            </w:tcBorders>
            <w:shd w:val="clear" w:color="000000" w:fill="E7E6E6"/>
            <w:noWrap/>
            <w:vAlign w:val="bottom"/>
            <w:hideMark/>
          </w:tcPr>
          <w:p w14:paraId="78F3BD5B"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23.86%</w:t>
            </w:r>
          </w:p>
        </w:tc>
      </w:tr>
      <w:tr w:rsidR="009D1775" w:rsidRPr="00D756D0" w14:paraId="67799DF7" w14:textId="77777777" w:rsidTr="00C403C2">
        <w:trPr>
          <w:trHeight w:val="300"/>
        </w:trPr>
        <w:tc>
          <w:tcPr>
            <w:tcW w:w="4360" w:type="dxa"/>
            <w:tcBorders>
              <w:top w:val="nil"/>
              <w:left w:val="nil"/>
              <w:bottom w:val="nil"/>
              <w:right w:val="nil"/>
            </w:tcBorders>
            <w:shd w:val="clear" w:color="auto" w:fill="auto"/>
            <w:noWrap/>
            <w:vAlign w:val="bottom"/>
            <w:hideMark/>
          </w:tcPr>
          <w:p w14:paraId="53EFE2BF" w14:textId="77777777" w:rsidR="009D1775" w:rsidRPr="00D756D0" w:rsidRDefault="009D1775" w:rsidP="00C403C2">
            <w:pPr>
              <w:jc w:val="center"/>
              <w:rPr>
                <w:rFonts w:ascii="Calibri" w:eastAsia="Times New Roman" w:hAnsi="Calibri" w:cs="Calibri"/>
                <w:b/>
                <w:bCs/>
                <w:color w:val="000000"/>
              </w:rPr>
            </w:pPr>
            <w:r w:rsidRPr="00D756D0">
              <w:rPr>
                <w:rFonts w:ascii="Calibri" w:eastAsia="Times New Roman" w:hAnsi="Calibri" w:cs="Calibri"/>
                <w:b/>
                <w:bCs/>
                <w:color w:val="000000"/>
              </w:rPr>
              <w:t>Posttest Rate- ABE</w:t>
            </w:r>
          </w:p>
        </w:tc>
        <w:tc>
          <w:tcPr>
            <w:tcW w:w="960" w:type="dxa"/>
            <w:tcBorders>
              <w:top w:val="nil"/>
              <w:left w:val="single" w:sz="4" w:space="0" w:color="auto"/>
              <w:bottom w:val="nil"/>
              <w:right w:val="single" w:sz="4" w:space="0" w:color="auto"/>
            </w:tcBorders>
            <w:shd w:val="clear" w:color="auto" w:fill="auto"/>
            <w:noWrap/>
            <w:vAlign w:val="bottom"/>
            <w:hideMark/>
          </w:tcPr>
          <w:p w14:paraId="34DA8F8E"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50.28%</w:t>
            </w:r>
          </w:p>
        </w:tc>
        <w:tc>
          <w:tcPr>
            <w:tcW w:w="960" w:type="dxa"/>
            <w:tcBorders>
              <w:top w:val="nil"/>
              <w:left w:val="nil"/>
              <w:bottom w:val="nil"/>
              <w:right w:val="single" w:sz="4" w:space="0" w:color="auto"/>
            </w:tcBorders>
            <w:shd w:val="clear" w:color="auto" w:fill="auto"/>
            <w:noWrap/>
            <w:vAlign w:val="bottom"/>
            <w:hideMark/>
          </w:tcPr>
          <w:p w14:paraId="3FC21014"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31.55%</w:t>
            </w:r>
          </w:p>
        </w:tc>
        <w:tc>
          <w:tcPr>
            <w:tcW w:w="960" w:type="dxa"/>
            <w:tcBorders>
              <w:top w:val="nil"/>
              <w:left w:val="nil"/>
              <w:bottom w:val="nil"/>
              <w:right w:val="nil"/>
            </w:tcBorders>
            <w:shd w:val="clear" w:color="auto" w:fill="auto"/>
            <w:noWrap/>
            <w:vAlign w:val="bottom"/>
            <w:hideMark/>
          </w:tcPr>
          <w:p w14:paraId="12EFB2C6"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35.29%</w:t>
            </w:r>
          </w:p>
        </w:tc>
        <w:tc>
          <w:tcPr>
            <w:tcW w:w="1460" w:type="dxa"/>
            <w:tcBorders>
              <w:top w:val="nil"/>
              <w:left w:val="single" w:sz="4" w:space="0" w:color="auto"/>
              <w:bottom w:val="nil"/>
              <w:right w:val="nil"/>
            </w:tcBorders>
            <w:shd w:val="clear" w:color="auto" w:fill="auto"/>
            <w:noWrap/>
            <w:vAlign w:val="bottom"/>
            <w:hideMark/>
          </w:tcPr>
          <w:p w14:paraId="10AA11CD"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-29.81%</w:t>
            </w:r>
          </w:p>
        </w:tc>
      </w:tr>
      <w:tr w:rsidR="009D1775" w:rsidRPr="00D756D0" w14:paraId="63A5B253" w14:textId="77777777" w:rsidTr="00C403C2">
        <w:trPr>
          <w:trHeight w:val="300"/>
        </w:trPr>
        <w:tc>
          <w:tcPr>
            <w:tcW w:w="4360" w:type="dxa"/>
            <w:tcBorders>
              <w:top w:val="nil"/>
              <w:left w:val="nil"/>
              <w:bottom w:val="nil"/>
              <w:right w:val="nil"/>
            </w:tcBorders>
            <w:shd w:val="clear" w:color="auto" w:fill="auto"/>
            <w:noWrap/>
            <w:vAlign w:val="bottom"/>
            <w:hideMark/>
          </w:tcPr>
          <w:p w14:paraId="3FAE0B49" w14:textId="77777777" w:rsidR="009D1775" w:rsidRPr="00D756D0" w:rsidRDefault="009D1775" w:rsidP="00C403C2">
            <w:pPr>
              <w:jc w:val="center"/>
              <w:rPr>
                <w:rFonts w:ascii="Calibri" w:eastAsia="Times New Roman" w:hAnsi="Calibri" w:cs="Calibri"/>
                <w:b/>
                <w:bCs/>
                <w:color w:val="000000"/>
              </w:rPr>
            </w:pPr>
            <w:r w:rsidRPr="00D756D0">
              <w:rPr>
                <w:rFonts w:ascii="Calibri" w:eastAsia="Times New Roman" w:hAnsi="Calibri" w:cs="Calibri"/>
                <w:b/>
                <w:bCs/>
                <w:color w:val="000000"/>
              </w:rPr>
              <w:t>Posttest Rate- ESL</w:t>
            </w:r>
          </w:p>
        </w:tc>
        <w:tc>
          <w:tcPr>
            <w:tcW w:w="960" w:type="dxa"/>
            <w:tcBorders>
              <w:top w:val="nil"/>
              <w:left w:val="single" w:sz="4" w:space="0" w:color="auto"/>
              <w:bottom w:val="nil"/>
              <w:right w:val="single" w:sz="4" w:space="0" w:color="auto"/>
            </w:tcBorders>
            <w:shd w:val="clear" w:color="auto" w:fill="auto"/>
            <w:noWrap/>
            <w:vAlign w:val="bottom"/>
            <w:hideMark/>
          </w:tcPr>
          <w:p w14:paraId="12F3C158"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59.07%</w:t>
            </w:r>
          </w:p>
        </w:tc>
        <w:tc>
          <w:tcPr>
            <w:tcW w:w="960" w:type="dxa"/>
            <w:tcBorders>
              <w:top w:val="nil"/>
              <w:left w:val="nil"/>
              <w:bottom w:val="nil"/>
              <w:right w:val="single" w:sz="4" w:space="0" w:color="auto"/>
            </w:tcBorders>
            <w:shd w:val="clear" w:color="auto" w:fill="auto"/>
            <w:noWrap/>
            <w:vAlign w:val="bottom"/>
            <w:hideMark/>
          </w:tcPr>
          <w:p w14:paraId="2C4D0DEF"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21.08%</w:t>
            </w:r>
          </w:p>
        </w:tc>
        <w:tc>
          <w:tcPr>
            <w:tcW w:w="960" w:type="dxa"/>
            <w:tcBorders>
              <w:top w:val="nil"/>
              <w:left w:val="nil"/>
              <w:bottom w:val="nil"/>
              <w:right w:val="nil"/>
            </w:tcBorders>
            <w:shd w:val="clear" w:color="auto" w:fill="auto"/>
            <w:noWrap/>
            <w:vAlign w:val="bottom"/>
            <w:hideMark/>
          </w:tcPr>
          <w:p w14:paraId="231C4FCF"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44.77%</w:t>
            </w:r>
          </w:p>
        </w:tc>
        <w:tc>
          <w:tcPr>
            <w:tcW w:w="1460" w:type="dxa"/>
            <w:tcBorders>
              <w:top w:val="nil"/>
              <w:left w:val="single" w:sz="4" w:space="0" w:color="auto"/>
              <w:bottom w:val="nil"/>
              <w:right w:val="nil"/>
            </w:tcBorders>
            <w:shd w:val="clear" w:color="auto" w:fill="auto"/>
            <w:noWrap/>
            <w:vAlign w:val="bottom"/>
            <w:hideMark/>
          </w:tcPr>
          <w:p w14:paraId="102E84B4"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-24.21%</w:t>
            </w:r>
          </w:p>
        </w:tc>
      </w:tr>
      <w:tr w:rsidR="009D1775" w:rsidRPr="00D756D0" w14:paraId="7AED01E9" w14:textId="77777777" w:rsidTr="00C403C2">
        <w:trPr>
          <w:trHeight w:val="300"/>
        </w:trPr>
        <w:tc>
          <w:tcPr>
            <w:tcW w:w="4360" w:type="dxa"/>
            <w:tcBorders>
              <w:top w:val="nil"/>
              <w:left w:val="nil"/>
              <w:bottom w:val="single" w:sz="4" w:space="0" w:color="auto"/>
              <w:right w:val="nil"/>
            </w:tcBorders>
            <w:shd w:val="clear" w:color="000000" w:fill="E7E6E6"/>
            <w:noWrap/>
            <w:vAlign w:val="bottom"/>
            <w:hideMark/>
          </w:tcPr>
          <w:p w14:paraId="66B6F82F" w14:textId="77777777" w:rsidR="009D1775" w:rsidRPr="00D756D0" w:rsidRDefault="009D1775" w:rsidP="00C403C2">
            <w:pPr>
              <w:jc w:val="center"/>
              <w:rPr>
                <w:rFonts w:ascii="Calibri" w:eastAsia="Times New Roman" w:hAnsi="Calibri" w:cs="Calibri"/>
                <w:b/>
                <w:bCs/>
                <w:color w:val="000000"/>
              </w:rPr>
            </w:pPr>
            <w:r w:rsidRPr="00D756D0">
              <w:rPr>
                <w:rFonts w:ascii="Calibri" w:eastAsia="Times New Roman" w:hAnsi="Calibri" w:cs="Calibri"/>
                <w:b/>
                <w:bCs/>
                <w:color w:val="000000"/>
              </w:rPr>
              <w:t>Annual Posttest Rate - ALL</w:t>
            </w:r>
          </w:p>
        </w:tc>
        <w:tc>
          <w:tcPr>
            <w:tcW w:w="960" w:type="dxa"/>
            <w:tcBorders>
              <w:top w:val="nil"/>
              <w:left w:val="single" w:sz="4" w:space="0" w:color="auto"/>
              <w:bottom w:val="single" w:sz="4" w:space="0" w:color="auto"/>
              <w:right w:val="single" w:sz="4" w:space="0" w:color="auto"/>
            </w:tcBorders>
            <w:shd w:val="clear" w:color="000000" w:fill="E7E6E6"/>
            <w:noWrap/>
            <w:vAlign w:val="bottom"/>
            <w:hideMark/>
          </w:tcPr>
          <w:p w14:paraId="145C21B5"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53.42%</w:t>
            </w:r>
          </w:p>
        </w:tc>
        <w:tc>
          <w:tcPr>
            <w:tcW w:w="960" w:type="dxa"/>
            <w:tcBorders>
              <w:top w:val="nil"/>
              <w:left w:val="nil"/>
              <w:bottom w:val="single" w:sz="4" w:space="0" w:color="auto"/>
              <w:right w:val="single" w:sz="4" w:space="0" w:color="auto"/>
            </w:tcBorders>
            <w:shd w:val="clear" w:color="000000" w:fill="E7E6E6"/>
            <w:noWrap/>
            <w:vAlign w:val="bottom"/>
            <w:hideMark/>
          </w:tcPr>
          <w:p w14:paraId="2D85CF2F"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27.38%</w:t>
            </w:r>
          </w:p>
        </w:tc>
        <w:tc>
          <w:tcPr>
            <w:tcW w:w="960" w:type="dxa"/>
            <w:tcBorders>
              <w:top w:val="nil"/>
              <w:left w:val="nil"/>
              <w:bottom w:val="single" w:sz="4" w:space="0" w:color="auto"/>
              <w:right w:val="nil"/>
            </w:tcBorders>
            <w:shd w:val="clear" w:color="000000" w:fill="E7E6E6"/>
            <w:noWrap/>
            <w:vAlign w:val="bottom"/>
            <w:hideMark/>
          </w:tcPr>
          <w:p w14:paraId="0169FAEC"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38.53%</w:t>
            </w:r>
          </w:p>
        </w:tc>
        <w:tc>
          <w:tcPr>
            <w:tcW w:w="1460" w:type="dxa"/>
            <w:tcBorders>
              <w:top w:val="nil"/>
              <w:left w:val="single" w:sz="4" w:space="0" w:color="auto"/>
              <w:bottom w:val="single" w:sz="4" w:space="0" w:color="auto"/>
              <w:right w:val="nil"/>
            </w:tcBorders>
            <w:shd w:val="clear" w:color="000000" w:fill="E7E6E6"/>
            <w:noWrap/>
            <w:vAlign w:val="bottom"/>
            <w:hideMark/>
          </w:tcPr>
          <w:p w14:paraId="59CBCFBA"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-27.87%</w:t>
            </w:r>
          </w:p>
        </w:tc>
      </w:tr>
      <w:tr w:rsidR="009D1775" w:rsidRPr="00D756D0" w14:paraId="7D87D674" w14:textId="77777777" w:rsidTr="00C403C2">
        <w:trPr>
          <w:trHeight w:val="300"/>
        </w:trPr>
        <w:tc>
          <w:tcPr>
            <w:tcW w:w="4360" w:type="dxa"/>
            <w:tcBorders>
              <w:top w:val="nil"/>
              <w:left w:val="nil"/>
              <w:bottom w:val="nil"/>
              <w:right w:val="nil"/>
            </w:tcBorders>
            <w:shd w:val="clear" w:color="auto" w:fill="auto"/>
            <w:noWrap/>
            <w:vAlign w:val="bottom"/>
            <w:hideMark/>
          </w:tcPr>
          <w:p w14:paraId="716F5029" w14:textId="77777777" w:rsidR="009D1775" w:rsidRPr="00D756D0" w:rsidRDefault="009D1775" w:rsidP="00C403C2">
            <w:pPr>
              <w:jc w:val="center"/>
              <w:rPr>
                <w:rFonts w:ascii="Calibri" w:eastAsia="Times New Roman" w:hAnsi="Calibri" w:cs="Calibri"/>
                <w:b/>
                <w:bCs/>
                <w:color w:val="000000"/>
              </w:rPr>
            </w:pPr>
            <w:r w:rsidRPr="00D756D0">
              <w:rPr>
                <w:rFonts w:ascii="Calibri" w:eastAsia="Times New Roman" w:hAnsi="Calibri" w:cs="Calibri"/>
                <w:b/>
                <w:bCs/>
                <w:color w:val="000000"/>
              </w:rPr>
              <w:t>Measurable Skill Gain Rate - ABE</w:t>
            </w:r>
          </w:p>
        </w:tc>
        <w:tc>
          <w:tcPr>
            <w:tcW w:w="960" w:type="dxa"/>
            <w:tcBorders>
              <w:top w:val="nil"/>
              <w:left w:val="single" w:sz="4" w:space="0" w:color="auto"/>
              <w:bottom w:val="nil"/>
              <w:right w:val="single" w:sz="4" w:space="0" w:color="auto"/>
            </w:tcBorders>
            <w:shd w:val="clear" w:color="auto" w:fill="auto"/>
            <w:noWrap/>
            <w:vAlign w:val="bottom"/>
            <w:hideMark/>
          </w:tcPr>
          <w:p w14:paraId="5663334C"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35.84%</w:t>
            </w:r>
          </w:p>
        </w:tc>
        <w:tc>
          <w:tcPr>
            <w:tcW w:w="960" w:type="dxa"/>
            <w:tcBorders>
              <w:top w:val="nil"/>
              <w:left w:val="nil"/>
              <w:bottom w:val="nil"/>
              <w:right w:val="single" w:sz="4" w:space="0" w:color="auto"/>
            </w:tcBorders>
            <w:shd w:val="clear" w:color="auto" w:fill="auto"/>
            <w:noWrap/>
            <w:vAlign w:val="bottom"/>
            <w:hideMark/>
          </w:tcPr>
          <w:p w14:paraId="36B3D4EF"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29.40%</w:t>
            </w:r>
          </w:p>
        </w:tc>
        <w:tc>
          <w:tcPr>
            <w:tcW w:w="960" w:type="dxa"/>
            <w:tcBorders>
              <w:top w:val="nil"/>
              <w:left w:val="nil"/>
              <w:bottom w:val="nil"/>
              <w:right w:val="nil"/>
            </w:tcBorders>
            <w:shd w:val="clear" w:color="000000" w:fill="CDFDCF"/>
            <w:noWrap/>
            <w:vAlign w:val="bottom"/>
            <w:hideMark/>
          </w:tcPr>
          <w:p w14:paraId="2BFCA500"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41.89%</w:t>
            </w:r>
          </w:p>
        </w:tc>
        <w:tc>
          <w:tcPr>
            <w:tcW w:w="1460" w:type="dxa"/>
            <w:tcBorders>
              <w:top w:val="nil"/>
              <w:left w:val="single" w:sz="4" w:space="0" w:color="auto"/>
              <w:bottom w:val="nil"/>
              <w:right w:val="nil"/>
            </w:tcBorders>
            <w:shd w:val="clear" w:color="auto" w:fill="auto"/>
            <w:noWrap/>
            <w:vAlign w:val="bottom"/>
            <w:hideMark/>
          </w:tcPr>
          <w:p w14:paraId="1652B21E"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16.88%</w:t>
            </w:r>
          </w:p>
        </w:tc>
      </w:tr>
      <w:tr w:rsidR="009D1775" w:rsidRPr="00D756D0" w14:paraId="36CBEC92" w14:textId="77777777" w:rsidTr="00C403C2">
        <w:trPr>
          <w:trHeight w:val="300"/>
        </w:trPr>
        <w:tc>
          <w:tcPr>
            <w:tcW w:w="4360" w:type="dxa"/>
            <w:tcBorders>
              <w:top w:val="nil"/>
              <w:left w:val="nil"/>
              <w:bottom w:val="nil"/>
              <w:right w:val="nil"/>
            </w:tcBorders>
            <w:shd w:val="clear" w:color="auto" w:fill="auto"/>
            <w:noWrap/>
            <w:vAlign w:val="bottom"/>
            <w:hideMark/>
          </w:tcPr>
          <w:p w14:paraId="5F3B0AC3" w14:textId="77777777" w:rsidR="009D1775" w:rsidRPr="00D756D0" w:rsidRDefault="009D1775" w:rsidP="00C403C2">
            <w:pPr>
              <w:jc w:val="center"/>
              <w:rPr>
                <w:rFonts w:ascii="Calibri" w:eastAsia="Times New Roman" w:hAnsi="Calibri" w:cs="Calibri"/>
                <w:b/>
                <w:bCs/>
                <w:color w:val="000000"/>
              </w:rPr>
            </w:pPr>
            <w:r w:rsidRPr="00D756D0">
              <w:rPr>
                <w:rFonts w:ascii="Calibri" w:eastAsia="Times New Roman" w:hAnsi="Calibri" w:cs="Calibri"/>
                <w:b/>
                <w:bCs/>
                <w:color w:val="000000"/>
              </w:rPr>
              <w:t>Measurable Skill Gain Rate - ESL</w:t>
            </w:r>
          </w:p>
        </w:tc>
        <w:tc>
          <w:tcPr>
            <w:tcW w:w="960" w:type="dxa"/>
            <w:tcBorders>
              <w:top w:val="nil"/>
              <w:left w:val="single" w:sz="4" w:space="0" w:color="auto"/>
              <w:bottom w:val="nil"/>
              <w:right w:val="single" w:sz="4" w:space="0" w:color="auto"/>
            </w:tcBorders>
            <w:shd w:val="clear" w:color="auto" w:fill="auto"/>
            <w:noWrap/>
            <w:vAlign w:val="bottom"/>
            <w:hideMark/>
          </w:tcPr>
          <w:p w14:paraId="7718C6F5"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30.08%</w:t>
            </w:r>
          </w:p>
        </w:tc>
        <w:tc>
          <w:tcPr>
            <w:tcW w:w="960" w:type="dxa"/>
            <w:tcBorders>
              <w:top w:val="nil"/>
              <w:left w:val="nil"/>
              <w:bottom w:val="nil"/>
              <w:right w:val="single" w:sz="4" w:space="0" w:color="auto"/>
            </w:tcBorders>
            <w:shd w:val="clear" w:color="auto" w:fill="auto"/>
            <w:noWrap/>
            <w:vAlign w:val="bottom"/>
            <w:hideMark/>
          </w:tcPr>
          <w:p w14:paraId="0C95A955"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7.42%</w:t>
            </w:r>
          </w:p>
        </w:tc>
        <w:tc>
          <w:tcPr>
            <w:tcW w:w="960" w:type="dxa"/>
            <w:tcBorders>
              <w:top w:val="nil"/>
              <w:left w:val="nil"/>
              <w:bottom w:val="nil"/>
              <w:right w:val="nil"/>
            </w:tcBorders>
            <w:shd w:val="clear" w:color="000000" w:fill="CDFDCF"/>
            <w:noWrap/>
            <w:vAlign w:val="bottom"/>
            <w:hideMark/>
          </w:tcPr>
          <w:p w14:paraId="648DCCF6"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29.41%</w:t>
            </w:r>
          </w:p>
        </w:tc>
        <w:tc>
          <w:tcPr>
            <w:tcW w:w="1460" w:type="dxa"/>
            <w:tcBorders>
              <w:top w:val="nil"/>
              <w:left w:val="single" w:sz="4" w:space="0" w:color="auto"/>
              <w:bottom w:val="nil"/>
              <w:right w:val="nil"/>
            </w:tcBorders>
            <w:shd w:val="clear" w:color="auto" w:fill="auto"/>
            <w:noWrap/>
            <w:vAlign w:val="bottom"/>
            <w:hideMark/>
          </w:tcPr>
          <w:p w14:paraId="2EFCE437"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-2.23%</w:t>
            </w:r>
          </w:p>
        </w:tc>
      </w:tr>
      <w:tr w:rsidR="009D1775" w:rsidRPr="00D756D0" w14:paraId="6041314C" w14:textId="77777777" w:rsidTr="00C403C2">
        <w:trPr>
          <w:trHeight w:val="300"/>
        </w:trPr>
        <w:tc>
          <w:tcPr>
            <w:tcW w:w="4360" w:type="dxa"/>
            <w:tcBorders>
              <w:top w:val="nil"/>
              <w:left w:val="nil"/>
              <w:bottom w:val="single" w:sz="4" w:space="0" w:color="auto"/>
              <w:right w:val="nil"/>
            </w:tcBorders>
            <w:shd w:val="clear" w:color="000000" w:fill="E7E6E6"/>
            <w:noWrap/>
            <w:vAlign w:val="bottom"/>
            <w:hideMark/>
          </w:tcPr>
          <w:p w14:paraId="483F67AB" w14:textId="77777777" w:rsidR="009D1775" w:rsidRPr="00D756D0" w:rsidRDefault="009D1775" w:rsidP="00C403C2">
            <w:pPr>
              <w:jc w:val="center"/>
              <w:rPr>
                <w:rFonts w:ascii="Calibri" w:eastAsia="Times New Roman" w:hAnsi="Calibri" w:cs="Calibri"/>
                <w:b/>
                <w:bCs/>
                <w:color w:val="000000"/>
              </w:rPr>
            </w:pPr>
            <w:r w:rsidRPr="00D756D0">
              <w:rPr>
                <w:rFonts w:ascii="Calibri" w:eastAsia="Times New Roman" w:hAnsi="Calibri" w:cs="Calibri"/>
                <w:b/>
                <w:bCs/>
                <w:color w:val="000000"/>
              </w:rPr>
              <w:t>Annual Measurable Skill Gain Rate - ALL</w:t>
            </w:r>
          </w:p>
        </w:tc>
        <w:tc>
          <w:tcPr>
            <w:tcW w:w="960" w:type="dxa"/>
            <w:tcBorders>
              <w:top w:val="nil"/>
              <w:left w:val="single" w:sz="4" w:space="0" w:color="auto"/>
              <w:bottom w:val="single" w:sz="4" w:space="0" w:color="auto"/>
              <w:right w:val="single" w:sz="4" w:space="0" w:color="auto"/>
            </w:tcBorders>
            <w:shd w:val="clear" w:color="000000" w:fill="E7E6E6"/>
            <w:noWrap/>
            <w:vAlign w:val="bottom"/>
            <w:hideMark/>
          </w:tcPr>
          <w:p w14:paraId="4378E1AA"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33.78%</w:t>
            </w:r>
          </w:p>
        </w:tc>
        <w:tc>
          <w:tcPr>
            <w:tcW w:w="960" w:type="dxa"/>
            <w:tcBorders>
              <w:top w:val="nil"/>
              <w:left w:val="nil"/>
              <w:bottom w:val="single" w:sz="4" w:space="0" w:color="auto"/>
              <w:right w:val="single" w:sz="4" w:space="0" w:color="auto"/>
            </w:tcBorders>
            <w:shd w:val="clear" w:color="000000" w:fill="E7E6E6"/>
            <w:noWrap/>
            <w:vAlign w:val="bottom"/>
            <w:hideMark/>
          </w:tcPr>
          <w:p w14:paraId="0F7608BC"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20.65%</w:t>
            </w:r>
          </w:p>
        </w:tc>
        <w:tc>
          <w:tcPr>
            <w:tcW w:w="960" w:type="dxa"/>
            <w:tcBorders>
              <w:top w:val="nil"/>
              <w:left w:val="nil"/>
              <w:bottom w:val="single" w:sz="4" w:space="0" w:color="auto"/>
              <w:right w:val="nil"/>
            </w:tcBorders>
            <w:shd w:val="clear" w:color="000000" w:fill="7ED4A9"/>
            <w:noWrap/>
            <w:vAlign w:val="bottom"/>
            <w:hideMark/>
          </w:tcPr>
          <w:p w14:paraId="3E39BCD5"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37.62%</w:t>
            </w:r>
          </w:p>
        </w:tc>
        <w:tc>
          <w:tcPr>
            <w:tcW w:w="1460" w:type="dxa"/>
            <w:tcBorders>
              <w:top w:val="nil"/>
              <w:left w:val="single" w:sz="4" w:space="0" w:color="auto"/>
              <w:bottom w:val="single" w:sz="4" w:space="0" w:color="auto"/>
              <w:right w:val="nil"/>
            </w:tcBorders>
            <w:shd w:val="clear" w:color="000000" w:fill="E7E6E6"/>
            <w:noWrap/>
            <w:vAlign w:val="bottom"/>
            <w:hideMark/>
          </w:tcPr>
          <w:p w14:paraId="480E1B7C" w14:textId="77777777" w:rsidR="009D1775" w:rsidRPr="00D756D0" w:rsidRDefault="009D1775" w:rsidP="00C403C2">
            <w:pPr>
              <w:jc w:val="center"/>
              <w:rPr>
                <w:rFonts w:ascii="Calibri" w:eastAsia="Times New Roman" w:hAnsi="Calibri" w:cs="Calibri"/>
                <w:color w:val="000000"/>
              </w:rPr>
            </w:pPr>
            <w:r w:rsidRPr="00D756D0">
              <w:rPr>
                <w:rFonts w:ascii="Calibri" w:eastAsia="Times New Roman" w:hAnsi="Calibri" w:cs="Calibri"/>
                <w:color w:val="000000"/>
              </w:rPr>
              <w:t>11.37%</w:t>
            </w:r>
          </w:p>
        </w:tc>
      </w:tr>
    </w:tbl>
    <w:p w14:paraId="400D14DD" w14:textId="77777777" w:rsidR="009D1775" w:rsidRDefault="009D1775" w:rsidP="009D1775">
      <w:pPr>
        <w:rPr>
          <w:sz w:val="23"/>
          <w:szCs w:val="23"/>
        </w:rPr>
      </w:pPr>
    </w:p>
    <w:p w14:paraId="086B58B9" w14:textId="1651478B" w:rsidR="009D1775" w:rsidRPr="009D1775" w:rsidRDefault="009D1775" w:rsidP="004529BA">
      <w:pPr>
        <w:rPr>
          <w:sz w:val="23"/>
          <w:szCs w:val="23"/>
        </w:rPr>
      </w:pPr>
      <w:r>
        <w:rPr>
          <w:sz w:val="23"/>
          <w:szCs w:val="23"/>
        </w:rPr>
        <w:t>Increasing the data match rate proved equally important in helping Maine demonstrate its effectiveness in serving adult learners. The State adult education office launched a data match improvement initiative in 2019</w:t>
      </w:r>
      <w:r w:rsidR="00B2289C">
        <w:rPr>
          <w:sz w:val="23"/>
          <w:szCs w:val="23"/>
        </w:rPr>
        <w:t xml:space="preserve"> </w:t>
      </w:r>
      <w:r w:rsidR="00900872">
        <w:rPr>
          <w:sz w:val="23"/>
          <w:szCs w:val="23"/>
        </w:rPr>
        <w:t>and</w:t>
      </w:r>
      <w:r>
        <w:rPr>
          <w:sz w:val="23"/>
          <w:szCs w:val="23"/>
        </w:rPr>
        <w:t xml:space="preserve"> set a state </w:t>
      </w:r>
      <w:r w:rsidR="00900872">
        <w:rPr>
          <w:sz w:val="23"/>
          <w:szCs w:val="23"/>
        </w:rPr>
        <w:t xml:space="preserve">data match </w:t>
      </w:r>
      <w:r>
        <w:rPr>
          <w:sz w:val="23"/>
          <w:szCs w:val="23"/>
        </w:rPr>
        <w:t>target of 90% or higher data</w:t>
      </w:r>
      <w:r w:rsidR="00900872">
        <w:rPr>
          <w:sz w:val="23"/>
          <w:szCs w:val="23"/>
        </w:rPr>
        <w:t>.</w:t>
      </w:r>
      <w:r>
        <w:rPr>
          <w:sz w:val="23"/>
          <w:szCs w:val="23"/>
        </w:rPr>
        <w:t xml:space="preserve"> The current rate of 78.28% is the highest it has ever been and a 24% increase from PY18.  It may be that the second quarter unemployment rate would have been much lower due to Covid</w:t>
      </w:r>
      <w:r w:rsidR="00235365">
        <w:rPr>
          <w:sz w:val="23"/>
          <w:szCs w:val="23"/>
        </w:rPr>
        <w:t>-19</w:t>
      </w:r>
      <w:r>
        <w:rPr>
          <w:sz w:val="23"/>
          <w:szCs w:val="23"/>
        </w:rPr>
        <w:t xml:space="preserve">, but because we are matching so many more learners, the impact was diminished.            </w:t>
      </w:r>
    </w:p>
    <w:p w14:paraId="50FCE699" w14:textId="71D6D9FD" w:rsidR="00936891" w:rsidRDefault="00936891" w:rsidP="009F4532">
      <w:pPr>
        <w:pStyle w:val="ListParagraph"/>
        <w:numPr>
          <w:ilvl w:val="0"/>
          <w:numId w:val="8"/>
        </w:numPr>
        <w:rPr>
          <w:rFonts w:asciiTheme="minorHAnsi" w:hAnsiTheme="minorHAnsi" w:cstheme="minorHAnsi"/>
          <w:b/>
          <w:bCs/>
          <w:i/>
          <w:iCs/>
        </w:rPr>
      </w:pPr>
      <w:r w:rsidRPr="002E0C57">
        <w:rPr>
          <w:rFonts w:asciiTheme="minorHAnsi" w:hAnsiTheme="minorHAnsi" w:cstheme="minorHAnsi"/>
          <w:b/>
          <w:bCs/>
          <w:i/>
          <w:iCs/>
        </w:rPr>
        <w:t>Integration with One-stop Partners</w:t>
      </w:r>
      <w:r w:rsidR="005F7E35" w:rsidRPr="002E0C57">
        <w:rPr>
          <w:rFonts w:asciiTheme="minorHAnsi" w:hAnsiTheme="minorHAnsi" w:cstheme="minorHAnsi"/>
          <w:b/>
          <w:bCs/>
          <w:i/>
          <w:iCs/>
        </w:rPr>
        <w:t xml:space="preserve">  </w:t>
      </w:r>
    </w:p>
    <w:p w14:paraId="2DC49923" w14:textId="6A33AB01" w:rsidR="0086369E" w:rsidRPr="002E0C57" w:rsidRDefault="0086369E" w:rsidP="0086369E">
      <w:pPr>
        <w:pStyle w:val="ListParagraph"/>
        <w:rPr>
          <w:rFonts w:asciiTheme="minorHAnsi" w:hAnsiTheme="minorHAnsi" w:cstheme="minorHAnsi"/>
          <w:b/>
          <w:bCs/>
        </w:rPr>
      </w:pPr>
    </w:p>
    <w:p w14:paraId="1D6CFDD1" w14:textId="34A50D43" w:rsidR="00A95C6D" w:rsidRDefault="00427195" w:rsidP="003808AD">
      <w:pPr>
        <w:rPr>
          <w:rFonts w:cstheme="minorHAnsi"/>
        </w:rPr>
      </w:pPr>
      <w:r>
        <w:rPr>
          <w:rFonts w:cstheme="minorHAnsi"/>
        </w:rPr>
        <w:t xml:space="preserve">IFA </w:t>
      </w:r>
      <w:r w:rsidR="00043A09">
        <w:rPr>
          <w:rFonts w:cstheme="minorHAnsi"/>
        </w:rPr>
        <w:t>conversations</w:t>
      </w:r>
      <w:r>
        <w:rPr>
          <w:rFonts w:cstheme="minorHAnsi"/>
        </w:rPr>
        <w:t xml:space="preserve"> </w:t>
      </w:r>
      <w:r w:rsidR="00E84313">
        <w:rPr>
          <w:rFonts w:cstheme="minorHAnsi"/>
        </w:rPr>
        <w:t>started</w:t>
      </w:r>
      <w:r w:rsidR="00043A09">
        <w:rPr>
          <w:rFonts w:cstheme="minorHAnsi"/>
        </w:rPr>
        <w:t xml:space="preserve"> in the fall of 2020. </w:t>
      </w:r>
      <w:r w:rsidR="00136A8A">
        <w:rPr>
          <w:rFonts w:cstheme="minorHAnsi"/>
        </w:rPr>
        <w:t xml:space="preserve"> T</w:t>
      </w:r>
      <w:r w:rsidR="00DA0FFC">
        <w:rPr>
          <w:rFonts w:cstheme="minorHAnsi"/>
        </w:rPr>
        <w:t>he state office participated in th</w:t>
      </w:r>
      <w:r>
        <w:rPr>
          <w:rFonts w:cstheme="minorHAnsi"/>
        </w:rPr>
        <w:t>e</w:t>
      </w:r>
      <w:r w:rsidR="00DA0FFC">
        <w:rPr>
          <w:rFonts w:cstheme="minorHAnsi"/>
        </w:rPr>
        <w:t xml:space="preserve"> initial conversations with </w:t>
      </w:r>
      <w:r w:rsidR="00A25D53">
        <w:rPr>
          <w:rFonts w:cstheme="minorHAnsi"/>
        </w:rPr>
        <w:t>other state-level rep</w:t>
      </w:r>
      <w:r w:rsidR="005A5F79">
        <w:rPr>
          <w:rFonts w:cstheme="minorHAnsi"/>
        </w:rPr>
        <w:t>resentative</w:t>
      </w:r>
      <w:r w:rsidR="00A25D53">
        <w:rPr>
          <w:rFonts w:cstheme="minorHAnsi"/>
        </w:rPr>
        <w:t xml:space="preserve">s </w:t>
      </w:r>
      <w:r w:rsidR="005A5F79">
        <w:rPr>
          <w:rFonts w:cstheme="minorHAnsi"/>
        </w:rPr>
        <w:t xml:space="preserve">of other </w:t>
      </w:r>
      <w:r w:rsidR="00DA0FFC">
        <w:rPr>
          <w:rFonts w:cstheme="minorHAnsi"/>
        </w:rPr>
        <w:t xml:space="preserve">one-stop </w:t>
      </w:r>
      <w:r w:rsidR="005A5F79">
        <w:rPr>
          <w:rFonts w:cstheme="minorHAnsi"/>
        </w:rPr>
        <w:t>agencie</w:t>
      </w:r>
      <w:r w:rsidR="00DA0FFC">
        <w:rPr>
          <w:rFonts w:cstheme="minorHAnsi"/>
        </w:rPr>
        <w:t>s</w:t>
      </w:r>
      <w:r w:rsidR="00136A8A">
        <w:rPr>
          <w:rFonts w:cstheme="minorHAnsi"/>
        </w:rPr>
        <w:t xml:space="preserve">. </w:t>
      </w:r>
      <w:r w:rsidR="00E5652D">
        <w:rPr>
          <w:rFonts w:cstheme="minorHAnsi"/>
        </w:rPr>
        <w:t>With</w:t>
      </w:r>
      <w:r w:rsidR="00971D80">
        <w:rPr>
          <w:rFonts w:cstheme="minorHAnsi"/>
        </w:rPr>
        <w:t xml:space="preserve"> career centers</w:t>
      </w:r>
      <w:r w:rsidR="00E5652D">
        <w:rPr>
          <w:rFonts w:cstheme="minorHAnsi"/>
        </w:rPr>
        <w:t xml:space="preserve"> </w:t>
      </w:r>
      <w:r w:rsidR="00971D80">
        <w:rPr>
          <w:rFonts w:cstheme="minorHAnsi"/>
        </w:rPr>
        <w:t xml:space="preserve">either closed </w:t>
      </w:r>
      <w:r w:rsidR="00A42921">
        <w:rPr>
          <w:rFonts w:cstheme="minorHAnsi"/>
        </w:rPr>
        <w:t>to the publ</w:t>
      </w:r>
      <w:r w:rsidR="00F11F98">
        <w:rPr>
          <w:rFonts w:cstheme="minorHAnsi"/>
        </w:rPr>
        <w:t xml:space="preserve">ic </w:t>
      </w:r>
      <w:r w:rsidR="00971D80">
        <w:rPr>
          <w:rFonts w:cstheme="minorHAnsi"/>
        </w:rPr>
        <w:t>or with very li</w:t>
      </w:r>
      <w:r w:rsidR="003811F0">
        <w:rPr>
          <w:rFonts w:cstheme="minorHAnsi"/>
        </w:rPr>
        <w:t>m</w:t>
      </w:r>
      <w:r w:rsidR="00971D80">
        <w:rPr>
          <w:rFonts w:cstheme="minorHAnsi"/>
        </w:rPr>
        <w:t>ited in-person ho</w:t>
      </w:r>
      <w:r w:rsidR="007D6607">
        <w:rPr>
          <w:rFonts w:cstheme="minorHAnsi"/>
        </w:rPr>
        <w:t>urs</w:t>
      </w:r>
      <w:r w:rsidR="004E3B28">
        <w:rPr>
          <w:rFonts w:cstheme="minorHAnsi"/>
        </w:rPr>
        <w:t xml:space="preserve"> it was a challenge to determine IFA costs based on use of space or foot-traffic. </w:t>
      </w:r>
      <w:r w:rsidR="00F11F98">
        <w:rPr>
          <w:rFonts w:cstheme="minorHAnsi"/>
        </w:rPr>
        <w:t xml:space="preserve">Discussions focused on </w:t>
      </w:r>
      <w:r w:rsidR="007F60FD">
        <w:rPr>
          <w:rFonts w:cstheme="minorHAnsi"/>
        </w:rPr>
        <w:t xml:space="preserve">space </w:t>
      </w:r>
      <w:r w:rsidR="009B6978">
        <w:rPr>
          <w:rFonts w:cstheme="minorHAnsi"/>
        </w:rPr>
        <w:t xml:space="preserve">usage </w:t>
      </w:r>
      <w:r w:rsidR="00BE49AD">
        <w:rPr>
          <w:rFonts w:cstheme="minorHAnsi"/>
        </w:rPr>
        <w:t xml:space="preserve">when the centers </w:t>
      </w:r>
      <w:r w:rsidR="005A6B30">
        <w:rPr>
          <w:rFonts w:cstheme="minorHAnsi"/>
        </w:rPr>
        <w:t>a</w:t>
      </w:r>
      <w:r w:rsidR="00BE49AD">
        <w:rPr>
          <w:rFonts w:cstheme="minorHAnsi"/>
        </w:rPr>
        <w:t xml:space="preserve">re more fully operational and </w:t>
      </w:r>
      <w:r w:rsidR="00F27878">
        <w:rPr>
          <w:rFonts w:cstheme="minorHAnsi"/>
        </w:rPr>
        <w:t>how</w:t>
      </w:r>
      <w:r w:rsidR="00BE49AD">
        <w:rPr>
          <w:rFonts w:cstheme="minorHAnsi"/>
        </w:rPr>
        <w:t xml:space="preserve"> remote service delivery c</w:t>
      </w:r>
      <w:r w:rsidR="005A6B30">
        <w:rPr>
          <w:rFonts w:cstheme="minorHAnsi"/>
        </w:rPr>
        <w:t>an</w:t>
      </w:r>
      <w:r w:rsidR="00BE49AD">
        <w:rPr>
          <w:rFonts w:cstheme="minorHAnsi"/>
        </w:rPr>
        <w:t xml:space="preserve"> be part of the</w:t>
      </w:r>
      <w:r w:rsidR="00F11F98">
        <w:rPr>
          <w:rFonts w:cstheme="minorHAnsi"/>
        </w:rPr>
        <w:t xml:space="preserve"> </w:t>
      </w:r>
      <w:r w:rsidR="00BE49AD">
        <w:rPr>
          <w:rFonts w:cstheme="minorHAnsi"/>
        </w:rPr>
        <w:t>equation</w:t>
      </w:r>
      <w:r w:rsidR="00A80226">
        <w:rPr>
          <w:rFonts w:cstheme="minorHAnsi"/>
        </w:rPr>
        <w:t xml:space="preserve"> in the present and going forward</w:t>
      </w:r>
      <w:r w:rsidR="00BE49AD">
        <w:rPr>
          <w:rFonts w:cstheme="minorHAnsi"/>
        </w:rPr>
        <w:t xml:space="preserve">. </w:t>
      </w:r>
      <w:r w:rsidR="00A80226">
        <w:rPr>
          <w:rFonts w:cstheme="minorHAnsi"/>
        </w:rPr>
        <w:t>S</w:t>
      </w:r>
      <w:r w:rsidR="005F46E1">
        <w:rPr>
          <w:rFonts w:cstheme="minorHAnsi"/>
        </w:rPr>
        <w:t>tate office staff met with local adult education providers in each o</w:t>
      </w:r>
      <w:r w:rsidR="00F27878">
        <w:rPr>
          <w:rFonts w:cstheme="minorHAnsi"/>
        </w:rPr>
        <w:t>f</w:t>
      </w:r>
      <w:r w:rsidR="005F46E1">
        <w:rPr>
          <w:rFonts w:cstheme="minorHAnsi"/>
        </w:rPr>
        <w:t xml:space="preserve"> the thr</w:t>
      </w:r>
      <w:r w:rsidR="00F27878">
        <w:rPr>
          <w:rFonts w:cstheme="minorHAnsi"/>
        </w:rPr>
        <w:t>e</w:t>
      </w:r>
      <w:r w:rsidR="005F46E1">
        <w:rPr>
          <w:rFonts w:cstheme="minorHAnsi"/>
        </w:rPr>
        <w:t xml:space="preserve">e workforce board areas to </w:t>
      </w:r>
      <w:r w:rsidR="00223B4F">
        <w:rPr>
          <w:rFonts w:cstheme="minorHAnsi"/>
        </w:rPr>
        <w:t xml:space="preserve">review IFA expectations and purposes, review the </w:t>
      </w:r>
      <w:r w:rsidR="00F27878">
        <w:rPr>
          <w:rFonts w:cstheme="minorHAnsi"/>
        </w:rPr>
        <w:t xml:space="preserve">plan and gather </w:t>
      </w:r>
      <w:r w:rsidR="002B0F5A">
        <w:rPr>
          <w:rFonts w:cstheme="minorHAnsi"/>
        </w:rPr>
        <w:t xml:space="preserve">their </w:t>
      </w:r>
      <w:r w:rsidR="00F27878">
        <w:rPr>
          <w:rFonts w:cstheme="minorHAnsi"/>
        </w:rPr>
        <w:t xml:space="preserve">feedback. </w:t>
      </w:r>
      <w:r w:rsidR="002B0F5A">
        <w:rPr>
          <w:rFonts w:cstheme="minorHAnsi"/>
        </w:rPr>
        <w:t>Final IFA amounts were decided upon</w:t>
      </w:r>
      <w:r w:rsidR="00512339">
        <w:rPr>
          <w:rFonts w:cstheme="minorHAnsi"/>
        </w:rPr>
        <w:t>, MOUs were signed, and the local programs now meet their financial commitment</w:t>
      </w:r>
      <w:r w:rsidR="002D5E95">
        <w:rPr>
          <w:rFonts w:cstheme="minorHAnsi"/>
        </w:rPr>
        <w:t xml:space="preserve"> using AEFLA funds</w:t>
      </w:r>
      <w:r w:rsidR="00512339">
        <w:rPr>
          <w:rFonts w:cstheme="minorHAnsi"/>
        </w:rPr>
        <w:t xml:space="preserve">. </w:t>
      </w:r>
      <w:r w:rsidR="002B24C0">
        <w:rPr>
          <w:rFonts w:cstheme="minorHAnsi"/>
        </w:rPr>
        <w:t>In consideration of the pandemic, t</w:t>
      </w:r>
      <w:r w:rsidR="001E1676">
        <w:rPr>
          <w:rFonts w:cstheme="minorHAnsi"/>
        </w:rPr>
        <w:t>he</w:t>
      </w:r>
      <w:r w:rsidR="00512339">
        <w:rPr>
          <w:rFonts w:cstheme="minorHAnsi"/>
        </w:rPr>
        <w:t xml:space="preserve"> IFA will be </w:t>
      </w:r>
      <w:r w:rsidR="001E1676">
        <w:rPr>
          <w:rFonts w:cstheme="minorHAnsi"/>
        </w:rPr>
        <w:t>reviewed next year</w:t>
      </w:r>
      <w:r w:rsidR="00536114">
        <w:rPr>
          <w:rFonts w:cstheme="minorHAnsi"/>
        </w:rPr>
        <w:t xml:space="preserve"> for any </w:t>
      </w:r>
      <w:r w:rsidR="00536114">
        <w:rPr>
          <w:rFonts w:cstheme="minorHAnsi"/>
        </w:rPr>
        <w:lastRenderedPageBreak/>
        <w:t>necessary adjustments</w:t>
      </w:r>
      <w:r w:rsidR="001E1676">
        <w:rPr>
          <w:rFonts w:cstheme="minorHAnsi"/>
        </w:rPr>
        <w:t>.</w:t>
      </w:r>
      <w:r w:rsidR="00076A19">
        <w:rPr>
          <w:rFonts w:cstheme="minorHAnsi"/>
        </w:rPr>
        <w:t xml:space="preserve"> </w:t>
      </w:r>
      <w:r w:rsidR="00520033">
        <w:rPr>
          <w:rFonts w:cstheme="minorHAnsi"/>
        </w:rPr>
        <w:t xml:space="preserve">In-person and/or remote career services include, but are not limited </w:t>
      </w:r>
      <w:proofErr w:type="gramStart"/>
      <w:r w:rsidR="00520033">
        <w:rPr>
          <w:rFonts w:cstheme="minorHAnsi"/>
        </w:rPr>
        <w:t>to:</w:t>
      </w:r>
      <w:proofErr w:type="gramEnd"/>
      <w:r w:rsidR="00520033">
        <w:rPr>
          <w:rFonts w:cstheme="minorHAnsi"/>
        </w:rPr>
        <w:t xml:space="preserve"> </w:t>
      </w:r>
      <w:r w:rsidR="00411C4A">
        <w:rPr>
          <w:rFonts w:cstheme="minorHAnsi"/>
        </w:rPr>
        <w:t>intake, eligibility</w:t>
      </w:r>
      <w:r w:rsidR="00E940FD">
        <w:rPr>
          <w:rFonts w:cstheme="minorHAnsi"/>
        </w:rPr>
        <w:t xml:space="preserve"> determination</w:t>
      </w:r>
      <w:r w:rsidR="00411C4A">
        <w:rPr>
          <w:rFonts w:cstheme="minorHAnsi"/>
        </w:rPr>
        <w:t>, initial assessments,</w:t>
      </w:r>
      <w:r w:rsidR="00B4649E">
        <w:rPr>
          <w:rFonts w:cstheme="minorHAnsi"/>
        </w:rPr>
        <w:t xml:space="preserve"> advising,</w:t>
      </w:r>
      <w:r w:rsidR="00E51365">
        <w:rPr>
          <w:rFonts w:cstheme="minorHAnsi"/>
        </w:rPr>
        <w:t xml:space="preserve"> development of career plans,</w:t>
      </w:r>
      <w:r w:rsidR="00411C4A">
        <w:rPr>
          <w:rFonts w:cstheme="minorHAnsi"/>
        </w:rPr>
        <w:t xml:space="preserve"> referrals</w:t>
      </w:r>
      <w:r w:rsidR="00B4649E">
        <w:rPr>
          <w:rFonts w:cstheme="minorHAnsi"/>
        </w:rPr>
        <w:t xml:space="preserve"> </w:t>
      </w:r>
      <w:r w:rsidR="00E51365">
        <w:rPr>
          <w:rFonts w:cstheme="minorHAnsi"/>
        </w:rPr>
        <w:t>to other workfo</w:t>
      </w:r>
      <w:r w:rsidR="00C66770">
        <w:rPr>
          <w:rFonts w:cstheme="minorHAnsi"/>
        </w:rPr>
        <w:t>r</w:t>
      </w:r>
      <w:r w:rsidR="00E51365">
        <w:rPr>
          <w:rFonts w:cstheme="minorHAnsi"/>
        </w:rPr>
        <w:t xml:space="preserve">ce system providers </w:t>
      </w:r>
      <w:r w:rsidR="00B4649E">
        <w:rPr>
          <w:rFonts w:cstheme="minorHAnsi"/>
        </w:rPr>
        <w:t xml:space="preserve">as appropriate, </w:t>
      </w:r>
      <w:r w:rsidR="00061654">
        <w:rPr>
          <w:rFonts w:cstheme="minorHAnsi"/>
        </w:rPr>
        <w:t>work force preparation</w:t>
      </w:r>
      <w:r w:rsidR="002B1644">
        <w:rPr>
          <w:rFonts w:cstheme="minorHAnsi"/>
        </w:rPr>
        <w:t xml:space="preserve">, </w:t>
      </w:r>
      <w:r w:rsidR="00A55AD3">
        <w:rPr>
          <w:rFonts w:cstheme="minorHAnsi"/>
        </w:rPr>
        <w:t>and job search assistance.</w:t>
      </w:r>
      <w:r w:rsidR="00DD7B35">
        <w:rPr>
          <w:rFonts w:cstheme="minorHAnsi"/>
        </w:rPr>
        <w:t xml:space="preserve"> </w:t>
      </w:r>
      <w:r w:rsidR="00B07C42">
        <w:rPr>
          <w:rFonts w:cstheme="minorHAnsi"/>
        </w:rPr>
        <w:t>As a result of</w:t>
      </w:r>
      <w:r w:rsidR="006A2355">
        <w:rPr>
          <w:rFonts w:cstheme="minorHAnsi"/>
        </w:rPr>
        <w:t xml:space="preserve"> donations and</w:t>
      </w:r>
      <w:r w:rsidR="00B07C42">
        <w:rPr>
          <w:rFonts w:cstheme="minorHAnsi"/>
        </w:rPr>
        <w:t xml:space="preserve"> some redirected state</w:t>
      </w:r>
      <w:r w:rsidR="006A2355">
        <w:rPr>
          <w:rFonts w:cstheme="minorHAnsi"/>
        </w:rPr>
        <w:t xml:space="preserve"> </w:t>
      </w:r>
      <w:r w:rsidR="00B07C42">
        <w:rPr>
          <w:rFonts w:cstheme="minorHAnsi"/>
        </w:rPr>
        <w:t>and local</w:t>
      </w:r>
      <w:r w:rsidR="006A2355">
        <w:rPr>
          <w:rFonts w:cstheme="minorHAnsi"/>
        </w:rPr>
        <w:t xml:space="preserve"> funds, </w:t>
      </w:r>
      <w:r w:rsidR="00B07C42">
        <w:rPr>
          <w:rFonts w:cstheme="minorHAnsi"/>
        </w:rPr>
        <w:t xml:space="preserve">the state office and </w:t>
      </w:r>
      <w:r w:rsidR="006A2355">
        <w:rPr>
          <w:rFonts w:cstheme="minorHAnsi"/>
        </w:rPr>
        <w:t xml:space="preserve">local providers </w:t>
      </w:r>
      <w:r w:rsidR="00B07C42">
        <w:rPr>
          <w:rFonts w:cstheme="minorHAnsi"/>
        </w:rPr>
        <w:t>were able to cont</w:t>
      </w:r>
      <w:r w:rsidR="006C5792">
        <w:rPr>
          <w:rFonts w:cstheme="minorHAnsi"/>
        </w:rPr>
        <w:t xml:space="preserve">inue the </w:t>
      </w:r>
      <w:r w:rsidR="006A2355">
        <w:rPr>
          <w:rFonts w:cstheme="minorHAnsi"/>
        </w:rPr>
        <w:t>distribu</w:t>
      </w:r>
      <w:r w:rsidR="006C5792">
        <w:rPr>
          <w:rFonts w:cstheme="minorHAnsi"/>
        </w:rPr>
        <w:t xml:space="preserve">tion of </w:t>
      </w:r>
      <w:r w:rsidR="006A2355">
        <w:rPr>
          <w:rFonts w:cstheme="minorHAnsi"/>
        </w:rPr>
        <w:t xml:space="preserve">100s of computers to learners for the continuation of </w:t>
      </w:r>
      <w:r w:rsidR="00662466">
        <w:rPr>
          <w:rFonts w:cstheme="minorHAnsi"/>
        </w:rPr>
        <w:t xml:space="preserve">classes, enrollments, and advising services. </w:t>
      </w:r>
    </w:p>
    <w:p w14:paraId="5E947D86" w14:textId="0AAE5E1B" w:rsidR="00A95C6D" w:rsidRPr="00A95C6D" w:rsidRDefault="00A95C6D" w:rsidP="00A95C6D">
      <w:pPr>
        <w:pStyle w:val="ListParagraph"/>
        <w:numPr>
          <w:ilvl w:val="0"/>
          <w:numId w:val="8"/>
        </w:numPr>
        <w:rPr>
          <w:rFonts w:asciiTheme="minorHAnsi" w:hAnsiTheme="minorHAnsi" w:cstheme="minorHAnsi"/>
        </w:rPr>
      </w:pPr>
      <w:r w:rsidRPr="00A95C6D">
        <w:rPr>
          <w:rFonts w:cstheme="minorHAnsi"/>
          <w:b/>
          <w:bCs/>
          <w:i/>
          <w:iCs/>
        </w:rPr>
        <w:t xml:space="preserve">Integrated English Literacy and Civics Education (IELCE) Program </w:t>
      </w:r>
    </w:p>
    <w:p w14:paraId="0ECAE4C0" w14:textId="77777777" w:rsidR="00AF796A" w:rsidRDefault="00AF796A" w:rsidP="00810EE1">
      <w:pPr>
        <w:rPr>
          <w:rFonts w:cstheme="minorHAnsi"/>
        </w:rPr>
      </w:pPr>
    </w:p>
    <w:p w14:paraId="2277B993" w14:textId="5D932D45" w:rsidR="00810EE1" w:rsidRDefault="001E0848" w:rsidP="00810EE1">
      <w:pPr>
        <w:rPr>
          <w:rFonts w:cstheme="minorHAnsi"/>
        </w:rPr>
      </w:pPr>
      <w:r w:rsidRPr="002E0C57">
        <w:rPr>
          <w:rFonts w:cstheme="minorHAnsi"/>
        </w:rPr>
        <w:t xml:space="preserve">Maine competed for IELCE funds in February 2019. Two programs applied and were funded. </w:t>
      </w:r>
      <w:r w:rsidR="0022106F">
        <w:rPr>
          <w:rFonts w:cstheme="minorHAnsi"/>
        </w:rPr>
        <w:t>I</w:t>
      </w:r>
      <w:r w:rsidRPr="002E0C57">
        <w:rPr>
          <w:rFonts w:cstheme="minorHAnsi"/>
        </w:rPr>
        <w:t xml:space="preserve">nitial grant period </w:t>
      </w:r>
      <w:r w:rsidR="00916704">
        <w:rPr>
          <w:rFonts w:cstheme="minorHAnsi"/>
        </w:rPr>
        <w:t>was</w:t>
      </w:r>
      <w:r w:rsidR="00160EBE">
        <w:rPr>
          <w:rFonts w:cstheme="minorHAnsi"/>
        </w:rPr>
        <w:t xml:space="preserve"> two</w:t>
      </w:r>
      <w:r w:rsidRPr="002E0C57">
        <w:rPr>
          <w:rFonts w:cstheme="minorHAnsi"/>
        </w:rPr>
        <w:t xml:space="preserve"> years with two additional</w:t>
      </w:r>
      <w:r w:rsidR="00077108">
        <w:rPr>
          <w:rFonts w:cstheme="minorHAnsi"/>
        </w:rPr>
        <w:t>,</w:t>
      </w:r>
      <w:r w:rsidRPr="002E0C57">
        <w:rPr>
          <w:rFonts w:cstheme="minorHAnsi"/>
        </w:rPr>
        <w:t xml:space="preserve"> 2-year extensions</w:t>
      </w:r>
      <w:r w:rsidRPr="002E0C57">
        <w:rPr>
          <w:rFonts w:cstheme="minorHAnsi"/>
          <w:b/>
          <w:bCs/>
        </w:rPr>
        <w:t>.</w:t>
      </w:r>
      <w:r w:rsidR="00810EE1" w:rsidRPr="002E0C57">
        <w:rPr>
          <w:rFonts w:cstheme="minorHAnsi"/>
          <w:b/>
          <w:bCs/>
        </w:rPr>
        <w:t xml:space="preserve"> </w:t>
      </w:r>
      <w:r w:rsidR="00AC4CE1" w:rsidRPr="002E0C57">
        <w:rPr>
          <w:rFonts w:cstheme="minorHAnsi"/>
        </w:rPr>
        <w:t>In the RFP, programs were asked to develop at least one IELCE IET</w:t>
      </w:r>
      <w:r w:rsidR="00DE172F" w:rsidRPr="002E0C57">
        <w:rPr>
          <w:rFonts w:cstheme="minorHAnsi"/>
        </w:rPr>
        <w:t>.</w:t>
      </w:r>
      <w:r w:rsidR="00AC4CE1" w:rsidRPr="002E0C57">
        <w:rPr>
          <w:rFonts w:cstheme="minorHAnsi"/>
        </w:rPr>
        <w:t xml:space="preserve"> </w:t>
      </w:r>
    </w:p>
    <w:p w14:paraId="3532B0E9" w14:textId="2D9F1371" w:rsidR="001435CE" w:rsidRDefault="00066885" w:rsidP="00156F43">
      <w:pPr>
        <w:rPr>
          <w:rFonts w:cstheme="minorHAnsi"/>
        </w:rPr>
      </w:pPr>
      <w:r>
        <w:rPr>
          <w:rFonts w:cstheme="minorHAnsi"/>
        </w:rPr>
        <w:t xml:space="preserve">The two providers </w:t>
      </w:r>
      <w:r w:rsidR="00077108">
        <w:rPr>
          <w:rFonts w:cstheme="minorHAnsi"/>
        </w:rPr>
        <w:t>served</w:t>
      </w:r>
      <w:r>
        <w:rPr>
          <w:rFonts w:cstheme="minorHAnsi"/>
        </w:rPr>
        <w:t xml:space="preserve"> a total of </w:t>
      </w:r>
      <w:r w:rsidR="00050D32">
        <w:rPr>
          <w:rFonts w:cstheme="minorHAnsi"/>
        </w:rPr>
        <w:t>82 learners in IELCE-IET programs.</w:t>
      </w:r>
      <w:r w:rsidR="00167D3D">
        <w:rPr>
          <w:rFonts w:cstheme="minorHAnsi"/>
        </w:rPr>
        <w:t xml:space="preserve"> Of those, </w:t>
      </w:r>
      <w:r w:rsidR="00424296">
        <w:rPr>
          <w:rFonts w:cstheme="minorHAnsi"/>
        </w:rPr>
        <w:t>56 completed their programs</w:t>
      </w:r>
      <w:r w:rsidR="00E42E7D">
        <w:rPr>
          <w:rFonts w:cstheme="minorHAnsi"/>
        </w:rPr>
        <w:t>,</w:t>
      </w:r>
      <w:r w:rsidR="00424296">
        <w:rPr>
          <w:rFonts w:cstheme="minorHAnsi"/>
        </w:rPr>
        <w:t xml:space="preserve"> </w:t>
      </w:r>
      <w:r w:rsidR="003371C1">
        <w:rPr>
          <w:rFonts w:cstheme="minorHAnsi"/>
        </w:rPr>
        <w:t>40 earned industry recognized crede</w:t>
      </w:r>
      <w:r w:rsidR="00E42E7D">
        <w:rPr>
          <w:rFonts w:cstheme="minorHAnsi"/>
        </w:rPr>
        <w:t>n</w:t>
      </w:r>
      <w:r w:rsidR="003371C1">
        <w:rPr>
          <w:rFonts w:cstheme="minorHAnsi"/>
        </w:rPr>
        <w:t>tials</w:t>
      </w:r>
      <w:r w:rsidR="008416FE">
        <w:rPr>
          <w:rFonts w:cstheme="minorHAnsi"/>
        </w:rPr>
        <w:t xml:space="preserve"> and 25 were employed at the time </w:t>
      </w:r>
      <w:r w:rsidR="006F0F0F">
        <w:rPr>
          <w:rFonts w:cstheme="minorHAnsi"/>
        </w:rPr>
        <w:t>year-end</w:t>
      </w:r>
      <w:r w:rsidR="008416FE">
        <w:rPr>
          <w:rFonts w:cstheme="minorHAnsi"/>
        </w:rPr>
        <w:t xml:space="preserve"> reports were submitted.</w:t>
      </w:r>
      <w:r w:rsidR="00033AB2">
        <w:rPr>
          <w:rFonts w:cstheme="minorHAnsi"/>
        </w:rPr>
        <w:t xml:space="preserve"> IET</w:t>
      </w:r>
      <w:r w:rsidR="000D1038">
        <w:rPr>
          <w:rFonts w:cstheme="minorHAnsi"/>
        </w:rPr>
        <w:t xml:space="preserve"> areas</w:t>
      </w:r>
      <w:r w:rsidR="00033AB2">
        <w:rPr>
          <w:rFonts w:cstheme="minorHAnsi"/>
        </w:rPr>
        <w:t xml:space="preserve"> were</w:t>
      </w:r>
      <w:r w:rsidR="007F2B81">
        <w:rPr>
          <w:rFonts w:cstheme="minorHAnsi"/>
        </w:rPr>
        <w:t xml:space="preserve"> CAN, </w:t>
      </w:r>
      <w:r w:rsidR="00790830">
        <w:rPr>
          <w:rFonts w:cstheme="minorHAnsi"/>
        </w:rPr>
        <w:t>Teller Training</w:t>
      </w:r>
      <w:r w:rsidR="00827410">
        <w:rPr>
          <w:rFonts w:cstheme="minorHAnsi"/>
        </w:rPr>
        <w:t>,</w:t>
      </w:r>
      <w:r w:rsidR="008851D9">
        <w:rPr>
          <w:rFonts w:cstheme="minorHAnsi"/>
        </w:rPr>
        <w:t xml:space="preserve"> </w:t>
      </w:r>
      <w:r w:rsidR="007D27F2">
        <w:rPr>
          <w:rFonts w:cstheme="minorHAnsi"/>
        </w:rPr>
        <w:t xml:space="preserve">ELL Customer Service and Employability Skills, </w:t>
      </w:r>
      <w:r w:rsidR="008851D9">
        <w:rPr>
          <w:rFonts w:cstheme="minorHAnsi"/>
        </w:rPr>
        <w:t xml:space="preserve">and Customer Support Specialist earning a </w:t>
      </w:r>
      <w:proofErr w:type="spellStart"/>
      <w:r w:rsidR="008851D9">
        <w:rPr>
          <w:rFonts w:cstheme="minorHAnsi"/>
        </w:rPr>
        <w:t>CompTia</w:t>
      </w:r>
      <w:proofErr w:type="spellEnd"/>
      <w:r w:rsidR="008851D9">
        <w:rPr>
          <w:rFonts w:cstheme="minorHAnsi"/>
        </w:rPr>
        <w:t xml:space="preserve"> A+</w:t>
      </w:r>
      <w:r w:rsidR="004117F4">
        <w:rPr>
          <w:rFonts w:cstheme="minorHAnsi"/>
        </w:rPr>
        <w:t>+.</w:t>
      </w:r>
      <w:r w:rsidR="007F2B81">
        <w:rPr>
          <w:rFonts w:cstheme="minorHAnsi"/>
        </w:rPr>
        <w:t xml:space="preserve"> All programs were online except for the lab and sills component of CNA which were held onsite at facilities. </w:t>
      </w:r>
      <w:r w:rsidR="007D27F2">
        <w:rPr>
          <w:rFonts w:cstheme="minorHAnsi"/>
        </w:rPr>
        <w:t xml:space="preserve">These industries were chosen </w:t>
      </w:r>
      <w:r w:rsidR="001435CE">
        <w:rPr>
          <w:rFonts w:cstheme="minorHAnsi"/>
        </w:rPr>
        <w:t xml:space="preserve">due to local demand for employees and willing employer partners. </w:t>
      </w:r>
    </w:p>
    <w:p w14:paraId="2C6F896B" w14:textId="7985E793" w:rsidR="00156F43" w:rsidRDefault="00D45200" w:rsidP="00156F43">
      <w:pPr>
        <w:rPr>
          <w:rFonts w:cstheme="minorHAnsi"/>
        </w:rPr>
      </w:pPr>
      <w:r>
        <w:rPr>
          <w:rFonts w:cstheme="minorHAnsi"/>
        </w:rPr>
        <w:t>C</w:t>
      </w:r>
      <w:r w:rsidR="009071BA">
        <w:rPr>
          <w:rFonts w:cstheme="minorHAnsi"/>
        </w:rPr>
        <w:t>NA</w:t>
      </w:r>
      <w:r>
        <w:rPr>
          <w:rFonts w:cstheme="minorHAnsi"/>
        </w:rPr>
        <w:t xml:space="preserve"> students</w:t>
      </w:r>
      <w:r w:rsidR="009071BA">
        <w:rPr>
          <w:rFonts w:cstheme="minorHAnsi"/>
        </w:rPr>
        <w:t xml:space="preserve"> </w:t>
      </w:r>
      <w:r w:rsidR="001435CE">
        <w:rPr>
          <w:rFonts w:cstheme="minorHAnsi"/>
        </w:rPr>
        <w:t>faced the challenge of waiting until</w:t>
      </w:r>
      <w:r w:rsidR="009071BA">
        <w:rPr>
          <w:rFonts w:cstheme="minorHAnsi"/>
        </w:rPr>
        <w:t xml:space="preserve"> </w:t>
      </w:r>
      <w:proofErr w:type="spellStart"/>
      <w:r w:rsidR="009071BA">
        <w:rPr>
          <w:rFonts w:cstheme="minorHAnsi"/>
        </w:rPr>
        <w:t>until</w:t>
      </w:r>
      <w:proofErr w:type="spellEnd"/>
      <w:r w:rsidR="009071BA">
        <w:rPr>
          <w:rFonts w:cstheme="minorHAnsi"/>
        </w:rPr>
        <w:t xml:space="preserve"> clinical sites reopened to </w:t>
      </w:r>
      <w:r w:rsidR="001435CE">
        <w:rPr>
          <w:rFonts w:cstheme="minorHAnsi"/>
        </w:rPr>
        <w:t xml:space="preserve">complete. Due to an emergency order by the Governor, </w:t>
      </w:r>
      <w:r w:rsidR="00A41919">
        <w:rPr>
          <w:rFonts w:cstheme="minorHAnsi"/>
        </w:rPr>
        <w:t xml:space="preserve">CNA students were allowed to take the state test and if it was passed, be hired by facilities in non-CNA roles. </w:t>
      </w:r>
      <w:r w:rsidR="009071BA">
        <w:rPr>
          <w:rFonts w:cstheme="minorHAnsi"/>
        </w:rPr>
        <w:t xml:space="preserve"> </w:t>
      </w:r>
      <w:r w:rsidR="00A22564">
        <w:rPr>
          <w:rFonts w:cstheme="minorHAnsi"/>
        </w:rPr>
        <w:t>While the Teller Training saw increased enrollments due to</w:t>
      </w:r>
      <w:r w:rsidR="004D7D89">
        <w:rPr>
          <w:rFonts w:cstheme="minorHAnsi"/>
        </w:rPr>
        <w:t xml:space="preserve"> online and benefitted from additional guest speakers, a major drawback was the lack of networking opportunities.</w:t>
      </w:r>
      <w:r w:rsidR="009071BA">
        <w:rPr>
          <w:rFonts w:cstheme="minorHAnsi"/>
        </w:rPr>
        <w:t xml:space="preserve"> </w:t>
      </w:r>
      <w:r w:rsidR="007D75D1">
        <w:rPr>
          <w:rFonts w:cstheme="minorHAnsi"/>
        </w:rPr>
        <w:t xml:space="preserve">Some teachers struggled transitioning their </w:t>
      </w:r>
      <w:r w:rsidR="0054694F">
        <w:rPr>
          <w:rFonts w:cstheme="minorHAnsi"/>
        </w:rPr>
        <w:t>materials to an effective online format, some students were without reliable devices</w:t>
      </w:r>
      <w:r w:rsidR="008E6EB9">
        <w:rPr>
          <w:rFonts w:cstheme="minorHAnsi"/>
        </w:rPr>
        <w:t xml:space="preserve"> and connectivity and one of the IET sub-grantees faced a 7-month delay in Chromebook shipments. </w:t>
      </w:r>
      <w:r w:rsidR="009071BA">
        <w:rPr>
          <w:rFonts w:cstheme="minorHAnsi"/>
        </w:rPr>
        <w:t xml:space="preserve">In </w:t>
      </w:r>
      <w:r w:rsidR="00EF2BF4">
        <w:rPr>
          <w:rFonts w:cstheme="minorHAnsi"/>
        </w:rPr>
        <w:t xml:space="preserve">response to COVID-19, </w:t>
      </w:r>
      <w:r w:rsidR="000A61D6">
        <w:rPr>
          <w:rFonts w:cstheme="minorHAnsi"/>
        </w:rPr>
        <w:t>additional personal contacts and support</w:t>
      </w:r>
      <w:r w:rsidR="009071BA">
        <w:rPr>
          <w:rFonts w:cstheme="minorHAnsi"/>
        </w:rPr>
        <w:t>s</w:t>
      </w:r>
      <w:r w:rsidR="000A61D6">
        <w:rPr>
          <w:rFonts w:cstheme="minorHAnsi"/>
        </w:rPr>
        <w:t xml:space="preserve"> were offered to students </w:t>
      </w:r>
      <w:r w:rsidR="00E56110">
        <w:rPr>
          <w:rFonts w:cstheme="minorHAnsi"/>
        </w:rPr>
        <w:t xml:space="preserve">to </w:t>
      </w:r>
      <w:r w:rsidR="00483CB6" w:rsidRPr="00483CB6">
        <w:rPr>
          <w:rFonts w:cstheme="minorHAnsi"/>
        </w:rPr>
        <w:t xml:space="preserve">maintain the health and safety of </w:t>
      </w:r>
      <w:r w:rsidR="00037715">
        <w:rPr>
          <w:rFonts w:cstheme="minorHAnsi"/>
        </w:rPr>
        <w:t>the</w:t>
      </w:r>
      <w:r w:rsidR="00483CB6" w:rsidRPr="00483CB6">
        <w:rPr>
          <w:rFonts w:cstheme="minorHAnsi"/>
        </w:rPr>
        <w:t xml:space="preserve"> collective community, maintain morale and motivation, manag</w:t>
      </w:r>
      <w:r w:rsidR="00E56110">
        <w:rPr>
          <w:rFonts w:cstheme="minorHAnsi"/>
        </w:rPr>
        <w:t>e</w:t>
      </w:r>
      <w:r w:rsidR="00483CB6" w:rsidRPr="00483CB6">
        <w:rPr>
          <w:rFonts w:cstheme="minorHAnsi"/>
        </w:rPr>
        <w:t xml:space="preserve"> the shifting needs of individuals and families (who had to be responsive to employment changes, </w:t>
      </w:r>
      <w:proofErr w:type="gramStart"/>
      <w:r w:rsidR="00483CB6" w:rsidRPr="00483CB6">
        <w:rPr>
          <w:rFonts w:cstheme="minorHAnsi"/>
        </w:rPr>
        <w:t>childcare</w:t>
      </w:r>
      <w:proofErr w:type="gramEnd"/>
      <w:r w:rsidR="00483CB6" w:rsidRPr="00483CB6">
        <w:rPr>
          <w:rFonts w:cstheme="minorHAnsi"/>
        </w:rPr>
        <w:t xml:space="preserve"> and school closings), keep</w:t>
      </w:r>
      <w:r w:rsidR="00E56110">
        <w:rPr>
          <w:rFonts w:cstheme="minorHAnsi"/>
        </w:rPr>
        <w:t xml:space="preserve"> </w:t>
      </w:r>
      <w:r w:rsidR="00483CB6" w:rsidRPr="00483CB6">
        <w:rPr>
          <w:rFonts w:cstheme="minorHAnsi"/>
        </w:rPr>
        <w:t>pervasive fear in check, and practic</w:t>
      </w:r>
      <w:r w:rsidR="00E56110">
        <w:rPr>
          <w:rFonts w:cstheme="minorHAnsi"/>
        </w:rPr>
        <w:t>e</w:t>
      </w:r>
      <w:r w:rsidR="00483CB6" w:rsidRPr="00483CB6">
        <w:rPr>
          <w:rFonts w:cstheme="minorHAnsi"/>
        </w:rPr>
        <w:t xml:space="preserve"> daily persistence. </w:t>
      </w:r>
    </w:p>
    <w:p w14:paraId="12BC3A99" w14:textId="6CACB70D" w:rsidR="00483CB6" w:rsidRDefault="00974EE3" w:rsidP="00810EE1">
      <w:pPr>
        <w:rPr>
          <w:rFonts w:cstheme="minorHAnsi"/>
        </w:rPr>
      </w:pPr>
      <w:r>
        <w:rPr>
          <w:rFonts w:cstheme="minorHAnsi"/>
        </w:rPr>
        <w:t xml:space="preserve">Despite facing the challenges </w:t>
      </w:r>
      <w:r w:rsidR="00BE092A">
        <w:rPr>
          <w:rFonts w:cstheme="minorHAnsi"/>
        </w:rPr>
        <w:t xml:space="preserve">and providing additional supports </w:t>
      </w:r>
      <w:r>
        <w:rPr>
          <w:rFonts w:cstheme="minorHAnsi"/>
        </w:rPr>
        <w:t xml:space="preserve">noted above, </w:t>
      </w:r>
      <w:r w:rsidR="000E112F">
        <w:rPr>
          <w:rFonts w:cstheme="minorHAnsi"/>
        </w:rPr>
        <w:t>students remain</w:t>
      </w:r>
      <w:r w:rsidR="00BE092A">
        <w:rPr>
          <w:rFonts w:cstheme="minorHAnsi"/>
        </w:rPr>
        <w:t>ed</w:t>
      </w:r>
      <w:r w:rsidR="000E112F">
        <w:rPr>
          <w:rFonts w:cstheme="minorHAnsi"/>
        </w:rPr>
        <w:t xml:space="preserve"> en</w:t>
      </w:r>
      <w:r w:rsidR="00483CB6" w:rsidRPr="00483CB6">
        <w:rPr>
          <w:rFonts w:cstheme="minorHAnsi"/>
        </w:rPr>
        <w:t>gaged an</w:t>
      </w:r>
      <w:r w:rsidR="000E112F">
        <w:rPr>
          <w:rFonts w:cstheme="minorHAnsi"/>
        </w:rPr>
        <w:t>d earning credentials.</w:t>
      </w:r>
    </w:p>
    <w:p w14:paraId="132197A2" w14:textId="309C54C1" w:rsidR="0068203E" w:rsidRDefault="00813023" w:rsidP="006509D6">
      <w:pPr>
        <w:pStyle w:val="ListParagraph"/>
        <w:numPr>
          <w:ilvl w:val="0"/>
          <w:numId w:val="8"/>
        </w:numPr>
        <w:rPr>
          <w:rFonts w:cstheme="minorHAnsi"/>
          <w:b/>
          <w:bCs/>
          <w:i/>
          <w:iCs/>
        </w:rPr>
      </w:pPr>
      <w:r>
        <w:rPr>
          <w:rFonts w:cstheme="minorHAnsi"/>
          <w:i/>
          <w:iCs/>
        </w:rPr>
        <w:t xml:space="preserve">    </w:t>
      </w:r>
      <w:r w:rsidR="004E702A" w:rsidRPr="00813023">
        <w:rPr>
          <w:rFonts w:cstheme="minorHAnsi"/>
          <w:b/>
          <w:bCs/>
          <w:i/>
          <w:iCs/>
        </w:rPr>
        <w:t xml:space="preserve">Adult Education Standards </w:t>
      </w:r>
    </w:p>
    <w:p w14:paraId="786C447B" w14:textId="77777777" w:rsidR="0083186E" w:rsidRPr="006509D6" w:rsidRDefault="0083186E" w:rsidP="0083186E">
      <w:pPr>
        <w:pStyle w:val="ListParagraph"/>
        <w:ind w:left="1080"/>
        <w:rPr>
          <w:rFonts w:cstheme="minorHAnsi"/>
          <w:b/>
          <w:bCs/>
          <w:i/>
          <w:iCs/>
        </w:rPr>
      </w:pPr>
    </w:p>
    <w:p w14:paraId="5D3A94C5" w14:textId="294142FC" w:rsidR="004E702A" w:rsidRDefault="0068203E" w:rsidP="00773960">
      <w:pPr>
        <w:rPr>
          <w:rFonts w:cstheme="minorHAnsi"/>
          <w:szCs w:val="20"/>
        </w:rPr>
      </w:pPr>
      <w:r w:rsidRPr="0068203E">
        <w:rPr>
          <w:rFonts w:cstheme="minorHAnsi"/>
          <w:szCs w:val="20"/>
        </w:rPr>
        <w:t xml:space="preserve">Maine continues to provide professional development </w:t>
      </w:r>
      <w:r w:rsidR="00B94094">
        <w:rPr>
          <w:rFonts w:cstheme="minorHAnsi"/>
          <w:szCs w:val="20"/>
        </w:rPr>
        <w:t xml:space="preserve">in implementation </w:t>
      </w:r>
      <w:r w:rsidR="00BF6CB7">
        <w:rPr>
          <w:rFonts w:cstheme="minorHAnsi"/>
          <w:szCs w:val="20"/>
        </w:rPr>
        <w:t xml:space="preserve">of state adopted </w:t>
      </w:r>
      <w:r w:rsidRPr="0068203E">
        <w:rPr>
          <w:rFonts w:cstheme="minorHAnsi"/>
          <w:szCs w:val="20"/>
        </w:rPr>
        <w:t xml:space="preserve">College and Career Readiness Standards for Adult Education. In </w:t>
      </w:r>
      <w:r w:rsidR="00FB3332">
        <w:rPr>
          <w:rFonts w:cstheme="minorHAnsi"/>
          <w:szCs w:val="20"/>
        </w:rPr>
        <w:t>PY20</w:t>
      </w:r>
      <w:r w:rsidRPr="0068203E">
        <w:rPr>
          <w:rFonts w:cstheme="minorHAnsi"/>
          <w:szCs w:val="20"/>
        </w:rPr>
        <w:t>, the State Office also offered trainings in the English Language Proficiency Standards (ELPS</w:t>
      </w:r>
      <w:r w:rsidR="00957BBE">
        <w:rPr>
          <w:rFonts w:cstheme="minorHAnsi"/>
          <w:szCs w:val="20"/>
        </w:rPr>
        <w:t xml:space="preserve">). </w:t>
      </w:r>
      <w:r w:rsidRPr="0068203E">
        <w:rPr>
          <w:rFonts w:cstheme="minorHAnsi"/>
          <w:szCs w:val="20"/>
        </w:rPr>
        <w:t xml:space="preserve">We continue to explore how to evaluate the local providers’ implementation of standards and meet the needs of experienced practitioners.    </w:t>
      </w:r>
    </w:p>
    <w:p w14:paraId="47B37C1D" w14:textId="77777777" w:rsidR="00A464FF" w:rsidRPr="0095299A" w:rsidRDefault="00A464FF" w:rsidP="00773960">
      <w:pPr>
        <w:rPr>
          <w:rFonts w:cstheme="minorHAnsi"/>
          <w:szCs w:val="20"/>
        </w:rPr>
      </w:pPr>
    </w:p>
    <w:p w14:paraId="2089B88C" w14:textId="176A7932" w:rsidR="00FC6D3D" w:rsidRPr="002E0C57" w:rsidRDefault="00FC6D3D" w:rsidP="000B7560">
      <w:pPr>
        <w:ind w:firstLine="720"/>
        <w:rPr>
          <w:rFonts w:cstheme="minorHAnsi"/>
          <w:b/>
          <w:bCs/>
          <w:i/>
          <w:iCs/>
        </w:rPr>
      </w:pPr>
      <w:r w:rsidRPr="000B7560">
        <w:rPr>
          <w:rFonts w:cstheme="minorHAnsi"/>
          <w:b/>
          <w:bCs/>
          <w:i/>
          <w:iCs/>
        </w:rPr>
        <w:lastRenderedPageBreak/>
        <w:t>6. Programs for Correction and the Education of Other Institutionalized Individuals</w:t>
      </w:r>
    </w:p>
    <w:p w14:paraId="79C7A07F" w14:textId="7E849AF3" w:rsidR="00791915" w:rsidRDefault="00791915" w:rsidP="00791915">
      <w:r>
        <w:t>Learners</w:t>
      </w:r>
      <w:r w:rsidR="006428F1">
        <w:t xml:space="preserve"> </w:t>
      </w:r>
      <w:r>
        <w:t xml:space="preserve">are </w:t>
      </w:r>
      <w:r w:rsidR="004F424B">
        <w:t>tagged</w:t>
      </w:r>
      <w:r>
        <w:t xml:space="preserve"> in the MDOC data system (CORIS) for</w:t>
      </w:r>
      <w:r w:rsidR="006428F1">
        <w:t xml:space="preserve"> adult education</w:t>
      </w:r>
      <w:r>
        <w:t xml:space="preserve"> participation, program completion, and credential attainment. </w:t>
      </w:r>
      <w:r w:rsidR="002E0858">
        <w:t xml:space="preserve">When a former participant returns to custody, CORIS captures that information. </w:t>
      </w:r>
      <w:r>
        <w:t xml:space="preserve"> </w:t>
      </w:r>
    </w:p>
    <w:tbl>
      <w:tblPr>
        <w:tblW w:w="6940" w:type="dxa"/>
        <w:tblCellMar>
          <w:left w:w="0" w:type="dxa"/>
          <w:right w:w="0" w:type="dxa"/>
        </w:tblCellMar>
        <w:tblLook w:val="04A0" w:firstRow="1" w:lastRow="0" w:firstColumn="1" w:lastColumn="0" w:noHBand="0" w:noVBand="1"/>
      </w:tblPr>
      <w:tblGrid>
        <w:gridCol w:w="1000"/>
        <w:gridCol w:w="1980"/>
        <w:gridCol w:w="1980"/>
        <w:gridCol w:w="1980"/>
      </w:tblGrid>
      <w:tr w:rsidR="00791915" w14:paraId="7360A255" w14:textId="77777777" w:rsidTr="00791915">
        <w:trPr>
          <w:trHeight w:val="615"/>
        </w:trPr>
        <w:tc>
          <w:tcPr>
            <w:tcW w:w="1000" w:type="dxa"/>
            <w:tcBorders>
              <w:top w:val="nil"/>
              <w:left w:val="nil"/>
              <w:bottom w:val="single" w:sz="8" w:space="0" w:color="auto"/>
              <w:right w:val="nil"/>
            </w:tcBorders>
            <w:tcMar>
              <w:top w:w="0" w:type="dxa"/>
              <w:left w:w="108" w:type="dxa"/>
              <w:bottom w:w="0" w:type="dxa"/>
              <w:right w:w="108" w:type="dxa"/>
            </w:tcMar>
            <w:vAlign w:val="bottom"/>
            <w:hideMark/>
          </w:tcPr>
          <w:p w14:paraId="7A65124F" w14:textId="77777777" w:rsidR="00791915" w:rsidRDefault="00791915">
            <w:pPr>
              <w:jc w:val="center"/>
              <w:rPr>
                <w:color w:val="000000"/>
              </w:rPr>
            </w:pPr>
            <w:r>
              <w:rPr>
                <w:color w:val="000000"/>
              </w:rPr>
              <w:t>Release Year</w:t>
            </w:r>
          </w:p>
        </w:tc>
        <w:tc>
          <w:tcPr>
            <w:tcW w:w="1980" w:type="dxa"/>
            <w:tcBorders>
              <w:top w:val="nil"/>
              <w:left w:val="nil"/>
              <w:bottom w:val="single" w:sz="8" w:space="0" w:color="auto"/>
              <w:right w:val="nil"/>
            </w:tcBorders>
            <w:tcMar>
              <w:top w:w="0" w:type="dxa"/>
              <w:left w:w="108" w:type="dxa"/>
              <w:bottom w:w="0" w:type="dxa"/>
              <w:right w:w="108" w:type="dxa"/>
            </w:tcMar>
            <w:vAlign w:val="bottom"/>
            <w:hideMark/>
          </w:tcPr>
          <w:p w14:paraId="127C4961" w14:textId="77777777" w:rsidR="00791915" w:rsidRDefault="00791915">
            <w:pPr>
              <w:jc w:val="center"/>
              <w:rPr>
                <w:color w:val="000000"/>
              </w:rPr>
            </w:pPr>
            <w:r>
              <w:rPr>
                <w:color w:val="000000"/>
              </w:rPr>
              <w:t>Return to Custody</w:t>
            </w:r>
            <w:r>
              <w:rPr>
                <w:color w:val="000000"/>
              </w:rPr>
              <w:br/>
              <w:t>Year 1</w:t>
            </w:r>
          </w:p>
        </w:tc>
        <w:tc>
          <w:tcPr>
            <w:tcW w:w="1980" w:type="dxa"/>
            <w:tcBorders>
              <w:top w:val="nil"/>
              <w:left w:val="nil"/>
              <w:bottom w:val="single" w:sz="8" w:space="0" w:color="auto"/>
              <w:right w:val="nil"/>
            </w:tcBorders>
            <w:tcMar>
              <w:top w:w="0" w:type="dxa"/>
              <w:left w:w="108" w:type="dxa"/>
              <w:bottom w:w="0" w:type="dxa"/>
              <w:right w:w="108" w:type="dxa"/>
            </w:tcMar>
            <w:vAlign w:val="bottom"/>
            <w:hideMark/>
          </w:tcPr>
          <w:p w14:paraId="4517B846" w14:textId="77777777" w:rsidR="00791915" w:rsidRDefault="00791915">
            <w:pPr>
              <w:jc w:val="center"/>
              <w:rPr>
                <w:color w:val="000000"/>
              </w:rPr>
            </w:pPr>
            <w:r>
              <w:rPr>
                <w:color w:val="000000"/>
              </w:rPr>
              <w:t>Return to Custody</w:t>
            </w:r>
            <w:r>
              <w:rPr>
                <w:color w:val="000000"/>
              </w:rPr>
              <w:br/>
              <w:t>Year 2</w:t>
            </w:r>
          </w:p>
        </w:tc>
        <w:tc>
          <w:tcPr>
            <w:tcW w:w="1980" w:type="dxa"/>
            <w:tcBorders>
              <w:top w:val="nil"/>
              <w:left w:val="nil"/>
              <w:bottom w:val="single" w:sz="8" w:space="0" w:color="auto"/>
              <w:right w:val="nil"/>
            </w:tcBorders>
            <w:tcMar>
              <w:top w:w="0" w:type="dxa"/>
              <w:left w:w="108" w:type="dxa"/>
              <w:bottom w:w="0" w:type="dxa"/>
              <w:right w:w="108" w:type="dxa"/>
            </w:tcMar>
            <w:vAlign w:val="bottom"/>
            <w:hideMark/>
          </w:tcPr>
          <w:p w14:paraId="3A052B73" w14:textId="77777777" w:rsidR="00791915" w:rsidRDefault="00791915">
            <w:pPr>
              <w:jc w:val="center"/>
              <w:rPr>
                <w:color w:val="000000"/>
              </w:rPr>
            </w:pPr>
            <w:r>
              <w:rPr>
                <w:color w:val="000000"/>
              </w:rPr>
              <w:t>Return to Custody</w:t>
            </w:r>
            <w:r>
              <w:rPr>
                <w:color w:val="000000"/>
              </w:rPr>
              <w:br/>
              <w:t>Year 3</w:t>
            </w:r>
          </w:p>
        </w:tc>
      </w:tr>
      <w:tr w:rsidR="00791915" w14:paraId="190C0E84" w14:textId="77777777" w:rsidTr="00791915">
        <w:trPr>
          <w:trHeight w:val="300"/>
        </w:trPr>
        <w:tc>
          <w:tcPr>
            <w:tcW w:w="1000" w:type="dxa"/>
            <w:noWrap/>
            <w:tcMar>
              <w:top w:w="0" w:type="dxa"/>
              <w:left w:w="108" w:type="dxa"/>
              <w:bottom w:w="0" w:type="dxa"/>
              <w:right w:w="108" w:type="dxa"/>
            </w:tcMar>
            <w:vAlign w:val="bottom"/>
            <w:hideMark/>
          </w:tcPr>
          <w:p w14:paraId="5D4082A0" w14:textId="77777777" w:rsidR="00791915" w:rsidRDefault="00791915">
            <w:pPr>
              <w:jc w:val="center"/>
              <w:rPr>
                <w:color w:val="000000"/>
              </w:rPr>
            </w:pPr>
            <w:r>
              <w:rPr>
                <w:color w:val="000000"/>
              </w:rPr>
              <w:t>2016</w:t>
            </w:r>
          </w:p>
        </w:tc>
        <w:tc>
          <w:tcPr>
            <w:tcW w:w="1980" w:type="dxa"/>
            <w:noWrap/>
            <w:tcMar>
              <w:top w:w="0" w:type="dxa"/>
              <w:left w:w="108" w:type="dxa"/>
              <w:bottom w:w="0" w:type="dxa"/>
              <w:right w:w="108" w:type="dxa"/>
            </w:tcMar>
            <w:vAlign w:val="bottom"/>
            <w:hideMark/>
          </w:tcPr>
          <w:p w14:paraId="0EE015C3" w14:textId="77777777" w:rsidR="00791915" w:rsidRDefault="00791915">
            <w:pPr>
              <w:jc w:val="center"/>
              <w:rPr>
                <w:color w:val="000000"/>
              </w:rPr>
            </w:pPr>
            <w:r>
              <w:rPr>
                <w:color w:val="000000"/>
              </w:rPr>
              <w:t>7.8%</w:t>
            </w:r>
          </w:p>
        </w:tc>
        <w:tc>
          <w:tcPr>
            <w:tcW w:w="1980" w:type="dxa"/>
            <w:noWrap/>
            <w:tcMar>
              <w:top w:w="0" w:type="dxa"/>
              <w:left w:w="108" w:type="dxa"/>
              <w:bottom w:w="0" w:type="dxa"/>
              <w:right w:w="108" w:type="dxa"/>
            </w:tcMar>
            <w:vAlign w:val="bottom"/>
            <w:hideMark/>
          </w:tcPr>
          <w:p w14:paraId="45AF80F4" w14:textId="77777777" w:rsidR="00791915" w:rsidRDefault="00791915">
            <w:pPr>
              <w:jc w:val="center"/>
              <w:rPr>
                <w:color w:val="000000"/>
              </w:rPr>
            </w:pPr>
            <w:r>
              <w:rPr>
                <w:color w:val="000000"/>
              </w:rPr>
              <w:t>23.4%</w:t>
            </w:r>
          </w:p>
        </w:tc>
        <w:tc>
          <w:tcPr>
            <w:tcW w:w="1980" w:type="dxa"/>
            <w:noWrap/>
            <w:tcMar>
              <w:top w:w="0" w:type="dxa"/>
              <w:left w:w="108" w:type="dxa"/>
              <w:bottom w:w="0" w:type="dxa"/>
              <w:right w:w="108" w:type="dxa"/>
            </w:tcMar>
            <w:vAlign w:val="bottom"/>
            <w:hideMark/>
          </w:tcPr>
          <w:p w14:paraId="78F2E36F" w14:textId="77777777" w:rsidR="00791915" w:rsidRDefault="00791915">
            <w:pPr>
              <w:jc w:val="center"/>
              <w:rPr>
                <w:color w:val="000000"/>
              </w:rPr>
            </w:pPr>
            <w:r>
              <w:rPr>
                <w:color w:val="000000"/>
              </w:rPr>
              <w:t>31.3%</w:t>
            </w:r>
          </w:p>
        </w:tc>
      </w:tr>
      <w:tr w:rsidR="00791915" w14:paraId="5AE52385" w14:textId="77777777" w:rsidTr="00791915">
        <w:trPr>
          <w:trHeight w:val="300"/>
        </w:trPr>
        <w:tc>
          <w:tcPr>
            <w:tcW w:w="1000" w:type="dxa"/>
            <w:noWrap/>
            <w:tcMar>
              <w:top w:w="0" w:type="dxa"/>
              <w:left w:w="108" w:type="dxa"/>
              <w:bottom w:w="0" w:type="dxa"/>
              <w:right w:w="108" w:type="dxa"/>
            </w:tcMar>
            <w:vAlign w:val="bottom"/>
            <w:hideMark/>
          </w:tcPr>
          <w:p w14:paraId="7E9594B9" w14:textId="77777777" w:rsidR="00791915" w:rsidRDefault="00791915">
            <w:pPr>
              <w:jc w:val="center"/>
              <w:rPr>
                <w:color w:val="000000"/>
              </w:rPr>
            </w:pPr>
            <w:r>
              <w:rPr>
                <w:color w:val="000000"/>
              </w:rPr>
              <w:t>2017</w:t>
            </w:r>
          </w:p>
        </w:tc>
        <w:tc>
          <w:tcPr>
            <w:tcW w:w="1980" w:type="dxa"/>
            <w:noWrap/>
            <w:tcMar>
              <w:top w:w="0" w:type="dxa"/>
              <w:left w:w="108" w:type="dxa"/>
              <w:bottom w:w="0" w:type="dxa"/>
              <w:right w:w="108" w:type="dxa"/>
            </w:tcMar>
            <w:vAlign w:val="bottom"/>
            <w:hideMark/>
          </w:tcPr>
          <w:p w14:paraId="4B7774F1" w14:textId="77777777" w:rsidR="00791915" w:rsidRDefault="00791915">
            <w:pPr>
              <w:jc w:val="center"/>
              <w:rPr>
                <w:color w:val="000000"/>
              </w:rPr>
            </w:pPr>
            <w:r>
              <w:rPr>
                <w:color w:val="000000"/>
              </w:rPr>
              <w:t>8.9%</w:t>
            </w:r>
          </w:p>
        </w:tc>
        <w:tc>
          <w:tcPr>
            <w:tcW w:w="1980" w:type="dxa"/>
            <w:noWrap/>
            <w:tcMar>
              <w:top w:w="0" w:type="dxa"/>
              <w:left w:w="108" w:type="dxa"/>
              <w:bottom w:w="0" w:type="dxa"/>
              <w:right w:w="108" w:type="dxa"/>
            </w:tcMar>
            <w:vAlign w:val="bottom"/>
            <w:hideMark/>
          </w:tcPr>
          <w:p w14:paraId="40CE2595" w14:textId="77777777" w:rsidR="00791915" w:rsidRDefault="00791915">
            <w:pPr>
              <w:jc w:val="center"/>
              <w:rPr>
                <w:color w:val="000000"/>
              </w:rPr>
            </w:pPr>
            <w:r>
              <w:rPr>
                <w:color w:val="000000"/>
              </w:rPr>
              <w:t>22.8%</w:t>
            </w:r>
          </w:p>
        </w:tc>
        <w:tc>
          <w:tcPr>
            <w:tcW w:w="1980" w:type="dxa"/>
            <w:noWrap/>
            <w:tcMar>
              <w:top w:w="0" w:type="dxa"/>
              <w:left w:w="108" w:type="dxa"/>
              <w:bottom w:w="0" w:type="dxa"/>
              <w:right w:w="108" w:type="dxa"/>
            </w:tcMar>
            <w:vAlign w:val="bottom"/>
            <w:hideMark/>
          </w:tcPr>
          <w:p w14:paraId="3F848B69" w14:textId="77777777" w:rsidR="00791915" w:rsidRDefault="00791915">
            <w:pPr>
              <w:jc w:val="center"/>
              <w:rPr>
                <w:color w:val="000000"/>
              </w:rPr>
            </w:pPr>
            <w:r>
              <w:rPr>
                <w:color w:val="000000"/>
              </w:rPr>
              <w:t>31.7%</w:t>
            </w:r>
          </w:p>
        </w:tc>
      </w:tr>
      <w:tr w:rsidR="00791915" w14:paraId="5BA5E5E4" w14:textId="77777777" w:rsidTr="00791915">
        <w:trPr>
          <w:trHeight w:val="300"/>
        </w:trPr>
        <w:tc>
          <w:tcPr>
            <w:tcW w:w="1000" w:type="dxa"/>
            <w:noWrap/>
            <w:tcMar>
              <w:top w:w="0" w:type="dxa"/>
              <w:left w:w="108" w:type="dxa"/>
              <w:bottom w:w="0" w:type="dxa"/>
              <w:right w:w="108" w:type="dxa"/>
            </w:tcMar>
            <w:vAlign w:val="bottom"/>
            <w:hideMark/>
          </w:tcPr>
          <w:p w14:paraId="23908022" w14:textId="77777777" w:rsidR="00791915" w:rsidRDefault="00791915">
            <w:pPr>
              <w:jc w:val="center"/>
              <w:rPr>
                <w:color w:val="000000"/>
              </w:rPr>
            </w:pPr>
            <w:r>
              <w:rPr>
                <w:color w:val="000000"/>
              </w:rPr>
              <w:t>2018</w:t>
            </w:r>
          </w:p>
        </w:tc>
        <w:tc>
          <w:tcPr>
            <w:tcW w:w="1980" w:type="dxa"/>
            <w:noWrap/>
            <w:tcMar>
              <w:top w:w="0" w:type="dxa"/>
              <w:left w:w="108" w:type="dxa"/>
              <w:bottom w:w="0" w:type="dxa"/>
              <w:right w:w="108" w:type="dxa"/>
            </w:tcMar>
            <w:vAlign w:val="bottom"/>
            <w:hideMark/>
          </w:tcPr>
          <w:p w14:paraId="79905185" w14:textId="77777777" w:rsidR="00791915" w:rsidRDefault="00791915">
            <w:pPr>
              <w:jc w:val="center"/>
              <w:rPr>
                <w:color w:val="000000"/>
              </w:rPr>
            </w:pPr>
            <w:r>
              <w:rPr>
                <w:color w:val="000000"/>
              </w:rPr>
              <w:t>8.3%</w:t>
            </w:r>
          </w:p>
        </w:tc>
        <w:tc>
          <w:tcPr>
            <w:tcW w:w="1980" w:type="dxa"/>
            <w:noWrap/>
            <w:tcMar>
              <w:top w:w="0" w:type="dxa"/>
              <w:left w:w="108" w:type="dxa"/>
              <w:bottom w:w="0" w:type="dxa"/>
              <w:right w:w="108" w:type="dxa"/>
            </w:tcMar>
            <w:vAlign w:val="bottom"/>
            <w:hideMark/>
          </w:tcPr>
          <w:p w14:paraId="30944BDC" w14:textId="77777777" w:rsidR="00791915" w:rsidRDefault="00791915">
            <w:pPr>
              <w:jc w:val="center"/>
              <w:rPr>
                <w:color w:val="000000"/>
              </w:rPr>
            </w:pPr>
            <w:r>
              <w:rPr>
                <w:color w:val="000000"/>
              </w:rPr>
              <w:t>17.4%</w:t>
            </w:r>
          </w:p>
        </w:tc>
        <w:tc>
          <w:tcPr>
            <w:tcW w:w="1980" w:type="dxa"/>
            <w:shd w:val="clear" w:color="auto" w:fill="D9D9D9"/>
            <w:noWrap/>
            <w:tcMar>
              <w:top w:w="0" w:type="dxa"/>
              <w:left w:w="108" w:type="dxa"/>
              <w:bottom w:w="0" w:type="dxa"/>
              <w:right w:w="108" w:type="dxa"/>
            </w:tcMar>
            <w:vAlign w:val="bottom"/>
            <w:hideMark/>
          </w:tcPr>
          <w:p w14:paraId="442F0A2B" w14:textId="77777777" w:rsidR="00791915" w:rsidRDefault="00791915">
            <w:pPr>
              <w:jc w:val="center"/>
              <w:rPr>
                <w:color w:val="000000"/>
              </w:rPr>
            </w:pPr>
            <w:r>
              <w:rPr>
                <w:color w:val="000000"/>
              </w:rPr>
              <w:t> </w:t>
            </w:r>
          </w:p>
        </w:tc>
      </w:tr>
      <w:tr w:rsidR="00791915" w14:paraId="5C370DB2" w14:textId="77777777" w:rsidTr="00791915">
        <w:trPr>
          <w:trHeight w:val="300"/>
        </w:trPr>
        <w:tc>
          <w:tcPr>
            <w:tcW w:w="1000" w:type="dxa"/>
            <w:noWrap/>
            <w:tcMar>
              <w:top w:w="0" w:type="dxa"/>
              <w:left w:w="108" w:type="dxa"/>
              <w:bottom w:w="0" w:type="dxa"/>
              <w:right w:w="108" w:type="dxa"/>
            </w:tcMar>
            <w:vAlign w:val="bottom"/>
            <w:hideMark/>
          </w:tcPr>
          <w:p w14:paraId="0671469B" w14:textId="77777777" w:rsidR="00791915" w:rsidRDefault="00791915">
            <w:pPr>
              <w:jc w:val="center"/>
              <w:rPr>
                <w:color w:val="000000"/>
              </w:rPr>
            </w:pPr>
            <w:r>
              <w:rPr>
                <w:color w:val="000000"/>
              </w:rPr>
              <w:t>2019</w:t>
            </w:r>
          </w:p>
        </w:tc>
        <w:tc>
          <w:tcPr>
            <w:tcW w:w="1980" w:type="dxa"/>
            <w:noWrap/>
            <w:tcMar>
              <w:top w:w="0" w:type="dxa"/>
              <w:left w:w="108" w:type="dxa"/>
              <w:bottom w:w="0" w:type="dxa"/>
              <w:right w:w="108" w:type="dxa"/>
            </w:tcMar>
            <w:vAlign w:val="bottom"/>
            <w:hideMark/>
          </w:tcPr>
          <w:p w14:paraId="42AE5591" w14:textId="77777777" w:rsidR="00791915" w:rsidRDefault="00791915">
            <w:pPr>
              <w:jc w:val="center"/>
              <w:rPr>
                <w:color w:val="000000"/>
              </w:rPr>
            </w:pPr>
            <w:r>
              <w:rPr>
                <w:color w:val="000000"/>
              </w:rPr>
              <w:t>7.3%</w:t>
            </w:r>
          </w:p>
        </w:tc>
        <w:tc>
          <w:tcPr>
            <w:tcW w:w="1980" w:type="dxa"/>
            <w:shd w:val="clear" w:color="auto" w:fill="D9D9D9"/>
            <w:noWrap/>
            <w:tcMar>
              <w:top w:w="0" w:type="dxa"/>
              <w:left w:w="108" w:type="dxa"/>
              <w:bottom w:w="0" w:type="dxa"/>
              <w:right w:w="108" w:type="dxa"/>
            </w:tcMar>
            <w:vAlign w:val="bottom"/>
            <w:hideMark/>
          </w:tcPr>
          <w:p w14:paraId="35156A6D" w14:textId="77777777" w:rsidR="00791915" w:rsidRDefault="00791915">
            <w:pPr>
              <w:jc w:val="center"/>
              <w:rPr>
                <w:color w:val="000000"/>
              </w:rPr>
            </w:pPr>
            <w:r>
              <w:rPr>
                <w:color w:val="000000"/>
              </w:rPr>
              <w:t> </w:t>
            </w:r>
          </w:p>
        </w:tc>
        <w:tc>
          <w:tcPr>
            <w:tcW w:w="1980" w:type="dxa"/>
            <w:shd w:val="clear" w:color="auto" w:fill="D9D9D9"/>
            <w:noWrap/>
            <w:tcMar>
              <w:top w:w="0" w:type="dxa"/>
              <w:left w:w="108" w:type="dxa"/>
              <w:bottom w:w="0" w:type="dxa"/>
              <w:right w:w="108" w:type="dxa"/>
            </w:tcMar>
            <w:vAlign w:val="bottom"/>
            <w:hideMark/>
          </w:tcPr>
          <w:p w14:paraId="11A0ADC5" w14:textId="77777777" w:rsidR="00791915" w:rsidRDefault="00791915">
            <w:pPr>
              <w:jc w:val="center"/>
              <w:rPr>
                <w:color w:val="000000"/>
              </w:rPr>
            </w:pPr>
            <w:r>
              <w:rPr>
                <w:color w:val="000000"/>
              </w:rPr>
              <w:t> </w:t>
            </w:r>
          </w:p>
        </w:tc>
      </w:tr>
    </w:tbl>
    <w:p w14:paraId="4715492B" w14:textId="77777777" w:rsidR="00791915" w:rsidRDefault="00791915" w:rsidP="00791915">
      <w:pPr>
        <w:rPr>
          <w:rFonts w:ascii="Calibri" w:hAnsi="Calibri" w:cs="Calibri"/>
        </w:rPr>
      </w:pPr>
    </w:p>
    <w:p w14:paraId="5FFBAB46" w14:textId="331E69C9" w:rsidR="00791915" w:rsidRDefault="00791915" w:rsidP="00791915">
      <w:r>
        <w:t xml:space="preserve">Adult education instruction in MDOC facilities has been impacted by Covid-19, resulting in a significant reduction in the number of residents earning their </w:t>
      </w:r>
      <w:r w:rsidR="00337007">
        <w:t>H</w:t>
      </w:r>
      <w:r>
        <w:t>i</w:t>
      </w:r>
      <w:r w:rsidR="00337007">
        <w:t>SET</w:t>
      </w:r>
      <w:r>
        <w:t xml:space="preserve"> or high school diploma in the last year. While 61 High School Equivalency Diplomas (HSED) were awarded in 2019, 35 HSEDs were awarded in 2020. </w:t>
      </w:r>
      <w:r w:rsidR="00542635">
        <w:t>M</w:t>
      </w:r>
      <w:r>
        <w:t xml:space="preserve">ovement of residents within facilities </w:t>
      </w:r>
      <w:r w:rsidR="00542635">
        <w:t xml:space="preserve">were limited </w:t>
      </w:r>
      <w:r>
        <w:t>and visits from outside volunteers / guests</w:t>
      </w:r>
      <w:r w:rsidR="001B642B">
        <w:t xml:space="preserve"> were prohibited</w:t>
      </w:r>
      <w:r>
        <w:t>. Quarantine measures</w:t>
      </w:r>
      <w:r w:rsidR="00505A19">
        <w:t xml:space="preserve"> </w:t>
      </w:r>
      <w:r>
        <w:t xml:space="preserve">resulted in students having sporadic and/or less access to educational resources, including in-person instruction and library access. </w:t>
      </w:r>
      <w:r w:rsidR="00FC7548">
        <w:t xml:space="preserve">Approved tablets did provide access to </w:t>
      </w:r>
      <w:r w:rsidR="00F2115A">
        <w:t>high school completion content</w:t>
      </w:r>
      <w:r>
        <w:t>.</w:t>
      </w:r>
    </w:p>
    <w:p w14:paraId="3C450C90" w14:textId="77777777" w:rsidR="0081021E" w:rsidRPr="002E0C57" w:rsidRDefault="0081021E" w:rsidP="003F1B9A">
      <w:pPr>
        <w:rPr>
          <w:rFonts w:cstheme="minorHAnsi"/>
        </w:rPr>
      </w:pPr>
    </w:p>
    <w:sectPr w:rsidR="0081021E" w:rsidRPr="002E0C57" w:rsidSect="00D96506">
      <w:headerReference w:type="default" r:id="rId12"/>
      <w:footerReference w:type="default" r:id="rId13"/>
      <w:pgSz w:w="12240" w:h="15840"/>
      <w:pgMar w:top="144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57EEA" w14:textId="77777777" w:rsidR="007C2AAD" w:rsidRDefault="007C2AAD" w:rsidP="00C51F50">
      <w:pPr>
        <w:spacing w:after="0" w:line="240" w:lineRule="auto"/>
      </w:pPr>
      <w:r>
        <w:separator/>
      </w:r>
    </w:p>
  </w:endnote>
  <w:endnote w:type="continuationSeparator" w:id="0">
    <w:p w14:paraId="1AF39963" w14:textId="77777777" w:rsidR="007C2AAD" w:rsidRDefault="007C2AAD" w:rsidP="00C51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420513"/>
      <w:docPartObj>
        <w:docPartGallery w:val="Page Numbers (Bottom of Page)"/>
        <w:docPartUnique/>
      </w:docPartObj>
    </w:sdtPr>
    <w:sdtEndPr>
      <w:rPr>
        <w:noProof/>
      </w:rPr>
    </w:sdtEndPr>
    <w:sdtContent>
      <w:p w14:paraId="1CD1C06C" w14:textId="7DB562D7" w:rsidR="00A616A0" w:rsidRDefault="00A616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E91B18" w14:textId="77777777" w:rsidR="00C51F50" w:rsidRDefault="00C51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6236" w14:textId="77777777" w:rsidR="007C2AAD" w:rsidRDefault="007C2AAD" w:rsidP="00C51F50">
      <w:pPr>
        <w:spacing w:after="0" w:line="240" w:lineRule="auto"/>
      </w:pPr>
      <w:r>
        <w:separator/>
      </w:r>
    </w:p>
  </w:footnote>
  <w:footnote w:type="continuationSeparator" w:id="0">
    <w:p w14:paraId="23B797E2" w14:textId="77777777" w:rsidR="007C2AAD" w:rsidRDefault="007C2AAD" w:rsidP="00C51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4196" w14:textId="1B750BFE" w:rsidR="003415A8" w:rsidRDefault="003415A8">
    <w:pPr>
      <w:pStyle w:val="Header"/>
    </w:pPr>
  </w:p>
  <w:p w14:paraId="7459D63A" w14:textId="357C6FCC" w:rsidR="003415A8" w:rsidRDefault="003415A8">
    <w:pPr>
      <w:pStyle w:val="Header"/>
    </w:pPr>
  </w:p>
  <w:p w14:paraId="01D9C15A" w14:textId="19DB3DD0" w:rsidR="003415A8" w:rsidRDefault="003415A8">
    <w:pPr>
      <w:pStyle w:val="Header"/>
    </w:pPr>
  </w:p>
  <w:p w14:paraId="7497512A" w14:textId="77777777" w:rsidR="003415A8" w:rsidRDefault="00341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5422"/>
    <w:multiLevelType w:val="hybridMultilevel"/>
    <w:tmpl w:val="DCA8D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333277"/>
    <w:multiLevelType w:val="hybridMultilevel"/>
    <w:tmpl w:val="58E2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E0DE2"/>
    <w:multiLevelType w:val="hybridMultilevel"/>
    <w:tmpl w:val="B2444680"/>
    <w:lvl w:ilvl="0" w:tplc="96DCE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634EE"/>
    <w:multiLevelType w:val="hybridMultilevel"/>
    <w:tmpl w:val="479EF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3407E"/>
    <w:multiLevelType w:val="hybridMultilevel"/>
    <w:tmpl w:val="063EB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5679F"/>
    <w:multiLevelType w:val="hybridMultilevel"/>
    <w:tmpl w:val="49EAF538"/>
    <w:lvl w:ilvl="0" w:tplc="960480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9607A"/>
    <w:multiLevelType w:val="hybridMultilevel"/>
    <w:tmpl w:val="1EC4AD10"/>
    <w:lvl w:ilvl="0" w:tplc="7E76076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8C477E2"/>
    <w:multiLevelType w:val="hybridMultilevel"/>
    <w:tmpl w:val="346C7B36"/>
    <w:lvl w:ilvl="0" w:tplc="0DA266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302776"/>
    <w:multiLevelType w:val="hybridMultilevel"/>
    <w:tmpl w:val="CC7E7C28"/>
    <w:lvl w:ilvl="0" w:tplc="2034C764">
      <w:start w:val="4"/>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BC35AD"/>
    <w:multiLevelType w:val="hybridMultilevel"/>
    <w:tmpl w:val="460231C6"/>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7"/>
  </w:num>
  <w:num w:numId="6">
    <w:abstractNumId w:val="6"/>
  </w:num>
  <w:num w:numId="7">
    <w:abstractNumId w:val="5"/>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DA"/>
    <w:rsid w:val="0000054F"/>
    <w:rsid w:val="00000E16"/>
    <w:rsid w:val="00001D23"/>
    <w:rsid w:val="000116FF"/>
    <w:rsid w:val="00016C2F"/>
    <w:rsid w:val="00017A8B"/>
    <w:rsid w:val="000207E0"/>
    <w:rsid w:val="00024A72"/>
    <w:rsid w:val="000268AF"/>
    <w:rsid w:val="0003051E"/>
    <w:rsid w:val="00030803"/>
    <w:rsid w:val="00033AB2"/>
    <w:rsid w:val="00034248"/>
    <w:rsid w:val="000361B8"/>
    <w:rsid w:val="00037715"/>
    <w:rsid w:val="00043A09"/>
    <w:rsid w:val="00046A47"/>
    <w:rsid w:val="00050D32"/>
    <w:rsid w:val="00051C31"/>
    <w:rsid w:val="0005208F"/>
    <w:rsid w:val="000541DC"/>
    <w:rsid w:val="00055970"/>
    <w:rsid w:val="0006055C"/>
    <w:rsid w:val="00061654"/>
    <w:rsid w:val="00066885"/>
    <w:rsid w:val="00066DBA"/>
    <w:rsid w:val="0007168C"/>
    <w:rsid w:val="00074819"/>
    <w:rsid w:val="00076A19"/>
    <w:rsid w:val="00077108"/>
    <w:rsid w:val="00084827"/>
    <w:rsid w:val="000907C6"/>
    <w:rsid w:val="00090FBB"/>
    <w:rsid w:val="00091996"/>
    <w:rsid w:val="00093C22"/>
    <w:rsid w:val="00094AA2"/>
    <w:rsid w:val="000955A8"/>
    <w:rsid w:val="000A61D6"/>
    <w:rsid w:val="000A77C7"/>
    <w:rsid w:val="000B56C4"/>
    <w:rsid w:val="000B7560"/>
    <w:rsid w:val="000C00CC"/>
    <w:rsid w:val="000C0C64"/>
    <w:rsid w:val="000C5313"/>
    <w:rsid w:val="000C67F3"/>
    <w:rsid w:val="000C70F1"/>
    <w:rsid w:val="000C7AAD"/>
    <w:rsid w:val="000D0F69"/>
    <w:rsid w:val="000D1038"/>
    <w:rsid w:val="000D4699"/>
    <w:rsid w:val="000E0AD7"/>
    <w:rsid w:val="000E112F"/>
    <w:rsid w:val="000E7723"/>
    <w:rsid w:val="000E788F"/>
    <w:rsid w:val="000F3257"/>
    <w:rsid w:val="000F3D58"/>
    <w:rsid w:val="000F4362"/>
    <w:rsid w:val="00100CC5"/>
    <w:rsid w:val="00103FB2"/>
    <w:rsid w:val="00107545"/>
    <w:rsid w:val="00107E4B"/>
    <w:rsid w:val="00111E79"/>
    <w:rsid w:val="00125547"/>
    <w:rsid w:val="00126B73"/>
    <w:rsid w:val="00132453"/>
    <w:rsid w:val="001341B7"/>
    <w:rsid w:val="00134968"/>
    <w:rsid w:val="001349A8"/>
    <w:rsid w:val="00135140"/>
    <w:rsid w:val="00136A8A"/>
    <w:rsid w:val="00140911"/>
    <w:rsid w:val="00140CE8"/>
    <w:rsid w:val="00142533"/>
    <w:rsid w:val="001430B6"/>
    <w:rsid w:val="001435CE"/>
    <w:rsid w:val="001509D7"/>
    <w:rsid w:val="001513A2"/>
    <w:rsid w:val="001515D0"/>
    <w:rsid w:val="00152C2B"/>
    <w:rsid w:val="00153F87"/>
    <w:rsid w:val="00156F43"/>
    <w:rsid w:val="00160612"/>
    <w:rsid w:val="00160EBE"/>
    <w:rsid w:val="00162427"/>
    <w:rsid w:val="00164180"/>
    <w:rsid w:val="00164F14"/>
    <w:rsid w:val="00165894"/>
    <w:rsid w:val="001673C3"/>
    <w:rsid w:val="00167D3D"/>
    <w:rsid w:val="00174571"/>
    <w:rsid w:val="00175829"/>
    <w:rsid w:val="00175B11"/>
    <w:rsid w:val="00177712"/>
    <w:rsid w:val="00177A93"/>
    <w:rsid w:val="001829E2"/>
    <w:rsid w:val="0018536F"/>
    <w:rsid w:val="00192552"/>
    <w:rsid w:val="001967F1"/>
    <w:rsid w:val="001973CB"/>
    <w:rsid w:val="001A2AB7"/>
    <w:rsid w:val="001B4788"/>
    <w:rsid w:val="001B48C2"/>
    <w:rsid w:val="001B642B"/>
    <w:rsid w:val="001C2368"/>
    <w:rsid w:val="001C7D73"/>
    <w:rsid w:val="001D344E"/>
    <w:rsid w:val="001D4EC7"/>
    <w:rsid w:val="001D572D"/>
    <w:rsid w:val="001D703F"/>
    <w:rsid w:val="001E0848"/>
    <w:rsid w:val="001E1676"/>
    <w:rsid w:val="001E21C4"/>
    <w:rsid w:val="001E266E"/>
    <w:rsid w:val="001E3495"/>
    <w:rsid w:val="001F13E5"/>
    <w:rsid w:val="001F1D29"/>
    <w:rsid w:val="00211109"/>
    <w:rsid w:val="00220BBF"/>
    <w:rsid w:val="00220FA3"/>
    <w:rsid w:val="0022106F"/>
    <w:rsid w:val="00223B4F"/>
    <w:rsid w:val="00232567"/>
    <w:rsid w:val="00235365"/>
    <w:rsid w:val="00242022"/>
    <w:rsid w:val="00245FDE"/>
    <w:rsid w:val="0025553B"/>
    <w:rsid w:val="00255906"/>
    <w:rsid w:val="0026057D"/>
    <w:rsid w:val="00262478"/>
    <w:rsid w:val="00262529"/>
    <w:rsid w:val="002642D7"/>
    <w:rsid w:val="00270831"/>
    <w:rsid w:val="002809BC"/>
    <w:rsid w:val="00283351"/>
    <w:rsid w:val="00283FF8"/>
    <w:rsid w:val="00284DAD"/>
    <w:rsid w:val="00294733"/>
    <w:rsid w:val="00295EB8"/>
    <w:rsid w:val="002969AC"/>
    <w:rsid w:val="002A0502"/>
    <w:rsid w:val="002A0816"/>
    <w:rsid w:val="002A0ED8"/>
    <w:rsid w:val="002A19EB"/>
    <w:rsid w:val="002B0CFF"/>
    <w:rsid w:val="002B0DE6"/>
    <w:rsid w:val="002B0F5A"/>
    <w:rsid w:val="002B1644"/>
    <w:rsid w:val="002B24C0"/>
    <w:rsid w:val="002B3870"/>
    <w:rsid w:val="002B54C6"/>
    <w:rsid w:val="002C32E2"/>
    <w:rsid w:val="002D4328"/>
    <w:rsid w:val="002D5E95"/>
    <w:rsid w:val="002E0858"/>
    <w:rsid w:val="002E0C57"/>
    <w:rsid w:val="002E21D4"/>
    <w:rsid w:val="002E226C"/>
    <w:rsid w:val="002E4338"/>
    <w:rsid w:val="002E6372"/>
    <w:rsid w:val="002E6854"/>
    <w:rsid w:val="0030456C"/>
    <w:rsid w:val="00305E0F"/>
    <w:rsid w:val="00305EB3"/>
    <w:rsid w:val="00310321"/>
    <w:rsid w:val="003134B1"/>
    <w:rsid w:val="003162C2"/>
    <w:rsid w:val="00316B0A"/>
    <w:rsid w:val="00323924"/>
    <w:rsid w:val="003248C9"/>
    <w:rsid w:val="00325473"/>
    <w:rsid w:val="003334CD"/>
    <w:rsid w:val="00333DD7"/>
    <w:rsid w:val="003345A3"/>
    <w:rsid w:val="00334CBF"/>
    <w:rsid w:val="00334FEE"/>
    <w:rsid w:val="00337007"/>
    <w:rsid w:val="003371C1"/>
    <w:rsid w:val="003415A8"/>
    <w:rsid w:val="00342EAF"/>
    <w:rsid w:val="00345C8C"/>
    <w:rsid w:val="003477DD"/>
    <w:rsid w:val="00350043"/>
    <w:rsid w:val="003502EB"/>
    <w:rsid w:val="00357A75"/>
    <w:rsid w:val="00364922"/>
    <w:rsid w:val="003662BB"/>
    <w:rsid w:val="00366E6C"/>
    <w:rsid w:val="0036746D"/>
    <w:rsid w:val="00370A39"/>
    <w:rsid w:val="00370FEF"/>
    <w:rsid w:val="00373C27"/>
    <w:rsid w:val="00375445"/>
    <w:rsid w:val="003776C6"/>
    <w:rsid w:val="00380686"/>
    <w:rsid w:val="003808AD"/>
    <w:rsid w:val="00380F5F"/>
    <w:rsid w:val="003811F0"/>
    <w:rsid w:val="003826D0"/>
    <w:rsid w:val="00382763"/>
    <w:rsid w:val="00382D7E"/>
    <w:rsid w:val="0038331F"/>
    <w:rsid w:val="00395B6D"/>
    <w:rsid w:val="003A47D4"/>
    <w:rsid w:val="003A54A3"/>
    <w:rsid w:val="003A787E"/>
    <w:rsid w:val="003B1219"/>
    <w:rsid w:val="003B665A"/>
    <w:rsid w:val="003C5E77"/>
    <w:rsid w:val="003C6008"/>
    <w:rsid w:val="003C634C"/>
    <w:rsid w:val="003D16CC"/>
    <w:rsid w:val="003D2B68"/>
    <w:rsid w:val="003D4125"/>
    <w:rsid w:val="003D57CD"/>
    <w:rsid w:val="003D64CC"/>
    <w:rsid w:val="003E1872"/>
    <w:rsid w:val="003E2ADF"/>
    <w:rsid w:val="003E448A"/>
    <w:rsid w:val="003F09A4"/>
    <w:rsid w:val="003F1B9A"/>
    <w:rsid w:val="003F239F"/>
    <w:rsid w:val="003F5EDB"/>
    <w:rsid w:val="003F6140"/>
    <w:rsid w:val="003F639B"/>
    <w:rsid w:val="003F639E"/>
    <w:rsid w:val="003F78BB"/>
    <w:rsid w:val="004021E1"/>
    <w:rsid w:val="00403553"/>
    <w:rsid w:val="00406508"/>
    <w:rsid w:val="00406D04"/>
    <w:rsid w:val="004117F4"/>
    <w:rsid w:val="00411C4A"/>
    <w:rsid w:val="00417954"/>
    <w:rsid w:val="00417ED8"/>
    <w:rsid w:val="00421750"/>
    <w:rsid w:val="00422210"/>
    <w:rsid w:val="00424296"/>
    <w:rsid w:val="00425731"/>
    <w:rsid w:val="0042603A"/>
    <w:rsid w:val="00427195"/>
    <w:rsid w:val="00432840"/>
    <w:rsid w:val="004349BD"/>
    <w:rsid w:val="00442E77"/>
    <w:rsid w:val="00444992"/>
    <w:rsid w:val="004451C9"/>
    <w:rsid w:val="004529BA"/>
    <w:rsid w:val="00455C8E"/>
    <w:rsid w:val="004573A6"/>
    <w:rsid w:val="00461CC0"/>
    <w:rsid w:val="00462C35"/>
    <w:rsid w:val="00466561"/>
    <w:rsid w:val="00475964"/>
    <w:rsid w:val="00477CDA"/>
    <w:rsid w:val="00477FC5"/>
    <w:rsid w:val="004815F2"/>
    <w:rsid w:val="00483CB6"/>
    <w:rsid w:val="0048486F"/>
    <w:rsid w:val="0048753E"/>
    <w:rsid w:val="00494FFF"/>
    <w:rsid w:val="004A13A4"/>
    <w:rsid w:val="004A342D"/>
    <w:rsid w:val="004A3AFA"/>
    <w:rsid w:val="004A59EB"/>
    <w:rsid w:val="004A656A"/>
    <w:rsid w:val="004B0B7A"/>
    <w:rsid w:val="004B381D"/>
    <w:rsid w:val="004B43CD"/>
    <w:rsid w:val="004B45EC"/>
    <w:rsid w:val="004C3443"/>
    <w:rsid w:val="004D2BD4"/>
    <w:rsid w:val="004D60DB"/>
    <w:rsid w:val="004D7D89"/>
    <w:rsid w:val="004E3B28"/>
    <w:rsid w:val="004E702A"/>
    <w:rsid w:val="004E70AE"/>
    <w:rsid w:val="004F08E8"/>
    <w:rsid w:val="004F424B"/>
    <w:rsid w:val="004F476A"/>
    <w:rsid w:val="004F5B5A"/>
    <w:rsid w:val="00501F94"/>
    <w:rsid w:val="00505A19"/>
    <w:rsid w:val="005068E1"/>
    <w:rsid w:val="00510216"/>
    <w:rsid w:val="00511407"/>
    <w:rsid w:val="00512339"/>
    <w:rsid w:val="00512D5E"/>
    <w:rsid w:val="00513AB7"/>
    <w:rsid w:val="00514361"/>
    <w:rsid w:val="00514B3D"/>
    <w:rsid w:val="00520033"/>
    <w:rsid w:val="00531467"/>
    <w:rsid w:val="00532F46"/>
    <w:rsid w:val="0053332B"/>
    <w:rsid w:val="00535E41"/>
    <w:rsid w:val="00536114"/>
    <w:rsid w:val="005376B1"/>
    <w:rsid w:val="005420F9"/>
    <w:rsid w:val="00542635"/>
    <w:rsid w:val="00542BAE"/>
    <w:rsid w:val="00544942"/>
    <w:rsid w:val="0054694F"/>
    <w:rsid w:val="00553F47"/>
    <w:rsid w:val="005544DA"/>
    <w:rsid w:val="0055647A"/>
    <w:rsid w:val="0056042A"/>
    <w:rsid w:val="00564091"/>
    <w:rsid w:val="00564656"/>
    <w:rsid w:val="005664D5"/>
    <w:rsid w:val="00571738"/>
    <w:rsid w:val="005728A9"/>
    <w:rsid w:val="00573CE0"/>
    <w:rsid w:val="00574B05"/>
    <w:rsid w:val="00580650"/>
    <w:rsid w:val="00582D24"/>
    <w:rsid w:val="00584750"/>
    <w:rsid w:val="00584A61"/>
    <w:rsid w:val="005855D7"/>
    <w:rsid w:val="00592DB2"/>
    <w:rsid w:val="00594515"/>
    <w:rsid w:val="00595FBA"/>
    <w:rsid w:val="005A546F"/>
    <w:rsid w:val="005A5F79"/>
    <w:rsid w:val="005A6B30"/>
    <w:rsid w:val="005B1091"/>
    <w:rsid w:val="005B2782"/>
    <w:rsid w:val="005B32EC"/>
    <w:rsid w:val="005C391A"/>
    <w:rsid w:val="005C4C74"/>
    <w:rsid w:val="005C52A1"/>
    <w:rsid w:val="005C6305"/>
    <w:rsid w:val="005C6316"/>
    <w:rsid w:val="005D6EAB"/>
    <w:rsid w:val="005E06CD"/>
    <w:rsid w:val="005E7953"/>
    <w:rsid w:val="005E7A5E"/>
    <w:rsid w:val="005F1E25"/>
    <w:rsid w:val="005F27F3"/>
    <w:rsid w:val="005F371A"/>
    <w:rsid w:val="005F46E1"/>
    <w:rsid w:val="005F6908"/>
    <w:rsid w:val="005F7E35"/>
    <w:rsid w:val="00605B76"/>
    <w:rsid w:val="00606B64"/>
    <w:rsid w:val="00607722"/>
    <w:rsid w:val="0061055B"/>
    <w:rsid w:val="0061133C"/>
    <w:rsid w:val="00612DC9"/>
    <w:rsid w:val="006134A6"/>
    <w:rsid w:val="00616C4E"/>
    <w:rsid w:val="00620797"/>
    <w:rsid w:val="00625E8B"/>
    <w:rsid w:val="00627148"/>
    <w:rsid w:val="00627724"/>
    <w:rsid w:val="00630065"/>
    <w:rsid w:val="00630672"/>
    <w:rsid w:val="00631EB6"/>
    <w:rsid w:val="00632893"/>
    <w:rsid w:val="00634FC6"/>
    <w:rsid w:val="00636DCC"/>
    <w:rsid w:val="006428F1"/>
    <w:rsid w:val="00646AD0"/>
    <w:rsid w:val="00647617"/>
    <w:rsid w:val="006509D6"/>
    <w:rsid w:val="0065409D"/>
    <w:rsid w:val="00654292"/>
    <w:rsid w:val="006561F1"/>
    <w:rsid w:val="006617CA"/>
    <w:rsid w:val="00662466"/>
    <w:rsid w:val="00663DF1"/>
    <w:rsid w:val="00665DA0"/>
    <w:rsid w:val="00665EEA"/>
    <w:rsid w:val="00670BAA"/>
    <w:rsid w:val="00671D30"/>
    <w:rsid w:val="006739B1"/>
    <w:rsid w:val="00673F31"/>
    <w:rsid w:val="00675336"/>
    <w:rsid w:val="006770E4"/>
    <w:rsid w:val="00677D1E"/>
    <w:rsid w:val="0068203E"/>
    <w:rsid w:val="0068787B"/>
    <w:rsid w:val="006927DA"/>
    <w:rsid w:val="006A2355"/>
    <w:rsid w:val="006A4108"/>
    <w:rsid w:val="006B1650"/>
    <w:rsid w:val="006B1B3E"/>
    <w:rsid w:val="006B479C"/>
    <w:rsid w:val="006B4B34"/>
    <w:rsid w:val="006B7F2F"/>
    <w:rsid w:val="006C04EC"/>
    <w:rsid w:val="006C5792"/>
    <w:rsid w:val="006D301D"/>
    <w:rsid w:val="006D524F"/>
    <w:rsid w:val="006E2C24"/>
    <w:rsid w:val="006E3518"/>
    <w:rsid w:val="006E3C42"/>
    <w:rsid w:val="006E3F84"/>
    <w:rsid w:val="006E48C2"/>
    <w:rsid w:val="006F0F0F"/>
    <w:rsid w:val="006F1E28"/>
    <w:rsid w:val="006F4FB9"/>
    <w:rsid w:val="006F5132"/>
    <w:rsid w:val="006F63C7"/>
    <w:rsid w:val="0070144A"/>
    <w:rsid w:val="007078D0"/>
    <w:rsid w:val="00712EED"/>
    <w:rsid w:val="0071302F"/>
    <w:rsid w:val="007148B3"/>
    <w:rsid w:val="00723766"/>
    <w:rsid w:val="00724299"/>
    <w:rsid w:val="007243C5"/>
    <w:rsid w:val="0072683D"/>
    <w:rsid w:val="00730900"/>
    <w:rsid w:val="00731F13"/>
    <w:rsid w:val="00733D78"/>
    <w:rsid w:val="00735B85"/>
    <w:rsid w:val="00743B99"/>
    <w:rsid w:val="00743C94"/>
    <w:rsid w:val="007450FA"/>
    <w:rsid w:val="00746D39"/>
    <w:rsid w:val="0075205A"/>
    <w:rsid w:val="00756B0F"/>
    <w:rsid w:val="00757872"/>
    <w:rsid w:val="0076115C"/>
    <w:rsid w:val="007637DC"/>
    <w:rsid w:val="00763F0B"/>
    <w:rsid w:val="00764670"/>
    <w:rsid w:val="007665F5"/>
    <w:rsid w:val="0077054D"/>
    <w:rsid w:val="00770F5A"/>
    <w:rsid w:val="0077205B"/>
    <w:rsid w:val="0077278F"/>
    <w:rsid w:val="00772F9C"/>
    <w:rsid w:val="00773960"/>
    <w:rsid w:val="007771F3"/>
    <w:rsid w:val="0078145D"/>
    <w:rsid w:val="0078169C"/>
    <w:rsid w:val="00783AD4"/>
    <w:rsid w:val="00790830"/>
    <w:rsid w:val="00791915"/>
    <w:rsid w:val="00793694"/>
    <w:rsid w:val="007940A4"/>
    <w:rsid w:val="00795909"/>
    <w:rsid w:val="007A3294"/>
    <w:rsid w:val="007A6452"/>
    <w:rsid w:val="007A722D"/>
    <w:rsid w:val="007C18EB"/>
    <w:rsid w:val="007C28BD"/>
    <w:rsid w:val="007C2AAD"/>
    <w:rsid w:val="007C5BD6"/>
    <w:rsid w:val="007C639E"/>
    <w:rsid w:val="007C6541"/>
    <w:rsid w:val="007C7B8C"/>
    <w:rsid w:val="007D137E"/>
    <w:rsid w:val="007D1CF9"/>
    <w:rsid w:val="007D27F2"/>
    <w:rsid w:val="007D49EF"/>
    <w:rsid w:val="007D4BB9"/>
    <w:rsid w:val="007D6607"/>
    <w:rsid w:val="007D75D1"/>
    <w:rsid w:val="007E0459"/>
    <w:rsid w:val="007E46F0"/>
    <w:rsid w:val="007E5709"/>
    <w:rsid w:val="007E6C9E"/>
    <w:rsid w:val="007F2B81"/>
    <w:rsid w:val="007F3894"/>
    <w:rsid w:val="007F3BEA"/>
    <w:rsid w:val="007F60FD"/>
    <w:rsid w:val="007F7781"/>
    <w:rsid w:val="007F799F"/>
    <w:rsid w:val="0080256C"/>
    <w:rsid w:val="00804760"/>
    <w:rsid w:val="00805A70"/>
    <w:rsid w:val="00806B6E"/>
    <w:rsid w:val="00807762"/>
    <w:rsid w:val="0081021E"/>
    <w:rsid w:val="00810EE1"/>
    <w:rsid w:val="008116BE"/>
    <w:rsid w:val="00813023"/>
    <w:rsid w:val="00813F6F"/>
    <w:rsid w:val="008177D4"/>
    <w:rsid w:val="008268D3"/>
    <w:rsid w:val="00826E6A"/>
    <w:rsid w:val="00827410"/>
    <w:rsid w:val="0083065F"/>
    <w:rsid w:val="0083097E"/>
    <w:rsid w:val="00831621"/>
    <w:rsid w:val="0083186E"/>
    <w:rsid w:val="00834BA4"/>
    <w:rsid w:val="00835C96"/>
    <w:rsid w:val="00837D8B"/>
    <w:rsid w:val="008416FE"/>
    <w:rsid w:val="00842A6B"/>
    <w:rsid w:val="00842B8C"/>
    <w:rsid w:val="00847E28"/>
    <w:rsid w:val="0085489C"/>
    <w:rsid w:val="0085539F"/>
    <w:rsid w:val="008571FF"/>
    <w:rsid w:val="00857586"/>
    <w:rsid w:val="0086000D"/>
    <w:rsid w:val="0086369E"/>
    <w:rsid w:val="00864E5E"/>
    <w:rsid w:val="008660EE"/>
    <w:rsid w:val="00867425"/>
    <w:rsid w:val="00867DDB"/>
    <w:rsid w:val="00871EDD"/>
    <w:rsid w:val="00872230"/>
    <w:rsid w:val="0087747A"/>
    <w:rsid w:val="00881D30"/>
    <w:rsid w:val="008842F0"/>
    <w:rsid w:val="008851D9"/>
    <w:rsid w:val="00886A2C"/>
    <w:rsid w:val="00890326"/>
    <w:rsid w:val="008975E0"/>
    <w:rsid w:val="008A2324"/>
    <w:rsid w:val="008A772B"/>
    <w:rsid w:val="008A7D0D"/>
    <w:rsid w:val="008B694D"/>
    <w:rsid w:val="008C095B"/>
    <w:rsid w:val="008C491C"/>
    <w:rsid w:val="008C4D64"/>
    <w:rsid w:val="008C5408"/>
    <w:rsid w:val="008D3F09"/>
    <w:rsid w:val="008D4B95"/>
    <w:rsid w:val="008D51B4"/>
    <w:rsid w:val="008E1862"/>
    <w:rsid w:val="008E504C"/>
    <w:rsid w:val="008E6EB9"/>
    <w:rsid w:val="008E7FA3"/>
    <w:rsid w:val="008F7E53"/>
    <w:rsid w:val="00900872"/>
    <w:rsid w:val="00903ACB"/>
    <w:rsid w:val="009071BA"/>
    <w:rsid w:val="00907493"/>
    <w:rsid w:val="00911E11"/>
    <w:rsid w:val="00915622"/>
    <w:rsid w:val="00915A71"/>
    <w:rsid w:val="009164A3"/>
    <w:rsid w:val="00916704"/>
    <w:rsid w:val="00917AC6"/>
    <w:rsid w:val="00920097"/>
    <w:rsid w:val="00923A07"/>
    <w:rsid w:val="0092479D"/>
    <w:rsid w:val="009269F9"/>
    <w:rsid w:val="0093053E"/>
    <w:rsid w:val="00932D0A"/>
    <w:rsid w:val="0093438D"/>
    <w:rsid w:val="00935AEF"/>
    <w:rsid w:val="00936891"/>
    <w:rsid w:val="00937932"/>
    <w:rsid w:val="009400D3"/>
    <w:rsid w:val="00942105"/>
    <w:rsid w:val="009464A0"/>
    <w:rsid w:val="00946B56"/>
    <w:rsid w:val="0095299A"/>
    <w:rsid w:val="00952D0F"/>
    <w:rsid w:val="00956F6C"/>
    <w:rsid w:val="009576F4"/>
    <w:rsid w:val="0095770A"/>
    <w:rsid w:val="00957BBE"/>
    <w:rsid w:val="00961214"/>
    <w:rsid w:val="00961A60"/>
    <w:rsid w:val="009627E2"/>
    <w:rsid w:val="00966952"/>
    <w:rsid w:val="00967111"/>
    <w:rsid w:val="0097034C"/>
    <w:rsid w:val="00971129"/>
    <w:rsid w:val="00971D80"/>
    <w:rsid w:val="0097294E"/>
    <w:rsid w:val="0097451C"/>
    <w:rsid w:val="00974EE3"/>
    <w:rsid w:val="0097577D"/>
    <w:rsid w:val="00983A86"/>
    <w:rsid w:val="00992CDE"/>
    <w:rsid w:val="00995F71"/>
    <w:rsid w:val="00996EB4"/>
    <w:rsid w:val="009A1198"/>
    <w:rsid w:val="009A3563"/>
    <w:rsid w:val="009A3F18"/>
    <w:rsid w:val="009A69CE"/>
    <w:rsid w:val="009A7318"/>
    <w:rsid w:val="009B0BE4"/>
    <w:rsid w:val="009B0F3A"/>
    <w:rsid w:val="009B0F95"/>
    <w:rsid w:val="009B117D"/>
    <w:rsid w:val="009B274E"/>
    <w:rsid w:val="009B33BA"/>
    <w:rsid w:val="009B3D05"/>
    <w:rsid w:val="009B4289"/>
    <w:rsid w:val="009B6978"/>
    <w:rsid w:val="009C1350"/>
    <w:rsid w:val="009C4310"/>
    <w:rsid w:val="009C79C5"/>
    <w:rsid w:val="009D07AD"/>
    <w:rsid w:val="009D1775"/>
    <w:rsid w:val="009D6739"/>
    <w:rsid w:val="009E1F83"/>
    <w:rsid w:val="009E22A4"/>
    <w:rsid w:val="009F4285"/>
    <w:rsid w:val="009F4532"/>
    <w:rsid w:val="009F49B7"/>
    <w:rsid w:val="009F6563"/>
    <w:rsid w:val="009F7244"/>
    <w:rsid w:val="00A04F26"/>
    <w:rsid w:val="00A05949"/>
    <w:rsid w:val="00A07146"/>
    <w:rsid w:val="00A11A11"/>
    <w:rsid w:val="00A12002"/>
    <w:rsid w:val="00A131EB"/>
    <w:rsid w:val="00A154E5"/>
    <w:rsid w:val="00A22564"/>
    <w:rsid w:val="00A25D53"/>
    <w:rsid w:val="00A26AF4"/>
    <w:rsid w:val="00A30600"/>
    <w:rsid w:val="00A32BF4"/>
    <w:rsid w:val="00A32FDD"/>
    <w:rsid w:val="00A33211"/>
    <w:rsid w:val="00A35839"/>
    <w:rsid w:val="00A41919"/>
    <w:rsid w:val="00A42921"/>
    <w:rsid w:val="00A464FF"/>
    <w:rsid w:val="00A5051E"/>
    <w:rsid w:val="00A51EC8"/>
    <w:rsid w:val="00A5211A"/>
    <w:rsid w:val="00A54552"/>
    <w:rsid w:val="00A546B8"/>
    <w:rsid w:val="00A55AD3"/>
    <w:rsid w:val="00A56760"/>
    <w:rsid w:val="00A616A0"/>
    <w:rsid w:val="00A66B39"/>
    <w:rsid w:val="00A70C54"/>
    <w:rsid w:val="00A77140"/>
    <w:rsid w:val="00A80226"/>
    <w:rsid w:val="00A8398C"/>
    <w:rsid w:val="00A85EBB"/>
    <w:rsid w:val="00A86423"/>
    <w:rsid w:val="00A86FBD"/>
    <w:rsid w:val="00A937F0"/>
    <w:rsid w:val="00A94A7D"/>
    <w:rsid w:val="00A952FB"/>
    <w:rsid w:val="00A95C6D"/>
    <w:rsid w:val="00A96BFC"/>
    <w:rsid w:val="00AA04C0"/>
    <w:rsid w:val="00AB6449"/>
    <w:rsid w:val="00AC4CE1"/>
    <w:rsid w:val="00AD22C4"/>
    <w:rsid w:val="00AE01F8"/>
    <w:rsid w:val="00AE0D0D"/>
    <w:rsid w:val="00AE1FF3"/>
    <w:rsid w:val="00AE23E8"/>
    <w:rsid w:val="00AF4FC7"/>
    <w:rsid w:val="00AF5D6A"/>
    <w:rsid w:val="00AF6CD7"/>
    <w:rsid w:val="00AF796A"/>
    <w:rsid w:val="00B002EA"/>
    <w:rsid w:val="00B02053"/>
    <w:rsid w:val="00B04457"/>
    <w:rsid w:val="00B0485E"/>
    <w:rsid w:val="00B0555B"/>
    <w:rsid w:val="00B07C42"/>
    <w:rsid w:val="00B13B34"/>
    <w:rsid w:val="00B1463A"/>
    <w:rsid w:val="00B16020"/>
    <w:rsid w:val="00B20F3D"/>
    <w:rsid w:val="00B2289C"/>
    <w:rsid w:val="00B2393B"/>
    <w:rsid w:val="00B24909"/>
    <w:rsid w:val="00B24F29"/>
    <w:rsid w:val="00B25E37"/>
    <w:rsid w:val="00B36570"/>
    <w:rsid w:val="00B40523"/>
    <w:rsid w:val="00B40763"/>
    <w:rsid w:val="00B40C3C"/>
    <w:rsid w:val="00B4634B"/>
    <w:rsid w:val="00B4649E"/>
    <w:rsid w:val="00B471A5"/>
    <w:rsid w:val="00B51906"/>
    <w:rsid w:val="00B54E58"/>
    <w:rsid w:val="00B57E25"/>
    <w:rsid w:val="00B60147"/>
    <w:rsid w:val="00B61F32"/>
    <w:rsid w:val="00B632E2"/>
    <w:rsid w:val="00B6443E"/>
    <w:rsid w:val="00B66525"/>
    <w:rsid w:val="00B66FB6"/>
    <w:rsid w:val="00B75D69"/>
    <w:rsid w:val="00B7679B"/>
    <w:rsid w:val="00B76CB0"/>
    <w:rsid w:val="00B773E0"/>
    <w:rsid w:val="00B77C4E"/>
    <w:rsid w:val="00B80268"/>
    <w:rsid w:val="00B804E8"/>
    <w:rsid w:val="00B86171"/>
    <w:rsid w:val="00B8774D"/>
    <w:rsid w:val="00B90194"/>
    <w:rsid w:val="00B94094"/>
    <w:rsid w:val="00B94C5C"/>
    <w:rsid w:val="00B97239"/>
    <w:rsid w:val="00BA1DD7"/>
    <w:rsid w:val="00BA3312"/>
    <w:rsid w:val="00BA4561"/>
    <w:rsid w:val="00BA6D8E"/>
    <w:rsid w:val="00BB101F"/>
    <w:rsid w:val="00BB788E"/>
    <w:rsid w:val="00BC10FD"/>
    <w:rsid w:val="00BC370A"/>
    <w:rsid w:val="00BC387D"/>
    <w:rsid w:val="00BC3E47"/>
    <w:rsid w:val="00BC43E3"/>
    <w:rsid w:val="00BC5794"/>
    <w:rsid w:val="00BE092A"/>
    <w:rsid w:val="00BE10FA"/>
    <w:rsid w:val="00BE2530"/>
    <w:rsid w:val="00BE49AD"/>
    <w:rsid w:val="00BE63AD"/>
    <w:rsid w:val="00BE7271"/>
    <w:rsid w:val="00BF435E"/>
    <w:rsid w:val="00BF4EC7"/>
    <w:rsid w:val="00BF6CB7"/>
    <w:rsid w:val="00C03B10"/>
    <w:rsid w:val="00C05733"/>
    <w:rsid w:val="00C05C2D"/>
    <w:rsid w:val="00C13626"/>
    <w:rsid w:val="00C143AE"/>
    <w:rsid w:val="00C163DE"/>
    <w:rsid w:val="00C2097B"/>
    <w:rsid w:val="00C20D18"/>
    <w:rsid w:val="00C213F8"/>
    <w:rsid w:val="00C21A87"/>
    <w:rsid w:val="00C22BF6"/>
    <w:rsid w:val="00C232E3"/>
    <w:rsid w:val="00C234F5"/>
    <w:rsid w:val="00C24509"/>
    <w:rsid w:val="00C24DD6"/>
    <w:rsid w:val="00C3368E"/>
    <w:rsid w:val="00C34BA3"/>
    <w:rsid w:val="00C35A3D"/>
    <w:rsid w:val="00C41489"/>
    <w:rsid w:val="00C42A57"/>
    <w:rsid w:val="00C42C04"/>
    <w:rsid w:val="00C43C84"/>
    <w:rsid w:val="00C45091"/>
    <w:rsid w:val="00C47EBB"/>
    <w:rsid w:val="00C5094F"/>
    <w:rsid w:val="00C51F15"/>
    <w:rsid w:val="00C51F50"/>
    <w:rsid w:val="00C5264C"/>
    <w:rsid w:val="00C564B9"/>
    <w:rsid w:val="00C6195A"/>
    <w:rsid w:val="00C629A9"/>
    <w:rsid w:val="00C65595"/>
    <w:rsid w:val="00C66770"/>
    <w:rsid w:val="00C709B9"/>
    <w:rsid w:val="00C73FD6"/>
    <w:rsid w:val="00C74245"/>
    <w:rsid w:val="00C83404"/>
    <w:rsid w:val="00C9213E"/>
    <w:rsid w:val="00C92663"/>
    <w:rsid w:val="00C92DDD"/>
    <w:rsid w:val="00C95879"/>
    <w:rsid w:val="00CA1AA3"/>
    <w:rsid w:val="00CA4D08"/>
    <w:rsid w:val="00CA55B4"/>
    <w:rsid w:val="00CA6B9B"/>
    <w:rsid w:val="00CB13A3"/>
    <w:rsid w:val="00CB2153"/>
    <w:rsid w:val="00CB5A9F"/>
    <w:rsid w:val="00CC02A1"/>
    <w:rsid w:val="00CC085B"/>
    <w:rsid w:val="00CC5385"/>
    <w:rsid w:val="00CD0449"/>
    <w:rsid w:val="00CD0807"/>
    <w:rsid w:val="00CD4F66"/>
    <w:rsid w:val="00CD6B52"/>
    <w:rsid w:val="00CD7122"/>
    <w:rsid w:val="00CD7FB9"/>
    <w:rsid w:val="00CF04CA"/>
    <w:rsid w:val="00CF1293"/>
    <w:rsid w:val="00CF46EE"/>
    <w:rsid w:val="00CF5F4A"/>
    <w:rsid w:val="00CF6412"/>
    <w:rsid w:val="00D005CF"/>
    <w:rsid w:val="00D042B0"/>
    <w:rsid w:val="00D0475F"/>
    <w:rsid w:val="00D048B9"/>
    <w:rsid w:val="00D10D9F"/>
    <w:rsid w:val="00D12C1A"/>
    <w:rsid w:val="00D14796"/>
    <w:rsid w:val="00D148A7"/>
    <w:rsid w:val="00D2027F"/>
    <w:rsid w:val="00D30E70"/>
    <w:rsid w:val="00D3340E"/>
    <w:rsid w:val="00D40ACF"/>
    <w:rsid w:val="00D4381E"/>
    <w:rsid w:val="00D45200"/>
    <w:rsid w:val="00D46508"/>
    <w:rsid w:val="00D467EC"/>
    <w:rsid w:val="00D516CC"/>
    <w:rsid w:val="00D5489B"/>
    <w:rsid w:val="00D57605"/>
    <w:rsid w:val="00D60A92"/>
    <w:rsid w:val="00D62233"/>
    <w:rsid w:val="00D66F40"/>
    <w:rsid w:val="00D82FBB"/>
    <w:rsid w:val="00D83815"/>
    <w:rsid w:val="00D840F1"/>
    <w:rsid w:val="00D84318"/>
    <w:rsid w:val="00D940EE"/>
    <w:rsid w:val="00D96506"/>
    <w:rsid w:val="00DA0FFC"/>
    <w:rsid w:val="00DA46BC"/>
    <w:rsid w:val="00DA6A73"/>
    <w:rsid w:val="00DA7A9E"/>
    <w:rsid w:val="00DB0D43"/>
    <w:rsid w:val="00DB1B95"/>
    <w:rsid w:val="00DB3A0F"/>
    <w:rsid w:val="00DB71CC"/>
    <w:rsid w:val="00DB724A"/>
    <w:rsid w:val="00DC018E"/>
    <w:rsid w:val="00DC503E"/>
    <w:rsid w:val="00DC5C6C"/>
    <w:rsid w:val="00DC7781"/>
    <w:rsid w:val="00DD02AB"/>
    <w:rsid w:val="00DD2C31"/>
    <w:rsid w:val="00DD34BD"/>
    <w:rsid w:val="00DD4501"/>
    <w:rsid w:val="00DD532D"/>
    <w:rsid w:val="00DD5E96"/>
    <w:rsid w:val="00DD7B35"/>
    <w:rsid w:val="00DE172F"/>
    <w:rsid w:val="00DE72C7"/>
    <w:rsid w:val="00DF17D0"/>
    <w:rsid w:val="00DF4BC3"/>
    <w:rsid w:val="00DF63C8"/>
    <w:rsid w:val="00E01F71"/>
    <w:rsid w:val="00E03265"/>
    <w:rsid w:val="00E16793"/>
    <w:rsid w:val="00E17B63"/>
    <w:rsid w:val="00E208D8"/>
    <w:rsid w:val="00E20B79"/>
    <w:rsid w:val="00E21ED4"/>
    <w:rsid w:val="00E2418A"/>
    <w:rsid w:val="00E30A74"/>
    <w:rsid w:val="00E34F87"/>
    <w:rsid w:val="00E373EB"/>
    <w:rsid w:val="00E37A9A"/>
    <w:rsid w:val="00E42E7D"/>
    <w:rsid w:val="00E43C92"/>
    <w:rsid w:val="00E4613B"/>
    <w:rsid w:val="00E51365"/>
    <w:rsid w:val="00E52998"/>
    <w:rsid w:val="00E54081"/>
    <w:rsid w:val="00E56110"/>
    <w:rsid w:val="00E5652D"/>
    <w:rsid w:val="00E57C1C"/>
    <w:rsid w:val="00E65ED4"/>
    <w:rsid w:val="00E727F7"/>
    <w:rsid w:val="00E7342B"/>
    <w:rsid w:val="00E75BE7"/>
    <w:rsid w:val="00E76B5A"/>
    <w:rsid w:val="00E77030"/>
    <w:rsid w:val="00E777E2"/>
    <w:rsid w:val="00E80408"/>
    <w:rsid w:val="00E81AD6"/>
    <w:rsid w:val="00E81D06"/>
    <w:rsid w:val="00E84313"/>
    <w:rsid w:val="00E9277F"/>
    <w:rsid w:val="00E940FD"/>
    <w:rsid w:val="00E97B22"/>
    <w:rsid w:val="00EA2261"/>
    <w:rsid w:val="00EA2CF9"/>
    <w:rsid w:val="00EA6B0F"/>
    <w:rsid w:val="00EB0969"/>
    <w:rsid w:val="00EB2FA1"/>
    <w:rsid w:val="00EB4A81"/>
    <w:rsid w:val="00EB5A07"/>
    <w:rsid w:val="00EB6AEB"/>
    <w:rsid w:val="00EC1B91"/>
    <w:rsid w:val="00EC6362"/>
    <w:rsid w:val="00ED57ED"/>
    <w:rsid w:val="00EE0071"/>
    <w:rsid w:val="00EE0717"/>
    <w:rsid w:val="00EE5A42"/>
    <w:rsid w:val="00EE5D1A"/>
    <w:rsid w:val="00EE5E4D"/>
    <w:rsid w:val="00EF2BF4"/>
    <w:rsid w:val="00EF68A8"/>
    <w:rsid w:val="00EF6FE4"/>
    <w:rsid w:val="00EF77A9"/>
    <w:rsid w:val="00F023CD"/>
    <w:rsid w:val="00F045D0"/>
    <w:rsid w:val="00F06C09"/>
    <w:rsid w:val="00F06DAB"/>
    <w:rsid w:val="00F0754C"/>
    <w:rsid w:val="00F11F98"/>
    <w:rsid w:val="00F133F8"/>
    <w:rsid w:val="00F13F98"/>
    <w:rsid w:val="00F178EC"/>
    <w:rsid w:val="00F2115A"/>
    <w:rsid w:val="00F27878"/>
    <w:rsid w:val="00F33AB9"/>
    <w:rsid w:val="00F36A0E"/>
    <w:rsid w:val="00F40917"/>
    <w:rsid w:val="00F46C02"/>
    <w:rsid w:val="00F5269C"/>
    <w:rsid w:val="00F52773"/>
    <w:rsid w:val="00F52A6C"/>
    <w:rsid w:val="00F52F54"/>
    <w:rsid w:val="00F5638D"/>
    <w:rsid w:val="00F56E7B"/>
    <w:rsid w:val="00F60C26"/>
    <w:rsid w:val="00F61298"/>
    <w:rsid w:val="00F61FD2"/>
    <w:rsid w:val="00F62CE8"/>
    <w:rsid w:val="00F706FA"/>
    <w:rsid w:val="00F74F4C"/>
    <w:rsid w:val="00F8550E"/>
    <w:rsid w:val="00F85DA2"/>
    <w:rsid w:val="00F86394"/>
    <w:rsid w:val="00F907A3"/>
    <w:rsid w:val="00F92ED9"/>
    <w:rsid w:val="00F94DDF"/>
    <w:rsid w:val="00FA0170"/>
    <w:rsid w:val="00FA2121"/>
    <w:rsid w:val="00FA3F3A"/>
    <w:rsid w:val="00FA44BB"/>
    <w:rsid w:val="00FA6A38"/>
    <w:rsid w:val="00FB022B"/>
    <w:rsid w:val="00FB3332"/>
    <w:rsid w:val="00FB353D"/>
    <w:rsid w:val="00FB3668"/>
    <w:rsid w:val="00FC0A65"/>
    <w:rsid w:val="00FC6D3D"/>
    <w:rsid w:val="00FC7548"/>
    <w:rsid w:val="00FD046D"/>
    <w:rsid w:val="00FD55B8"/>
    <w:rsid w:val="00FD629B"/>
    <w:rsid w:val="00FD731F"/>
    <w:rsid w:val="00FD755D"/>
    <w:rsid w:val="00FE05B6"/>
    <w:rsid w:val="00FE087D"/>
    <w:rsid w:val="00FE7238"/>
    <w:rsid w:val="00FE7D11"/>
    <w:rsid w:val="00FF0D1C"/>
    <w:rsid w:val="00FF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67CE"/>
  <w15:chartTrackingRefBased/>
  <w15:docId w15:val="{0AE25653-FF73-4C23-B469-A85FA811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CE8"/>
    <w:rPr>
      <w:rFonts w:ascii="Segoe UI" w:hAnsi="Segoe UI" w:cs="Segoe UI"/>
      <w:sz w:val="18"/>
      <w:szCs w:val="18"/>
    </w:rPr>
  </w:style>
  <w:style w:type="table" w:styleId="TableGrid">
    <w:name w:val="Table Grid"/>
    <w:basedOn w:val="TableNormal"/>
    <w:uiPriority w:val="59"/>
    <w:rsid w:val="004D6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BAE"/>
    <w:pPr>
      <w:spacing w:after="0" w:line="240" w:lineRule="auto"/>
      <w:ind w:left="720"/>
      <w:contextualSpacing/>
    </w:pPr>
    <w:rPr>
      <w:rFonts w:ascii="Calibri" w:hAnsi="Calibri" w:cs="Times New Roman"/>
    </w:rPr>
  </w:style>
  <w:style w:type="character" w:styleId="CommentReference">
    <w:name w:val="annotation reference"/>
    <w:basedOn w:val="DefaultParagraphFont"/>
    <w:uiPriority w:val="99"/>
    <w:semiHidden/>
    <w:unhideWhenUsed/>
    <w:rsid w:val="005664D5"/>
    <w:rPr>
      <w:sz w:val="16"/>
      <w:szCs w:val="16"/>
    </w:rPr>
  </w:style>
  <w:style w:type="paragraph" w:styleId="CommentText">
    <w:name w:val="annotation text"/>
    <w:basedOn w:val="Normal"/>
    <w:link w:val="CommentTextChar"/>
    <w:uiPriority w:val="99"/>
    <w:semiHidden/>
    <w:unhideWhenUsed/>
    <w:rsid w:val="005664D5"/>
    <w:pPr>
      <w:spacing w:line="240" w:lineRule="auto"/>
    </w:pPr>
    <w:rPr>
      <w:sz w:val="20"/>
      <w:szCs w:val="20"/>
    </w:rPr>
  </w:style>
  <w:style w:type="character" w:customStyle="1" w:styleId="CommentTextChar">
    <w:name w:val="Comment Text Char"/>
    <w:basedOn w:val="DefaultParagraphFont"/>
    <w:link w:val="CommentText"/>
    <w:uiPriority w:val="99"/>
    <w:semiHidden/>
    <w:rsid w:val="005664D5"/>
    <w:rPr>
      <w:sz w:val="20"/>
      <w:szCs w:val="20"/>
    </w:rPr>
  </w:style>
  <w:style w:type="paragraph" w:styleId="CommentSubject">
    <w:name w:val="annotation subject"/>
    <w:basedOn w:val="CommentText"/>
    <w:next w:val="CommentText"/>
    <w:link w:val="CommentSubjectChar"/>
    <w:uiPriority w:val="99"/>
    <w:semiHidden/>
    <w:unhideWhenUsed/>
    <w:rsid w:val="005664D5"/>
    <w:rPr>
      <w:b/>
      <w:bCs/>
    </w:rPr>
  </w:style>
  <w:style w:type="character" w:customStyle="1" w:styleId="CommentSubjectChar">
    <w:name w:val="Comment Subject Char"/>
    <w:basedOn w:val="CommentTextChar"/>
    <w:link w:val="CommentSubject"/>
    <w:uiPriority w:val="99"/>
    <w:semiHidden/>
    <w:rsid w:val="005664D5"/>
    <w:rPr>
      <w:b/>
      <w:bCs/>
      <w:sz w:val="20"/>
      <w:szCs w:val="20"/>
    </w:rPr>
  </w:style>
  <w:style w:type="paragraph" w:styleId="Header">
    <w:name w:val="header"/>
    <w:basedOn w:val="Normal"/>
    <w:link w:val="HeaderChar"/>
    <w:uiPriority w:val="99"/>
    <w:unhideWhenUsed/>
    <w:rsid w:val="00C51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F50"/>
  </w:style>
  <w:style w:type="paragraph" w:styleId="Footer">
    <w:name w:val="footer"/>
    <w:basedOn w:val="Normal"/>
    <w:link w:val="FooterChar"/>
    <w:uiPriority w:val="99"/>
    <w:unhideWhenUsed/>
    <w:rsid w:val="00C51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83815">
      <w:bodyDiv w:val="1"/>
      <w:marLeft w:val="0"/>
      <w:marRight w:val="0"/>
      <w:marTop w:val="0"/>
      <w:marBottom w:val="0"/>
      <w:divBdr>
        <w:top w:val="none" w:sz="0" w:space="0" w:color="auto"/>
        <w:left w:val="none" w:sz="0" w:space="0" w:color="auto"/>
        <w:bottom w:val="none" w:sz="0" w:space="0" w:color="auto"/>
        <w:right w:val="none" w:sz="0" w:space="0" w:color="auto"/>
      </w:divBdr>
    </w:div>
    <w:div w:id="1005284879">
      <w:bodyDiv w:val="1"/>
      <w:marLeft w:val="0"/>
      <w:marRight w:val="0"/>
      <w:marTop w:val="0"/>
      <w:marBottom w:val="0"/>
      <w:divBdr>
        <w:top w:val="none" w:sz="0" w:space="0" w:color="auto"/>
        <w:left w:val="none" w:sz="0" w:space="0" w:color="auto"/>
        <w:bottom w:val="none" w:sz="0" w:space="0" w:color="auto"/>
        <w:right w:val="none" w:sz="0" w:space="0" w:color="auto"/>
      </w:divBdr>
    </w:div>
    <w:div w:id="177767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Maine 3-year NRS Enrollment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'B-For PY20'!$B$5</c:f>
              <c:strCache>
                <c:ptCount val="1"/>
                <c:pt idx="0">
                  <c:v>TOTAL NRS Enrollment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'B-For PY20'!$C$4:$E$4</c:f>
              <c:strCache>
                <c:ptCount val="3"/>
                <c:pt idx="0">
                  <c:v>PY18</c:v>
                </c:pt>
                <c:pt idx="1">
                  <c:v>PY19</c:v>
                </c:pt>
                <c:pt idx="2">
                  <c:v>PY20</c:v>
                </c:pt>
              </c:strCache>
            </c:strRef>
          </c:cat>
          <c:val>
            <c:numRef>
              <c:f>'B-For PY20'!$C$5:$E$5</c:f>
              <c:numCache>
                <c:formatCode>General</c:formatCode>
                <c:ptCount val="3"/>
                <c:pt idx="0">
                  <c:v>5884</c:v>
                </c:pt>
                <c:pt idx="1">
                  <c:v>4875</c:v>
                </c:pt>
                <c:pt idx="2">
                  <c:v>4072</c:v>
                </c:pt>
              </c:numCache>
            </c:numRef>
          </c:val>
          <c:smooth val="0"/>
          <c:extLst>
            <c:ext xmlns:c16="http://schemas.microsoft.com/office/drawing/2014/chart" uri="{C3380CC4-5D6E-409C-BE32-E72D297353CC}">
              <c16:uniqueId val="{00000000-88C5-4F91-A451-B2D7C7B734E8}"/>
            </c:ext>
          </c:extLst>
        </c:ser>
        <c:ser>
          <c:idx val="1"/>
          <c:order val="1"/>
          <c:tx>
            <c:strRef>
              <c:f>'B-For PY20'!$B$6</c:f>
              <c:strCache>
                <c:ptCount val="1"/>
                <c:pt idx="0">
                  <c:v>ABE Enrollment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'B-For PY20'!$C$4:$E$4</c:f>
              <c:strCache>
                <c:ptCount val="3"/>
                <c:pt idx="0">
                  <c:v>PY18</c:v>
                </c:pt>
                <c:pt idx="1">
                  <c:v>PY19</c:v>
                </c:pt>
                <c:pt idx="2">
                  <c:v>PY20</c:v>
                </c:pt>
              </c:strCache>
            </c:strRef>
          </c:cat>
          <c:val>
            <c:numRef>
              <c:f>'B-For PY20'!$C$6:$E$6</c:f>
              <c:numCache>
                <c:formatCode>General</c:formatCode>
                <c:ptCount val="3"/>
                <c:pt idx="0">
                  <c:v>3783</c:v>
                </c:pt>
                <c:pt idx="1">
                  <c:v>2935</c:v>
                </c:pt>
                <c:pt idx="2">
                  <c:v>2678</c:v>
                </c:pt>
              </c:numCache>
            </c:numRef>
          </c:val>
          <c:smooth val="0"/>
          <c:extLst>
            <c:ext xmlns:c16="http://schemas.microsoft.com/office/drawing/2014/chart" uri="{C3380CC4-5D6E-409C-BE32-E72D297353CC}">
              <c16:uniqueId val="{00000001-88C5-4F91-A451-B2D7C7B734E8}"/>
            </c:ext>
          </c:extLst>
        </c:ser>
        <c:ser>
          <c:idx val="2"/>
          <c:order val="2"/>
          <c:tx>
            <c:strRef>
              <c:f>'B-For PY20'!$B$7</c:f>
              <c:strCache>
                <c:ptCount val="1"/>
                <c:pt idx="0">
                  <c:v>ESL Enrollment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'B-For PY20'!$C$4:$E$4</c:f>
              <c:strCache>
                <c:ptCount val="3"/>
                <c:pt idx="0">
                  <c:v>PY18</c:v>
                </c:pt>
                <c:pt idx="1">
                  <c:v>PY19</c:v>
                </c:pt>
                <c:pt idx="2">
                  <c:v>PY20</c:v>
                </c:pt>
              </c:strCache>
            </c:strRef>
          </c:cat>
          <c:val>
            <c:numRef>
              <c:f>'B-For PY20'!$C$7:$E$7</c:f>
              <c:numCache>
                <c:formatCode>General</c:formatCode>
                <c:ptCount val="3"/>
                <c:pt idx="0">
                  <c:v>2101</c:v>
                </c:pt>
                <c:pt idx="1">
                  <c:v>1940</c:v>
                </c:pt>
                <c:pt idx="2">
                  <c:v>1394</c:v>
                </c:pt>
              </c:numCache>
            </c:numRef>
          </c:val>
          <c:smooth val="0"/>
          <c:extLst>
            <c:ext xmlns:c16="http://schemas.microsoft.com/office/drawing/2014/chart" uri="{C3380CC4-5D6E-409C-BE32-E72D297353CC}">
              <c16:uniqueId val="{00000002-88C5-4F91-A451-B2D7C7B734E8}"/>
            </c:ext>
          </c:extLst>
        </c:ser>
        <c:dLbls>
          <c:showLegendKey val="0"/>
          <c:showVal val="0"/>
          <c:showCatName val="0"/>
          <c:showSerName val="0"/>
          <c:showPercent val="0"/>
          <c:showBubbleSize val="0"/>
        </c:dLbls>
        <c:marker val="1"/>
        <c:smooth val="0"/>
        <c:axId val="578589816"/>
        <c:axId val="578590472"/>
      </c:lineChart>
      <c:catAx>
        <c:axId val="578589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578590472"/>
        <c:crosses val="autoZero"/>
        <c:auto val="1"/>
        <c:lblAlgn val="ctr"/>
        <c:lblOffset val="100"/>
        <c:noMultiLvlLbl val="0"/>
      </c:catAx>
      <c:valAx>
        <c:axId val="578590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578589816"/>
        <c:crosses val="autoZero"/>
        <c:crossBetween val="between"/>
      </c:valAx>
      <c:spPr>
        <a:noFill/>
        <a:ln>
          <a:noFill/>
        </a:ln>
        <a:effectLst/>
      </c:spPr>
    </c:plotArea>
    <c:legend>
      <c:legendPos val="b"/>
      <c:layout>
        <c:manualLayout>
          <c:xMode val="edge"/>
          <c:yMode val="edge"/>
          <c:x val="2.9443356617459861E-2"/>
          <c:y val="0.82642380397815285"/>
          <c:w val="0.9594455380577428"/>
          <c:h val="0.13821035213007885"/>
        </c:manualLayout>
      </c:layout>
      <c:overlay val="0"/>
      <c:spPr>
        <a:noFill/>
        <a:ln w="3175">
          <a:solidFill>
            <a:schemeClr val="bg2"/>
          </a:solid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317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550462dbb501add44aa361739b3d613c">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020bccc98bc333b75d38f605b9682d36"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33847-BCB6-413A-8FBD-728CB1CF7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B0B0E1-903D-4F0E-A142-994267A642FA}">
  <ds:schemaRefs>
    <ds:schemaRef ds:uri="http://schemas.microsoft.com/sharepoint/v3/contenttype/forms"/>
  </ds:schemaRefs>
</ds:datastoreItem>
</file>

<file path=customXml/itemProps3.xml><?xml version="1.0" encoding="utf-8"?>
<ds:datastoreItem xmlns:ds="http://schemas.openxmlformats.org/officeDocument/2006/customXml" ds:itemID="{8E5F5289-BB33-4921-8CC2-96BDE328A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3706</Words>
  <Characters>21127</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Poland, Amy</dc:creator>
  <cp:keywords/>
  <dc:description/>
  <cp:lastModifiedBy>Washington, Stephanie</cp:lastModifiedBy>
  <cp:revision>2</cp:revision>
  <dcterms:created xsi:type="dcterms:W3CDTF">2022-03-22T16:00:00Z</dcterms:created>
  <dcterms:modified xsi:type="dcterms:W3CDTF">2022-03-22T16:00:00Z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