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C31F" w14:textId="161BD4E2" w:rsidR="00434278" w:rsidRPr="00E95B72" w:rsidRDefault="00E95B72" w:rsidP="00E95B72">
      <w:pPr>
        <w:jc w:val="center"/>
        <w:rPr>
          <w:rFonts w:ascii="Times New Roman" w:hAnsi="Times New Roman" w:cs="Times New Roman"/>
          <w:b/>
          <w:bCs/>
        </w:rPr>
      </w:pPr>
      <w:r w:rsidRPr="00E95B72">
        <w:rPr>
          <w:rFonts w:ascii="Times New Roman" w:hAnsi="Times New Roman" w:cs="Times New Roman"/>
          <w:b/>
          <w:bCs/>
        </w:rPr>
        <w:t xml:space="preserve">Arkansas Narrative Report </w:t>
      </w:r>
      <w:r w:rsidR="009E481D" w:rsidRPr="00E95B72">
        <w:rPr>
          <w:rFonts w:ascii="Times New Roman" w:hAnsi="Times New Roman" w:cs="Times New Roman"/>
          <w:b/>
          <w:bCs/>
        </w:rPr>
        <w:t>2020-2021</w:t>
      </w:r>
    </w:p>
    <w:p w14:paraId="59F24A33" w14:textId="77777777" w:rsidR="00043DCA" w:rsidRPr="00043DCA" w:rsidRDefault="00043DCA" w:rsidP="00043DCA">
      <w:pPr>
        <w:pStyle w:val="NoSpacing"/>
        <w:spacing w:after="60"/>
        <w:rPr>
          <w:rFonts w:ascii="Times New Roman" w:hAnsi="Times New Roman" w:cs="Times New Roman"/>
          <w:b/>
          <w:u w:val="single"/>
        </w:rPr>
      </w:pPr>
      <w:r w:rsidRPr="00043DCA">
        <w:rPr>
          <w:rFonts w:ascii="Times New Roman" w:hAnsi="Times New Roman" w:cs="Times New Roman"/>
          <w:b/>
          <w:u w:val="single"/>
        </w:rPr>
        <w:t xml:space="preserve">1. State Leadership Funds: </w:t>
      </w:r>
    </w:p>
    <w:p w14:paraId="3F157725" w14:textId="77777777" w:rsidR="00043DCA" w:rsidRPr="00043DCA" w:rsidRDefault="00043DCA" w:rsidP="00043DCA">
      <w:pPr>
        <w:pStyle w:val="NoSpacing"/>
        <w:spacing w:after="60"/>
        <w:rPr>
          <w:rFonts w:ascii="Times New Roman" w:hAnsi="Times New Roman" w:cs="Times New Roman"/>
          <w:b/>
          <w:i/>
        </w:rPr>
      </w:pPr>
      <w:r w:rsidRPr="00043DCA">
        <w:rPr>
          <w:rFonts w:ascii="Times New Roman" w:hAnsi="Times New Roman" w:cs="Times New Roman"/>
          <w:b/>
          <w:i/>
        </w:rPr>
        <w:t xml:space="preserve">(a) Describe how the State has used funds made available under section 223 (State Leadership activities) for each of the following required activities: </w:t>
      </w:r>
    </w:p>
    <w:p w14:paraId="7DAD9D33" w14:textId="77777777" w:rsidR="00043DCA" w:rsidRDefault="00043DCA" w:rsidP="00434278">
      <w:pPr>
        <w:rPr>
          <w:rFonts w:ascii="Times New Roman" w:hAnsi="Times New Roman" w:cs="Times New Roman"/>
          <w:b/>
          <w:bCs/>
          <w:i/>
          <w:iCs/>
        </w:rPr>
      </w:pPr>
    </w:p>
    <w:p w14:paraId="71FE312C" w14:textId="1A53032D" w:rsidR="00434278" w:rsidRPr="00043DCA" w:rsidRDefault="00434278" w:rsidP="00434278">
      <w:pPr>
        <w:rPr>
          <w:rFonts w:ascii="Times New Roman" w:hAnsi="Times New Roman" w:cs="Times New Roman"/>
          <w:b/>
          <w:bCs/>
          <w:i/>
          <w:iCs/>
        </w:rPr>
      </w:pPr>
      <w:r w:rsidRPr="00043DCA">
        <w:rPr>
          <w:rFonts w:ascii="Times New Roman" w:hAnsi="Times New Roman" w:cs="Times New Roman"/>
          <w:b/>
          <w:bCs/>
          <w:i/>
          <w:iCs/>
        </w:rPr>
        <w:t>Alignment of adult education and literacy activities with other one-stop partners to implement the strategies in the Unified or Combined State Plan as described in section 223(1)(a).</w:t>
      </w:r>
    </w:p>
    <w:p w14:paraId="3FB14FAF" w14:textId="3B80FC59" w:rsidR="00434278" w:rsidRPr="004550C0" w:rsidRDefault="00434278" w:rsidP="00434278">
      <w:pPr>
        <w:rPr>
          <w:rFonts w:ascii="Times New Roman" w:hAnsi="Times New Roman" w:cs="Times New Roman"/>
        </w:rPr>
      </w:pPr>
      <w:r w:rsidRPr="004550C0">
        <w:rPr>
          <w:rFonts w:ascii="Times New Roman" w:hAnsi="Times New Roman" w:cs="Times New Roman"/>
        </w:rPr>
        <w:t>The Arkansas Division of Workforce Services/Adult Education Section (ADWS/AES) in conjunction with the Arkansas Adult Learning Resource Center (AALRC) strives to create and implement level-appropriate training programs tailored specifically to adult learners, with an end goal of increasing student achievement that leads to gainful employment or post-secondary education</w:t>
      </w:r>
      <w:r w:rsidR="003C6CF5" w:rsidRPr="004550C0">
        <w:rPr>
          <w:rFonts w:ascii="Times New Roman" w:hAnsi="Times New Roman" w:cs="Times New Roman"/>
        </w:rPr>
        <w:t>/career training</w:t>
      </w:r>
      <w:r w:rsidR="00F54064" w:rsidRPr="004550C0">
        <w:rPr>
          <w:rFonts w:ascii="Times New Roman" w:hAnsi="Times New Roman" w:cs="Times New Roman"/>
        </w:rPr>
        <w:t>.</w:t>
      </w:r>
      <w:r w:rsidRPr="004550C0">
        <w:rPr>
          <w:rFonts w:ascii="Times New Roman" w:hAnsi="Times New Roman" w:cs="Times New Roman"/>
        </w:rPr>
        <w:t xml:space="preserve"> ADWS/AES and AALRC work with core one-stop partners regularly to ensure that a comprehensive program of adult education services is provided which meet the needs of students. Collaborating with our core one-stop partners allows input from all involved, providing more comprehensive and effective programming. An adult education provider serves on each Local Workforce Development Board (LWDB) and </w:t>
      </w:r>
      <w:r w:rsidR="00F54064" w:rsidRPr="004550C0">
        <w:rPr>
          <w:rFonts w:ascii="Times New Roman" w:hAnsi="Times New Roman" w:cs="Times New Roman"/>
        </w:rPr>
        <w:t xml:space="preserve">all providers are asked to attend the meeting for their respective service </w:t>
      </w:r>
      <w:r w:rsidR="00C12516" w:rsidRPr="004550C0">
        <w:rPr>
          <w:rFonts w:ascii="Times New Roman" w:hAnsi="Times New Roman" w:cs="Times New Roman"/>
        </w:rPr>
        <w:t>area.</w:t>
      </w:r>
      <w:r w:rsidRPr="004550C0">
        <w:rPr>
          <w:rFonts w:ascii="Times New Roman" w:hAnsi="Times New Roman" w:cs="Times New Roman"/>
        </w:rPr>
        <w:t xml:space="preserve"> It is during these meetings that adult education</w:t>
      </w:r>
      <w:r w:rsidR="00C12516">
        <w:rPr>
          <w:rFonts w:ascii="Times New Roman" w:hAnsi="Times New Roman" w:cs="Times New Roman"/>
        </w:rPr>
        <w:t xml:space="preserve"> directors</w:t>
      </w:r>
      <w:r w:rsidRPr="004550C0">
        <w:rPr>
          <w:rFonts w:ascii="Times New Roman" w:hAnsi="Times New Roman" w:cs="Times New Roman"/>
        </w:rPr>
        <w:t xml:space="preserve"> </w:t>
      </w:r>
      <w:r w:rsidR="00C12516">
        <w:rPr>
          <w:rFonts w:ascii="Times New Roman" w:hAnsi="Times New Roman" w:cs="Times New Roman"/>
        </w:rPr>
        <w:t>provide</w:t>
      </w:r>
      <w:r w:rsidRPr="004550C0">
        <w:rPr>
          <w:rFonts w:ascii="Times New Roman" w:hAnsi="Times New Roman" w:cs="Times New Roman"/>
        </w:rPr>
        <w:t xml:space="preserve"> information regarding</w:t>
      </w:r>
      <w:r w:rsidR="00C12516">
        <w:rPr>
          <w:rFonts w:ascii="Times New Roman" w:hAnsi="Times New Roman" w:cs="Times New Roman"/>
        </w:rPr>
        <w:t xml:space="preserve"> services, </w:t>
      </w:r>
      <w:r w:rsidR="00C12516" w:rsidRPr="004550C0">
        <w:rPr>
          <w:rFonts w:ascii="Times New Roman" w:hAnsi="Times New Roman" w:cs="Times New Roman"/>
        </w:rPr>
        <w:t>share</w:t>
      </w:r>
      <w:r w:rsidRPr="004550C0">
        <w:rPr>
          <w:rFonts w:ascii="Times New Roman" w:hAnsi="Times New Roman" w:cs="Times New Roman"/>
        </w:rPr>
        <w:t xml:space="preserve"> current performance data</w:t>
      </w:r>
      <w:r w:rsidR="00F54064" w:rsidRPr="004550C0">
        <w:rPr>
          <w:rFonts w:ascii="Times New Roman" w:hAnsi="Times New Roman" w:cs="Times New Roman"/>
        </w:rPr>
        <w:t>, and identify collaboration opportunities</w:t>
      </w:r>
      <w:r w:rsidRPr="004550C0">
        <w:rPr>
          <w:rFonts w:ascii="Times New Roman" w:hAnsi="Times New Roman" w:cs="Times New Roman"/>
        </w:rPr>
        <w:t xml:space="preserve">. Several providers share the minutes of the meeting with </w:t>
      </w:r>
      <w:r w:rsidR="00F54064" w:rsidRPr="004550C0">
        <w:rPr>
          <w:rFonts w:ascii="Times New Roman" w:hAnsi="Times New Roman" w:cs="Times New Roman"/>
        </w:rPr>
        <w:t>ADWS/AES</w:t>
      </w:r>
      <w:r w:rsidR="00C12516">
        <w:rPr>
          <w:rFonts w:ascii="Times New Roman" w:hAnsi="Times New Roman" w:cs="Times New Roman"/>
        </w:rPr>
        <w:t xml:space="preserve"> staff</w:t>
      </w:r>
      <w:r w:rsidRPr="004550C0">
        <w:rPr>
          <w:rFonts w:ascii="Times New Roman" w:hAnsi="Times New Roman" w:cs="Times New Roman"/>
        </w:rPr>
        <w:t xml:space="preserve">. In addition, twice a year, the WIOA Core Partners gather for a conference to discuss and report pertinent updates concerning their program. This conference allows partners to share details of what each program entails – success stories, areas of growth, etc. and provides opportunities for additional collaboration. </w:t>
      </w:r>
      <w:r w:rsidR="00F54064" w:rsidRPr="004550C0">
        <w:rPr>
          <w:rFonts w:ascii="Times New Roman" w:hAnsi="Times New Roman" w:cs="Times New Roman"/>
        </w:rPr>
        <w:t xml:space="preserve"> In the 2020-21 </w:t>
      </w:r>
      <w:r w:rsidR="006D72D1" w:rsidRPr="004550C0">
        <w:rPr>
          <w:rFonts w:ascii="Times New Roman" w:hAnsi="Times New Roman" w:cs="Times New Roman"/>
        </w:rPr>
        <w:t>year, the group chose to meet virtually, due to COVID-19.</w:t>
      </w:r>
      <w:r w:rsidR="003C6CF5" w:rsidRPr="004550C0">
        <w:rPr>
          <w:rFonts w:ascii="Times New Roman" w:hAnsi="Times New Roman" w:cs="Times New Roman"/>
        </w:rPr>
        <w:t xml:space="preserve"> </w:t>
      </w:r>
    </w:p>
    <w:p w14:paraId="104AB93B" w14:textId="77777777" w:rsidR="00434278" w:rsidRPr="004550C0" w:rsidRDefault="00434278" w:rsidP="00434278">
      <w:pPr>
        <w:rPr>
          <w:rFonts w:ascii="Times New Roman" w:hAnsi="Times New Roman" w:cs="Times New Roman"/>
        </w:rPr>
      </w:pPr>
      <w:r w:rsidRPr="004550C0">
        <w:rPr>
          <w:rFonts w:ascii="Times New Roman" w:hAnsi="Times New Roman" w:cs="Times New Roman"/>
        </w:rPr>
        <w:t xml:space="preserve">Notable goals accomplished this program year through a collaborative effort include: </w:t>
      </w:r>
    </w:p>
    <w:p w14:paraId="1FB3CB59" w14:textId="33AC6942" w:rsidR="00434278" w:rsidRPr="004550C0" w:rsidRDefault="00434278" w:rsidP="00434278">
      <w:pPr>
        <w:rPr>
          <w:rFonts w:ascii="Times New Roman" w:hAnsi="Times New Roman" w:cs="Times New Roman"/>
        </w:rPr>
      </w:pPr>
      <w:r w:rsidRPr="004550C0">
        <w:rPr>
          <w:rFonts w:ascii="Times New Roman" w:hAnsi="Times New Roman" w:cs="Times New Roman"/>
        </w:rPr>
        <w:t>•</w:t>
      </w:r>
      <w:r w:rsidRPr="004550C0">
        <w:rPr>
          <w:rFonts w:ascii="Times New Roman" w:hAnsi="Times New Roman" w:cs="Times New Roman"/>
        </w:rPr>
        <w:tab/>
      </w:r>
      <w:r w:rsidR="003C6CF5" w:rsidRPr="004550C0">
        <w:rPr>
          <w:rFonts w:ascii="Times New Roman" w:hAnsi="Times New Roman" w:cs="Times New Roman"/>
        </w:rPr>
        <w:t>Beginning</w:t>
      </w:r>
      <w:r w:rsidRPr="004550C0">
        <w:rPr>
          <w:rFonts w:ascii="Times New Roman" w:hAnsi="Times New Roman" w:cs="Times New Roman"/>
        </w:rPr>
        <w:t xml:space="preserve"> of the </w:t>
      </w:r>
      <w:r w:rsidR="003C6CF5" w:rsidRPr="004550C0">
        <w:rPr>
          <w:rFonts w:ascii="Times New Roman" w:hAnsi="Times New Roman" w:cs="Times New Roman"/>
        </w:rPr>
        <w:t>2nd</w:t>
      </w:r>
      <w:r w:rsidRPr="004550C0">
        <w:rPr>
          <w:rFonts w:ascii="Times New Roman" w:hAnsi="Times New Roman" w:cs="Times New Roman"/>
        </w:rPr>
        <w:t xml:space="preserve"> year of Student Achievement in Reading (STAR) training for local programs. This training was provided by the Becki Lemke, LINCS Trainer through the Manhattan Strategies Group. </w:t>
      </w:r>
      <w:r w:rsidR="003C6CF5" w:rsidRPr="004550C0">
        <w:rPr>
          <w:rFonts w:ascii="Times New Roman" w:hAnsi="Times New Roman" w:cs="Times New Roman"/>
        </w:rPr>
        <w:t xml:space="preserve">There are three programs participating in the project. </w:t>
      </w:r>
    </w:p>
    <w:p w14:paraId="66E0E04B" w14:textId="62B2E129" w:rsidR="00434278" w:rsidRPr="004550C0" w:rsidRDefault="00434278" w:rsidP="00434278">
      <w:pPr>
        <w:rPr>
          <w:rFonts w:ascii="Times New Roman" w:hAnsi="Times New Roman" w:cs="Times New Roman"/>
        </w:rPr>
      </w:pPr>
      <w:r w:rsidRPr="004550C0">
        <w:rPr>
          <w:rFonts w:ascii="Times New Roman" w:hAnsi="Times New Roman" w:cs="Times New Roman"/>
        </w:rPr>
        <w:t>•</w:t>
      </w:r>
      <w:r w:rsidRPr="004550C0">
        <w:rPr>
          <w:rFonts w:ascii="Times New Roman" w:hAnsi="Times New Roman" w:cs="Times New Roman"/>
        </w:rPr>
        <w:tab/>
      </w:r>
      <w:r w:rsidR="006D72D1" w:rsidRPr="004550C0">
        <w:rPr>
          <w:rFonts w:ascii="Times New Roman" w:hAnsi="Times New Roman" w:cs="Times New Roman"/>
        </w:rPr>
        <w:t>The year</w:t>
      </w:r>
      <w:r w:rsidR="004D79EA" w:rsidRPr="004550C0">
        <w:rPr>
          <w:rFonts w:ascii="Times New Roman" w:hAnsi="Times New Roman" w:cs="Times New Roman"/>
        </w:rPr>
        <w:t xml:space="preserve"> </w:t>
      </w:r>
      <w:r w:rsidR="003C6CF5" w:rsidRPr="004550C0">
        <w:rPr>
          <w:rFonts w:ascii="Times New Roman" w:hAnsi="Times New Roman" w:cs="Times New Roman"/>
        </w:rPr>
        <w:t>was spent training programs on the new and improved</w:t>
      </w:r>
      <w:r w:rsidRPr="004550C0">
        <w:rPr>
          <w:rFonts w:ascii="Times New Roman" w:hAnsi="Times New Roman" w:cs="Times New Roman"/>
        </w:rPr>
        <w:t xml:space="preserve"> Workforce Alliance for Growth in the Economy (WAGE™) program </w:t>
      </w:r>
      <w:r w:rsidR="006D72D1" w:rsidRPr="004550C0">
        <w:rPr>
          <w:rFonts w:ascii="Times New Roman" w:hAnsi="Times New Roman" w:cs="Times New Roman"/>
        </w:rPr>
        <w:t>which i</w:t>
      </w:r>
      <w:r w:rsidRPr="004550C0">
        <w:rPr>
          <w:rFonts w:ascii="Times New Roman" w:hAnsi="Times New Roman" w:cs="Times New Roman"/>
        </w:rPr>
        <w:t>nclude</w:t>
      </w:r>
      <w:r w:rsidR="006D72D1" w:rsidRPr="004550C0">
        <w:rPr>
          <w:rFonts w:ascii="Times New Roman" w:hAnsi="Times New Roman" w:cs="Times New Roman"/>
        </w:rPr>
        <w:t>s</w:t>
      </w:r>
      <w:r w:rsidRPr="004550C0">
        <w:rPr>
          <w:rFonts w:ascii="Times New Roman" w:hAnsi="Times New Roman" w:cs="Times New Roman"/>
        </w:rPr>
        <w:t xml:space="preserve"> basic skills, workforce preparation, and industry recognized certificates to make it a statewide model for Integrated Education and Training (IET). </w:t>
      </w:r>
      <w:r w:rsidR="00C12516">
        <w:rPr>
          <w:rFonts w:ascii="Times New Roman" w:hAnsi="Times New Roman" w:cs="Times New Roman"/>
        </w:rPr>
        <w:t xml:space="preserve">We offered regional trainings across the state on how to integrate career pathways into the curriculum. </w:t>
      </w:r>
      <w:r w:rsidRPr="004550C0">
        <w:rPr>
          <w:rFonts w:ascii="Times New Roman" w:hAnsi="Times New Roman" w:cs="Times New Roman"/>
        </w:rPr>
        <w:t xml:space="preserve">ADWS/AES </w:t>
      </w:r>
      <w:r w:rsidR="004D79EA" w:rsidRPr="004550C0">
        <w:rPr>
          <w:rFonts w:ascii="Times New Roman" w:hAnsi="Times New Roman" w:cs="Times New Roman"/>
        </w:rPr>
        <w:t xml:space="preserve">continues to </w:t>
      </w:r>
      <w:r w:rsidRPr="004550C0">
        <w:rPr>
          <w:rFonts w:ascii="Times New Roman" w:hAnsi="Times New Roman" w:cs="Times New Roman"/>
        </w:rPr>
        <w:t>develop career pathways to provide students the opportunity to earn certificates in</w:t>
      </w:r>
      <w:r w:rsidR="006D72D1" w:rsidRPr="004550C0">
        <w:rPr>
          <w:rFonts w:ascii="Times New Roman" w:hAnsi="Times New Roman" w:cs="Times New Roman"/>
        </w:rPr>
        <w:t xml:space="preserve"> the areas of focus identified in 2019-20, which include:</w:t>
      </w:r>
      <w:r w:rsidRPr="004550C0">
        <w:rPr>
          <w:rFonts w:ascii="Times New Roman" w:hAnsi="Times New Roman" w:cs="Times New Roman"/>
        </w:rPr>
        <w:t xml:space="preserve"> Workforce Preparation, Hospitality and Tourism, Health Science, Business Management, Education and Training, and Manufacturing for later implementation to meet the needs identified by regional workforce development boards.</w:t>
      </w:r>
      <w:r w:rsidR="004D79EA" w:rsidRPr="004550C0">
        <w:rPr>
          <w:rFonts w:ascii="Times New Roman" w:hAnsi="Times New Roman" w:cs="Times New Roman"/>
        </w:rPr>
        <w:t xml:space="preserve"> </w:t>
      </w:r>
      <w:r w:rsidR="006D72D1" w:rsidRPr="004550C0">
        <w:rPr>
          <w:rFonts w:ascii="Times New Roman" w:hAnsi="Times New Roman" w:cs="Times New Roman"/>
        </w:rPr>
        <w:t>ADWS/AED has continued to expand by now providing opportunities for s</w:t>
      </w:r>
      <w:r w:rsidR="004D79EA" w:rsidRPr="004550C0">
        <w:rPr>
          <w:rFonts w:ascii="Times New Roman" w:hAnsi="Times New Roman" w:cs="Times New Roman"/>
        </w:rPr>
        <w:t>tudents</w:t>
      </w:r>
      <w:r w:rsidR="006D72D1" w:rsidRPr="004550C0">
        <w:rPr>
          <w:rFonts w:ascii="Times New Roman" w:hAnsi="Times New Roman" w:cs="Times New Roman"/>
        </w:rPr>
        <w:t xml:space="preserve"> to earn</w:t>
      </w:r>
      <w:r w:rsidR="00BE36D1" w:rsidRPr="004550C0">
        <w:rPr>
          <w:rFonts w:ascii="Times New Roman" w:hAnsi="Times New Roman" w:cs="Times New Roman"/>
        </w:rPr>
        <w:t xml:space="preserve"> </w:t>
      </w:r>
      <w:r w:rsidR="006D72D1" w:rsidRPr="004550C0">
        <w:rPr>
          <w:rFonts w:ascii="Times New Roman" w:hAnsi="Times New Roman" w:cs="Times New Roman"/>
        </w:rPr>
        <w:t>i</w:t>
      </w:r>
      <w:r w:rsidR="00BE36D1" w:rsidRPr="004550C0">
        <w:rPr>
          <w:rFonts w:ascii="Times New Roman" w:hAnsi="Times New Roman" w:cs="Times New Roman"/>
        </w:rPr>
        <w:t xml:space="preserve">ndustry </w:t>
      </w:r>
      <w:r w:rsidR="006D72D1" w:rsidRPr="004550C0">
        <w:rPr>
          <w:rFonts w:ascii="Times New Roman" w:hAnsi="Times New Roman" w:cs="Times New Roman"/>
        </w:rPr>
        <w:t>r</w:t>
      </w:r>
      <w:r w:rsidR="00BE36D1" w:rsidRPr="004550C0">
        <w:rPr>
          <w:rFonts w:ascii="Times New Roman" w:hAnsi="Times New Roman" w:cs="Times New Roman"/>
        </w:rPr>
        <w:t xml:space="preserve">ecognized </w:t>
      </w:r>
      <w:r w:rsidR="006D72D1" w:rsidRPr="004550C0">
        <w:rPr>
          <w:rFonts w:ascii="Times New Roman" w:hAnsi="Times New Roman" w:cs="Times New Roman"/>
        </w:rPr>
        <w:t>c</w:t>
      </w:r>
      <w:r w:rsidR="00BE36D1" w:rsidRPr="004550C0">
        <w:rPr>
          <w:rFonts w:ascii="Times New Roman" w:hAnsi="Times New Roman" w:cs="Times New Roman"/>
        </w:rPr>
        <w:t>ertificates in any of the 16 career pathways clusters</w:t>
      </w:r>
      <w:r w:rsidR="006D72D1" w:rsidRPr="004550C0">
        <w:rPr>
          <w:rFonts w:ascii="Times New Roman" w:hAnsi="Times New Roman" w:cs="Times New Roman"/>
        </w:rPr>
        <w:t xml:space="preserve"> through the WAGE™ program</w:t>
      </w:r>
      <w:r w:rsidR="00BE36D1" w:rsidRPr="004550C0">
        <w:rPr>
          <w:rFonts w:ascii="Times New Roman" w:hAnsi="Times New Roman" w:cs="Times New Roman"/>
        </w:rPr>
        <w:t xml:space="preserve">. </w:t>
      </w:r>
    </w:p>
    <w:p w14:paraId="5C097D9A" w14:textId="77777777" w:rsidR="00434278" w:rsidRPr="00043DCA" w:rsidRDefault="00434278" w:rsidP="00434278">
      <w:pPr>
        <w:rPr>
          <w:rFonts w:ascii="Times New Roman" w:hAnsi="Times New Roman" w:cs="Times New Roman"/>
          <w:b/>
          <w:bCs/>
          <w:i/>
          <w:iCs/>
        </w:rPr>
      </w:pPr>
      <w:r w:rsidRPr="00043DCA">
        <w:rPr>
          <w:rFonts w:ascii="Times New Roman" w:hAnsi="Times New Roman" w:cs="Times New Roman"/>
          <w:b/>
          <w:bCs/>
          <w:i/>
          <w:iCs/>
        </w:rPr>
        <w:t>Establishment or operation of a high-quality professional development program as described in section 223(1)(b).</w:t>
      </w:r>
    </w:p>
    <w:p w14:paraId="73246D69" w14:textId="58F4296C" w:rsidR="00434278" w:rsidRPr="004550C0" w:rsidRDefault="00434278" w:rsidP="00434278">
      <w:pPr>
        <w:rPr>
          <w:rFonts w:ascii="Times New Roman" w:hAnsi="Times New Roman" w:cs="Times New Roman"/>
        </w:rPr>
      </w:pPr>
      <w:r w:rsidRPr="004550C0">
        <w:rPr>
          <w:rFonts w:ascii="Times New Roman" w:hAnsi="Times New Roman" w:cs="Times New Roman"/>
        </w:rPr>
        <w:t>Professional development services are administered by the AALRC, which is funded through the Southeast Arkansas Education Service Cooperative by ADWS/AES. The AALRC coordinates and presents professional development trainings that incorporate an in</w:t>
      </w:r>
      <w:r w:rsidR="006D72D1" w:rsidRPr="004550C0">
        <w:rPr>
          <w:rFonts w:ascii="Times New Roman" w:hAnsi="Times New Roman" w:cs="Times New Roman"/>
        </w:rPr>
        <w:t>-</w:t>
      </w:r>
      <w:r w:rsidRPr="004550C0">
        <w:rPr>
          <w:rFonts w:ascii="Times New Roman" w:hAnsi="Times New Roman" w:cs="Times New Roman"/>
        </w:rPr>
        <w:t xml:space="preserve">depth focus on strategies demonstrating how to prepare engaging and interactive lessons that are relevant to students. It also serves </w:t>
      </w:r>
      <w:r w:rsidRPr="004550C0">
        <w:rPr>
          <w:rFonts w:ascii="Times New Roman" w:hAnsi="Times New Roman" w:cs="Times New Roman"/>
        </w:rPr>
        <w:lastRenderedPageBreak/>
        <w:t xml:space="preserve">as the resource responsible for identifying, evaluating, and disseminating materials and information to adult education and literacy programs. Additionally, the AALRC consistently monitors and evaluates the effectiveness of professional development services and provides any new software, materials, or resources as necessary to accommodate the changing needs of teachers and staff. </w:t>
      </w:r>
    </w:p>
    <w:p w14:paraId="557700AB" w14:textId="698BC4CD" w:rsidR="00434278" w:rsidRPr="004550C0" w:rsidRDefault="00434278" w:rsidP="00434278">
      <w:pPr>
        <w:rPr>
          <w:rFonts w:ascii="Times New Roman" w:hAnsi="Times New Roman" w:cs="Times New Roman"/>
        </w:rPr>
      </w:pPr>
      <w:r w:rsidRPr="004550C0">
        <w:rPr>
          <w:rFonts w:ascii="Times New Roman" w:hAnsi="Times New Roman" w:cs="Times New Roman"/>
        </w:rPr>
        <w:t xml:space="preserve">Due to the </w:t>
      </w:r>
      <w:r w:rsidR="003C6CF5" w:rsidRPr="004550C0">
        <w:rPr>
          <w:rFonts w:ascii="Times New Roman" w:hAnsi="Times New Roman" w:cs="Times New Roman"/>
        </w:rPr>
        <w:t xml:space="preserve">continuation of the </w:t>
      </w:r>
      <w:r w:rsidRPr="004550C0">
        <w:rPr>
          <w:rFonts w:ascii="Times New Roman" w:hAnsi="Times New Roman" w:cs="Times New Roman"/>
        </w:rPr>
        <w:t>national pandemic, large group meetings were not advised, which dramatically diminished travel expenses related to professional development. Conversely, funding in the areas of technology, virtual training for our partners, education consultants, materials, and resources for staff and students increased. In addition to the services generally provided, this year</w:t>
      </w:r>
      <w:r w:rsidR="003C6CF5" w:rsidRPr="004550C0">
        <w:rPr>
          <w:rFonts w:ascii="Times New Roman" w:hAnsi="Times New Roman" w:cs="Times New Roman"/>
        </w:rPr>
        <w:t xml:space="preserve"> </w:t>
      </w:r>
      <w:r w:rsidRPr="004550C0">
        <w:rPr>
          <w:rFonts w:ascii="Times New Roman" w:hAnsi="Times New Roman" w:cs="Times New Roman"/>
        </w:rPr>
        <w:t xml:space="preserve">ADWS/AES and AALRC found it necessary to </w:t>
      </w:r>
      <w:r w:rsidR="003C6CF5" w:rsidRPr="004550C0">
        <w:rPr>
          <w:rFonts w:ascii="Times New Roman" w:hAnsi="Times New Roman" w:cs="Times New Roman"/>
        </w:rPr>
        <w:t xml:space="preserve">continue offering </w:t>
      </w:r>
      <w:r w:rsidRPr="004550C0">
        <w:rPr>
          <w:rFonts w:ascii="Times New Roman" w:hAnsi="Times New Roman" w:cs="Times New Roman"/>
        </w:rPr>
        <w:t xml:space="preserve">advanced methods of online learning. This included purchasing meeting software and programs adapted for meeting or teaching in a virtual setting, such as Zoom for statewide use. ADWS/AES used Zoom to hold its </w:t>
      </w:r>
      <w:r w:rsidR="003C6CF5" w:rsidRPr="004550C0">
        <w:rPr>
          <w:rFonts w:ascii="Times New Roman" w:hAnsi="Times New Roman" w:cs="Times New Roman"/>
        </w:rPr>
        <w:t xml:space="preserve">Fall </w:t>
      </w:r>
      <w:r w:rsidR="004D79EA" w:rsidRPr="004550C0">
        <w:rPr>
          <w:rFonts w:ascii="Times New Roman" w:hAnsi="Times New Roman" w:cs="Times New Roman"/>
        </w:rPr>
        <w:t xml:space="preserve">and Spring </w:t>
      </w:r>
      <w:r w:rsidRPr="004550C0">
        <w:rPr>
          <w:rFonts w:ascii="Times New Roman" w:hAnsi="Times New Roman" w:cs="Times New Roman"/>
        </w:rPr>
        <w:t>Administrators’ Meeting</w:t>
      </w:r>
      <w:r w:rsidR="004D79EA" w:rsidRPr="004550C0">
        <w:rPr>
          <w:rFonts w:ascii="Times New Roman" w:hAnsi="Times New Roman" w:cs="Times New Roman"/>
        </w:rPr>
        <w:t>s</w:t>
      </w:r>
      <w:r w:rsidRPr="004550C0">
        <w:rPr>
          <w:rFonts w:ascii="Times New Roman" w:hAnsi="Times New Roman" w:cs="Times New Roman"/>
        </w:rPr>
        <w:t xml:space="preserve"> virtually in </w:t>
      </w:r>
      <w:r w:rsidR="003C6CF5" w:rsidRPr="004550C0">
        <w:rPr>
          <w:rFonts w:ascii="Times New Roman" w:hAnsi="Times New Roman" w:cs="Times New Roman"/>
        </w:rPr>
        <w:t>September</w:t>
      </w:r>
      <w:r w:rsidR="004D79EA" w:rsidRPr="004550C0">
        <w:rPr>
          <w:rFonts w:ascii="Times New Roman" w:hAnsi="Times New Roman" w:cs="Times New Roman"/>
        </w:rPr>
        <w:t xml:space="preserve"> and April. Information on how programs and students handled services </w:t>
      </w:r>
      <w:r w:rsidRPr="004550C0">
        <w:rPr>
          <w:rFonts w:ascii="Times New Roman" w:hAnsi="Times New Roman" w:cs="Times New Roman"/>
        </w:rPr>
        <w:t>during the pandemic were major themes of the</w:t>
      </w:r>
      <w:r w:rsidR="004D79EA" w:rsidRPr="004550C0">
        <w:rPr>
          <w:rFonts w:ascii="Times New Roman" w:hAnsi="Times New Roman" w:cs="Times New Roman"/>
        </w:rPr>
        <w:t xml:space="preserve"> Fall</w:t>
      </w:r>
      <w:r w:rsidRPr="004550C0">
        <w:rPr>
          <w:rFonts w:ascii="Times New Roman" w:hAnsi="Times New Roman" w:cs="Times New Roman"/>
        </w:rPr>
        <w:t xml:space="preserve"> meeting.</w:t>
      </w:r>
      <w:r w:rsidR="004D79EA" w:rsidRPr="004550C0">
        <w:rPr>
          <w:rFonts w:ascii="Times New Roman" w:hAnsi="Times New Roman" w:cs="Times New Roman"/>
        </w:rPr>
        <w:t xml:space="preserve"> The Spring Meeting focused on moving forward and making Adult Education a Viable Career Choice and new projects.  </w:t>
      </w:r>
    </w:p>
    <w:p w14:paraId="2748193C" w14:textId="5C191315" w:rsidR="00434278" w:rsidRDefault="00434278" w:rsidP="00434278">
      <w:pPr>
        <w:rPr>
          <w:rFonts w:ascii="Times New Roman" w:hAnsi="Times New Roman" w:cs="Times New Roman"/>
        </w:rPr>
      </w:pPr>
      <w:r w:rsidRPr="004550C0">
        <w:rPr>
          <w:rFonts w:ascii="Times New Roman" w:hAnsi="Times New Roman" w:cs="Times New Roman"/>
        </w:rPr>
        <w:t xml:space="preserve">Training programs that taught teachers how to communicate and provide effective online learning strategies for their students were purchased and made available to all teachers.  The Canvas learning management system offers teachers a completely online platform to utilize for instructional purposes. This program was implemented prior to COVID-19, and its use continued in the midst of the pandemic.  Additionally, the AALRC </w:t>
      </w:r>
      <w:r w:rsidR="004D79EA" w:rsidRPr="004550C0">
        <w:rPr>
          <w:rFonts w:ascii="Times New Roman" w:hAnsi="Times New Roman" w:cs="Times New Roman"/>
        </w:rPr>
        <w:t xml:space="preserve">continued to </w:t>
      </w:r>
      <w:r w:rsidRPr="004550C0">
        <w:rPr>
          <w:rFonts w:ascii="Times New Roman" w:hAnsi="Times New Roman" w:cs="Times New Roman"/>
        </w:rPr>
        <w:t xml:space="preserve">contract with Arkansas Public Broadcasting Service (PBS) to develop </w:t>
      </w:r>
      <w:r w:rsidR="006D72D1" w:rsidRPr="004550C0">
        <w:rPr>
          <w:rFonts w:ascii="Times New Roman" w:hAnsi="Times New Roman" w:cs="Times New Roman"/>
        </w:rPr>
        <w:t xml:space="preserve">additional </w:t>
      </w:r>
      <w:r w:rsidRPr="004550C0">
        <w:rPr>
          <w:rFonts w:ascii="Times New Roman" w:hAnsi="Times New Roman" w:cs="Times New Roman"/>
        </w:rPr>
        <w:t>online training courses for teachers through a teacher portal</w:t>
      </w:r>
      <w:r w:rsidR="004D79EA" w:rsidRPr="004550C0">
        <w:rPr>
          <w:rFonts w:ascii="Times New Roman" w:hAnsi="Times New Roman" w:cs="Times New Roman"/>
        </w:rPr>
        <w:t>. This year</w:t>
      </w:r>
      <w:r w:rsidR="006D72D1" w:rsidRPr="004550C0">
        <w:rPr>
          <w:rFonts w:ascii="Times New Roman" w:hAnsi="Times New Roman" w:cs="Times New Roman"/>
        </w:rPr>
        <w:t>’s trainings</w:t>
      </w:r>
      <w:r w:rsidR="004D79EA" w:rsidRPr="004550C0">
        <w:rPr>
          <w:rFonts w:ascii="Times New Roman" w:hAnsi="Times New Roman" w:cs="Times New Roman"/>
        </w:rPr>
        <w:t xml:space="preserve"> focused on implementing technology into the classroom. D</w:t>
      </w:r>
      <w:r w:rsidRPr="004550C0">
        <w:rPr>
          <w:rFonts w:ascii="Times New Roman" w:hAnsi="Times New Roman" w:cs="Times New Roman"/>
        </w:rPr>
        <w:t xml:space="preserve">igital literacy and customer service are </w:t>
      </w:r>
      <w:r w:rsidR="004D79EA" w:rsidRPr="004550C0">
        <w:rPr>
          <w:rFonts w:ascii="Times New Roman" w:hAnsi="Times New Roman" w:cs="Times New Roman"/>
        </w:rPr>
        <w:t xml:space="preserve">still </w:t>
      </w:r>
      <w:r w:rsidRPr="004550C0">
        <w:rPr>
          <w:rFonts w:ascii="Times New Roman" w:hAnsi="Times New Roman" w:cs="Times New Roman"/>
        </w:rPr>
        <w:t xml:space="preserve">planned. Each of these initiatives allow teachers to work at their own pace and </w:t>
      </w:r>
      <w:r w:rsidR="006D72D1" w:rsidRPr="004550C0">
        <w:rPr>
          <w:rFonts w:ascii="Times New Roman" w:hAnsi="Times New Roman" w:cs="Times New Roman"/>
        </w:rPr>
        <w:t xml:space="preserve">at their </w:t>
      </w:r>
      <w:r w:rsidRPr="004550C0">
        <w:rPr>
          <w:rFonts w:ascii="Times New Roman" w:hAnsi="Times New Roman" w:cs="Times New Roman"/>
        </w:rPr>
        <w:t xml:space="preserve">convenience. </w:t>
      </w:r>
    </w:p>
    <w:p w14:paraId="48FDF827" w14:textId="1F2AE267" w:rsidR="00BA679D" w:rsidRPr="004550C0" w:rsidRDefault="00BA679D" w:rsidP="00434278">
      <w:pPr>
        <w:rPr>
          <w:rFonts w:ascii="Times New Roman" w:hAnsi="Times New Roman" w:cs="Times New Roman"/>
        </w:rPr>
      </w:pPr>
      <w:r>
        <w:rPr>
          <w:rFonts w:ascii="Times New Roman" w:hAnsi="Times New Roman" w:cs="Times New Roman"/>
        </w:rPr>
        <w:t xml:space="preserve">During the Fall Administrators’ meeting, Best Practices During COVID 19 were provided by </w:t>
      </w:r>
      <w:r w:rsidR="006701D4">
        <w:rPr>
          <w:rFonts w:ascii="Times New Roman" w:hAnsi="Times New Roman" w:cs="Times New Roman"/>
        </w:rPr>
        <w:t>practitioners</w:t>
      </w:r>
      <w:r>
        <w:rPr>
          <w:rFonts w:ascii="Times New Roman" w:hAnsi="Times New Roman" w:cs="Times New Roman"/>
        </w:rPr>
        <w:t xml:space="preserve">, which included the following topics: </w:t>
      </w:r>
      <w:r w:rsidRPr="00BA679D">
        <w:rPr>
          <w:rFonts w:ascii="Times New Roman" w:hAnsi="Times New Roman" w:cs="Times New Roman"/>
          <w:i/>
          <w:iCs/>
        </w:rPr>
        <w:t>Creating and Utilizing Online Intake Forms,</w:t>
      </w:r>
      <w:r>
        <w:rPr>
          <w:rFonts w:ascii="Times New Roman" w:hAnsi="Times New Roman" w:cs="Times New Roman"/>
        </w:rPr>
        <w:t xml:space="preserve"> </w:t>
      </w:r>
      <w:r w:rsidRPr="00BA679D">
        <w:rPr>
          <w:rFonts w:ascii="Times New Roman" w:hAnsi="Times New Roman" w:cs="Times New Roman"/>
          <w:i/>
          <w:iCs/>
        </w:rPr>
        <w:t>Online Orientation</w:t>
      </w:r>
      <w:r>
        <w:rPr>
          <w:rFonts w:ascii="Times New Roman" w:hAnsi="Times New Roman" w:cs="Times New Roman"/>
        </w:rPr>
        <w:t xml:space="preserve">, </w:t>
      </w:r>
      <w:r w:rsidRPr="00BA679D">
        <w:rPr>
          <w:rFonts w:ascii="Times New Roman" w:hAnsi="Times New Roman" w:cs="Times New Roman"/>
          <w:i/>
          <w:iCs/>
        </w:rPr>
        <w:t>Online Recruitment</w:t>
      </w:r>
      <w:r>
        <w:rPr>
          <w:rFonts w:ascii="Times New Roman" w:hAnsi="Times New Roman" w:cs="Times New Roman"/>
        </w:rPr>
        <w:t xml:space="preserve">, and </w:t>
      </w:r>
      <w:r w:rsidRPr="00BA679D">
        <w:rPr>
          <w:rFonts w:ascii="Times New Roman" w:hAnsi="Times New Roman" w:cs="Times New Roman"/>
          <w:i/>
          <w:iCs/>
        </w:rPr>
        <w:t>Online Customer Service</w:t>
      </w:r>
      <w:r>
        <w:rPr>
          <w:rFonts w:ascii="Times New Roman" w:hAnsi="Times New Roman" w:cs="Times New Roman"/>
        </w:rPr>
        <w:t xml:space="preserve">. </w:t>
      </w:r>
      <w:r w:rsidR="006701D4">
        <w:rPr>
          <w:rFonts w:ascii="Times New Roman" w:hAnsi="Times New Roman" w:cs="Times New Roman"/>
        </w:rPr>
        <w:t xml:space="preserve">During the Spring Administrators’ meeting, we had </w:t>
      </w:r>
      <w:proofErr w:type="spellStart"/>
      <w:r w:rsidR="006701D4">
        <w:rPr>
          <w:rFonts w:ascii="Times New Roman" w:hAnsi="Times New Roman" w:cs="Times New Roman"/>
        </w:rPr>
        <w:t>Daquanna</w:t>
      </w:r>
      <w:proofErr w:type="spellEnd"/>
      <w:r w:rsidR="006701D4">
        <w:rPr>
          <w:rFonts w:ascii="Times New Roman" w:hAnsi="Times New Roman" w:cs="Times New Roman"/>
        </w:rPr>
        <w:t xml:space="preserve"> Harrison to conduct a one-day training on “</w:t>
      </w:r>
      <w:r w:rsidR="006701D4" w:rsidRPr="006701D4">
        <w:rPr>
          <w:rFonts w:ascii="Times New Roman" w:hAnsi="Times New Roman" w:cs="Times New Roman"/>
          <w:i/>
          <w:iCs/>
        </w:rPr>
        <w:t>A Call to Action: Transforming Adult Education into a Viable Career Choice”</w:t>
      </w:r>
      <w:r w:rsidR="006701D4">
        <w:rPr>
          <w:rFonts w:ascii="Times New Roman" w:hAnsi="Times New Roman" w:cs="Times New Roman"/>
          <w:i/>
          <w:iCs/>
        </w:rPr>
        <w:t xml:space="preserve"> </w:t>
      </w:r>
      <w:r w:rsidR="006701D4">
        <w:rPr>
          <w:rFonts w:ascii="Times New Roman" w:hAnsi="Times New Roman" w:cs="Times New Roman"/>
        </w:rPr>
        <w:t xml:space="preserve">for staff and practitioners. We also had a guest speaker, Dr. Adam Brooks who did a session on </w:t>
      </w:r>
      <w:r w:rsidR="006701D4" w:rsidRPr="006701D4">
        <w:rPr>
          <w:rFonts w:ascii="Times New Roman" w:hAnsi="Times New Roman" w:cs="Times New Roman"/>
          <w:i/>
          <w:iCs/>
        </w:rPr>
        <w:t>Lessons Learned in Distance and Online Education</w:t>
      </w:r>
      <w:r w:rsidR="006701D4">
        <w:rPr>
          <w:rFonts w:ascii="Times New Roman" w:hAnsi="Times New Roman" w:cs="Times New Roman"/>
        </w:rPr>
        <w:t xml:space="preserve"> and separately, </w:t>
      </w:r>
      <w:r w:rsidR="006701D4" w:rsidRPr="006701D4">
        <w:rPr>
          <w:rFonts w:ascii="Times New Roman" w:hAnsi="Times New Roman" w:cs="Times New Roman"/>
          <w:i/>
          <w:iCs/>
        </w:rPr>
        <w:t>Embracing Change in the Delivery of Services.</w:t>
      </w:r>
      <w:r w:rsidR="006701D4">
        <w:rPr>
          <w:rFonts w:ascii="Times New Roman" w:hAnsi="Times New Roman" w:cs="Times New Roman"/>
        </w:rPr>
        <w:t xml:space="preserve"> These topics were timely and well received by participants.</w:t>
      </w:r>
    </w:p>
    <w:p w14:paraId="13FCD6D6" w14:textId="77777777" w:rsidR="00434278" w:rsidRPr="004550C0" w:rsidRDefault="00434278" w:rsidP="00434278">
      <w:pPr>
        <w:rPr>
          <w:rFonts w:ascii="Times New Roman" w:hAnsi="Times New Roman" w:cs="Times New Roman"/>
        </w:rPr>
      </w:pPr>
      <w:r w:rsidRPr="004550C0">
        <w:rPr>
          <w:rFonts w:ascii="Times New Roman" w:hAnsi="Times New Roman" w:cs="Times New Roman"/>
        </w:rPr>
        <w:t>The AALRC utilizes the online ESC Works system to track professional development activities of faculty and staff in Arkansas. Participants are able to manage their own transcript of courses completed through the AALRC and from outside sources (i.e. state conference, national conferences) in ESC Works.</w:t>
      </w:r>
    </w:p>
    <w:p w14:paraId="65CA8085" w14:textId="47E4AE3E" w:rsidR="00434278" w:rsidRPr="00043DCA" w:rsidRDefault="00434278" w:rsidP="00434278">
      <w:pPr>
        <w:rPr>
          <w:rFonts w:ascii="Times New Roman" w:hAnsi="Times New Roman" w:cs="Times New Roman"/>
          <w:b/>
          <w:bCs/>
          <w:i/>
          <w:iCs/>
        </w:rPr>
      </w:pPr>
      <w:r w:rsidRPr="00043DCA">
        <w:rPr>
          <w:rFonts w:ascii="Times New Roman" w:hAnsi="Times New Roman" w:cs="Times New Roman"/>
          <w:b/>
          <w:bCs/>
          <w:i/>
          <w:iCs/>
        </w:rPr>
        <w:t>Provision of technical assistance to funded eligible providers as described in section 223(1)</w:t>
      </w:r>
      <w:r w:rsidR="00C12516" w:rsidRPr="00043DCA">
        <w:rPr>
          <w:rFonts w:ascii="Times New Roman" w:hAnsi="Times New Roman" w:cs="Times New Roman"/>
          <w:b/>
          <w:bCs/>
          <w:i/>
          <w:iCs/>
        </w:rPr>
        <w:t>(c)</w:t>
      </w:r>
      <w:r w:rsidRPr="00043DCA">
        <w:rPr>
          <w:rFonts w:ascii="Times New Roman" w:hAnsi="Times New Roman" w:cs="Times New Roman"/>
          <w:b/>
          <w:bCs/>
          <w:i/>
          <w:iCs/>
        </w:rPr>
        <w:t xml:space="preserve">. </w:t>
      </w:r>
    </w:p>
    <w:p w14:paraId="24B151AC" w14:textId="5CD469E2" w:rsidR="00434278" w:rsidRPr="004550C0" w:rsidRDefault="00BC483B" w:rsidP="00434278">
      <w:pPr>
        <w:rPr>
          <w:rFonts w:ascii="Times New Roman" w:hAnsi="Times New Roman" w:cs="Times New Roman"/>
        </w:rPr>
      </w:pPr>
      <w:r w:rsidRPr="004550C0">
        <w:rPr>
          <w:rFonts w:ascii="Times New Roman" w:hAnsi="Times New Roman" w:cs="Times New Roman"/>
        </w:rPr>
        <w:t>Due to the pandemic,</w:t>
      </w:r>
      <w:r w:rsidR="00434278" w:rsidRPr="004550C0">
        <w:rPr>
          <w:rFonts w:ascii="Times New Roman" w:hAnsi="Times New Roman" w:cs="Times New Roman"/>
        </w:rPr>
        <w:t xml:space="preserve"> technical assistance </w:t>
      </w:r>
      <w:r w:rsidRPr="004550C0">
        <w:rPr>
          <w:rFonts w:ascii="Times New Roman" w:hAnsi="Times New Roman" w:cs="Times New Roman"/>
        </w:rPr>
        <w:t>needs continue to be greater than usual</w:t>
      </w:r>
      <w:r w:rsidR="00434278" w:rsidRPr="004550C0">
        <w:rPr>
          <w:rFonts w:ascii="Times New Roman" w:hAnsi="Times New Roman" w:cs="Times New Roman"/>
        </w:rPr>
        <w:t xml:space="preserve">. ADWS/AES and AALRC fielded calls from partners and local providers on a variety of topics and specific situations. Some areas </w:t>
      </w:r>
      <w:r w:rsidRPr="004550C0">
        <w:rPr>
          <w:rFonts w:ascii="Times New Roman" w:hAnsi="Times New Roman" w:cs="Times New Roman"/>
        </w:rPr>
        <w:t xml:space="preserve">in which </w:t>
      </w:r>
      <w:r w:rsidR="00434278" w:rsidRPr="004550C0">
        <w:rPr>
          <w:rFonts w:ascii="Times New Roman" w:hAnsi="Times New Roman" w:cs="Times New Roman"/>
        </w:rPr>
        <w:t>technical assistance was provided include:</w:t>
      </w:r>
    </w:p>
    <w:p w14:paraId="5A124465" w14:textId="77777777" w:rsidR="00434278" w:rsidRPr="004550C0" w:rsidRDefault="00434278" w:rsidP="00434278">
      <w:pPr>
        <w:rPr>
          <w:rFonts w:ascii="Times New Roman" w:hAnsi="Times New Roman" w:cs="Times New Roman"/>
        </w:rPr>
      </w:pPr>
      <w:r w:rsidRPr="004550C0">
        <w:rPr>
          <w:rFonts w:ascii="Times New Roman" w:hAnsi="Times New Roman" w:cs="Times New Roman"/>
        </w:rPr>
        <w:t>•</w:t>
      </w:r>
      <w:r w:rsidRPr="004550C0">
        <w:rPr>
          <w:rFonts w:ascii="Times New Roman" w:hAnsi="Times New Roman" w:cs="Times New Roman"/>
        </w:rPr>
        <w:tab/>
        <w:t xml:space="preserve">Technical training on the agency’s data management system, provided by ADWS/AES staff. </w:t>
      </w:r>
    </w:p>
    <w:p w14:paraId="0BE32738" w14:textId="77777777" w:rsidR="00434278" w:rsidRPr="004550C0" w:rsidRDefault="00434278" w:rsidP="00434278">
      <w:pPr>
        <w:rPr>
          <w:rFonts w:ascii="Times New Roman" w:hAnsi="Times New Roman" w:cs="Times New Roman"/>
        </w:rPr>
      </w:pPr>
      <w:r w:rsidRPr="004550C0">
        <w:rPr>
          <w:rFonts w:ascii="Times New Roman" w:hAnsi="Times New Roman" w:cs="Times New Roman"/>
        </w:rPr>
        <w:t>•</w:t>
      </w:r>
      <w:r w:rsidRPr="004550C0">
        <w:rPr>
          <w:rFonts w:ascii="Times New Roman" w:hAnsi="Times New Roman" w:cs="Times New Roman"/>
        </w:rPr>
        <w:tab/>
        <w:t>Technical support provided by the AALRC’s Information Technology Specialist related software and hardware issues and questions.</w:t>
      </w:r>
    </w:p>
    <w:p w14:paraId="37D6E7C5" w14:textId="7582F619" w:rsidR="00434278" w:rsidRPr="004550C0" w:rsidRDefault="00434278" w:rsidP="00434278">
      <w:pPr>
        <w:rPr>
          <w:rFonts w:ascii="Times New Roman" w:hAnsi="Times New Roman" w:cs="Times New Roman"/>
        </w:rPr>
      </w:pPr>
      <w:r w:rsidRPr="004550C0">
        <w:rPr>
          <w:rFonts w:ascii="Times New Roman" w:hAnsi="Times New Roman" w:cs="Times New Roman"/>
        </w:rPr>
        <w:lastRenderedPageBreak/>
        <w:t>•</w:t>
      </w:r>
      <w:r w:rsidRPr="004550C0">
        <w:rPr>
          <w:rFonts w:ascii="Times New Roman" w:hAnsi="Times New Roman" w:cs="Times New Roman"/>
        </w:rPr>
        <w:tab/>
        <w:t xml:space="preserve">As a means of providing assistance during the pandemic, ADWS/AES instituted virtual office hours with the distance learning program advisor to provide an opportunity for instructors to ask </w:t>
      </w:r>
      <w:r w:rsidR="00970FF4" w:rsidRPr="004550C0">
        <w:rPr>
          <w:rFonts w:ascii="Times New Roman" w:hAnsi="Times New Roman" w:cs="Times New Roman"/>
        </w:rPr>
        <w:t xml:space="preserve">direct </w:t>
      </w:r>
      <w:r w:rsidRPr="004550C0">
        <w:rPr>
          <w:rFonts w:ascii="Times New Roman" w:hAnsi="Times New Roman" w:cs="Times New Roman"/>
        </w:rPr>
        <w:t>questions regarding educational technology as they adjusted to the increase in virtual instruction.</w:t>
      </w:r>
    </w:p>
    <w:p w14:paraId="4A8639EC" w14:textId="77777777" w:rsidR="00434278" w:rsidRPr="00043DCA" w:rsidRDefault="00434278" w:rsidP="00434278">
      <w:pPr>
        <w:rPr>
          <w:rFonts w:ascii="Times New Roman" w:hAnsi="Times New Roman" w:cs="Times New Roman"/>
          <w:b/>
          <w:bCs/>
          <w:i/>
          <w:iCs/>
        </w:rPr>
      </w:pPr>
      <w:r w:rsidRPr="00043DCA">
        <w:rPr>
          <w:rFonts w:ascii="Times New Roman" w:hAnsi="Times New Roman" w:cs="Times New Roman"/>
          <w:b/>
          <w:bCs/>
          <w:i/>
          <w:iCs/>
        </w:rPr>
        <w:t>Monitoring and evaluation of the quality and improvement of adult education activities as described in section 223 (1)(d)</w:t>
      </w:r>
    </w:p>
    <w:p w14:paraId="1A68E5E8" w14:textId="77777777" w:rsidR="00434278" w:rsidRPr="004550C0" w:rsidRDefault="00434278" w:rsidP="00434278">
      <w:pPr>
        <w:rPr>
          <w:rFonts w:ascii="Times New Roman" w:hAnsi="Times New Roman" w:cs="Times New Roman"/>
        </w:rPr>
      </w:pPr>
      <w:r w:rsidRPr="004550C0">
        <w:rPr>
          <w:rFonts w:ascii="Times New Roman" w:hAnsi="Times New Roman" w:cs="Times New Roman"/>
        </w:rPr>
        <w:t>Mandatory Administrators' Meetings are held semiannually, during which policies and procedures are discussed, information is disseminated, and providers are able to gain additional professional development from state staff, guest speakers and each other.</w:t>
      </w:r>
    </w:p>
    <w:p w14:paraId="4548C096" w14:textId="39FC60A1" w:rsidR="00434278" w:rsidRPr="004550C0" w:rsidRDefault="00434278" w:rsidP="00434278">
      <w:pPr>
        <w:rPr>
          <w:rFonts w:ascii="Times New Roman" w:hAnsi="Times New Roman" w:cs="Times New Roman"/>
        </w:rPr>
      </w:pPr>
      <w:r w:rsidRPr="004550C0">
        <w:rPr>
          <w:rFonts w:ascii="Times New Roman" w:hAnsi="Times New Roman" w:cs="Times New Roman"/>
        </w:rPr>
        <w:t>ADWS/AES monitors local programs through submitted quarterly reports, annual one-day site visits and intensive three-day program reviews that are performed on each program every four years or as determined by their level of risk</w:t>
      </w:r>
      <w:r w:rsidR="00970FF4" w:rsidRPr="004550C0">
        <w:rPr>
          <w:rFonts w:ascii="Times New Roman" w:hAnsi="Times New Roman" w:cs="Times New Roman"/>
        </w:rPr>
        <w:t>.</w:t>
      </w:r>
      <w:r w:rsidRPr="004550C0">
        <w:rPr>
          <w:rFonts w:ascii="Times New Roman" w:hAnsi="Times New Roman" w:cs="Times New Roman"/>
        </w:rPr>
        <w:t xml:space="preserve"> One hundred percent (3</w:t>
      </w:r>
      <w:r w:rsidR="00970FF4" w:rsidRPr="004550C0">
        <w:rPr>
          <w:rFonts w:ascii="Times New Roman" w:hAnsi="Times New Roman" w:cs="Times New Roman"/>
        </w:rPr>
        <w:t>7</w:t>
      </w:r>
      <w:r w:rsidRPr="004550C0">
        <w:rPr>
          <w:rFonts w:ascii="Times New Roman" w:hAnsi="Times New Roman" w:cs="Times New Roman"/>
        </w:rPr>
        <w:t>/3</w:t>
      </w:r>
      <w:r w:rsidR="00970FF4" w:rsidRPr="004550C0">
        <w:rPr>
          <w:rFonts w:ascii="Times New Roman" w:hAnsi="Times New Roman" w:cs="Times New Roman"/>
        </w:rPr>
        <w:t>7</w:t>
      </w:r>
      <w:r w:rsidRPr="004550C0">
        <w:rPr>
          <w:rFonts w:ascii="Times New Roman" w:hAnsi="Times New Roman" w:cs="Times New Roman"/>
        </w:rPr>
        <w:t>) providers received an annual site visit in 20</w:t>
      </w:r>
      <w:r w:rsidR="00970FF4" w:rsidRPr="004550C0">
        <w:rPr>
          <w:rFonts w:ascii="Times New Roman" w:hAnsi="Times New Roman" w:cs="Times New Roman"/>
        </w:rPr>
        <w:t>20</w:t>
      </w:r>
      <w:r w:rsidRPr="004550C0">
        <w:rPr>
          <w:rFonts w:ascii="Times New Roman" w:hAnsi="Times New Roman" w:cs="Times New Roman"/>
        </w:rPr>
        <w:t>-2</w:t>
      </w:r>
      <w:r w:rsidR="00970FF4" w:rsidRPr="004550C0">
        <w:rPr>
          <w:rFonts w:ascii="Times New Roman" w:hAnsi="Times New Roman" w:cs="Times New Roman"/>
        </w:rPr>
        <w:t>1</w:t>
      </w:r>
      <w:r w:rsidRPr="004550C0">
        <w:rPr>
          <w:rFonts w:ascii="Times New Roman" w:hAnsi="Times New Roman" w:cs="Times New Roman"/>
        </w:rPr>
        <w:t xml:space="preserve">. </w:t>
      </w:r>
      <w:r w:rsidR="00043DCA">
        <w:rPr>
          <w:rFonts w:ascii="Times New Roman" w:hAnsi="Times New Roman" w:cs="Times New Roman"/>
        </w:rPr>
        <w:t xml:space="preserve">Since the pandemic was still going on, most of the program reviews were conducted virtually. </w:t>
      </w:r>
      <w:r w:rsidRPr="004550C0">
        <w:rPr>
          <w:rFonts w:ascii="Times New Roman" w:hAnsi="Times New Roman" w:cs="Times New Roman"/>
        </w:rPr>
        <w:t xml:space="preserve">The program review tool was </w:t>
      </w:r>
      <w:r w:rsidR="00BA16DF" w:rsidRPr="004550C0">
        <w:rPr>
          <w:rFonts w:ascii="Times New Roman" w:hAnsi="Times New Roman" w:cs="Times New Roman"/>
        </w:rPr>
        <w:t>again updat</w:t>
      </w:r>
      <w:r w:rsidRPr="004550C0">
        <w:rPr>
          <w:rFonts w:ascii="Times New Roman" w:hAnsi="Times New Roman" w:cs="Times New Roman"/>
        </w:rPr>
        <w:t xml:space="preserve">ed to provide more clarity.  Best practices identified during program reviews and site visits during the Fall were then shared during the Spring Administrators’ meeting. ADWS/AES also evaluates each program annually through an E&amp;E (Effective and Efficient) calculation, currently based upon the programs’ progress on the federally negotiated benchmarks in Table 4. </w:t>
      </w:r>
    </w:p>
    <w:p w14:paraId="13110307" w14:textId="5F03A393" w:rsidR="00434278" w:rsidRPr="009E481D" w:rsidRDefault="00434278" w:rsidP="00434278">
      <w:pPr>
        <w:rPr>
          <w:rFonts w:ascii="Times New Roman" w:hAnsi="Times New Roman" w:cs="Times New Roman"/>
        </w:rPr>
      </w:pPr>
      <w:r w:rsidRPr="004550C0">
        <w:rPr>
          <w:rFonts w:ascii="Times New Roman" w:hAnsi="Times New Roman" w:cs="Times New Roman"/>
        </w:rPr>
        <w:t>ADWS/AES and AALRC disseminates information through email, newsletters, discussion lists, and provides Zoom for webinars. Survey monkey</w:t>
      </w:r>
      <w:r w:rsidR="004D79EA" w:rsidRPr="004550C0">
        <w:rPr>
          <w:rFonts w:ascii="Times New Roman" w:hAnsi="Times New Roman" w:cs="Times New Roman"/>
        </w:rPr>
        <w:t xml:space="preserve"> and google forms are</w:t>
      </w:r>
      <w:r w:rsidRPr="004550C0">
        <w:rPr>
          <w:rFonts w:ascii="Times New Roman" w:hAnsi="Times New Roman" w:cs="Times New Roman"/>
        </w:rPr>
        <w:t xml:space="preserve"> used for professional</w:t>
      </w:r>
      <w:r w:rsidRPr="009E481D">
        <w:rPr>
          <w:rFonts w:ascii="Times New Roman" w:hAnsi="Times New Roman" w:cs="Times New Roman"/>
        </w:rPr>
        <w:t xml:space="preserve"> development evaluations. </w:t>
      </w:r>
    </w:p>
    <w:p w14:paraId="0EADD06E" w14:textId="3467C5D3" w:rsidR="00434278" w:rsidRPr="00043DCA" w:rsidRDefault="00434278" w:rsidP="00434278">
      <w:pPr>
        <w:rPr>
          <w:rFonts w:ascii="Times New Roman" w:hAnsi="Times New Roman" w:cs="Times New Roman"/>
          <w:b/>
          <w:bCs/>
          <w:i/>
          <w:iCs/>
        </w:rPr>
      </w:pPr>
      <w:r w:rsidRPr="00043DCA">
        <w:rPr>
          <w:rFonts w:ascii="Times New Roman" w:hAnsi="Times New Roman" w:cs="Times New Roman"/>
          <w:b/>
          <w:bCs/>
          <w:i/>
          <w:iCs/>
        </w:rPr>
        <w:t>(b)</w:t>
      </w:r>
      <w:r w:rsidR="00043DCA">
        <w:rPr>
          <w:rFonts w:ascii="Times New Roman" w:hAnsi="Times New Roman" w:cs="Times New Roman"/>
          <w:b/>
          <w:bCs/>
          <w:i/>
          <w:iCs/>
        </w:rPr>
        <w:t xml:space="preserve"> </w:t>
      </w:r>
      <w:r w:rsidRPr="00043DCA">
        <w:rPr>
          <w:rFonts w:ascii="Times New Roman" w:hAnsi="Times New Roman" w:cs="Times New Roman"/>
          <w:b/>
          <w:bCs/>
          <w:i/>
          <w:iCs/>
        </w:rPr>
        <w:t xml:space="preserve">As applicable, describe how the State has used funds for additional permissible activities described in sections 223(a)(2). </w:t>
      </w:r>
    </w:p>
    <w:p w14:paraId="3D21B7DF" w14:textId="29A73384" w:rsidR="00434278" w:rsidRPr="009E481D" w:rsidRDefault="00434278" w:rsidP="00434278">
      <w:pPr>
        <w:rPr>
          <w:rFonts w:ascii="Times New Roman" w:hAnsi="Times New Roman" w:cs="Times New Roman"/>
        </w:rPr>
      </w:pPr>
      <w:r w:rsidRPr="009E481D">
        <w:rPr>
          <w:rFonts w:ascii="Times New Roman" w:hAnsi="Times New Roman" w:cs="Times New Roman"/>
        </w:rPr>
        <w:t>As mentioned earlier, the state office in conjunction with the AALRC, increase</w:t>
      </w:r>
      <w:r w:rsidR="004D79EA" w:rsidRPr="009E481D">
        <w:rPr>
          <w:rFonts w:ascii="Times New Roman" w:hAnsi="Times New Roman" w:cs="Times New Roman"/>
        </w:rPr>
        <w:t>d</w:t>
      </w:r>
      <w:r w:rsidRPr="009E481D">
        <w:rPr>
          <w:rFonts w:ascii="Times New Roman" w:hAnsi="Times New Roman" w:cs="Times New Roman"/>
        </w:rPr>
        <w:t xml:space="preserve"> the amount of distance education professional development. During the Annual Teacher’s Summit, state staff provided training on how to be an effective distance education teacher as well as statistics of DL students enrollment and performance. </w:t>
      </w:r>
    </w:p>
    <w:p w14:paraId="5197AA6C" w14:textId="4F354B08" w:rsidR="00434278" w:rsidRPr="009E481D" w:rsidRDefault="00434278" w:rsidP="00434278">
      <w:pPr>
        <w:rPr>
          <w:rFonts w:ascii="Times New Roman" w:hAnsi="Times New Roman" w:cs="Times New Roman"/>
        </w:rPr>
      </w:pPr>
      <w:r w:rsidRPr="009E481D">
        <w:rPr>
          <w:rFonts w:ascii="Times New Roman" w:hAnsi="Times New Roman" w:cs="Times New Roman"/>
        </w:rPr>
        <w:t xml:space="preserve">Career coaches have been hired to work directly with students as well as other personnel needed to guide students in successfully reaching their goals. Career coaches are required to complete specific trainings, one of which is a 120-hour course which qualifies them as Career Service Providers. </w:t>
      </w:r>
      <w:r w:rsidR="00C612D9">
        <w:rPr>
          <w:rFonts w:ascii="Times New Roman" w:hAnsi="Times New Roman" w:cs="Times New Roman"/>
        </w:rPr>
        <w:t xml:space="preserve">Multiple offerings of this training are provided annually. </w:t>
      </w:r>
      <w:r w:rsidRPr="009E481D">
        <w:rPr>
          <w:rFonts w:ascii="Times New Roman" w:hAnsi="Times New Roman" w:cs="Times New Roman"/>
        </w:rPr>
        <w:t xml:space="preserve">The state office </w:t>
      </w:r>
      <w:r w:rsidR="00BA16DF">
        <w:rPr>
          <w:rFonts w:ascii="Times New Roman" w:hAnsi="Times New Roman" w:cs="Times New Roman"/>
        </w:rPr>
        <w:t>utilizes</w:t>
      </w:r>
      <w:r w:rsidR="00BA16DF" w:rsidRPr="009E481D">
        <w:rPr>
          <w:rFonts w:ascii="Times New Roman" w:hAnsi="Times New Roman" w:cs="Times New Roman"/>
        </w:rPr>
        <w:t xml:space="preserve"> </w:t>
      </w:r>
      <w:r w:rsidRPr="009E481D">
        <w:rPr>
          <w:rFonts w:ascii="Times New Roman" w:hAnsi="Times New Roman" w:cs="Times New Roman"/>
        </w:rPr>
        <w:t xml:space="preserve">a Bridge Transition program in </w:t>
      </w:r>
      <w:r w:rsidR="00BA16DF">
        <w:rPr>
          <w:rFonts w:ascii="Times New Roman" w:hAnsi="Times New Roman" w:cs="Times New Roman"/>
        </w:rPr>
        <w:t xml:space="preserve">the </w:t>
      </w:r>
      <w:r w:rsidRPr="009E481D">
        <w:rPr>
          <w:rFonts w:ascii="Times New Roman" w:hAnsi="Times New Roman" w:cs="Times New Roman"/>
        </w:rPr>
        <w:t xml:space="preserve">Canvas </w:t>
      </w:r>
      <w:r w:rsidR="00BA16DF">
        <w:rPr>
          <w:rFonts w:ascii="Times New Roman" w:hAnsi="Times New Roman" w:cs="Times New Roman"/>
        </w:rPr>
        <w:t xml:space="preserve">course management system </w:t>
      </w:r>
      <w:r w:rsidRPr="009E481D">
        <w:rPr>
          <w:rFonts w:ascii="Times New Roman" w:hAnsi="Times New Roman" w:cs="Times New Roman"/>
        </w:rPr>
        <w:t>as a model for programs to use to prepare students for post-secondary education. At the end of the course, students take a college placement exam for the purpose of reducing remediation.</w:t>
      </w:r>
    </w:p>
    <w:p w14:paraId="4271C4DB" w14:textId="0E702520" w:rsidR="007A10C1" w:rsidRPr="009E481D" w:rsidRDefault="00434278" w:rsidP="00434278">
      <w:pPr>
        <w:rPr>
          <w:rFonts w:ascii="Times New Roman" w:hAnsi="Times New Roman" w:cs="Times New Roman"/>
        </w:rPr>
      </w:pPr>
      <w:r w:rsidRPr="009E481D">
        <w:rPr>
          <w:rFonts w:ascii="Times New Roman" w:hAnsi="Times New Roman" w:cs="Times New Roman"/>
        </w:rPr>
        <w:t>ADWS/AES developed work groups composed of state staff, local program staff, and business representatives to redesign the Workforce Alliance for Growth in the Economy (WAGE™). These workgroups have identified the career pathways of focus, determined certificates that should be offered, and discovered and developed curricula.</w:t>
      </w:r>
    </w:p>
    <w:p w14:paraId="74A3FC70" w14:textId="77777777" w:rsidR="00556063" w:rsidRPr="009E481D" w:rsidRDefault="00556063" w:rsidP="00556063">
      <w:pPr>
        <w:spacing w:after="100" w:afterAutospacing="1" w:line="240" w:lineRule="auto"/>
        <w:rPr>
          <w:rFonts w:ascii="Times New Roman" w:hAnsi="Times New Roman" w:cs="Times New Roman"/>
          <w:b/>
          <w:bCs/>
          <w:u w:val="single"/>
        </w:rPr>
      </w:pPr>
      <w:r w:rsidRPr="009E481D">
        <w:rPr>
          <w:rFonts w:ascii="Times New Roman" w:hAnsi="Times New Roman" w:cs="Times New Roman"/>
          <w:b/>
          <w:bCs/>
          <w:u w:val="single"/>
        </w:rPr>
        <w:t>2. Performance Data Analysis</w:t>
      </w:r>
    </w:p>
    <w:p w14:paraId="5218594F" w14:textId="77777777" w:rsidR="00556063" w:rsidRPr="009E481D" w:rsidRDefault="00556063" w:rsidP="00556063">
      <w:pPr>
        <w:pStyle w:val="NoSpacing"/>
        <w:spacing w:after="100" w:afterAutospacing="1"/>
        <w:rPr>
          <w:rFonts w:ascii="Times New Roman" w:hAnsi="Times New Roman" w:cs="Times New Roman"/>
          <w:i/>
        </w:rPr>
      </w:pPr>
      <w:r w:rsidRPr="009E481D">
        <w:rPr>
          <w:rFonts w:ascii="Times New Roman" w:hAnsi="Times New Roman" w:cs="Times New Roman"/>
          <w:i/>
        </w:rPr>
        <w:t xml:space="preserve">Describe how the adult education program performed in the overall assessment of core programs based on the core indicators of performance. Discuss how the assessment was used to improve quality and </w:t>
      </w:r>
      <w:r w:rsidRPr="009E481D">
        <w:rPr>
          <w:rFonts w:ascii="Times New Roman" w:hAnsi="Times New Roman" w:cs="Times New Roman"/>
          <w:i/>
        </w:rPr>
        <w:lastRenderedPageBreak/>
        <w:t>effectiveness of the funded eligible providers and any plans to further increase performance in future reporting years.</w:t>
      </w:r>
    </w:p>
    <w:p w14:paraId="0B271906" w14:textId="4023A9BD" w:rsidR="00556063" w:rsidRPr="009E481D" w:rsidRDefault="00556063" w:rsidP="00556063">
      <w:pPr>
        <w:pStyle w:val="NoSpacing"/>
        <w:spacing w:after="100" w:afterAutospacing="1"/>
        <w:rPr>
          <w:rFonts w:ascii="Times New Roman" w:hAnsi="Times New Roman" w:cs="Times New Roman"/>
          <w:bCs/>
          <w:iCs/>
        </w:rPr>
      </w:pPr>
      <w:r w:rsidRPr="009E481D">
        <w:rPr>
          <w:rFonts w:ascii="Times New Roman" w:hAnsi="Times New Roman" w:cs="Times New Roman"/>
          <w:bCs/>
          <w:iCs/>
        </w:rPr>
        <w:t xml:space="preserve">During the 2020-21 program year, </w:t>
      </w:r>
      <w:r w:rsidR="00BB607A">
        <w:rPr>
          <w:rFonts w:ascii="Times New Roman" w:hAnsi="Times New Roman" w:cs="Times New Roman"/>
          <w:bCs/>
          <w:iCs/>
        </w:rPr>
        <w:t xml:space="preserve">56% of adult education students in </w:t>
      </w:r>
      <w:r w:rsidRPr="009E481D">
        <w:rPr>
          <w:rFonts w:ascii="Times New Roman" w:hAnsi="Times New Roman" w:cs="Times New Roman"/>
          <w:bCs/>
          <w:iCs/>
        </w:rPr>
        <w:t xml:space="preserve">Arkansas achieved </w:t>
      </w:r>
      <w:r w:rsidR="00BB607A">
        <w:rPr>
          <w:rFonts w:ascii="Times New Roman" w:hAnsi="Times New Roman" w:cs="Times New Roman"/>
          <w:bCs/>
          <w:iCs/>
        </w:rPr>
        <w:t>a</w:t>
      </w:r>
      <w:r w:rsidR="00043DCA">
        <w:rPr>
          <w:rFonts w:ascii="Times New Roman" w:hAnsi="Times New Roman" w:cs="Times New Roman"/>
          <w:bCs/>
          <w:iCs/>
        </w:rPr>
        <w:t>n</w:t>
      </w:r>
      <w:r w:rsidR="00BB607A">
        <w:rPr>
          <w:rFonts w:ascii="Times New Roman" w:hAnsi="Times New Roman" w:cs="Times New Roman"/>
          <w:bCs/>
          <w:iCs/>
        </w:rPr>
        <w:t xml:space="preserve"> </w:t>
      </w:r>
      <w:r w:rsidRPr="009E481D">
        <w:rPr>
          <w:rFonts w:ascii="Times New Roman" w:hAnsi="Times New Roman" w:cs="Times New Roman"/>
          <w:bCs/>
          <w:iCs/>
        </w:rPr>
        <w:t xml:space="preserve">MSG on Table 4, exceeding the negotiated indicator of 48%. Arkansas met or exceeded all 12 level </w:t>
      </w:r>
      <w:r w:rsidR="00BB607A">
        <w:rPr>
          <w:rFonts w:ascii="Times New Roman" w:hAnsi="Times New Roman" w:cs="Times New Roman"/>
          <w:bCs/>
          <w:iCs/>
        </w:rPr>
        <w:t>b</w:t>
      </w:r>
      <w:r w:rsidRPr="009E481D">
        <w:rPr>
          <w:rFonts w:ascii="Times New Roman" w:hAnsi="Times New Roman" w:cs="Times New Roman"/>
          <w:bCs/>
          <w:iCs/>
        </w:rPr>
        <w:t xml:space="preserve">enchmarks. </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1648"/>
        <w:gridCol w:w="1648"/>
        <w:gridCol w:w="1648"/>
        <w:gridCol w:w="1649"/>
      </w:tblGrid>
      <w:tr w:rsidR="00556063" w:rsidRPr="009E481D" w14:paraId="54342B15" w14:textId="77777777" w:rsidTr="00FE5B01">
        <w:trPr>
          <w:trHeight w:val="890"/>
          <w:jc w:val="center"/>
        </w:trPr>
        <w:tc>
          <w:tcPr>
            <w:tcW w:w="2101" w:type="dxa"/>
            <w:shd w:val="clear" w:color="auto" w:fill="auto"/>
            <w:vAlign w:val="center"/>
            <w:hideMark/>
          </w:tcPr>
          <w:p w14:paraId="75F7AF2D" w14:textId="77777777" w:rsidR="00556063" w:rsidRPr="009E481D" w:rsidRDefault="00556063" w:rsidP="00FE5B01">
            <w:pPr>
              <w:pStyle w:val="NoSpacing"/>
              <w:spacing w:after="100" w:afterAutospacing="1"/>
              <w:rPr>
                <w:rFonts w:ascii="Times New Roman" w:eastAsia="Times New Roman" w:hAnsi="Times New Roman" w:cs="Times New Roman"/>
                <w:bCs/>
                <w:i/>
              </w:rPr>
            </w:pPr>
            <w:r w:rsidRPr="009E481D">
              <w:rPr>
                <w:rFonts w:ascii="Times New Roman" w:eastAsia="Times New Roman" w:hAnsi="Times New Roman" w:cs="Times New Roman"/>
                <w:bCs/>
                <w:i/>
              </w:rPr>
              <w:t>CORE INDICATORS OF PERFORMANCE</w:t>
            </w:r>
          </w:p>
        </w:tc>
        <w:tc>
          <w:tcPr>
            <w:tcW w:w="1648" w:type="dxa"/>
            <w:vAlign w:val="center"/>
          </w:tcPr>
          <w:p w14:paraId="3A0853CC"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2019-2020 Performance</w:t>
            </w:r>
          </w:p>
        </w:tc>
        <w:tc>
          <w:tcPr>
            <w:tcW w:w="1648" w:type="dxa"/>
            <w:shd w:val="clear" w:color="auto" w:fill="D9D9D9" w:themeFill="background1" w:themeFillShade="D9"/>
            <w:vAlign w:val="center"/>
            <w:hideMark/>
          </w:tcPr>
          <w:p w14:paraId="6C839C16"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2020-2021 Targets</w:t>
            </w:r>
          </w:p>
        </w:tc>
        <w:tc>
          <w:tcPr>
            <w:tcW w:w="1648" w:type="dxa"/>
            <w:vAlign w:val="center"/>
          </w:tcPr>
          <w:p w14:paraId="1007F62D"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2020-2021 Performance</w:t>
            </w:r>
          </w:p>
        </w:tc>
        <w:tc>
          <w:tcPr>
            <w:tcW w:w="1649" w:type="dxa"/>
            <w:vAlign w:val="center"/>
          </w:tcPr>
          <w:p w14:paraId="1C7BCB55"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Difference of Targets to Performance</w:t>
            </w:r>
          </w:p>
        </w:tc>
      </w:tr>
      <w:tr w:rsidR="00556063" w:rsidRPr="009E481D" w14:paraId="020DCF55" w14:textId="77777777" w:rsidTr="00FE5B01">
        <w:trPr>
          <w:trHeight w:val="377"/>
          <w:jc w:val="center"/>
        </w:trPr>
        <w:tc>
          <w:tcPr>
            <w:tcW w:w="2101" w:type="dxa"/>
            <w:shd w:val="clear" w:color="auto" w:fill="auto"/>
            <w:vAlign w:val="center"/>
            <w:hideMark/>
          </w:tcPr>
          <w:p w14:paraId="7065AF19"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ABE Level 1</w:t>
            </w:r>
          </w:p>
        </w:tc>
        <w:tc>
          <w:tcPr>
            <w:tcW w:w="1648" w:type="dxa"/>
            <w:vAlign w:val="center"/>
          </w:tcPr>
          <w:p w14:paraId="07FB568F"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43%</w:t>
            </w:r>
          </w:p>
        </w:tc>
        <w:tc>
          <w:tcPr>
            <w:tcW w:w="1648" w:type="dxa"/>
            <w:shd w:val="clear" w:color="auto" w:fill="D9D9D9" w:themeFill="background1" w:themeFillShade="D9"/>
            <w:noWrap/>
            <w:vAlign w:val="center"/>
          </w:tcPr>
          <w:p w14:paraId="503464D2"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hAnsi="Times New Roman" w:cs="Times New Roman"/>
                <w:i/>
              </w:rPr>
              <w:t>44%</w:t>
            </w:r>
          </w:p>
        </w:tc>
        <w:tc>
          <w:tcPr>
            <w:tcW w:w="1648" w:type="dxa"/>
            <w:vAlign w:val="center"/>
          </w:tcPr>
          <w:p w14:paraId="050CA0F6"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53%</w:t>
            </w:r>
          </w:p>
        </w:tc>
        <w:tc>
          <w:tcPr>
            <w:tcW w:w="1649" w:type="dxa"/>
            <w:vAlign w:val="center"/>
          </w:tcPr>
          <w:p w14:paraId="5087BA95"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+9</w:t>
            </w:r>
          </w:p>
        </w:tc>
      </w:tr>
      <w:tr w:rsidR="00556063" w:rsidRPr="009E481D" w14:paraId="6B1E5560" w14:textId="77777777" w:rsidTr="00FE5B01">
        <w:trPr>
          <w:trHeight w:val="431"/>
          <w:jc w:val="center"/>
        </w:trPr>
        <w:tc>
          <w:tcPr>
            <w:tcW w:w="2101" w:type="dxa"/>
            <w:shd w:val="clear" w:color="auto" w:fill="auto"/>
            <w:vAlign w:val="center"/>
            <w:hideMark/>
          </w:tcPr>
          <w:p w14:paraId="66D7A440"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ABE Level 2</w:t>
            </w:r>
          </w:p>
        </w:tc>
        <w:tc>
          <w:tcPr>
            <w:tcW w:w="1648" w:type="dxa"/>
            <w:vAlign w:val="center"/>
          </w:tcPr>
          <w:p w14:paraId="79C52A2D"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40%</w:t>
            </w:r>
          </w:p>
        </w:tc>
        <w:tc>
          <w:tcPr>
            <w:tcW w:w="1648" w:type="dxa"/>
            <w:shd w:val="clear" w:color="auto" w:fill="D9D9D9" w:themeFill="background1" w:themeFillShade="D9"/>
            <w:noWrap/>
            <w:vAlign w:val="center"/>
          </w:tcPr>
          <w:p w14:paraId="1BF00C04"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hAnsi="Times New Roman" w:cs="Times New Roman"/>
                <w:i/>
              </w:rPr>
              <w:t>43%</w:t>
            </w:r>
          </w:p>
        </w:tc>
        <w:tc>
          <w:tcPr>
            <w:tcW w:w="1648" w:type="dxa"/>
            <w:vAlign w:val="center"/>
          </w:tcPr>
          <w:p w14:paraId="6309BF1B"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47%</w:t>
            </w:r>
          </w:p>
        </w:tc>
        <w:tc>
          <w:tcPr>
            <w:tcW w:w="1649" w:type="dxa"/>
            <w:vAlign w:val="center"/>
          </w:tcPr>
          <w:p w14:paraId="07F55DDB"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+4</w:t>
            </w:r>
          </w:p>
        </w:tc>
      </w:tr>
      <w:tr w:rsidR="00556063" w:rsidRPr="009E481D" w14:paraId="725B5A31" w14:textId="77777777" w:rsidTr="00FE5B01">
        <w:trPr>
          <w:trHeight w:val="440"/>
          <w:jc w:val="center"/>
        </w:trPr>
        <w:tc>
          <w:tcPr>
            <w:tcW w:w="2101" w:type="dxa"/>
            <w:shd w:val="clear" w:color="auto" w:fill="auto"/>
            <w:vAlign w:val="center"/>
            <w:hideMark/>
          </w:tcPr>
          <w:p w14:paraId="05BE3445"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ABE Level 3</w:t>
            </w:r>
          </w:p>
        </w:tc>
        <w:tc>
          <w:tcPr>
            <w:tcW w:w="1648" w:type="dxa"/>
            <w:vAlign w:val="center"/>
          </w:tcPr>
          <w:p w14:paraId="6CE80039"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46%</w:t>
            </w:r>
          </w:p>
        </w:tc>
        <w:tc>
          <w:tcPr>
            <w:tcW w:w="1648" w:type="dxa"/>
            <w:shd w:val="clear" w:color="auto" w:fill="D9D9D9" w:themeFill="background1" w:themeFillShade="D9"/>
            <w:noWrap/>
            <w:vAlign w:val="center"/>
          </w:tcPr>
          <w:p w14:paraId="1B5D7DA6"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hAnsi="Times New Roman" w:cs="Times New Roman"/>
                <w:i/>
              </w:rPr>
              <w:t>47%</w:t>
            </w:r>
          </w:p>
        </w:tc>
        <w:tc>
          <w:tcPr>
            <w:tcW w:w="1648" w:type="dxa"/>
            <w:vAlign w:val="center"/>
          </w:tcPr>
          <w:p w14:paraId="6CAA155B"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50%</w:t>
            </w:r>
          </w:p>
        </w:tc>
        <w:tc>
          <w:tcPr>
            <w:tcW w:w="1649" w:type="dxa"/>
            <w:vAlign w:val="center"/>
          </w:tcPr>
          <w:p w14:paraId="54022BE9"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+3</w:t>
            </w:r>
          </w:p>
        </w:tc>
      </w:tr>
      <w:tr w:rsidR="00556063" w:rsidRPr="009E481D" w14:paraId="06351AF2" w14:textId="77777777" w:rsidTr="00FE5B01">
        <w:trPr>
          <w:trHeight w:val="449"/>
          <w:jc w:val="center"/>
        </w:trPr>
        <w:tc>
          <w:tcPr>
            <w:tcW w:w="2101" w:type="dxa"/>
            <w:shd w:val="clear" w:color="auto" w:fill="auto"/>
            <w:vAlign w:val="center"/>
            <w:hideMark/>
          </w:tcPr>
          <w:p w14:paraId="359FEDC2"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ABE Level 4</w:t>
            </w:r>
          </w:p>
        </w:tc>
        <w:tc>
          <w:tcPr>
            <w:tcW w:w="1648" w:type="dxa"/>
            <w:vAlign w:val="center"/>
          </w:tcPr>
          <w:p w14:paraId="5370EAF1"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57%</w:t>
            </w:r>
          </w:p>
        </w:tc>
        <w:tc>
          <w:tcPr>
            <w:tcW w:w="1648" w:type="dxa"/>
            <w:shd w:val="clear" w:color="auto" w:fill="D9D9D9" w:themeFill="background1" w:themeFillShade="D9"/>
            <w:noWrap/>
            <w:vAlign w:val="center"/>
          </w:tcPr>
          <w:p w14:paraId="2DF1F39F"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hAnsi="Times New Roman" w:cs="Times New Roman"/>
                <w:i/>
              </w:rPr>
              <w:t>55%</w:t>
            </w:r>
          </w:p>
        </w:tc>
        <w:tc>
          <w:tcPr>
            <w:tcW w:w="1648" w:type="dxa"/>
            <w:vAlign w:val="center"/>
          </w:tcPr>
          <w:p w14:paraId="361BECF6"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69%</w:t>
            </w:r>
          </w:p>
        </w:tc>
        <w:tc>
          <w:tcPr>
            <w:tcW w:w="1649" w:type="dxa"/>
            <w:vAlign w:val="center"/>
          </w:tcPr>
          <w:p w14:paraId="685E56CE"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+14</w:t>
            </w:r>
          </w:p>
        </w:tc>
      </w:tr>
      <w:tr w:rsidR="00556063" w:rsidRPr="009E481D" w14:paraId="068AD9D9" w14:textId="77777777" w:rsidTr="00FE5B01">
        <w:trPr>
          <w:trHeight w:val="440"/>
          <w:jc w:val="center"/>
        </w:trPr>
        <w:tc>
          <w:tcPr>
            <w:tcW w:w="2101" w:type="dxa"/>
            <w:shd w:val="clear" w:color="auto" w:fill="auto"/>
            <w:vAlign w:val="center"/>
            <w:hideMark/>
          </w:tcPr>
          <w:p w14:paraId="3E575DED" w14:textId="77777777" w:rsidR="00556063" w:rsidRPr="009E481D" w:rsidRDefault="00556063" w:rsidP="00FE5B01">
            <w:pPr>
              <w:pStyle w:val="NoSpacing"/>
              <w:spacing w:after="100" w:afterAutospacing="1"/>
              <w:rPr>
                <w:rFonts w:ascii="Times New Roman" w:eastAsia="Times New Roman" w:hAnsi="Times New Roman" w:cs="Times New Roman"/>
                <w:i/>
              </w:rPr>
            </w:pPr>
            <w:bookmarkStart w:id="0" w:name="OLE_LINK4"/>
            <w:bookmarkStart w:id="1" w:name="OLE_LINK5"/>
            <w:r w:rsidRPr="009E481D">
              <w:rPr>
                <w:rFonts w:ascii="Times New Roman" w:eastAsia="Times New Roman" w:hAnsi="Times New Roman" w:cs="Times New Roman"/>
                <w:i/>
              </w:rPr>
              <w:t>ABE Level 5</w:t>
            </w:r>
            <w:bookmarkEnd w:id="0"/>
            <w:bookmarkEnd w:id="1"/>
          </w:p>
        </w:tc>
        <w:tc>
          <w:tcPr>
            <w:tcW w:w="1648" w:type="dxa"/>
            <w:vAlign w:val="center"/>
          </w:tcPr>
          <w:p w14:paraId="38BB26CA"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56%</w:t>
            </w:r>
          </w:p>
        </w:tc>
        <w:tc>
          <w:tcPr>
            <w:tcW w:w="1648" w:type="dxa"/>
            <w:shd w:val="clear" w:color="auto" w:fill="D9D9D9" w:themeFill="background1" w:themeFillShade="D9"/>
            <w:noWrap/>
            <w:vAlign w:val="center"/>
          </w:tcPr>
          <w:p w14:paraId="7ECBD71D"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hAnsi="Times New Roman" w:cs="Times New Roman"/>
                <w:i/>
              </w:rPr>
              <w:t>54%</w:t>
            </w:r>
          </w:p>
        </w:tc>
        <w:tc>
          <w:tcPr>
            <w:tcW w:w="1648" w:type="dxa"/>
            <w:vAlign w:val="center"/>
          </w:tcPr>
          <w:p w14:paraId="6D087B87"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73%</w:t>
            </w:r>
          </w:p>
        </w:tc>
        <w:tc>
          <w:tcPr>
            <w:tcW w:w="1649" w:type="dxa"/>
            <w:vAlign w:val="center"/>
          </w:tcPr>
          <w:p w14:paraId="7977DDF4"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+19</w:t>
            </w:r>
          </w:p>
        </w:tc>
      </w:tr>
      <w:tr w:rsidR="00556063" w:rsidRPr="009E481D" w:rsidDel="00520FFB" w14:paraId="3600113F" w14:textId="77777777" w:rsidTr="00FE5B01">
        <w:trPr>
          <w:trHeight w:val="440"/>
          <w:jc w:val="center"/>
        </w:trPr>
        <w:tc>
          <w:tcPr>
            <w:tcW w:w="2101" w:type="dxa"/>
            <w:shd w:val="clear" w:color="auto" w:fill="auto"/>
            <w:vAlign w:val="center"/>
          </w:tcPr>
          <w:p w14:paraId="17D40538"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ABE Level 6</w:t>
            </w:r>
          </w:p>
        </w:tc>
        <w:tc>
          <w:tcPr>
            <w:tcW w:w="1648" w:type="dxa"/>
            <w:vAlign w:val="center"/>
          </w:tcPr>
          <w:p w14:paraId="3BD8EF57"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NA</w:t>
            </w:r>
          </w:p>
        </w:tc>
        <w:tc>
          <w:tcPr>
            <w:tcW w:w="1648" w:type="dxa"/>
            <w:shd w:val="clear" w:color="auto" w:fill="D9D9D9" w:themeFill="background1" w:themeFillShade="D9"/>
            <w:noWrap/>
            <w:vAlign w:val="center"/>
          </w:tcPr>
          <w:p w14:paraId="0C62A6B7" w14:textId="77777777" w:rsidR="00556063" w:rsidRPr="009E481D" w:rsidRDefault="00556063" w:rsidP="00FE5B01">
            <w:pPr>
              <w:pStyle w:val="NoSpacing"/>
              <w:spacing w:after="100" w:afterAutospacing="1"/>
              <w:rPr>
                <w:rFonts w:ascii="Times New Roman" w:hAnsi="Times New Roman" w:cs="Times New Roman"/>
                <w:i/>
              </w:rPr>
            </w:pPr>
            <w:r w:rsidRPr="009E481D">
              <w:rPr>
                <w:rFonts w:ascii="Times New Roman" w:hAnsi="Times New Roman" w:cs="Times New Roman"/>
                <w:i/>
              </w:rPr>
              <w:t>52%</w:t>
            </w:r>
          </w:p>
        </w:tc>
        <w:tc>
          <w:tcPr>
            <w:tcW w:w="1648" w:type="dxa"/>
            <w:vAlign w:val="center"/>
          </w:tcPr>
          <w:p w14:paraId="3FA2603F"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60%</w:t>
            </w:r>
          </w:p>
        </w:tc>
        <w:tc>
          <w:tcPr>
            <w:tcW w:w="1649" w:type="dxa"/>
            <w:vAlign w:val="center"/>
          </w:tcPr>
          <w:p w14:paraId="53531957" w14:textId="77777777" w:rsidR="00556063" w:rsidRPr="009E481D" w:rsidDel="00520FFB"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+8</w:t>
            </w:r>
          </w:p>
        </w:tc>
      </w:tr>
      <w:tr w:rsidR="00556063" w:rsidRPr="009E481D" w14:paraId="7ABD5E80" w14:textId="77777777" w:rsidTr="00FE5B01">
        <w:trPr>
          <w:trHeight w:val="440"/>
          <w:jc w:val="center"/>
        </w:trPr>
        <w:tc>
          <w:tcPr>
            <w:tcW w:w="2101" w:type="dxa"/>
            <w:shd w:val="clear" w:color="auto" w:fill="auto"/>
            <w:vAlign w:val="center"/>
            <w:hideMark/>
          </w:tcPr>
          <w:p w14:paraId="3BA27448"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ESL Level 1</w:t>
            </w:r>
          </w:p>
        </w:tc>
        <w:tc>
          <w:tcPr>
            <w:tcW w:w="1648" w:type="dxa"/>
            <w:vAlign w:val="center"/>
          </w:tcPr>
          <w:p w14:paraId="6253B230"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43%</w:t>
            </w:r>
          </w:p>
        </w:tc>
        <w:tc>
          <w:tcPr>
            <w:tcW w:w="1648" w:type="dxa"/>
            <w:shd w:val="clear" w:color="auto" w:fill="D9D9D9" w:themeFill="background1" w:themeFillShade="D9"/>
            <w:noWrap/>
            <w:vAlign w:val="center"/>
          </w:tcPr>
          <w:p w14:paraId="3FE7D8F1"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hAnsi="Times New Roman" w:cs="Times New Roman"/>
                <w:i/>
              </w:rPr>
              <w:t>46%</w:t>
            </w:r>
          </w:p>
        </w:tc>
        <w:tc>
          <w:tcPr>
            <w:tcW w:w="1648" w:type="dxa"/>
            <w:vAlign w:val="center"/>
          </w:tcPr>
          <w:p w14:paraId="3C7A78E8"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55%</w:t>
            </w:r>
          </w:p>
        </w:tc>
        <w:tc>
          <w:tcPr>
            <w:tcW w:w="1649" w:type="dxa"/>
            <w:vAlign w:val="center"/>
          </w:tcPr>
          <w:p w14:paraId="417D3093"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+9</w:t>
            </w:r>
          </w:p>
        </w:tc>
      </w:tr>
      <w:tr w:rsidR="00556063" w:rsidRPr="009E481D" w14:paraId="37820A02" w14:textId="77777777" w:rsidTr="00FE5B01">
        <w:trPr>
          <w:trHeight w:val="440"/>
          <w:jc w:val="center"/>
        </w:trPr>
        <w:tc>
          <w:tcPr>
            <w:tcW w:w="2101" w:type="dxa"/>
            <w:shd w:val="clear" w:color="auto" w:fill="auto"/>
            <w:vAlign w:val="center"/>
            <w:hideMark/>
          </w:tcPr>
          <w:p w14:paraId="4DDF524E"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ESL Level 2</w:t>
            </w:r>
          </w:p>
        </w:tc>
        <w:tc>
          <w:tcPr>
            <w:tcW w:w="1648" w:type="dxa"/>
            <w:vAlign w:val="center"/>
          </w:tcPr>
          <w:p w14:paraId="0B655348"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52%</w:t>
            </w:r>
          </w:p>
        </w:tc>
        <w:tc>
          <w:tcPr>
            <w:tcW w:w="1648" w:type="dxa"/>
            <w:shd w:val="clear" w:color="auto" w:fill="D9D9D9" w:themeFill="background1" w:themeFillShade="D9"/>
            <w:noWrap/>
            <w:vAlign w:val="center"/>
          </w:tcPr>
          <w:p w14:paraId="49389592"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hAnsi="Times New Roman" w:cs="Times New Roman"/>
                <w:i/>
              </w:rPr>
              <w:t>52%</w:t>
            </w:r>
          </w:p>
        </w:tc>
        <w:tc>
          <w:tcPr>
            <w:tcW w:w="1648" w:type="dxa"/>
            <w:vAlign w:val="center"/>
          </w:tcPr>
          <w:p w14:paraId="1ACEE685"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62%</w:t>
            </w:r>
          </w:p>
        </w:tc>
        <w:tc>
          <w:tcPr>
            <w:tcW w:w="1649" w:type="dxa"/>
            <w:vAlign w:val="center"/>
          </w:tcPr>
          <w:p w14:paraId="0E6E460D"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+10</w:t>
            </w:r>
          </w:p>
        </w:tc>
      </w:tr>
      <w:tr w:rsidR="00556063" w:rsidRPr="009E481D" w14:paraId="07695C39" w14:textId="77777777" w:rsidTr="00FE5B01">
        <w:trPr>
          <w:trHeight w:val="440"/>
          <w:jc w:val="center"/>
        </w:trPr>
        <w:tc>
          <w:tcPr>
            <w:tcW w:w="2101" w:type="dxa"/>
            <w:shd w:val="clear" w:color="auto" w:fill="auto"/>
            <w:vAlign w:val="center"/>
            <w:hideMark/>
          </w:tcPr>
          <w:p w14:paraId="12C6CBCA"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ESL Level 3</w:t>
            </w:r>
          </w:p>
        </w:tc>
        <w:tc>
          <w:tcPr>
            <w:tcW w:w="1648" w:type="dxa"/>
            <w:vAlign w:val="center"/>
          </w:tcPr>
          <w:p w14:paraId="6F84CEC9"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54%</w:t>
            </w:r>
          </w:p>
        </w:tc>
        <w:tc>
          <w:tcPr>
            <w:tcW w:w="1648" w:type="dxa"/>
            <w:shd w:val="clear" w:color="auto" w:fill="D9D9D9" w:themeFill="background1" w:themeFillShade="D9"/>
            <w:noWrap/>
            <w:vAlign w:val="center"/>
          </w:tcPr>
          <w:p w14:paraId="54FDDD05"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hAnsi="Times New Roman" w:cs="Times New Roman"/>
                <w:i/>
              </w:rPr>
              <w:t>53%</w:t>
            </w:r>
          </w:p>
        </w:tc>
        <w:tc>
          <w:tcPr>
            <w:tcW w:w="1648" w:type="dxa"/>
            <w:vAlign w:val="center"/>
          </w:tcPr>
          <w:p w14:paraId="2A14E727"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56%</w:t>
            </w:r>
          </w:p>
        </w:tc>
        <w:tc>
          <w:tcPr>
            <w:tcW w:w="1649" w:type="dxa"/>
            <w:vAlign w:val="center"/>
          </w:tcPr>
          <w:p w14:paraId="7EF490F1"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+3</w:t>
            </w:r>
          </w:p>
        </w:tc>
      </w:tr>
      <w:tr w:rsidR="00556063" w:rsidRPr="009E481D" w14:paraId="26FF2EDC" w14:textId="77777777" w:rsidTr="00FE5B01">
        <w:trPr>
          <w:trHeight w:val="431"/>
          <w:jc w:val="center"/>
        </w:trPr>
        <w:tc>
          <w:tcPr>
            <w:tcW w:w="2101" w:type="dxa"/>
            <w:shd w:val="clear" w:color="auto" w:fill="auto"/>
            <w:vAlign w:val="center"/>
            <w:hideMark/>
          </w:tcPr>
          <w:p w14:paraId="7003B51F"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ESL Level 4</w:t>
            </w:r>
          </w:p>
        </w:tc>
        <w:tc>
          <w:tcPr>
            <w:tcW w:w="1648" w:type="dxa"/>
            <w:vAlign w:val="center"/>
          </w:tcPr>
          <w:p w14:paraId="59484BDD"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54%</w:t>
            </w:r>
          </w:p>
        </w:tc>
        <w:tc>
          <w:tcPr>
            <w:tcW w:w="1648" w:type="dxa"/>
            <w:shd w:val="clear" w:color="auto" w:fill="D9D9D9" w:themeFill="background1" w:themeFillShade="D9"/>
            <w:noWrap/>
            <w:vAlign w:val="center"/>
          </w:tcPr>
          <w:p w14:paraId="459342D0"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hAnsi="Times New Roman" w:cs="Times New Roman"/>
                <w:i/>
              </w:rPr>
              <w:t>52%</w:t>
            </w:r>
          </w:p>
        </w:tc>
        <w:tc>
          <w:tcPr>
            <w:tcW w:w="1648" w:type="dxa"/>
            <w:vAlign w:val="center"/>
          </w:tcPr>
          <w:p w14:paraId="3D77041F"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63%</w:t>
            </w:r>
          </w:p>
        </w:tc>
        <w:tc>
          <w:tcPr>
            <w:tcW w:w="1649" w:type="dxa"/>
            <w:vAlign w:val="center"/>
          </w:tcPr>
          <w:p w14:paraId="19E5FBF2"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+9</w:t>
            </w:r>
          </w:p>
        </w:tc>
      </w:tr>
      <w:tr w:rsidR="00556063" w:rsidRPr="009E481D" w14:paraId="400BD977" w14:textId="77777777" w:rsidTr="00FE5B01">
        <w:trPr>
          <w:trHeight w:val="440"/>
          <w:jc w:val="center"/>
        </w:trPr>
        <w:tc>
          <w:tcPr>
            <w:tcW w:w="2101" w:type="dxa"/>
            <w:shd w:val="clear" w:color="auto" w:fill="auto"/>
            <w:vAlign w:val="center"/>
            <w:hideMark/>
          </w:tcPr>
          <w:p w14:paraId="26B56D63"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ESL Level 5</w:t>
            </w:r>
          </w:p>
        </w:tc>
        <w:tc>
          <w:tcPr>
            <w:tcW w:w="1648" w:type="dxa"/>
            <w:vAlign w:val="center"/>
          </w:tcPr>
          <w:p w14:paraId="19324309"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50%</w:t>
            </w:r>
          </w:p>
        </w:tc>
        <w:tc>
          <w:tcPr>
            <w:tcW w:w="1648" w:type="dxa"/>
            <w:shd w:val="clear" w:color="auto" w:fill="D9D9D9" w:themeFill="background1" w:themeFillShade="D9"/>
            <w:noWrap/>
            <w:vAlign w:val="center"/>
          </w:tcPr>
          <w:p w14:paraId="38428277"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hAnsi="Times New Roman" w:cs="Times New Roman"/>
                <w:i/>
              </w:rPr>
              <w:t>45%</w:t>
            </w:r>
          </w:p>
        </w:tc>
        <w:tc>
          <w:tcPr>
            <w:tcW w:w="1648" w:type="dxa"/>
            <w:vAlign w:val="center"/>
          </w:tcPr>
          <w:p w14:paraId="6A93F308"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59%</w:t>
            </w:r>
          </w:p>
        </w:tc>
        <w:tc>
          <w:tcPr>
            <w:tcW w:w="1649" w:type="dxa"/>
            <w:vAlign w:val="center"/>
          </w:tcPr>
          <w:p w14:paraId="48DF7803"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+14</w:t>
            </w:r>
          </w:p>
        </w:tc>
      </w:tr>
      <w:tr w:rsidR="00556063" w:rsidRPr="009E481D" w14:paraId="0D8355C0" w14:textId="77777777" w:rsidTr="00FE5B01">
        <w:trPr>
          <w:trHeight w:val="440"/>
          <w:jc w:val="center"/>
        </w:trPr>
        <w:tc>
          <w:tcPr>
            <w:tcW w:w="2101" w:type="dxa"/>
            <w:shd w:val="clear" w:color="auto" w:fill="auto"/>
            <w:vAlign w:val="center"/>
          </w:tcPr>
          <w:p w14:paraId="21A283EC"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ESL Level 6</w:t>
            </w:r>
          </w:p>
        </w:tc>
        <w:tc>
          <w:tcPr>
            <w:tcW w:w="1648" w:type="dxa"/>
            <w:vAlign w:val="center"/>
          </w:tcPr>
          <w:p w14:paraId="72ABB877"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39%</w:t>
            </w:r>
          </w:p>
        </w:tc>
        <w:tc>
          <w:tcPr>
            <w:tcW w:w="1648" w:type="dxa"/>
            <w:shd w:val="clear" w:color="auto" w:fill="D9D9D9" w:themeFill="background1" w:themeFillShade="D9"/>
            <w:noWrap/>
            <w:vAlign w:val="center"/>
          </w:tcPr>
          <w:p w14:paraId="40D0B53A"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hAnsi="Times New Roman" w:cs="Times New Roman"/>
                <w:i/>
              </w:rPr>
              <w:t>30%</w:t>
            </w:r>
          </w:p>
        </w:tc>
        <w:tc>
          <w:tcPr>
            <w:tcW w:w="1648" w:type="dxa"/>
            <w:vAlign w:val="center"/>
          </w:tcPr>
          <w:p w14:paraId="21C53FA0"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53%</w:t>
            </w:r>
          </w:p>
        </w:tc>
        <w:tc>
          <w:tcPr>
            <w:tcW w:w="1649" w:type="dxa"/>
            <w:vAlign w:val="center"/>
          </w:tcPr>
          <w:p w14:paraId="27269087"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+23</w:t>
            </w:r>
          </w:p>
        </w:tc>
      </w:tr>
      <w:tr w:rsidR="00556063" w:rsidRPr="009E481D" w14:paraId="611ADF8C" w14:textId="77777777" w:rsidTr="00FE5B01">
        <w:trPr>
          <w:trHeight w:val="315"/>
          <w:jc w:val="center"/>
        </w:trPr>
        <w:tc>
          <w:tcPr>
            <w:tcW w:w="2101" w:type="dxa"/>
            <w:shd w:val="clear" w:color="auto" w:fill="auto"/>
            <w:vAlign w:val="center"/>
            <w:hideMark/>
          </w:tcPr>
          <w:p w14:paraId="027D5DE7" w14:textId="77777777" w:rsidR="00556063" w:rsidRPr="009E481D" w:rsidRDefault="00556063" w:rsidP="00FE5B01">
            <w:pPr>
              <w:pStyle w:val="NoSpacing"/>
              <w:spacing w:after="100" w:afterAutospacing="1"/>
              <w:rPr>
                <w:rFonts w:ascii="Times New Roman" w:eastAsia="Times New Roman" w:hAnsi="Times New Roman" w:cs="Times New Roman"/>
                <w:bCs/>
                <w:i/>
              </w:rPr>
            </w:pPr>
            <w:r w:rsidRPr="009E481D">
              <w:rPr>
                <w:rFonts w:ascii="Times New Roman" w:eastAsia="Times New Roman" w:hAnsi="Times New Roman" w:cs="Times New Roman"/>
                <w:bCs/>
                <w:i/>
              </w:rPr>
              <w:t>AVERAGE</w:t>
            </w:r>
          </w:p>
        </w:tc>
        <w:tc>
          <w:tcPr>
            <w:tcW w:w="1648" w:type="dxa"/>
            <w:vAlign w:val="center"/>
          </w:tcPr>
          <w:p w14:paraId="1E880E68"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47%</w:t>
            </w:r>
          </w:p>
        </w:tc>
        <w:tc>
          <w:tcPr>
            <w:tcW w:w="1648" w:type="dxa"/>
            <w:shd w:val="clear" w:color="auto" w:fill="D9D9D9" w:themeFill="background1" w:themeFillShade="D9"/>
            <w:noWrap/>
            <w:vAlign w:val="center"/>
          </w:tcPr>
          <w:p w14:paraId="649D7B0E"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48%</w:t>
            </w:r>
          </w:p>
        </w:tc>
        <w:tc>
          <w:tcPr>
            <w:tcW w:w="1648" w:type="dxa"/>
            <w:vAlign w:val="center"/>
          </w:tcPr>
          <w:p w14:paraId="0886BFAD"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56%</w:t>
            </w:r>
          </w:p>
        </w:tc>
        <w:tc>
          <w:tcPr>
            <w:tcW w:w="1649" w:type="dxa"/>
            <w:vAlign w:val="center"/>
          </w:tcPr>
          <w:p w14:paraId="3473FF6E" w14:textId="77777777" w:rsidR="00556063" w:rsidRPr="009E481D" w:rsidRDefault="00556063" w:rsidP="00FE5B01">
            <w:pPr>
              <w:pStyle w:val="NoSpacing"/>
              <w:spacing w:after="100" w:afterAutospacing="1"/>
              <w:rPr>
                <w:rFonts w:ascii="Times New Roman" w:eastAsia="Times New Roman" w:hAnsi="Times New Roman" w:cs="Times New Roman"/>
                <w:i/>
              </w:rPr>
            </w:pPr>
            <w:r w:rsidRPr="009E481D">
              <w:rPr>
                <w:rFonts w:ascii="Times New Roman" w:eastAsia="Times New Roman" w:hAnsi="Times New Roman" w:cs="Times New Roman"/>
                <w:i/>
              </w:rPr>
              <w:t>+8</w:t>
            </w:r>
          </w:p>
        </w:tc>
      </w:tr>
    </w:tbl>
    <w:p w14:paraId="5EFEEDBA" w14:textId="5BE81939" w:rsidR="00556063" w:rsidRDefault="00556063" w:rsidP="00556063">
      <w:pPr>
        <w:pStyle w:val="NoSpacing"/>
        <w:spacing w:after="100" w:afterAutospacing="1"/>
        <w:rPr>
          <w:rFonts w:ascii="Times New Roman" w:hAnsi="Times New Roman" w:cs="Times New Roman"/>
        </w:rPr>
      </w:pPr>
    </w:p>
    <w:p w14:paraId="2BC5E296" w14:textId="77777777" w:rsidR="00DB16F7" w:rsidRPr="00D404D7" w:rsidRDefault="00DB16F7" w:rsidP="00DB16F7">
      <w:pPr>
        <w:rPr>
          <w:rFonts w:ascii="Times New Roman" w:hAnsi="Times New Roman" w:cs="Times New Roman"/>
        </w:rPr>
      </w:pPr>
      <w:r w:rsidRPr="00D404D7">
        <w:rPr>
          <w:rFonts w:ascii="Times New Roman" w:hAnsi="Times New Roman" w:cs="Times New Roman"/>
        </w:rPr>
        <w:t>Arkansas Adult Education also reported the following data for its follow-up measure indicators:</w:t>
      </w: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1648"/>
        <w:gridCol w:w="1648"/>
        <w:gridCol w:w="1649"/>
      </w:tblGrid>
      <w:tr w:rsidR="00DB16F7" w:rsidRPr="00D404D7" w14:paraId="019D3A9F" w14:textId="77777777" w:rsidTr="00924E74">
        <w:trPr>
          <w:trHeight w:val="890"/>
          <w:jc w:val="center"/>
        </w:trPr>
        <w:tc>
          <w:tcPr>
            <w:tcW w:w="2101" w:type="dxa"/>
            <w:shd w:val="clear" w:color="auto" w:fill="auto"/>
            <w:vAlign w:val="center"/>
            <w:hideMark/>
          </w:tcPr>
          <w:p w14:paraId="619259B9" w14:textId="77777777" w:rsidR="00DB16F7" w:rsidRPr="00D404D7" w:rsidRDefault="00DB16F7" w:rsidP="00924E74">
            <w:pPr>
              <w:pStyle w:val="NoSpacing"/>
              <w:spacing w:after="100" w:afterAutospacing="1"/>
              <w:rPr>
                <w:rFonts w:ascii="Times New Roman" w:eastAsia="Times New Roman" w:hAnsi="Times New Roman" w:cs="Times New Roman"/>
                <w:bCs/>
                <w:i/>
              </w:rPr>
            </w:pPr>
            <w:r w:rsidRPr="00D404D7">
              <w:rPr>
                <w:rFonts w:ascii="Times New Roman" w:eastAsia="Times New Roman" w:hAnsi="Times New Roman" w:cs="Times New Roman"/>
                <w:bCs/>
                <w:i/>
              </w:rPr>
              <w:t>CORE INDICATORS OF PERFORMANCE</w:t>
            </w:r>
          </w:p>
        </w:tc>
        <w:tc>
          <w:tcPr>
            <w:tcW w:w="1648" w:type="dxa"/>
            <w:shd w:val="clear" w:color="auto" w:fill="D9D9D9" w:themeFill="background1" w:themeFillShade="D9"/>
            <w:vAlign w:val="center"/>
            <w:hideMark/>
          </w:tcPr>
          <w:p w14:paraId="4689081E"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2020-2021 Targets</w:t>
            </w:r>
          </w:p>
        </w:tc>
        <w:tc>
          <w:tcPr>
            <w:tcW w:w="1648" w:type="dxa"/>
            <w:vAlign w:val="center"/>
          </w:tcPr>
          <w:p w14:paraId="12092EAF"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2020-2021 Performance</w:t>
            </w:r>
          </w:p>
        </w:tc>
        <w:tc>
          <w:tcPr>
            <w:tcW w:w="1649" w:type="dxa"/>
            <w:vAlign w:val="center"/>
          </w:tcPr>
          <w:p w14:paraId="0550A381"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Difference of Targets to Performance</w:t>
            </w:r>
          </w:p>
        </w:tc>
      </w:tr>
      <w:tr w:rsidR="00DB16F7" w:rsidRPr="00D404D7" w14:paraId="48A383A9" w14:textId="77777777" w:rsidTr="00924E74">
        <w:trPr>
          <w:trHeight w:val="494"/>
          <w:jc w:val="center"/>
        </w:trPr>
        <w:tc>
          <w:tcPr>
            <w:tcW w:w="2101" w:type="dxa"/>
            <w:shd w:val="clear" w:color="auto" w:fill="auto"/>
            <w:vAlign w:val="center"/>
            <w:hideMark/>
          </w:tcPr>
          <w:p w14:paraId="07DEA66E"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Employment Second Quarter After Exit</w:t>
            </w:r>
          </w:p>
        </w:tc>
        <w:tc>
          <w:tcPr>
            <w:tcW w:w="1648" w:type="dxa"/>
            <w:shd w:val="clear" w:color="auto" w:fill="D9D9D9" w:themeFill="background1" w:themeFillShade="D9"/>
            <w:noWrap/>
            <w:vAlign w:val="center"/>
          </w:tcPr>
          <w:p w14:paraId="03A37413"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hAnsi="Times New Roman" w:cs="Times New Roman"/>
                <w:i/>
              </w:rPr>
              <w:t>44%</w:t>
            </w:r>
          </w:p>
        </w:tc>
        <w:tc>
          <w:tcPr>
            <w:tcW w:w="1648" w:type="dxa"/>
            <w:vAlign w:val="center"/>
          </w:tcPr>
          <w:p w14:paraId="30A8BF07"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41%</w:t>
            </w:r>
          </w:p>
        </w:tc>
        <w:tc>
          <w:tcPr>
            <w:tcW w:w="1649" w:type="dxa"/>
            <w:vAlign w:val="center"/>
          </w:tcPr>
          <w:p w14:paraId="54B541A0"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-3</w:t>
            </w:r>
          </w:p>
        </w:tc>
      </w:tr>
      <w:tr w:rsidR="00DB16F7" w:rsidRPr="00D404D7" w14:paraId="357D8E84" w14:textId="77777777" w:rsidTr="00924E74">
        <w:trPr>
          <w:trHeight w:val="521"/>
          <w:jc w:val="center"/>
        </w:trPr>
        <w:tc>
          <w:tcPr>
            <w:tcW w:w="2101" w:type="dxa"/>
            <w:shd w:val="clear" w:color="auto" w:fill="auto"/>
            <w:vAlign w:val="center"/>
            <w:hideMark/>
          </w:tcPr>
          <w:p w14:paraId="43FEB52C"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Employment Fourth Quarter After Exit</w:t>
            </w:r>
          </w:p>
        </w:tc>
        <w:tc>
          <w:tcPr>
            <w:tcW w:w="1648" w:type="dxa"/>
            <w:shd w:val="clear" w:color="auto" w:fill="D9D9D9" w:themeFill="background1" w:themeFillShade="D9"/>
            <w:noWrap/>
            <w:vAlign w:val="center"/>
          </w:tcPr>
          <w:p w14:paraId="1D793D77"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hAnsi="Times New Roman" w:cs="Times New Roman"/>
                <w:i/>
              </w:rPr>
              <w:t>46%</w:t>
            </w:r>
          </w:p>
        </w:tc>
        <w:tc>
          <w:tcPr>
            <w:tcW w:w="1648" w:type="dxa"/>
            <w:vAlign w:val="center"/>
          </w:tcPr>
          <w:p w14:paraId="4F37C7F6"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21%</w:t>
            </w:r>
          </w:p>
        </w:tc>
        <w:tc>
          <w:tcPr>
            <w:tcW w:w="1649" w:type="dxa"/>
            <w:vAlign w:val="center"/>
          </w:tcPr>
          <w:p w14:paraId="29FEF805"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-25</w:t>
            </w:r>
          </w:p>
        </w:tc>
      </w:tr>
      <w:tr w:rsidR="00DB16F7" w:rsidRPr="00D404D7" w14:paraId="760B1A48" w14:textId="77777777" w:rsidTr="00924E74">
        <w:trPr>
          <w:trHeight w:val="440"/>
          <w:jc w:val="center"/>
        </w:trPr>
        <w:tc>
          <w:tcPr>
            <w:tcW w:w="2101" w:type="dxa"/>
            <w:shd w:val="clear" w:color="auto" w:fill="auto"/>
            <w:vAlign w:val="center"/>
            <w:hideMark/>
          </w:tcPr>
          <w:p w14:paraId="2CD1285C"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 xml:space="preserve">Median Earnings Employment Second Quarter After Exit </w:t>
            </w:r>
          </w:p>
        </w:tc>
        <w:tc>
          <w:tcPr>
            <w:tcW w:w="1648" w:type="dxa"/>
            <w:shd w:val="clear" w:color="auto" w:fill="D9D9D9" w:themeFill="background1" w:themeFillShade="D9"/>
            <w:noWrap/>
            <w:vAlign w:val="center"/>
          </w:tcPr>
          <w:p w14:paraId="6F06130E"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hAnsi="Times New Roman" w:cs="Times New Roman"/>
                <w:i/>
              </w:rPr>
              <w:t>$4,200</w:t>
            </w:r>
          </w:p>
        </w:tc>
        <w:tc>
          <w:tcPr>
            <w:tcW w:w="1648" w:type="dxa"/>
            <w:vAlign w:val="center"/>
          </w:tcPr>
          <w:p w14:paraId="571604C8"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$4,438.08</w:t>
            </w:r>
          </w:p>
        </w:tc>
        <w:tc>
          <w:tcPr>
            <w:tcW w:w="1649" w:type="dxa"/>
            <w:vAlign w:val="center"/>
          </w:tcPr>
          <w:p w14:paraId="02C260E0"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+$238.08</w:t>
            </w:r>
          </w:p>
        </w:tc>
      </w:tr>
      <w:tr w:rsidR="00DB16F7" w:rsidRPr="00D404D7" w14:paraId="4F1A7F44" w14:textId="77777777" w:rsidTr="00924E74">
        <w:trPr>
          <w:trHeight w:val="449"/>
          <w:jc w:val="center"/>
        </w:trPr>
        <w:tc>
          <w:tcPr>
            <w:tcW w:w="2101" w:type="dxa"/>
            <w:shd w:val="clear" w:color="auto" w:fill="auto"/>
            <w:vAlign w:val="center"/>
            <w:hideMark/>
          </w:tcPr>
          <w:p w14:paraId="22FC431B"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Credential Rate</w:t>
            </w:r>
          </w:p>
        </w:tc>
        <w:tc>
          <w:tcPr>
            <w:tcW w:w="1648" w:type="dxa"/>
            <w:shd w:val="clear" w:color="auto" w:fill="D9D9D9" w:themeFill="background1" w:themeFillShade="D9"/>
            <w:noWrap/>
            <w:vAlign w:val="center"/>
          </w:tcPr>
          <w:p w14:paraId="42A73275"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hAnsi="Times New Roman" w:cs="Times New Roman"/>
                <w:i/>
              </w:rPr>
              <w:t>48%</w:t>
            </w:r>
          </w:p>
        </w:tc>
        <w:tc>
          <w:tcPr>
            <w:tcW w:w="1648" w:type="dxa"/>
            <w:vAlign w:val="center"/>
          </w:tcPr>
          <w:p w14:paraId="23478F91"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45%</w:t>
            </w:r>
          </w:p>
        </w:tc>
        <w:tc>
          <w:tcPr>
            <w:tcW w:w="1649" w:type="dxa"/>
            <w:vAlign w:val="center"/>
          </w:tcPr>
          <w:p w14:paraId="0B5B7815" w14:textId="77777777" w:rsidR="00DB16F7" w:rsidRPr="00D404D7" w:rsidRDefault="00DB16F7" w:rsidP="00924E74">
            <w:pPr>
              <w:pStyle w:val="NoSpacing"/>
              <w:spacing w:after="100" w:afterAutospacing="1"/>
              <w:rPr>
                <w:rFonts w:ascii="Times New Roman" w:eastAsia="Times New Roman" w:hAnsi="Times New Roman" w:cs="Times New Roman"/>
                <w:i/>
              </w:rPr>
            </w:pPr>
            <w:r w:rsidRPr="00D404D7">
              <w:rPr>
                <w:rFonts w:ascii="Times New Roman" w:eastAsia="Times New Roman" w:hAnsi="Times New Roman" w:cs="Times New Roman"/>
                <w:i/>
              </w:rPr>
              <w:t>-3</w:t>
            </w:r>
          </w:p>
        </w:tc>
      </w:tr>
    </w:tbl>
    <w:p w14:paraId="4691320A" w14:textId="77777777" w:rsidR="00DB16F7" w:rsidRPr="00D404D7" w:rsidRDefault="00DB16F7" w:rsidP="00DB16F7">
      <w:pPr>
        <w:jc w:val="center"/>
        <w:rPr>
          <w:rFonts w:ascii="Times New Roman" w:hAnsi="Times New Roman" w:cs="Times New Roman"/>
        </w:rPr>
      </w:pPr>
    </w:p>
    <w:p w14:paraId="4B397768" w14:textId="2E698086" w:rsidR="00DB16F7" w:rsidRPr="00D404D7" w:rsidRDefault="00DB16F7" w:rsidP="00DB16F7">
      <w:pPr>
        <w:rPr>
          <w:rFonts w:ascii="Times New Roman" w:hAnsi="Times New Roman" w:cs="Times New Roman"/>
        </w:rPr>
      </w:pPr>
      <w:r w:rsidRPr="00D404D7">
        <w:rPr>
          <w:rFonts w:ascii="Times New Roman" w:hAnsi="Times New Roman" w:cs="Times New Roman"/>
        </w:rPr>
        <w:lastRenderedPageBreak/>
        <w:t>For program year 2020-2021, Arkansas Adult Education exceeded the Median Earnings Employment Second Quarter After Exit</w:t>
      </w:r>
      <w:r w:rsidR="00D404D7">
        <w:rPr>
          <w:rFonts w:ascii="Times New Roman" w:hAnsi="Times New Roman" w:cs="Times New Roman"/>
        </w:rPr>
        <w:t xml:space="preserve"> indicator</w:t>
      </w:r>
      <w:r w:rsidRPr="00D404D7">
        <w:rPr>
          <w:rFonts w:ascii="Times New Roman" w:hAnsi="Times New Roman" w:cs="Times New Roman"/>
        </w:rPr>
        <w:t xml:space="preserve"> while falling short in the other three. Follow-up indicator data was reported mostly via data match through the Department of Workforce Services and the Department of Higher Education. If students were not able to be data matched, programs submitted Manual Outcomes to the state office by directly contacting </w:t>
      </w:r>
      <w:r w:rsidR="00D404D7" w:rsidRPr="00D404D7">
        <w:rPr>
          <w:rFonts w:ascii="Times New Roman" w:hAnsi="Times New Roman" w:cs="Times New Roman"/>
        </w:rPr>
        <w:t>students once</w:t>
      </w:r>
      <w:r w:rsidRPr="00D404D7">
        <w:rPr>
          <w:rFonts w:ascii="Times New Roman" w:hAnsi="Times New Roman" w:cs="Times New Roman"/>
        </w:rPr>
        <w:t xml:space="preserve"> they were separated from the program and eligible for follow up. </w:t>
      </w:r>
    </w:p>
    <w:p w14:paraId="76A6BF73" w14:textId="0752FCE3" w:rsidR="00DB16F7" w:rsidRPr="009E481D" w:rsidRDefault="00DB16F7" w:rsidP="00DB16F7">
      <w:pPr>
        <w:rPr>
          <w:rFonts w:ascii="Times New Roman" w:hAnsi="Times New Roman" w:cs="Times New Roman"/>
        </w:rPr>
      </w:pPr>
      <w:r w:rsidRPr="00D404D7">
        <w:rPr>
          <w:rFonts w:ascii="Times New Roman" w:hAnsi="Times New Roman" w:cs="Times New Roman"/>
        </w:rPr>
        <w:t>The importance, purpose, and methodology for collecting follow-up indicator data has been shared with local providers via Administrators’ meetings, regional trainings, as well as more targeted webinars on tracking students after exit and completing manual outcome forms. Professional development and smaller, targeted trainings will continue to be incorporated as we move to improve and meet our targets for the follow-up indicators. Just like measurable skill gains, follow-up measures are a major factor in funding. In the current funding formula, employment (both 2</w:t>
      </w:r>
      <w:r w:rsidRPr="00D404D7">
        <w:rPr>
          <w:rFonts w:ascii="Times New Roman" w:hAnsi="Times New Roman" w:cs="Times New Roman"/>
          <w:vertAlign w:val="superscript"/>
        </w:rPr>
        <w:t>nd</w:t>
      </w:r>
      <w:r w:rsidRPr="00D404D7">
        <w:rPr>
          <w:rFonts w:ascii="Times New Roman" w:hAnsi="Times New Roman" w:cs="Times New Roman"/>
        </w:rPr>
        <w:t xml:space="preserve"> and 4</w:t>
      </w:r>
      <w:r w:rsidRPr="00D404D7">
        <w:rPr>
          <w:rFonts w:ascii="Times New Roman" w:hAnsi="Times New Roman" w:cs="Times New Roman"/>
          <w:vertAlign w:val="superscript"/>
        </w:rPr>
        <w:t>th</w:t>
      </w:r>
      <w:r w:rsidRPr="00D404D7">
        <w:rPr>
          <w:rFonts w:ascii="Times New Roman" w:hAnsi="Times New Roman" w:cs="Times New Roman"/>
        </w:rPr>
        <w:t xml:space="preserve"> quarter), postsecondary enrollment, and credential attainment have been incorporated.</w:t>
      </w:r>
      <w:r>
        <w:rPr>
          <w:rFonts w:ascii="Times New Roman" w:hAnsi="Times New Roman" w:cs="Times New Roman"/>
        </w:rPr>
        <w:t xml:space="preserve"> </w:t>
      </w:r>
    </w:p>
    <w:p w14:paraId="74F2D9AD" w14:textId="3461EA83" w:rsidR="00556063" w:rsidRPr="009E481D" w:rsidRDefault="00556063" w:rsidP="00556063">
      <w:pPr>
        <w:pStyle w:val="NoSpacing"/>
        <w:spacing w:after="100" w:afterAutospacing="1"/>
        <w:rPr>
          <w:rFonts w:ascii="Times New Roman" w:hAnsi="Times New Roman" w:cs="Times New Roman"/>
        </w:rPr>
      </w:pPr>
      <w:r w:rsidRPr="009E481D">
        <w:rPr>
          <w:rFonts w:ascii="Times New Roman" w:hAnsi="Times New Roman" w:cs="Times New Roman"/>
        </w:rPr>
        <w:t xml:space="preserve">To assess effectiveness, ability to meet the targets, and overall performance, local providers submit quarterly reports to the state office, which includes, but is not limited to, Reportable Individual and Participant numbers; Measurable Skill Gains (MSGs) by EFL, gender, race/ethnicity, and age; post-test percentage; recruitment and retention efforts; </w:t>
      </w:r>
      <w:r w:rsidR="008C0F00" w:rsidRPr="009E481D">
        <w:rPr>
          <w:rFonts w:ascii="Times New Roman" w:hAnsi="Times New Roman" w:cs="Times New Roman"/>
        </w:rPr>
        <w:t>and</w:t>
      </w:r>
      <w:r w:rsidRPr="009E481D">
        <w:rPr>
          <w:rFonts w:ascii="Times New Roman" w:hAnsi="Times New Roman" w:cs="Times New Roman"/>
        </w:rPr>
        <w:t xml:space="preserve"> quarterly expenditures. Once a program year has ended, </w:t>
      </w:r>
      <w:r w:rsidR="008C0F00">
        <w:rPr>
          <w:rFonts w:ascii="Times New Roman" w:hAnsi="Times New Roman" w:cs="Times New Roman"/>
        </w:rPr>
        <w:t xml:space="preserve">ADWS/AES generates </w:t>
      </w:r>
      <w:r w:rsidRPr="009E481D">
        <w:rPr>
          <w:rFonts w:ascii="Times New Roman" w:hAnsi="Times New Roman" w:cs="Times New Roman"/>
        </w:rPr>
        <w:t xml:space="preserve">an Effective &amp; Efficient (E&amp;E) report based on the benchmarks for core performance indicators for each local provider. For the 2020-21 E&amp;E report, local providers were required to meet the state’s MSG benchmark of 48%.  </w:t>
      </w:r>
      <w:r w:rsidR="006701D4">
        <w:rPr>
          <w:rFonts w:ascii="Times New Roman" w:hAnsi="Times New Roman" w:cs="Times New Roman"/>
        </w:rPr>
        <w:t xml:space="preserve">This year 86% or 31/37 met or exceeded the benchmark. </w:t>
      </w:r>
    </w:p>
    <w:p w14:paraId="2395AB46" w14:textId="3E9A3D54" w:rsidR="00556063" w:rsidRPr="009E481D" w:rsidRDefault="00556063" w:rsidP="00556063">
      <w:pPr>
        <w:pStyle w:val="NoSpacing"/>
        <w:spacing w:after="100" w:afterAutospacing="1"/>
        <w:rPr>
          <w:rFonts w:ascii="Times New Roman" w:hAnsi="Times New Roman" w:cs="Times New Roman"/>
        </w:rPr>
      </w:pPr>
      <w:r w:rsidRPr="009E481D">
        <w:rPr>
          <w:rFonts w:ascii="Times New Roman" w:hAnsi="Times New Roman" w:cs="Times New Roman"/>
        </w:rPr>
        <w:t xml:space="preserve">Programs that do not meet the determined percentage of the benchmarks are provided additional technical assistance in order to prepare a performance improvement plan. Plan implementation is monitored throughout the year. Upon not meeting the requirements of E&amp;E for three consecutive years, ADWS/AES makes a recommendation to the Arkansas State Workforce Development Board as to whether or not the program should continue to be funded. Technical assistance is provided to all programs, including those that meet or exceed the overall performance benchmarks to address deficiencies in any particular EFL. </w:t>
      </w:r>
    </w:p>
    <w:p w14:paraId="3FD865C9" w14:textId="0FAF6014" w:rsidR="00556063" w:rsidRPr="009E481D" w:rsidRDefault="00143336" w:rsidP="00556063">
      <w:pPr>
        <w:spacing w:after="100" w:afterAutospacing="1" w:line="240" w:lineRule="auto"/>
        <w:rPr>
          <w:rFonts w:ascii="Times New Roman" w:hAnsi="Times New Roman" w:cs="Times New Roman"/>
        </w:rPr>
      </w:pPr>
      <w:r>
        <w:rPr>
          <w:rFonts w:ascii="Times New Roman" w:hAnsi="Times New Roman" w:cs="Times New Roman"/>
        </w:rPr>
        <w:t>P</w:t>
      </w:r>
      <w:r w:rsidR="006701D4">
        <w:rPr>
          <w:rFonts w:ascii="Times New Roman" w:hAnsi="Times New Roman" w:cs="Times New Roman"/>
        </w:rPr>
        <w:t xml:space="preserve">rograms that did not meet the benchmarks </w:t>
      </w:r>
      <w:r>
        <w:rPr>
          <w:rFonts w:ascii="Times New Roman" w:hAnsi="Times New Roman" w:cs="Times New Roman"/>
        </w:rPr>
        <w:t>two or three consecutive years were held harmless due to the pandemic. However, c</w:t>
      </w:r>
      <w:r w:rsidR="00556063" w:rsidRPr="009E481D">
        <w:rPr>
          <w:rFonts w:ascii="Times New Roman" w:hAnsi="Times New Roman" w:cs="Times New Roman"/>
        </w:rPr>
        <w:t xml:space="preserve">onsultation and technical assistance was provided to assist with the impact of COVID-19 in understanding both participant barriers and services offered. Student numbers differed from past reporting trends with higher numbers of reportable individuals and a lower number of program participants, creating reduced retention percentages. The biggest impact of COVID-19 came in the form of overall enrollment numbers, from 10,489 in 2019-2020 to 6,885 in 2020-2021. </w:t>
      </w:r>
      <w:r w:rsidR="00B63D47">
        <w:rPr>
          <w:rFonts w:ascii="Times New Roman" w:hAnsi="Times New Roman" w:cs="Times New Roman"/>
        </w:rPr>
        <w:t xml:space="preserve">Though there was a </w:t>
      </w:r>
      <w:r w:rsidR="00556063" w:rsidRPr="009E481D">
        <w:rPr>
          <w:rFonts w:ascii="Times New Roman" w:hAnsi="Times New Roman" w:cs="Times New Roman"/>
        </w:rPr>
        <w:t>drop in enrollment, performance improved from a 47% MSG rate in 2019-2020 to 56% in 2020-2021. Adding to this, the State met or exceeded all 12 of the negotiated level Benchmarks. As programs made technological and operational changes over the past year, their ability to effectively serve our students increased.</w:t>
      </w:r>
    </w:p>
    <w:p w14:paraId="6BC5A330" w14:textId="41383178" w:rsidR="00556063" w:rsidRPr="009E481D" w:rsidRDefault="00556063" w:rsidP="00556063">
      <w:pPr>
        <w:pStyle w:val="NoSpacing"/>
        <w:spacing w:after="100" w:afterAutospacing="1"/>
        <w:rPr>
          <w:rFonts w:ascii="Times New Roman" w:hAnsi="Times New Roman" w:cs="Times New Roman"/>
        </w:rPr>
      </w:pPr>
      <w:r w:rsidRPr="009E481D">
        <w:rPr>
          <w:rFonts w:ascii="Times New Roman" w:hAnsi="Times New Roman" w:cs="Times New Roman"/>
        </w:rPr>
        <w:t xml:space="preserve">ADWS/AES has a committee </w:t>
      </w:r>
      <w:r w:rsidR="00B63D47">
        <w:rPr>
          <w:rFonts w:ascii="Times New Roman" w:hAnsi="Times New Roman" w:cs="Times New Roman"/>
        </w:rPr>
        <w:t>which i</w:t>
      </w:r>
      <w:r w:rsidRPr="009E481D">
        <w:rPr>
          <w:rFonts w:ascii="Times New Roman" w:hAnsi="Times New Roman" w:cs="Times New Roman"/>
        </w:rPr>
        <w:t>dentif</w:t>
      </w:r>
      <w:r w:rsidR="00B63D47">
        <w:rPr>
          <w:rFonts w:ascii="Times New Roman" w:hAnsi="Times New Roman" w:cs="Times New Roman"/>
        </w:rPr>
        <w:t>ies</w:t>
      </w:r>
      <w:r w:rsidRPr="009E481D">
        <w:rPr>
          <w:rFonts w:ascii="Times New Roman" w:hAnsi="Times New Roman" w:cs="Times New Roman"/>
        </w:rPr>
        <w:t xml:space="preserve"> the professional development needs indicated by statewide deficiencies</w:t>
      </w:r>
      <w:r w:rsidR="00B63D47">
        <w:rPr>
          <w:rFonts w:ascii="Times New Roman" w:hAnsi="Times New Roman" w:cs="Times New Roman"/>
        </w:rPr>
        <w:t xml:space="preserve"> and program requests </w:t>
      </w:r>
      <w:r w:rsidRPr="009E481D">
        <w:rPr>
          <w:rFonts w:ascii="Times New Roman" w:hAnsi="Times New Roman" w:cs="Times New Roman"/>
        </w:rPr>
        <w:t>to promote continued improvement in program performance. In 2020-21, the ADWS/AES provided more than a dozen trainings, including regional and webinars, to 500+ users o</w:t>
      </w:r>
      <w:r w:rsidR="00B63D47">
        <w:rPr>
          <w:rFonts w:ascii="Times New Roman" w:hAnsi="Times New Roman" w:cs="Times New Roman"/>
        </w:rPr>
        <w:t>n</w:t>
      </w:r>
      <w:r w:rsidRPr="009E481D">
        <w:rPr>
          <w:rFonts w:ascii="Times New Roman" w:hAnsi="Times New Roman" w:cs="Times New Roman"/>
        </w:rPr>
        <w:t xml:space="preserve"> the state’s data management system. Additional general and targeted technical assistance was provided to local providers and staff throughout the program year based on identified need.</w:t>
      </w:r>
      <w:r w:rsidR="00B63D47">
        <w:rPr>
          <w:rFonts w:ascii="Times New Roman" w:hAnsi="Times New Roman" w:cs="Times New Roman"/>
        </w:rPr>
        <w:t xml:space="preserve">  Some of these trainings were requested program directors for staff in a particular region.</w:t>
      </w:r>
      <w:r w:rsidRPr="009E481D">
        <w:rPr>
          <w:rFonts w:ascii="Times New Roman" w:hAnsi="Times New Roman" w:cs="Times New Roman"/>
        </w:rPr>
        <w:t xml:space="preserve"> Topics included best practices for developing data entry processes and procedures, monitoring data at the program and class levels, </w:t>
      </w:r>
      <w:r w:rsidRPr="009E481D">
        <w:rPr>
          <w:rFonts w:ascii="Times New Roman" w:hAnsi="Times New Roman" w:cs="Times New Roman"/>
        </w:rPr>
        <w:lastRenderedPageBreak/>
        <w:t>understanding federal tables, and utilizing state reports detailing participant progress by assessment and subject area.</w:t>
      </w:r>
    </w:p>
    <w:p w14:paraId="18125A1B" w14:textId="7616514E" w:rsidR="00556063" w:rsidRDefault="00556063" w:rsidP="00556063">
      <w:pPr>
        <w:rPr>
          <w:rFonts w:ascii="Times New Roman" w:hAnsi="Times New Roman" w:cs="Times New Roman"/>
        </w:rPr>
      </w:pPr>
      <w:r w:rsidRPr="009E481D">
        <w:rPr>
          <w:rFonts w:ascii="Times New Roman" w:hAnsi="Times New Roman" w:cs="Times New Roman"/>
        </w:rPr>
        <w:t xml:space="preserve">During the 2020-21 Fall Administrators’ meeting, the state’s 2019-20 performance was shared with local providers in comparison to the national average. Additionally, the 2020-21 negotiated targets were shared with local providers as well as guidance and technical assistance on barriers to employment and the importance of collecting this data. Program performance </w:t>
      </w:r>
      <w:r w:rsidR="00B63D47">
        <w:rPr>
          <w:rFonts w:ascii="Times New Roman" w:hAnsi="Times New Roman" w:cs="Times New Roman"/>
        </w:rPr>
        <w:t xml:space="preserve">is used as </w:t>
      </w:r>
      <w:r w:rsidRPr="009E481D">
        <w:rPr>
          <w:rFonts w:ascii="Times New Roman" w:hAnsi="Times New Roman" w:cs="Times New Roman"/>
        </w:rPr>
        <w:t xml:space="preserve">a </w:t>
      </w:r>
      <w:r w:rsidR="00B63D47">
        <w:rPr>
          <w:rFonts w:ascii="Times New Roman" w:hAnsi="Times New Roman" w:cs="Times New Roman"/>
        </w:rPr>
        <w:t>major</w:t>
      </w:r>
      <w:r w:rsidR="00B63D47" w:rsidRPr="009E481D">
        <w:rPr>
          <w:rFonts w:ascii="Times New Roman" w:hAnsi="Times New Roman" w:cs="Times New Roman"/>
        </w:rPr>
        <w:t xml:space="preserve"> </w:t>
      </w:r>
      <w:r w:rsidRPr="009E481D">
        <w:rPr>
          <w:rFonts w:ascii="Times New Roman" w:hAnsi="Times New Roman" w:cs="Times New Roman"/>
        </w:rPr>
        <w:t>factor in funding. In the current funding formula, a local provider’s ability to meet the Table 4 average and the negotiated core benchmarks for each EFL have been incorporated</w:t>
      </w:r>
      <w:r w:rsidR="00B63D47">
        <w:rPr>
          <w:rFonts w:ascii="Times New Roman" w:hAnsi="Times New Roman" w:cs="Times New Roman"/>
        </w:rPr>
        <w:t>.</w:t>
      </w:r>
    </w:p>
    <w:p w14:paraId="16D448E3" w14:textId="77777777" w:rsidR="00043DCA" w:rsidRPr="00043DCA" w:rsidRDefault="00043DCA" w:rsidP="00043DCA">
      <w:pPr>
        <w:pStyle w:val="NoSpacing"/>
        <w:spacing w:after="100" w:afterAutospacing="1"/>
        <w:rPr>
          <w:rFonts w:ascii="Times New Roman" w:hAnsi="Times New Roman" w:cs="Times New Roman"/>
          <w:b/>
          <w:color w:val="000000" w:themeColor="text1"/>
          <w:sz w:val="24"/>
          <w:szCs w:val="24"/>
          <w:u w:val="single"/>
        </w:rPr>
      </w:pPr>
      <w:r w:rsidRPr="00043DCA">
        <w:rPr>
          <w:rFonts w:ascii="Times New Roman" w:hAnsi="Times New Roman" w:cs="Times New Roman"/>
          <w:b/>
          <w:color w:val="000000" w:themeColor="text1"/>
          <w:sz w:val="24"/>
          <w:szCs w:val="24"/>
          <w:u w:val="single"/>
        </w:rPr>
        <w:t xml:space="preserve">3. Integration with One-stop Partners: </w:t>
      </w:r>
    </w:p>
    <w:p w14:paraId="4BDF2E7B" w14:textId="77777777" w:rsidR="00043DCA" w:rsidRPr="00A832D4" w:rsidRDefault="00043DCA" w:rsidP="00043DCA">
      <w:pPr>
        <w:pStyle w:val="NoSpacing"/>
        <w:spacing w:after="100" w:afterAutospacing="1"/>
        <w:rPr>
          <w:rFonts w:ascii="Times New Roman" w:hAnsi="Times New Roman" w:cs="Times New Roman"/>
          <w:b/>
          <w:i/>
        </w:rPr>
      </w:pPr>
      <w:r w:rsidRPr="00A832D4">
        <w:rPr>
          <w:rFonts w:ascii="Times New Roman" w:hAnsi="Times New Roman" w:cs="Times New Roman"/>
          <w:b/>
          <w:i/>
        </w:rPr>
        <w:t>Describe how the State eligible agency, as the entity responsible for meeting one-stop requirements under 34CFR part 463, subpart J, carries out or delegates its required one-stop roles to eligible providers. Describe the applicable career services that are provided in the one-stop system. Describe how the infrastructure costs are supported through the local option. In the event the local option was not used in a local area, indicate that the State option was triggered.</w:t>
      </w:r>
    </w:p>
    <w:p w14:paraId="13B553AD" w14:textId="257EA111" w:rsidR="00600877" w:rsidRPr="009E481D" w:rsidRDefault="00600877" w:rsidP="00600877">
      <w:pPr>
        <w:pStyle w:val="NoSpacing"/>
        <w:spacing w:after="100" w:afterAutospacing="1"/>
        <w:rPr>
          <w:rFonts w:ascii="Times New Roman" w:hAnsi="Times New Roman" w:cs="Times New Roman"/>
        </w:rPr>
      </w:pPr>
      <w:r w:rsidRPr="009E481D">
        <w:rPr>
          <w:rFonts w:ascii="Times New Roman" w:hAnsi="Times New Roman" w:cs="Times New Roman"/>
        </w:rPr>
        <w:t>The ADWS/AES delegates its required one-stop roles to its adult education funded local providers. The designated local providers for each comprehensive one-stop were determined by the provider which services the area in which the one-stop is located. Each provider is responsible for carrying out its roles and responsibilities as assigned in the Memorandum of Understanding (MOU) and infrastructure funding agreement (IFA). The State provided technical assistance on how to fulfill the roles and responsibilities as one-stop partners. ADWS/AES can determine if the delegated provider is carrying out its role and meeting its responsibilities by reviewing the MOU and IFA, and narrative reports during annual site visits and program reviews.</w:t>
      </w:r>
      <w:r w:rsidR="00143336">
        <w:rPr>
          <w:rFonts w:ascii="Times New Roman" w:hAnsi="Times New Roman" w:cs="Times New Roman"/>
        </w:rPr>
        <w:t xml:space="preserve"> In addition, IFA costs are tracked within the line item of the federal grant award and when necessary, under the state grant.</w:t>
      </w:r>
    </w:p>
    <w:p w14:paraId="2E57C334" w14:textId="77777777" w:rsidR="00600877" w:rsidRPr="009E481D" w:rsidRDefault="00600877" w:rsidP="00600877">
      <w:pPr>
        <w:pStyle w:val="NoSpacing"/>
        <w:spacing w:after="100" w:afterAutospacing="1"/>
        <w:rPr>
          <w:rFonts w:ascii="Times New Roman" w:hAnsi="Times New Roman" w:cs="Times New Roman"/>
        </w:rPr>
      </w:pPr>
      <w:r w:rsidRPr="009E481D">
        <w:rPr>
          <w:rFonts w:ascii="Times New Roman" w:hAnsi="Times New Roman" w:cs="Times New Roman"/>
        </w:rPr>
        <w:t xml:space="preserve">The basic career services that are provided in the one-stop system are made available for adults, dislocated workers, and youth by staff on-site. Outreach, intake, and orientation to information and other services are made available to these groups, including TANF (Temporary Assistance for Needy Families) and SNAP E&amp;T (Supplemental Nutrition Assistance Program Employment and Training), through the one-stop delivery system. The initial assessment of skill levels including literacy, numeracy and English language proficiency are recorded in the data management system. Labor exchange services including job search and placement assistance, career counseling, and recruitment and other business services on behalf of employers are provided by the staff on-site. The State provides guidance and technical assistance to local programs to ensure that they meet the requirement.  </w:t>
      </w:r>
    </w:p>
    <w:p w14:paraId="2BB4940F" w14:textId="2436CAA0" w:rsidR="00600877" w:rsidRPr="009E481D" w:rsidRDefault="00600877" w:rsidP="00600877">
      <w:pPr>
        <w:pStyle w:val="NoSpacing"/>
        <w:spacing w:after="100" w:afterAutospacing="1"/>
        <w:rPr>
          <w:rFonts w:ascii="Times New Roman" w:hAnsi="Times New Roman" w:cs="Times New Roman"/>
        </w:rPr>
      </w:pPr>
      <w:r w:rsidRPr="009E481D">
        <w:rPr>
          <w:rFonts w:ascii="Times New Roman" w:hAnsi="Times New Roman" w:cs="Times New Roman"/>
        </w:rPr>
        <w:t>A variety of local programs began utilizing virtual formats to provide services to students</w:t>
      </w:r>
      <w:r w:rsidR="00771ED8">
        <w:rPr>
          <w:rFonts w:ascii="Times New Roman" w:hAnsi="Times New Roman" w:cs="Times New Roman"/>
        </w:rPr>
        <w:t xml:space="preserve">, </w:t>
      </w:r>
      <w:r w:rsidR="00143336">
        <w:rPr>
          <w:rFonts w:ascii="Times New Roman" w:hAnsi="Times New Roman" w:cs="Times New Roman"/>
        </w:rPr>
        <w:t>especially</w:t>
      </w:r>
      <w:r w:rsidR="00143336" w:rsidRPr="009E481D">
        <w:rPr>
          <w:rFonts w:ascii="Times New Roman" w:hAnsi="Times New Roman" w:cs="Times New Roman"/>
        </w:rPr>
        <w:t xml:space="preserve"> SNAP</w:t>
      </w:r>
      <w:r w:rsidRPr="009E481D">
        <w:rPr>
          <w:rFonts w:ascii="Times New Roman" w:hAnsi="Times New Roman" w:cs="Times New Roman"/>
        </w:rPr>
        <w:t xml:space="preserve"> E&amp;T and TANF clients. Programs have found th</w:t>
      </w:r>
      <w:r w:rsidR="00771ED8">
        <w:rPr>
          <w:rFonts w:ascii="Times New Roman" w:hAnsi="Times New Roman" w:cs="Times New Roman"/>
        </w:rPr>
        <w:t>at</w:t>
      </w:r>
      <w:r w:rsidRPr="009E481D">
        <w:rPr>
          <w:rFonts w:ascii="Times New Roman" w:hAnsi="Times New Roman" w:cs="Times New Roman"/>
        </w:rPr>
        <w:t xml:space="preserve"> methods such as Zoom are easier to use and are able to provide career services.</w:t>
      </w:r>
      <w:r w:rsidR="00143336">
        <w:rPr>
          <w:rFonts w:ascii="Times New Roman" w:hAnsi="Times New Roman" w:cs="Times New Roman"/>
        </w:rPr>
        <w:t xml:space="preserve"> Within adult education, t</w:t>
      </w:r>
      <w:r w:rsidRPr="009E481D">
        <w:rPr>
          <w:rFonts w:ascii="Times New Roman" w:hAnsi="Times New Roman" w:cs="Times New Roman"/>
        </w:rPr>
        <w:t>he state’s investment in Essential Education, an educational software program, has proven successful in the full implementation of the Workforce Alliance for Growth in the Economy (WAGE™) program. The software program has made WAGE™ accessible online and provides the workforce preparation skills needed in today’s workers.</w:t>
      </w:r>
    </w:p>
    <w:p w14:paraId="41190A52" w14:textId="77777777" w:rsidR="00043DCA" w:rsidRPr="0026774B" w:rsidRDefault="00043DCA" w:rsidP="00043DCA">
      <w:pPr>
        <w:pStyle w:val="CM10"/>
        <w:spacing w:after="100" w:afterAutospacing="1"/>
        <w:ind w:right="325"/>
        <w:rPr>
          <w:color w:val="000000"/>
        </w:rPr>
      </w:pPr>
      <w:r w:rsidRPr="00043DCA">
        <w:rPr>
          <w:b/>
          <w:bCs/>
          <w:color w:val="000000"/>
          <w:u w:val="single"/>
        </w:rPr>
        <w:t>4. Integrated English Literacy and Civics Education (IELCE) Program</w:t>
      </w:r>
      <w:r w:rsidRPr="00BF6BA8">
        <w:rPr>
          <w:b/>
          <w:bCs/>
          <w:color w:val="000000"/>
        </w:rPr>
        <w:t xml:space="preserve"> </w:t>
      </w:r>
      <w:r w:rsidRPr="00BF6BA8">
        <w:rPr>
          <w:color w:val="000000"/>
        </w:rPr>
        <w:t>(AEFLA Section 243)</w:t>
      </w:r>
      <w:r w:rsidRPr="0026774B">
        <w:rPr>
          <w:color w:val="000000"/>
        </w:rPr>
        <w:t xml:space="preserve"> </w:t>
      </w:r>
    </w:p>
    <w:p w14:paraId="70DD4D00" w14:textId="77777777" w:rsidR="008E4825" w:rsidRPr="00143336" w:rsidRDefault="008E4825" w:rsidP="008E4825">
      <w:pPr>
        <w:pStyle w:val="BodyText"/>
        <w:tabs>
          <w:tab w:val="left" w:pos="821"/>
        </w:tabs>
        <w:ind w:left="0" w:right="240"/>
        <w:rPr>
          <w:rFonts w:cs="Times New Roman"/>
          <w:b/>
          <w:bCs/>
          <w:i/>
          <w:iCs/>
          <w:sz w:val="22"/>
          <w:szCs w:val="22"/>
        </w:rPr>
      </w:pPr>
      <w:r w:rsidRPr="00143336">
        <w:rPr>
          <w:rFonts w:cs="Times New Roman"/>
          <w:b/>
          <w:bCs/>
          <w:i/>
          <w:iCs/>
          <w:sz w:val="22"/>
          <w:szCs w:val="22"/>
        </w:rPr>
        <w:t xml:space="preserve">Describe </w:t>
      </w:r>
      <w:r w:rsidRPr="00143336">
        <w:rPr>
          <w:rFonts w:cs="Times New Roman"/>
          <w:b/>
          <w:bCs/>
          <w:i/>
          <w:iCs/>
          <w:spacing w:val="-1"/>
          <w:sz w:val="22"/>
          <w:szCs w:val="22"/>
        </w:rPr>
        <w:t>when</w:t>
      </w:r>
      <w:r w:rsidRPr="00143336">
        <w:rPr>
          <w:rFonts w:cs="Times New Roman"/>
          <w:b/>
          <w:bCs/>
          <w:i/>
          <w:iCs/>
          <w:sz w:val="22"/>
          <w:szCs w:val="22"/>
        </w:rPr>
        <w:t xml:space="preserve"> your </w:t>
      </w:r>
      <w:r w:rsidRPr="00143336">
        <w:rPr>
          <w:rFonts w:cs="Times New Roman"/>
          <w:b/>
          <w:bCs/>
          <w:i/>
          <w:iCs/>
          <w:spacing w:val="-1"/>
          <w:sz w:val="22"/>
          <w:szCs w:val="22"/>
        </w:rPr>
        <w:t>State</w:t>
      </w:r>
      <w:r w:rsidRPr="00143336">
        <w:rPr>
          <w:rFonts w:cs="Times New Roman"/>
          <w:b/>
          <w:bCs/>
          <w:i/>
          <w:iCs/>
          <w:sz w:val="22"/>
          <w:szCs w:val="22"/>
        </w:rPr>
        <w:t xml:space="preserve"> held a </w:t>
      </w:r>
      <w:r w:rsidRPr="00143336">
        <w:rPr>
          <w:rFonts w:cs="Times New Roman"/>
          <w:b/>
          <w:bCs/>
          <w:i/>
          <w:iCs/>
          <w:spacing w:val="-1"/>
          <w:sz w:val="22"/>
          <w:szCs w:val="22"/>
        </w:rPr>
        <w:t>competition</w:t>
      </w:r>
      <w:r w:rsidRPr="00143336">
        <w:rPr>
          <w:rFonts w:cs="Times New Roman"/>
          <w:b/>
          <w:bCs/>
          <w:i/>
          <w:iCs/>
          <w:sz w:val="22"/>
          <w:szCs w:val="22"/>
        </w:rPr>
        <w:t xml:space="preserve"> [the</w:t>
      </w:r>
      <w:r w:rsidRPr="00143336">
        <w:rPr>
          <w:rFonts w:cs="Times New Roman"/>
          <w:b/>
          <w:bCs/>
          <w:i/>
          <w:iCs/>
          <w:spacing w:val="-1"/>
          <w:sz w:val="22"/>
          <w:szCs w:val="22"/>
        </w:rPr>
        <w:t xml:space="preserve"> latest</w:t>
      </w:r>
      <w:r w:rsidRPr="00143336">
        <w:rPr>
          <w:rFonts w:cs="Times New Roman"/>
          <w:b/>
          <w:bCs/>
          <w:i/>
          <w:iCs/>
          <w:sz w:val="22"/>
          <w:szCs w:val="22"/>
        </w:rPr>
        <w:t xml:space="preserve"> </w:t>
      </w:r>
      <w:r w:rsidRPr="00143336">
        <w:rPr>
          <w:rFonts w:cs="Times New Roman"/>
          <w:b/>
          <w:bCs/>
          <w:i/>
          <w:iCs/>
          <w:spacing w:val="-1"/>
          <w:sz w:val="22"/>
          <w:szCs w:val="22"/>
        </w:rPr>
        <w:t>competition]</w:t>
      </w:r>
      <w:r w:rsidRPr="00143336">
        <w:rPr>
          <w:rFonts w:cs="Times New Roman"/>
          <w:b/>
          <w:bCs/>
          <w:i/>
          <w:iCs/>
          <w:sz w:val="22"/>
          <w:szCs w:val="22"/>
        </w:rPr>
        <w:t xml:space="preserve"> for </w:t>
      </w:r>
      <w:r w:rsidRPr="00143336">
        <w:rPr>
          <w:rFonts w:cs="Times New Roman"/>
          <w:b/>
          <w:bCs/>
          <w:i/>
          <w:iCs/>
          <w:spacing w:val="-1"/>
          <w:sz w:val="22"/>
          <w:szCs w:val="22"/>
        </w:rPr>
        <w:t>IELCE</w:t>
      </w:r>
      <w:r w:rsidRPr="00143336">
        <w:rPr>
          <w:rFonts w:cs="Times New Roman"/>
          <w:b/>
          <w:bCs/>
          <w:i/>
          <w:iCs/>
          <w:sz w:val="22"/>
          <w:szCs w:val="22"/>
        </w:rPr>
        <w:t xml:space="preserve"> program</w:t>
      </w:r>
      <w:r w:rsidRPr="00143336">
        <w:rPr>
          <w:rFonts w:cs="Times New Roman"/>
          <w:b/>
          <w:bCs/>
          <w:i/>
          <w:iCs/>
          <w:spacing w:val="67"/>
          <w:sz w:val="22"/>
          <w:szCs w:val="22"/>
        </w:rPr>
        <w:t xml:space="preserve"> </w:t>
      </w:r>
      <w:r w:rsidRPr="00143336">
        <w:rPr>
          <w:rFonts w:cs="Times New Roman"/>
          <w:b/>
          <w:bCs/>
          <w:i/>
          <w:iCs/>
          <w:sz w:val="22"/>
          <w:szCs w:val="22"/>
        </w:rPr>
        <w:t xml:space="preserve">funds and the number </w:t>
      </w:r>
      <w:r w:rsidRPr="00143336">
        <w:rPr>
          <w:rFonts w:cs="Times New Roman"/>
          <w:b/>
          <w:bCs/>
          <w:i/>
          <w:iCs/>
          <w:spacing w:val="-1"/>
          <w:sz w:val="22"/>
          <w:szCs w:val="22"/>
        </w:rPr>
        <w:t xml:space="preserve">of </w:t>
      </w:r>
      <w:r w:rsidRPr="00143336">
        <w:rPr>
          <w:rFonts w:cs="Times New Roman"/>
          <w:b/>
          <w:bCs/>
          <w:i/>
          <w:iCs/>
          <w:sz w:val="22"/>
          <w:szCs w:val="22"/>
        </w:rPr>
        <w:t xml:space="preserve">grants </w:t>
      </w:r>
      <w:r w:rsidRPr="00143336">
        <w:rPr>
          <w:rFonts w:cs="Times New Roman"/>
          <w:b/>
          <w:bCs/>
          <w:i/>
          <w:iCs/>
          <w:spacing w:val="-1"/>
          <w:sz w:val="22"/>
          <w:szCs w:val="22"/>
        </w:rPr>
        <w:t>awarded</w:t>
      </w:r>
      <w:r w:rsidRPr="00143336">
        <w:rPr>
          <w:rFonts w:cs="Times New Roman"/>
          <w:b/>
          <w:bCs/>
          <w:i/>
          <w:iCs/>
          <w:sz w:val="22"/>
          <w:szCs w:val="22"/>
        </w:rPr>
        <w:t xml:space="preserve"> by your </w:t>
      </w:r>
      <w:r w:rsidRPr="00143336">
        <w:rPr>
          <w:rFonts w:cs="Times New Roman"/>
          <w:b/>
          <w:bCs/>
          <w:i/>
          <w:iCs/>
          <w:spacing w:val="-1"/>
          <w:sz w:val="22"/>
          <w:szCs w:val="22"/>
        </w:rPr>
        <w:t xml:space="preserve">State </w:t>
      </w:r>
      <w:r w:rsidRPr="00143336">
        <w:rPr>
          <w:rFonts w:cs="Times New Roman"/>
          <w:b/>
          <w:bCs/>
          <w:i/>
          <w:iCs/>
          <w:sz w:val="22"/>
          <w:szCs w:val="22"/>
        </w:rPr>
        <w:t xml:space="preserve">to </w:t>
      </w:r>
      <w:r w:rsidRPr="00143336">
        <w:rPr>
          <w:rFonts w:cs="Times New Roman"/>
          <w:b/>
          <w:bCs/>
          <w:i/>
          <w:iCs/>
          <w:spacing w:val="-1"/>
          <w:sz w:val="22"/>
          <w:szCs w:val="22"/>
        </w:rPr>
        <w:t>support</w:t>
      </w:r>
      <w:r w:rsidRPr="00143336">
        <w:rPr>
          <w:rFonts w:cs="Times New Roman"/>
          <w:b/>
          <w:bCs/>
          <w:i/>
          <w:iCs/>
          <w:sz w:val="22"/>
          <w:szCs w:val="22"/>
        </w:rPr>
        <w:t xml:space="preserve"> IELCE programs.</w:t>
      </w:r>
    </w:p>
    <w:p w14:paraId="74DFE472" w14:textId="77777777" w:rsidR="008E4825" w:rsidRPr="009E481D" w:rsidRDefault="008E4825" w:rsidP="008E4825">
      <w:pPr>
        <w:pStyle w:val="BodyText"/>
        <w:tabs>
          <w:tab w:val="left" w:pos="821"/>
        </w:tabs>
        <w:ind w:left="0" w:right="240"/>
        <w:rPr>
          <w:rFonts w:cs="Times New Roman"/>
          <w:i/>
          <w:iCs/>
          <w:sz w:val="22"/>
          <w:szCs w:val="22"/>
        </w:rPr>
      </w:pPr>
    </w:p>
    <w:p w14:paraId="4C4BD589" w14:textId="77777777" w:rsidR="008E4825" w:rsidRPr="009E481D" w:rsidRDefault="008E4825" w:rsidP="008E4825">
      <w:pPr>
        <w:pStyle w:val="NoSpacing"/>
        <w:spacing w:after="100" w:afterAutospacing="1"/>
        <w:rPr>
          <w:rFonts w:ascii="Times New Roman" w:eastAsia="DengXian" w:hAnsi="Times New Roman" w:cs="Times New Roman"/>
          <w:lang w:eastAsia="zh-CN"/>
        </w:rPr>
      </w:pPr>
      <w:r w:rsidRPr="009E481D">
        <w:rPr>
          <w:rFonts w:ascii="Times New Roman" w:hAnsi="Times New Roman" w:cs="Times New Roman"/>
        </w:rPr>
        <w:t xml:space="preserve">ADWS/AES </w:t>
      </w:r>
      <w:r w:rsidRPr="009E481D">
        <w:rPr>
          <w:rFonts w:ascii="Times New Roman" w:eastAsia="DengXian" w:hAnsi="Times New Roman" w:cs="Times New Roman"/>
          <w:lang w:eastAsia="zh-CN"/>
        </w:rPr>
        <w:t>held a competition in February 2020 for a four-year grant for July 1, 2020 through June 30, 2024 to fund IELCE programs, and awarded seven (7) local providers with Section 243 funding.</w:t>
      </w:r>
    </w:p>
    <w:p w14:paraId="144BC6CF" w14:textId="77777777" w:rsidR="008E4825" w:rsidRPr="00143336" w:rsidRDefault="008E4825" w:rsidP="008E4825">
      <w:pPr>
        <w:pStyle w:val="BodyText"/>
        <w:tabs>
          <w:tab w:val="left" w:pos="821"/>
        </w:tabs>
        <w:ind w:left="0" w:right="726"/>
        <w:rPr>
          <w:rFonts w:cs="Times New Roman"/>
          <w:b/>
          <w:bCs/>
          <w:i/>
          <w:iCs/>
          <w:spacing w:val="-1"/>
          <w:sz w:val="22"/>
          <w:szCs w:val="22"/>
        </w:rPr>
      </w:pPr>
      <w:r w:rsidRPr="00143336">
        <w:rPr>
          <w:rFonts w:cs="Times New Roman"/>
          <w:b/>
          <w:bCs/>
          <w:i/>
          <w:iCs/>
          <w:sz w:val="22"/>
          <w:szCs w:val="22"/>
        </w:rPr>
        <w:t xml:space="preserve">Describe </w:t>
      </w:r>
      <w:r w:rsidRPr="00143336">
        <w:rPr>
          <w:rFonts w:cs="Times New Roman"/>
          <w:b/>
          <w:bCs/>
          <w:i/>
          <w:iCs/>
          <w:spacing w:val="-1"/>
          <w:sz w:val="22"/>
          <w:szCs w:val="22"/>
        </w:rPr>
        <w:t>your</w:t>
      </w:r>
      <w:r w:rsidRPr="00143336">
        <w:rPr>
          <w:rFonts w:cs="Times New Roman"/>
          <w:b/>
          <w:bCs/>
          <w:i/>
          <w:iCs/>
          <w:sz w:val="22"/>
          <w:szCs w:val="22"/>
        </w:rPr>
        <w:t xml:space="preserve"> State </w:t>
      </w:r>
      <w:r w:rsidRPr="00143336">
        <w:rPr>
          <w:rFonts w:cs="Times New Roman"/>
          <w:b/>
          <w:bCs/>
          <w:i/>
          <w:iCs/>
          <w:spacing w:val="-1"/>
          <w:sz w:val="22"/>
          <w:szCs w:val="22"/>
        </w:rPr>
        <w:t>efforts</w:t>
      </w:r>
      <w:r w:rsidRPr="00143336">
        <w:rPr>
          <w:rFonts w:cs="Times New Roman"/>
          <w:b/>
          <w:bCs/>
          <w:i/>
          <w:iCs/>
          <w:sz w:val="22"/>
          <w:szCs w:val="22"/>
        </w:rPr>
        <w:t xml:space="preserve"> in </w:t>
      </w:r>
      <w:r w:rsidRPr="00143336">
        <w:rPr>
          <w:rFonts w:cs="Times New Roman"/>
          <w:b/>
          <w:bCs/>
          <w:i/>
          <w:iCs/>
          <w:spacing w:val="-1"/>
          <w:sz w:val="22"/>
          <w:szCs w:val="22"/>
        </w:rPr>
        <w:t>meeting</w:t>
      </w:r>
      <w:r w:rsidRPr="00143336">
        <w:rPr>
          <w:rFonts w:cs="Times New Roman"/>
          <w:b/>
          <w:bCs/>
          <w:i/>
          <w:iCs/>
          <w:sz w:val="22"/>
          <w:szCs w:val="22"/>
        </w:rPr>
        <w:t xml:space="preserve"> the </w:t>
      </w:r>
      <w:r w:rsidRPr="00143336">
        <w:rPr>
          <w:rFonts w:cs="Times New Roman"/>
          <w:b/>
          <w:bCs/>
          <w:i/>
          <w:iCs/>
          <w:spacing w:val="-1"/>
          <w:sz w:val="22"/>
          <w:szCs w:val="22"/>
        </w:rPr>
        <w:t xml:space="preserve">requirement </w:t>
      </w:r>
      <w:r w:rsidRPr="00143336">
        <w:rPr>
          <w:rFonts w:cs="Times New Roman"/>
          <w:b/>
          <w:bCs/>
          <w:i/>
          <w:iCs/>
          <w:sz w:val="22"/>
          <w:szCs w:val="22"/>
        </w:rPr>
        <w:t xml:space="preserve">to </w:t>
      </w:r>
      <w:r w:rsidRPr="00143336">
        <w:rPr>
          <w:rFonts w:cs="Times New Roman"/>
          <w:b/>
          <w:bCs/>
          <w:i/>
          <w:iCs/>
          <w:spacing w:val="-1"/>
          <w:sz w:val="22"/>
          <w:szCs w:val="22"/>
        </w:rPr>
        <w:t>provide</w:t>
      </w:r>
      <w:r w:rsidRPr="00143336">
        <w:rPr>
          <w:rFonts w:cs="Times New Roman"/>
          <w:b/>
          <w:bCs/>
          <w:i/>
          <w:iCs/>
          <w:sz w:val="22"/>
          <w:szCs w:val="22"/>
        </w:rPr>
        <w:t xml:space="preserve"> </w:t>
      </w:r>
      <w:r w:rsidRPr="00143336">
        <w:rPr>
          <w:rFonts w:cs="Times New Roman"/>
          <w:b/>
          <w:bCs/>
          <w:i/>
          <w:iCs/>
          <w:spacing w:val="-1"/>
          <w:sz w:val="22"/>
          <w:szCs w:val="22"/>
        </w:rPr>
        <w:t xml:space="preserve">IELCE </w:t>
      </w:r>
      <w:r w:rsidRPr="00143336">
        <w:rPr>
          <w:rFonts w:cs="Times New Roman"/>
          <w:b/>
          <w:bCs/>
          <w:i/>
          <w:iCs/>
          <w:sz w:val="22"/>
          <w:szCs w:val="22"/>
        </w:rPr>
        <w:t>services in</w:t>
      </w:r>
      <w:r w:rsidRPr="00143336">
        <w:rPr>
          <w:rFonts w:cs="Times New Roman"/>
          <w:b/>
          <w:bCs/>
          <w:i/>
          <w:iCs/>
          <w:spacing w:val="59"/>
          <w:sz w:val="22"/>
          <w:szCs w:val="22"/>
        </w:rPr>
        <w:t xml:space="preserve"> </w:t>
      </w:r>
      <w:r w:rsidRPr="00143336">
        <w:rPr>
          <w:rFonts w:cs="Times New Roman"/>
          <w:b/>
          <w:bCs/>
          <w:i/>
          <w:iCs/>
          <w:spacing w:val="-1"/>
          <w:sz w:val="22"/>
          <w:szCs w:val="22"/>
        </w:rPr>
        <w:t>combination</w:t>
      </w:r>
      <w:r w:rsidRPr="00143336">
        <w:rPr>
          <w:rFonts w:cs="Times New Roman"/>
          <w:b/>
          <w:bCs/>
          <w:i/>
          <w:iCs/>
          <w:spacing w:val="-2"/>
          <w:sz w:val="22"/>
          <w:szCs w:val="22"/>
        </w:rPr>
        <w:t xml:space="preserve"> </w:t>
      </w:r>
      <w:r w:rsidRPr="00143336">
        <w:rPr>
          <w:rFonts w:cs="Times New Roman"/>
          <w:b/>
          <w:bCs/>
          <w:i/>
          <w:iCs/>
          <w:sz w:val="22"/>
          <w:szCs w:val="22"/>
        </w:rPr>
        <w:t xml:space="preserve">with </w:t>
      </w:r>
      <w:r w:rsidRPr="00143336">
        <w:rPr>
          <w:rFonts w:cs="Times New Roman"/>
          <w:b/>
          <w:bCs/>
          <w:i/>
          <w:iCs/>
          <w:spacing w:val="-1"/>
          <w:sz w:val="22"/>
          <w:szCs w:val="22"/>
        </w:rPr>
        <w:t>integrated</w:t>
      </w:r>
      <w:r w:rsidRPr="00143336">
        <w:rPr>
          <w:rFonts w:cs="Times New Roman"/>
          <w:b/>
          <w:bCs/>
          <w:i/>
          <w:iCs/>
          <w:sz w:val="22"/>
          <w:szCs w:val="22"/>
        </w:rPr>
        <w:t xml:space="preserve"> </w:t>
      </w:r>
      <w:r w:rsidRPr="00143336">
        <w:rPr>
          <w:rFonts w:cs="Times New Roman"/>
          <w:b/>
          <w:bCs/>
          <w:i/>
          <w:iCs/>
          <w:spacing w:val="-1"/>
          <w:sz w:val="22"/>
          <w:szCs w:val="22"/>
        </w:rPr>
        <w:t>education</w:t>
      </w:r>
      <w:r w:rsidRPr="00143336">
        <w:rPr>
          <w:rFonts w:cs="Times New Roman"/>
          <w:b/>
          <w:bCs/>
          <w:i/>
          <w:iCs/>
          <w:sz w:val="22"/>
          <w:szCs w:val="22"/>
        </w:rPr>
        <w:t xml:space="preserve"> and </w:t>
      </w:r>
      <w:r w:rsidRPr="00143336">
        <w:rPr>
          <w:rFonts w:cs="Times New Roman"/>
          <w:b/>
          <w:bCs/>
          <w:i/>
          <w:iCs/>
          <w:spacing w:val="-1"/>
          <w:sz w:val="22"/>
          <w:szCs w:val="22"/>
        </w:rPr>
        <w:t>training</w:t>
      </w:r>
      <w:r w:rsidRPr="00143336">
        <w:rPr>
          <w:rFonts w:cs="Times New Roman"/>
          <w:b/>
          <w:bCs/>
          <w:i/>
          <w:iCs/>
          <w:spacing w:val="2"/>
          <w:sz w:val="22"/>
          <w:szCs w:val="22"/>
        </w:rPr>
        <w:t xml:space="preserve"> </w:t>
      </w:r>
      <w:r w:rsidRPr="00143336">
        <w:rPr>
          <w:rFonts w:cs="Times New Roman"/>
          <w:b/>
          <w:bCs/>
          <w:i/>
          <w:iCs/>
          <w:spacing w:val="-1"/>
          <w:sz w:val="22"/>
          <w:szCs w:val="22"/>
        </w:rPr>
        <w:t>activities.</w:t>
      </w:r>
    </w:p>
    <w:p w14:paraId="3A16A51A" w14:textId="77777777" w:rsidR="008E4825" w:rsidRPr="009E481D" w:rsidRDefault="008E4825" w:rsidP="008E4825">
      <w:pPr>
        <w:pStyle w:val="BodyText"/>
        <w:tabs>
          <w:tab w:val="left" w:pos="821"/>
        </w:tabs>
        <w:ind w:left="0" w:right="726"/>
        <w:rPr>
          <w:rFonts w:cs="Times New Roman"/>
          <w:i/>
          <w:iCs/>
          <w:spacing w:val="-1"/>
          <w:sz w:val="22"/>
          <w:szCs w:val="22"/>
        </w:rPr>
      </w:pPr>
    </w:p>
    <w:p w14:paraId="11C8AF3D" w14:textId="5F994741" w:rsidR="008E4825" w:rsidRPr="009E481D" w:rsidRDefault="008E4825" w:rsidP="008E4825">
      <w:pPr>
        <w:pStyle w:val="NoSpacing"/>
        <w:spacing w:after="100" w:afterAutospacing="1"/>
        <w:rPr>
          <w:rFonts w:ascii="Times New Roman" w:eastAsia="DengXian" w:hAnsi="Times New Roman" w:cs="Times New Roman"/>
          <w:lang w:eastAsia="zh-CN"/>
        </w:rPr>
      </w:pPr>
      <w:r w:rsidRPr="009E481D">
        <w:rPr>
          <w:rFonts w:ascii="Times New Roman" w:hAnsi="Times New Roman" w:cs="Times New Roman"/>
        </w:rPr>
        <w:t>ADWS/AES</w:t>
      </w:r>
      <w:r w:rsidRPr="009E481D">
        <w:rPr>
          <w:rFonts w:ascii="Times New Roman" w:eastAsia="DengXian" w:hAnsi="Times New Roman" w:cs="Times New Roman"/>
          <w:lang w:eastAsia="zh-CN"/>
        </w:rPr>
        <w:t xml:space="preserve"> facilitates monthly/bi-monthly conference calls and an annual face-to-face meeting with the grant award recipients to discuss requirements of Section 243; IET development and recruitment; curriculum and instructional strategies; and, the continual development of a single set of learning objectives for common IETs. In addition, </w:t>
      </w:r>
      <w:r w:rsidRPr="009E481D">
        <w:rPr>
          <w:rFonts w:ascii="Times New Roman" w:hAnsi="Times New Roman" w:cs="Times New Roman"/>
        </w:rPr>
        <w:t xml:space="preserve">ADWS/AES </w:t>
      </w:r>
      <w:r w:rsidRPr="009E481D">
        <w:rPr>
          <w:rFonts w:ascii="Times New Roman" w:eastAsia="DengXian" w:hAnsi="Times New Roman" w:cs="Times New Roman"/>
          <w:lang w:eastAsia="zh-CN"/>
        </w:rPr>
        <w:t>monitors the data and progress of IELCE participants to provide technical assistance as needed for the local programs. During specific IELCE conference calls and meetings, grant recipients are encouraged to attend and participate in statewide trainings and workshops that include IET, ESL, and Standards (CCR and ELP)</w:t>
      </w:r>
      <w:r w:rsidR="00B22688">
        <w:rPr>
          <w:rFonts w:ascii="Times New Roman" w:eastAsia="DengXian" w:hAnsi="Times New Roman" w:cs="Times New Roman"/>
          <w:lang w:eastAsia="zh-CN"/>
        </w:rPr>
        <w:t xml:space="preserve"> and discuss best practices and their progress in providing the services of IELCE</w:t>
      </w:r>
      <w:r w:rsidRPr="009E481D">
        <w:rPr>
          <w:rFonts w:ascii="Times New Roman" w:eastAsia="DengXian" w:hAnsi="Times New Roman" w:cs="Times New Roman"/>
          <w:lang w:eastAsia="zh-CN"/>
        </w:rPr>
        <w:t xml:space="preserve">. </w:t>
      </w:r>
    </w:p>
    <w:p w14:paraId="5AF77400" w14:textId="77777777" w:rsidR="008E4825" w:rsidRPr="009E481D" w:rsidRDefault="008E4825" w:rsidP="008E4825">
      <w:pPr>
        <w:pStyle w:val="NoSpacing"/>
        <w:spacing w:after="100" w:afterAutospacing="1"/>
        <w:rPr>
          <w:rFonts w:ascii="Times New Roman" w:eastAsia="DengXian" w:hAnsi="Times New Roman" w:cs="Times New Roman"/>
          <w:lang w:eastAsia="zh-CN"/>
        </w:rPr>
      </w:pPr>
      <w:r w:rsidRPr="009E481D">
        <w:rPr>
          <w:rFonts w:ascii="Times New Roman" w:eastAsia="DengXian" w:hAnsi="Times New Roman" w:cs="Times New Roman"/>
          <w:lang w:eastAsia="zh-CN"/>
        </w:rPr>
        <w:t>ADWS/AES worked closely with several programs to assist them in developing IETs in the service area. In working with programs that receive Section 243 funding, ADWS/AES staff also discussed how the IET(s) for those programs are being utilized to meet the needs of current and potential English language learners. ADWS/AES provided increased technical assistance and professional development for integrated instruction with English Language Learners, and integrated/contextualized instruction in IET development through focused regional and state trainings.</w:t>
      </w:r>
    </w:p>
    <w:p w14:paraId="622A10B8" w14:textId="370F6379" w:rsidR="008E4825" w:rsidRPr="009E481D" w:rsidRDefault="008E4825" w:rsidP="008E4825">
      <w:pPr>
        <w:pStyle w:val="NoSpacing"/>
        <w:spacing w:after="100" w:afterAutospacing="1"/>
        <w:rPr>
          <w:rFonts w:ascii="Times New Roman" w:eastAsia="DengXian" w:hAnsi="Times New Roman" w:cs="Times New Roman"/>
          <w:lang w:eastAsia="zh-CN"/>
        </w:rPr>
      </w:pPr>
      <w:r w:rsidRPr="009E481D">
        <w:rPr>
          <w:rFonts w:ascii="Times New Roman" w:eastAsia="DengXian" w:hAnsi="Times New Roman" w:cs="Times New Roman"/>
          <w:lang w:eastAsia="zh-CN"/>
        </w:rPr>
        <w:t xml:space="preserve">COVID-19 has continued to impact several IELCE/IETs, such as CNA and EMR, </w:t>
      </w:r>
      <w:r w:rsidR="00B22688">
        <w:rPr>
          <w:rFonts w:ascii="Times New Roman" w:eastAsia="DengXian" w:hAnsi="Times New Roman" w:cs="Times New Roman"/>
          <w:lang w:eastAsia="zh-CN"/>
        </w:rPr>
        <w:t xml:space="preserve">which have </w:t>
      </w:r>
      <w:r w:rsidRPr="009E481D">
        <w:rPr>
          <w:rFonts w:ascii="Times New Roman" w:eastAsia="DengXian" w:hAnsi="Times New Roman" w:cs="Times New Roman"/>
          <w:lang w:eastAsia="zh-CN"/>
        </w:rPr>
        <w:t xml:space="preserve">hands-on requirements, and some </w:t>
      </w:r>
      <w:r w:rsidR="00B22688">
        <w:rPr>
          <w:rFonts w:ascii="Times New Roman" w:eastAsia="DengXian" w:hAnsi="Times New Roman" w:cs="Times New Roman"/>
          <w:lang w:eastAsia="zh-CN"/>
        </w:rPr>
        <w:t xml:space="preserve">continue to be </w:t>
      </w:r>
      <w:r w:rsidRPr="009E481D">
        <w:rPr>
          <w:rFonts w:ascii="Times New Roman" w:eastAsia="DengXian" w:hAnsi="Times New Roman" w:cs="Times New Roman"/>
          <w:lang w:eastAsia="zh-CN"/>
        </w:rPr>
        <w:t xml:space="preserve">on hold as programs worked to adapt the program structure to a virtual one. COVID-19 has impacted business and industry need in the state, and several programs have instituted new IET(s) to meet the </w:t>
      </w:r>
      <w:r w:rsidR="00B22688">
        <w:rPr>
          <w:rFonts w:ascii="Times New Roman" w:eastAsia="DengXian" w:hAnsi="Times New Roman" w:cs="Times New Roman"/>
          <w:lang w:eastAsia="zh-CN"/>
        </w:rPr>
        <w:t xml:space="preserve">changing </w:t>
      </w:r>
      <w:r w:rsidRPr="009E481D">
        <w:rPr>
          <w:rFonts w:ascii="Times New Roman" w:eastAsia="DengXian" w:hAnsi="Times New Roman" w:cs="Times New Roman"/>
          <w:lang w:eastAsia="zh-CN"/>
        </w:rPr>
        <w:t>demand</w:t>
      </w:r>
      <w:r w:rsidR="00B22688">
        <w:rPr>
          <w:rFonts w:ascii="Times New Roman" w:eastAsia="DengXian" w:hAnsi="Times New Roman" w:cs="Times New Roman"/>
          <w:lang w:eastAsia="zh-CN"/>
        </w:rPr>
        <w:t>s</w:t>
      </w:r>
      <w:r w:rsidRPr="009E481D">
        <w:rPr>
          <w:rFonts w:ascii="Times New Roman" w:eastAsia="DengXian" w:hAnsi="Times New Roman" w:cs="Times New Roman"/>
          <w:lang w:eastAsia="zh-CN"/>
        </w:rPr>
        <w:t>. The continuing challenge for IELCE/IET(s) is finding qualifying credentials and certificates that non-</w:t>
      </w:r>
      <w:r w:rsidR="00951C0C">
        <w:rPr>
          <w:rFonts w:ascii="Times New Roman" w:eastAsia="DengXian" w:hAnsi="Times New Roman" w:cs="Times New Roman"/>
          <w:lang w:eastAsia="zh-CN"/>
        </w:rPr>
        <w:t>l</w:t>
      </w:r>
      <w:r w:rsidRPr="009E481D">
        <w:rPr>
          <w:rFonts w:ascii="Times New Roman" w:eastAsia="DengXian" w:hAnsi="Times New Roman" w:cs="Times New Roman"/>
          <w:lang w:eastAsia="zh-CN"/>
        </w:rPr>
        <w:t xml:space="preserve">egal </w:t>
      </w:r>
      <w:r w:rsidR="00951C0C">
        <w:rPr>
          <w:rFonts w:ascii="Times New Roman" w:eastAsia="DengXian" w:hAnsi="Times New Roman" w:cs="Times New Roman"/>
          <w:lang w:eastAsia="zh-CN"/>
        </w:rPr>
        <w:t>p</w:t>
      </w:r>
      <w:r w:rsidRPr="009E481D">
        <w:rPr>
          <w:rFonts w:ascii="Times New Roman" w:eastAsia="DengXian" w:hAnsi="Times New Roman" w:cs="Times New Roman"/>
          <w:lang w:eastAsia="zh-CN"/>
        </w:rPr>
        <w:t xml:space="preserve">ermanent </w:t>
      </w:r>
      <w:r w:rsidR="00951C0C">
        <w:rPr>
          <w:rFonts w:ascii="Times New Roman" w:eastAsia="DengXian" w:hAnsi="Times New Roman" w:cs="Times New Roman"/>
          <w:lang w:eastAsia="zh-CN"/>
        </w:rPr>
        <w:t>r</w:t>
      </w:r>
      <w:r w:rsidRPr="009E481D">
        <w:rPr>
          <w:rFonts w:ascii="Times New Roman" w:eastAsia="DengXian" w:hAnsi="Times New Roman" w:cs="Times New Roman"/>
          <w:lang w:eastAsia="zh-CN"/>
        </w:rPr>
        <w:t>esidents can attain upon completion of the IET.</w:t>
      </w:r>
    </w:p>
    <w:p w14:paraId="02D05231" w14:textId="77777777" w:rsidR="008E4825" w:rsidRPr="009E481D" w:rsidRDefault="008E4825" w:rsidP="008E4825">
      <w:pPr>
        <w:pStyle w:val="BodyText"/>
        <w:tabs>
          <w:tab w:val="left" w:pos="821"/>
        </w:tabs>
        <w:ind w:left="0" w:right="726"/>
        <w:rPr>
          <w:rFonts w:cs="Times New Roman"/>
          <w:sz w:val="22"/>
          <w:szCs w:val="22"/>
        </w:rPr>
      </w:pPr>
    </w:p>
    <w:p w14:paraId="0CEDD222" w14:textId="77777777" w:rsidR="008E4825" w:rsidRPr="009E481D" w:rsidRDefault="008E4825" w:rsidP="008E4825">
      <w:pPr>
        <w:pStyle w:val="BodyText"/>
        <w:tabs>
          <w:tab w:val="left" w:pos="821"/>
        </w:tabs>
        <w:ind w:left="0" w:right="134"/>
        <w:rPr>
          <w:rFonts w:cs="Times New Roman"/>
          <w:i/>
          <w:iCs/>
          <w:spacing w:val="-1"/>
          <w:sz w:val="22"/>
          <w:szCs w:val="22"/>
        </w:rPr>
      </w:pPr>
      <w:r w:rsidRPr="002F1626">
        <w:rPr>
          <w:rFonts w:cs="Times New Roman"/>
          <w:b/>
          <w:bCs/>
          <w:i/>
          <w:iCs/>
          <w:sz w:val="22"/>
          <w:szCs w:val="22"/>
        </w:rPr>
        <w:t xml:space="preserve">Describe </w:t>
      </w:r>
      <w:r w:rsidRPr="002F1626">
        <w:rPr>
          <w:rFonts w:cs="Times New Roman"/>
          <w:b/>
          <w:bCs/>
          <w:i/>
          <w:iCs/>
          <w:spacing w:val="-1"/>
          <w:sz w:val="22"/>
          <w:szCs w:val="22"/>
        </w:rPr>
        <w:t>how</w:t>
      </w:r>
      <w:r w:rsidRPr="002F1626">
        <w:rPr>
          <w:rFonts w:cs="Times New Roman"/>
          <w:b/>
          <w:bCs/>
          <w:i/>
          <w:iCs/>
          <w:sz w:val="22"/>
          <w:szCs w:val="22"/>
        </w:rPr>
        <w:t xml:space="preserve"> the State </w:t>
      </w:r>
      <w:r w:rsidRPr="002F1626">
        <w:rPr>
          <w:rFonts w:cs="Times New Roman"/>
          <w:b/>
          <w:bCs/>
          <w:i/>
          <w:iCs/>
          <w:spacing w:val="-1"/>
          <w:sz w:val="22"/>
          <w:szCs w:val="22"/>
        </w:rPr>
        <w:t>is</w:t>
      </w:r>
      <w:r w:rsidRPr="002F1626">
        <w:rPr>
          <w:rFonts w:cs="Times New Roman"/>
          <w:b/>
          <w:bCs/>
          <w:i/>
          <w:iCs/>
          <w:sz w:val="22"/>
          <w:szCs w:val="22"/>
        </w:rPr>
        <w:t xml:space="preserve"> </w:t>
      </w:r>
      <w:r w:rsidRPr="002F1626">
        <w:rPr>
          <w:rFonts w:cs="Times New Roman"/>
          <w:b/>
          <w:bCs/>
          <w:i/>
          <w:iCs/>
          <w:spacing w:val="-1"/>
          <w:sz w:val="22"/>
          <w:szCs w:val="22"/>
        </w:rPr>
        <w:t>progressing</w:t>
      </w:r>
      <w:r w:rsidRPr="002F1626">
        <w:rPr>
          <w:rFonts w:cs="Times New Roman"/>
          <w:b/>
          <w:bCs/>
          <w:i/>
          <w:iCs/>
          <w:sz w:val="22"/>
          <w:szCs w:val="22"/>
        </w:rPr>
        <w:t xml:space="preserve"> towards program </w:t>
      </w:r>
      <w:r w:rsidRPr="002F1626">
        <w:rPr>
          <w:rFonts w:cs="Times New Roman"/>
          <w:b/>
          <w:bCs/>
          <w:i/>
          <w:iCs/>
          <w:spacing w:val="-1"/>
          <w:sz w:val="22"/>
          <w:szCs w:val="22"/>
        </w:rPr>
        <w:t>goals</w:t>
      </w:r>
      <w:r w:rsidRPr="002F1626">
        <w:rPr>
          <w:rFonts w:cs="Times New Roman"/>
          <w:b/>
          <w:bCs/>
          <w:i/>
          <w:iCs/>
          <w:sz w:val="22"/>
          <w:szCs w:val="22"/>
        </w:rPr>
        <w:t xml:space="preserve"> of </w:t>
      </w:r>
      <w:r w:rsidRPr="002F1626">
        <w:rPr>
          <w:rFonts w:cs="Times New Roman"/>
          <w:b/>
          <w:bCs/>
          <w:i/>
          <w:iCs/>
          <w:spacing w:val="-1"/>
          <w:sz w:val="22"/>
          <w:szCs w:val="22"/>
        </w:rPr>
        <w:t>preparing</w:t>
      </w:r>
      <w:r w:rsidRPr="002F1626">
        <w:rPr>
          <w:rFonts w:cs="Times New Roman"/>
          <w:b/>
          <w:bCs/>
          <w:i/>
          <w:iCs/>
          <w:sz w:val="22"/>
          <w:szCs w:val="22"/>
        </w:rPr>
        <w:t xml:space="preserve"> and </w:t>
      </w:r>
      <w:r w:rsidRPr="002F1626">
        <w:rPr>
          <w:rFonts w:cs="Times New Roman"/>
          <w:b/>
          <w:bCs/>
          <w:i/>
          <w:iCs/>
          <w:spacing w:val="-1"/>
          <w:sz w:val="22"/>
          <w:szCs w:val="22"/>
        </w:rPr>
        <w:t>placing</w:t>
      </w:r>
      <w:r w:rsidRPr="002F1626">
        <w:rPr>
          <w:rFonts w:cs="Times New Roman"/>
          <w:b/>
          <w:bCs/>
          <w:i/>
          <w:iCs/>
          <w:spacing w:val="61"/>
          <w:sz w:val="22"/>
          <w:szCs w:val="22"/>
        </w:rPr>
        <w:t xml:space="preserve"> </w:t>
      </w:r>
      <w:r w:rsidRPr="002F1626">
        <w:rPr>
          <w:rFonts w:cs="Times New Roman"/>
          <w:b/>
          <w:bCs/>
          <w:i/>
          <w:iCs/>
          <w:sz w:val="22"/>
          <w:szCs w:val="22"/>
        </w:rPr>
        <w:t>IELCE</w:t>
      </w:r>
      <w:r w:rsidRPr="002F1626">
        <w:rPr>
          <w:rFonts w:cs="Times New Roman"/>
          <w:b/>
          <w:bCs/>
          <w:i/>
          <w:iCs/>
          <w:spacing w:val="-1"/>
          <w:sz w:val="22"/>
          <w:szCs w:val="22"/>
        </w:rPr>
        <w:t xml:space="preserve"> </w:t>
      </w:r>
      <w:r w:rsidRPr="002F1626">
        <w:rPr>
          <w:rFonts w:cs="Times New Roman"/>
          <w:b/>
          <w:bCs/>
          <w:i/>
          <w:iCs/>
          <w:sz w:val="22"/>
          <w:szCs w:val="22"/>
        </w:rPr>
        <w:t xml:space="preserve">program </w:t>
      </w:r>
      <w:r w:rsidRPr="002F1626">
        <w:rPr>
          <w:rFonts w:cs="Times New Roman"/>
          <w:b/>
          <w:bCs/>
          <w:i/>
          <w:iCs/>
          <w:spacing w:val="-1"/>
          <w:sz w:val="22"/>
          <w:szCs w:val="22"/>
        </w:rPr>
        <w:t>participants</w:t>
      </w:r>
      <w:r w:rsidRPr="002F1626">
        <w:rPr>
          <w:rFonts w:cs="Times New Roman"/>
          <w:b/>
          <w:bCs/>
          <w:i/>
          <w:iCs/>
          <w:sz w:val="22"/>
          <w:szCs w:val="22"/>
        </w:rPr>
        <w:t xml:space="preserve"> in </w:t>
      </w:r>
      <w:r w:rsidRPr="002F1626">
        <w:rPr>
          <w:rFonts w:cs="Times New Roman"/>
          <w:b/>
          <w:bCs/>
          <w:i/>
          <w:iCs/>
          <w:spacing w:val="-1"/>
          <w:sz w:val="22"/>
          <w:szCs w:val="22"/>
        </w:rPr>
        <w:t>unsubsidized</w:t>
      </w:r>
      <w:r w:rsidRPr="002F1626">
        <w:rPr>
          <w:rFonts w:cs="Times New Roman"/>
          <w:b/>
          <w:bCs/>
          <w:i/>
          <w:iCs/>
          <w:sz w:val="22"/>
          <w:szCs w:val="22"/>
        </w:rPr>
        <w:t xml:space="preserve"> </w:t>
      </w:r>
      <w:r w:rsidRPr="002F1626">
        <w:rPr>
          <w:rFonts w:cs="Times New Roman"/>
          <w:b/>
          <w:bCs/>
          <w:i/>
          <w:iCs/>
          <w:spacing w:val="-1"/>
          <w:sz w:val="22"/>
          <w:szCs w:val="22"/>
        </w:rPr>
        <w:t>employment</w:t>
      </w:r>
      <w:r w:rsidRPr="002F1626">
        <w:rPr>
          <w:rFonts w:cs="Times New Roman"/>
          <w:b/>
          <w:bCs/>
          <w:i/>
          <w:iCs/>
          <w:sz w:val="22"/>
          <w:szCs w:val="22"/>
        </w:rPr>
        <w:t xml:space="preserve"> in</w:t>
      </w:r>
      <w:r w:rsidRPr="002F1626">
        <w:rPr>
          <w:rFonts w:cs="Times New Roman"/>
          <w:b/>
          <w:bCs/>
          <w:i/>
          <w:iCs/>
          <w:spacing w:val="-2"/>
          <w:sz w:val="22"/>
          <w:szCs w:val="22"/>
        </w:rPr>
        <w:t xml:space="preserve"> </w:t>
      </w:r>
      <w:r w:rsidRPr="002F1626">
        <w:rPr>
          <w:rFonts w:cs="Times New Roman"/>
          <w:b/>
          <w:bCs/>
          <w:i/>
          <w:iCs/>
          <w:sz w:val="22"/>
          <w:szCs w:val="22"/>
        </w:rPr>
        <w:t xml:space="preserve">in-demand industries </w:t>
      </w:r>
      <w:r w:rsidRPr="002F1626">
        <w:rPr>
          <w:rFonts w:cs="Times New Roman"/>
          <w:b/>
          <w:bCs/>
          <w:i/>
          <w:iCs/>
          <w:spacing w:val="-1"/>
          <w:sz w:val="22"/>
          <w:szCs w:val="22"/>
        </w:rPr>
        <w:t>and</w:t>
      </w:r>
      <w:r w:rsidRPr="002F1626">
        <w:rPr>
          <w:rFonts w:cs="Times New Roman"/>
          <w:b/>
          <w:bCs/>
          <w:i/>
          <w:iCs/>
          <w:spacing w:val="59"/>
          <w:sz w:val="22"/>
          <w:szCs w:val="22"/>
        </w:rPr>
        <w:t xml:space="preserve"> </w:t>
      </w:r>
      <w:r w:rsidRPr="002F1626">
        <w:rPr>
          <w:rFonts w:cs="Times New Roman"/>
          <w:b/>
          <w:bCs/>
          <w:i/>
          <w:iCs/>
          <w:sz w:val="22"/>
          <w:szCs w:val="22"/>
        </w:rPr>
        <w:t xml:space="preserve">occupations </w:t>
      </w:r>
      <w:r w:rsidRPr="002F1626">
        <w:rPr>
          <w:rFonts w:cs="Times New Roman"/>
          <w:b/>
          <w:bCs/>
          <w:i/>
          <w:iCs/>
          <w:spacing w:val="-1"/>
          <w:sz w:val="22"/>
          <w:szCs w:val="22"/>
        </w:rPr>
        <w:t>that</w:t>
      </w:r>
      <w:r w:rsidRPr="002F1626">
        <w:rPr>
          <w:rFonts w:cs="Times New Roman"/>
          <w:b/>
          <w:bCs/>
          <w:i/>
          <w:iCs/>
          <w:sz w:val="22"/>
          <w:szCs w:val="22"/>
        </w:rPr>
        <w:t xml:space="preserve"> lead to</w:t>
      </w:r>
      <w:r w:rsidRPr="002F1626">
        <w:rPr>
          <w:rFonts w:cs="Times New Roman"/>
          <w:b/>
          <w:bCs/>
          <w:i/>
          <w:iCs/>
          <w:spacing w:val="-2"/>
          <w:sz w:val="22"/>
          <w:szCs w:val="22"/>
        </w:rPr>
        <w:t xml:space="preserve"> </w:t>
      </w:r>
      <w:r w:rsidRPr="002F1626">
        <w:rPr>
          <w:rFonts w:cs="Times New Roman"/>
          <w:b/>
          <w:bCs/>
          <w:i/>
          <w:iCs/>
          <w:sz w:val="22"/>
          <w:szCs w:val="22"/>
        </w:rPr>
        <w:t xml:space="preserve">economic </w:t>
      </w:r>
      <w:r w:rsidRPr="002F1626">
        <w:rPr>
          <w:rFonts w:cs="Times New Roman"/>
          <w:b/>
          <w:bCs/>
          <w:i/>
          <w:iCs/>
          <w:spacing w:val="-1"/>
          <w:sz w:val="22"/>
          <w:szCs w:val="22"/>
        </w:rPr>
        <w:t>self-sufficiency</w:t>
      </w:r>
      <w:r w:rsidRPr="002F1626">
        <w:rPr>
          <w:rFonts w:cs="Times New Roman"/>
          <w:b/>
          <w:bCs/>
          <w:i/>
          <w:iCs/>
          <w:sz w:val="22"/>
          <w:szCs w:val="22"/>
        </w:rPr>
        <w:t xml:space="preserve"> as </w:t>
      </w:r>
      <w:r w:rsidRPr="002F1626">
        <w:rPr>
          <w:rFonts w:cs="Times New Roman"/>
          <w:b/>
          <w:bCs/>
          <w:i/>
          <w:iCs/>
          <w:spacing w:val="-1"/>
          <w:sz w:val="22"/>
          <w:szCs w:val="22"/>
        </w:rPr>
        <w:t>described</w:t>
      </w:r>
      <w:r w:rsidRPr="002F1626">
        <w:rPr>
          <w:rFonts w:cs="Times New Roman"/>
          <w:b/>
          <w:bCs/>
          <w:i/>
          <w:iCs/>
          <w:sz w:val="22"/>
          <w:szCs w:val="22"/>
        </w:rPr>
        <w:t xml:space="preserve"> in </w:t>
      </w:r>
      <w:r w:rsidRPr="002F1626">
        <w:rPr>
          <w:rFonts w:cs="Times New Roman"/>
          <w:b/>
          <w:bCs/>
          <w:i/>
          <w:iCs/>
          <w:spacing w:val="-1"/>
          <w:sz w:val="22"/>
          <w:szCs w:val="22"/>
        </w:rPr>
        <w:t>section</w:t>
      </w:r>
      <w:r w:rsidRPr="002F1626">
        <w:rPr>
          <w:rFonts w:cs="Times New Roman"/>
          <w:b/>
          <w:bCs/>
          <w:i/>
          <w:iCs/>
          <w:spacing w:val="-2"/>
          <w:sz w:val="22"/>
          <w:szCs w:val="22"/>
        </w:rPr>
        <w:t xml:space="preserve"> </w:t>
      </w:r>
      <w:r w:rsidRPr="002F1626">
        <w:rPr>
          <w:rFonts w:cs="Times New Roman"/>
          <w:b/>
          <w:bCs/>
          <w:i/>
          <w:iCs/>
          <w:spacing w:val="-1"/>
          <w:sz w:val="22"/>
          <w:szCs w:val="22"/>
        </w:rPr>
        <w:t>243(c)(1)</w:t>
      </w:r>
      <w:r w:rsidRPr="002F1626">
        <w:rPr>
          <w:rFonts w:cs="Times New Roman"/>
          <w:b/>
          <w:bCs/>
          <w:i/>
          <w:iCs/>
          <w:sz w:val="22"/>
          <w:szCs w:val="22"/>
        </w:rPr>
        <w:t xml:space="preserve"> </w:t>
      </w:r>
      <w:r w:rsidRPr="002F1626">
        <w:rPr>
          <w:rFonts w:cs="Times New Roman"/>
          <w:b/>
          <w:bCs/>
          <w:i/>
          <w:iCs/>
          <w:spacing w:val="-1"/>
          <w:sz w:val="22"/>
          <w:szCs w:val="22"/>
        </w:rPr>
        <w:t>and</w:t>
      </w:r>
      <w:r w:rsidRPr="002F1626">
        <w:rPr>
          <w:rFonts w:cs="Times New Roman"/>
          <w:b/>
          <w:bCs/>
          <w:i/>
          <w:iCs/>
          <w:spacing w:val="79"/>
          <w:sz w:val="22"/>
          <w:szCs w:val="22"/>
        </w:rPr>
        <w:t xml:space="preserve"> </w:t>
      </w:r>
      <w:r w:rsidRPr="002F1626">
        <w:rPr>
          <w:rFonts w:cs="Times New Roman"/>
          <w:b/>
          <w:bCs/>
          <w:i/>
          <w:iCs/>
          <w:sz w:val="22"/>
          <w:szCs w:val="22"/>
        </w:rPr>
        <w:t>discuss any</w:t>
      </w:r>
      <w:r w:rsidRPr="002F1626">
        <w:rPr>
          <w:rFonts w:cs="Times New Roman"/>
          <w:b/>
          <w:bCs/>
          <w:i/>
          <w:iCs/>
          <w:spacing w:val="-1"/>
          <w:sz w:val="22"/>
          <w:szCs w:val="22"/>
        </w:rPr>
        <w:t xml:space="preserve"> </w:t>
      </w:r>
      <w:r w:rsidRPr="002F1626">
        <w:rPr>
          <w:rFonts w:cs="Times New Roman"/>
          <w:b/>
          <w:bCs/>
          <w:i/>
          <w:iCs/>
          <w:sz w:val="22"/>
          <w:szCs w:val="22"/>
        </w:rPr>
        <w:t>performance</w:t>
      </w:r>
      <w:r w:rsidRPr="002F1626">
        <w:rPr>
          <w:rFonts w:cs="Times New Roman"/>
          <w:b/>
          <w:bCs/>
          <w:i/>
          <w:iCs/>
          <w:spacing w:val="-2"/>
          <w:sz w:val="22"/>
          <w:szCs w:val="22"/>
        </w:rPr>
        <w:t xml:space="preserve"> </w:t>
      </w:r>
      <w:r w:rsidRPr="002F1626">
        <w:rPr>
          <w:rFonts w:cs="Times New Roman"/>
          <w:b/>
          <w:bCs/>
          <w:i/>
          <w:iCs/>
          <w:sz w:val="22"/>
          <w:szCs w:val="22"/>
        </w:rPr>
        <w:t xml:space="preserve">results, </w:t>
      </w:r>
      <w:r w:rsidRPr="002F1626">
        <w:rPr>
          <w:rFonts w:cs="Times New Roman"/>
          <w:b/>
          <w:bCs/>
          <w:i/>
          <w:iCs/>
          <w:spacing w:val="-1"/>
          <w:sz w:val="22"/>
          <w:szCs w:val="22"/>
        </w:rPr>
        <w:t>challenges,</w:t>
      </w:r>
      <w:r w:rsidRPr="002F1626">
        <w:rPr>
          <w:rFonts w:cs="Times New Roman"/>
          <w:b/>
          <w:bCs/>
          <w:i/>
          <w:iCs/>
          <w:sz w:val="22"/>
          <w:szCs w:val="22"/>
        </w:rPr>
        <w:t xml:space="preserve"> and</w:t>
      </w:r>
      <w:r w:rsidRPr="002F1626">
        <w:rPr>
          <w:rFonts w:cs="Times New Roman"/>
          <w:b/>
          <w:bCs/>
          <w:i/>
          <w:iCs/>
          <w:spacing w:val="-1"/>
          <w:sz w:val="22"/>
          <w:szCs w:val="22"/>
        </w:rPr>
        <w:t xml:space="preserve"> </w:t>
      </w:r>
      <w:r w:rsidRPr="002F1626">
        <w:rPr>
          <w:rFonts w:cs="Times New Roman"/>
          <w:b/>
          <w:bCs/>
          <w:i/>
          <w:iCs/>
          <w:sz w:val="22"/>
          <w:szCs w:val="22"/>
        </w:rPr>
        <w:t xml:space="preserve">lessons </w:t>
      </w:r>
      <w:r w:rsidRPr="002F1626">
        <w:rPr>
          <w:rFonts w:cs="Times New Roman"/>
          <w:b/>
          <w:bCs/>
          <w:i/>
          <w:iCs/>
          <w:spacing w:val="-1"/>
          <w:sz w:val="22"/>
          <w:szCs w:val="22"/>
        </w:rPr>
        <w:t>learned</w:t>
      </w:r>
      <w:r w:rsidRPr="002F1626">
        <w:rPr>
          <w:rFonts w:cs="Times New Roman"/>
          <w:b/>
          <w:bCs/>
          <w:i/>
          <w:iCs/>
          <w:sz w:val="22"/>
          <w:szCs w:val="22"/>
        </w:rPr>
        <w:t xml:space="preserve"> from </w:t>
      </w:r>
      <w:r w:rsidRPr="002F1626">
        <w:rPr>
          <w:rFonts w:cs="Times New Roman"/>
          <w:b/>
          <w:bCs/>
          <w:i/>
          <w:iCs/>
          <w:spacing w:val="-1"/>
          <w:sz w:val="22"/>
          <w:szCs w:val="22"/>
        </w:rPr>
        <w:t>implementing</w:t>
      </w:r>
      <w:r w:rsidRPr="002F1626">
        <w:rPr>
          <w:rFonts w:cs="Times New Roman"/>
          <w:b/>
          <w:bCs/>
          <w:i/>
          <w:iCs/>
          <w:spacing w:val="-2"/>
          <w:sz w:val="22"/>
          <w:szCs w:val="22"/>
        </w:rPr>
        <w:t xml:space="preserve"> </w:t>
      </w:r>
      <w:r w:rsidRPr="002F1626">
        <w:rPr>
          <w:rFonts w:cs="Times New Roman"/>
          <w:b/>
          <w:bCs/>
          <w:i/>
          <w:iCs/>
          <w:spacing w:val="-1"/>
          <w:sz w:val="22"/>
          <w:szCs w:val="22"/>
        </w:rPr>
        <w:t>those</w:t>
      </w:r>
      <w:r w:rsidRPr="002F1626">
        <w:rPr>
          <w:rFonts w:cs="Times New Roman"/>
          <w:b/>
          <w:bCs/>
          <w:i/>
          <w:iCs/>
          <w:spacing w:val="57"/>
          <w:sz w:val="22"/>
          <w:szCs w:val="22"/>
        </w:rPr>
        <w:t xml:space="preserve"> </w:t>
      </w:r>
      <w:r w:rsidRPr="002F1626">
        <w:rPr>
          <w:rFonts w:cs="Times New Roman"/>
          <w:b/>
          <w:bCs/>
          <w:i/>
          <w:iCs/>
          <w:sz w:val="22"/>
          <w:szCs w:val="22"/>
        </w:rPr>
        <w:t xml:space="preserve">program </w:t>
      </w:r>
      <w:r w:rsidRPr="002F1626">
        <w:rPr>
          <w:rFonts w:cs="Times New Roman"/>
          <w:b/>
          <w:bCs/>
          <w:i/>
          <w:iCs/>
          <w:spacing w:val="-1"/>
          <w:sz w:val="22"/>
          <w:szCs w:val="22"/>
        </w:rPr>
        <w:t>goals</w:t>
      </w:r>
      <w:r w:rsidRPr="009E481D">
        <w:rPr>
          <w:rFonts w:cs="Times New Roman"/>
          <w:i/>
          <w:iCs/>
          <w:spacing w:val="-1"/>
          <w:sz w:val="22"/>
          <w:szCs w:val="22"/>
        </w:rPr>
        <w:t>.</w:t>
      </w:r>
    </w:p>
    <w:p w14:paraId="1AA31BE7" w14:textId="77777777" w:rsidR="008E4825" w:rsidRPr="009E481D" w:rsidRDefault="008E4825" w:rsidP="008E4825">
      <w:pPr>
        <w:pStyle w:val="BodyText"/>
        <w:tabs>
          <w:tab w:val="left" w:pos="821"/>
        </w:tabs>
        <w:ind w:left="0" w:right="134"/>
        <w:rPr>
          <w:rFonts w:cs="Times New Roman"/>
          <w:i/>
          <w:iCs/>
          <w:spacing w:val="-1"/>
          <w:sz w:val="22"/>
          <w:szCs w:val="22"/>
        </w:rPr>
      </w:pPr>
    </w:p>
    <w:p w14:paraId="7E722434" w14:textId="1F635839" w:rsidR="008E4825" w:rsidRPr="009E481D" w:rsidRDefault="008E4825" w:rsidP="008E4825">
      <w:pPr>
        <w:pStyle w:val="NoSpacing"/>
        <w:spacing w:after="100" w:afterAutospacing="1"/>
        <w:rPr>
          <w:rFonts w:ascii="Times New Roman" w:eastAsia="DengXian" w:hAnsi="Times New Roman" w:cs="Times New Roman"/>
          <w:lang w:eastAsia="zh-CN"/>
        </w:rPr>
      </w:pPr>
      <w:r w:rsidRPr="009E481D">
        <w:rPr>
          <w:rFonts w:ascii="Times New Roman" w:eastAsia="DengXian" w:hAnsi="Times New Roman" w:cs="Times New Roman"/>
          <w:lang w:eastAsia="zh-CN"/>
        </w:rPr>
        <w:t>The Arkansas IELCE grant recipients have designed IELCE programs that are aligned with the Local Workforce Development Board</w:t>
      </w:r>
      <w:r w:rsidR="00F74D91">
        <w:rPr>
          <w:rFonts w:ascii="Times New Roman" w:eastAsia="DengXian" w:hAnsi="Times New Roman" w:cs="Times New Roman"/>
          <w:lang w:eastAsia="zh-CN"/>
        </w:rPr>
        <w:t>s</w:t>
      </w:r>
      <w:r w:rsidRPr="009E481D">
        <w:rPr>
          <w:rFonts w:ascii="Times New Roman" w:eastAsia="DengXian" w:hAnsi="Times New Roman" w:cs="Times New Roman"/>
          <w:lang w:eastAsia="zh-CN"/>
        </w:rPr>
        <w:t xml:space="preserve"> and </w:t>
      </w:r>
      <w:r w:rsidR="00F74D91">
        <w:rPr>
          <w:rFonts w:ascii="Times New Roman" w:eastAsia="DengXian" w:hAnsi="Times New Roman" w:cs="Times New Roman"/>
          <w:lang w:eastAsia="zh-CN"/>
        </w:rPr>
        <w:t xml:space="preserve">the </w:t>
      </w:r>
      <w:r w:rsidRPr="009E481D">
        <w:rPr>
          <w:rFonts w:ascii="Times New Roman" w:eastAsia="DengXian" w:hAnsi="Times New Roman" w:cs="Times New Roman"/>
          <w:lang w:eastAsia="zh-CN"/>
        </w:rPr>
        <w:t xml:space="preserve">needs of students that provide the workplace skills and workforce training needed for employment. This alignment will assist IELCE participants in gaining unsubsidized employment in high demand industries within their local areas/regions. </w:t>
      </w:r>
    </w:p>
    <w:p w14:paraId="7BE3D1CA" w14:textId="77777777" w:rsidR="008E4825" w:rsidRPr="009E481D" w:rsidRDefault="008E4825" w:rsidP="008E4825">
      <w:pPr>
        <w:pStyle w:val="NoSpacing"/>
        <w:spacing w:after="100" w:afterAutospacing="1"/>
        <w:rPr>
          <w:rFonts w:ascii="Times New Roman" w:eastAsia="DengXian" w:hAnsi="Times New Roman" w:cs="Times New Roman"/>
          <w:lang w:eastAsia="zh-CN"/>
        </w:rPr>
      </w:pPr>
      <w:r w:rsidRPr="009E481D">
        <w:rPr>
          <w:rFonts w:ascii="Times New Roman" w:eastAsia="DengXian" w:hAnsi="Times New Roman" w:cs="Times New Roman"/>
          <w:lang w:eastAsia="zh-CN"/>
        </w:rPr>
        <w:t>In addition to the instructional components of the IELCE program, local providers have Career Service Providers (CSP) on staff who work directly with students to assist them in developing educational and employment goals. The grant recipients have developed IETs in healthcare (CNA and Emergency Medical Responders), Hospitality, and Welding, each with pathways for continued growth. Local programs work with local hospitals and nursing homes for the training component and several students were hired directly by the company after obtaining their certification.</w:t>
      </w:r>
    </w:p>
    <w:p w14:paraId="6DF43462" w14:textId="4CBB1FF8" w:rsidR="008E4825" w:rsidRPr="009E481D" w:rsidRDefault="008E4825" w:rsidP="008E4825">
      <w:pPr>
        <w:pStyle w:val="NoSpacing"/>
        <w:spacing w:after="100" w:afterAutospacing="1"/>
        <w:rPr>
          <w:rFonts w:ascii="Times New Roman" w:eastAsia="DengXian" w:hAnsi="Times New Roman" w:cs="Times New Roman"/>
          <w:lang w:eastAsia="zh-CN"/>
        </w:rPr>
      </w:pPr>
      <w:r w:rsidRPr="009E481D">
        <w:rPr>
          <w:rFonts w:ascii="Times New Roman" w:eastAsia="DengXian" w:hAnsi="Times New Roman" w:cs="Times New Roman"/>
          <w:lang w:eastAsia="zh-CN"/>
        </w:rPr>
        <w:t xml:space="preserve">The WAGE™ restructure pilot </w:t>
      </w:r>
      <w:r w:rsidR="00A830CC">
        <w:rPr>
          <w:rFonts w:ascii="Times New Roman" w:eastAsia="DengXian" w:hAnsi="Times New Roman" w:cs="Times New Roman"/>
          <w:lang w:eastAsia="zh-CN"/>
        </w:rPr>
        <w:t xml:space="preserve">provided valuable information directly from employers which </w:t>
      </w:r>
      <w:r w:rsidRPr="009E481D">
        <w:rPr>
          <w:rFonts w:ascii="Times New Roman" w:eastAsia="DengXian" w:hAnsi="Times New Roman" w:cs="Times New Roman"/>
          <w:lang w:eastAsia="zh-CN"/>
        </w:rPr>
        <w:t xml:space="preserve">has been beneficial in developing workforce programming that meet the needs of business and industry </w:t>
      </w:r>
      <w:r w:rsidR="00A830CC">
        <w:rPr>
          <w:rFonts w:ascii="Times New Roman" w:eastAsia="DengXian" w:hAnsi="Times New Roman" w:cs="Times New Roman"/>
          <w:lang w:eastAsia="zh-CN"/>
        </w:rPr>
        <w:t xml:space="preserve">as </w:t>
      </w:r>
      <w:r w:rsidR="00A830CC">
        <w:rPr>
          <w:rFonts w:ascii="Times New Roman" w:eastAsia="DengXian" w:hAnsi="Times New Roman" w:cs="Times New Roman"/>
          <w:lang w:eastAsia="zh-CN"/>
        </w:rPr>
        <w:lastRenderedPageBreak/>
        <w:t>adjustments have been made according to the changing needs caused by the pandemic.</w:t>
      </w:r>
      <w:r w:rsidRPr="009E481D">
        <w:rPr>
          <w:rFonts w:ascii="Times New Roman" w:eastAsia="DengXian" w:hAnsi="Times New Roman" w:cs="Times New Roman"/>
          <w:lang w:eastAsia="zh-CN"/>
        </w:rPr>
        <w:t xml:space="preserve"> Employer input has assisted in determining the types of certificates and the skills they need in completers of IELCE students. </w:t>
      </w:r>
    </w:p>
    <w:p w14:paraId="4C8A7322" w14:textId="41C65A6A" w:rsidR="008E4825" w:rsidRPr="009E481D" w:rsidRDefault="008E4825" w:rsidP="008E4825">
      <w:pPr>
        <w:pStyle w:val="NoSpacing"/>
        <w:spacing w:after="100" w:afterAutospacing="1"/>
        <w:rPr>
          <w:rFonts w:ascii="Times New Roman" w:hAnsi="Times New Roman" w:cs="Times New Roman"/>
          <w:i/>
          <w:iCs/>
          <w:spacing w:val="-1"/>
        </w:rPr>
      </w:pPr>
      <w:r w:rsidRPr="009E481D">
        <w:rPr>
          <w:rFonts w:ascii="Times New Roman" w:eastAsia="DengXian" w:hAnsi="Times New Roman" w:cs="Times New Roman"/>
          <w:lang w:eastAsia="zh-CN"/>
        </w:rPr>
        <w:t xml:space="preserve">In 2020-21, there were 107 IELCE participants, 43.92% of whom achieved a Measurable Skill Gain (47 EFL Gains). Challenges that grant recipients report include recruitment into IET programs, funding the workforce training component, and qualifying for workforce training (language, license/credential exam, etc.). To address these challenges, local providers are developing transitional/preparation courses for ELLs enrolling in an IET, informative workshops on career pathways and available training programs, pre-screening for eligibility, and increasing funding opportunities (braided funding, fee waivers, employer partnerships), and Burlington English software has been integrated into the WAGE process for English Language Learners to support IELCE students in meeting specific career pathway and employer needs. </w:t>
      </w:r>
      <w:r w:rsidR="00A830CC">
        <w:rPr>
          <w:rFonts w:ascii="Times New Roman" w:eastAsia="DengXian" w:hAnsi="Times New Roman" w:cs="Times New Roman"/>
          <w:lang w:eastAsia="zh-CN"/>
        </w:rPr>
        <w:t xml:space="preserve">ADWS/AES has provided training opportunities specifically designed to assist IELCE providers in meeting these challenges. </w:t>
      </w:r>
      <w:r w:rsidRPr="009E481D">
        <w:rPr>
          <w:rFonts w:ascii="Times New Roman" w:eastAsia="DengXian" w:hAnsi="Times New Roman" w:cs="Times New Roman"/>
          <w:lang w:eastAsia="zh-CN"/>
        </w:rPr>
        <w:t>COVID-19 has persisted in presenting challenges to these efforts, but programs continue to seek innovative ways to serve students and employers</w:t>
      </w:r>
      <w:r w:rsidRPr="009E481D">
        <w:rPr>
          <w:rFonts w:ascii="Times New Roman" w:eastAsia="DengXian" w:hAnsi="Times New Roman" w:cs="Times New Roman"/>
          <w:color w:val="FF0000"/>
          <w:lang w:eastAsia="zh-CN"/>
        </w:rPr>
        <w:t xml:space="preserve">. </w:t>
      </w:r>
      <w:r w:rsidRPr="009E481D">
        <w:rPr>
          <w:rFonts w:ascii="Times New Roman" w:eastAsia="DengXian" w:hAnsi="Times New Roman" w:cs="Times New Roman"/>
          <w:lang w:eastAsia="zh-CN"/>
        </w:rPr>
        <w:t xml:space="preserve">COVID-19 vaccine mandates in some partner </w:t>
      </w:r>
      <w:r w:rsidR="00A830CC">
        <w:rPr>
          <w:rFonts w:ascii="Times New Roman" w:eastAsia="DengXian" w:hAnsi="Times New Roman" w:cs="Times New Roman"/>
          <w:lang w:eastAsia="zh-CN"/>
        </w:rPr>
        <w:t>businesses</w:t>
      </w:r>
      <w:r w:rsidR="00A830CC" w:rsidRPr="009E481D">
        <w:rPr>
          <w:rFonts w:ascii="Times New Roman" w:eastAsia="DengXian" w:hAnsi="Times New Roman" w:cs="Times New Roman"/>
          <w:lang w:eastAsia="zh-CN"/>
        </w:rPr>
        <w:t xml:space="preserve"> </w:t>
      </w:r>
      <w:r w:rsidRPr="009E481D">
        <w:rPr>
          <w:rFonts w:ascii="Times New Roman" w:eastAsia="DengXian" w:hAnsi="Times New Roman" w:cs="Times New Roman"/>
          <w:lang w:eastAsia="zh-CN"/>
        </w:rPr>
        <w:t>has recently impacted re-opening of IELCE programs.</w:t>
      </w:r>
    </w:p>
    <w:p w14:paraId="766FCFF7" w14:textId="77777777" w:rsidR="008E4825" w:rsidRPr="009E481D" w:rsidRDefault="008E4825" w:rsidP="008E4825">
      <w:pPr>
        <w:pStyle w:val="BodyText"/>
        <w:tabs>
          <w:tab w:val="left" w:pos="821"/>
        </w:tabs>
        <w:ind w:left="0" w:right="134"/>
        <w:rPr>
          <w:rFonts w:cs="Times New Roman"/>
          <w:sz w:val="22"/>
          <w:szCs w:val="22"/>
        </w:rPr>
      </w:pPr>
    </w:p>
    <w:p w14:paraId="3A8A3729" w14:textId="77777777" w:rsidR="008E4825" w:rsidRPr="002F1626" w:rsidRDefault="008E4825" w:rsidP="008E4825">
      <w:pPr>
        <w:pStyle w:val="BodyText"/>
        <w:tabs>
          <w:tab w:val="left" w:pos="821"/>
        </w:tabs>
        <w:ind w:left="0" w:right="553"/>
        <w:rPr>
          <w:rFonts w:cs="Times New Roman"/>
          <w:b/>
          <w:bCs/>
          <w:i/>
          <w:iCs/>
          <w:spacing w:val="-1"/>
          <w:sz w:val="22"/>
          <w:szCs w:val="22"/>
        </w:rPr>
      </w:pPr>
      <w:r w:rsidRPr="002F1626">
        <w:rPr>
          <w:rFonts w:cs="Times New Roman"/>
          <w:b/>
          <w:bCs/>
          <w:i/>
          <w:iCs/>
          <w:sz w:val="22"/>
          <w:szCs w:val="22"/>
        </w:rPr>
        <w:t xml:space="preserve">Describe </w:t>
      </w:r>
      <w:r w:rsidRPr="002F1626">
        <w:rPr>
          <w:rFonts w:cs="Times New Roman"/>
          <w:b/>
          <w:bCs/>
          <w:i/>
          <w:iCs/>
          <w:spacing w:val="-1"/>
          <w:sz w:val="22"/>
          <w:szCs w:val="22"/>
        </w:rPr>
        <w:t>how</w:t>
      </w:r>
      <w:r w:rsidRPr="002F1626">
        <w:rPr>
          <w:rFonts w:cs="Times New Roman"/>
          <w:b/>
          <w:bCs/>
          <w:i/>
          <w:iCs/>
          <w:sz w:val="22"/>
          <w:szCs w:val="22"/>
        </w:rPr>
        <w:t xml:space="preserve"> the </w:t>
      </w:r>
      <w:r w:rsidRPr="002F1626">
        <w:rPr>
          <w:rFonts w:cs="Times New Roman"/>
          <w:b/>
          <w:bCs/>
          <w:i/>
          <w:iCs/>
          <w:spacing w:val="-1"/>
          <w:sz w:val="22"/>
          <w:szCs w:val="22"/>
        </w:rPr>
        <w:t xml:space="preserve">State </w:t>
      </w:r>
      <w:r w:rsidRPr="002F1626">
        <w:rPr>
          <w:rFonts w:cs="Times New Roman"/>
          <w:b/>
          <w:bCs/>
          <w:i/>
          <w:iCs/>
          <w:sz w:val="22"/>
          <w:szCs w:val="22"/>
        </w:rPr>
        <w:t xml:space="preserve">is </w:t>
      </w:r>
      <w:r w:rsidRPr="002F1626">
        <w:rPr>
          <w:rFonts w:cs="Times New Roman"/>
          <w:b/>
          <w:bCs/>
          <w:i/>
          <w:iCs/>
          <w:spacing w:val="-1"/>
          <w:sz w:val="22"/>
          <w:szCs w:val="22"/>
        </w:rPr>
        <w:t>progressing</w:t>
      </w:r>
      <w:r w:rsidRPr="002F1626">
        <w:rPr>
          <w:rFonts w:cs="Times New Roman"/>
          <w:b/>
          <w:bCs/>
          <w:i/>
          <w:iCs/>
          <w:sz w:val="22"/>
          <w:szCs w:val="22"/>
        </w:rPr>
        <w:t xml:space="preserve"> towards</w:t>
      </w:r>
      <w:r w:rsidRPr="002F1626">
        <w:rPr>
          <w:rFonts w:cs="Times New Roman"/>
          <w:b/>
          <w:bCs/>
          <w:i/>
          <w:iCs/>
          <w:spacing w:val="1"/>
          <w:sz w:val="22"/>
          <w:szCs w:val="22"/>
        </w:rPr>
        <w:t xml:space="preserve"> </w:t>
      </w:r>
      <w:r w:rsidRPr="002F1626">
        <w:rPr>
          <w:rFonts w:cs="Times New Roman"/>
          <w:b/>
          <w:bCs/>
          <w:i/>
          <w:iCs/>
          <w:sz w:val="22"/>
          <w:szCs w:val="22"/>
        </w:rPr>
        <w:t xml:space="preserve">program </w:t>
      </w:r>
      <w:r w:rsidRPr="002F1626">
        <w:rPr>
          <w:rFonts w:cs="Times New Roman"/>
          <w:b/>
          <w:bCs/>
          <w:i/>
          <w:iCs/>
          <w:spacing w:val="-1"/>
          <w:sz w:val="22"/>
          <w:szCs w:val="22"/>
        </w:rPr>
        <w:t xml:space="preserve">goals </w:t>
      </w:r>
      <w:r w:rsidRPr="002F1626">
        <w:rPr>
          <w:rFonts w:cs="Times New Roman"/>
          <w:b/>
          <w:bCs/>
          <w:i/>
          <w:iCs/>
          <w:sz w:val="22"/>
          <w:szCs w:val="22"/>
        </w:rPr>
        <w:t>of ensuring</w:t>
      </w:r>
      <w:r w:rsidRPr="002F1626">
        <w:rPr>
          <w:rFonts w:cs="Times New Roman"/>
          <w:b/>
          <w:bCs/>
          <w:i/>
          <w:iCs/>
          <w:spacing w:val="-2"/>
          <w:sz w:val="22"/>
          <w:szCs w:val="22"/>
        </w:rPr>
        <w:t xml:space="preserve"> </w:t>
      </w:r>
      <w:r w:rsidRPr="002F1626">
        <w:rPr>
          <w:rFonts w:cs="Times New Roman"/>
          <w:b/>
          <w:bCs/>
          <w:i/>
          <w:iCs/>
          <w:sz w:val="22"/>
          <w:szCs w:val="22"/>
        </w:rPr>
        <w:t xml:space="preserve">that </w:t>
      </w:r>
      <w:r w:rsidRPr="002F1626">
        <w:rPr>
          <w:rFonts w:cs="Times New Roman"/>
          <w:b/>
          <w:bCs/>
          <w:i/>
          <w:iCs/>
          <w:spacing w:val="-1"/>
          <w:sz w:val="22"/>
          <w:szCs w:val="22"/>
        </w:rPr>
        <w:t>IELCE</w:t>
      </w:r>
      <w:r w:rsidRPr="002F1626">
        <w:rPr>
          <w:rFonts w:cs="Times New Roman"/>
          <w:b/>
          <w:bCs/>
          <w:i/>
          <w:iCs/>
          <w:spacing w:val="47"/>
          <w:sz w:val="22"/>
          <w:szCs w:val="22"/>
        </w:rPr>
        <w:t xml:space="preserve"> </w:t>
      </w:r>
      <w:r w:rsidRPr="002F1626">
        <w:rPr>
          <w:rFonts w:cs="Times New Roman"/>
          <w:b/>
          <w:bCs/>
          <w:i/>
          <w:iCs/>
          <w:sz w:val="22"/>
          <w:szCs w:val="22"/>
        </w:rPr>
        <w:t xml:space="preserve">program </w:t>
      </w:r>
      <w:r w:rsidRPr="002F1626">
        <w:rPr>
          <w:rFonts w:cs="Times New Roman"/>
          <w:b/>
          <w:bCs/>
          <w:i/>
          <w:iCs/>
          <w:spacing w:val="-1"/>
          <w:sz w:val="22"/>
          <w:szCs w:val="22"/>
        </w:rPr>
        <w:t>activities</w:t>
      </w:r>
      <w:r w:rsidRPr="002F1626">
        <w:rPr>
          <w:rFonts w:cs="Times New Roman"/>
          <w:b/>
          <w:bCs/>
          <w:i/>
          <w:iCs/>
          <w:sz w:val="22"/>
          <w:szCs w:val="22"/>
        </w:rPr>
        <w:t xml:space="preserve"> </w:t>
      </w:r>
      <w:r w:rsidRPr="002F1626">
        <w:rPr>
          <w:rFonts w:cs="Times New Roman"/>
          <w:b/>
          <w:bCs/>
          <w:i/>
          <w:iCs/>
          <w:spacing w:val="-1"/>
          <w:sz w:val="22"/>
          <w:szCs w:val="22"/>
        </w:rPr>
        <w:t>are</w:t>
      </w:r>
      <w:r w:rsidRPr="002F1626">
        <w:rPr>
          <w:rFonts w:cs="Times New Roman"/>
          <w:b/>
          <w:bCs/>
          <w:i/>
          <w:iCs/>
          <w:sz w:val="22"/>
          <w:szCs w:val="22"/>
        </w:rPr>
        <w:t xml:space="preserve"> integrated </w:t>
      </w:r>
      <w:r w:rsidRPr="002F1626">
        <w:rPr>
          <w:rFonts w:cs="Times New Roman"/>
          <w:b/>
          <w:bCs/>
          <w:i/>
          <w:iCs/>
          <w:spacing w:val="-1"/>
          <w:sz w:val="22"/>
          <w:szCs w:val="22"/>
        </w:rPr>
        <w:t>with</w:t>
      </w:r>
      <w:r w:rsidRPr="002F1626">
        <w:rPr>
          <w:rFonts w:cs="Times New Roman"/>
          <w:b/>
          <w:bCs/>
          <w:i/>
          <w:iCs/>
          <w:spacing w:val="-2"/>
          <w:sz w:val="22"/>
          <w:szCs w:val="22"/>
        </w:rPr>
        <w:t xml:space="preserve"> </w:t>
      </w:r>
      <w:r w:rsidRPr="002F1626">
        <w:rPr>
          <w:rFonts w:cs="Times New Roman"/>
          <w:b/>
          <w:bCs/>
          <w:i/>
          <w:iCs/>
          <w:sz w:val="22"/>
          <w:szCs w:val="22"/>
        </w:rPr>
        <w:t xml:space="preserve">the </w:t>
      </w:r>
      <w:r w:rsidRPr="002F1626">
        <w:rPr>
          <w:rFonts w:cs="Times New Roman"/>
          <w:b/>
          <w:bCs/>
          <w:i/>
          <w:iCs/>
          <w:spacing w:val="-1"/>
          <w:sz w:val="22"/>
          <w:szCs w:val="22"/>
        </w:rPr>
        <w:t>local</w:t>
      </w:r>
      <w:r w:rsidRPr="002F1626">
        <w:rPr>
          <w:rFonts w:cs="Times New Roman"/>
          <w:b/>
          <w:bCs/>
          <w:i/>
          <w:iCs/>
          <w:sz w:val="22"/>
          <w:szCs w:val="22"/>
        </w:rPr>
        <w:t xml:space="preserve"> workforce </w:t>
      </w:r>
      <w:r w:rsidRPr="002F1626">
        <w:rPr>
          <w:rFonts w:cs="Times New Roman"/>
          <w:b/>
          <w:bCs/>
          <w:i/>
          <w:iCs/>
          <w:spacing w:val="-1"/>
          <w:sz w:val="22"/>
          <w:szCs w:val="22"/>
        </w:rPr>
        <w:t>development</w:t>
      </w:r>
      <w:r w:rsidRPr="002F1626">
        <w:rPr>
          <w:rFonts w:cs="Times New Roman"/>
          <w:b/>
          <w:bCs/>
          <w:i/>
          <w:iCs/>
          <w:sz w:val="22"/>
          <w:szCs w:val="22"/>
        </w:rPr>
        <w:t xml:space="preserve"> </w:t>
      </w:r>
      <w:r w:rsidRPr="002F1626">
        <w:rPr>
          <w:rFonts w:cs="Times New Roman"/>
          <w:b/>
          <w:bCs/>
          <w:i/>
          <w:iCs/>
          <w:spacing w:val="-1"/>
          <w:sz w:val="22"/>
          <w:szCs w:val="22"/>
        </w:rPr>
        <w:t xml:space="preserve">system </w:t>
      </w:r>
      <w:r w:rsidRPr="002F1626">
        <w:rPr>
          <w:rFonts w:cs="Times New Roman"/>
          <w:b/>
          <w:bCs/>
          <w:i/>
          <w:iCs/>
          <w:sz w:val="22"/>
          <w:szCs w:val="22"/>
        </w:rPr>
        <w:t>and its functions as</w:t>
      </w:r>
      <w:r w:rsidRPr="002F1626">
        <w:rPr>
          <w:rFonts w:cs="Times New Roman"/>
          <w:b/>
          <w:bCs/>
          <w:i/>
          <w:iCs/>
          <w:spacing w:val="-1"/>
          <w:sz w:val="22"/>
          <w:szCs w:val="22"/>
        </w:rPr>
        <w:t xml:space="preserve"> described</w:t>
      </w:r>
      <w:r w:rsidRPr="002F1626">
        <w:rPr>
          <w:rFonts w:cs="Times New Roman"/>
          <w:b/>
          <w:bCs/>
          <w:i/>
          <w:iCs/>
          <w:sz w:val="22"/>
          <w:szCs w:val="22"/>
        </w:rPr>
        <w:t xml:space="preserve"> in section </w:t>
      </w:r>
      <w:r w:rsidRPr="002F1626">
        <w:rPr>
          <w:rFonts w:cs="Times New Roman"/>
          <w:b/>
          <w:bCs/>
          <w:i/>
          <w:iCs/>
          <w:spacing w:val="-1"/>
          <w:sz w:val="22"/>
          <w:szCs w:val="22"/>
        </w:rPr>
        <w:t>243(c)(2)</w:t>
      </w:r>
      <w:r w:rsidRPr="002F1626">
        <w:rPr>
          <w:rFonts w:cs="Times New Roman"/>
          <w:b/>
          <w:bCs/>
          <w:i/>
          <w:iCs/>
          <w:sz w:val="22"/>
          <w:szCs w:val="22"/>
        </w:rPr>
        <w:t xml:space="preserve"> and discuss any performance </w:t>
      </w:r>
      <w:r w:rsidRPr="002F1626">
        <w:rPr>
          <w:rFonts w:cs="Times New Roman"/>
          <w:b/>
          <w:bCs/>
          <w:i/>
          <w:iCs/>
          <w:spacing w:val="-1"/>
          <w:sz w:val="22"/>
          <w:szCs w:val="22"/>
        </w:rPr>
        <w:t>results,</w:t>
      </w:r>
      <w:r w:rsidRPr="002F1626">
        <w:rPr>
          <w:rFonts w:cs="Times New Roman"/>
          <w:b/>
          <w:bCs/>
          <w:i/>
          <w:iCs/>
          <w:spacing w:val="45"/>
          <w:sz w:val="22"/>
          <w:szCs w:val="22"/>
        </w:rPr>
        <w:t xml:space="preserve"> </w:t>
      </w:r>
      <w:r w:rsidRPr="002F1626">
        <w:rPr>
          <w:rFonts w:cs="Times New Roman"/>
          <w:b/>
          <w:bCs/>
          <w:i/>
          <w:iCs/>
          <w:sz w:val="22"/>
          <w:szCs w:val="22"/>
        </w:rPr>
        <w:t>challenges,</w:t>
      </w:r>
      <w:r w:rsidRPr="002F1626">
        <w:rPr>
          <w:rFonts w:cs="Times New Roman"/>
          <w:b/>
          <w:bCs/>
          <w:i/>
          <w:iCs/>
          <w:spacing w:val="-2"/>
          <w:sz w:val="22"/>
          <w:szCs w:val="22"/>
        </w:rPr>
        <w:t xml:space="preserve"> </w:t>
      </w:r>
      <w:r w:rsidRPr="002F1626">
        <w:rPr>
          <w:rFonts w:cs="Times New Roman"/>
          <w:b/>
          <w:bCs/>
          <w:i/>
          <w:iCs/>
          <w:sz w:val="22"/>
          <w:szCs w:val="22"/>
        </w:rPr>
        <w:t>and lessons</w:t>
      </w:r>
      <w:r w:rsidRPr="002F1626">
        <w:rPr>
          <w:rFonts w:cs="Times New Roman"/>
          <w:b/>
          <w:bCs/>
          <w:i/>
          <w:iCs/>
          <w:spacing w:val="-1"/>
          <w:sz w:val="22"/>
          <w:szCs w:val="22"/>
        </w:rPr>
        <w:t xml:space="preserve"> </w:t>
      </w:r>
      <w:r w:rsidRPr="002F1626">
        <w:rPr>
          <w:rFonts w:cs="Times New Roman"/>
          <w:b/>
          <w:bCs/>
          <w:i/>
          <w:iCs/>
          <w:sz w:val="22"/>
          <w:szCs w:val="22"/>
        </w:rPr>
        <w:t>learned</w:t>
      </w:r>
      <w:r w:rsidRPr="002F1626">
        <w:rPr>
          <w:rFonts w:cs="Times New Roman"/>
          <w:b/>
          <w:bCs/>
          <w:i/>
          <w:iCs/>
          <w:spacing w:val="-1"/>
          <w:sz w:val="22"/>
          <w:szCs w:val="22"/>
        </w:rPr>
        <w:t xml:space="preserve"> </w:t>
      </w:r>
      <w:r w:rsidRPr="002F1626">
        <w:rPr>
          <w:rFonts w:cs="Times New Roman"/>
          <w:b/>
          <w:bCs/>
          <w:i/>
          <w:iCs/>
          <w:sz w:val="22"/>
          <w:szCs w:val="22"/>
        </w:rPr>
        <w:t>from</w:t>
      </w:r>
      <w:r w:rsidRPr="002F1626">
        <w:rPr>
          <w:rFonts w:cs="Times New Roman"/>
          <w:b/>
          <w:bCs/>
          <w:i/>
          <w:iCs/>
          <w:spacing w:val="-1"/>
          <w:sz w:val="22"/>
          <w:szCs w:val="22"/>
        </w:rPr>
        <w:t xml:space="preserve"> implementing</w:t>
      </w:r>
      <w:r w:rsidRPr="002F1626">
        <w:rPr>
          <w:rFonts w:cs="Times New Roman"/>
          <w:b/>
          <w:bCs/>
          <w:i/>
          <w:iCs/>
          <w:sz w:val="22"/>
          <w:szCs w:val="22"/>
        </w:rPr>
        <w:t xml:space="preserve"> those </w:t>
      </w:r>
      <w:r w:rsidRPr="002F1626">
        <w:rPr>
          <w:rFonts w:cs="Times New Roman"/>
          <w:b/>
          <w:bCs/>
          <w:i/>
          <w:iCs/>
          <w:spacing w:val="-1"/>
          <w:sz w:val="22"/>
          <w:szCs w:val="22"/>
        </w:rPr>
        <w:t>program</w:t>
      </w:r>
      <w:r w:rsidRPr="002F1626">
        <w:rPr>
          <w:rFonts w:cs="Times New Roman"/>
          <w:b/>
          <w:bCs/>
          <w:i/>
          <w:iCs/>
          <w:sz w:val="22"/>
          <w:szCs w:val="22"/>
        </w:rPr>
        <w:t xml:space="preserve"> </w:t>
      </w:r>
      <w:r w:rsidRPr="002F1626">
        <w:rPr>
          <w:rFonts w:cs="Times New Roman"/>
          <w:b/>
          <w:bCs/>
          <w:i/>
          <w:iCs/>
          <w:spacing w:val="-1"/>
          <w:sz w:val="22"/>
          <w:szCs w:val="22"/>
        </w:rPr>
        <w:t>goals.</w:t>
      </w:r>
    </w:p>
    <w:p w14:paraId="6372E042" w14:textId="77777777" w:rsidR="008E4825" w:rsidRPr="009E481D" w:rsidRDefault="008E4825" w:rsidP="008E4825">
      <w:pPr>
        <w:pStyle w:val="BodyText"/>
        <w:spacing w:before="56"/>
        <w:ind w:left="0" w:right="113"/>
        <w:rPr>
          <w:rFonts w:cs="Times New Roman"/>
          <w:i/>
          <w:iCs/>
          <w:sz w:val="22"/>
          <w:szCs w:val="22"/>
        </w:rPr>
      </w:pPr>
    </w:p>
    <w:p w14:paraId="49121EF0" w14:textId="71876EDE" w:rsidR="008E4825" w:rsidRPr="00594723" w:rsidRDefault="008E4825" w:rsidP="008E4825">
      <w:pPr>
        <w:pStyle w:val="NormalWeb"/>
        <w:spacing w:before="0" w:beforeAutospacing="0"/>
        <w:rPr>
          <w:i/>
          <w:sz w:val="22"/>
          <w:szCs w:val="22"/>
        </w:rPr>
      </w:pPr>
      <w:r w:rsidRPr="00594723">
        <w:rPr>
          <w:rStyle w:val="Emphasis"/>
          <w:i w:val="0"/>
          <w:iCs w:val="0"/>
          <w:sz w:val="22"/>
          <w:szCs w:val="22"/>
        </w:rPr>
        <w:t xml:space="preserve">The IELCE grant recipients base the IET programs, including workforce preparation elements, on the Local Workforce Development Boards’ plans and current labor market information to identify the high demand industries in each provider’s service area. Local providers regularly attend Local Workforce Development Board meetings to be aware of local business needs, changes, and challenges in the area/region and </w:t>
      </w:r>
      <w:r w:rsidR="001A5693">
        <w:rPr>
          <w:rStyle w:val="Emphasis"/>
          <w:i w:val="0"/>
          <w:iCs w:val="0"/>
          <w:sz w:val="22"/>
          <w:szCs w:val="22"/>
        </w:rPr>
        <w:t xml:space="preserve">to </w:t>
      </w:r>
      <w:r w:rsidRPr="00594723">
        <w:rPr>
          <w:rStyle w:val="Emphasis"/>
          <w:i w:val="0"/>
          <w:iCs w:val="0"/>
          <w:sz w:val="22"/>
          <w:szCs w:val="22"/>
        </w:rPr>
        <w:t xml:space="preserve">ensure Title II </w:t>
      </w:r>
      <w:r w:rsidR="001A5693">
        <w:rPr>
          <w:rStyle w:val="Emphasis"/>
          <w:i w:val="0"/>
          <w:iCs w:val="0"/>
          <w:sz w:val="22"/>
          <w:szCs w:val="22"/>
        </w:rPr>
        <w:t>representation</w:t>
      </w:r>
      <w:r w:rsidRPr="00594723">
        <w:rPr>
          <w:rStyle w:val="Emphasis"/>
          <w:i w:val="0"/>
          <w:iCs w:val="0"/>
          <w:sz w:val="22"/>
          <w:szCs w:val="22"/>
        </w:rPr>
        <w:t>. </w:t>
      </w:r>
    </w:p>
    <w:p w14:paraId="5739CAA8" w14:textId="4390B4CC" w:rsidR="008E4825" w:rsidRPr="00594723" w:rsidRDefault="008E4825" w:rsidP="008E4825">
      <w:pPr>
        <w:pStyle w:val="NormalWeb"/>
        <w:spacing w:before="0" w:beforeAutospacing="0"/>
        <w:rPr>
          <w:i/>
          <w:sz w:val="22"/>
          <w:szCs w:val="22"/>
        </w:rPr>
      </w:pPr>
      <w:r w:rsidRPr="00594723">
        <w:rPr>
          <w:rStyle w:val="Emphasis"/>
          <w:i w:val="0"/>
          <w:iCs w:val="0"/>
          <w:sz w:val="22"/>
          <w:szCs w:val="22"/>
        </w:rPr>
        <w:t>The grant recipients have reported IET enrollment has been a challenge, even prior to COVID-19. While IETs are selected based on local plans, the needs identified there at times do not align with student interest and language skills. Grant recipients are working towards addressing this issue by diversifying IET options that align with both the local plan and students’ interests. The</w:t>
      </w:r>
      <w:r w:rsidRPr="00594723">
        <w:rPr>
          <w:rStyle w:val="Emphasis"/>
          <w:i w:val="0"/>
          <w:iCs w:val="0"/>
          <w:color w:val="FF0000"/>
          <w:sz w:val="22"/>
          <w:szCs w:val="22"/>
        </w:rPr>
        <w:t xml:space="preserve"> </w:t>
      </w:r>
      <w:r w:rsidRPr="00594723">
        <w:rPr>
          <w:rStyle w:val="Emphasis"/>
          <w:i w:val="0"/>
          <w:iCs w:val="0"/>
          <w:sz w:val="22"/>
          <w:szCs w:val="22"/>
        </w:rPr>
        <w:t>restructured</w:t>
      </w:r>
      <w:r w:rsidRPr="00594723">
        <w:rPr>
          <w:rStyle w:val="Emphasis"/>
          <w:i w:val="0"/>
          <w:iCs w:val="0"/>
          <w:color w:val="FF0000"/>
          <w:sz w:val="22"/>
          <w:szCs w:val="22"/>
        </w:rPr>
        <w:t xml:space="preserve"> </w:t>
      </w:r>
      <w:r w:rsidRPr="00594723">
        <w:rPr>
          <w:rStyle w:val="Emphasis"/>
          <w:i w:val="0"/>
          <w:iCs w:val="0"/>
          <w:sz w:val="22"/>
          <w:szCs w:val="22"/>
        </w:rPr>
        <w:t>WAGE</w:t>
      </w:r>
      <w:r w:rsidR="001A5693">
        <w:rPr>
          <w:rStyle w:val="Emphasis"/>
          <w:i w:val="0"/>
          <w:iCs w:val="0"/>
          <w:sz w:val="22"/>
          <w:szCs w:val="22"/>
        </w:rPr>
        <w:t>™</w:t>
      </w:r>
      <w:r w:rsidRPr="00594723">
        <w:rPr>
          <w:rStyle w:val="Emphasis"/>
          <w:i w:val="0"/>
          <w:iCs w:val="0"/>
          <w:sz w:val="22"/>
          <w:szCs w:val="22"/>
        </w:rPr>
        <w:t xml:space="preserve"> program has worked to address career pathways most in demand in provider service areas according to Local Workforce Development plans and labor market information.</w:t>
      </w:r>
    </w:p>
    <w:p w14:paraId="5F207754" w14:textId="127BFCB5" w:rsidR="008E4825" w:rsidRPr="00594723" w:rsidRDefault="008E4825" w:rsidP="008E4825">
      <w:pPr>
        <w:pStyle w:val="NormalWeb"/>
        <w:spacing w:before="0" w:beforeAutospacing="0"/>
        <w:rPr>
          <w:i/>
          <w:sz w:val="22"/>
          <w:szCs w:val="22"/>
        </w:rPr>
      </w:pPr>
      <w:r w:rsidRPr="00594723">
        <w:rPr>
          <w:rStyle w:val="Emphasis"/>
          <w:i w:val="0"/>
          <w:iCs w:val="0"/>
          <w:sz w:val="22"/>
          <w:szCs w:val="22"/>
        </w:rPr>
        <w:t>ADWS/AES progressed during the</w:t>
      </w:r>
      <w:r w:rsidRPr="00594723">
        <w:rPr>
          <w:rStyle w:val="Emphasis"/>
          <w:i w:val="0"/>
          <w:iCs w:val="0"/>
          <w:color w:val="FF0000"/>
          <w:sz w:val="22"/>
          <w:szCs w:val="22"/>
        </w:rPr>
        <w:t xml:space="preserve"> </w:t>
      </w:r>
      <w:r w:rsidRPr="00594723">
        <w:rPr>
          <w:rStyle w:val="Emphasis"/>
          <w:i w:val="0"/>
          <w:iCs w:val="0"/>
          <w:sz w:val="22"/>
          <w:szCs w:val="22"/>
        </w:rPr>
        <w:t xml:space="preserve">2020-21 year working directly with program administrators in developing IETs that helped develop quality concurrent and contextualized training that could support ELL learners. These efforts help expand ESL programs, leading to new IELCE programs applying during the 2020-2024 Request for Proposal. COVID-19 has impacted in-person ESL classes and many Civics Education programs. Most ESL classes find success due to the community environment the teachers foster, and, as </w:t>
      </w:r>
      <w:r w:rsidR="001A5693">
        <w:rPr>
          <w:rStyle w:val="Emphasis"/>
          <w:i w:val="0"/>
          <w:iCs w:val="0"/>
          <w:sz w:val="22"/>
          <w:szCs w:val="22"/>
        </w:rPr>
        <w:t>in</w:t>
      </w:r>
      <w:r w:rsidRPr="00594723">
        <w:rPr>
          <w:rStyle w:val="Emphasis"/>
          <w:i w:val="0"/>
          <w:iCs w:val="0"/>
          <w:sz w:val="22"/>
          <w:szCs w:val="22"/>
        </w:rPr>
        <w:t xml:space="preserve"> the previous program year, that had not transferred as well to a remote environment. </w:t>
      </w:r>
    </w:p>
    <w:p w14:paraId="62763F1E" w14:textId="77777777" w:rsidR="000A052A" w:rsidRPr="00043DCA" w:rsidRDefault="000A052A" w:rsidP="000A052A">
      <w:pPr>
        <w:spacing w:before="240" w:after="100" w:afterAutospacing="1" w:line="240" w:lineRule="auto"/>
        <w:rPr>
          <w:rFonts w:ascii="Times New Roman" w:eastAsia="Times New Roman" w:hAnsi="Times New Roman" w:cs="Times New Roman"/>
          <w:b/>
          <w:u w:val="single"/>
        </w:rPr>
      </w:pPr>
      <w:r w:rsidRPr="00043DCA">
        <w:rPr>
          <w:rFonts w:ascii="Times New Roman" w:eastAsia="Times New Roman" w:hAnsi="Times New Roman" w:cs="Times New Roman"/>
          <w:b/>
          <w:bCs/>
          <w:iCs/>
          <w:u w:val="single"/>
        </w:rPr>
        <w:t>5. Adult Education Standards</w:t>
      </w:r>
    </w:p>
    <w:p w14:paraId="6D604686" w14:textId="77777777" w:rsidR="000A052A" w:rsidRPr="009E481D" w:rsidRDefault="000A052A" w:rsidP="000A052A">
      <w:pPr>
        <w:spacing w:before="240" w:after="100" w:afterAutospacing="1" w:line="240" w:lineRule="auto"/>
        <w:rPr>
          <w:rFonts w:ascii="Times New Roman" w:eastAsia="Times New Roman" w:hAnsi="Times New Roman" w:cs="Times New Roman"/>
        </w:rPr>
      </w:pPr>
      <w:r w:rsidRPr="009E481D">
        <w:rPr>
          <w:rFonts w:ascii="Times New Roman" w:eastAsia="Times New Roman" w:hAnsi="Times New Roman" w:cs="Times New Roman"/>
          <w:b/>
          <w:bCs/>
          <w:i/>
          <w:iCs/>
          <w:color w:val="1C1E29"/>
        </w:rPr>
        <w:t> If your State has adopted challenging K-12 standards under title I of the Elementary and Secondary Education Act of 1965, as amended, describe how your Adult Education content standards are aligned with those K-12 standards.</w:t>
      </w:r>
    </w:p>
    <w:p w14:paraId="217E80B6" w14:textId="77777777" w:rsidR="000A052A" w:rsidRPr="009E481D" w:rsidRDefault="000A052A" w:rsidP="000A052A">
      <w:pPr>
        <w:spacing w:before="240" w:after="100" w:afterAutospacing="1" w:line="240" w:lineRule="auto"/>
        <w:rPr>
          <w:rFonts w:ascii="Times New Roman" w:eastAsia="Times New Roman" w:hAnsi="Times New Roman" w:cs="Times New Roman"/>
        </w:rPr>
      </w:pPr>
      <w:r w:rsidRPr="009E481D">
        <w:rPr>
          <w:rFonts w:ascii="Times New Roman" w:eastAsia="Times New Roman" w:hAnsi="Times New Roman" w:cs="Times New Roman"/>
          <w:b/>
          <w:bCs/>
          <w:i/>
          <w:iCs/>
          <w:color w:val="1C1E29"/>
        </w:rPr>
        <w:t>· Optional – Describe implementation efforts, challenges, and any lessons learned.</w:t>
      </w:r>
    </w:p>
    <w:p w14:paraId="0D1C8DAD" w14:textId="77777777" w:rsidR="000A052A" w:rsidRPr="009E481D" w:rsidRDefault="000A052A" w:rsidP="000A052A">
      <w:pPr>
        <w:spacing w:after="100" w:afterAutospacing="1" w:line="240" w:lineRule="auto"/>
        <w:rPr>
          <w:rFonts w:ascii="Times New Roman" w:eastAsia="Times New Roman" w:hAnsi="Times New Roman" w:cs="Times New Roman"/>
        </w:rPr>
      </w:pPr>
      <w:r w:rsidRPr="009E481D">
        <w:rPr>
          <w:rFonts w:ascii="Times New Roman" w:eastAsia="Times New Roman" w:hAnsi="Times New Roman" w:cs="Times New Roman"/>
          <w:color w:val="1C1E29"/>
        </w:rPr>
        <w:lastRenderedPageBreak/>
        <w:t>ADWS/AES lesson plans and curriculum maps continue to be aligned with K-12 Common Core State Standards (CCSS), which have been adopted by the Arkansas Department of Education for K-12 schools beginning with the 2013-2014 year, through the adoption of the Career and College Readiness (CCR) standards. ADWS/AES chose to adopt the CCR standards due to its rigorous research and scientific evidence of effectiveness and applicability to Adult Education. Additionally, it will ensure that students are prepared for post-secondary education and training and unsubsidized employment. The CCR standards used the CCSS to "identify a manageable set of the CCSS most indispensable for college and career readiness and important to adult students." The CCR Standards then are translated into curriculum and lessons for teaching the content of the standards to students. Classroom activities, assignments, and a range of formative and summative assessments all help determine whether students are absorbing the essential skills and knowledge included in the standards.</w:t>
      </w:r>
    </w:p>
    <w:p w14:paraId="1B73EB3C" w14:textId="697F96BB" w:rsidR="000A052A" w:rsidRPr="00F11BFB" w:rsidRDefault="000A052A" w:rsidP="000A052A">
      <w:pPr>
        <w:spacing w:after="100" w:afterAutospacing="1" w:line="240" w:lineRule="auto"/>
        <w:rPr>
          <w:rFonts w:ascii="Times New Roman" w:eastAsia="Times New Roman" w:hAnsi="Times New Roman" w:cs="Times New Roman"/>
          <w:color w:val="1C1E29"/>
        </w:rPr>
      </w:pPr>
      <w:r w:rsidRPr="009E481D">
        <w:rPr>
          <w:rFonts w:ascii="Times New Roman" w:eastAsia="Times New Roman" w:hAnsi="Times New Roman" w:cs="Times New Roman"/>
          <w:color w:val="1C1E29"/>
        </w:rPr>
        <w:t xml:space="preserve">ADWS/AES continues to engage in an instructional task force </w:t>
      </w:r>
      <w:r w:rsidR="00E27336">
        <w:rPr>
          <w:rFonts w:ascii="Times New Roman" w:eastAsia="Times New Roman" w:hAnsi="Times New Roman" w:cs="Times New Roman"/>
          <w:color w:val="1C1E29"/>
        </w:rPr>
        <w:t xml:space="preserve">which </w:t>
      </w:r>
      <w:r w:rsidRPr="009E481D">
        <w:rPr>
          <w:rFonts w:ascii="Times New Roman" w:eastAsia="Times New Roman" w:hAnsi="Times New Roman" w:cs="Times New Roman"/>
          <w:color w:val="1C1E29"/>
        </w:rPr>
        <w:t>includ</w:t>
      </w:r>
      <w:r w:rsidR="00E27336">
        <w:rPr>
          <w:rFonts w:ascii="Times New Roman" w:eastAsia="Times New Roman" w:hAnsi="Times New Roman" w:cs="Times New Roman"/>
          <w:color w:val="1C1E29"/>
        </w:rPr>
        <w:t>es</w:t>
      </w:r>
      <w:r w:rsidRPr="009E481D">
        <w:rPr>
          <w:rFonts w:ascii="Times New Roman" w:eastAsia="Times New Roman" w:hAnsi="Times New Roman" w:cs="Times New Roman"/>
          <w:color w:val="1C1E29"/>
        </w:rPr>
        <w:t xml:space="preserve"> state staff members, AALRC staff, and local program directors and teachers, to implement the CCR standards. Following the completion of the framework, the task force continues to utilize the CCR frameworks, along with </w:t>
      </w:r>
      <w:r w:rsidRPr="00F11BFB">
        <w:rPr>
          <w:rFonts w:ascii="Times New Roman" w:eastAsia="Times New Roman" w:hAnsi="Times New Roman" w:cs="Times New Roman"/>
          <w:color w:val="1C1E29"/>
        </w:rPr>
        <w:t xml:space="preserve">professional development, to focus on the content areas. </w:t>
      </w:r>
    </w:p>
    <w:p w14:paraId="491417EA" w14:textId="7A580F3F" w:rsidR="000A052A" w:rsidRPr="00F11BFB" w:rsidRDefault="000A052A" w:rsidP="000A052A">
      <w:pPr>
        <w:spacing w:after="100" w:afterAutospacing="1" w:line="240" w:lineRule="auto"/>
        <w:rPr>
          <w:rFonts w:ascii="Times New Roman" w:eastAsia="Times New Roman" w:hAnsi="Times New Roman" w:cs="Times New Roman"/>
        </w:rPr>
      </w:pPr>
      <w:r w:rsidRPr="00F11BFB">
        <w:rPr>
          <w:rFonts w:ascii="Times New Roman" w:eastAsia="Times New Roman" w:hAnsi="Times New Roman" w:cs="Times New Roman"/>
          <w:color w:val="1C1E29"/>
        </w:rPr>
        <w:t>The Arkansas CCR Framework is available on the ADWS/AES's website:</w:t>
      </w:r>
      <w:r w:rsidR="00F11BFB">
        <w:rPr>
          <w:rFonts w:ascii="Times New Roman" w:eastAsia="Times New Roman" w:hAnsi="Times New Roman" w:cs="Times New Roman"/>
          <w:color w:val="1C1E29"/>
        </w:rPr>
        <w:t xml:space="preserve"> </w:t>
      </w:r>
      <w:hyperlink r:id="rId6" w:history="1">
        <w:r w:rsidR="00F11BFB" w:rsidRPr="0004786D">
          <w:rPr>
            <w:rStyle w:val="Hyperlink"/>
            <w:rFonts w:ascii="Times New Roman" w:eastAsia="Times New Roman" w:hAnsi="Times New Roman" w:cs="Times New Roman"/>
          </w:rPr>
          <w:t>https://www.arcareereducation.org/about/adult-education</w:t>
        </w:r>
      </w:hyperlink>
      <w:r w:rsidR="00F11BFB">
        <w:rPr>
          <w:rFonts w:ascii="Times New Roman" w:eastAsia="Times New Roman" w:hAnsi="Times New Roman" w:cs="Times New Roman"/>
          <w:color w:val="1C1E29"/>
        </w:rPr>
        <w:t xml:space="preserve"> </w:t>
      </w:r>
      <w:r w:rsidRPr="00F11BFB">
        <w:rPr>
          <w:rFonts w:ascii="Times New Roman" w:eastAsia="Times New Roman" w:hAnsi="Times New Roman" w:cs="Times New Roman"/>
          <w:color w:val="1C1E29"/>
        </w:rPr>
        <w:t>and at the AALRC website: http://aalrc.org/. The framework is designed as a living document, changing over time as do resources and student needs.</w:t>
      </w:r>
    </w:p>
    <w:p w14:paraId="22E651EA" w14:textId="77777777" w:rsidR="000A052A" w:rsidRPr="009E481D" w:rsidRDefault="000A052A" w:rsidP="000A052A">
      <w:pPr>
        <w:spacing w:after="100" w:afterAutospacing="1" w:line="240" w:lineRule="auto"/>
        <w:rPr>
          <w:rFonts w:ascii="Times New Roman" w:eastAsia="Times New Roman" w:hAnsi="Times New Roman" w:cs="Times New Roman"/>
        </w:rPr>
      </w:pPr>
      <w:r w:rsidRPr="00F11BFB">
        <w:rPr>
          <w:rFonts w:ascii="Times New Roman" w:eastAsia="Times New Roman" w:hAnsi="Times New Roman" w:cs="Times New Roman"/>
          <w:color w:val="1C1E29"/>
        </w:rPr>
        <w:t>Currently, the committee's focus is to help teachers align the CCR framework into the curriculum and</w:t>
      </w:r>
      <w:r w:rsidRPr="009E481D">
        <w:rPr>
          <w:rFonts w:ascii="Times New Roman" w:eastAsia="Times New Roman" w:hAnsi="Times New Roman" w:cs="Times New Roman"/>
          <w:color w:val="1C1E29"/>
        </w:rPr>
        <w:t xml:space="preserve"> integrate employability, digital, and financial literacy standards within lesson plans. The task force also recognized the need to improve the quality of instruction. Therefore, ADWS/AES provides ongoing professional development using evidence-based practices in core subject areas. </w:t>
      </w:r>
    </w:p>
    <w:p w14:paraId="78E132AE" w14:textId="77777777" w:rsidR="000A052A" w:rsidRPr="009E481D" w:rsidRDefault="000A052A" w:rsidP="000A052A">
      <w:pPr>
        <w:spacing w:after="100" w:afterAutospacing="1" w:line="240" w:lineRule="auto"/>
        <w:rPr>
          <w:rFonts w:ascii="Times New Roman" w:eastAsia="Times New Roman" w:hAnsi="Times New Roman" w:cs="Times New Roman"/>
        </w:rPr>
      </w:pPr>
      <w:r w:rsidRPr="009E481D">
        <w:rPr>
          <w:rFonts w:ascii="Times New Roman" w:eastAsia="Times New Roman" w:hAnsi="Times New Roman" w:cs="Times New Roman"/>
          <w:color w:val="1C1E29"/>
        </w:rPr>
        <w:t>Leadership funds were used to support the task force meetings and included webinars, conference calls, and face-to-face meetings. Technical assistance was also provided to support the project and included site visits, conference calls, and regional training. The framework was presented to local directors and staff during State Administrators' Meetings, conferences, and during multiple workshops at the AALRC, including Career &amp; College Readiness Mathematics, Language Arts, Integrating Technology in the Classroom, and Regional GED® training to help prepare instructors to teach to a more rigorous curriculum.</w:t>
      </w:r>
    </w:p>
    <w:p w14:paraId="726231A6" w14:textId="77777777" w:rsidR="000A052A" w:rsidRPr="009E481D" w:rsidRDefault="000A052A" w:rsidP="000A052A">
      <w:pPr>
        <w:spacing w:after="100" w:afterAutospacing="1" w:line="240" w:lineRule="auto"/>
        <w:rPr>
          <w:rFonts w:ascii="Times New Roman" w:eastAsia="Times New Roman" w:hAnsi="Times New Roman" w:cs="Times New Roman"/>
        </w:rPr>
      </w:pPr>
      <w:r w:rsidRPr="009E481D">
        <w:rPr>
          <w:rFonts w:ascii="Times New Roman" w:eastAsia="Times New Roman" w:hAnsi="Times New Roman" w:cs="Times New Roman"/>
          <w:b/>
          <w:bCs/>
          <w:i/>
          <w:iCs/>
          <w:color w:val="1C1E29"/>
        </w:rPr>
        <w:t>· Optional – Describe implementation efforts, challenges, and any lessons learned.</w:t>
      </w:r>
    </w:p>
    <w:p w14:paraId="3C1791A2" w14:textId="2F687DE0" w:rsidR="000A052A" w:rsidRPr="009E481D" w:rsidRDefault="000A052A" w:rsidP="000A052A">
      <w:pPr>
        <w:spacing w:after="100" w:afterAutospacing="1" w:line="240" w:lineRule="auto"/>
        <w:rPr>
          <w:rFonts w:ascii="Times New Roman" w:eastAsia="Times New Roman" w:hAnsi="Times New Roman" w:cs="Times New Roman"/>
        </w:rPr>
      </w:pPr>
      <w:r w:rsidRPr="009E481D">
        <w:rPr>
          <w:rFonts w:ascii="Times New Roman" w:eastAsia="Times New Roman" w:hAnsi="Times New Roman" w:cs="Times New Roman"/>
          <w:color w:val="1C1E29"/>
        </w:rPr>
        <w:t xml:space="preserve">ADWS/AES requires that 75% of classes be designed as managed enrollment, which has been proven to increase student retention and performance and which allows more effective use of the standards in instruction. </w:t>
      </w:r>
      <w:r w:rsidR="00E27336">
        <w:rPr>
          <w:rFonts w:ascii="Times New Roman" w:eastAsia="Times New Roman" w:hAnsi="Times New Roman" w:cs="Times New Roman"/>
          <w:color w:val="1C1E29"/>
        </w:rPr>
        <w:t xml:space="preserve">While most programs have easily made the change to mostly managed enrollment classes, </w:t>
      </w:r>
      <w:r w:rsidR="002F1626">
        <w:rPr>
          <w:rFonts w:ascii="Times New Roman" w:eastAsia="Times New Roman" w:hAnsi="Times New Roman" w:cs="Times New Roman"/>
          <w:color w:val="1C1E29"/>
        </w:rPr>
        <w:t>some</w:t>
      </w:r>
      <w:r w:rsidR="00E27336">
        <w:rPr>
          <w:rFonts w:ascii="Times New Roman" w:eastAsia="Times New Roman" w:hAnsi="Times New Roman" w:cs="Times New Roman"/>
          <w:color w:val="1C1E29"/>
        </w:rPr>
        <w:t xml:space="preserve"> local programs continue to struggle with this implementation; therefore, the </w:t>
      </w:r>
      <w:r w:rsidRPr="009E481D">
        <w:rPr>
          <w:rFonts w:ascii="Times New Roman" w:eastAsia="Times New Roman" w:hAnsi="Times New Roman" w:cs="Times New Roman"/>
          <w:color w:val="1C1E29"/>
        </w:rPr>
        <w:t xml:space="preserve">need for additional professional development </w:t>
      </w:r>
      <w:r w:rsidR="00E27336">
        <w:rPr>
          <w:rFonts w:ascii="Times New Roman" w:eastAsia="Times New Roman" w:hAnsi="Times New Roman" w:cs="Times New Roman"/>
          <w:color w:val="1C1E29"/>
        </w:rPr>
        <w:t xml:space="preserve">and direct technical assistance </w:t>
      </w:r>
      <w:r w:rsidRPr="009E481D">
        <w:rPr>
          <w:rFonts w:ascii="Times New Roman" w:eastAsia="Times New Roman" w:hAnsi="Times New Roman" w:cs="Times New Roman"/>
          <w:color w:val="1C1E29"/>
        </w:rPr>
        <w:t xml:space="preserve">in the implementation of managed enrollment </w:t>
      </w:r>
      <w:r w:rsidR="00E27336">
        <w:rPr>
          <w:rFonts w:ascii="Times New Roman" w:eastAsia="Times New Roman" w:hAnsi="Times New Roman" w:cs="Times New Roman"/>
          <w:color w:val="1C1E29"/>
        </w:rPr>
        <w:t>continues</w:t>
      </w:r>
      <w:r w:rsidRPr="009E481D">
        <w:rPr>
          <w:rFonts w:ascii="Times New Roman" w:eastAsia="Times New Roman" w:hAnsi="Times New Roman" w:cs="Times New Roman"/>
          <w:color w:val="1C1E29"/>
        </w:rPr>
        <w:t>. </w:t>
      </w:r>
    </w:p>
    <w:p w14:paraId="6F3AD614" w14:textId="375766A4" w:rsidR="000A052A" w:rsidRPr="009E481D" w:rsidRDefault="000A052A" w:rsidP="000A052A">
      <w:pPr>
        <w:spacing w:after="100" w:afterAutospacing="1" w:line="240" w:lineRule="auto"/>
        <w:rPr>
          <w:rFonts w:ascii="Times New Roman" w:eastAsia="Times New Roman" w:hAnsi="Times New Roman" w:cs="Times New Roman"/>
        </w:rPr>
      </w:pPr>
      <w:r w:rsidRPr="009E481D">
        <w:rPr>
          <w:rFonts w:ascii="Times New Roman" w:eastAsia="Times New Roman" w:hAnsi="Times New Roman" w:cs="Times New Roman"/>
          <w:color w:val="1C1E29"/>
        </w:rPr>
        <w:t xml:space="preserve">ADWS/AES continued its focus on lead teacher professional development for Adult Education centers. The training requires programs to identify instructional leaders and targeted training on standards with the CCSS shifts, planning with data, active engagement, teacher competencies and teacher resources. This was a strategic professional development effort designed to provide alignment and consensus of Arkansas Adult Education instructional </w:t>
      </w:r>
      <w:r w:rsidR="00E27336">
        <w:rPr>
          <w:rFonts w:ascii="Times New Roman" w:eastAsia="Times New Roman" w:hAnsi="Times New Roman" w:cs="Times New Roman"/>
          <w:color w:val="1C1E29"/>
        </w:rPr>
        <w:t>b</w:t>
      </w:r>
      <w:r w:rsidRPr="009E481D">
        <w:rPr>
          <w:rFonts w:ascii="Times New Roman" w:eastAsia="Times New Roman" w:hAnsi="Times New Roman" w:cs="Times New Roman"/>
          <w:color w:val="1C1E29"/>
        </w:rPr>
        <w:t xml:space="preserve">est </w:t>
      </w:r>
      <w:r w:rsidR="00E27336">
        <w:rPr>
          <w:rFonts w:ascii="Times New Roman" w:eastAsia="Times New Roman" w:hAnsi="Times New Roman" w:cs="Times New Roman"/>
          <w:color w:val="1C1E29"/>
        </w:rPr>
        <w:t>p</w:t>
      </w:r>
      <w:r w:rsidRPr="009E481D">
        <w:rPr>
          <w:rFonts w:ascii="Times New Roman" w:eastAsia="Times New Roman" w:hAnsi="Times New Roman" w:cs="Times New Roman"/>
          <w:color w:val="1C1E29"/>
        </w:rPr>
        <w:t>ractices. </w:t>
      </w:r>
    </w:p>
    <w:p w14:paraId="3F33C27D" w14:textId="2F098097" w:rsidR="000A052A" w:rsidRPr="009E481D" w:rsidRDefault="000A052A" w:rsidP="000A052A">
      <w:pPr>
        <w:spacing w:after="100" w:afterAutospacing="1" w:line="240" w:lineRule="auto"/>
        <w:rPr>
          <w:rFonts w:ascii="Times New Roman" w:eastAsia="Times New Roman" w:hAnsi="Times New Roman" w:cs="Times New Roman"/>
          <w:color w:val="1C1E29"/>
        </w:rPr>
      </w:pPr>
      <w:r w:rsidRPr="009E481D">
        <w:rPr>
          <w:rFonts w:ascii="Times New Roman" w:eastAsia="Times New Roman" w:hAnsi="Times New Roman" w:cs="Times New Roman"/>
          <w:color w:val="1C1E29"/>
        </w:rPr>
        <w:lastRenderedPageBreak/>
        <w:t>In addition to continued efforts focusing on lead teacher professional development, ADWS/AES continued its participation with the national Teaching Skills that Matter initiative, and the TSTM National conference. ADWS/AES staff as well as the teachers that participated in the pilot group that began in 2019-2020 created trainings for teachers to use the skills</w:t>
      </w:r>
      <w:r w:rsidR="00594723">
        <w:rPr>
          <w:rFonts w:ascii="Times New Roman" w:eastAsia="Times New Roman" w:hAnsi="Times New Roman" w:cs="Times New Roman"/>
          <w:color w:val="1C1E29"/>
        </w:rPr>
        <w:t xml:space="preserve"> </w:t>
      </w:r>
      <w:r w:rsidRPr="009E481D">
        <w:rPr>
          <w:rFonts w:ascii="Times New Roman" w:eastAsia="Times New Roman" w:hAnsi="Times New Roman" w:cs="Times New Roman"/>
          <w:color w:val="1C1E29"/>
        </w:rPr>
        <w:t>and approaches. The state also created Health Literacy and Civic Education standards to pair with the Teaching Skills that Matter subject focus. This pilot helped focus programs to "intentional" course planning, data analysis, and evaluating teacher effectiveness. The integrated and contextualized approaches that TSTM lessons provided offered Arkansas teachers the ability to resolve course development issues, and isolation of skills. </w:t>
      </w:r>
    </w:p>
    <w:p w14:paraId="3FB90DC0" w14:textId="77777777" w:rsidR="000A052A" w:rsidRPr="009E481D" w:rsidRDefault="000A052A" w:rsidP="000A052A">
      <w:pPr>
        <w:spacing w:after="100" w:afterAutospacing="1" w:line="240" w:lineRule="auto"/>
        <w:rPr>
          <w:rFonts w:ascii="Times New Roman" w:eastAsia="Times New Roman" w:hAnsi="Times New Roman" w:cs="Times New Roman"/>
          <w:color w:val="1C1E29"/>
        </w:rPr>
      </w:pPr>
      <w:r w:rsidRPr="009E481D">
        <w:rPr>
          <w:rFonts w:ascii="Times New Roman" w:eastAsia="Times New Roman" w:hAnsi="Times New Roman" w:cs="Times New Roman"/>
          <w:color w:val="1C1E29"/>
        </w:rPr>
        <w:t xml:space="preserve">Another continuing initiative is the statewide implementation of Essential Education, an online learning system used for both in-person, distance learning, and hybrid classes. Essential Education was initially piloted in several programs from July 2019 through February 2020 and the success of the pilot resulted in adoption of Essential Education into all ADWS/AES centers and continues to be an effective learning platform for distance learners and traditional students alike. </w:t>
      </w:r>
    </w:p>
    <w:p w14:paraId="39515E82" w14:textId="77777777" w:rsidR="000A052A" w:rsidRPr="009E481D" w:rsidRDefault="000A052A" w:rsidP="000A052A">
      <w:pPr>
        <w:spacing w:after="100" w:afterAutospacing="1" w:line="240" w:lineRule="auto"/>
        <w:rPr>
          <w:rFonts w:ascii="Times New Roman" w:eastAsia="Times New Roman" w:hAnsi="Times New Roman" w:cs="Times New Roman"/>
          <w:color w:val="1C1E29"/>
        </w:rPr>
      </w:pPr>
      <w:r w:rsidRPr="009E481D">
        <w:rPr>
          <w:rFonts w:ascii="Times New Roman" w:eastAsia="Times New Roman" w:hAnsi="Times New Roman" w:cs="Times New Roman"/>
          <w:color w:val="1C1E29"/>
        </w:rPr>
        <w:t xml:space="preserve">In addition to Essential Education, seats and training for the TI-30XS Online Calculator Software were provided to programs by ADWS/AES as a way of improving remote math instruction. This was part of a continuing effort to provide resources and training to assist instructors in contextualizing their lessons in all subject areas. </w:t>
      </w:r>
    </w:p>
    <w:p w14:paraId="01A38051" w14:textId="3A278891" w:rsidR="000A052A" w:rsidRPr="009E481D" w:rsidRDefault="000A052A" w:rsidP="000A052A">
      <w:pPr>
        <w:spacing w:after="100" w:afterAutospacing="1" w:line="240" w:lineRule="auto"/>
        <w:rPr>
          <w:rFonts w:ascii="Times New Roman" w:eastAsia="Times New Roman" w:hAnsi="Times New Roman" w:cs="Times New Roman"/>
          <w:color w:val="1C1E29"/>
        </w:rPr>
      </w:pPr>
      <w:r w:rsidRPr="009E481D">
        <w:rPr>
          <w:rFonts w:ascii="Times New Roman" w:eastAsia="Times New Roman" w:hAnsi="Times New Roman" w:cs="Times New Roman"/>
          <w:color w:val="1C1E29"/>
        </w:rPr>
        <w:t>The advent of the COVID-19 pandemic brought a demand for educational adaptation with major adjustments in the field.  Fortunately, ADWS/AES had previously begun the training and expansion of distance learning in all centers</w:t>
      </w:r>
      <w:r w:rsidR="002F1626">
        <w:rPr>
          <w:rFonts w:ascii="Times New Roman" w:eastAsia="Times New Roman" w:hAnsi="Times New Roman" w:cs="Times New Roman"/>
          <w:color w:val="1C1E29"/>
        </w:rPr>
        <w:t xml:space="preserve"> </w:t>
      </w:r>
      <w:r w:rsidR="002F1626" w:rsidRPr="009E481D">
        <w:rPr>
          <w:rFonts w:ascii="Times New Roman" w:eastAsia="Times New Roman" w:hAnsi="Times New Roman" w:cs="Times New Roman"/>
          <w:color w:val="1C1E29"/>
        </w:rPr>
        <w:t>to</w:t>
      </w:r>
      <w:r w:rsidRPr="009E481D">
        <w:rPr>
          <w:rFonts w:ascii="Times New Roman" w:eastAsia="Times New Roman" w:hAnsi="Times New Roman" w:cs="Times New Roman"/>
          <w:color w:val="1C1E29"/>
        </w:rPr>
        <w:t xml:space="preserve"> remove barriers to learning due to schedule conflicts and/or transportation limitations.  Each center had been required to have at least one teacher specifically trained in distance learning use and implementation. There are now over 200 instructors trained and certified to teach </w:t>
      </w:r>
      <w:r w:rsidR="00594723">
        <w:rPr>
          <w:rFonts w:ascii="Times New Roman" w:eastAsia="Times New Roman" w:hAnsi="Times New Roman" w:cs="Times New Roman"/>
          <w:color w:val="1C1E29"/>
        </w:rPr>
        <w:t xml:space="preserve">via </w:t>
      </w:r>
      <w:r w:rsidRPr="009E481D">
        <w:rPr>
          <w:rFonts w:ascii="Times New Roman" w:eastAsia="Times New Roman" w:hAnsi="Times New Roman" w:cs="Times New Roman"/>
          <w:color w:val="1C1E29"/>
        </w:rPr>
        <w:t xml:space="preserve">distance learning across Arkansas, </w:t>
      </w:r>
      <w:r w:rsidR="00594723">
        <w:rPr>
          <w:rFonts w:ascii="Times New Roman" w:eastAsia="Times New Roman" w:hAnsi="Times New Roman" w:cs="Times New Roman"/>
          <w:color w:val="1C1E29"/>
        </w:rPr>
        <w:t xml:space="preserve">including staff </w:t>
      </w:r>
      <w:r w:rsidRPr="009E481D">
        <w:rPr>
          <w:rFonts w:ascii="Times New Roman" w:eastAsia="Times New Roman" w:hAnsi="Times New Roman" w:cs="Times New Roman"/>
          <w:color w:val="1C1E29"/>
        </w:rPr>
        <w:t>in every adult education program.</w:t>
      </w:r>
    </w:p>
    <w:p w14:paraId="787E43CB" w14:textId="2933FD58" w:rsidR="000A052A" w:rsidRPr="009E481D" w:rsidRDefault="000A052A" w:rsidP="000A052A">
      <w:pPr>
        <w:spacing w:after="100" w:afterAutospacing="1" w:line="240" w:lineRule="auto"/>
        <w:rPr>
          <w:rFonts w:ascii="Times New Roman" w:eastAsia="Times New Roman" w:hAnsi="Times New Roman" w:cs="Times New Roman"/>
          <w:color w:val="1C1E29"/>
        </w:rPr>
      </w:pPr>
      <w:r w:rsidRPr="009E481D">
        <w:rPr>
          <w:rFonts w:ascii="Times New Roman" w:eastAsia="Times New Roman" w:hAnsi="Times New Roman" w:cs="Times New Roman"/>
          <w:color w:val="1C1E29"/>
        </w:rPr>
        <w:t xml:space="preserve">The </w:t>
      </w:r>
      <w:r w:rsidR="00594723">
        <w:rPr>
          <w:rFonts w:ascii="Times New Roman" w:eastAsia="Times New Roman" w:hAnsi="Times New Roman" w:cs="Times New Roman"/>
          <w:color w:val="1C1E29"/>
        </w:rPr>
        <w:t>s</w:t>
      </w:r>
      <w:r w:rsidRPr="009E481D">
        <w:rPr>
          <w:rFonts w:ascii="Times New Roman" w:eastAsia="Times New Roman" w:hAnsi="Times New Roman" w:cs="Times New Roman"/>
          <w:color w:val="1C1E29"/>
        </w:rPr>
        <w:t xml:space="preserve">tate </w:t>
      </w:r>
      <w:r w:rsidR="00594723">
        <w:rPr>
          <w:rFonts w:ascii="Times New Roman" w:eastAsia="Times New Roman" w:hAnsi="Times New Roman" w:cs="Times New Roman"/>
          <w:color w:val="1C1E29"/>
        </w:rPr>
        <w:t xml:space="preserve">of Arkansas </w:t>
      </w:r>
      <w:r w:rsidRPr="009E481D">
        <w:rPr>
          <w:rFonts w:ascii="Times New Roman" w:eastAsia="Times New Roman" w:hAnsi="Times New Roman" w:cs="Times New Roman"/>
          <w:color w:val="1C1E29"/>
        </w:rPr>
        <w:t xml:space="preserve">continues to feel the effects of the COVID-19 pandemic, particularly in the area of student enrollment in local </w:t>
      </w:r>
      <w:r w:rsidRPr="002F1626">
        <w:rPr>
          <w:rFonts w:ascii="Times New Roman" w:eastAsia="Times New Roman" w:hAnsi="Times New Roman" w:cs="Times New Roman"/>
          <w:color w:val="1C1E29"/>
        </w:rPr>
        <w:t>ADWS/AES centers. In response to this challenge</w:t>
      </w:r>
      <w:r w:rsidR="00594723" w:rsidRPr="002F1626">
        <w:rPr>
          <w:rFonts w:ascii="Times New Roman" w:eastAsia="Times New Roman" w:hAnsi="Times New Roman" w:cs="Times New Roman"/>
          <w:color w:val="1C1E29"/>
        </w:rPr>
        <w:t>,</w:t>
      </w:r>
      <w:r w:rsidRPr="002F1626">
        <w:rPr>
          <w:rFonts w:ascii="Times New Roman" w:eastAsia="Times New Roman" w:hAnsi="Times New Roman" w:cs="Times New Roman"/>
          <w:color w:val="1C1E29"/>
        </w:rPr>
        <w:t xml:space="preserve"> ADWS/AES modified the annual Site Visit checklist </w:t>
      </w:r>
      <w:r w:rsidR="00594723" w:rsidRPr="002F1626">
        <w:rPr>
          <w:rFonts w:ascii="Times New Roman" w:eastAsia="Times New Roman" w:hAnsi="Times New Roman" w:cs="Times New Roman"/>
          <w:color w:val="1C1E29"/>
        </w:rPr>
        <w:t xml:space="preserve">for 2021-22 </w:t>
      </w:r>
      <w:r w:rsidRPr="002F1626">
        <w:rPr>
          <w:rFonts w:ascii="Times New Roman" w:eastAsia="Times New Roman" w:hAnsi="Times New Roman" w:cs="Times New Roman"/>
          <w:color w:val="1C1E29"/>
        </w:rPr>
        <w:t>to include a specific discussion of program recruitment and retention efforts in order to gather data about enrollment trends and allow for more targeted technical assistance in the areas of recruitment and retention. The</w:t>
      </w:r>
      <w:r w:rsidRPr="009E481D">
        <w:rPr>
          <w:rFonts w:ascii="Times New Roman" w:eastAsia="Times New Roman" w:hAnsi="Times New Roman" w:cs="Times New Roman"/>
          <w:color w:val="1C1E29"/>
        </w:rPr>
        <w:t xml:space="preserve"> renewed focus on student recruitment and retention will be a</w:t>
      </w:r>
      <w:r w:rsidR="00594723">
        <w:rPr>
          <w:rFonts w:ascii="Times New Roman" w:eastAsia="Times New Roman" w:hAnsi="Times New Roman" w:cs="Times New Roman"/>
          <w:color w:val="1C1E29"/>
        </w:rPr>
        <w:t>n</w:t>
      </w:r>
      <w:r w:rsidRPr="009E481D">
        <w:rPr>
          <w:rFonts w:ascii="Times New Roman" w:eastAsia="Times New Roman" w:hAnsi="Times New Roman" w:cs="Times New Roman"/>
          <w:color w:val="1C1E29"/>
        </w:rPr>
        <w:t xml:space="preserve"> ongoing discussion between ADWS/AES and local programs as they work to encourage more students to enroll in their programs. Programs continued to offer remote TABE and TABE CLAS-E testing, and several programs added GED Mobile units to better serve students impacted by COVID-19.</w:t>
      </w:r>
    </w:p>
    <w:p w14:paraId="1EFBAE92" w14:textId="75ACEB47" w:rsidR="000A052A" w:rsidRPr="009E481D" w:rsidRDefault="000A052A" w:rsidP="000A052A">
      <w:pPr>
        <w:spacing w:after="100" w:afterAutospacing="1" w:line="240" w:lineRule="auto"/>
        <w:rPr>
          <w:rFonts w:ascii="Times New Roman" w:eastAsia="Times New Roman" w:hAnsi="Times New Roman" w:cs="Times New Roman"/>
          <w:color w:val="1C1E29"/>
        </w:rPr>
      </w:pPr>
      <w:r w:rsidRPr="009E481D">
        <w:rPr>
          <w:rFonts w:ascii="Times New Roman" w:eastAsia="Times New Roman" w:hAnsi="Times New Roman" w:cs="Times New Roman"/>
          <w:color w:val="1C1E29"/>
        </w:rPr>
        <w:t xml:space="preserve">ADWS/AES also </w:t>
      </w:r>
      <w:r w:rsidR="002F1626">
        <w:rPr>
          <w:rFonts w:ascii="Times New Roman" w:eastAsia="Times New Roman" w:hAnsi="Times New Roman" w:cs="Times New Roman"/>
          <w:color w:val="1C1E29"/>
        </w:rPr>
        <w:t>implemented</w:t>
      </w:r>
      <w:r w:rsidRPr="009E481D">
        <w:rPr>
          <w:rFonts w:ascii="Times New Roman" w:eastAsia="Times New Roman" w:hAnsi="Times New Roman" w:cs="Times New Roman"/>
          <w:color w:val="1C1E29"/>
        </w:rPr>
        <w:t xml:space="preserve"> new curriculum for the Workforce Alliance for Growth in the Economy (WAGE</w:t>
      </w:r>
      <w:r w:rsidR="00594723">
        <w:rPr>
          <w:rFonts w:ascii="Times New Roman" w:eastAsia="Times New Roman" w:hAnsi="Times New Roman" w:cs="Times New Roman"/>
          <w:color w:val="1C1E29"/>
        </w:rPr>
        <w:t>™</w:t>
      </w:r>
      <w:r w:rsidRPr="009E481D">
        <w:rPr>
          <w:rFonts w:ascii="Times New Roman" w:eastAsia="Times New Roman" w:hAnsi="Times New Roman" w:cs="Times New Roman"/>
          <w:color w:val="1C1E29"/>
        </w:rPr>
        <w:t xml:space="preserve">) </w:t>
      </w:r>
      <w:r w:rsidR="00E525A2" w:rsidRPr="009E481D">
        <w:rPr>
          <w:rFonts w:ascii="Times New Roman" w:eastAsia="Times New Roman" w:hAnsi="Times New Roman" w:cs="Times New Roman"/>
          <w:color w:val="1C1E29"/>
        </w:rPr>
        <w:t>program and</w:t>
      </w:r>
      <w:r w:rsidRPr="009E481D">
        <w:rPr>
          <w:rFonts w:ascii="Times New Roman" w:eastAsia="Times New Roman" w:hAnsi="Times New Roman" w:cs="Times New Roman"/>
          <w:color w:val="1C1E29"/>
        </w:rPr>
        <w:t xml:space="preserve"> conducted regional trainings to aid teachers working to integrate workforce preparation and career pathways instruction into their lessons.</w:t>
      </w:r>
    </w:p>
    <w:p w14:paraId="655573D2" w14:textId="1A492DD0" w:rsidR="000A052A" w:rsidRPr="009E481D" w:rsidRDefault="000A052A" w:rsidP="008E4825">
      <w:pPr>
        <w:pStyle w:val="BodyText"/>
        <w:spacing w:before="56"/>
        <w:ind w:left="0" w:right="113"/>
        <w:rPr>
          <w:rFonts w:cs="Times New Roman"/>
          <w:sz w:val="22"/>
          <w:szCs w:val="22"/>
        </w:rPr>
      </w:pPr>
    </w:p>
    <w:p w14:paraId="394FCE9C" w14:textId="77777777" w:rsidR="000A052A" w:rsidRPr="009E481D" w:rsidRDefault="000A052A" w:rsidP="000A052A">
      <w:pPr>
        <w:pStyle w:val="NoSpacing"/>
        <w:spacing w:after="100" w:afterAutospacing="1"/>
        <w:rPr>
          <w:rFonts w:ascii="Times New Roman" w:hAnsi="Times New Roman" w:cs="Times New Roman"/>
        </w:rPr>
      </w:pPr>
      <w:bookmarkStart w:id="2" w:name="OLE_LINK1"/>
      <w:bookmarkStart w:id="3" w:name="OLE_LINK2"/>
      <w:r w:rsidRPr="009E481D">
        <w:rPr>
          <w:rFonts w:ascii="Times New Roman" w:hAnsi="Times New Roman" w:cs="Times New Roman"/>
          <w:b/>
          <w:bCs/>
          <w:u w:val="single"/>
        </w:rPr>
        <w:t>6. Programs for Corrections Education and the Education of Other Institutionalized Individuals</w:t>
      </w:r>
      <w:r w:rsidRPr="009E481D">
        <w:rPr>
          <w:rFonts w:ascii="Times New Roman" w:hAnsi="Times New Roman" w:cs="Times New Roman"/>
          <w:bCs/>
        </w:rPr>
        <w:t xml:space="preserve"> </w:t>
      </w:r>
      <w:r w:rsidRPr="009E481D">
        <w:rPr>
          <w:rFonts w:ascii="Times New Roman" w:hAnsi="Times New Roman" w:cs="Times New Roman"/>
        </w:rPr>
        <w:t>(AEFLA Section 225)</w:t>
      </w:r>
    </w:p>
    <w:bookmarkEnd w:id="2"/>
    <w:bookmarkEnd w:id="3"/>
    <w:p w14:paraId="45B5F935" w14:textId="77777777" w:rsidR="000A052A" w:rsidRPr="009E481D" w:rsidRDefault="000A052A" w:rsidP="000A052A">
      <w:pPr>
        <w:pStyle w:val="NoSpacing"/>
        <w:spacing w:after="100" w:afterAutospacing="1"/>
        <w:rPr>
          <w:rFonts w:ascii="Times New Roman" w:hAnsi="Times New Roman" w:cs="Times New Roman"/>
          <w:i/>
        </w:rPr>
      </w:pPr>
      <w:r w:rsidRPr="009E481D">
        <w:rPr>
          <w:rFonts w:ascii="Times New Roman" w:hAnsi="Times New Roman" w:cs="Times New Roman"/>
          <w:i/>
        </w:rPr>
        <w:t>What was the relative rate of recidivism for criminal offenders served? Please describe the methods and factors used in calculating the rate for this reporting period.</w:t>
      </w:r>
    </w:p>
    <w:p w14:paraId="71264B7B" w14:textId="77777777" w:rsidR="000A052A" w:rsidRPr="009E481D" w:rsidRDefault="000A052A" w:rsidP="000A052A">
      <w:pPr>
        <w:pStyle w:val="NoSpacing"/>
        <w:spacing w:after="100" w:afterAutospacing="1"/>
        <w:rPr>
          <w:rFonts w:ascii="Times New Roman" w:hAnsi="Times New Roman" w:cs="Times New Roman"/>
        </w:rPr>
      </w:pPr>
      <w:r w:rsidRPr="009E481D">
        <w:rPr>
          <w:rFonts w:ascii="Times New Roman" w:hAnsi="Times New Roman" w:cs="Times New Roman"/>
        </w:rPr>
        <w:t xml:space="preserve">In Arkansas, recidivism is calculated based on three major areas:  re-arrest, re-conviction, and re-incarceration within three years of intake to supervision during a three-year period following release from </w:t>
      </w:r>
      <w:r w:rsidRPr="009E481D">
        <w:rPr>
          <w:rFonts w:ascii="Times New Roman" w:hAnsi="Times New Roman" w:cs="Times New Roman"/>
        </w:rPr>
        <w:lastRenderedPageBreak/>
        <w:t xml:space="preserve">custody. Recidivism rates are calculated using the nationwide correctional standard timeframes of 6-, 12-, and 36-month follow-up periods.  When examining recidivism rates, factors such as the released inmate’s inability to obtain employment, difficulty in finding a place to live, lack of support, impulsiveness, association with other criminals and lack of transportation influence the likelihood of a successful return to society. Personal characteristics such as age, gender, racial/ethnic groups, etc. also appear to impact recidivism. </w:t>
      </w:r>
    </w:p>
    <w:p w14:paraId="652A96BB" w14:textId="4E11D593" w:rsidR="000A052A" w:rsidRPr="009E481D" w:rsidRDefault="000A052A" w:rsidP="000A052A">
      <w:pPr>
        <w:pStyle w:val="NoSpacing"/>
        <w:spacing w:after="100" w:afterAutospacing="1"/>
        <w:rPr>
          <w:rFonts w:ascii="Times New Roman" w:hAnsi="Times New Roman" w:cs="Times New Roman"/>
        </w:rPr>
      </w:pPr>
      <w:r w:rsidRPr="009E481D">
        <w:rPr>
          <w:rFonts w:ascii="Times New Roman" w:hAnsi="Times New Roman" w:cs="Times New Roman"/>
        </w:rPr>
        <w:t>The Arkansas Department of Corrections (ADC), which operates prison units, released a</w:t>
      </w:r>
      <w:r w:rsidR="00353686">
        <w:rPr>
          <w:rFonts w:ascii="Times New Roman" w:hAnsi="Times New Roman" w:cs="Times New Roman"/>
        </w:rPr>
        <w:t>n</w:t>
      </w:r>
      <w:r w:rsidRPr="009E481D">
        <w:rPr>
          <w:rFonts w:ascii="Times New Roman" w:hAnsi="Times New Roman" w:cs="Times New Roman"/>
        </w:rPr>
        <w:t xml:space="preserve"> April 2021 report based on the findings from the 2016 Release Cohorts which included all offenders released from an Arkansas Department of Corrections (ADC) facility, Arkansas Community Corrections (ACC) facility or who flattened their sentence from January 1, </w:t>
      </w:r>
      <w:r w:rsidR="003531BD" w:rsidRPr="009E481D">
        <w:rPr>
          <w:rFonts w:ascii="Times New Roman" w:hAnsi="Times New Roman" w:cs="Times New Roman"/>
        </w:rPr>
        <w:t>2016,</w:t>
      </w:r>
      <w:r w:rsidRPr="009E481D">
        <w:rPr>
          <w:rFonts w:ascii="Times New Roman" w:hAnsi="Times New Roman" w:cs="Times New Roman"/>
        </w:rPr>
        <w:t xml:space="preserve"> to December 31, 2016. This study shows that the DOC’s 3-year recidivism rate is 47.49% out of 11,147 offenders released during CY2016. For offenders released in 2016, those with a GED at time of release demonstrated the highest 3-year recidivism overall, with an average recidivism rate across all facilities of 54.71%; however, not all of those who were released with a GED were provided services directly by ADWS/AES, or they could have had already earned a GED upon entry to the facility. For offenders who went through GED programs within their respective facility, there were 497 releases who attained their GED over a span of three years prior to their release. The 3-year recidivism rate for this cohort was 36.82%. </w:t>
      </w:r>
    </w:p>
    <w:p w14:paraId="2DE57740" w14:textId="1D3B49A9" w:rsidR="000A052A" w:rsidRPr="009E481D" w:rsidRDefault="000A052A" w:rsidP="000A052A">
      <w:pPr>
        <w:rPr>
          <w:rFonts w:ascii="Times New Roman" w:hAnsi="Times New Roman" w:cs="Times New Roman"/>
        </w:rPr>
      </w:pPr>
      <w:r w:rsidRPr="009E481D">
        <w:rPr>
          <w:rFonts w:ascii="Times New Roman" w:hAnsi="Times New Roman" w:cs="Times New Roman"/>
        </w:rPr>
        <w:t>Currently, the ADWS/AES provides services in 40 centers, including county jails, state and federal prisons, detention centers, reentry facilities, and community corrections centers. In the 2020-21 fiscal year, there were 666 participants in correctional facilities with a Measurable Skill Gain (MSG) rate of 53%. Out of those who earned an MSG, 99 attained their GED, 243 achieved at least one Educational Functioning Level Gain, and 7 earned credentials while enrolled in Integrated Education and Training (IET)</w:t>
      </w:r>
      <w:r w:rsidR="00353686">
        <w:rPr>
          <w:rFonts w:ascii="Times New Roman" w:hAnsi="Times New Roman" w:cs="Times New Roman"/>
        </w:rPr>
        <w:t xml:space="preserve"> programs</w:t>
      </w:r>
      <w:r w:rsidRPr="009E481D">
        <w:rPr>
          <w:rFonts w:ascii="Times New Roman" w:hAnsi="Times New Roman" w:cs="Times New Roman"/>
        </w:rPr>
        <w:t>.</w:t>
      </w:r>
    </w:p>
    <w:p w14:paraId="046F34F8" w14:textId="77777777" w:rsidR="000A052A" w:rsidRPr="009E481D" w:rsidRDefault="000A052A" w:rsidP="008E4825">
      <w:pPr>
        <w:pStyle w:val="BodyText"/>
        <w:spacing w:before="56"/>
        <w:ind w:left="0" w:right="113"/>
        <w:rPr>
          <w:rFonts w:cs="Times New Roman"/>
          <w:sz w:val="22"/>
          <w:szCs w:val="22"/>
        </w:rPr>
      </w:pPr>
    </w:p>
    <w:sectPr w:rsidR="000A052A" w:rsidRPr="009E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026B"/>
    <w:multiLevelType w:val="hybridMultilevel"/>
    <w:tmpl w:val="FFC24DCC"/>
    <w:lvl w:ilvl="0" w:tplc="ED660152">
      <w:start w:val="1"/>
      <w:numFmt w:val="decimal"/>
      <w:lvlText w:val="%1."/>
      <w:lvlJc w:val="left"/>
      <w:pPr>
        <w:ind w:left="1200" w:hanging="360"/>
        <w:jc w:val="right"/>
      </w:pPr>
      <w:rPr>
        <w:rFonts w:ascii="Times New Roman" w:eastAsia="Times New Roman" w:hAnsi="Times New Roman" w:hint="default"/>
        <w:b/>
        <w:bCs/>
        <w:sz w:val="24"/>
        <w:szCs w:val="24"/>
      </w:rPr>
    </w:lvl>
    <w:lvl w:ilvl="1" w:tplc="049ACF16">
      <w:start w:val="1"/>
      <w:numFmt w:val="bullet"/>
      <w:lvlText w:val=""/>
      <w:lvlJc w:val="left"/>
      <w:pPr>
        <w:ind w:left="1920" w:hanging="360"/>
      </w:pPr>
      <w:rPr>
        <w:rFonts w:ascii="Symbol" w:eastAsia="Symbol" w:hAnsi="Symbol" w:hint="default"/>
        <w:sz w:val="24"/>
        <w:szCs w:val="24"/>
      </w:rPr>
    </w:lvl>
    <w:lvl w:ilvl="2" w:tplc="0174023A">
      <w:start w:val="1"/>
      <w:numFmt w:val="bullet"/>
      <w:lvlText w:val="•"/>
      <w:lvlJc w:val="left"/>
      <w:pPr>
        <w:ind w:left="2355" w:hanging="360"/>
      </w:pPr>
      <w:rPr>
        <w:rFonts w:hint="default"/>
      </w:rPr>
    </w:lvl>
    <w:lvl w:ilvl="3" w:tplc="C106AF94">
      <w:start w:val="1"/>
      <w:numFmt w:val="bullet"/>
      <w:lvlText w:val="•"/>
      <w:lvlJc w:val="left"/>
      <w:pPr>
        <w:ind w:left="2789" w:hanging="360"/>
      </w:pPr>
      <w:rPr>
        <w:rFonts w:hint="default"/>
      </w:rPr>
    </w:lvl>
    <w:lvl w:ilvl="4" w:tplc="42B6CB3E">
      <w:start w:val="1"/>
      <w:numFmt w:val="bullet"/>
      <w:lvlText w:val="•"/>
      <w:lvlJc w:val="left"/>
      <w:pPr>
        <w:ind w:left="3224" w:hanging="360"/>
      </w:pPr>
      <w:rPr>
        <w:rFonts w:hint="default"/>
      </w:rPr>
    </w:lvl>
    <w:lvl w:ilvl="5" w:tplc="9E90AAC8">
      <w:start w:val="1"/>
      <w:numFmt w:val="bullet"/>
      <w:lvlText w:val="•"/>
      <w:lvlJc w:val="left"/>
      <w:pPr>
        <w:ind w:left="3659" w:hanging="360"/>
      </w:pPr>
      <w:rPr>
        <w:rFonts w:hint="default"/>
      </w:rPr>
    </w:lvl>
    <w:lvl w:ilvl="6" w:tplc="2F4851E8">
      <w:start w:val="1"/>
      <w:numFmt w:val="bullet"/>
      <w:lvlText w:val="•"/>
      <w:lvlJc w:val="left"/>
      <w:pPr>
        <w:ind w:left="4093" w:hanging="360"/>
      </w:pPr>
      <w:rPr>
        <w:rFonts w:hint="default"/>
      </w:rPr>
    </w:lvl>
    <w:lvl w:ilvl="7" w:tplc="B8ECEA30">
      <w:start w:val="1"/>
      <w:numFmt w:val="bullet"/>
      <w:lvlText w:val="•"/>
      <w:lvlJc w:val="left"/>
      <w:pPr>
        <w:ind w:left="4528" w:hanging="360"/>
      </w:pPr>
      <w:rPr>
        <w:rFonts w:hint="default"/>
      </w:rPr>
    </w:lvl>
    <w:lvl w:ilvl="8" w:tplc="CDD4D0E6">
      <w:start w:val="1"/>
      <w:numFmt w:val="bullet"/>
      <w:lvlText w:val="•"/>
      <w:lvlJc w:val="left"/>
      <w:pPr>
        <w:ind w:left="496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78"/>
    <w:rsid w:val="00043DCA"/>
    <w:rsid w:val="0008031F"/>
    <w:rsid w:val="000A052A"/>
    <w:rsid w:val="000B7593"/>
    <w:rsid w:val="00143336"/>
    <w:rsid w:val="001A5693"/>
    <w:rsid w:val="00245F02"/>
    <w:rsid w:val="00290219"/>
    <w:rsid w:val="002D382B"/>
    <w:rsid w:val="002F1626"/>
    <w:rsid w:val="003531BD"/>
    <w:rsid w:val="00353686"/>
    <w:rsid w:val="003C6CF5"/>
    <w:rsid w:val="003E2AD1"/>
    <w:rsid w:val="00402CB4"/>
    <w:rsid w:val="00434278"/>
    <w:rsid w:val="004550C0"/>
    <w:rsid w:val="004D79EA"/>
    <w:rsid w:val="00556063"/>
    <w:rsid w:val="00594723"/>
    <w:rsid w:val="00600877"/>
    <w:rsid w:val="006701D4"/>
    <w:rsid w:val="00681B2B"/>
    <w:rsid w:val="006D72D1"/>
    <w:rsid w:val="00771ED8"/>
    <w:rsid w:val="007A10C1"/>
    <w:rsid w:val="007A40CA"/>
    <w:rsid w:val="008C0F00"/>
    <w:rsid w:val="008C1EFD"/>
    <w:rsid w:val="008E4825"/>
    <w:rsid w:val="00951C0C"/>
    <w:rsid w:val="00970FF4"/>
    <w:rsid w:val="009B0C17"/>
    <w:rsid w:val="009E481D"/>
    <w:rsid w:val="00A017A8"/>
    <w:rsid w:val="00A830CC"/>
    <w:rsid w:val="00AA24CB"/>
    <w:rsid w:val="00B22688"/>
    <w:rsid w:val="00B63D47"/>
    <w:rsid w:val="00BA16DF"/>
    <w:rsid w:val="00BA679D"/>
    <w:rsid w:val="00BB607A"/>
    <w:rsid w:val="00BB7FAB"/>
    <w:rsid w:val="00BC483B"/>
    <w:rsid w:val="00BC7846"/>
    <w:rsid w:val="00BE36D1"/>
    <w:rsid w:val="00C12516"/>
    <w:rsid w:val="00C612D9"/>
    <w:rsid w:val="00C86C9F"/>
    <w:rsid w:val="00D404D7"/>
    <w:rsid w:val="00D76600"/>
    <w:rsid w:val="00DB16F7"/>
    <w:rsid w:val="00E27336"/>
    <w:rsid w:val="00E525A2"/>
    <w:rsid w:val="00E95B72"/>
    <w:rsid w:val="00F11BFB"/>
    <w:rsid w:val="00F54064"/>
    <w:rsid w:val="00F74D91"/>
    <w:rsid w:val="00F9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EA95"/>
  <w15:chartTrackingRefBased/>
  <w15:docId w15:val="{D4CD9789-BFDE-4099-89B2-82BFB3A2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4825"/>
    <w:pPr>
      <w:widowControl w:val="0"/>
      <w:spacing w:before="69" w:after="0" w:line="240" w:lineRule="auto"/>
      <w:ind w:left="46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063"/>
    <w:pPr>
      <w:spacing w:after="0" w:line="240" w:lineRule="auto"/>
    </w:pPr>
  </w:style>
  <w:style w:type="character" w:customStyle="1" w:styleId="Heading1Char">
    <w:name w:val="Heading 1 Char"/>
    <w:basedOn w:val="DefaultParagraphFont"/>
    <w:link w:val="Heading1"/>
    <w:uiPriority w:val="9"/>
    <w:rsid w:val="008E4825"/>
    <w:rPr>
      <w:rFonts w:ascii="Times New Roman" w:eastAsia="Times New Roman" w:hAnsi="Times New Roman"/>
      <w:b/>
      <w:bCs/>
      <w:sz w:val="24"/>
      <w:szCs w:val="24"/>
    </w:rPr>
  </w:style>
  <w:style w:type="paragraph" w:styleId="NormalWeb">
    <w:name w:val="Normal (Web)"/>
    <w:basedOn w:val="Normal"/>
    <w:uiPriority w:val="99"/>
    <w:semiHidden/>
    <w:unhideWhenUsed/>
    <w:rsid w:val="008E48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4825"/>
    <w:rPr>
      <w:i/>
      <w:iCs/>
    </w:rPr>
  </w:style>
  <w:style w:type="paragraph" w:styleId="BodyText">
    <w:name w:val="Body Text"/>
    <w:basedOn w:val="Normal"/>
    <w:link w:val="BodyTextChar"/>
    <w:uiPriority w:val="1"/>
    <w:qFormat/>
    <w:rsid w:val="008E4825"/>
    <w:pPr>
      <w:widowControl w:val="0"/>
      <w:spacing w:after="0" w:line="240" w:lineRule="auto"/>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E4825"/>
    <w:rPr>
      <w:rFonts w:ascii="Times New Roman" w:eastAsia="Times New Roman" w:hAnsi="Times New Roman"/>
      <w:sz w:val="24"/>
      <w:szCs w:val="24"/>
    </w:rPr>
  </w:style>
  <w:style w:type="character" w:styleId="Hyperlink">
    <w:name w:val="Hyperlink"/>
    <w:basedOn w:val="DefaultParagraphFont"/>
    <w:uiPriority w:val="99"/>
    <w:unhideWhenUsed/>
    <w:rsid w:val="00F11BFB"/>
    <w:rPr>
      <w:color w:val="0563C1" w:themeColor="hyperlink"/>
      <w:u w:val="single"/>
    </w:rPr>
  </w:style>
  <w:style w:type="character" w:styleId="UnresolvedMention">
    <w:name w:val="Unresolved Mention"/>
    <w:basedOn w:val="DefaultParagraphFont"/>
    <w:uiPriority w:val="99"/>
    <w:semiHidden/>
    <w:unhideWhenUsed/>
    <w:rsid w:val="00F11BFB"/>
    <w:rPr>
      <w:color w:val="605E5C"/>
      <w:shd w:val="clear" w:color="auto" w:fill="E1DFDD"/>
    </w:rPr>
  </w:style>
  <w:style w:type="paragraph" w:customStyle="1" w:styleId="CM10">
    <w:name w:val="CM10"/>
    <w:basedOn w:val="Normal"/>
    <w:next w:val="Normal"/>
    <w:uiPriority w:val="99"/>
    <w:rsid w:val="00043DCA"/>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DB1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careereducation.org/about/adult-edu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8C64-E364-4331-BC95-C4AE626F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5515</Words>
  <Characters>31440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dc:description/>
  <cp:lastModifiedBy>Jon Lee</cp:lastModifiedBy>
  <cp:revision>3</cp:revision>
  <dcterms:created xsi:type="dcterms:W3CDTF">2022-03-08T22:47:00Z</dcterms:created>
  <dcterms:modified xsi:type="dcterms:W3CDTF">2022-03-08T22:53:00Z</dcterms:modified>
</cp:coreProperties>
</file>