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BB84" w14:textId="77777777" w:rsidR="00935DAE" w:rsidRPr="0060206B" w:rsidRDefault="00935DAE" w:rsidP="00B55B73">
      <w:pPr>
        <w:pBdr>
          <w:top w:val="single" w:sz="4" w:space="1" w:color="auto"/>
          <w:left w:val="single" w:sz="4" w:space="4" w:color="auto"/>
          <w:bottom w:val="single" w:sz="4" w:space="1" w:color="auto"/>
          <w:right w:val="single" w:sz="4" w:space="4" w:color="auto"/>
        </w:pBdr>
        <w:shd w:val="clear" w:color="auto" w:fill="D0CECE" w:themeFill="background2" w:themeFillShade="E6"/>
        <w:jc w:val="both"/>
        <w:rPr>
          <w:b/>
        </w:rPr>
      </w:pPr>
      <w:r w:rsidRPr="0060206B">
        <w:rPr>
          <w:b/>
        </w:rPr>
        <w:t>State Leadership Funds (AEFLA Section 223)</w:t>
      </w:r>
    </w:p>
    <w:p w14:paraId="63C5C04B" w14:textId="0CF25AC2" w:rsidR="00935DAE" w:rsidRPr="0060206B" w:rsidRDefault="00935DAE" w:rsidP="00B55B73">
      <w:pPr>
        <w:pBdr>
          <w:top w:val="single" w:sz="4" w:space="1" w:color="auto"/>
          <w:left w:val="single" w:sz="4" w:space="4" w:color="auto"/>
          <w:bottom w:val="single" w:sz="4" w:space="1" w:color="auto"/>
          <w:right w:val="single" w:sz="4" w:space="4" w:color="auto"/>
        </w:pBdr>
        <w:shd w:val="clear" w:color="auto" w:fill="D0CECE" w:themeFill="background2" w:themeFillShade="E6"/>
        <w:jc w:val="both"/>
        <w:rPr>
          <w:b/>
          <w:i/>
          <w:sz w:val="20"/>
          <w:szCs w:val="20"/>
        </w:rPr>
      </w:pPr>
      <w:r w:rsidRPr="0060206B">
        <w:rPr>
          <w:rFonts w:cs="Times New Roman"/>
          <w:b/>
          <w:i/>
          <w:sz w:val="20"/>
          <w:szCs w:val="20"/>
        </w:rPr>
        <w:t xml:space="preserve">(A) Describe how the State has used funds made available under section 223 (State Leadership activities) for each </w:t>
      </w:r>
      <w:r w:rsidR="003A389D">
        <w:rPr>
          <w:rFonts w:cs="Times New Roman"/>
          <w:b/>
          <w:i/>
          <w:sz w:val="20"/>
          <w:szCs w:val="20"/>
        </w:rPr>
        <w:t xml:space="preserve">of </w:t>
      </w:r>
      <w:r w:rsidRPr="0060206B">
        <w:rPr>
          <w:rFonts w:cs="Times New Roman"/>
          <w:b/>
          <w:i/>
          <w:sz w:val="20"/>
          <w:szCs w:val="20"/>
        </w:rPr>
        <w:t>the following required activities:</w:t>
      </w:r>
    </w:p>
    <w:p w14:paraId="08F5C562" w14:textId="77777777" w:rsidR="00E64317" w:rsidRPr="00B00C52" w:rsidRDefault="00E64317" w:rsidP="00E64317">
      <w:pPr>
        <w:shd w:val="clear" w:color="auto" w:fill="FFFFFF" w:themeFill="background1"/>
        <w:autoSpaceDE w:val="0"/>
        <w:autoSpaceDN w:val="0"/>
        <w:adjustRightInd w:val="0"/>
        <w:jc w:val="both"/>
        <w:rPr>
          <w:rFonts w:cs="Times New Roman"/>
          <w:i/>
          <w:sz w:val="20"/>
          <w:szCs w:val="20"/>
        </w:rPr>
      </w:pPr>
    </w:p>
    <w:p w14:paraId="23F481DD" w14:textId="4C23D160" w:rsidR="00E64317" w:rsidRPr="00B70CD9" w:rsidRDefault="00A74870" w:rsidP="00B70CD9">
      <w:pPr>
        <w:pStyle w:val="ListParagraph"/>
        <w:widowControl/>
        <w:numPr>
          <w:ilvl w:val="0"/>
          <w:numId w:val="1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both"/>
        <w:rPr>
          <w:i/>
          <w:iCs/>
        </w:rPr>
      </w:pPr>
      <w:r w:rsidRPr="00B70CD9">
        <w:rPr>
          <w:rFonts w:cstheme="minorHAnsi"/>
          <w:i/>
          <w:iCs/>
        </w:rPr>
        <w:t>Alignment</w:t>
      </w:r>
      <w:r w:rsidR="00E64317" w:rsidRPr="00B70CD9">
        <w:rPr>
          <w:rFonts w:cstheme="minorHAnsi"/>
          <w:i/>
          <w:iCs/>
        </w:rPr>
        <w:t xml:space="preserve"> </w:t>
      </w:r>
      <w:r w:rsidR="00E64317" w:rsidRPr="00B70CD9">
        <w:rPr>
          <w:rFonts w:cs="Times New Roman"/>
          <w:i/>
          <w:iCs/>
        </w:rPr>
        <w:t>of adult education and literacy activities with other one-stop required partners to implement the strategies in the Unified or Combined State Plan as described in section 223(1)(a).</w:t>
      </w:r>
    </w:p>
    <w:p w14:paraId="79753ACD" w14:textId="7626B7AD" w:rsidR="00935DAE" w:rsidRPr="00935DAE" w:rsidRDefault="00584B75" w:rsidP="00935DAE">
      <w:pPr>
        <w:pStyle w:val="BodyText"/>
        <w:tabs>
          <w:tab w:val="left" w:pos="821"/>
        </w:tabs>
        <w:ind w:left="0" w:right="240"/>
        <w:jc w:val="both"/>
        <w:rPr>
          <w:rFonts w:asciiTheme="minorHAnsi" w:hAnsiTheme="minorHAnsi" w:cstheme="minorHAnsi"/>
          <w:sz w:val="22"/>
          <w:szCs w:val="22"/>
        </w:rPr>
      </w:pPr>
      <w:r>
        <w:rPr>
          <w:rFonts w:asciiTheme="minorHAnsi" w:hAnsiTheme="minorHAnsi" w:cstheme="minorHAnsi"/>
          <w:sz w:val="22"/>
          <w:szCs w:val="22"/>
        </w:rPr>
        <w:t xml:space="preserve"> </w:t>
      </w:r>
    </w:p>
    <w:p w14:paraId="29D44263" w14:textId="4475309C" w:rsidR="002D4028" w:rsidRPr="00B1184C" w:rsidRDefault="00AC4D38" w:rsidP="00935DAE">
      <w:pPr>
        <w:pStyle w:val="BodyText"/>
        <w:tabs>
          <w:tab w:val="left" w:pos="821"/>
        </w:tabs>
        <w:ind w:left="0" w:right="240"/>
        <w:jc w:val="both"/>
        <w:rPr>
          <w:rFonts w:asciiTheme="minorHAnsi" w:hAnsiTheme="minorHAnsi" w:cstheme="minorHAnsi"/>
          <w:sz w:val="22"/>
          <w:szCs w:val="22"/>
        </w:rPr>
      </w:pPr>
      <w:r>
        <w:rPr>
          <w:rFonts w:asciiTheme="minorHAnsi" w:hAnsiTheme="minorHAnsi" w:cstheme="minorHAnsi"/>
          <w:sz w:val="22"/>
          <w:szCs w:val="22"/>
        </w:rPr>
        <w:t>Alabama Adult Education, a division of the Alabama Community College System, along with the Workforce Innovation and Opportunity Act</w:t>
      </w:r>
      <w:r w:rsidR="00E12114">
        <w:rPr>
          <w:rFonts w:asciiTheme="minorHAnsi" w:hAnsiTheme="minorHAnsi" w:cstheme="minorHAnsi"/>
          <w:sz w:val="22"/>
          <w:szCs w:val="22"/>
        </w:rPr>
        <w:t xml:space="preserve"> (WIOA)</w:t>
      </w:r>
      <w:r>
        <w:rPr>
          <w:rFonts w:asciiTheme="minorHAnsi" w:hAnsiTheme="minorHAnsi" w:cstheme="minorHAnsi"/>
          <w:sz w:val="22"/>
          <w:szCs w:val="22"/>
        </w:rPr>
        <w:t xml:space="preserve"> partners, strengthened efforts d</w:t>
      </w:r>
      <w:r w:rsidR="00F52E9D" w:rsidRPr="00E8716B">
        <w:rPr>
          <w:rFonts w:asciiTheme="minorHAnsi" w:hAnsiTheme="minorHAnsi" w:cstheme="minorHAnsi"/>
          <w:sz w:val="22"/>
          <w:szCs w:val="22"/>
        </w:rPr>
        <w:t>uring PY 2020-2021</w:t>
      </w:r>
      <w:r>
        <w:rPr>
          <w:rFonts w:asciiTheme="minorHAnsi" w:hAnsiTheme="minorHAnsi" w:cstheme="minorHAnsi"/>
          <w:sz w:val="22"/>
          <w:szCs w:val="22"/>
        </w:rPr>
        <w:t xml:space="preserve"> to minimize the impact of the COVID</w:t>
      </w:r>
      <w:r w:rsidR="00C94AE2">
        <w:rPr>
          <w:rFonts w:asciiTheme="minorHAnsi" w:hAnsiTheme="minorHAnsi" w:cstheme="minorHAnsi"/>
          <w:sz w:val="22"/>
          <w:szCs w:val="22"/>
        </w:rPr>
        <w:t>-19</w:t>
      </w:r>
      <w:r w:rsidR="003A389D">
        <w:rPr>
          <w:rFonts w:asciiTheme="minorHAnsi" w:hAnsiTheme="minorHAnsi" w:cstheme="minorHAnsi"/>
          <w:sz w:val="22"/>
          <w:szCs w:val="22"/>
        </w:rPr>
        <w:t xml:space="preserve"> pandemic on</w:t>
      </w:r>
      <w:r>
        <w:rPr>
          <w:rFonts w:asciiTheme="minorHAnsi" w:hAnsiTheme="minorHAnsi" w:cstheme="minorHAnsi"/>
          <w:sz w:val="22"/>
          <w:szCs w:val="22"/>
        </w:rPr>
        <w:t xml:space="preserve"> our </w:t>
      </w:r>
      <w:r w:rsidR="00C94AE2">
        <w:rPr>
          <w:rFonts w:asciiTheme="minorHAnsi" w:hAnsiTheme="minorHAnsi" w:cstheme="minorHAnsi"/>
          <w:sz w:val="22"/>
          <w:szCs w:val="22"/>
        </w:rPr>
        <w:t xml:space="preserve">most vulnerable </w:t>
      </w:r>
      <w:r>
        <w:rPr>
          <w:rFonts w:asciiTheme="minorHAnsi" w:hAnsiTheme="minorHAnsi" w:cstheme="minorHAnsi"/>
          <w:sz w:val="22"/>
          <w:szCs w:val="22"/>
        </w:rPr>
        <w:t xml:space="preserve">citizens by reimagining our workforce system. </w:t>
      </w:r>
      <w:r w:rsidR="00F52E9D" w:rsidRPr="00E8716B">
        <w:rPr>
          <w:rFonts w:asciiTheme="minorHAnsi" w:hAnsiTheme="minorHAnsi" w:cstheme="minorHAnsi"/>
          <w:sz w:val="22"/>
          <w:szCs w:val="22"/>
        </w:rPr>
        <w:t xml:space="preserve"> </w:t>
      </w:r>
      <w:r w:rsidR="00C94AE2">
        <w:rPr>
          <w:rFonts w:asciiTheme="minorHAnsi" w:hAnsiTheme="minorHAnsi" w:cstheme="minorHAnsi"/>
          <w:sz w:val="22"/>
          <w:szCs w:val="22"/>
        </w:rPr>
        <w:t>Alabama applied for and was awarded the Reimagine Workforce</w:t>
      </w:r>
      <w:r w:rsidR="00E12114">
        <w:rPr>
          <w:rFonts w:asciiTheme="minorHAnsi" w:hAnsiTheme="minorHAnsi" w:cstheme="minorHAnsi"/>
          <w:sz w:val="22"/>
          <w:szCs w:val="22"/>
        </w:rPr>
        <w:t xml:space="preserve"> Preparation</w:t>
      </w:r>
      <w:r w:rsidR="009527C7">
        <w:rPr>
          <w:rFonts w:asciiTheme="minorHAnsi" w:hAnsiTheme="minorHAnsi" w:cstheme="minorHAnsi"/>
          <w:sz w:val="22"/>
          <w:szCs w:val="22"/>
        </w:rPr>
        <w:t xml:space="preserve"> (RWP)</w:t>
      </w:r>
      <w:r w:rsidR="00E12114">
        <w:rPr>
          <w:rFonts w:asciiTheme="minorHAnsi" w:hAnsiTheme="minorHAnsi" w:cstheme="minorHAnsi"/>
          <w:sz w:val="22"/>
          <w:szCs w:val="22"/>
        </w:rPr>
        <w:t xml:space="preserve"> grant</w:t>
      </w:r>
      <w:r w:rsidR="00EA5126">
        <w:rPr>
          <w:rFonts w:asciiTheme="minorHAnsi" w:hAnsiTheme="minorHAnsi" w:cstheme="minorHAnsi"/>
          <w:sz w:val="22"/>
          <w:szCs w:val="22"/>
        </w:rPr>
        <w:t xml:space="preserve"> which we </w:t>
      </w:r>
      <w:r w:rsidR="00934D19">
        <w:rPr>
          <w:rFonts w:asciiTheme="minorHAnsi" w:hAnsiTheme="minorHAnsi" w:cstheme="minorHAnsi"/>
          <w:sz w:val="22"/>
          <w:szCs w:val="22"/>
        </w:rPr>
        <w:t>call</w:t>
      </w:r>
      <w:r w:rsidR="00EA5126">
        <w:rPr>
          <w:rFonts w:asciiTheme="minorHAnsi" w:hAnsiTheme="minorHAnsi" w:cstheme="minorHAnsi"/>
          <w:sz w:val="22"/>
          <w:szCs w:val="22"/>
        </w:rPr>
        <w:t xml:space="preserve"> the Alabama Workforce Stabilization Program (AWSP). </w:t>
      </w:r>
      <w:r w:rsidR="00F92E24">
        <w:rPr>
          <w:rFonts w:asciiTheme="minorHAnsi" w:hAnsiTheme="minorHAnsi" w:cstheme="minorHAnsi"/>
          <w:sz w:val="22"/>
          <w:szCs w:val="22"/>
        </w:rPr>
        <w:t xml:space="preserve"> </w:t>
      </w:r>
      <w:r w:rsidR="00F92E24" w:rsidRPr="00E8716B">
        <w:rPr>
          <w:rFonts w:asciiTheme="minorHAnsi" w:hAnsiTheme="minorHAnsi" w:cstheme="minorHAnsi"/>
          <w:sz w:val="22"/>
          <w:szCs w:val="22"/>
        </w:rPr>
        <w:t>Many programs were restricted to virtual learning</w:t>
      </w:r>
      <w:r w:rsidR="00F92E24">
        <w:rPr>
          <w:rFonts w:asciiTheme="minorHAnsi" w:hAnsiTheme="minorHAnsi" w:cstheme="minorHAnsi"/>
          <w:sz w:val="22"/>
          <w:szCs w:val="22"/>
        </w:rPr>
        <w:t xml:space="preserve"> a</w:t>
      </w:r>
      <w:r w:rsidR="00F92E24" w:rsidRPr="00E8716B">
        <w:rPr>
          <w:rFonts w:asciiTheme="minorHAnsi" w:hAnsiTheme="minorHAnsi" w:cstheme="minorHAnsi"/>
          <w:sz w:val="22"/>
          <w:szCs w:val="22"/>
        </w:rPr>
        <w:t xml:space="preserve">s program participants were still unsure of how to maneuver during these uncertain times. </w:t>
      </w:r>
      <w:r w:rsidR="00536A72">
        <w:rPr>
          <w:rFonts w:asciiTheme="minorHAnsi" w:hAnsiTheme="minorHAnsi" w:cstheme="minorHAnsi"/>
          <w:sz w:val="22"/>
          <w:szCs w:val="22"/>
        </w:rPr>
        <w:t xml:space="preserve">  </w:t>
      </w:r>
      <w:r w:rsidR="00EA5126">
        <w:rPr>
          <w:rFonts w:asciiTheme="minorHAnsi" w:hAnsiTheme="minorHAnsi" w:cstheme="minorHAnsi"/>
          <w:sz w:val="22"/>
          <w:szCs w:val="22"/>
        </w:rPr>
        <w:t>Thi</w:t>
      </w:r>
      <w:r w:rsidR="00510369">
        <w:rPr>
          <w:rFonts w:asciiTheme="minorHAnsi" w:hAnsiTheme="minorHAnsi" w:cstheme="minorHAnsi"/>
          <w:sz w:val="22"/>
          <w:szCs w:val="22"/>
        </w:rPr>
        <w:t>s program</w:t>
      </w:r>
      <w:r w:rsidR="00EA5126">
        <w:rPr>
          <w:rFonts w:asciiTheme="minorHAnsi" w:hAnsiTheme="minorHAnsi" w:cstheme="minorHAnsi"/>
          <w:sz w:val="22"/>
          <w:szCs w:val="22"/>
        </w:rPr>
        <w:t xml:space="preserve"> allows the partners to be strategic i</w:t>
      </w:r>
      <w:r w:rsidR="00E12114">
        <w:rPr>
          <w:rFonts w:asciiTheme="minorHAnsi" w:hAnsiTheme="minorHAnsi" w:cstheme="minorHAnsi"/>
          <w:sz w:val="22"/>
          <w:szCs w:val="22"/>
        </w:rPr>
        <w:t>n</w:t>
      </w:r>
      <w:r w:rsidR="003800F4">
        <w:rPr>
          <w:rFonts w:asciiTheme="minorHAnsi" w:hAnsiTheme="minorHAnsi" w:cstheme="minorHAnsi"/>
          <w:sz w:val="22"/>
          <w:szCs w:val="22"/>
        </w:rPr>
        <w:t xml:space="preserve"> providing support to employers</w:t>
      </w:r>
      <w:r w:rsidR="00E12114">
        <w:rPr>
          <w:rFonts w:asciiTheme="minorHAnsi" w:hAnsiTheme="minorHAnsi" w:cstheme="minorHAnsi"/>
          <w:sz w:val="22"/>
          <w:szCs w:val="22"/>
        </w:rPr>
        <w:t xml:space="preserve"> and </w:t>
      </w:r>
      <w:r w:rsidR="003800F4">
        <w:rPr>
          <w:rFonts w:asciiTheme="minorHAnsi" w:hAnsiTheme="minorHAnsi" w:cstheme="minorHAnsi"/>
          <w:sz w:val="22"/>
          <w:szCs w:val="22"/>
        </w:rPr>
        <w:t xml:space="preserve">in </w:t>
      </w:r>
      <w:r w:rsidR="00EA5126">
        <w:rPr>
          <w:rFonts w:asciiTheme="minorHAnsi" w:hAnsiTheme="minorHAnsi" w:cstheme="minorHAnsi"/>
          <w:sz w:val="22"/>
          <w:szCs w:val="22"/>
        </w:rPr>
        <w:t>providing training to assist low-income Alabamians</w:t>
      </w:r>
      <w:r w:rsidR="00F52E9D" w:rsidRPr="00E8716B">
        <w:rPr>
          <w:rFonts w:asciiTheme="minorHAnsi" w:hAnsiTheme="minorHAnsi" w:cstheme="minorHAnsi"/>
          <w:sz w:val="22"/>
          <w:szCs w:val="22"/>
        </w:rPr>
        <w:t xml:space="preserve"> </w:t>
      </w:r>
      <w:r w:rsidR="00EA5126">
        <w:rPr>
          <w:rFonts w:asciiTheme="minorHAnsi" w:hAnsiTheme="minorHAnsi" w:cstheme="minorHAnsi"/>
          <w:sz w:val="22"/>
          <w:szCs w:val="22"/>
        </w:rPr>
        <w:t xml:space="preserve">displaced, </w:t>
      </w:r>
      <w:r w:rsidR="00E12114">
        <w:rPr>
          <w:rFonts w:asciiTheme="minorHAnsi" w:hAnsiTheme="minorHAnsi" w:cstheme="minorHAnsi"/>
          <w:sz w:val="22"/>
          <w:szCs w:val="22"/>
        </w:rPr>
        <w:t>dislocated,</w:t>
      </w:r>
      <w:r w:rsidR="00EA5126">
        <w:rPr>
          <w:rFonts w:asciiTheme="minorHAnsi" w:hAnsiTheme="minorHAnsi" w:cstheme="minorHAnsi"/>
          <w:sz w:val="22"/>
          <w:szCs w:val="22"/>
        </w:rPr>
        <w:t xml:space="preserve"> or disconnected by COVID</w:t>
      </w:r>
      <w:r w:rsidR="004E530D">
        <w:rPr>
          <w:rFonts w:asciiTheme="minorHAnsi" w:hAnsiTheme="minorHAnsi" w:cstheme="minorHAnsi"/>
          <w:sz w:val="22"/>
          <w:szCs w:val="22"/>
        </w:rPr>
        <w:t>-19</w:t>
      </w:r>
      <w:r w:rsidR="00EA5126">
        <w:rPr>
          <w:rFonts w:asciiTheme="minorHAnsi" w:hAnsiTheme="minorHAnsi" w:cstheme="minorHAnsi"/>
          <w:sz w:val="22"/>
          <w:szCs w:val="22"/>
        </w:rPr>
        <w:t xml:space="preserve"> to transition into new fields.  </w:t>
      </w:r>
      <w:r w:rsidR="003800F4">
        <w:rPr>
          <w:rFonts w:asciiTheme="minorHAnsi" w:hAnsiTheme="minorHAnsi" w:cstheme="minorHAnsi"/>
          <w:sz w:val="22"/>
          <w:szCs w:val="22"/>
        </w:rPr>
        <w:t xml:space="preserve"> Alabama was</w:t>
      </w:r>
      <w:r w:rsidR="00E12114">
        <w:rPr>
          <w:rFonts w:asciiTheme="minorHAnsi" w:hAnsiTheme="minorHAnsi" w:cstheme="minorHAnsi"/>
          <w:sz w:val="22"/>
          <w:szCs w:val="22"/>
        </w:rPr>
        <w:t xml:space="preserve"> one of </w:t>
      </w:r>
      <w:r w:rsidR="003800F4">
        <w:rPr>
          <w:rFonts w:asciiTheme="minorHAnsi" w:hAnsiTheme="minorHAnsi" w:cstheme="minorHAnsi"/>
          <w:sz w:val="22"/>
          <w:szCs w:val="22"/>
        </w:rPr>
        <w:t xml:space="preserve">only </w:t>
      </w:r>
      <w:r w:rsidR="00E12114">
        <w:rPr>
          <w:rFonts w:asciiTheme="minorHAnsi" w:hAnsiTheme="minorHAnsi" w:cstheme="minorHAnsi"/>
          <w:sz w:val="22"/>
          <w:szCs w:val="22"/>
        </w:rPr>
        <w:t xml:space="preserve">eight states awarded </w:t>
      </w:r>
      <w:r w:rsidR="00977388">
        <w:rPr>
          <w:rFonts w:asciiTheme="minorHAnsi" w:hAnsiTheme="minorHAnsi" w:cstheme="minorHAnsi"/>
          <w:sz w:val="22"/>
          <w:szCs w:val="22"/>
        </w:rPr>
        <w:t xml:space="preserve">the </w:t>
      </w:r>
      <w:r w:rsidR="00E12114">
        <w:rPr>
          <w:rFonts w:asciiTheme="minorHAnsi" w:hAnsiTheme="minorHAnsi" w:cstheme="minorHAnsi"/>
          <w:sz w:val="22"/>
          <w:szCs w:val="22"/>
        </w:rPr>
        <w:t>grant</w:t>
      </w:r>
      <w:r w:rsidR="003800F4">
        <w:rPr>
          <w:rFonts w:asciiTheme="minorHAnsi" w:hAnsiTheme="minorHAnsi" w:cstheme="minorHAnsi"/>
          <w:sz w:val="22"/>
          <w:szCs w:val="22"/>
        </w:rPr>
        <w:t xml:space="preserve"> based on its</w:t>
      </w:r>
      <w:r w:rsidR="00510369">
        <w:rPr>
          <w:rFonts w:asciiTheme="minorHAnsi" w:hAnsiTheme="minorHAnsi" w:cstheme="minorHAnsi"/>
          <w:sz w:val="22"/>
          <w:szCs w:val="22"/>
        </w:rPr>
        <w:t xml:space="preserve"> plan</w:t>
      </w:r>
      <w:r w:rsidR="00977388">
        <w:rPr>
          <w:rFonts w:asciiTheme="minorHAnsi" w:hAnsiTheme="minorHAnsi" w:cstheme="minorHAnsi"/>
          <w:sz w:val="22"/>
          <w:szCs w:val="22"/>
        </w:rPr>
        <w:t xml:space="preserve"> to assist employers, incumbent workers, and job seekers affected during the pandemic</w:t>
      </w:r>
      <w:r w:rsidR="00E12114">
        <w:rPr>
          <w:rFonts w:asciiTheme="minorHAnsi" w:hAnsiTheme="minorHAnsi" w:cstheme="minorHAnsi"/>
          <w:sz w:val="22"/>
          <w:szCs w:val="22"/>
        </w:rPr>
        <w:t xml:space="preserve">.  </w:t>
      </w:r>
      <w:r w:rsidR="00F52E9D" w:rsidRPr="00E8716B">
        <w:rPr>
          <w:rFonts w:asciiTheme="minorHAnsi" w:hAnsiTheme="minorHAnsi" w:cstheme="minorHAnsi"/>
          <w:sz w:val="22"/>
          <w:szCs w:val="22"/>
        </w:rPr>
        <w:t xml:space="preserve"> </w:t>
      </w:r>
      <w:r w:rsidR="00EE1F4A">
        <w:rPr>
          <w:rFonts w:asciiTheme="minorHAnsi" w:hAnsiTheme="minorHAnsi" w:cstheme="minorHAnsi"/>
          <w:sz w:val="22"/>
          <w:szCs w:val="22"/>
        </w:rPr>
        <w:t xml:space="preserve">The adult education system office </w:t>
      </w:r>
      <w:r w:rsidR="002D4028">
        <w:rPr>
          <w:rFonts w:asciiTheme="minorHAnsi" w:hAnsiTheme="minorHAnsi" w:cstheme="minorHAnsi"/>
          <w:sz w:val="22"/>
          <w:szCs w:val="22"/>
        </w:rPr>
        <w:t xml:space="preserve">and local </w:t>
      </w:r>
      <w:r w:rsidR="00EE1F4A">
        <w:rPr>
          <w:rFonts w:asciiTheme="minorHAnsi" w:hAnsiTheme="minorHAnsi" w:cstheme="minorHAnsi"/>
          <w:sz w:val="22"/>
          <w:szCs w:val="22"/>
        </w:rPr>
        <w:t>program p</w:t>
      </w:r>
      <w:r w:rsidR="002D4028">
        <w:rPr>
          <w:rFonts w:asciiTheme="minorHAnsi" w:hAnsiTheme="minorHAnsi" w:cstheme="minorHAnsi"/>
          <w:sz w:val="22"/>
          <w:szCs w:val="22"/>
        </w:rPr>
        <w:t>rovide</w:t>
      </w:r>
      <w:r w:rsidR="00EE1F4A">
        <w:rPr>
          <w:rFonts w:asciiTheme="minorHAnsi" w:hAnsiTheme="minorHAnsi" w:cstheme="minorHAnsi"/>
          <w:sz w:val="22"/>
          <w:szCs w:val="22"/>
        </w:rPr>
        <w:t>rs are integral</w:t>
      </w:r>
      <w:r w:rsidR="002D4028">
        <w:rPr>
          <w:rFonts w:asciiTheme="minorHAnsi" w:hAnsiTheme="minorHAnsi" w:cstheme="minorHAnsi"/>
          <w:sz w:val="22"/>
          <w:szCs w:val="22"/>
        </w:rPr>
        <w:t xml:space="preserve"> </w:t>
      </w:r>
      <w:r w:rsidR="00EE1F4A">
        <w:rPr>
          <w:rFonts w:asciiTheme="minorHAnsi" w:hAnsiTheme="minorHAnsi" w:cstheme="minorHAnsi"/>
          <w:sz w:val="22"/>
          <w:szCs w:val="22"/>
        </w:rPr>
        <w:t xml:space="preserve">components </w:t>
      </w:r>
      <w:r w:rsidR="002D4028">
        <w:rPr>
          <w:rFonts w:asciiTheme="minorHAnsi" w:hAnsiTheme="minorHAnsi" w:cstheme="minorHAnsi"/>
          <w:sz w:val="22"/>
          <w:szCs w:val="22"/>
        </w:rPr>
        <w:t xml:space="preserve">of the AWSP </w:t>
      </w:r>
      <w:r w:rsidR="00EE1F4A">
        <w:rPr>
          <w:rFonts w:asciiTheme="minorHAnsi" w:hAnsiTheme="minorHAnsi" w:cstheme="minorHAnsi"/>
          <w:sz w:val="22"/>
          <w:szCs w:val="22"/>
        </w:rPr>
        <w:t>and provide leadership and services to the RWP grant</w:t>
      </w:r>
      <w:r w:rsidR="002D4028">
        <w:rPr>
          <w:rFonts w:asciiTheme="minorHAnsi" w:hAnsiTheme="minorHAnsi" w:cstheme="minorHAnsi"/>
          <w:sz w:val="22"/>
          <w:szCs w:val="22"/>
        </w:rPr>
        <w:t xml:space="preserve">.  Adult Education also created the </w:t>
      </w:r>
      <w:r w:rsidR="00977388">
        <w:rPr>
          <w:rFonts w:asciiTheme="minorHAnsi" w:hAnsiTheme="minorHAnsi" w:cstheme="minorHAnsi"/>
          <w:sz w:val="22"/>
          <w:szCs w:val="22"/>
        </w:rPr>
        <w:t>Mobilizing Alabama Pathways (MAP</w:t>
      </w:r>
      <w:r w:rsidR="002D4028">
        <w:rPr>
          <w:rFonts w:asciiTheme="minorHAnsi" w:hAnsiTheme="minorHAnsi" w:cstheme="minorHAnsi"/>
          <w:sz w:val="22"/>
          <w:szCs w:val="22"/>
        </w:rPr>
        <w:t xml:space="preserve">) program which is an asynchronous online foundational training in </w:t>
      </w:r>
      <w:r w:rsidR="00287A4E">
        <w:rPr>
          <w:rFonts w:asciiTheme="minorHAnsi" w:hAnsiTheme="minorHAnsi" w:cstheme="minorHAnsi"/>
          <w:sz w:val="22"/>
          <w:szCs w:val="22"/>
        </w:rPr>
        <w:t xml:space="preserve">the </w:t>
      </w:r>
      <w:r w:rsidR="002D4028">
        <w:rPr>
          <w:rFonts w:asciiTheme="minorHAnsi" w:hAnsiTheme="minorHAnsi" w:cstheme="minorHAnsi"/>
          <w:sz w:val="22"/>
          <w:szCs w:val="22"/>
        </w:rPr>
        <w:t>five</w:t>
      </w:r>
      <w:r w:rsidR="00536A72">
        <w:rPr>
          <w:rFonts w:asciiTheme="minorHAnsi" w:hAnsiTheme="minorHAnsi" w:cstheme="minorHAnsi"/>
          <w:sz w:val="22"/>
          <w:szCs w:val="22"/>
        </w:rPr>
        <w:t xml:space="preserve"> AWSP targeted</w:t>
      </w:r>
      <w:r w:rsidR="002D4028">
        <w:rPr>
          <w:rFonts w:asciiTheme="minorHAnsi" w:hAnsiTheme="minorHAnsi" w:cstheme="minorHAnsi"/>
          <w:sz w:val="22"/>
          <w:szCs w:val="22"/>
        </w:rPr>
        <w:t xml:space="preserve"> sector areas </w:t>
      </w:r>
      <w:r w:rsidR="00536A72">
        <w:rPr>
          <w:rFonts w:asciiTheme="minorHAnsi" w:hAnsiTheme="minorHAnsi" w:cstheme="minorHAnsi"/>
          <w:sz w:val="22"/>
          <w:szCs w:val="22"/>
        </w:rPr>
        <w:t xml:space="preserve">of </w:t>
      </w:r>
      <w:r w:rsidR="002D4028" w:rsidRPr="00287A4E">
        <w:rPr>
          <w:rFonts w:asciiTheme="minorHAnsi" w:hAnsiTheme="minorHAnsi" w:cstheme="minorHAnsi"/>
          <w:i/>
          <w:iCs/>
          <w:sz w:val="22"/>
          <w:szCs w:val="22"/>
        </w:rPr>
        <w:t xml:space="preserve">Manufacturing, </w:t>
      </w:r>
      <w:r w:rsidR="00B1184C" w:rsidRPr="00287A4E">
        <w:rPr>
          <w:rFonts w:asciiTheme="minorHAnsi" w:hAnsiTheme="minorHAnsi" w:cstheme="minorHAnsi"/>
          <w:i/>
          <w:iCs/>
          <w:sz w:val="22"/>
          <w:szCs w:val="22"/>
        </w:rPr>
        <w:t>Healthcare,</w:t>
      </w:r>
      <w:r w:rsidR="00B1184C">
        <w:rPr>
          <w:rFonts w:asciiTheme="minorHAnsi" w:hAnsiTheme="minorHAnsi" w:cstheme="minorHAnsi"/>
          <w:i/>
          <w:iCs/>
          <w:sz w:val="22"/>
          <w:szCs w:val="22"/>
        </w:rPr>
        <w:t xml:space="preserve"> Construction</w:t>
      </w:r>
      <w:r w:rsidR="002D4028" w:rsidRPr="00287A4E">
        <w:rPr>
          <w:rFonts w:asciiTheme="minorHAnsi" w:hAnsiTheme="minorHAnsi" w:cstheme="minorHAnsi"/>
          <w:i/>
          <w:iCs/>
          <w:sz w:val="22"/>
          <w:szCs w:val="22"/>
        </w:rPr>
        <w:t>, Information Technology, and Transportation/</w:t>
      </w:r>
      <w:r w:rsidR="00287A4E">
        <w:rPr>
          <w:rFonts w:asciiTheme="minorHAnsi" w:hAnsiTheme="minorHAnsi" w:cstheme="minorHAnsi"/>
          <w:i/>
          <w:iCs/>
          <w:sz w:val="22"/>
          <w:szCs w:val="22"/>
        </w:rPr>
        <w:t>L</w:t>
      </w:r>
      <w:r w:rsidR="002D4028" w:rsidRPr="00287A4E">
        <w:rPr>
          <w:rFonts w:asciiTheme="minorHAnsi" w:hAnsiTheme="minorHAnsi" w:cstheme="minorHAnsi"/>
          <w:i/>
          <w:iCs/>
          <w:sz w:val="22"/>
          <w:szCs w:val="22"/>
        </w:rPr>
        <w:t>ogistics</w:t>
      </w:r>
      <w:r w:rsidR="002D4028">
        <w:rPr>
          <w:rFonts w:asciiTheme="minorHAnsi" w:hAnsiTheme="minorHAnsi" w:cstheme="minorHAnsi"/>
          <w:sz w:val="22"/>
          <w:szCs w:val="22"/>
        </w:rPr>
        <w:t>.</w:t>
      </w:r>
    </w:p>
    <w:p w14:paraId="5942E4C4" w14:textId="77777777" w:rsidR="002D4028" w:rsidRDefault="002D4028" w:rsidP="00935DAE">
      <w:pPr>
        <w:pStyle w:val="BodyText"/>
        <w:tabs>
          <w:tab w:val="left" w:pos="821"/>
        </w:tabs>
        <w:ind w:left="0" w:right="240"/>
        <w:jc w:val="both"/>
        <w:rPr>
          <w:rFonts w:asciiTheme="minorHAnsi" w:hAnsiTheme="minorHAnsi" w:cstheme="minorHAnsi"/>
          <w:sz w:val="22"/>
          <w:szCs w:val="22"/>
        </w:rPr>
      </w:pPr>
    </w:p>
    <w:p w14:paraId="743217FE" w14:textId="08DF1D1D" w:rsidR="004E530D" w:rsidRDefault="004E530D" w:rsidP="00935DAE">
      <w:pPr>
        <w:pStyle w:val="BodyText"/>
        <w:tabs>
          <w:tab w:val="left" w:pos="821"/>
        </w:tabs>
        <w:ind w:left="0" w:right="240"/>
        <w:jc w:val="both"/>
        <w:rPr>
          <w:rFonts w:asciiTheme="minorHAnsi" w:hAnsiTheme="minorHAnsi" w:cstheme="minorHAnsi"/>
          <w:sz w:val="22"/>
          <w:szCs w:val="22"/>
        </w:rPr>
      </w:pPr>
      <w:r>
        <w:rPr>
          <w:rFonts w:asciiTheme="minorHAnsi" w:hAnsiTheme="minorHAnsi" w:cstheme="minorHAnsi"/>
          <w:sz w:val="22"/>
          <w:szCs w:val="22"/>
        </w:rPr>
        <w:t>During PY 20</w:t>
      </w:r>
      <w:r w:rsidR="003800F4">
        <w:rPr>
          <w:rFonts w:asciiTheme="minorHAnsi" w:hAnsiTheme="minorHAnsi" w:cstheme="minorHAnsi"/>
          <w:sz w:val="22"/>
          <w:szCs w:val="22"/>
        </w:rPr>
        <w:t xml:space="preserve">20-2021 the state deployed its </w:t>
      </w:r>
      <w:r>
        <w:rPr>
          <w:rFonts w:asciiTheme="minorHAnsi" w:hAnsiTheme="minorHAnsi" w:cstheme="minorHAnsi"/>
          <w:sz w:val="22"/>
          <w:szCs w:val="22"/>
        </w:rPr>
        <w:t xml:space="preserve">Dashboard for Visualizing Income Determination (DAVID) system which allows WIOA partners to discuss the </w:t>
      </w:r>
      <w:r w:rsidR="004A580F">
        <w:rPr>
          <w:rFonts w:asciiTheme="minorHAnsi" w:hAnsiTheme="minorHAnsi" w:cstheme="minorHAnsi"/>
          <w:sz w:val="22"/>
          <w:szCs w:val="22"/>
        </w:rPr>
        <w:t>“</w:t>
      </w:r>
      <w:r>
        <w:rPr>
          <w:rFonts w:asciiTheme="minorHAnsi" w:hAnsiTheme="minorHAnsi" w:cstheme="minorHAnsi"/>
          <w:sz w:val="22"/>
          <w:szCs w:val="22"/>
        </w:rPr>
        <w:t>benefits cliff</w:t>
      </w:r>
      <w:r w:rsidR="004A580F">
        <w:rPr>
          <w:rFonts w:asciiTheme="minorHAnsi" w:hAnsiTheme="minorHAnsi" w:cstheme="minorHAnsi"/>
          <w:sz w:val="22"/>
          <w:szCs w:val="22"/>
        </w:rPr>
        <w:t>”</w:t>
      </w:r>
      <w:r>
        <w:rPr>
          <w:rFonts w:asciiTheme="minorHAnsi" w:hAnsiTheme="minorHAnsi" w:cstheme="minorHAnsi"/>
          <w:sz w:val="22"/>
          <w:szCs w:val="22"/>
        </w:rPr>
        <w:t xml:space="preserve"> with jobseekers/students</w:t>
      </w:r>
      <w:r w:rsidR="004A580F">
        <w:rPr>
          <w:rFonts w:asciiTheme="minorHAnsi" w:hAnsiTheme="minorHAnsi" w:cstheme="minorHAnsi"/>
          <w:sz w:val="22"/>
          <w:szCs w:val="22"/>
        </w:rPr>
        <w:t xml:space="preserve"> that are receiving public assistance</w:t>
      </w:r>
      <w:r>
        <w:rPr>
          <w:rFonts w:asciiTheme="minorHAnsi" w:hAnsiTheme="minorHAnsi" w:cstheme="minorHAnsi"/>
          <w:sz w:val="22"/>
          <w:szCs w:val="22"/>
        </w:rPr>
        <w:t xml:space="preserve">.  This </w:t>
      </w:r>
      <w:r w:rsidR="001456B2">
        <w:rPr>
          <w:rFonts w:asciiTheme="minorHAnsi" w:hAnsiTheme="minorHAnsi" w:cstheme="minorHAnsi"/>
          <w:sz w:val="22"/>
          <w:szCs w:val="22"/>
        </w:rPr>
        <w:t xml:space="preserve">virtual </w:t>
      </w:r>
      <w:r>
        <w:rPr>
          <w:rFonts w:asciiTheme="minorHAnsi" w:hAnsiTheme="minorHAnsi" w:cstheme="minorHAnsi"/>
          <w:sz w:val="22"/>
          <w:szCs w:val="22"/>
        </w:rPr>
        <w:t>tool</w:t>
      </w:r>
      <w:r w:rsidR="00B9269C">
        <w:rPr>
          <w:rFonts w:asciiTheme="minorHAnsi" w:hAnsiTheme="minorHAnsi" w:cstheme="minorHAnsi"/>
          <w:sz w:val="22"/>
          <w:szCs w:val="22"/>
        </w:rPr>
        <w:t xml:space="preserve"> (</w:t>
      </w:r>
      <w:hyperlink r:id="rId8" w:history="1">
        <w:r w:rsidR="00B9269C" w:rsidRPr="003F68A4">
          <w:rPr>
            <w:rStyle w:val="Hyperlink"/>
            <w:rFonts w:asciiTheme="minorHAnsi" w:hAnsiTheme="minorHAnsi" w:cstheme="minorHAnsi"/>
            <w:sz w:val="22"/>
            <w:szCs w:val="22"/>
          </w:rPr>
          <w:t>https://alabamaworks.com/david/</w:t>
        </w:r>
      </w:hyperlink>
      <w:r w:rsidR="00B9269C">
        <w:rPr>
          <w:rFonts w:asciiTheme="minorHAnsi" w:hAnsiTheme="minorHAnsi" w:cstheme="minorHAnsi"/>
          <w:sz w:val="22"/>
          <w:szCs w:val="22"/>
        </w:rPr>
        <w:t xml:space="preserve">) </w:t>
      </w:r>
      <w:r w:rsidR="003800F4">
        <w:rPr>
          <w:rFonts w:asciiTheme="minorHAnsi" w:hAnsiTheme="minorHAnsi" w:cstheme="minorHAnsi"/>
          <w:sz w:val="22"/>
          <w:szCs w:val="22"/>
        </w:rPr>
        <w:t>allows the participant</w:t>
      </w:r>
      <w:r>
        <w:rPr>
          <w:rFonts w:asciiTheme="minorHAnsi" w:hAnsiTheme="minorHAnsi" w:cstheme="minorHAnsi"/>
          <w:sz w:val="22"/>
          <w:szCs w:val="22"/>
        </w:rPr>
        <w:t xml:space="preserve"> to visualize </w:t>
      </w:r>
      <w:r w:rsidR="004A580F">
        <w:rPr>
          <w:rFonts w:asciiTheme="minorHAnsi" w:hAnsiTheme="minorHAnsi" w:cstheme="minorHAnsi"/>
          <w:sz w:val="22"/>
          <w:szCs w:val="22"/>
        </w:rPr>
        <w:t xml:space="preserve">and make informed decisions on the career choices related to current public benefits </w:t>
      </w:r>
      <w:r w:rsidR="001456B2">
        <w:rPr>
          <w:rFonts w:asciiTheme="minorHAnsi" w:hAnsiTheme="minorHAnsi" w:cstheme="minorHAnsi"/>
          <w:sz w:val="22"/>
          <w:szCs w:val="22"/>
        </w:rPr>
        <w:t>received</w:t>
      </w:r>
      <w:r w:rsidR="004A580F">
        <w:rPr>
          <w:rFonts w:asciiTheme="minorHAnsi" w:hAnsiTheme="minorHAnsi" w:cstheme="minorHAnsi"/>
          <w:sz w:val="22"/>
          <w:szCs w:val="22"/>
        </w:rPr>
        <w:t xml:space="preserve">.  </w:t>
      </w:r>
      <w:r w:rsidR="001456B2">
        <w:rPr>
          <w:rFonts w:asciiTheme="minorHAnsi" w:hAnsiTheme="minorHAnsi" w:cstheme="minorHAnsi"/>
          <w:sz w:val="22"/>
          <w:szCs w:val="22"/>
        </w:rPr>
        <w:t xml:space="preserve">It </w:t>
      </w:r>
      <w:r w:rsidR="00B1184C">
        <w:rPr>
          <w:rFonts w:asciiTheme="minorHAnsi" w:hAnsiTheme="minorHAnsi" w:cstheme="minorHAnsi"/>
          <w:sz w:val="22"/>
          <w:szCs w:val="22"/>
        </w:rPr>
        <w:t>is</w:t>
      </w:r>
      <w:r w:rsidR="001456B2">
        <w:rPr>
          <w:rFonts w:asciiTheme="minorHAnsi" w:hAnsiTheme="minorHAnsi" w:cstheme="minorHAnsi"/>
          <w:sz w:val="22"/>
          <w:szCs w:val="22"/>
        </w:rPr>
        <w:t xml:space="preserve"> a joint endeavor of the state of Alabama, the </w:t>
      </w:r>
      <w:r w:rsidR="00C430F1">
        <w:rPr>
          <w:rFonts w:asciiTheme="minorHAnsi" w:hAnsiTheme="minorHAnsi" w:cstheme="minorHAnsi"/>
          <w:sz w:val="22"/>
          <w:szCs w:val="22"/>
        </w:rPr>
        <w:t xml:space="preserve">Alabama </w:t>
      </w:r>
      <w:r w:rsidR="001456B2">
        <w:rPr>
          <w:rFonts w:asciiTheme="minorHAnsi" w:hAnsiTheme="minorHAnsi" w:cstheme="minorHAnsi"/>
          <w:sz w:val="22"/>
          <w:szCs w:val="22"/>
        </w:rPr>
        <w:t xml:space="preserve">WIOA partners, and the Federal Reserve Bank of Atlanta.  </w:t>
      </w:r>
    </w:p>
    <w:p w14:paraId="79F8C7C7" w14:textId="5815274F" w:rsidR="00B95A07" w:rsidRPr="00E8716B" w:rsidRDefault="00B95A07" w:rsidP="00B1184C">
      <w:pPr>
        <w:pStyle w:val="BodyText"/>
        <w:tabs>
          <w:tab w:val="left" w:pos="821"/>
        </w:tabs>
        <w:ind w:left="0" w:right="240"/>
        <w:rPr>
          <w:rFonts w:asciiTheme="minorHAnsi" w:hAnsiTheme="minorHAnsi" w:cstheme="minorHAnsi"/>
          <w:sz w:val="22"/>
          <w:szCs w:val="22"/>
        </w:rPr>
      </w:pPr>
    </w:p>
    <w:p w14:paraId="603EEB20" w14:textId="4B79C5C6" w:rsidR="00AB1382" w:rsidRDefault="00F85810" w:rsidP="00BB4F9D">
      <w:pPr>
        <w:widowControl/>
        <w:spacing w:after="160" w:line="256" w:lineRule="auto"/>
        <w:jc w:val="both"/>
        <w:rPr>
          <w:rFonts w:cstheme="minorHAnsi"/>
        </w:rPr>
      </w:pPr>
      <w:r>
        <w:rPr>
          <w:rFonts w:cstheme="minorHAnsi"/>
        </w:rPr>
        <w:t xml:space="preserve">Throughout </w:t>
      </w:r>
      <w:r w:rsidR="00AB1382">
        <w:rPr>
          <w:rFonts w:cstheme="minorHAnsi"/>
        </w:rPr>
        <w:t>the COVID-19 Pandemic</w:t>
      </w:r>
      <w:r>
        <w:rPr>
          <w:rFonts w:cstheme="minorHAnsi"/>
        </w:rPr>
        <w:t>, Title II Adult Education continued</w:t>
      </w:r>
      <w:r w:rsidR="00454785">
        <w:rPr>
          <w:rFonts w:cstheme="minorHAnsi"/>
        </w:rPr>
        <w:t xml:space="preserve"> t</w:t>
      </w:r>
      <w:r>
        <w:rPr>
          <w:rFonts w:cstheme="minorHAnsi"/>
        </w:rPr>
        <w:t xml:space="preserve">raditional WIOA </w:t>
      </w:r>
      <w:r w:rsidR="00C430F1">
        <w:rPr>
          <w:rFonts w:cstheme="minorHAnsi"/>
        </w:rPr>
        <w:t>collaborations</w:t>
      </w:r>
      <w:r w:rsidR="004E188F">
        <w:rPr>
          <w:rFonts w:cstheme="minorHAnsi"/>
        </w:rPr>
        <w:t xml:space="preserve"> while executing new ways to serve the population as described above.  </w:t>
      </w:r>
      <w:r w:rsidR="00B95A07" w:rsidRPr="00E8716B">
        <w:rPr>
          <w:rFonts w:cstheme="minorHAnsi"/>
        </w:rPr>
        <w:t xml:space="preserve"> </w:t>
      </w:r>
      <w:r w:rsidR="00BB4F9D" w:rsidRPr="00E8716B">
        <w:rPr>
          <w:rFonts w:cstheme="minorHAnsi"/>
        </w:rPr>
        <w:t xml:space="preserve">Local </w:t>
      </w:r>
      <w:r>
        <w:rPr>
          <w:rFonts w:cstheme="minorHAnsi"/>
        </w:rPr>
        <w:t xml:space="preserve">adult education </w:t>
      </w:r>
      <w:r w:rsidR="00BB4F9D" w:rsidRPr="00E8716B">
        <w:rPr>
          <w:rFonts w:cstheme="minorHAnsi"/>
        </w:rPr>
        <w:t>programs align</w:t>
      </w:r>
      <w:r w:rsidR="00C430F1">
        <w:rPr>
          <w:rFonts w:cstheme="minorHAnsi"/>
        </w:rPr>
        <w:t>ed their</w:t>
      </w:r>
      <w:r w:rsidR="00BB4F9D" w:rsidRPr="00E8716B">
        <w:rPr>
          <w:rFonts w:cstheme="minorHAnsi"/>
        </w:rPr>
        <w:t xml:space="preserve"> </w:t>
      </w:r>
      <w:r w:rsidR="00707CD7">
        <w:rPr>
          <w:rFonts w:cstheme="minorHAnsi"/>
        </w:rPr>
        <w:t xml:space="preserve">intake and assessment procedures </w:t>
      </w:r>
      <w:r w:rsidR="00BB4F9D" w:rsidRPr="00E8716B">
        <w:rPr>
          <w:rFonts w:cstheme="minorHAnsi"/>
        </w:rPr>
        <w:t xml:space="preserve">with local one stop partners to ensure that contextualized basic academic support </w:t>
      </w:r>
      <w:r w:rsidR="00707CD7">
        <w:rPr>
          <w:rFonts w:cstheme="minorHAnsi"/>
        </w:rPr>
        <w:t>is</w:t>
      </w:r>
      <w:r w:rsidR="00BB4F9D" w:rsidRPr="00E8716B">
        <w:rPr>
          <w:rFonts w:cstheme="minorHAnsi"/>
        </w:rPr>
        <w:t xml:space="preserve"> embedded in training designed to prepare job seekers/students with the employability skills to be successful in achieving </w:t>
      </w:r>
      <w:r w:rsidR="00707CD7">
        <w:rPr>
          <w:rFonts w:cstheme="minorHAnsi"/>
        </w:rPr>
        <w:t>and</w:t>
      </w:r>
      <w:r w:rsidR="00BB4F9D" w:rsidRPr="00E8716B">
        <w:rPr>
          <w:rFonts w:cstheme="minorHAnsi"/>
        </w:rPr>
        <w:t xml:space="preserve"> sustaining gainful employment. </w:t>
      </w:r>
      <w:r w:rsidR="00BB4F9D">
        <w:rPr>
          <w:rFonts w:cstheme="minorHAnsi"/>
        </w:rPr>
        <w:t xml:space="preserve"> </w:t>
      </w:r>
      <w:r w:rsidR="00C430F1">
        <w:rPr>
          <w:rFonts w:cstheme="minorHAnsi"/>
        </w:rPr>
        <w:t xml:space="preserve">Interactive </w:t>
      </w:r>
      <w:r w:rsidR="00B95A07" w:rsidRPr="00E8716B">
        <w:rPr>
          <w:rFonts w:cstheme="minorHAnsi"/>
        </w:rPr>
        <w:t xml:space="preserve">classes </w:t>
      </w:r>
      <w:r w:rsidR="00707CD7">
        <w:rPr>
          <w:rFonts w:cstheme="minorHAnsi"/>
        </w:rPr>
        <w:t xml:space="preserve">include basic literacy and </w:t>
      </w:r>
      <w:r w:rsidR="00B95A07" w:rsidRPr="00E8716B">
        <w:rPr>
          <w:rFonts w:cstheme="minorHAnsi"/>
        </w:rPr>
        <w:t xml:space="preserve">academic support, </w:t>
      </w:r>
      <w:r w:rsidR="00AB1382">
        <w:rPr>
          <w:rFonts w:cstheme="minorHAnsi"/>
        </w:rPr>
        <w:t xml:space="preserve">high school </w:t>
      </w:r>
      <w:r w:rsidR="00B95A07" w:rsidRPr="00E8716B">
        <w:rPr>
          <w:rFonts w:cstheme="minorHAnsi"/>
        </w:rPr>
        <w:t xml:space="preserve">equivalency preparation, workforce readiness </w:t>
      </w:r>
      <w:r w:rsidR="00454785">
        <w:rPr>
          <w:rFonts w:cstheme="minorHAnsi"/>
        </w:rPr>
        <w:t>preparation</w:t>
      </w:r>
      <w:r w:rsidR="00B95A07" w:rsidRPr="00E8716B">
        <w:rPr>
          <w:rFonts w:cstheme="minorHAnsi"/>
        </w:rPr>
        <w:t xml:space="preserve">, and specific </w:t>
      </w:r>
      <w:r w:rsidR="00F07748" w:rsidRPr="00E8716B">
        <w:rPr>
          <w:rFonts w:cstheme="minorHAnsi"/>
        </w:rPr>
        <w:t>work-related</w:t>
      </w:r>
      <w:r w:rsidR="00B95A07" w:rsidRPr="00E8716B">
        <w:rPr>
          <w:rFonts w:cstheme="minorHAnsi"/>
        </w:rPr>
        <w:t xml:space="preserve"> training</w:t>
      </w:r>
      <w:r w:rsidR="00F07748">
        <w:rPr>
          <w:rFonts w:cstheme="minorHAnsi"/>
        </w:rPr>
        <w:t xml:space="preserve"> in virtual and face to face formats</w:t>
      </w:r>
      <w:r w:rsidR="00B95A07" w:rsidRPr="00E8716B">
        <w:rPr>
          <w:rFonts w:cstheme="minorHAnsi"/>
        </w:rPr>
        <w:t>.</w:t>
      </w:r>
    </w:p>
    <w:p w14:paraId="030A9D3C" w14:textId="7377FD2F" w:rsidR="00991216" w:rsidRPr="00E8716B" w:rsidRDefault="00AB1382" w:rsidP="00E8716B">
      <w:pPr>
        <w:pStyle w:val="BodyText"/>
        <w:tabs>
          <w:tab w:val="left" w:pos="821"/>
        </w:tabs>
        <w:ind w:left="0" w:right="240"/>
        <w:jc w:val="both"/>
        <w:rPr>
          <w:rFonts w:asciiTheme="minorHAnsi" w:hAnsiTheme="minorHAnsi" w:cstheme="minorHAnsi"/>
          <w:sz w:val="22"/>
          <w:szCs w:val="22"/>
        </w:rPr>
      </w:pPr>
      <w:r>
        <w:rPr>
          <w:rFonts w:asciiTheme="minorHAnsi" w:hAnsiTheme="minorHAnsi" w:cstheme="minorHAnsi"/>
          <w:sz w:val="22"/>
          <w:szCs w:val="22"/>
        </w:rPr>
        <w:t>Leadership f</w:t>
      </w:r>
      <w:r w:rsidR="00991216" w:rsidRPr="00E8716B">
        <w:rPr>
          <w:rFonts w:asciiTheme="minorHAnsi" w:hAnsiTheme="minorHAnsi" w:cstheme="minorHAnsi"/>
          <w:sz w:val="22"/>
          <w:szCs w:val="22"/>
        </w:rPr>
        <w:t xml:space="preserve">unds </w:t>
      </w:r>
      <w:r w:rsidR="00707CD7">
        <w:rPr>
          <w:rFonts w:asciiTheme="minorHAnsi" w:hAnsiTheme="minorHAnsi" w:cstheme="minorHAnsi"/>
          <w:sz w:val="22"/>
          <w:szCs w:val="22"/>
        </w:rPr>
        <w:t>are</w:t>
      </w:r>
      <w:r w:rsidR="00991216" w:rsidRPr="00E8716B">
        <w:rPr>
          <w:rFonts w:asciiTheme="minorHAnsi" w:hAnsiTheme="minorHAnsi" w:cstheme="minorHAnsi"/>
          <w:sz w:val="22"/>
          <w:szCs w:val="22"/>
        </w:rPr>
        <w:t xml:space="preserve"> u</w:t>
      </w:r>
      <w:r>
        <w:rPr>
          <w:rFonts w:asciiTheme="minorHAnsi" w:hAnsiTheme="minorHAnsi" w:cstheme="minorHAnsi"/>
          <w:sz w:val="22"/>
          <w:szCs w:val="22"/>
        </w:rPr>
        <w:t xml:space="preserve">tilized </w:t>
      </w:r>
      <w:r w:rsidR="00991216" w:rsidRPr="00E8716B">
        <w:rPr>
          <w:rFonts w:asciiTheme="minorHAnsi" w:hAnsiTheme="minorHAnsi" w:cstheme="minorHAnsi"/>
          <w:sz w:val="22"/>
          <w:szCs w:val="22"/>
        </w:rPr>
        <w:t xml:space="preserve">to </w:t>
      </w:r>
      <w:r w:rsidR="00C430F1">
        <w:rPr>
          <w:rFonts w:asciiTheme="minorHAnsi" w:hAnsiTheme="minorHAnsi" w:cstheme="minorHAnsi"/>
          <w:sz w:val="22"/>
          <w:szCs w:val="22"/>
        </w:rPr>
        <w:t>support</w:t>
      </w:r>
      <w:r w:rsidR="00991216" w:rsidRPr="00E8716B">
        <w:rPr>
          <w:rFonts w:asciiTheme="minorHAnsi" w:hAnsiTheme="minorHAnsi" w:cstheme="minorHAnsi"/>
          <w:sz w:val="22"/>
          <w:szCs w:val="22"/>
        </w:rPr>
        <w:t xml:space="preserve"> </w:t>
      </w:r>
      <w:r>
        <w:rPr>
          <w:rFonts w:asciiTheme="minorHAnsi" w:hAnsiTheme="minorHAnsi" w:cstheme="minorHAnsi"/>
          <w:sz w:val="22"/>
          <w:szCs w:val="22"/>
        </w:rPr>
        <w:t>costs associated with adult education’s participati</w:t>
      </w:r>
      <w:r w:rsidR="00BB4F9D">
        <w:rPr>
          <w:rFonts w:asciiTheme="minorHAnsi" w:hAnsiTheme="minorHAnsi" w:cstheme="minorHAnsi"/>
          <w:sz w:val="22"/>
          <w:szCs w:val="22"/>
        </w:rPr>
        <w:t>on</w:t>
      </w:r>
      <w:r>
        <w:rPr>
          <w:rFonts w:asciiTheme="minorHAnsi" w:hAnsiTheme="minorHAnsi" w:cstheme="minorHAnsi"/>
          <w:sz w:val="22"/>
          <w:szCs w:val="22"/>
        </w:rPr>
        <w:t xml:space="preserve"> in the above activities </w:t>
      </w:r>
      <w:r w:rsidR="00BB4F9D">
        <w:rPr>
          <w:rFonts w:asciiTheme="minorHAnsi" w:hAnsiTheme="minorHAnsi" w:cstheme="minorHAnsi"/>
          <w:sz w:val="22"/>
          <w:szCs w:val="22"/>
        </w:rPr>
        <w:t xml:space="preserve">and </w:t>
      </w:r>
      <w:r>
        <w:rPr>
          <w:rFonts w:asciiTheme="minorHAnsi" w:hAnsiTheme="minorHAnsi" w:cstheme="minorHAnsi"/>
          <w:sz w:val="22"/>
          <w:szCs w:val="22"/>
        </w:rPr>
        <w:t>other a</w:t>
      </w:r>
      <w:r w:rsidR="00BB4F9D">
        <w:rPr>
          <w:rFonts w:asciiTheme="minorHAnsi" w:hAnsiTheme="minorHAnsi" w:cstheme="minorHAnsi"/>
          <w:sz w:val="22"/>
          <w:szCs w:val="22"/>
        </w:rPr>
        <w:t>ctivities</w:t>
      </w:r>
      <w:r>
        <w:rPr>
          <w:rFonts w:asciiTheme="minorHAnsi" w:hAnsiTheme="minorHAnsi" w:cstheme="minorHAnsi"/>
          <w:sz w:val="22"/>
          <w:szCs w:val="22"/>
        </w:rPr>
        <w:t xml:space="preserve"> relate</w:t>
      </w:r>
      <w:r w:rsidR="003800F4">
        <w:rPr>
          <w:rFonts w:asciiTheme="minorHAnsi" w:hAnsiTheme="minorHAnsi" w:cstheme="minorHAnsi"/>
          <w:sz w:val="22"/>
          <w:szCs w:val="22"/>
        </w:rPr>
        <w:t>d to the Alabama State P</w:t>
      </w:r>
      <w:r>
        <w:rPr>
          <w:rFonts w:asciiTheme="minorHAnsi" w:hAnsiTheme="minorHAnsi" w:cstheme="minorHAnsi"/>
          <w:sz w:val="22"/>
          <w:szCs w:val="22"/>
        </w:rPr>
        <w:t>lan</w:t>
      </w:r>
      <w:r w:rsidR="00991216" w:rsidRPr="00E8716B">
        <w:rPr>
          <w:rFonts w:asciiTheme="minorHAnsi" w:hAnsiTheme="minorHAnsi" w:cstheme="minorHAnsi"/>
          <w:sz w:val="22"/>
          <w:szCs w:val="22"/>
        </w:rPr>
        <w:t xml:space="preserve">. </w:t>
      </w:r>
    </w:p>
    <w:p w14:paraId="1860E305" w14:textId="57F1F7EE" w:rsidR="004D6EE4" w:rsidRPr="00935DAE" w:rsidRDefault="004D6EE4" w:rsidP="004D6EE4">
      <w:pPr>
        <w:pStyle w:val="BodyText"/>
        <w:tabs>
          <w:tab w:val="left" w:pos="821"/>
        </w:tabs>
        <w:ind w:right="240"/>
        <w:jc w:val="both"/>
        <w:rPr>
          <w:rFonts w:asciiTheme="minorHAnsi" w:hAnsiTheme="minorHAnsi" w:cstheme="minorHAnsi"/>
          <w:sz w:val="22"/>
          <w:szCs w:val="22"/>
          <w:highlight w:val="lightGray"/>
        </w:rPr>
      </w:pPr>
    </w:p>
    <w:p w14:paraId="312206C2" w14:textId="4515B5DE" w:rsidR="00991216" w:rsidRPr="00E64317" w:rsidRDefault="00A74870" w:rsidP="00B70CD9">
      <w:pPr>
        <w:pStyle w:val="BodyText"/>
        <w:numPr>
          <w:ilvl w:val="0"/>
          <w:numId w:val="17"/>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821"/>
        </w:tabs>
        <w:ind w:right="811"/>
        <w:jc w:val="both"/>
        <w:rPr>
          <w:rFonts w:asciiTheme="minorHAnsi" w:hAnsiTheme="minorHAnsi" w:cstheme="minorHAnsi"/>
          <w:i/>
          <w:iCs/>
          <w:spacing w:val="-1"/>
          <w:sz w:val="22"/>
          <w:szCs w:val="22"/>
        </w:rPr>
      </w:pPr>
      <w:r w:rsidRPr="00E64317">
        <w:rPr>
          <w:rFonts w:asciiTheme="minorHAnsi" w:hAnsiTheme="minorHAnsi" w:cstheme="minorHAnsi"/>
          <w:i/>
          <w:iCs/>
          <w:sz w:val="22"/>
          <w:szCs w:val="22"/>
        </w:rPr>
        <w:t xml:space="preserve">Establishment or </w:t>
      </w:r>
      <w:r w:rsidRPr="00E64317">
        <w:rPr>
          <w:rFonts w:asciiTheme="minorHAnsi" w:hAnsiTheme="minorHAnsi" w:cstheme="minorHAnsi"/>
          <w:i/>
          <w:iCs/>
          <w:spacing w:val="-1"/>
          <w:sz w:val="22"/>
          <w:szCs w:val="22"/>
        </w:rPr>
        <w:t>operation</w:t>
      </w:r>
      <w:r w:rsidRPr="00E64317">
        <w:rPr>
          <w:rFonts w:asciiTheme="minorHAnsi" w:hAnsiTheme="minorHAnsi" w:cstheme="minorHAnsi"/>
          <w:i/>
          <w:iCs/>
          <w:sz w:val="22"/>
          <w:szCs w:val="22"/>
        </w:rPr>
        <w:t xml:space="preserve"> of a high</w:t>
      </w:r>
      <w:r w:rsidRPr="00E64317">
        <w:rPr>
          <w:rFonts w:asciiTheme="minorHAnsi" w:hAnsiTheme="minorHAnsi" w:cstheme="minorHAnsi"/>
          <w:i/>
          <w:iCs/>
          <w:spacing w:val="-1"/>
          <w:sz w:val="22"/>
          <w:szCs w:val="22"/>
        </w:rPr>
        <w:t>-quality</w:t>
      </w:r>
      <w:r w:rsidRPr="00E64317">
        <w:rPr>
          <w:rFonts w:asciiTheme="minorHAnsi" w:hAnsiTheme="minorHAnsi" w:cstheme="minorHAnsi"/>
          <w:i/>
          <w:iCs/>
          <w:sz w:val="22"/>
          <w:szCs w:val="22"/>
        </w:rPr>
        <w:t xml:space="preserve"> professional </w:t>
      </w:r>
      <w:r w:rsidRPr="00E64317">
        <w:rPr>
          <w:rFonts w:asciiTheme="minorHAnsi" w:hAnsiTheme="minorHAnsi" w:cstheme="minorHAnsi"/>
          <w:i/>
          <w:iCs/>
          <w:spacing w:val="-1"/>
          <w:sz w:val="22"/>
          <w:szCs w:val="22"/>
        </w:rPr>
        <w:t>development</w:t>
      </w:r>
      <w:r w:rsidRPr="00E64317">
        <w:rPr>
          <w:rFonts w:asciiTheme="minorHAnsi" w:hAnsiTheme="minorHAnsi" w:cstheme="minorHAnsi"/>
          <w:i/>
          <w:iCs/>
          <w:sz w:val="22"/>
          <w:szCs w:val="22"/>
        </w:rPr>
        <w:t xml:space="preserve"> programs </w:t>
      </w:r>
      <w:r w:rsidRPr="00E64317">
        <w:rPr>
          <w:rFonts w:asciiTheme="minorHAnsi" w:hAnsiTheme="minorHAnsi" w:cstheme="minorHAnsi"/>
          <w:i/>
          <w:iCs/>
          <w:spacing w:val="-1"/>
          <w:sz w:val="22"/>
          <w:szCs w:val="22"/>
        </w:rPr>
        <w:t>as</w:t>
      </w:r>
      <w:r w:rsidRPr="00E64317">
        <w:rPr>
          <w:rFonts w:asciiTheme="minorHAnsi" w:hAnsiTheme="minorHAnsi" w:cstheme="minorHAnsi"/>
          <w:i/>
          <w:iCs/>
          <w:spacing w:val="35"/>
          <w:sz w:val="22"/>
          <w:szCs w:val="22"/>
        </w:rPr>
        <w:t xml:space="preserve"> </w:t>
      </w:r>
      <w:r w:rsidRPr="00E64317">
        <w:rPr>
          <w:rFonts w:asciiTheme="minorHAnsi" w:hAnsiTheme="minorHAnsi" w:cstheme="minorHAnsi"/>
          <w:i/>
          <w:iCs/>
          <w:spacing w:val="-1"/>
          <w:sz w:val="22"/>
          <w:szCs w:val="22"/>
        </w:rPr>
        <w:t>described</w:t>
      </w:r>
      <w:r w:rsidRPr="00E64317">
        <w:rPr>
          <w:rFonts w:asciiTheme="minorHAnsi" w:hAnsiTheme="minorHAnsi" w:cstheme="minorHAnsi"/>
          <w:i/>
          <w:iCs/>
          <w:sz w:val="22"/>
          <w:szCs w:val="22"/>
        </w:rPr>
        <w:t xml:space="preserve"> in section </w:t>
      </w:r>
      <w:r w:rsidRPr="00E64317">
        <w:rPr>
          <w:rFonts w:asciiTheme="minorHAnsi" w:hAnsiTheme="minorHAnsi" w:cstheme="minorHAnsi"/>
          <w:i/>
          <w:iCs/>
          <w:spacing w:val="-1"/>
          <w:sz w:val="22"/>
          <w:szCs w:val="22"/>
        </w:rPr>
        <w:t>223(1)(b).</w:t>
      </w:r>
      <w:r w:rsidR="00F52E9D" w:rsidRPr="00E64317">
        <w:rPr>
          <w:rFonts w:asciiTheme="minorHAnsi" w:hAnsiTheme="minorHAnsi" w:cstheme="minorHAnsi"/>
          <w:i/>
          <w:iCs/>
          <w:spacing w:val="-1"/>
          <w:sz w:val="22"/>
          <w:szCs w:val="22"/>
        </w:rPr>
        <w:t xml:space="preserve"> </w:t>
      </w:r>
    </w:p>
    <w:p w14:paraId="37B5D109" w14:textId="77777777" w:rsidR="00E8716B" w:rsidRPr="002F248A" w:rsidRDefault="00E8716B" w:rsidP="002F248A">
      <w:pPr>
        <w:pStyle w:val="BodyText"/>
        <w:tabs>
          <w:tab w:val="left" w:pos="821"/>
        </w:tabs>
        <w:ind w:left="0" w:right="811"/>
        <w:rPr>
          <w:rFonts w:asciiTheme="minorHAnsi" w:hAnsiTheme="minorHAnsi" w:cstheme="minorHAnsi"/>
          <w:sz w:val="22"/>
          <w:szCs w:val="22"/>
        </w:rPr>
      </w:pPr>
    </w:p>
    <w:p w14:paraId="7F1FCB8C" w14:textId="50F1BA92" w:rsidR="00404252" w:rsidRDefault="00404252" w:rsidP="00404252">
      <w:pPr>
        <w:widowControl/>
        <w:spacing w:after="160" w:line="256" w:lineRule="auto"/>
        <w:jc w:val="both"/>
        <w:rPr>
          <w:rFonts w:cstheme="minorHAnsi"/>
        </w:rPr>
      </w:pPr>
      <w:r>
        <w:rPr>
          <w:rFonts w:cstheme="minorHAnsi"/>
        </w:rPr>
        <w:t>The hallmark of Alabama Adult Education has always been to offer high quality professional development to all levels of practitioners.</w:t>
      </w:r>
      <w:r w:rsidRPr="00E8716B">
        <w:rPr>
          <w:rFonts w:cstheme="minorHAnsi"/>
        </w:rPr>
        <w:t xml:space="preserve"> </w:t>
      </w:r>
      <w:r>
        <w:rPr>
          <w:rFonts w:cstheme="minorHAnsi"/>
        </w:rPr>
        <w:t xml:space="preserve"> </w:t>
      </w:r>
      <w:r w:rsidR="008728A3">
        <w:rPr>
          <w:rFonts w:cstheme="minorHAnsi"/>
        </w:rPr>
        <w:t xml:space="preserve">Therefore, </w:t>
      </w:r>
      <w:r w:rsidRPr="00E8716B">
        <w:rPr>
          <w:rFonts w:cstheme="minorHAnsi"/>
        </w:rPr>
        <w:t xml:space="preserve">state leadership funds </w:t>
      </w:r>
      <w:r w:rsidR="008728A3">
        <w:rPr>
          <w:rFonts w:cstheme="minorHAnsi"/>
        </w:rPr>
        <w:t xml:space="preserve">were used </w:t>
      </w:r>
      <w:r w:rsidRPr="00E8716B">
        <w:rPr>
          <w:rFonts w:cstheme="minorHAnsi"/>
        </w:rPr>
        <w:t xml:space="preserve">to operate a </w:t>
      </w:r>
      <w:r w:rsidR="00B70434">
        <w:rPr>
          <w:rFonts w:cstheme="minorHAnsi"/>
        </w:rPr>
        <w:t>professional development</w:t>
      </w:r>
      <w:r w:rsidRPr="00E8716B">
        <w:rPr>
          <w:rFonts w:cstheme="minorHAnsi"/>
        </w:rPr>
        <w:t xml:space="preserve"> program</w:t>
      </w:r>
      <w:r>
        <w:rPr>
          <w:rFonts w:cstheme="minorHAnsi"/>
        </w:rPr>
        <w:t xml:space="preserve"> that encompasses face to face</w:t>
      </w:r>
      <w:r w:rsidR="008728A3">
        <w:rPr>
          <w:rFonts w:cstheme="minorHAnsi"/>
        </w:rPr>
        <w:t xml:space="preserve"> (f2f)</w:t>
      </w:r>
      <w:r>
        <w:rPr>
          <w:rFonts w:cstheme="minorHAnsi"/>
        </w:rPr>
        <w:t>, virtual, and hybrid</w:t>
      </w:r>
      <w:r w:rsidR="007514BB">
        <w:rPr>
          <w:rFonts w:cstheme="minorHAnsi"/>
        </w:rPr>
        <w:t xml:space="preserve"> approaches</w:t>
      </w:r>
      <w:r w:rsidRPr="00E8716B">
        <w:rPr>
          <w:rFonts w:cstheme="minorHAnsi"/>
        </w:rPr>
        <w:t xml:space="preserve">.  </w:t>
      </w:r>
      <w:r>
        <w:rPr>
          <w:rFonts w:cstheme="minorHAnsi"/>
        </w:rPr>
        <w:t xml:space="preserve">Certainly, the COVID-19 pandemic created challenges during the last couple of years, but it allowed us to be even more </w:t>
      </w:r>
      <w:r w:rsidR="003800F4">
        <w:rPr>
          <w:rFonts w:cstheme="minorHAnsi"/>
        </w:rPr>
        <w:lastRenderedPageBreak/>
        <w:t xml:space="preserve">strategic </w:t>
      </w:r>
      <w:r>
        <w:rPr>
          <w:rFonts w:cstheme="minorHAnsi"/>
        </w:rPr>
        <w:t xml:space="preserve">and purposeful in our </w:t>
      </w:r>
      <w:r w:rsidR="007514BB">
        <w:rPr>
          <w:rFonts w:cstheme="minorHAnsi"/>
        </w:rPr>
        <w:t>offerings</w:t>
      </w:r>
      <w:r>
        <w:rPr>
          <w:rFonts w:cstheme="minorHAnsi"/>
        </w:rPr>
        <w:t>.</w:t>
      </w:r>
      <w:r w:rsidR="0048583C">
        <w:rPr>
          <w:rFonts w:cstheme="minorHAnsi"/>
        </w:rPr>
        <w:t xml:space="preserve">  For example, many trainings featured the utilization of virtual platforms such as Zoom, Webex, and Microsoft teams that</w:t>
      </w:r>
      <w:r w:rsidR="003800F4">
        <w:rPr>
          <w:rFonts w:cstheme="minorHAnsi"/>
        </w:rPr>
        <w:t>,</w:t>
      </w:r>
      <w:r w:rsidR="0048583C">
        <w:rPr>
          <w:rFonts w:cstheme="minorHAnsi"/>
        </w:rPr>
        <w:t xml:space="preserve"> prior to COVID</w:t>
      </w:r>
      <w:r w:rsidR="003800F4">
        <w:rPr>
          <w:rFonts w:cstheme="minorHAnsi"/>
        </w:rPr>
        <w:t>, were</w:t>
      </w:r>
      <w:r w:rsidR="0048583C">
        <w:rPr>
          <w:rFonts w:cstheme="minorHAnsi"/>
        </w:rPr>
        <w:t xml:space="preserve"> used </w:t>
      </w:r>
      <w:r w:rsidR="002B3FB6">
        <w:rPr>
          <w:rFonts w:cstheme="minorHAnsi"/>
        </w:rPr>
        <w:t xml:space="preserve">minimally </w:t>
      </w:r>
      <w:r w:rsidR="0048583C">
        <w:rPr>
          <w:rFonts w:cstheme="minorHAnsi"/>
        </w:rPr>
        <w:t xml:space="preserve">as </w:t>
      </w:r>
      <w:r w:rsidR="002B3FB6">
        <w:rPr>
          <w:rFonts w:cstheme="minorHAnsi"/>
        </w:rPr>
        <w:t>compared to</w:t>
      </w:r>
      <w:r w:rsidR="0048583C">
        <w:rPr>
          <w:rFonts w:cstheme="minorHAnsi"/>
        </w:rPr>
        <w:t xml:space="preserve"> today</w:t>
      </w:r>
      <w:r w:rsidR="002B3FB6">
        <w:rPr>
          <w:rFonts w:cstheme="minorHAnsi"/>
        </w:rPr>
        <w:t>’s new reality</w:t>
      </w:r>
      <w:r w:rsidR="0048583C">
        <w:rPr>
          <w:rFonts w:cstheme="minorHAnsi"/>
        </w:rPr>
        <w:t xml:space="preserve">.  </w:t>
      </w:r>
      <w:r w:rsidR="00866453">
        <w:rPr>
          <w:rFonts w:cstheme="minorHAnsi"/>
        </w:rPr>
        <w:t>The virtual training allows for more timely and diverse topics to be presented l</w:t>
      </w:r>
      <w:r w:rsidR="003800F4">
        <w:rPr>
          <w:rFonts w:cstheme="minorHAnsi"/>
        </w:rPr>
        <w:t>ive and recorded for posterity, thus</w:t>
      </w:r>
      <w:r w:rsidR="00866453">
        <w:rPr>
          <w:rFonts w:cstheme="minorHAnsi"/>
        </w:rPr>
        <w:t xml:space="preserve"> allowing effectiveness and efficiency in the professional development model.</w:t>
      </w:r>
      <w:r w:rsidR="002B3FB6">
        <w:rPr>
          <w:rFonts w:cstheme="minorHAnsi"/>
        </w:rPr>
        <w:t xml:space="preserve">  </w:t>
      </w:r>
    </w:p>
    <w:p w14:paraId="2AAD6F58" w14:textId="5D38E30B" w:rsidR="00690669" w:rsidRPr="00E8716B" w:rsidRDefault="002D5BA0" w:rsidP="00690669">
      <w:pPr>
        <w:widowControl/>
        <w:spacing w:after="160" w:line="256" w:lineRule="auto"/>
        <w:jc w:val="both"/>
        <w:rPr>
          <w:rFonts w:cstheme="minorHAnsi"/>
          <w:spacing w:val="-1"/>
        </w:rPr>
      </w:pPr>
      <w:r>
        <w:rPr>
          <w:rFonts w:cstheme="minorHAnsi"/>
          <w:spacing w:val="-1"/>
        </w:rPr>
        <w:t>To bring about some sense of normalcy in PY 2020-2021</w:t>
      </w:r>
      <w:r w:rsidR="003800F4">
        <w:rPr>
          <w:rFonts w:cstheme="minorHAnsi"/>
          <w:spacing w:val="-1"/>
        </w:rPr>
        <w:t>,</w:t>
      </w:r>
      <w:r>
        <w:rPr>
          <w:rFonts w:cstheme="minorHAnsi"/>
          <w:spacing w:val="-1"/>
        </w:rPr>
        <w:t xml:space="preserve"> the </w:t>
      </w:r>
      <w:r w:rsidR="00690669">
        <w:rPr>
          <w:rFonts w:cstheme="minorHAnsi"/>
          <w:spacing w:val="-1"/>
        </w:rPr>
        <w:t xml:space="preserve">annual </w:t>
      </w:r>
      <w:r w:rsidR="00690669" w:rsidRPr="00E8716B">
        <w:rPr>
          <w:rFonts w:cstheme="minorHAnsi"/>
          <w:spacing w:val="-1"/>
        </w:rPr>
        <w:t>A</w:t>
      </w:r>
      <w:r w:rsidR="00690669">
        <w:rPr>
          <w:rFonts w:cstheme="minorHAnsi"/>
          <w:spacing w:val="-1"/>
        </w:rPr>
        <w:t xml:space="preserve">dult </w:t>
      </w:r>
      <w:r w:rsidR="00690669" w:rsidRPr="00E8716B">
        <w:rPr>
          <w:rFonts w:cstheme="minorHAnsi"/>
          <w:spacing w:val="-1"/>
        </w:rPr>
        <w:t>E</w:t>
      </w:r>
      <w:r w:rsidR="00690669">
        <w:rPr>
          <w:rFonts w:cstheme="minorHAnsi"/>
          <w:spacing w:val="-1"/>
        </w:rPr>
        <w:t>ducation</w:t>
      </w:r>
      <w:r w:rsidR="00690669" w:rsidRPr="00E8716B">
        <w:rPr>
          <w:rFonts w:cstheme="minorHAnsi"/>
          <w:spacing w:val="-1"/>
        </w:rPr>
        <w:t xml:space="preserve"> Summer Conference was held in Birmingham </w:t>
      </w:r>
      <w:r w:rsidR="0041053D">
        <w:rPr>
          <w:rFonts w:cstheme="minorHAnsi"/>
          <w:spacing w:val="-1"/>
        </w:rPr>
        <w:t xml:space="preserve">on </w:t>
      </w:r>
      <w:r w:rsidR="00690669" w:rsidRPr="00E8716B">
        <w:rPr>
          <w:rFonts w:cstheme="minorHAnsi"/>
          <w:spacing w:val="-1"/>
        </w:rPr>
        <w:t>June</w:t>
      </w:r>
      <w:r w:rsidR="0041053D">
        <w:rPr>
          <w:rFonts w:cstheme="minorHAnsi"/>
          <w:spacing w:val="-1"/>
        </w:rPr>
        <w:t xml:space="preserve"> 9, 10, and 11</w:t>
      </w:r>
      <w:r w:rsidR="00690669" w:rsidRPr="00E8716B">
        <w:rPr>
          <w:rFonts w:cstheme="minorHAnsi"/>
          <w:spacing w:val="-1"/>
        </w:rPr>
        <w:t>.  Attendees had the option to attend in</w:t>
      </w:r>
      <w:r w:rsidR="0041053D">
        <w:rPr>
          <w:rFonts w:cstheme="minorHAnsi"/>
          <w:spacing w:val="-1"/>
        </w:rPr>
        <w:t>-</w:t>
      </w:r>
      <w:r w:rsidR="00690669" w:rsidRPr="00E8716B">
        <w:rPr>
          <w:rFonts w:cstheme="minorHAnsi"/>
          <w:spacing w:val="-1"/>
        </w:rPr>
        <w:t xml:space="preserve">person or virtually. </w:t>
      </w:r>
      <w:r w:rsidR="0041053D">
        <w:rPr>
          <w:rFonts w:cstheme="minorHAnsi"/>
          <w:spacing w:val="-1"/>
        </w:rPr>
        <w:t xml:space="preserve"> The conference was well attended with 248 </w:t>
      </w:r>
      <w:r w:rsidR="00216A59">
        <w:rPr>
          <w:rFonts w:cstheme="minorHAnsi"/>
          <w:spacing w:val="-1"/>
        </w:rPr>
        <w:t xml:space="preserve">practitioners </w:t>
      </w:r>
      <w:r w:rsidR="0041053D">
        <w:rPr>
          <w:rFonts w:cstheme="minorHAnsi"/>
          <w:spacing w:val="-1"/>
        </w:rPr>
        <w:t xml:space="preserve">attending in person and 179 attending virtually.  Session topics </w:t>
      </w:r>
      <w:r w:rsidR="005E1E35">
        <w:rPr>
          <w:rFonts w:cstheme="minorHAnsi"/>
          <w:spacing w:val="-1"/>
        </w:rPr>
        <w:t>spanned the field of adult education from literacy to numeracy, high school equivalency to workforce development, contextualized instruction to integrated education</w:t>
      </w:r>
      <w:r w:rsidR="00F848CE">
        <w:rPr>
          <w:rFonts w:cstheme="minorHAnsi"/>
          <w:spacing w:val="-1"/>
        </w:rPr>
        <w:t xml:space="preserve"> and training for all categories of learners</w:t>
      </w:r>
      <w:r w:rsidR="00152360">
        <w:rPr>
          <w:rFonts w:cstheme="minorHAnsi"/>
          <w:spacing w:val="-1"/>
        </w:rPr>
        <w:t xml:space="preserve"> with barriers</w:t>
      </w:r>
      <w:r w:rsidR="00F848CE">
        <w:rPr>
          <w:rFonts w:cstheme="minorHAnsi"/>
          <w:spacing w:val="-1"/>
        </w:rPr>
        <w:t xml:space="preserve">, including English Language Learners, and </w:t>
      </w:r>
      <w:r>
        <w:rPr>
          <w:rFonts w:cstheme="minorHAnsi"/>
          <w:spacing w:val="-1"/>
        </w:rPr>
        <w:t xml:space="preserve">the </w:t>
      </w:r>
      <w:r w:rsidR="00F848CE">
        <w:rPr>
          <w:rFonts w:cstheme="minorHAnsi"/>
          <w:spacing w:val="-1"/>
        </w:rPr>
        <w:t>incarcerated.  We also had the pleasure of having the Community College Workforce Solution Directors attend</w:t>
      </w:r>
      <w:r>
        <w:rPr>
          <w:rFonts w:cstheme="minorHAnsi"/>
          <w:spacing w:val="-1"/>
        </w:rPr>
        <w:t xml:space="preserve"> </w:t>
      </w:r>
      <w:r w:rsidR="00152360">
        <w:rPr>
          <w:rFonts w:cstheme="minorHAnsi"/>
          <w:spacing w:val="-1"/>
        </w:rPr>
        <w:t xml:space="preserve">which validates </w:t>
      </w:r>
      <w:r>
        <w:rPr>
          <w:rFonts w:cstheme="minorHAnsi"/>
          <w:spacing w:val="-1"/>
        </w:rPr>
        <w:t>the importan</w:t>
      </w:r>
      <w:r w:rsidR="00152360">
        <w:rPr>
          <w:rFonts w:cstheme="minorHAnsi"/>
          <w:spacing w:val="-1"/>
        </w:rPr>
        <w:t>t role adult education plays in economic and workforce development</w:t>
      </w:r>
      <w:r w:rsidR="00182D5B">
        <w:rPr>
          <w:rFonts w:cstheme="minorHAnsi"/>
          <w:spacing w:val="-1"/>
        </w:rPr>
        <w:t>.</w:t>
      </w:r>
      <w:r w:rsidR="005C6FD2">
        <w:rPr>
          <w:rFonts w:cstheme="minorHAnsi"/>
          <w:spacing w:val="-1"/>
        </w:rPr>
        <w:t xml:space="preserve"> </w:t>
      </w:r>
      <w:r w:rsidR="00182D5B">
        <w:rPr>
          <w:rFonts w:cstheme="minorHAnsi"/>
          <w:spacing w:val="-1"/>
        </w:rPr>
        <w:t xml:space="preserve">Many of their sessions addressed the </w:t>
      </w:r>
      <w:r w:rsidR="00152360">
        <w:rPr>
          <w:rFonts w:cstheme="minorHAnsi"/>
          <w:spacing w:val="-1"/>
        </w:rPr>
        <w:t xml:space="preserve">contextualization and integration of education </w:t>
      </w:r>
      <w:r w:rsidR="00B7710D">
        <w:rPr>
          <w:rFonts w:cstheme="minorHAnsi"/>
          <w:spacing w:val="-1"/>
        </w:rPr>
        <w:t>and skills.</w:t>
      </w:r>
      <w:r w:rsidR="00152360">
        <w:rPr>
          <w:rFonts w:cstheme="minorHAnsi"/>
          <w:spacing w:val="-1"/>
        </w:rPr>
        <w:t xml:space="preserve"> </w:t>
      </w:r>
      <w:r w:rsidR="00F848CE">
        <w:rPr>
          <w:rFonts w:cstheme="minorHAnsi"/>
          <w:spacing w:val="-1"/>
        </w:rPr>
        <w:t xml:space="preserve">  </w:t>
      </w:r>
    </w:p>
    <w:p w14:paraId="766E9ABD" w14:textId="15319630" w:rsidR="00404252" w:rsidRPr="00E8716B" w:rsidRDefault="002D5BA0" w:rsidP="00404252">
      <w:pPr>
        <w:widowControl/>
        <w:spacing w:after="160" w:line="256" w:lineRule="auto"/>
        <w:jc w:val="both"/>
        <w:rPr>
          <w:rFonts w:cstheme="minorHAnsi"/>
        </w:rPr>
      </w:pPr>
      <w:r>
        <w:rPr>
          <w:rFonts w:cstheme="minorHAnsi"/>
        </w:rPr>
        <w:t xml:space="preserve">Specific </w:t>
      </w:r>
      <w:r w:rsidR="00216A59">
        <w:rPr>
          <w:rFonts w:cstheme="minorHAnsi"/>
        </w:rPr>
        <w:t xml:space="preserve">national </w:t>
      </w:r>
      <w:r w:rsidR="006228CD">
        <w:rPr>
          <w:rFonts w:cstheme="minorHAnsi"/>
        </w:rPr>
        <w:t xml:space="preserve">and state </w:t>
      </w:r>
      <w:r w:rsidR="00216A59">
        <w:rPr>
          <w:rFonts w:cstheme="minorHAnsi"/>
        </w:rPr>
        <w:t xml:space="preserve">level </w:t>
      </w:r>
      <w:r>
        <w:rPr>
          <w:rFonts w:cstheme="minorHAnsi"/>
        </w:rPr>
        <w:t>professional development hi</w:t>
      </w:r>
      <w:r w:rsidR="00404252" w:rsidRPr="00E8716B">
        <w:rPr>
          <w:rFonts w:cstheme="minorHAnsi"/>
        </w:rPr>
        <w:t xml:space="preserve">ghlights for PY 2020-2021 </w:t>
      </w:r>
      <w:r w:rsidR="0097460A">
        <w:rPr>
          <w:rFonts w:cstheme="minorHAnsi"/>
        </w:rPr>
        <w:t xml:space="preserve">include </w:t>
      </w:r>
      <w:r w:rsidR="00216A59">
        <w:rPr>
          <w:rFonts w:cstheme="minorHAnsi"/>
        </w:rPr>
        <w:t>being selected to participate</w:t>
      </w:r>
      <w:r w:rsidR="005C6143">
        <w:rPr>
          <w:rFonts w:cstheme="minorHAnsi"/>
        </w:rPr>
        <w:t xml:space="preserve"> in </w:t>
      </w:r>
      <w:r w:rsidR="005C6143" w:rsidRPr="00E8716B">
        <w:rPr>
          <w:rFonts w:cstheme="minorHAnsi"/>
        </w:rPr>
        <w:t>the</w:t>
      </w:r>
      <w:r w:rsidR="00F848CE">
        <w:rPr>
          <w:rFonts w:cstheme="minorHAnsi"/>
        </w:rPr>
        <w:t xml:space="preserve"> </w:t>
      </w:r>
      <w:r w:rsidR="00404252" w:rsidRPr="005C6143">
        <w:rPr>
          <w:rFonts w:cstheme="minorHAnsi"/>
          <w:b/>
          <w:bCs/>
        </w:rPr>
        <w:t>LEAD Institute</w:t>
      </w:r>
      <w:r w:rsidR="00404252" w:rsidRPr="00E8716B">
        <w:rPr>
          <w:rFonts w:cstheme="minorHAnsi"/>
        </w:rPr>
        <w:t xml:space="preserve"> (</w:t>
      </w:r>
      <w:r w:rsidR="00404252" w:rsidRPr="00F848CE">
        <w:rPr>
          <w:rFonts w:cstheme="minorHAnsi"/>
          <w:i/>
          <w:iCs/>
        </w:rPr>
        <w:t>sponsored by NASDAE and AIR</w:t>
      </w:r>
      <w:r w:rsidR="00404252" w:rsidRPr="00E8716B">
        <w:rPr>
          <w:rFonts w:cstheme="minorHAnsi"/>
        </w:rPr>
        <w:t>)</w:t>
      </w:r>
      <w:r w:rsidR="00F848CE">
        <w:rPr>
          <w:rFonts w:cstheme="minorHAnsi"/>
        </w:rPr>
        <w:t xml:space="preserve"> and </w:t>
      </w:r>
      <w:r w:rsidR="00404252" w:rsidRPr="00E8716B">
        <w:rPr>
          <w:rFonts w:cstheme="minorHAnsi"/>
        </w:rPr>
        <w:t xml:space="preserve">OCTAE’s </w:t>
      </w:r>
      <w:r w:rsidR="00404252" w:rsidRPr="005C6143">
        <w:rPr>
          <w:rFonts w:cstheme="minorHAnsi"/>
          <w:b/>
          <w:bCs/>
        </w:rPr>
        <w:t>Teaching the Skills that Matter</w:t>
      </w:r>
      <w:r w:rsidR="00404252" w:rsidRPr="00E8716B">
        <w:rPr>
          <w:rFonts w:cstheme="minorHAnsi"/>
        </w:rPr>
        <w:t xml:space="preserve"> (TSTM) </w:t>
      </w:r>
      <w:r w:rsidR="00F848CE">
        <w:rPr>
          <w:rFonts w:cstheme="minorHAnsi"/>
        </w:rPr>
        <w:t>t</w:t>
      </w:r>
      <w:r w:rsidR="00404252" w:rsidRPr="00E8716B">
        <w:rPr>
          <w:rFonts w:cstheme="minorHAnsi"/>
        </w:rPr>
        <w:t>raining</w:t>
      </w:r>
      <w:r w:rsidR="00F848CE">
        <w:rPr>
          <w:rFonts w:cstheme="minorHAnsi"/>
        </w:rPr>
        <w:t xml:space="preserve">.  </w:t>
      </w:r>
      <w:r w:rsidR="00404252" w:rsidRPr="00E8716B">
        <w:rPr>
          <w:rFonts w:cstheme="minorHAnsi"/>
        </w:rPr>
        <w:t xml:space="preserve"> </w:t>
      </w:r>
      <w:r w:rsidR="00F848CE">
        <w:rPr>
          <w:rFonts w:cstheme="minorHAnsi"/>
        </w:rPr>
        <w:t xml:space="preserve">The state </w:t>
      </w:r>
      <w:r w:rsidR="006228CD">
        <w:rPr>
          <w:rFonts w:cstheme="minorHAnsi"/>
        </w:rPr>
        <w:t xml:space="preserve">also </w:t>
      </w:r>
      <w:r w:rsidR="0097460A">
        <w:rPr>
          <w:rFonts w:cstheme="minorHAnsi"/>
        </w:rPr>
        <w:t xml:space="preserve">conducted specific virtual training </w:t>
      </w:r>
      <w:r w:rsidR="00B9269C">
        <w:rPr>
          <w:rFonts w:cstheme="minorHAnsi"/>
        </w:rPr>
        <w:t>in</w:t>
      </w:r>
      <w:r w:rsidR="00216A59">
        <w:rPr>
          <w:rFonts w:cstheme="minorHAnsi"/>
        </w:rPr>
        <w:t xml:space="preserve"> </w:t>
      </w:r>
      <w:r w:rsidR="005C6143">
        <w:rPr>
          <w:rFonts w:cstheme="minorHAnsi"/>
        </w:rPr>
        <w:t>state</w:t>
      </w:r>
      <w:r w:rsidR="0097460A">
        <w:rPr>
          <w:rFonts w:cstheme="minorHAnsi"/>
        </w:rPr>
        <w:t xml:space="preserve"> </w:t>
      </w:r>
      <w:r w:rsidR="00404252" w:rsidRPr="00E8716B">
        <w:rPr>
          <w:rFonts w:cstheme="minorHAnsi"/>
        </w:rPr>
        <w:t>assessment policy, N</w:t>
      </w:r>
      <w:r w:rsidR="0097460A">
        <w:rPr>
          <w:rFonts w:cstheme="minorHAnsi"/>
        </w:rPr>
        <w:t xml:space="preserve">ational </w:t>
      </w:r>
      <w:r w:rsidR="00404252" w:rsidRPr="00E8716B">
        <w:rPr>
          <w:rFonts w:cstheme="minorHAnsi"/>
        </w:rPr>
        <w:t>R</w:t>
      </w:r>
      <w:r w:rsidR="0097460A">
        <w:rPr>
          <w:rFonts w:cstheme="minorHAnsi"/>
        </w:rPr>
        <w:t xml:space="preserve">eporting </w:t>
      </w:r>
      <w:r w:rsidR="00404252" w:rsidRPr="00E8716B">
        <w:rPr>
          <w:rFonts w:cstheme="minorHAnsi"/>
        </w:rPr>
        <w:t>S</w:t>
      </w:r>
      <w:r w:rsidR="0097460A">
        <w:rPr>
          <w:rFonts w:cstheme="minorHAnsi"/>
        </w:rPr>
        <w:t xml:space="preserve">ystem (NRS) </w:t>
      </w:r>
      <w:r w:rsidR="00B9269C">
        <w:rPr>
          <w:rFonts w:cstheme="minorHAnsi"/>
        </w:rPr>
        <w:t>p</w:t>
      </w:r>
      <w:r w:rsidR="0097460A">
        <w:rPr>
          <w:rFonts w:cstheme="minorHAnsi"/>
        </w:rPr>
        <w:t xml:space="preserve">erformance </w:t>
      </w:r>
      <w:r w:rsidR="00B9269C">
        <w:rPr>
          <w:rFonts w:cstheme="minorHAnsi"/>
        </w:rPr>
        <w:t>m</w:t>
      </w:r>
      <w:r w:rsidR="0097460A">
        <w:rPr>
          <w:rFonts w:cstheme="minorHAnsi"/>
        </w:rPr>
        <w:t>easures</w:t>
      </w:r>
      <w:r w:rsidR="00404252" w:rsidRPr="00E8716B">
        <w:rPr>
          <w:rFonts w:cstheme="minorHAnsi"/>
        </w:rPr>
        <w:t xml:space="preserve">, and </w:t>
      </w:r>
      <w:r w:rsidR="00B9269C">
        <w:rPr>
          <w:rFonts w:cstheme="minorHAnsi"/>
        </w:rPr>
        <w:t>c</w:t>
      </w:r>
      <w:r w:rsidR="00404252" w:rsidRPr="00E8716B">
        <w:rPr>
          <w:rFonts w:cstheme="minorHAnsi"/>
        </w:rPr>
        <w:t xml:space="preserve">ompliance </w:t>
      </w:r>
      <w:r w:rsidR="00B9269C">
        <w:rPr>
          <w:rFonts w:cstheme="minorHAnsi"/>
        </w:rPr>
        <w:t>m</w:t>
      </w:r>
      <w:r w:rsidR="00404252" w:rsidRPr="00E8716B">
        <w:rPr>
          <w:rFonts w:cstheme="minorHAnsi"/>
        </w:rPr>
        <w:t>onitoring training.</w:t>
      </w:r>
    </w:p>
    <w:p w14:paraId="22AF82A3" w14:textId="77777777" w:rsidR="00F52E9D" w:rsidRPr="00B42B0D" w:rsidRDefault="00F52E9D" w:rsidP="00B42B0D">
      <w:pPr>
        <w:rPr>
          <w:rFonts w:cstheme="minorHAnsi"/>
        </w:rPr>
      </w:pPr>
    </w:p>
    <w:p w14:paraId="6CB02E72" w14:textId="14420639" w:rsidR="00A74870" w:rsidRPr="0060206B" w:rsidRDefault="002F248A" w:rsidP="00B70CD9">
      <w:pPr>
        <w:pStyle w:val="BodyText"/>
        <w:numPr>
          <w:ilvl w:val="0"/>
          <w:numId w:val="17"/>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821"/>
        </w:tabs>
        <w:ind w:right="726"/>
        <w:jc w:val="both"/>
        <w:rPr>
          <w:rFonts w:asciiTheme="minorHAnsi" w:hAnsiTheme="minorHAnsi" w:cstheme="minorHAnsi"/>
          <w:i/>
          <w:iCs/>
          <w:sz w:val="22"/>
          <w:szCs w:val="22"/>
        </w:rPr>
      </w:pPr>
      <w:r w:rsidRPr="0060206B">
        <w:rPr>
          <w:rFonts w:asciiTheme="minorHAnsi" w:hAnsiTheme="minorHAnsi" w:cstheme="minorHAnsi"/>
          <w:i/>
          <w:iCs/>
          <w:sz w:val="22"/>
          <w:szCs w:val="22"/>
        </w:rPr>
        <w:t xml:space="preserve">  </w:t>
      </w:r>
      <w:r w:rsidR="00A74870" w:rsidRPr="0060206B">
        <w:rPr>
          <w:rFonts w:asciiTheme="minorHAnsi" w:hAnsiTheme="minorHAnsi" w:cstheme="minorHAnsi"/>
          <w:i/>
          <w:iCs/>
          <w:spacing w:val="-1"/>
          <w:sz w:val="22"/>
          <w:szCs w:val="22"/>
        </w:rPr>
        <w:t>Provision</w:t>
      </w:r>
      <w:r w:rsidR="00A74870" w:rsidRPr="0060206B">
        <w:rPr>
          <w:rFonts w:asciiTheme="minorHAnsi" w:hAnsiTheme="minorHAnsi" w:cstheme="minorHAnsi"/>
          <w:i/>
          <w:iCs/>
          <w:sz w:val="22"/>
          <w:szCs w:val="22"/>
        </w:rPr>
        <w:t xml:space="preserve"> of</w:t>
      </w:r>
      <w:r w:rsidR="00A74870" w:rsidRPr="0060206B">
        <w:rPr>
          <w:rFonts w:asciiTheme="minorHAnsi" w:hAnsiTheme="minorHAnsi" w:cstheme="minorHAnsi"/>
          <w:i/>
          <w:iCs/>
          <w:spacing w:val="-1"/>
          <w:sz w:val="22"/>
          <w:szCs w:val="22"/>
        </w:rPr>
        <w:t xml:space="preserve"> technical</w:t>
      </w:r>
      <w:r w:rsidR="00A74870" w:rsidRPr="0060206B">
        <w:rPr>
          <w:rFonts w:asciiTheme="minorHAnsi" w:hAnsiTheme="minorHAnsi" w:cstheme="minorHAnsi"/>
          <w:i/>
          <w:iCs/>
          <w:sz w:val="22"/>
          <w:szCs w:val="22"/>
        </w:rPr>
        <w:t xml:space="preserve"> </w:t>
      </w:r>
      <w:r w:rsidR="00A74870" w:rsidRPr="0060206B">
        <w:rPr>
          <w:rFonts w:asciiTheme="minorHAnsi" w:hAnsiTheme="minorHAnsi" w:cstheme="minorHAnsi"/>
          <w:i/>
          <w:iCs/>
          <w:spacing w:val="-1"/>
          <w:sz w:val="22"/>
          <w:szCs w:val="22"/>
        </w:rPr>
        <w:t>assistance</w:t>
      </w:r>
      <w:r w:rsidR="00A74870" w:rsidRPr="0060206B">
        <w:rPr>
          <w:rFonts w:asciiTheme="minorHAnsi" w:hAnsiTheme="minorHAnsi" w:cstheme="minorHAnsi"/>
          <w:i/>
          <w:iCs/>
          <w:sz w:val="22"/>
          <w:szCs w:val="22"/>
        </w:rPr>
        <w:t xml:space="preserve"> to</w:t>
      </w:r>
      <w:r w:rsidR="00A74870" w:rsidRPr="0060206B">
        <w:rPr>
          <w:rFonts w:asciiTheme="minorHAnsi" w:hAnsiTheme="minorHAnsi" w:cstheme="minorHAnsi"/>
          <w:i/>
          <w:iCs/>
          <w:spacing w:val="-1"/>
          <w:sz w:val="22"/>
          <w:szCs w:val="22"/>
        </w:rPr>
        <w:t xml:space="preserve"> </w:t>
      </w:r>
      <w:r w:rsidR="00A74870" w:rsidRPr="0060206B">
        <w:rPr>
          <w:rFonts w:asciiTheme="minorHAnsi" w:hAnsiTheme="minorHAnsi" w:cstheme="minorHAnsi"/>
          <w:i/>
          <w:iCs/>
          <w:sz w:val="22"/>
          <w:szCs w:val="22"/>
        </w:rPr>
        <w:t xml:space="preserve">funded </w:t>
      </w:r>
      <w:r w:rsidR="00A74870" w:rsidRPr="0060206B">
        <w:rPr>
          <w:rFonts w:asciiTheme="minorHAnsi" w:hAnsiTheme="minorHAnsi" w:cstheme="minorHAnsi"/>
          <w:i/>
          <w:iCs/>
          <w:spacing w:val="-1"/>
          <w:sz w:val="22"/>
          <w:szCs w:val="22"/>
        </w:rPr>
        <w:t>eligible</w:t>
      </w:r>
      <w:r w:rsidR="00A74870" w:rsidRPr="0060206B">
        <w:rPr>
          <w:rFonts w:asciiTheme="minorHAnsi" w:hAnsiTheme="minorHAnsi" w:cstheme="minorHAnsi"/>
          <w:i/>
          <w:iCs/>
          <w:sz w:val="22"/>
          <w:szCs w:val="22"/>
        </w:rPr>
        <w:t xml:space="preserve"> providers</w:t>
      </w:r>
      <w:r w:rsidR="00A74870" w:rsidRPr="0060206B">
        <w:rPr>
          <w:rFonts w:asciiTheme="minorHAnsi" w:hAnsiTheme="minorHAnsi" w:cstheme="minorHAnsi"/>
          <w:i/>
          <w:iCs/>
          <w:spacing w:val="-1"/>
          <w:sz w:val="22"/>
          <w:szCs w:val="22"/>
        </w:rPr>
        <w:t xml:space="preserve"> </w:t>
      </w:r>
      <w:r w:rsidR="00A74870" w:rsidRPr="0060206B">
        <w:rPr>
          <w:rFonts w:asciiTheme="minorHAnsi" w:hAnsiTheme="minorHAnsi" w:cstheme="minorHAnsi"/>
          <w:i/>
          <w:iCs/>
          <w:sz w:val="22"/>
          <w:szCs w:val="22"/>
        </w:rPr>
        <w:t>as described</w:t>
      </w:r>
      <w:r w:rsidR="00A74870" w:rsidRPr="0060206B">
        <w:rPr>
          <w:rFonts w:asciiTheme="minorHAnsi" w:hAnsiTheme="minorHAnsi" w:cstheme="minorHAnsi"/>
          <w:i/>
          <w:iCs/>
          <w:spacing w:val="-1"/>
          <w:sz w:val="22"/>
          <w:szCs w:val="22"/>
        </w:rPr>
        <w:t xml:space="preserve"> </w:t>
      </w:r>
      <w:r w:rsidR="00A74870" w:rsidRPr="0060206B">
        <w:rPr>
          <w:rFonts w:asciiTheme="minorHAnsi" w:hAnsiTheme="minorHAnsi" w:cstheme="minorHAnsi"/>
          <w:i/>
          <w:iCs/>
          <w:sz w:val="22"/>
          <w:szCs w:val="22"/>
        </w:rPr>
        <w:t xml:space="preserve">in </w:t>
      </w:r>
      <w:r w:rsidR="00A74870" w:rsidRPr="0060206B">
        <w:rPr>
          <w:rFonts w:asciiTheme="minorHAnsi" w:hAnsiTheme="minorHAnsi" w:cstheme="minorHAnsi"/>
          <w:i/>
          <w:iCs/>
          <w:spacing w:val="-1"/>
          <w:sz w:val="22"/>
          <w:szCs w:val="22"/>
        </w:rPr>
        <w:t>section</w:t>
      </w:r>
      <w:r w:rsidR="00A74870" w:rsidRPr="0060206B">
        <w:rPr>
          <w:rFonts w:asciiTheme="minorHAnsi" w:hAnsiTheme="minorHAnsi" w:cstheme="minorHAnsi"/>
          <w:i/>
          <w:iCs/>
          <w:spacing w:val="71"/>
          <w:sz w:val="22"/>
          <w:szCs w:val="22"/>
        </w:rPr>
        <w:t xml:space="preserve"> </w:t>
      </w:r>
      <w:r w:rsidR="00A74870" w:rsidRPr="0060206B">
        <w:rPr>
          <w:rFonts w:asciiTheme="minorHAnsi" w:hAnsiTheme="minorHAnsi" w:cstheme="minorHAnsi"/>
          <w:i/>
          <w:iCs/>
          <w:spacing w:val="-1"/>
          <w:sz w:val="22"/>
          <w:szCs w:val="22"/>
        </w:rPr>
        <w:t>223(1)(c).</w:t>
      </w:r>
    </w:p>
    <w:p w14:paraId="44B1A362" w14:textId="77777777" w:rsidR="00E8716B" w:rsidRDefault="00E8716B" w:rsidP="00E8716B">
      <w:pPr>
        <w:widowControl/>
        <w:spacing w:after="160" w:line="256" w:lineRule="auto"/>
        <w:jc w:val="both"/>
        <w:rPr>
          <w:rFonts w:cstheme="minorHAnsi"/>
        </w:rPr>
      </w:pPr>
    </w:p>
    <w:p w14:paraId="45BC02B0" w14:textId="11B04BEF" w:rsidR="00DD4743" w:rsidRPr="00800F29" w:rsidRDefault="00DD4743" w:rsidP="00E8716B">
      <w:pPr>
        <w:widowControl/>
        <w:spacing w:after="160" w:line="256" w:lineRule="auto"/>
        <w:jc w:val="both"/>
        <w:rPr>
          <w:rFonts w:cstheme="minorHAnsi"/>
        </w:rPr>
      </w:pPr>
      <w:r w:rsidRPr="00E8716B">
        <w:rPr>
          <w:rFonts w:cstheme="minorHAnsi"/>
        </w:rPr>
        <w:t>Alabama Adult Education</w:t>
      </w:r>
      <w:r w:rsidR="00437033">
        <w:rPr>
          <w:rFonts w:cstheme="minorHAnsi"/>
        </w:rPr>
        <w:t xml:space="preserve"> </w:t>
      </w:r>
      <w:r w:rsidR="00976AE2">
        <w:rPr>
          <w:rFonts w:cstheme="minorHAnsi"/>
        </w:rPr>
        <w:t>consistently</w:t>
      </w:r>
      <w:r w:rsidRPr="00E8716B">
        <w:rPr>
          <w:rFonts w:cstheme="minorHAnsi"/>
        </w:rPr>
        <w:t xml:space="preserve"> provide</w:t>
      </w:r>
      <w:r w:rsidR="00B525AD">
        <w:rPr>
          <w:rFonts w:cstheme="minorHAnsi"/>
        </w:rPr>
        <w:t>s</w:t>
      </w:r>
      <w:r w:rsidRPr="00E8716B">
        <w:rPr>
          <w:rFonts w:cstheme="minorHAnsi"/>
        </w:rPr>
        <w:t xml:space="preserve"> technical assistance based on program data and program self-evaluation</w:t>
      </w:r>
      <w:r w:rsidR="00B525AD">
        <w:rPr>
          <w:rFonts w:cstheme="minorHAnsi"/>
        </w:rPr>
        <w:t xml:space="preserve">.  </w:t>
      </w:r>
      <w:r w:rsidR="009A12B1">
        <w:rPr>
          <w:rFonts w:cstheme="minorHAnsi"/>
        </w:rPr>
        <w:t>D</w:t>
      </w:r>
      <w:r w:rsidR="009A12B1" w:rsidRPr="00E8716B">
        <w:rPr>
          <w:rFonts w:cstheme="minorHAnsi"/>
        </w:rPr>
        <w:t>ue to COVID- 19 restrictions</w:t>
      </w:r>
      <w:r w:rsidR="009A12B1">
        <w:rPr>
          <w:rFonts w:cstheme="minorHAnsi"/>
        </w:rPr>
        <w:t xml:space="preserve"> much of the technical assistance was done virtually</w:t>
      </w:r>
      <w:r w:rsidR="001B37EA">
        <w:rPr>
          <w:rFonts w:cstheme="minorHAnsi"/>
        </w:rPr>
        <w:t xml:space="preserve"> at the beginning of PY 2020-2021</w:t>
      </w:r>
      <w:r w:rsidR="009A12B1">
        <w:rPr>
          <w:rFonts w:cstheme="minorHAnsi"/>
        </w:rPr>
        <w:t xml:space="preserve">, but </w:t>
      </w:r>
      <w:r w:rsidR="001B37EA">
        <w:rPr>
          <w:rFonts w:cstheme="minorHAnsi"/>
        </w:rPr>
        <w:t xml:space="preserve">in the latter six months of the year </w:t>
      </w:r>
      <w:r w:rsidR="009A12B1">
        <w:rPr>
          <w:rFonts w:cstheme="minorHAnsi"/>
        </w:rPr>
        <w:t xml:space="preserve">face-to-face </w:t>
      </w:r>
      <w:r w:rsidR="00976AE2">
        <w:rPr>
          <w:rFonts w:cstheme="minorHAnsi"/>
        </w:rPr>
        <w:t xml:space="preserve">technical assistance </w:t>
      </w:r>
      <w:r w:rsidR="00CA6CDF">
        <w:rPr>
          <w:rFonts w:cstheme="minorHAnsi"/>
        </w:rPr>
        <w:t>was also utilized to support and guide the local programs</w:t>
      </w:r>
      <w:r w:rsidR="009A12B1" w:rsidRPr="00E8716B">
        <w:rPr>
          <w:rFonts w:cstheme="minorHAnsi"/>
        </w:rPr>
        <w:t>.</w:t>
      </w:r>
      <w:r w:rsidR="009A12B1">
        <w:rPr>
          <w:rFonts w:cstheme="minorHAnsi"/>
        </w:rPr>
        <w:t xml:space="preserve">  </w:t>
      </w:r>
      <w:r w:rsidR="00663BE8">
        <w:rPr>
          <w:rFonts w:cstheme="minorHAnsi"/>
        </w:rPr>
        <w:t>As with professional development, t</w:t>
      </w:r>
      <w:r w:rsidR="00EE5F01">
        <w:rPr>
          <w:rFonts w:cstheme="minorHAnsi"/>
        </w:rPr>
        <w:t xml:space="preserve">echnical assistance is derived from national, state, and local </w:t>
      </w:r>
      <w:r w:rsidR="0017271A">
        <w:rPr>
          <w:rFonts w:cstheme="minorHAnsi"/>
        </w:rPr>
        <w:t>evidence-based practices and</w:t>
      </w:r>
      <w:r w:rsidR="00EE5F01">
        <w:rPr>
          <w:rFonts w:cstheme="minorHAnsi"/>
        </w:rPr>
        <w:t xml:space="preserve"> innovative strategies designed for continuous </w:t>
      </w:r>
      <w:r w:rsidR="009A12B1">
        <w:rPr>
          <w:rFonts w:cstheme="minorHAnsi"/>
        </w:rPr>
        <w:t xml:space="preserve">program </w:t>
      </w:r>
      <w:r w:rsidR="00EE5F01">
        <w:rPr>
          <w:rFonts w:cstheme="minorHAnsi"/>
        </w:rPr>
        <w:t xml:space="preserve">improvement.  </w:t>
      </w:r>
      <w:r w:rsidR="00D71D73" w:rsidRPr="00800F29">
        <w:rPr>
          <w:rFonts w:cstheme="minorHAnsi"/>
        </w:rPr>
        <w:t>Alabama us</w:t>
      </w:r>
      <w:r w:rsidR="008F4511" w:rsidRPr="00800F29">
        <w:rPr>
          <w:rFonts w:cstheme="minorHAnsi"/>
        </w:rPr>
        <w:t>es</w:t>
      </w:r>
      <w:r w:rsidR="00D71D73" w:rsidRPr="00800F29">
        <w:rPr>
          <w:rFonts w:cstheme="minorHAnsi"/>
        </w:rPr>
        <w:t xml:space="preserve"> courses and resources from LINCS to ensure that program leadership and instructors are supported with the best in nationally developed resources. </w:t>
      </w:r>
      <w:r w:rsidR="008F4511" w:rsidRPr="00800F29">
        <w:rPr>
          <w:rFonts w:cstheme="minorHAnsi"/>
        </w:rPr>
        <w:t xml:space="preserve">We also produce much of our own </w:t>
      </w:r>
      <w:r w:rsidR="004B716B" w:rsidRPr="00800F29">
        <w:rPr>
          <w:rFonts w:cstheme="minorHAnsi"/>
        </w:rPr>
        <w:t xml:space="preserve">resources, toolkits, and </w:t>
      </w:r>
      <w:r w:rsidR="008D6E37" w:rsidRPr="00800F29">
        <w:rPr>
          <w:rFonts w:cstheme="minorHAnsi"/>
        </w:rPr>
        <w:t>programmatic guidance</w:t>
      </w:r>
      <w:r w:rsidR="005C5E73" w:rsidRPr="00800F29">
        <w:rPr>
          <w:rFonts w:cstheme="minorHAnsi"/>
        </w:rPr>
        <w:t xml:space="preserve"> through webinars and face to face </w:t>
      </w:r>
      <w:r w:rsidR="000C298E" w:rsidRPr="00800F29">
        <w:rPr>
          <w:rFonts w:cstheme="minorHAnsi"/>
        </w:rPr>
        <w:t>training based</w:t>
      </w:r>
      <w:r w:rsidR="00C97633" w:rsidRPr="00800F29">
        <w:rPr>
          <w:rFonts w:cstheme="minorHAnsi"/>
        </w:rPr>
        <w:t xml:space="preserve"> on researched based best practices</w:t>
      </w:r>
      <w:r w:rsidR="000F7942" w:rsidRPr="00800F29">
        <w:rPr>
          <w:rFonts w:cstheme="minorHAnsi"/>
        </w:rPr>
        <w:t xml:space="preserve"> </w:t>
      </w:r>
      <w:r w:rsidR="00800F29" w:rsidRPr="00800F29">
        <w:rPr>
          <w:rFonts w:cstheme="minorHAnsi"/>
        </w:rPr>
        <w:t>in</w:t>
      </w:r>
      <w:r w:rsidR="00405551" w:rsidRPr="00800F29">
        <w:rPr>
          <w:rFonts w:cstheme="minorHAnsi"/>
        </w:rPr>
        <w:t xml:space="preserve"> reading, writing</w:t>
      </w:r>
      <w:r w:rsidR="008D6E37" w:rsidRPr="00800F29">
        <w:rPr>
          <w:rFonts w:cstheme="minorHAnsi"/>
        </w:rPr>
        <w:t>, speaking, mathematics, English language, distance education, and staff training</w:t>
      </w:r>
      <w:r w:rsidR="00405551" w:rsidRPr="00800F29">
        <w:rPr>
          <w:rFonts w:cstheme="minorHAnsi"/>
        </w:rPr>
        <w:t xml:space="preserve"> </w:t>
      </w:r>
      <w:r w:rsidR="000F7942" w:rsidRPr="00800F29">
        <w:rPr>
          <w:rFonts w:cstheme="minorHAnsi"/>
        </w:rPr>
        <w:t xml:space="preserve"> </w:t>
      </w:r>
      <w:r w:rsidR="004B716B" w:rsidRPr="00800F29">
        <w:rPr>
          <w:rFonts w:cstheme="minorHAnsi"/>
        </w:rPr>
        <w:t xml:space="preserve">  </w:t>
      </w:r>
      <w:r w:rsidR="00A77E3E" w:rsidRPr="00800F29">
        <w:rPr>
          <w:rFonts w:cstheme="minorHAnsi"/>
        </w:rPr>
        <w:t xml:space="preserve">We have an entire section </w:t>
      </w:r>
      <w:r w:rsidR="00C97633" w:rsidRPr="00800F29">
        <w:rPr>
          <w:rFonts w:cstheme="minorHAnsi"/>
        </w:rPr>
        <w:t xml:space="preserve">dedicated to adult education resources and professional development </w:t>
      </w:r>
      <w:r w:rsidR="00A77E3E" w:rsidRPr="00800F29">
        <w:rPr>
          <w:rFonts w:cstheme="minorHAnsi"/>
        </w:rPr>
        <w:t xml:space="preserve">in our data collection system </w:t>
      </w:r>
      <w:r w:rsidR="00C97633" w:rsidRPr="00800F29">
        <w:rPr>
          <w:rFonts w:cstheme="minorHAnsi"/>
        </w:rPr>
        <w:t xml:space="preserve">called the </w:t>
      </w:r>
      <w:r w:rsidR="00A77E3E" w:rsidRPr="00800F29">
        <w:rPr>
          <w:rFonts w:cstheme="minorHAnsi"/>
        </w:rPr>
        <w:t>Al</w:t>
      </w:r>
      <w:r w:rsidR="00E54173" w:rsidRPr="00800F29">
        <w:rPr>
          <w:rFonts w:cstheme="minorHAnsi"/>
        </w:rPr>
        <w:t>a</w:t>
      </w:r>
      <w:r w:rsidR="00A77E3E" w:rsidRPr="00800F29">
        <w:rPr>
          <w:rFonts w:cstheme="minorHAnsi"/>
        </w:rPr>
        <w:t xml:space="preserve">bama Adult Education System for Accountability and Performance (AAESAP). </w:t>
      </w:r>
      <w:r w:rsidR="008C5285" w:rsidRPr="00800F29">
        <w:rPr>
          <w:rFonts w:cstheme="minorHAnsi"/>
        </w:rPr>
        <w:t>For example, during the program year a c</w:t>
      </w:r>
      <w:r w:rsidRPr="00800F29">
        <w:rPr>
          <w:rFonts w:cstheme="minorHAnsi"/>
        </w:rPr>
        <w:t>omprehensive technical assistance regarding the new M</w:t>
      </w:r>
      <w:r w:rsidR="00561341" w:rsidRPr="00800F29">
        <w:rPr>
          <w:rFonts w:cstheme="minorHAnsi"/>
        </w:rPr>
        <w:t>easurable Skill Gain (M</w:t>
      </w:r>
      <w:r w:rsidRPr="00800F29">
        <w:rPr>
          <w:rFonts w:cstheme="minorHAnsi"/>
        </w:rPr>
        <w:t>SG</w:t>
      </w:r>
      <w:r w:rsidR="00561341" w:rsidRPr="00800F29">
        <w:rPr>
          <w:rFonts w:cstheme="minorHAnsi"/>
        </w:rPr>
        <w:t>)</w:t>
      </w:r>
      <w:r w:rsidRPr="00800F29">
        <w:rPr>
          <w:rFonts w:cstheme="minorHAnsi"/>
        </w:rPr>
        <w:t xml:space="preserve"> types based on workplace literacy and </w:t>
      </w:r>
      <w:r w:rsidR="00C62FA2" w:rsidRPr="00800F29">
        <w:rPr>
          <w:rFonts w:cstheme="minorHAnsi"/>
        </w:rPr>
        <w:t xml:space="preserve">IET </w:t>
      </w:r>
      <w:r w:rsidRPr="00800F29">
        <w:rPr>
          <w:rFonts w:cstheme="minorHAnsi"/>
        </w:rPr>
        <w:t>training</w:t>
      </w:r>
      <w:r w:rsidR="00B525AD" w:rsidRPr="00800F29">
        <w:rPr>
          <w:rFonts w:cstheme="minorHAnsi"/>
        </w:rPr>
        <w:t xml:space="preserve"> occurred with all programs</w:t>
      </w:r>
      <w:r w:rsidR="008C5285" w:rsidRPr="00800F29">
        <w:rPr>
          <w:rFonts w:cstheme="minorHAnsi"/>
        </w:rPr>
        <w:t xml:space="preserve"> through individual virtual meetings</w:t>
      </w:r>
      <w:r w:rsidR="001B37EA" w:rsidRPr="00800F29">
        <w:rPr>
          <w:rFonts w:cstheme="minorHAnsi"/>
        </w:rPr>
        <w:t xml:space="preserve"> followed by </w:t>
      </w:r>
      <w:r w:rsidR="00C62FA2" w:rsidRPr="00800F29">
        <w:rPr>
          <w:rFonts w:cstheme="minorHAnsi"/>
        </w:rPr>
        <w:t xml:space="preserve">regional discussions and </w:t>
      </w:r>
      <w:r w:rsidR="001B37EA" w:rsidRPr="00800F29">
        <w:rPr>
          <w:rFonts w:cstheme="minorHAnsi"/>
        </w:rPr>
        <w:t xml:space="preserve">f2f </w:t>
      </w:r>
      <w:r w:rsidR="00C62FA2" w:rsidRPr="00800F29">
        <w:rPr>
          <w:rFonts w:cstheme="minorHAnsi"/>
        </w:rPr>
        <w:t>follow-up</w:t>
      </w:r>
      <w:r w:rsidR="008C5285" w:rsidRPr="00800F29">
        <w:rPr>
          <w:rFonts w:cstheme="minorHAnsi"/>
        </w:rPr>
        <w:t>.</w:t>
      </w:r>
      <w:r w:rsidR="009A12B1" w:rsidRPr="00800F29">
        <w:rPr>
          <w:rFonts w:cstheme="minorHAnsi"/>
        </w:rPr>
        <w:t xml:space="preserve">  </w:t>
      </w:r>
      <w:r w:rsidR="004B716B" w:rsidRPr="00800F29">
        <w:rPr>
          <w:rFonts w:cstheme="minorHAnsi"/>
        </w:rPr>
        <w:t xml:space="preserve">This also </w:t>
      </w:r>
      <w:r w:rsidR="00E54173" w:rsidRPr="00800F29">
        <w:rPr>
          <w:rFonts w:cstheme="minorHAnsi"/>
        </w:rPr>
        <w:t>led</w:t>
      </w:r>
      <w:r w:rsidR="004B716B" w:rsidRPr="00800F29">
        <w:rPr>
          <w:rFonts w:cstheme="minorHAnsi"/>
        </w:rPr>
        <w:t xml:space="preserve"> to a change in processes to support programs </w:t>
      </w:r>
      <w:r w:rsidR="00E54173" w:rsidRPr="00800F29">
        <w:rPr>
          <w:rFonts w:cstheme="minorHAnsi"/>
        </w:rPr>
        <w:t xml:space="preserve">understanding </w:t>
      </w:r>
      <w:r w:rsidR="004B716B" w:rsidRPr="00800F29">
        <w:rPr>
          <w:rFonts w:cstheme="minorHAnsi"/>
        </w:rPr>
        <w:t xml:space="preserve">and implementation. </w:t>
      </w:r>
      <w:r w:rsidR="00C90266" w:rsidRPr="00800F29">
        <w:rPr>
          <w:rFonts w:cstheme="minorHAnsi"/>
        </w:rPr>
        <w:t xml:space="preserve">The state used Zoom and Webex as the delivery mechanism to disseminate information and to provide quality technical assistance to the field.  </w:t>
      </w:r>
      <w:r w:rsidR="00315164" w:rsidRPr="00800F29">
        <w:rPr>
          <w:rFonts w:cstheme="minorHAnsi"/>
        </w:rPr>
        <w:t>This approach provided the example of how local programs can design structured virtual classes.  Classes that can be delivered live and recorded to be shared and used as a reference resource for students learning at a distance.</w:t>
      </w:r>
      <w:r w:rsidR="005343C4" w:rsidRPr="00800F29">
        <w:rPr>
          <w:rFonts w:cstheme="minorHAnsi"/>
        </w:rPr>
        <w:t xml:space="preserve">  This is one of many examples of how resources were created, disseminated, and archived within the Alabama </w:t>
      </w:r>
      <w:r w:rsidR="00B34D49" w:rsidRPr="00800F29">
        <w:rPr>
          <w:rFonts w:cstheme="minorHAnsi"/>
        </w:rPr>
        <w:t xml:space="preserve">Adult Education System for Accountability and Performance (AAESAP) to assist program directors and instructors to continue quality educational services during the Pandemic.  </w:t>
      </w:r>
    </w:p>
    <w:p w14:paraId="657F837E" w14:textId="286A359E" w:rsidR="008C010D" w:rsidRPr="00800F29" w:rsidRDefault="0084367D" w:rsidP="009A12B1">
      <w:pPr>
        <w:widowControl/>
        <w:spacing w:after="160" w:line="256" w:lineRule="auto"/>
        <w:jc w:val="both"/>
        <w:rPr>
          <w:rFonts w:cstheme="minorHAnsi"/>
          <w:spacing w:val="-1"/>
        </w:rPr>
      </w:pPr>
      <w:r w:rsidRPr="00800F29">
        <w:rPr>
          <w:rFonts w:cstheme="minorHAnsi"/>
          <w:spacing w:val="-1"/>
        </w:rPr>
        <w:t>As discussed in last year’s report, the state created a more defined regional approach to technical assistance and supp</w:t>
      </w:r>
      <w:r w:rsidR="00437033" w:rsidRPr="00800F29">
        <w:rPr>
          <w:rFonts w:cstheme="minorHAnsi"/>
          <w:spacing w:val="-1"/>
        </w:rPr>
        <w:t xml:space="preserve">ort by dividing the state into </w:t>
      </w:r>
      <w:r w:rsidRPr="00800F29">
        <w:rPr>
          <w:rFonts w:cstheme="minorHAnsi"/>
          <w:spacing w:val="-1"/>
        </w:rPr>
        <w:t>north, central, and south</w:t>
      </w:r>
      <w:r w:rsidR="00437033" w:rsidRPr="00800F29">
        <w:rPr>
          <w:rFonts w:cstheme="minorHAnsi"/>
          <w:spacing w:val="-1"/>
        </w:rPr>
        <w:t xml:space="preserve"> regions</w:t>
      </w:r>
      <w:r w:rsidRPr="00800F29">
        <w:rPr>
          <w:rFonts w:cstheme="minorHAnsi"/>
          <w:spacing w:val="-1"/>
        </w:rPr>
        <w:t xml:space="preserve">.  Each region has an assigned </w:t>
      </w:r>
      <w:r w:rsidR="0017271A" w:rsidRPr="00800F29">
        <w:rPr>
          <w:rFonts w:cstheme="minorHAnsi"/>
          <w:spacing w:val="-1"/>
        </w:rPr>
        <w:t xml:space="preserve">Regional Director </w:t>
      </w:r>
      <w:r w:rsidR="00947247" w:rsidRPr="00800F29">
        <w:rPr>
          <w:rFonts w:cstheme="minorHAnsi"/>
          <w:spacing w:val="-1"/>
        </w:rPr>
        <w:t xml:space="preserve">that is a </w:t>
      </w:r>
      <w:r w:rsidR="005176FE" w:rsidRPr="00800F29">
        <w:rPr>
          <w:rFonts w:cstheme="minorHAnsi"/>
          <w:spacing w:val="-1"/>
        </w:rPr>
        <w:t>Title II Adult Education liaison</w:t>
      </w:r>
      <w:r w:rsidR="00E54173" w:rsidRPr="00800F29">
        <w:rPr>
          <w:rFonts w:cstheme="minorHAnsi"/>
          <w:spacing w:val="-1"/>
        </w:rPr>
        <w:t xml:space="preserve"> to</w:t>
      </w:r>
      <w:r w:rsidR="00B34D49" w:rsidRPr="00800F29">
        <w:rPr>
          <w:rFonts w:cstheme="minorHAnsi"/>
          <w:spacing w:val="-1"/>
        </w:rPr>
        <w:t xml:space="preserve"> assist collaborat</w:t>
      </w:r>
      <w:r w:rsidR="00182221" w:rsidRPr="00800F29">
        <w:rPr>
          <w:rFonts w:cstheme="minorHAnsi"/>
          <w:spacing w:val="-1"/>
        </w:rPr>
        <w:t>ive growth</w:t>
      </w:r>
      <w:r w:rsidR="00B34D49" w:rsidRPr="00800F29">
        <w:rPr>
          <w:rFonts w:cstheme="minorHAnsi"/>
          <w:spacing w:val="-1"/>
        </w:rPr>
        <w:t xml:space="preserve"> with</w:t>
      </w:r>
      <w:r w:rsidR="005176FE" w:rsidRPr="00800F29">
        <w:rPr>
          <w:rFonts w:cstheme="minorHAnsi"/>
          <w:spacing w:val="-1"/>
        </w:rPr>
        <w:t xml:space="preserve"> career centers,</w:t>
      </w:r>
      <w:r w:rsidR="00B34D49" w:rsidRPr="00800F29">
        <w:rPr>
          <w:rFonts w:cstheme="minorHAnsi"/>
          <w:spacing w:val="-1"/>
        </w:rPr>
        <w:t xml:space="preserve"> business, industry, and </w:t>
      </w:r>
      <w:r w:rsidR="005176FE" w:rsidRPr="00800F29">
        <w:rPr>
          <w:rFonts w:cstheme="minorHAnsi"/>
          <w:spacing w:val="-1"/>
        </w:rPr>
        <w:t xml:space="preserve">other WIOA partners and </w:t>
      </w:r>
      <w:r w:rsidR="00B34D49" w:rsidRPr="00800F29">
        <w:rPr>
          <w:rFonts w:cstheme="minorHAnsi"/>
          <w:spacing w:val="-1"/>
        </w:rPr>
        <w:t>stakeholders</w:t>
      </w:r>
      <w:r w:rsidR="00182221" w:rsidRPr="00800F29">
        <w:rPr>
          <w:rFonts w:cstheme="minorHAnsi"/>
          <w:spacing w:val="-1"/>
        </w:rPr>
        <w:t>.</w:t>
      </w:r>
      <w:r w:rsidR="0017271A" w:rsidRPr="00800F29">
        <w:rPr>
          <w:rFonts w:cstheme="minorHAnsi"/>
          <w:spacing w:val="-1"/>
        </w:rPr>
        <w:t xml:space="preserve"> </w:t>
      </w:r>
      <w:r w:rsidR="00182221" w:rsidRPr="00800F29">
        <w:rPr>
          <w:rFonts w:cstheme="minorHAnsi"/>
          <w:spacing w:val="-1"/>
        </w:rPr>
        <w:t xml:space="preserve"> </w:t>
      </w:r>
      <w:r w:rsidR="00B34D49" w:rsidRPr="00800F29">
        <w:rPr>
          <w:rFonts w:cstheme="minorHAnsi"/>
          <w:spacing w:val="-1"/>
        </w:rPr>
        <w:t>The</w:t>
      </w:r>
      <w:r w:rsidR="008C010D" w:rsidRPr="00800F29">
        <w:rPr>
          <w:rFonts w:cstheme="minorHAnsi"/>
          <w:spacing w:val="-1"/>
        </w:rPr>
        <w:t xml:space="preserve"> regional team</w:t>
      </w:r>
      <w:r w:rsidR="00B34D49" w:rsidRPr="00800F29">
        <w:rPr>
          <w:rFonts w:cstheme="minorHAnsi"/>
          <w:spacing w:val="-1"/>
        </w:rPr>
        <w:t xml:space="preserve"> </w:t>
      </w:r>
      <w:r w:rsidR="00C65716" w:rsidRPr="00800F29">
        <w:rPr>
          <w:rFonts w:cstheme="minorHAnsi"/>
          <w:spacing w:val="-1"/>
        </w:rPr>
        <w:t>provide</w:t>
      </w:r>
      <w:r w:rsidR="008C010D" w:rsidRPr="00800F29">
        <w:rPr>
          <w:rFonts w:cstheme="minorHAnsi"/>
          <w:spacing w:val="-1"/>
        </w:rPr>
        <w:t>s</w:t>
      </w:r>
      <w:r w:rsidR="00C65716" w:rsidRPr="00800F29">
        <w:rPr>
          <w:rFonts w:cstheme="minorHAnsi"/>
          <w:spacing w:val="-1"/>
        </w:rPr>
        <w:t xml:space="preserve"> technical assistance </w:t>
      </w:r>
      <w:r w:rsidR="0017271A" w:rsidRPr="00800F29">
        <w:rPr>
          <w:rFonts w:cstheme="minorHAnsi"/>
          <w:spacing w:val="-1"/>
        </w:rPr>
        <w:t xml:space="preserve">support </w:t>
      </w:r>
      <w:r w:rsidR="00144681" w:rsidRPr="00800F29">
        <w:rPr>
          <w:rFonts w:cstheme="minorHAnsi"/>
          <w:spacing w:val="-1"/>
        </w:rPr>
        <w:t xml:space="preserve">to </w:t>
      </w:r>
      <w:r w:rsidR="0017271A" w:rsidRPr="00800F29">
        <w:rPr>
          <w:rFonts w:cstheme="minorHAnsi"/>
          <w:spacing w:val="-1"/>
        </w:rPr>
        <w:t xml:space="preserve">local programs </w:t>
      </w:r>
      <w:r w:rsidR="00144681" w:rsidRPr="00800F29">
        <w:rPr>
          <w:rFonts w:cstheme="minorHAnsi"/>
          <w:spacing w:val="-1"/>
        </w:rPr>
        <w:t>t</w:t>
      </w:r>
      <w:r w:rsidR="00031476" w:rsidRPr="00800F29">
        <w:rPr>
          <w:rFonts w:cstheme="minorHAnsi"/>
          <w:spacing w:val="-1"/>
        </w:rPr>
        <w:t xml:space="preserve">o </w:t>
      </w:r>
      <w:r w:rsidR="00144681" w:rsidRPr="00800F29">
        <w:rPr>
          <w:rFonts w:cstheme="minorHAnsi"/>
          <w:spacing w:val="-1"/>
        </w:rPr>
        <w:t xml:space="preserve">ensure equity and access </w:t>
      </w:r>
      <w:r w:rsidR="001A0C92" w:rsidRPr="00800F29">
        <w:rPr>
          <w:rFonts w:cstheme="minorHAnsi"/>
          <w:spacing w:val="-1"/>
        </w:rPr>
        <w:t xml:space="preserve">to </w:t>
      </w:r>
      <w:r w:rsidR="0017271A" w:rsidRPr="00800F29">
        <w:rPr>
          <w:rFonts w:cstheme="minorHAnsi"/>
          <w:spacing w:val="-1"/>
        </w:rPr>
        <w:t>adult education services</w:t>
      </w:r>
      <w:r w:rsidR="006D03FF" w:rsidRPr="00800F29">
        <w:rPr>
          <w:rFonts w:cstheme="minorHAnsi"/>
          <w:spacing w:val="-1"/>
        </w:rPr>
        <w:t xml:space="preserve"> </w:t>
      </w:r>
      <w:r w:rsidR="00031476" w:rsidRPr="00800F29">
        <w:rPr>
          <w:rFonts w:cstheme="minorHAnsi"/>
          <w:spacing w:val="-1"/>
        </w:rPr>
        <w:t>throughout all locations including the</w:t>
      </w:r>
      <w:r w:rsidR="004B716B" w:rsidRPr="00800F29">
        <w:rPr>
          <w:rFonts w:cstheme="minorHAnsi"/>
          <w:spacing w:val="-1"/>
        </w:rPr>
        <w:t xml:space="preserve"> </w:t>
      </w:r>
      <w:r w:rsidR="00800F29" w:rsidRPr="00800F29">
        <w:rPr>
          <w:rFonts w:cstheme="minorHAnsi"/>
          <w:spacing w:val="-1"/>
        </w:rPr>
        <w:t>thirty-five</w:t>
      </w:r>
      <w:r w:rsidR="00031476" w:rsidRPr="00800F29">
        <w:rPr>
          <w:rFonts w:cstheme="minorHAnsi"/>
          <w:spacing w:val="-1"/>
        </w:rPr>
        <w:t xml:space="preserve"> </w:t>
      </w:r>
      <w:r w:rsidR="004B716B" w:rsidRPr="00800F29">
        <w:rPr>
          <w:rFonts w:cstheme="minorHAnsi"/>
          <w:spacing w:val="-1"/>
        </w:rPr>
        <w:t>W</w:t>
      </w:r>
      <w:r w:rsidR="00031476" w:rsidRPr="00800F29">
        <w:rPr>
          <w:rFonts w:cstheme="minorHAnsi"/>
          <w:spacing w:val="-1"/>
        </w:rPr>
        <w:t xml:space="preserve">orkforce Innovation and Opportunity Act comprehensive and satellite </w:t>
      </w:r>
      <w:r w:rsidR="004B716B" w:rsidRPr="00800F29">
        <w:rPr>
          <w:rFonts w:cstheme="minorHAnsi"/>
          <w:spacing w:val="-1"/>
        </w:rPr>
        <w:t>Career Centers</w:t>
      </w:r>
      <w:r w:rsidR="00031476" w:rsidRPr="00800F29">
        <w:rPr>
          <w:rFonts w:cstheme="minorHAnsi"/>
          <w:spacing w:val="-1"/>
        </w:rPr>
        <w:t xml:space="preserve"> in Alabama</w:t>
      </w:r>
      <w:r w:rsidRPr="00800F29">
        <w:rPr>
          <w:rFonts w:cstheme="minorHAnsi"/>
          <w:spacing w:val="-1"/>
        </w:rPr>
        <w:t>.</w:t>
      </w:r>
      <w:r w:rsidR="004B716B" w:rsidRPr="00800F29">
        <w:rPr>
          <w:rFonts w:cstheme="minorHAnsi"/>
          <w:spacing w:val="-1"/>
        </w:rPr>
        <w:t xml:space="preserve">  Alabama Adult Education</w:t>
      </w:r>
      <w:r w:rsidR="00031476" w:rsidRPr="00800F29">
        <w:rPr>
          <w:rFonts w:cstheme="minorHAnsi"/>
          <w:spacing w:val="-1"/>
        </w:rPr>
        <w:t>,</w:t>
      </w:r>
      <w:r w:rsidR="004B716B" w:rsidRPr="00800F29">
        <w:rPr>
          <w:rFonts w:cstheme="minorHAnsi"/>
          <w:spacing w:val="-1"/>
        </w:rPr>
        <w:t xml:space="preserve"> </w:t>
      </w:r>
      <w:r w:rsidR="00031476" w:rsidRPr="00800F29">
        <w:rPr>
          <w:rFonts w:cstheme="minorHAnsi"/>
          <w:spacing w:val="-1"/>
        </w:rPr>
        <w:t xml:space="preserve">as </w:t>
      </w:r>
      <w:r w:rsidR="004B716B" w:rsidRPr="00800F29">
        <w:rPr>
          <w:rFonts w:cstheme="minorHAnsi"/>
          <w:spacing w:val="-1"/>
        </w:rPr>
        <w:t>one of the</w:t>
      </w:r>
      <w:r w:rsidR="008C010D" w:rsidRPr="00800F29">
        <w:rPr>
          <w:rFonts w:cstheme="minorHAnsi"/>
          <w:spacing w:val="-1"/>
        </w:rPr>
        <w:t xml:space="preserve"> core </w:t>
      </w:r>
      <w:r w:rsidR="004B716B" w:rsidRPr="00800F29">
        <w:rPr>
          <w:rFonts w:cstheme="minorHAnsi"/>
          <w:spacing w:val="-1"/>
        </w:rPr>
        <w:t>partners</w:t>
      </w:r>
      <w:r w:rsidR="00031476" w:rsidRPr="00800F29">
        <w:rPr>
          <w:rFonts w:cstheme="minorHAnsi"/>
          <w:spacing w:val="-1"/>
        </w:rPr>
        <w:t xml:space="preserve">, </w:t>
      </w:r>
      <w:r w:rsidR="008C010D" w:rsidRPr="00800F29">
        <w:rPr>
          <w:rFonts w:cstheme="minorHAnsi"/>
          <w:spacing w:val="-1"/>
        </w:rPr>
        <w:t xml:space="preserve">takes a lead role in the state’s WIOA implementation.  </w:t>
      </w:r>
      <w:r w:rsidR="00437033" w:rsidRPr="00800F29">
        <w:rPr>
          <w:rFonts w:cstheme="minorHAnsi"/>
          <w:spacing w:val="-1"/>
        </w:rPr>
        <w:t xml:space="preserve"> </w:t>
      </w:r>
      <w:r w:rsidR="008C010D" w:rsidRPr="00800F29">
        <w:rPr>
          <w:rFonts w:cstheme="minorHAnsi"/>
          <w:spacing w:val="-1"/>
        </w:rPr>
        <w:t xml:space="preserve">The Regional Directors have significant roles in ensuring that their adult education programs are instrumental in all education and training aspects of the seven </w:t>
      </w:r>
      <w:r w:rsidR="00947247" w:rsidRPr="00800F29">
        <w:rPr>
          <w:rFonts w:cstheme="minorHAnsi"/>
          <w:spacing w:val="-1"/>
        </w:rPr>
        <w:t xml:space="preserve">WIOA </w:t>
      </w:r>
      <w:r w:rsidR="008C010D" w:rsidRPr="00800F29">
        <w:rPr>
          <w:rFonts w:cstheme="minorHAnsi"/>
          <w:spacing w:val="-1"/>
        </w:rPr>
        <w:t>local area</w:t>
      </w:r>
      <w:r w:rsidR="00947247" w:rsidRPr="00800F29">
        <w:rPr>
          <w:rFonts w:cstheme="minorHAnsi"/>
          <w:spacing w:val="-1"/>
        </w:rPr>
        <w:t xml:space="preserve">s </w:t>
      </w:r>
      <w:r w:rsidR="008C010D" w:rsidRPr="00800F29">
        <w:rPr>
          <w:rFonts w:cstheme="minorHAnsi"/>
          <w:spacing w:val="-1"/>
        </w:rPr>
        <w:t>in the state</w:t>
      </w:r>
      <w:r w:rsidR="009B6072" w:rsidRPr="00800F29">
        <w:rPr>
          <w:rFonts w:cstheme="minorHAnsi"/>
          <w:spacing w:val="-1"/>
        </w:rPr>
        <w:t>, which includes but not limited to TABE assessments, instruction, career preparation, and training</w:t>
      </w:r>
      <w:r w:rsidR="008C010D" w:rsidRPr="00800F29">
        <w:rPr>
          <w:rFonts w:cstheme="minorHAnsi"/>
          <w:spacing w:val="-1"/>
        </w:rPr>
        <w:t>.</w:t>
      </w:r>
      <w:r w:rsidR="00437033" w:rsidRPr="00800F29">
        <w:rPr>
          <w:rFonts w:cstheme="minorHAnsi"/>
          <w:spacing w:val="-1"/>
        </w:rPr>
        <w:t xml:space="preserve"> </w:t>
      </w:r>
    </w:p>
    <w:p w14:paraId="4EB0532F" w14:textId="6C31DC00" w:rsidR="00AF5677" w:rsidRPr="0063462C" w:rsidRDefault="00437033" w:rsidP="009A12B1">
      <w:pPr>
        <w:widowControl/>
        <w:spacing w:after="160" w:line="256" w:lineRule="auto"/>
        <w:jc w:val="both"/>
        <w:rPr>
          <w:rFonts w:cstheme="minorHAnsi"/>
        </w:rPr>
      </w:pPr>
      <w:r w:rsidRPr="00800F29">
        <w:rPr>
          <w:rFonts w:cstheme="minorHAnsi"/>
          <w:spacing w:val="-1"/>
        </w:rPr>
        <w:t>The</w:t>
      </w:r>
      <w:r w:rsidR="0017271A" w:rsidRPr="00800F29">
        <w:rPr>
          <w:rFonts w:cstheme="minorHAnsi"/>
          <w:spacing w:val="-1"/>
        </w:rPr>
        <w:t xml:space="preserve"> Regional Director</w:t>
      </w:r>
      <w:r w:rsidRPr="00800F29">
        <w:rPr>
          <w:rFonts w:cstheme="minorHAnsi"/>
          <w:spacing w:val="-1"/>
        </w:rPr>
        <w:t>s</w:t>
      </w:r>
      <w:r w:rsidR="0017271A" w:rsidRPr="00800F29">
        <w:rPr>
          <w:rFonts w:cstheme="minorHAnsi"/>
          <w:spacing w:val="-1"/>
        </w:rPr>
        <w:t xml:space="preserve"> have</w:t>
      </w:r>
      <w:r w:rsidRPr="00800F29">
        <w:rPr>
          <w:rFonts w:cstheme="minorHAnsi"/>
          <w:spacing w:val="-1"/>
        </w:rPr>
        <w:t xml:space="preserve"> </w:t>
      </w:r>
      <w:r w:rsidR="009A12B1" w:rsidRPr="00800F29">
        <w:rPr>
          <w:rFonts w:cstheme="minorHAnsi"/>
          <w:spacing w:val="-1"/>
        </w:rPr>
        <w:t>structured,</w:t>
      </w:r>
      <w:r w:rsidR="0017271A" w:rsidRPr="00800F29">
        <w:rPr>
          <w:rFonts w:cstheme="minorHAnsi"/>
          <w:spacing w:val="-1"/>
        </w:rPr>
        <w:t xml:space="preserve"> bi-weekly meetings with </w:t>
      </w:r>
      <w:r w:rsidR="009A12B1" w:rsidRPr="00800F29">
        <w:rPr>
          <w:rFonts w:cstheme="minorHAnsi"/>
          <w:spacing w:val="-1"/>
        </w:rPr>
        <w:t>their local program directors</w:t>
      </w:r>
      <w:r w:rsidR="00C62FA2" w:rsidRPr="00800F29">
        <w:rPr>
          <w:rFonts w:cstheme="minorHAnsi"/>
          <w:spacing w:val="-1"/>
        </w:rPr>
        <w:t xml:space="preserve"> to discuss pertinent topics and issues</w:t>
      </w:r>
      <w:r w:rsidR="00CA6CDF" w:rsidRPr="00800F29">
        <w:rPr>
          <w:rFonts w:cstheme="minorHAnsi"/>
          <w:spacing w:val="-1"/>
        </w:rPr>
        <w:t xml:space="preserve"> ranging from career pathways, integrated education and skills training, delivery models that provide equitable access to all students impacted by the COVID Pandemic, as well as other topics targeted to </w:t>
      </w:r>
      <w:r w:rsidR="005343C4" w:rsidRPr="00800F29">
        <w:rPr>
          <w:rFonts w:cstheme="minorHAnsi"/>
          <w:spacing w:val="-1"/>
        </w:rPr>
        <w:t>recruitment, retention, and overall performance results.</w:t>
      </w:r>
      <w:r w:rsidR="005343C4">
        <w:rPr>
          <w:rFonts w:cstheme="minorHAnsi"/>
          <w:spacing w:val="-1"/>
        </w:rPr>
        <w:t xml:space="preserve"> </w:t>
      </w:r>
      <w:r w:rsidR="0084367D">
        <w:rPr>
          <w:rFonts w:cstheme="minorHAnsi"/>
          <w:spacing w:val="-1"/>
        </w:rPr>
        <w:t xml:space="preserve">  </w:t>
      </w:r>
      <w:r w:rsidR="002F248A" w:rsidRPr="0060206B">
        <w:rPr>
          <w:rFonts w:cstheme="minorHAnsi"/>
          <w:i/>
          <w:iCs/>
        </w:rPr>
        <w:t xml:space="preserve">  </w:t>
      </w:r>
    </w:p>
    <w:p w14:paraId="3F9EFE0E" w14:textId="4E5E6E97" w:rsidR="00AF5677" w:rsidRPr="0060206B" w:rsidRDefault="00AF5677" w:rsidP="00AF5677">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821"/>
        </w:tabs>
        <w:ind w:left="360" w:right="726"/>
        <w:jc w:val="both"/>
        <w:rPr>
          <w:rFonts w:asciiTheme="minorHAnsi" w:hAnsiTheme="minorHAnsi" w:cstheme="minorHAnsi"/>
          <w:i/>
          <w:iCs/>
          <w:sz w:val="22"/>
          <w:szCs w:val="22"/>
        </w:rPr>
      </w:pPr>
      <w:r>
        <w:rPr>
          <w:rFonts w:asciiTheme="minorHAnsi" w:hAnsiTheme="minorHAnsi" w:cstheme="minorHAnsi"/>
          <w:i/>
          <w:iCs/>
          <w:sz w:val="22"/>
          <w:szCs w:val="22"/>
        </w:rPr>
        <w:t>iv.</w:t>
      </w:r>
      <w:r w:rsidRPr="0060206B">
        <w:rPr>
          <w:rFonts w:asciiTheme="minorHAnsi" w:hAnsiTheme="minorHAnsi" w:cstheme="minorHAnsi"/>
          <w:i/>
          <w:iCs/>
          <w:sz w:val="22"/>
          <w:szCs w:val="22"/>
        </w:rPr>
        <w:t xml:space="preserve">  </w:t>
      </w:r>
      <w:r>
        <w:rPr>
          <w:rFonts w:asciiTheme="minorHAnsi" w:hAnsiTheme="minorHAnsi" w:cstheme="minorHAnsi"/>
          <w:i/>
          <w:iCs/>
          <w:spacing w:val="-1"/>
          <w:sz w:val="22"/>
          <w:szCs w:val="22"/>
        </w:rPr>
        <w:t xml:space="preserve"> Monitoring and evaluation of the quality and improvement of adult education activities as described in section 223(1)(d)</w:t>
      </w:r>
    </w:p>
    <w:p w14:paraId="3C2022C8" w14:textId="77777777" w:rsidR="00AF5677" w:rsidRDefault="00AF5677" w:rsidP="005C6FD2">
      <w:pPr>
        <w:pStyle w:val="BodyText"/>
        <w:tabs>
          <w:tab w:val="left" w:pos="821"/>
        </w:tabs>
        <w:ind w:left="0" w:right="173"/>
        <w:jc w:val="both"/>
        <w:rPr>
          <w:rFonts w:asciiTheme="minorHAnsi" w:hAnsiTheme="minorHAnsi" w:cstheme="minorHAnsi"/>
          <w:sz w:val="22"/>
          <w:szCs w:val="22"/>
        </w:rPr>
      </w:pPr>
    </w:p>
    <w:p w14:paraId="659FACD8" w14:textId="565A5AFD" w:rsidR="000A226E" w:rsidRDefault="00E8716B" w:rsidP="005C6FD2">
      <w:pPr>
        <w:pStyle w:val="BodyText"/>
        <w:tabs>
          <w:tab w:val="left" w:pos="821"/>
        </w:tabs>
        <w:ind w:left="0" w:right="173"/>
        <w:jc w:val="both"/>
        <w:rPr>
          <w:rFonts w:asciiTheme="minorHAnsi" w:hAnsiTheme="minorHAnsi" w:cstheme="minorHAnsi"/>
          <w:sz w:val="22"/>
          <w:szCs w:val="22"/>
        </w:rPr>
      </w:pPr>
      <w:r w:rsidRPr="00E8716B">
        <w:rPr>
          <w:rFonts w:asciiTheme="minorHAnsi" w:hAnsiTheme="minorHAnsi" w:cstheme="minorHAnsi"/>
          <w:sz w:val="22"/>
          <w:szCs w:val="22"/>
        </w:rPr>
        <w:t>To</w:t>
      </w:r>
      <w:r w:rsidR="00DD4743" w:rsidRPr="00E8716B">
        <w:rPr>
          <w:rFonts w:asciiTheme="minorHAnsi" w:hAnsiTheme="minorHAnsi" w:cstheme="minorHAnsi"/>
          <w:sz w:val="22"/>
          <w:szCs w:val="22"/>
        </w:rPr>
        <w:t xml:space="preserve"> evaluate the quality and continuous improvement of adult education activities, as described in Section 223(1)(d), </w:t>
      </w:r>
      <w:r w:rsidR="006750D3">
        <w:rPr>
          <w:rFonts w:asciiTheme="minorHAnsi" w:hAnsiTheme="minorHAnsi" w:cstheme="minorHAnsi"/>
          <w:sz w:val="22"/>
          <w:szCs w:val="22"/>
        </w:rPr>
        <w:t xml:space="preserve">the </w:t>
      </w:r>
      <w:r w:rsidR="00DD4743" w:rsidRPr="00E8716B">
        <w:rPr>
          <w:rFonts w:asciiTheme="minorHAnsi" w:hAnsiTheme="minorHAnsi" w:cstheme="minorHAnsi"/>
          <w:sz w:val="22"/>
          <w:szCs w:val="22"/>
        </w:rPr>
        <w:t xml:space="preserve">Alabama </w:t>
      </w:r>
      <w:r w:rsidR="00E8204F">
        <w:rPr>
          <w:rFonts w:asciiTheme="minorHAnsi" w:hAnsiTheme="minorHAnsi" w:cstheme="minorHAnsi"/>
          <w:sz w:val="22"/>
          <w:szCs w:val="22"/>
        </w:rPr>
        <w:t>a</w:t>
      </w:r>
      <w:r w:rsidR="00DD4743" w:rsidRPr="00E8716B">
        <w:rPr>
          <w:rFonts w:asciiTheme="minorHAnsi" w:hAnsiTheme="minorHAnsi" w:cstheme="minorHAnsi"/>
          <w:sz w:val="22"/>
          <w:szCs w:val="22"/>
        </w:rPr>
        <w:t xml:space="preserve">dult </w:t>
      </w:r>
      <w:r w:rsidR="00E8204F">
        <w:rPr>
          <w:rFonts w:asciiTheme="minorHAnsi" w:hAnsiTheme="minorHAnsi" w:cstheme="minorHAnsi"/>
          <w:sz w:val="22"/>
          <w:szCs w:val="22"/>
        </w:rPr>
        <w:t>e</w:t>
      </w:r>
      <w:r w:rsidR="00DD4743" w:rsidRPr="00E8716B">
        <w:rPr>
          <w:rFonts w:asciiTheme="minorHAnsi" w:hAnsiTheme="minorHAnsi" w:cstheme="minorHAnsi"/>
          <w:sz w:val="22"/>
          <w:szCs w:val="22"/>
        </w:rPr>
        <w:t>ducation</w:t>
      </w:r>
      <w:r w:rsidR="00E8204F">
        <w:rPr>
          <w:rFonts w:asciiTheme="minorHAnsi" w:hAnsiTheme="minorHAnsi" w:cstheme="minorHAnsi"/>
          <w:sz w:val="22"/>
          <w:szCs w:val="22"/>
        </w:rPr>
        <w:t xml:space="preserve"> monitoring team</w:t>
      </w:r>
      <w:r w:rsidR="00DD4743" w:rsidRPr="00E8716B">
        <w:rPr>
          <w:rFonts w:asciiTheme="minorHAnsi" w:hAnsiTheme="minorHAnsi" w:cstheme="minorHAnsi"/>
          <w:sz w:val="22"/>
          <w:szCs w:val="22"/>
        </w:rPr>
        <w:t xml:space="preserve"> conducts </w:t>
      </w:r>
      <w:r w:rsidR="00DD4743" w:rsidRPr="007526D4">
        <w:rPr>
          <w:rFonts w:asciiTheme="minorHAnsi" w:hAnsiTheme="minorHAnsi" w:cstheme="minorHAnsi"/>
          <w:b/>
          <w:bCs/>
          <w:sz w:val="22"/>
          <w:szCs w:val="22"/>
        </w:rPr>
        <w:t>quarterly desk-top</w:t>
      </w:r>
      <w:r w:rsidR="00E8204F" w:rsidRPr="007526D4">
        <w:rPr>
          <w:rFonts w:asciiTheme="minorHAnsi" w:hAnsiTheme="minorHAnsi" w:cstheme="minorHAnsi"/>
          <w:b/>
          <w:bCs/>
          <w:sz w:val="22"/>
          <w:szCs w:val="22"/>
        </w:rPr>
        <w:t xml:space="preserve"> audits</w:t>
      </w:r>
      <w:r w:rsidR="00DD4743" w:rsidRPr="00E8716B">
        <w:rPr>
          <w:rFonts w:asciiTheme="minorHAnsi" w:hAnsiTheme="minorHAnsi" w:cstheme="minorHAnsi"/>
          <w:sz w:val="22"/>
          <w:szCs w:val="22"/>
        </w:rPr>
        <w:t xml:space="preserve"> of each local program</w:t>
      </w:r>
      <w:r w:rsidR="00081A29">
        <w:rPr>
          <w:rFonts w:asciiTheme="minorHAnsi" w:hAnsiTheme="minorHAnsi" w:cstheme="minorHAnsi"/>
          <w:sz w:val="22"/>
          <w:szCs w:val="22"/>
        </w:rPr>
        <w:t xml:space="preserve">, </w:t>
      </w:r>
      <w:r w:rsidR="00081A29" w:rsidRPr="00081A29">
        <w:rPr>
          <w:rFonts w:asciiTheme="minorHAnsi" w:hAnsiTheme="minorHAnsi" w:cstheme="minorHAnsi"/>
          <w:b/>
          <w:bCs/>
          <w:sz w:val="22"/>
          <w:szCs w:val="22"/>
        </w:rPr>
        <w:t>compliance monitoring</w:t>
      </w:r>
      <w:r w:rsidR="00081A29">
        <w:rPr>
          <w:rFonts w:asciiTheme="minorHAnsi" w:hAnsiTheme="minorHAnsi" w:cstheme="minorHAnsi"/>
          <w:sz w:val="22"/>
          <w:szCs w:val="22"/>
        </w:rPr>
        <w:t xml:space="preserve">, and </w:t>
      </w:r>
      <w:r w:rsidR="00081A29" w:rsidRPr="00081A29">
        <w:rPr>
          <w:rFonts w:asciiTheme="minorHAnsi" w:hAnsiTheme="minorHAnsi" w:cstheme="minorHAnsi"/>
          <w:b/>
          <w:bCs/>
          <w:sz w:val="22"/>
          <w:szCs w:val="22"/>
        </w:rPr>
        <w:t>targeted follow-up monitoring</w:t>
      </w:r>
      <w:r w:rsidR="00081A29">
        <w:rPr>
          <w:rFonts w:asciiTheme="minorHAnsi" w:hAnsiTheme="minorHAnsi" w:cstheme="minorHAnsi"/>
          <w:sz w:val="22"/>
          <w:szCs w:val="22"/>
        </w:rPr>
        <w:t>.</w:t>
      </w:r>
      <w:r w:rsidR="00E8204F">
        <w:rPr>
          <w:rFonts w:asciiTheme="minorHAnsi" w:hAnsiTheme="minorHAnsi" w:cstheme="minorHAnsi"/>
          <w:sz w:val="22"/>
          <w:szCs w:val="22"/>
        </w:rPr>
        <w:t xml:space="preserve">  </w:t>
      </w:r>
      <w:r w:rsidR="006F6A39">
        <w:rPr>
          <w:rFonts w:asciiTheme="minorHAnsi" w:hAnsiTheme="minorHAnsi" w:cstheme="minorHAnsi"/>
          <w:sz w:val="22"/>
          <w:szCs w:val="22"/>
        </w:rPr>
        <w:t xml:space="preserve">As a result of the COVID-19 pandemic, the state monitoring team created a virtual compliance monitoring process.  The team utilized </w:t>
      </w:r>
      <w:r w:rsidR="00C26329">
        <w:rPr>
          <w:rFonts w:asciiTheme="minorHAnsi" w:hAnsiTheme="minorHAnsi" w:cstheme="minorHAnsi"/>
          <w:sz w:val="22"/>
          <w:szCs w:val="22"/>
        </w:rPr>
        <w:t xml:space="preserve">virtual platforms such as </w:t>
      </w:r>
      <w:r w:rsidR="006F6A39">
        <w:rPr>
          <w:rFonts w:asciiTheme="minorHAnsi" w:hAnsiTheme="minorHAnsi" w:cstheme="minorHAnsi"/>
          <w:sz w:val="22"/>
          <w:szCs w:val="22"/>
        </w:rPr>
        <w:t>Zoom</w:t>
      </w:r>
      <w:r w:rsidR="00C26329">
        <w:rPr>
          <w:rFonts w:asciiTheme="minorHAnsi" w:hAnsiTheme="minorHAnsi" w:cstheme="minorHAnsi"/>
          <w:sz w:val="22"/>
          <w:szCs w:val="22"/>
        </w:rPr>
        <w:t xml:space="preserve"> and WebEx </w:t>
      </w:r>
      <w:r w:rsidR="006F6A39">
        <w:rPr>
          <w:rFonts w:asciiTheme="minorHAnsi" w:hAnsiTheme="minorHAnsi" w:cstheme="minorHAnsi"/>
          <w:sz w:val="22"/>
          <w:szCs w:val="22"/>
        </w:rPr>
        <w:t xml:space="preserve">to </w:t>
      </w:r>
      <w:r w:rsidR="008E1EB7">
        <w:rPr>
          <w:rFonts w:asciiTheme="minorHAnsi" w:hAnsiTheme="minorHAnsi" w:cstheme="minorHAnsi"/>
          <w:sz w:val="22"/>
          <w:szCs w:val="22"/>
        </w:rPr>
        <w:t xml:space="preserve">communicate with programs and </w:t>
      </w:r>
      <w:r w:rsidR="006F6A39">
        <w:rPr>
          <w:rFonts w:asciiTheme="minorHAnsi" w:hAnsiTheme="minorHAnsi" w:cstheme="minorHAnsi"/>
          <w:sz w:val="22"/>
          <w:szCs w:val="22"/>
        </w:rPr>
        <w:t>conduct the virtual compliance monitoring</w:t>
      </w:r>
      <w:r w:rsidR="00C26329">
        <w:rPr>
          <w:rFonts w:asciiTheme="minorHAnsi" w:hAnsiTheme="minorHAnsi" w:cstheme="minorHAnsi"/>
          <w:sz w:val="22"/>
          <w:szCs w:val="22"/>
        </w:rPr>
        <w:t>.  As a side note</w:t>
      </w:r>
      <w:r w:rsidR="00527A18">
        <w:rPr>
          <w:rFonts w:asciiTheme="minorHAnsi" w:hAnsiTheme="minorHAnsi" w:cstheme="minorHAnsi"/>
          <w:sz w:val="22"/>
          <w:szCs w:val="22"/>
        </w:rPr>
        <w:t xml:space="preserve">, from a state and local </w:t>
      </w:r>
      <w:r w:rsidR="000A226E">
        <w:rPr>
          <w:rFonts w:asciiTheme="minorHAnsi" w:hAnsiTheme="minorHAnsi" w:cstheme="minorHAnsi"/>
          <w:sz w:val="22"/>
          <w:szCs w:val="22"/>
        </w:rPr>
        <w:t>perspective, Zoom</w:t>
      </w:r>
      <w:r w:rsidR="00C26329">
        <w:rPr>
          <w:rFonts w:asciiTheme="minorHAnsi" w:hAnsiTheme="minorHAnsi" w:cstheme="minorHAnsi"/>
          <w:sz w:val="22"/>
          <w:szCs w:val="22"/>
        </w:rPr>
        <w:t xml:space="preserve"> seem to be much easier to </w:t>
      </w:r>
      <w:r w:rsidR="00527A18">
        <w:rPr>
          <w:rFonts w:asciiTheme="minorHAnsi" w:hAnsiTheme="minorHAnsi" w:cstheme="minorHAnsi"/>
          <w:sz w:val="22"/>
          <w:szCs w:val="22"/>
        </w:rPr>
        <w:t>navigate and utilize</w:t>
      </w:r>
      <w:r w:rsidR="00C26329">
        <w:rPr>
          <w:rFonts w:asciiTheme="minorHAnsi" w:hAnsiTheme="minorHAnsi" w:cstheme="minorHAnsi"/>
          <w:sz w:val="22"/>
          <w:szCs w:val="22"/>
        </w:rPr>
        <w:t xml:space="preserve"> </w:t>
      </w:r>
      <w:r w:rsidR="00527A18">
        <w:rPr>
          <w:rFonts w:asciiTheme="minorHAnsi" w:hAnsiTheme="minorHAnsi" w:cstheme="minorHAnsi"/>
          <w:sz w:val="22"/>
          <w:szCs w:val="22"/>
        </w:rPr>
        <w:t xml:space="preserve">for </w:t>
      </w:r>
      <w:r w:rsidR="00C26329">
        <w:rPr>
          <w:rFonts w:asciiTheme="minorHAnsi" w:hAnsiTheme="minorHAnsi" w:cstheme="minorHAnsi"/>
          <w:sz w:val="22"/>
          <w:szCs w:val="22"/>
        </w:rPr>
        <w:t>monitoring</w:t>
      </w:r>
      <w:r w:rsidR="00527A18">
        <w:rPr>
          <w:rFonts w:asciiTheme="minorHAnsi" w:hAnsiTheme="minorHAnsi" w:cstheme="minorHAnsi"/>
          <w:sz w:val="22"/>
          <w:szCs w:val="22"/>
        </w:rPr>
        <w:t xml:space="preserve"> purposes and was the platform of choice</w:t>
      </w:r>
      <w:r w:rsidR="00C26329">
        <w:rPr>
          <w:rFonts w:asciiTheme="minorHAnsi" w:hAnsiTheme="minorHAnsi" w:cstheme="minorHAnsi"/>
          <w:sz w:val="22"/>
          <w:szCs w:val="22"/>
        </w:rPr>
        <w:t xml:space="preserve">.  The state monitoring template was revised to </w:t>
      </w:r>
      <w:r w:rsidR="003E17D4">
        <w:rPr>
          <w:rFonts w:asciiTheme="minorHAnsi" w:hAnsiTheme="minorHAnsi" w:cstheme="minorHAnsi"/>
          <w:sz w:val="22"/>
          <w:szCs w:val="22"/>
        </w:rPr>
        <w:t xml:space="preserve">accommodate various electronic devices such as laptop, tablet, </w:t>
      </w:r>
      <w:r w:rsidR="00437033">
        <w:rPr>
          <w:rFonts w:asciiTheme="minorHAnsi" w:hAnsiTheme="minorHAnsi" w:cstheme="minorHAnsi"/>
          <w:sz w:val="22"/>
          <w:szCs w:val="22"/>
        </w:rPr>
        <w:t xml:space="preserve">and </w:t>
      </w:r>
      <w:r w:rsidR="003E17D4">
        <w:rPr>
          <w:rFonts w:asciiTheme="minorHAnsi" w:hAnsiTheme="minorHAnsi" w:cstheme="minorHAnsi"/>
          <w:sz w:val="22"/>
          <w:szCs w:val="22"/>
        </w:rPr>
        <w:t>smart phone</w:t>
      </w:r>
      <w:r w:rsidR="00527A18">
        <w:rPr>
          <w:rFonts w:asciiTheme="minorHAnsi" w:hAnsiTheme="minorHAnsi" w:cstheme="minorHAnsi"/>
          <w:sz w:val="22"/>
          <w:szCs w:val="22"/>
        </w:rPr>
        <w:t xml:space="preserve"> application</w:t>
      </w:r>
      <w:r w:rsidR="003E17D4">
        <w:rPr>
          <w:rFonts w:asciiTheme="minorHAnsi" w:hAnsiTheme="minorHAnsi" w:cstheme="minorHAnsi"/>
          <w:sz w:val="22"/>
          <w:szCs w:val="22"/>
        </w:rPr>
        <w:t xml:space="preserve">.  </w:t>
      </w:r>
      <w:r w:rsidR="0043001F">
        <w:rPr>
          <w:rFonts w:asciiTheme="minorHAnsi" w:hAnsiTheme="minorHAnsi" w:cstheme="minorHAnsi"/>
          <w:sz w:val="22"/>
          <w:szCs w:val="22"/>
        </w:rPr>
        <w:t xml:space="preserve">Alabama’s virtual compliance monitoring process </w:t>
      </w:r>
      <w:r w:rsidR="008E1EB7">
        <w:rPr>
          <w:rFonts w:asciiTheme="minorHAnsi" w:hAnsiTheme="minorHAnsi" w:cstheme="minorHAnsi"/>
          <w:sz w:val="22"/>
          <w:szCs w:val="22"/>
        </w:rPr>
        <w:t>was showcased during t</w:t>
      </w:r>
      <w:r w:rsidR="0043001F">
        <w:rPr>
          <w:rFonts w:asciiTheme="minorHAnsi" w:hAnsiTheme="minorHAnsi" w:cstheme="minorHAnsi"/>
          <w:sz w:val="22"/>
          <w:szCs w:val="22"/>
        </w:rPr>
        <w:t xml:space="preserve">he </w:t>
      </w:r>
      <w:r w:rsidR="008E1EB7">
        <w:rPr>
          <w:rFonts w:asciiTheme="minorHAnsi" w:hAnsiTheme="minorHAnsi" w:cstheme="minorHAnsi"/>
          <w:sz w:val="22"/>
          <w:szCs w:val="22"/>
        </w:rPr>
        <w:t xml:space="preserve">2021 </w:t>
      </w:r>
      <w:r w:rsidR="0043001F">
        <w:rPr>
          <w:rFonts w:asciiTheme="minorHAnsi" w:hAnsiTheme="minorHAnsi" w:cstheme="minorHAnsi"/>
          <w:sz w:val="22"/>
          <w:szCs w:val="22"/>
        </w:rPr>
        <w:t xml:space="preserve">National Meeting for Adult Education State Directors (ASDM) sponsored by </w:t>
      </w:r>
      <w:r w:rsidR="008E1EB7">
        <w:rPr>
          <w:rFonts w:asciiTheme="minorHAnsi" w:hAnsiTheme="minorHAnsi" w:cstheme="minorHAnsi"/>
          <w:sz w:val="22"/>
          <w:szCs w:val="22"/>
        </w:rPr>
        <w:t xml:space="preserve">OCTAE.  </w:t>
      </w:r>
    </w:p>
    <w:p w14:paraId="31C2A5C7" w14:textId="77777777" w:rsidR="000A226E" w:rsidRDefault="000A226E" w:rsidP="005C6FD2">
      <w:pPr>
        <w:pStyle w:val="BodyText"/>
        <w:tabs>
          <w:tab w:val="left" w:pos="821"/>
        </w:tabs>
        <w:ind w:left="0" w:right="173"/>
        <w:jc w:val="both"/>
        <w:rPr>
          <w:rFonts w:asciiTheme="minorHAnsi" w:hAnsiTheme="minorHAnsi" w:cstheme="minorHAnsi"/>
          <w:sz w:val="22"/>
          <w:szCs w:val="22"/>
        </w:rPr>
      </w:pPr>
    </w:p>
    <w:p w14:paraId="55FDD637" w14:textId="24AF86F0" w:rsidR="00DD4743" w:rsidRPr="00E8716B" w:rsidRDefault="0043001F" w:rsidP="005C6FD2">
      <w:pPr>
        <w:pStyle w:val="BodyText"/>
        <w:tabs>
          <w:tab w:val="left" w:pos="821"/>
        </w:tabs>
        <w:ind w:left="0" w:right="173"/>
        <w:jc w:val="both"/>
        <w:rPr>
          <w:rFonts w:asciiTheme="minorHAnsi" w:hAnsiTheme="minorHAnsi" w:cstheme="minorHAnsi"/>
          <w:sz w:val="22"/>
          <w:szCs w:val="22"/>
        </w:rPr>
      </w:pPr>
      <w:r>
        <w:rPr>
          <w:rFonts w:asciiTheme="minorHAnsi" w:hAnsiTheme="minorHAnsi" w:cstheme="minorHAnsi"/>
          <w:sz w:val="22"/>
          <w:szCs w:val="22"/>
        </w:rPr>
        <w:t>O</w:t>
      </w:r>
      <w:r w:rsidR="00DD4743" w:rsidRPr="00E8716B">
        <w:rPr>
          <w:rFonts w:asciiTheme="minorHAnsi" w:hAnsiTheme="minorHAnsi" w:cstheme="minorHAnsi"/>
          <w:sz w:val="22"/>
          <w:szCs w:val="22"/>
        </w:rPr>
        <w:t xml:space="preserve">n-site </w:t>
      </w:r>
      <w:r w:rsidR="00DD4743" w:rsidRPr="000A226E">
        <w:rPr>
          <w:rFonts w:asciiTheme="minorHAnsi" w:hAnsiTheme="minorHAnsi" w:cstheme="minorHAnsi"/>
          <w:sz w:val="22"/>
          <w:szCs w:val="22"/>
        </w:rPr>
        <w:t xml:space="preserve">or virtual </w:t>
      </w:r>
      <w:r w:rsidR="000A226E">
        <w:rPr>
          <w:rFonts w:asciiTheme="minorHAnsi" w:hAnsiTheme="minorHAnsi" w:cstheme="minorHAnsi"/>
          <w:sz w:val="22"/>
          <w:szCs w:val="22"/>
        </w:rPr>
        <w:t xml:space="preserve">on-site </w:t>
      </w:r>
      <w:r w:rsidR="00DD4743" w:rsidRPr="00E8716B">
        <w:rPr>
          <w:rFonts w:asciiTheme="minorHAnsi" w:hAnsiTheme="minorHAnsi" w:cstheme="minorHAnsi"/>
          <w:sz w:val="22"/>
          <w:szCs w:val="22"/>
        </w:rPr>
        <w:t>compliance monitoring</w:t>
      </w:r>
      <w:r>
        <w:rPr>
          <w:rFonts w:asciiTheme="minorHAnsi" w:hAnsiTheme="minorHAnsi" w:cstheme="minorHAnsi"/>
          <w:sz w:val="22"/>
          <w:szCs w:val="22"/>
        </w:rPr>
        <w:t xml:space="preserve"> is conducted by the state team</w:t>
      </w:r>
      <w:r w:rsidR="00DD4743" w:rsidRPr="00E8716B">
        <w:rPr>
          <w:rFonts w:asciiTheme="minorHAnsi" w:hAnsiTheme="minorHAnsi" w:cstheme="minorHAnsi"/>
          <w:sz w:val="22"/>
          <w:szCs w:val="22"/>
        </w:rPr>
        <w:t xml:space="preserve"> following a </w:t>
      </w:r>
      <w:r w:rsidR="006750D3">
        <w:rPr>
          <w:rFonts w:asciiTheme="minorHAnsi" w:hAnsiTheme="minorHAnsi" w:cstheme="minorHAnsi"/>
          <w:sz w:val="22"/>
          <w:szCs w:val="22"/>
        </w:rPr>
        <w:t>minimum schedule of</w:t>
      </w:r>
      <w:r w:rsidR="00E8204F">
        <w:rPr>
          <w:rFonts w:asciiTheme="minorHAnsi" w:hAnsiTheme="minorHAnsi" w:cstheme="minorHAnsi"/>
          <w:sz w:val="22"/>
          <w:szCs w:val="22"/>
        </w:rPr>
        <w:t xml:space="preserve"> </w:t>
      </w:r>
      <w:r w:rsidR="006750D3">
        <w:rPr>
          <w:rFonts w:asciiTheme="minorHAnsi" w:hAnsiTheme="minorHAnsi" w:cstheme="minorHAnsi"/>
          <w:sz w:val="22"/>
          <w:szCs w:val="22"/>
        </w:rPr>
        <w:t xml:space="preserve">eight </w:t>
      </w:r>
      <w:r w:rsidR="00DD4743" w:rsidRPr="00E8716B">
        <w:rPr>
          <w:rFonts w:asciiTheme="minorHAnsi" w:hAnsiTheme="minorHAnsi" w:cstheme="minorHAnsi"/>
          <w:sz w:val="22"/>
          <w:szCs w:val="22"/>
        </w:rPr>
        <w:t xml:space="preserve">programs per year, which ensures that each local program will </w:t>
      </w:r>
      <w:r>
        <w:rPr>
          <w:rFonts w:asciiTheme="minorHAnsi" w:hAnsiTheme="minorHAnsi" w:cstheme="minorHAnsi"/>
          <w:sz w:val="22"/>
          <w:szCs w:val="22"/>
        </w:rPr>
        <w:t xml:space="preserve">participate in a full compliance </w:t>
      </w:r>
      <w:r w:rsidR="00DD4743" w:rsidRPr="00E8716B">
        <w:rPr>
          <w:rFonts w:asciiTheme="minorHAnsi" w:hAnsiTheme="minorHAnsi" w:cstheme="minorHAnsi"/>
          <w:sz w:val="22"/>
          <w:szCs w:val="22"/>
        </w:rPr>
        <w:t>monitor</w:t>
      </w:r>
      <w:r>
        <w:rPr>
          <w:rFonts w:asciiTheme="minorHAnsi" w:hAnsiTheme="minorHAnsi" w:cstheme="minorHAnsi"/>
          <w:sz w:val="22"/>
          <w:szCs w:val="22"/>
        </w:rPr>
        <w:t>ing</w:t>
      </w:r>
      <w:r w:rsidR="00DD4743" w:rsidRPr="00E8716B">
        <w:rPr>
          <w:rFonts w:asciiTheme="minorHAnsi" w:hAnsiTheme="minorHAnsi" w:cstheme="minorHAnsi"/>
          <w:sz w:val="22"/>
          <w:szCs w:val="22"/>
        </w:rPr>
        <w:t xml:space="preserve"> at least once during the</w:t>
      </w:r>
      <w:r w:rsidR="006750D3">
        <w:rPr>
          <w:rFonts w:asciiTheme="minorHAnsi" w:hAnsiTheme="minorHAnsi" w:cstheme="minorHAnsi"/>
          <w:sz w:val="22"/>
          <w:szCs w:val="22"/>
        </w:rPr>
        <w:t xml:space="preserve"> state’s </w:t>
      </w:r>
      <w:r w:rsidR="00C613C2">
        <w:rPr>
          <w:rFonts w:asciiTheme="minorHAnsi" w:hAnsiTheme="minorHAnsi" w:cstheme="minorHAnsi"/>
          <w:sz w:val="22"/>
          <w:szCs w:val="22"/>
        </w:rPr>
        <w:t>three-year</w:t>
      </w:r>
      <w:r w:rsidR="00DD4743" w:rsidRPr="00E8716B">
        <w:rPr>
          <w:rFonts w:asciiTheme="minorHAnsi" w:hAnsiTheme="minorHAnsi" w:cstheme="minorHAnsi"/>
          <w:sz w:val="22"/>
          <w:szCs w:val="22"/>
        </w:rPr>
        <w:t xml:space="preserve"> </w:t>
      </w:r>
      <w:r w:rsidR="006750D3">
        <w:rPr>
          <w:rFonts w:asciiTheme="minorHAnsi" w:hAnsiTheme="minorHAnsi" w:cstheme="minorHAnsi"/>
          <w:sz w:val="22"/>
          <w:szCs w:val="22"/>
        </w:rPr>
        <w:t>Request for Funding Proposal (</w:t>
      </w:r>
      <w:r w:rsidR="00DD4743" w:rsidRPr="00E8716B">
        <w:rPr>
          <w:rFonts w:asciiTheme="minorHAnsi" w:hAnsiTheme="minorHAnsi" w:cstheme="minorHAnsi"/>
          <w:sz w:val="22"/>
          <w:szCs w:val="22"/>
        </w:rPr>
        <w:t>RFP</w:t>
      </w:r>
      <w:r w:rsidR="006750D3">
        <w:rPr>
          <w:rFonts w:asciiTheme="minorHAnsi" w:hAnsiTheme="minorHAnsi" w:cstheme="minorHAnsi"/>
          <w:sz w:val="22"/>
          <w:szCs w:val="22"/>
        </w:rPr>
        <w:t>)</w:t>
      </w:r>
      <w:r w:rsidR="00DD4743" w:rsidRPr="00E8716B">
        <w:rPr>
          <w:rFonts w:asciiTheme="minorHAnsi" w:hAnsiTheme="minorHAnsi" w:cstheme="minorHAnsi"/>
          <w:sz w:val="22"/>
          <w:szCs w:val="22"/>
        </w:rPr>
        <w:t xml:space="preserve"> cycle</w:t>
      </w:r>
      <w:r w:rsidR="00A02D5C">
        <w:rPr>
          <w:rFonts w:asciiTheme="minorHAnsi" w:hAnsiTheme="minorHAnsi" w:cstheme="minorHAnsi"/>
          <w:sz w:val="22"/>
          <w:szCs w:val="22"/>
        </w:rPr>
        <w:t>.</w:t>
      </w:r>
      <w:r w:rsidR="007526D4">
        <w:rPr>
          <w:rFonts w:asciiTheme="minorHAnsi" w:hAnsiTheme="minorHAnsi" w:cstheme="minorHAnsi"/>
          <w:sz w:val="22"/>
          <w:szCs w:val="22"/>
        </w:rPr>
        <w:t xml:space="preserve">  D</w:t>
      </w:r>
      <w:r w:rsidR="007526D4" w:rsidRPr="00E8716B">
        <w:rPr>
          <w:rFonts w:asciiTheme="minorHAnsi" w:hAnsiTheme="minorHAnsi" w:cstheme="minorHAnsi"/>
          <w:sz w:val="22"/>
          <w:szCs w:val="22"/>
        </w:rPr>
        <w:t xml:space="preserve">ue to </w:t>
      </w:r>
      <w:r w:rsidR="007526D4">
        <w:rPr>
          <w:rFonts w:asciiTheme="minorHAnsi" w:hAnsiTheme="minorHAnsi" w:cstheme="minorHAnsi"/>
          <w:sz w:val="22"/>
          <w:szCs w:val="22"/>
        </w:rPr>
        <w:t xml:space="preserve">the </w:t>
      </w:r>
      <w:r w:rsidR="007526D4" w:rsidRPr="00E8716B">
        <w:rPr>
          <w:rFonts w:asciiTheme="minorHAnsi" w:hAnsiTheme="minorHAnsi" w:cstheme="minorHAnsi"/>
          <w:sz w:val="22"/>
          <w:szCs w:val="22"/>
        </w:rPr>
        <w:t>COVID-19 restrictions</w:t>
      </w:r>
      <w:r w:rsidR="007526D4">
        <w:rPr>
          <w:rFonts w:asciiTheme="minorHAnsi" w:hAnsiTheme="minorHAnsi" w:cstheme="minorHAnsi"/>
          <w:sz w:val="22"/>
          <w:szCs w:val="22"/>
        </w:rPr>
        <w:t>, compliance monitoring performed within the first eight months of the program year was conducted virtually</w:t>
      </w:r>
      <w:r>
        <w:rPr>
          <w:rFonts w:asciiTheme="minorHAnsi" w:hAnsiTheme="minorHAnsi" w:cstheme="minorHAnsi"/>
          <w:sz w:val="22"/>
          <w:szCs w:val="22"/>
        </w:rPr>
        <w:t xml:space="preserve"> as described previously</w:t>
      </w:r>
      <w:r w:rsidR="007526D4">
        <w:rPr>
          <w:rFonts w:asciiTheme="minorHAnsi" w:hAnsiTheme="minorHAnsi" w:cstheme="minorHAnsi"/>
          <w:sz w:val="22"/>
          <w:szCs w:val="22"/>
        </w:rPr>
        <w:t xml:space="preserve">.  </w:t>
      </w:r>
    </w:p>
    <w:p w14:paraId="2A7634D9" w14:textId="35960398" w:rsidR="00DD4743" w:rsidRPr="00E8716B" w:rsidRDefault="00DD4743" w:rsidP="005C6FD2">
      <w:pPr>
        <w:pStyle w:val="BodyText"/>
        <w:tabs>
          <w:tab w:val="left" w:pos="821"/>
        </w:tabs>
        <w:ind w:right="173"/>
        <w:jc w:val="both"/>
        <w:rPr>
          <w:rFonts w:asciiTheme="minorHAnsi" w:hAnsiTheme="minorHAnsi" w:cstheme="minorHAnsi"/>
          <w:sz w:val="22"/>
          <w:szCs w:val="22"/>
        </w:rPr>
      </w:pPr>
    </w:p>
    <w:p w14:paraId="15D3F6FB" w14:textId="69802958" w:rsidR="00991216" w:rsidRPr="00E8716B" w:rsidRDefault="00991216" w:rsidP="005C6FD2">
      <w:pPr>
        <w:pStyle w:val="BodyText"/>
        <w:tabs>
          <w:tab w:val="left" w:pos="821"/>
        </w:tabs>
        <w:ind w:left="0" w:right="173"/>
        <w:jc w:val="both"/>
        <w:rPr>
          <w:rFonts w:asciiTheme="minorHAnsi" w:hAnsiTheme="minorHAnsi" w:cstheme="minorHAnsi"/>
          <w:sz w:val="22"/>
          <w:szCs w:val="22"/>
        </w:rPr>
      </w:pPr>
      <w:r w:rsidRPr="00E8716B">
        <w:rPr>
          <w:rFonts w:asciiTheme="minorHAnsi" w:hAnsiTheme="minorHAnsi" w:cstheme="minorHAnsi"/>
          <w:sz w:val="22"/>
          <w:szCs w:val="22"/>
        </w:rPr>
        <w:t xml:space="preserve">Targeted monitoring </w:t>
      </w:r>
      <w:r w:rsidR="00E8716B" w:rsidRPr="00E8716B">
        <w:rPr>
          <w:rFonts w:asciiTheme="minorHAnsi" w:hAnsiTheme="minorHAnsi" w:cstheme="minorHAnsi"/>
          <w:sz w:val="22"/>
          <w:szCs w:val="22"/>
        </w:rPr>
        <w:t>was</w:t>
      </w:r>
      <w:r w:rsidRPr="00E8716B">
        <w:rPr>
          <w:rFonts w:asciiTheme="minorHAnsi" w:hAnsiTheme="minorHAnsi" w:cstheme="minorHAnsi"/>
          <w:sz w:val="22"/>
          <w:szCs w:val="22"/>
        </w:rPr>
        <w:t xml:space="preserve"> performed to follow-up and verify the completion of findings identified during on-site monitoring. </w:t>
      </w:r>
      <w:r w:rsidR="00A02D5C">
        <w:rPr>
          <w:rFonts w:asciiTheme="minorHAnsi" w:hAnsiTheme="minorHAnsi" w:cstheme="minorHAnsi"/>
          <w:sz w:val="22"/>
          <w:szCs w:val="22"/>
        </w:rPr>
        <w:t xml:space="preserve"> </w:t>
      </w:r>
      <w:r w:rsidRPr="00E8716B">
        <w:rPr>
          <w:rFonts w:asciiTheme="minorHAnsi" w:hAnsiTheme="minorHAnsi" w:cstheme="minorHAnsi"/>
          <w:sz w:val="22"/>
          <w:szCs w:val="22"/>
        </w:rPr>
        <w:t>A</w:t>
      </w:r>
      <w:r w:rsidR="00AF5677">
        <w:rPr>
          <w:rFonts w:asciiTheme="minorHAnsi" w:hAnsiTheme="minorHAnsi" w:cstheme="minorHAnsi"/>
          <w:sz w:val="22"/>
          <w:szCs w:val="22"/>
        </w:rPr>
        <w:t>dult education</w:t>
      </w:r>
      <w:r w:rsidRPr="00E8716B">
        <w:rPr>
          <w:rFonts w:asciiTheme="minorHAnsi" w:hAnsiTheme="minorHAnsi" w:cstheme="minorHAnsi"/>
          <w:sz w:val="22"/>
          <w:szCs w:val="22"/>
        </w:rPr>
        <w:t xml:space="preserve"> staff </w:t>
      </w:r>
      <w:r w:rsidR="00E8716B" w:rsidRPr="00E8716B">
        <w:rPr>
          <w:rFonts w:asciiTheme="minorHAnsi" w:hAnsiTheme="minorHAnsi" w:cstheme="minorHAnsi"/>
          <w:sz w:val="22"/>
          <w:szCs w:val="22"/>
        </w:rPr>
        <w:t>conducted targeted</w:t>
      </w:r>
      <w:r w:rsidRPr="00E8716B">
        <w:rPr>
          <w:rFonts w:asciiTheme="minorHAnsi" w:hAnsiTheme="minorHAnsi" w:cstheme="minorHAnsi"/>
          <w:sz w:val="22"/>
          <w:szCs w:val="22"/>
        </w:rPr>
        <w:t xml:space="preserve"> monitoring visits after receipt of the provider’s response addressing findings. </w:t>
      </w:r>
      <w:r w:rsidR="0043001F">
        <w:rPr>
          <w:rFonts w:asciiTheme="minorHAnsi" w:hAnsiTheme="minorHAnsi" w:cstheme="minorHAnsi"/>
          <w:sz w:val="22"/>
          <w:szCs w:val="22"/>
        </w:rPr>
        <w:t xml:space="preserve"> </w:t>
      </w:r>
      <w:r w:rsidR="00C613C2" w:rsidRPr="00E8716B">
        <w:rPr>
          <w:rFonts w:asciiTheme="minorHAnsi" w:hAnsiTheme="minorHAnsi" w:cstheme="minorHAnsi"/>
          <w:sz w:val="22"/>
          <w:szCs w:val="22"/>
        </w:rPr>
        <w:t>Identified</w:t>
      </w:r>
      <w:r w:rsidRPr="00E8716B">
        <w:rPr>
          <w:rFonts w:asciiTheme="minorHAnsi" w:hAnsiTheme="minorHAnsi" w:cstheme="minorHAnsi"/>
          <w:sz w:val="22"/>
          <w:szCs w:val="22"/>
        </w:rPr>
        <w:t xml:space="preserve"> measures ensured that program services and activities </w:t>
      </w:r>
      <w:r w:rsidR="00E8716B" w:rsidRPr="00E8716B">
        <w:rPr>
          <w:rFonts w:asciiTheme="minorHAnsi" w:hAnsiTheme="minorHAnsi" w:cstheme="minorHAnsi"/>
          <w:sz w:val="22"/>
          <w:szCs w:val="22"/>
        </w:rPr>
        <w:t>considered</w:t>
      </w:r>
      <w:r w:rsidRPr="00E8716B">
        <w:rPr>
          <w:rFonts w:asciiTheme="minorHAnsi" w:hAnsiTheme="minorHAnsi" w:cstheme="minorHAnsi"/>
          <w:sz w:val="22"/>
          <w:szCs w:val="22"/>
        </w:rPr>
        <w:t xml:space="preserve"> the findings of program reviews and evaluations</w:t>
      </w:r>
      <w:r w:rsidR="00C613C2">
        <w:rPr>
          <w:rFonts w:asciiTheme="minorHAnsi" w:hAnsiTheme="minorHAnsi" w:cstheme="minorHAnsi"/>
          <w:sz w:val="22"/>
          <w:szCs w:val="22"/>
        </w:rPr>
        <w:t xml:space="preserve">.  </w:t>
      </w:r>
    </w:p>
    <w:p w14:paraId="26D1EA2A" w14:textId="77777777" w:rsidR="00A74870" w:rsidRPr="00935DAE" w:rsidRDefault="00A74870" w:rsidP="00A74870">
      <w:pPr>
        <w:rPr>
          <w:rFonts w:ascii="Times New Roman" w:eastAsia="Times New Roman" w:hAnsi="Times New Roman" w:cs="Times New Roman"/>
        </w:rPr>
      </w:pPr>
    </w:p>
    <w:p w14:paraId="0ED9581F" w14:textId="77777777" w:rsidR="004256F1" w:rsidRDefault="002F248A" w:rsidP="004256F1">
      <w:pPr>
        <w:pStyle w:val="BodyText"/>
        <w:numPr>
          <w:ilvl w:val="0"/>
          <w:numId w:val="14"/>
        </w:num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460"/>
        </w:tabs>
        <w:ind w:right="632"/>
        <w:rPr>
          <w:rFonts w:asciiTheme="minorHAnsi" w:hAnsiTheme="minorHAnsi" w:cstheme="minorHAnsi"/>
          <w:sz w:val="22"/>
          <w:szCs w:val="22"/>
        </w:rPr>
      </w:pPr>
      <w:r>
        <w:rPr>
          <w:rFonts w:asciiTheme="minorHAnsi" w:hAnsiTheme="minorHAnsi" w:cstheme="minorHAnsi"/>
          <w:sz w:val="22"/>
          <w:szCs w:val="22"/>
        </w:rPr>
        <w:t xml:space="preserve"> </w:t>
      </w:r>
      <w:r w:rsidR="00A74870" w:rsidRPr="00935DAE">
        <w:rPr>
          <w:rFonts w:asciiTheme="minorHAnsi" w:hAnsiTheme="minorHAnsi" w:cstheme="minorHAnsi"/>
          <w:sz w:val="22"/>
          <w:szCs w:val="22"/>
        </w:rPr>
        <w:t xml:space="preserve">As </w:t>
      </w:r>
      <w:r w:rsidR="00A74870" w:rsidRPr="00935DAE">
        <w:rPr>
          <w:rFonts w:asciiTheme="minorHAnsi" w:hAnsiTheme="minorHAnsi" w:cstheme="minorHAnsi"/>
          <w:spacing w:val="-1"/>
          <w:sz w:val="22"/>
          <w:szCs w:val="22"/>
        </w:rPr>
        <w:t>applicable,</w:t>
      </w:r>
      <w:r w:rsidR="00A74870" w:rsidRPr="00935DAE">
        <w:rPr>
          <w:rFonts w:asciiTheme="minorHAnsi" w:hAnsiTheme="minorHAnsi" w:cstheme="minorHAnsi"/>
          <w:sz w:val="22"/>
          <w:szCs w:val="22"/>
        </w:rPr>
        <w:t xml:space="preserve"> describe </w:t>
      </w:r>
      <w:r w:rsidR="00A74870" w:rsidRPr="00935DAE">
        <w:rPr>
          <w:rFonts w:asciiTheme="minorHAnsi" w:hAnsiTheme="minorHAnsi" w:cstheme="minorHAnsi"/>
          <w:spacing w:val="-1"/>
          <w:sz w:val="22"/>
          <w:szCs w:val="22"/>
        </w:rPr>
        <w:t xml:space="preserve">how </w:t>
      </w:r>
      <w:r w:rsidR="00A74870" w:rsidRPr="00935DAE">
        <w:rPr>
          <w:rFonts w:asciiTheme="minorHAnsi" w:hAnsiTheme="minorHAnsi" w:cstheme="minorHAnsi"/>
          <w:sz w:val="22"/>
          <w:szCs w:val="22"/>
        </w:rPr>
        <w:t>the State</w:t>
      </w:r>
      <w:r w:rsidR="00A74870" w:rsidRPr="00935DAE">
        <w:rPr>
          <w:rFonts w:asciiTheme="minorHAnsi" w:hAnsiTheme="minorHAnsi" w:cstheme="minorHAnsi"/>
          <w:spacing w:val="-1"/>
          <w:sz w:val="22"/>
          <w:szCs w:val="22"/>
        </w:rPr>
        <w:t xml:space="preserve"> </w:t>
      </w:r>
      <w:r w:rsidR="00A74870" w:rsidRPr="00935DAE">
        <w:rPr>
          <w:rFonts w:asciiTheme="minorHAnsi" w:hAnsiTheme="minorHAnsi" w:cstheme="minorHAnsi"/>
          <w:sz w:val="22"/>
          <w:szCs w:val="22"/>
        </w:rPr>
        <w:t xml:space="preserve">has used </w:t>
      </w:r>
      <w:r w:rsidR="00A74870" w:rsidRPr="00935DAE">
        <w:rPr>
          <w:rFonts w:asciiTheme="minorHAnsi" w:hAnsiTheme="minorHAnsi" w:cstheme="minorHAnsi"/>
          <w:spacing w:val="-1"/>
          <w:sz w:val="22"/>
          <w:szCs w:val="22"/>
        </w:rPr>
        <w:t>funds</w:t>
      </w:r>
      <w:r w:rsidR="00A74870" w:rsidRPr="00935DAE">
        <w:rPr>
          <w:rFonts w:asciiTheme="minorHAnsi" w:hAnsiTheme="minorHAnsi" w:cstheme="minorHAnsi"/>
          <w:sz w:val="22"/>
          <w:szCs w:val="22"/>
        </w:rPr>
        <w:t xml:space="preserve"> for </w:t>
      </w:r>
      <w:r w:rsidR="00A74870" w:rsidRPr="00935DAE">
        <w:rPr>
          <w:rFonts w:asciiTheme="minorHAnsi" w:hAnsiTheme="minorHAnsi" w:cstheme="minorHAnsi"/>
          <w:spacing w:val="-1"/>
          <w:sz w:val="22"/>
          <w:szCs w:val="22"/>
        </w:rPr>
        <w:t>additional</w:t>
      </w:r>
      <w:r w:rsidR="00A74870" w:rsidRPr="00935DAE">
        <w:rPr>
          <w:rFonts w:asciiTheme="minorHAnsi" w:hAnsiTheme="minorHAnsi" w:cstheme="minorHAnsi"/>
          <w:sz w:val="22"/>
          <w:szCs w:val="22"/>
        </w:rPr>
        <w:t xml:space="preserve"> </w:t>
      </w:r>
      <w:r w:rsidR="00A74870" w:rsidRPr="00935DAE">
        <w:rPr>
          <w:rFonts w:asciiTheme="minorHAnsi" w:hAnsiTheme="minorHAnsi" w:cstheme="minorHAnsi"/>
          <w:spacing w:val="-1"/>
          <w:sz w:val="22"/>
          <w:szCs w:val="22"/>
        </w:rPr>
        <w:t xml:space="preserve">permissible </w:t>
      </w:r>
      <w:r w:rsidR="00A74870" w:rsidRPr="00935DAE">
        <w:rPr>
          <w:rFonts w:asciiTheme="minorHAnsi" w:hAnsiTheme="minorHAnsi" w:cstheme="minorHAnsi"/>
          <w:sz w:val="22"/>
          <w:szCs w:val="22"/>
        </w:rPr>
        <w:t>activities</w:t>
      </w:r>
      <w:r w:rsidR="00A74870" w:rsidRPr="00935DAE">
        <w:rPr>
          <w:rFonts w:asciiTheme="minorHAnsi" w:hAnsiTheme="minorHAnsi" w:cstheme="minorHAnsi"/>
          <w:spacing w:val="67"/>
          <w:sz w:val="22"/>
          <w:szCs w:val="22"/>
        </w:rPr>
        <w:t xml:space="preserve"> </w:t>
      </w:r>
      <w:r w:rsidR="00A74870" w:rsidRPr="00935DAE">
        <w:rPr>
          <w:rFonts w:asciiTheme="minorHAnsi" w:hAnsiTheme="minorHAnsi" w:cstheme="minorHAnsi"/>
          <w:spacing w:val="-1"/>
          <w:sz w:val="22"/>
          <w:szCs w:val="22"/>
        </w:rPr>
        <w:t>described</w:t>
      </w:r>
      <w:r w:rsidR="00A74870" w:rsidRPr="00935DAE">
        <w:rPr>
          <w:rFonts w:asciiTheme="minorHAnsi" w:hAnsiTheme="minorHAnsi" w:cstheme="minorHAnsi"/>
          <w:sz w:val="22"/>
          <w:szCs w:val="22"/>
        </w:rPr>
        <w:t xml:space="preserve"> in section 223(a)(2).</w:t>
      </w:r>
      <w:r w:rsidR="0047216E" w:rsidRPr="00935DAE">
        <w:rPr>
          <w:rFonts w:asciiTheme="minorHAnsi" w:hAnsiTheme="minorHAnsi" w:cstheme="minorHAnsi"/>
          <w:sz w:val="22"/>
          <w:szCs w:val="22"/>
        </w:rPr>
        <w:t xml:space="preserve"> </w:t>
      </w:r>
    </w:p>
    <w:p w14:paraId="277D878A" w14:textId="77777777" w:rsidR="006750D3" w:rsidRDefault="006750D3" w:rsidP="004256F1">
      <w:pPr>
        <w:pStyle w:val="BodyText"/>
        <w:tabs>
          <w:tab w:val="left" w:pos="460"/>
        </w:tabs>
        <w:ind w:left="100" w:right="632"/>
        <w:rPr>
          <w:rFonts w:asciiTheme="minorHAnsi" w:hAnsiTheme="minorHAnsi" w:cstheme="minorHAnsi"/>
          <w:sz w:val="22"/>
          <w:szCs w:val="22"/>
        </w:rPr>
      </w:pPr>
    </w:p>
    <w:p w14:paraId="49CEBA18" w14:textId="62E417FE" w:rsidR="00081A29" w:rsidRPr="00935DAE" w:rsidRDefault="00FB64F2" w:rsidP="00870CBE">
      <w:pPr>
        <w:pStyle w:val="BodyText"/>
        <w:tabs>
          <w:tab w:val="left" w:pos="460"/>
        </w:tabs>
        <w:ind w:left="100" w:right="632"/>
        <w:jc w:val="both"/>
        <w:rPr>
          <w:rFonts w:asciiTheme="minorHAnsi" w:hAnsiTheme="minorHAnsi" w:cstheme="minorHAnsi"/>
          <w:sz w:val="22"/>
          <w:szCs w:val="22"/>
        </w:rPr>
      </w:pPr>
      <w:r>
        <w:rPr>
          <w:rFonts w:asciiTheme="minorHAnsi" w:hAnsiTheme="minorHAnsi" w:cstheme="minorHAnsi"/>
          <w:sz w:val="22"/>
          <w:szCs w:val="22"/>
        </w:rPr>
        <w:t xml:space="preserve">Leadership funds </w:t>
      </w:r>
      <w:r w:rsidR="00187FED">
        <w:rPr>
          <w:rFonts w:asciiTheme="minorHAnsi" w:hAnsiTheme="minorHAnsi" w:cstheme="minorHAnsi"/>
          <w:sz w:val="22"/>
          <w:szCs w:val="22"/>
        </w:rPr>
        <w:t>were</w:t>
      </w:r>
      <w:r w:rsidR="004256F1">
        <w:rPr>
          <w:rFonts w:asciiTheme="minorHAnsi" w:hAnsiTheme="minorHAnsi" w:cstheme="minorHAnsi"/>
          <w:sz w:val="22"/>
          <w:szCs w:val="22"/>
        </w:rPr>
        <w:t xml:space="preserve"> </w:t>
      </w:r>
      <w:r>
        <w:rPr>
          <w:rFonts w:asciiTheme="minorHAnsi" w:hAnsiTheme="minorHAnsi" w:cstheme="minorHAnsi"/>
          <w:sz w:val="22"/>
          <w:szCs w:val="22"/>
        </w:rPr>
        <w:t xml:space="preserve">used to support the Alabama Adult Education System </w:t>
      </w:r>
      <w:r w:rsidR="004256F1">
        <w:rPr>
          <w:rFonts w:asciiTheme="minorHAnsi" w:hAnsiTheme="minorHAnsi" w:cstheme="minorHAnsi"/>
          <w:sz w:val="22"/>
          <w:szCs w:val="22"/>
        </w:rPr>
        <w:t xml:space="preserve">for </w:t>
      </w:r>
      <w:r>
        <w:rPr>
          <w:rFonts w:asciiTheme="minorHAnsi" w:hAnsiTheme="minorHAnsi" w:cstheme="minorHAnsi"/>
          <w:sz w:val="22"/>
          <w:szCs w:val="22"/>
        </w:rPr>
        <w:t>Accountability and Performance (AAESAP) which is the state’s Management Information System (MIS).   AAESAP i</w:t>
      </w:r>
      <w:r w:rsidR="004256F1">
        <w:rPr>
          <w:rFonts w:asciiTheme="minorHAnsi" w:hAnsiTheme="minorHAnsi" w:cstheme="minorHAnsi"/>
          <w:sz w:val="22"/>
          <w:szCs w:val="22"/>
        </w:rPr>
        <w:t xml:space="preserve">s owned by Alabama Adult Education and </w:t>
      </w:r>
      <w:r w:rsidR="008937D0">
        <w:rPr>
          <w:rFonts w:asciiTheme="minorHAnsi" w:hAnsiTheme="minorHAnsi" w:cstheme="minorHAnsi"/>
          <w:sz w:val="22"/>
          <w:szCs w:val="22"/>
        </w:rPr>
        <w:t>operated through an annual contract with the Alabama Supercomputer Authority</w:t>
      </w:r>
      <w:r w:rsidR="00187FED">
        <w:rPr>
          <w:rFonts w:asciiTheme="minorHAnsi" w:hAnsiTheme="minorHAnsi" w:cstheme="minorHAnsi"/>
          <w:sz w:val="22"/>
          <w:szCs w:val="22"/>
        </w:rPr>
        <w:t xml:space="preserve"> (ASA)</w:t>
      </w:r>
      <w:r w:rsidR="008937D0">
        <w:rPr>
          <w:rFonts w:asciiTheme="minorHAnsi" w:hAnsiTheme="minorHAnsi" w:cstheme="minorHAnsi"/>
          <w:sz w:val="22"/>
          <w:szCs w:val="22"/>
        </w:rPr>
        <w:t xml:space="preserve">.  </w:t>
      </w:r>
      <w:r w:rsidR="00187FED">
        <w:rPr>
          <w:rFonts w:asciiTheme="minorHAnsi" w:hAnsiTheme="minorHAnsi" w:cstheme="minorHAnsi"/>
          <w:sz w:val="22"/>
          <w:szCs w:val="22"/>
        </w:rPr>
        <w:t>ASA p</w:t>
      </w:r>
      <w:r w:rsidR="008937D0">
        <w:rPr>
          <w:rFonts w:asciiTheme="minorHAnsi" w:hAnsiTheme="minorHAnsi" w:cstheme="minorHAnsi"/>
          <w:sz w:val="22"/>
          <w:szCs w:val="22"/>
        </w:rPr>
        <w:t xml:space="preserve">rogrammers are </w:t>
      </w:r>
      <w:r w:rsidR="00187FED">
        <w:rPr>
          <w:rFonts w:asciiTheme="minorHAnsi" w:hAnsiTheme="minorHAnsi" w:cstheme="minorHAnsi"/>
          <w:sz w:val="22"/>
          <w:szCs w:val="22"/>
        </w:rPr>
        <w:t>assigned</w:t>
      </w:r>
      <w:r w:rsidR="008937D0">
        <w:rPr>
          <w:rFonts w:asciiTheme="minorHAnsi" w:hAnsiTheme="minorHAnsi" w:cstheme="minorHAnsi"/>
          <w:sz w:val="22"/>
          <w:szCs w:val="22"/>
        </w:rPr>
        <w:t xml:space="preserve"> to the</w:t>
      </w:r>
      <w:r w:rsidR="00187FED">
        <w:rPr>
          <w:rFonts w:asciiTheme="minorHAnsi" w:hAnsiTheme="minorHAnsi" w:cstheme="minorHAnsi"/>
          <w:sz w:val="22"/>
          <w:szCs w:val="22"/>
        </w:rPr>
        <w:t xml:space="preserve"> management and operation of </w:t>
      </w:r>
      <w:r w:rsidR="008937D0">
        <w:rPr>
          <w:rFonts w:asciiTheme="minorHAnsi" w:hAnsiTheme="minorHAnsi" w:cstheme="minorHAnsi"/>
          <w:sz w:val="22"/>
          <w:szCs w:val="22"/>
        </w:rPr>
        <w:t>AAESAP</w:t>
      </w:r>
      <w:r w:rsidR="00187FED">
        <w:rPr>
          <w:rFonts w:asciiTheme="minorHAnsi" w:hAnsiTheme="minorHAnsi" w:cstheme="minorHAnsi"/>
          <w:sz w:val="22"/>
          <w:szCs w:val="22"/>
        </w:rPr>
        <w:t>.  They</w:t>
      </w:r>
      <w:r w:rsidR="008937D0">
        <w:rPr>
          <w:rFonts w:asciiTheme="minorHAnsi" w:hAnsiTheme="minorHAnsi" w:cstheme="minorHAnsi"/>
          <w:sz w:val="22"/>
          <w:szCs w:val="22"/>
        </w:rPr>
        <w:t xml:space="preserve"> function as an extension of the adult education state staff to ensure that all aspects of adult education are recordable, trackable, </w:t>
      </w:r>
      <w:r w:rsidR="00B70434">
        <w:rPr>
          <w:rFonts w:asciiTheme="minorHAnsi" w:hAnsiTheme="minorHAnsi" w:cstheme="minorHAnsi"/>
          <w:sz w:val="22"/>
          <w:szCs w:val="22"/>
        </w:rPr>
        <w:t xml:space="preserve">and provide the usability to make data driven decisions at the state and local level.  </w:t>
      </w:r>
      <w:r w:rsidR="00E40028">
        <w:rPr>
          <w:rFonts w:asciiTheme="minorHAnsi" w:hAnsiTheme="minorHAnsi" w:cstheme="minorHAnsi"/>
          <w:sz w:val="22"/>
          <w:szCs w:val="22"/>
        </w:rPr>
        <w:t xml:space="preserve">During the COVID-19 pandemic we were able to enhance the usability of AAESAP to create the ability for online self-enrollment.  Also, the resource section of AAESAP was improved to provide a plethora of instructional </w:t>
      </w:r>
      <w:r w:rsidR="00870CBE">
        <w:rPr>
          <w:rFonts w:asciiTheme="minorHAnsi" w:hAnsiTheme="minorHAnsi" w:cstheme="minorHAnsi"/>
          <w:sz w:val="22"/>
          <w:szCs w:val="22"/>
        </w:rPr>
        <w:t>methods to assist the</w:t>
      </w:r>
      <w:r w:rsidR="00081A29">
        <w:rPr>
          <w:rFonts w:asciiTheme="minorHAnsi" w:hAnsiTheme="minorHAnsi" w:cstheme="minorHAnsi"/>
          <w:sz w:val="22"/>
          <w:szCs w:val="22"/>
        </w:rPr>
        <w:t xml:space="preserve"> pivot to </w:t>
      </w:r>
      <w:r w:rsidR="00870CBE">
        <w:rPr>
          <w:rFonts w:asciiTheme="minorHAnsi" w:hAnsiTheme="minorHAnsi" w:cstheme="minorHAnsi"/>
          <w:sz w:val="22"/>
          <w:szCs w:val="22"/>
        </w:rPr>
        <w:t xml:space="preserve">virtual </w:t>
      </w:r>
      <w:r w:rsidR="00081A29">
        <w:rPr>
          <w:rFonts w:asciiTheme="minorHAnsi" w:hAnsiTheme="minorHAnsi" w:cstheme="minorHAnsi"/>
          <w:sz w:val="22"/>
          <w:szCs w:val="22"/>
        </w:rPr>
        <w:t>distance learning</w:t>
      </w:r>
      <w:r w:rsidR="00870CBE">
        <w:rPr>
          <w:rFonts w:asciiTheme="minorHAnsi" w:hAnsiTheme="minorHAnsi" w:cstheme="minorHAnsi"/>
          <w:sz w:val="22"/>
          <w:szCs w:val="22"/>
        </w:rPr>
        <w:t>.</w:t>
      </w:r>
      <w:r w:rsidR="00081A29">
        <w:rPr>
          <w:rFonts w:asciiTheme="minorHAnsi" w:hAnsiTheme="minorHAnsi" w:cstheme="minorHAnsi"/>
          <w:sz w:val="22"/>
          <w:szCs w:val="22"/>
        </w:rPr>
        <w:t xml:space="preserve"> </w:t>
      </w:r>
    </w:p>
    <w:p w14:paraId="51F368D1" w14:textId="77777777" w:rsidR="00A74870" w:rsidRPr="00935DAE" w:rsidRDefault="00A74870" w:rsidP="00A74870">
      <w:pPr>
        <w:rPr>
          <w:rFonts w:eastAsia="Times New Roman" w:cstheme="minorHAnsi"/>
        </w:rPr>
      </w:pPr>
    </w:p>
    <w:p w14:paraId="62605ED3" w14:textId="6ECF27C9" w:rsidR="00E34609" w:rsidRPr="00935DAE" w:rsidRDefault="00A74870" w:rsidP="00B55B73">
      <w:pPr>
        <w:pStyle w:val="BodyText"/>
        <w:pBdr>
          <w:top w:val="single" w:sz="4" w:space="1" w:color="auto"/>
          <w:left w:val="single" w:sz="4" w:space="4" w:color="auto"/>
          <w:bottom w:val="single" w:sz="4" w:space="1" w:color="auto"/>
          <w:right w:val="single" w:sz="4" w:space="4" w:color="auto"/>
        </w:pBdr>
        <w:shd w:val="clear" w:color="auto" w:fill="D0CECE" w:themeFill="background2" w:themeFillShade="E6"/>
        <w:ind w:left="0" w:right="173"/>
        <w:rPr>
          <w:rFonts w:asciiTheme="minorHAnsi" w:hAnsiTheme="minorHAnsi" w:cstheme="minorHAnsi"/>
          <w:sz w:val="22"/>
          <w:szCs w:val="22"/>
        </w:rPr>
      </w:pPr>
      <w:r w:rsidRPr="00935DAE">
        <w:rPr>
          <w:rFonts w:asciiTheme="minorHAnsi" w:hAnsiTheme="minorHAnsi" w:cstheme="minorHAnsi"/>
          <w:b/>
          <w:bCs/>
          <w:spacing w:val="-1"/>
          <w:sz w:val="22"/>
          <w:szCs w:val="22"/>
        </w:rPr>
        <w:t>Performance</w:t>
      </w:r>
      <w:r w:rsidRPr="00935DAE">
        <w:rPr>
          <w:rFonts w:asciiTheme="minorHAnsi" w:hAnsiTheme="minorHAnsi" w:cstheme="minorHAnsi"/>
          <w:b/>
          <w:bCs/>
          <w:sz w:val="22"/>
          <w:szCs w:val="22"/>
        </w:rPr>
        <w:t xml:space="preserve"> Data Analysis</w:t>
      </w:r>
    </w:p>
    <w:p w14:paraId="7D3B50D7" w14:textId="29A65B0C" w:rsidR="00A74870" w:rsidRPr="002F248A" w:rsidRDefault="00A74870" w:rsidP="00B55B73">
      <w:pPr>
        <w:pStyle w:val="BodyText"/>
        <w:pBdr>
          <w:top w:val="single" w:sz="4" w:space="1" w:color="auto"/>
          <w:left w:val="single" w:sz="4" w:space="4" w:color="auto"/>
          <w:bottom w:val="single" w:sz="4" w:space="1" w:color="auto"/>
          <w:right w:val="single" w:sz="4" w:space="4" w:color="auto"/>
        </w:pBdr>
        <w:shd w:val="clear" w:color="auto" w:fill="D0CECE" w:themeFill="background2" w:themeFillShade="E6"/>
        <w:ind w:left="0" w:right="173"/>
        <w:rPr>
          <w:rFonts w:asciiTheme="minorHAnsi" w:hAnsiTheme="minorHAnsi" w:cstheme="minorHAnsi"/>
          <w:i/>
          <w:iCs/>
          <w:spacing w:val="-1"/>
          <w:sz w:val="22"/>
          <w:szCs w:val="22"/>
        </w:rPr>
      </w:pPr>
      <w:r w:rsidRPr="002F248A">
        <w:rPr>
          <w:rFonts w:asciiTheme="minorHAnsi" w:hAnsiTheme="minorHAnsi" w:cstheme="minorHAnsi"/>
          <w:i/>
          <w:iCs/>
          <w:sz w:val="22"/>
          <w:szCs w:val="22"/>
        </w:rPr>
        <w:t xml:space="preserve">Describe </w:t>
      </w:r>
      <w:r w:rsidRPr="002F248A">
        <w:rPr>
          <w:rFonts w:asciiTheme="minorHAnsi" w:hAnsiTheme="minorHAnsi" w:cstheme="minorHAnsi"/>
          <w:i/>
          <w:iCs/>
          <w:spacing w:val="-1"/>
          <w:sz w:val="22"/>
          <w:szCs w:val="22"/>
        </w:rPr>
        <w:t>how</w:t>
      </w:r>
      <w:r w:rsidRPr="002F248A">
        <w:rPr>
          <w:rFonts w:asciiTheme="minorHAnsi" w:hAnsiTheme="minorHAnsi" w:cstheme="minorHAnsi"/>
          <w:i/>
          <w:iCs/>
          <w:sz w:val="22"/>
          <w:szCs w:val="22"/>
        </w:rPr>
        <w:t xml:space="preserve"> the adult</w:t>
      </w:r>
      <w:r w:rsidRPr="002F248A">
        <w:rPr>
          <w:rFonts w:asciiTheme="minorHAnsi" w:hAnsiTheme="minorHAnsi" w:cstheme="minorHAnsi"/>
          <w:i/>
          <w:iCs/>
          <w:spacing w:val="-1"/>
          <w:sz w:val="22"/>
          <w:szCs w:val="22"/>
        </w:rPr>
        <w:t xml:space="preserve"> </w:t>
      </w:r>
      <w:r w:rsidRPr="002F248A">
        <w:rPr>
          <w:rFonts w:asciiTheme="minorHAnsi" w:hAnsiTheme="minorHAnsi" w:cstheme="minorHAnsi"/>
          <w:i/>
          <w:iCs/>
          <w:sz w:val="22"/>
          <w:szCs w:val="22"/>
        </w:rPr>
        <w:t xml:space="preserve">education program </w:t>
      </w:r>
      <w:r w:rsidRPr="002F248A">
        <w:rPr>
          <w:rFonts w:asciiTheme="minorHAnsi" w:hAnsiTheme="minorHAnsi" w:cstheme="minorHAnsi"/>
          <w:i/>
          <w:iCs/>
          <w:spacing w:val="-1"/>
          <w:sz w:val="22"/>
          <w:szCs w:val="22"/>
        </w:rPr>
        <w:t xml:space="preserve">performed </w:t>
      </w:r>
      <w:r w:rsidRPr="002F248A">
        <w:rPr>
          <w:rFonts w:asciiTheme="minorHAnsi" w:hAnsiTheme="minorHAnsi" w:cstheme="minorHAnsi"/>
          <w:i/>
          <w:iCs/>
          <w:sz w:val="22"/>
          <w:szCs w:val="22"/>
        </w:rPr>
        <w:t>in the</w:t>
      </w:r>
      <w:r w:rsidRPr="002F248A">
        <w:rPr>
          <w:rFonts w:asciiTheme="minorHAnsi" w:hAnsiTheme="minorHAnsi" w:cstheme="minorHAnsi"/>
          <w:i/>
          <w:iCs/>
          <w:spacing w:val="-1"/>
          <w:sz w:val="22"/>
          <w:szCs w:val="22"/>
        </w:rPr>
        <w:t xml:space="preserve"> </w:t>
      </w:r>
      <w:r w:rsidRPr="002F248A">
        <w:rPr>
          <w:rFonts w:asciiTheme="minorHAnsi" w:hAnsiTheme="minorHAnsi" w:cstheme="minorHAnsi"/>
          <w:i/>
          <w:iCs/>
          <w:sz w:val="22"/>
          <w:szCs w:val="22"/>
        </w:rPr>
        <w:t>overall</w:t>
      </w:r>
      <w:r w:rsidRPr="002F248A">
        <w:rPr>
          <w:rFonts w:asciiTheme="minorHAnsi" w:hAnsiTheme="minorHAnsi" w:cstheme="minorHAnsi"/>
          <w:i/>
          <w:iCs/>
          <w:spacing w:val="1"/>
          <w:sz w:val="22"/>
          <w:szCs w:val="22"/>
        </w:rPr>
        <w:t xml:space="preserve"> </w:t>
      </w:r>
      <w:r w:rsidRPr="002F248A">
        <w:rPr>
          <w:rFonts w:asciiTheme="minorHAnsi" w:hAnsiTheme="minorHAnsi" w:cstheme="minorHAnsi"/>
          <w:i/>
          <w:iCs/>
          <w:spacing w:val="-1"/>
          <w:sz w:val="22"/>
          <w:szCs w:val="22"/>
        </w:rPr>
        <w:t>assessment</w:t>
      </w:r>
      <w:r w:rsidRPr="002F248A">
        <w:rPr>
          <w:rFonts w:asciiTheme="minorHAnsi" w:hAnsiTheme="minorHAnsi" w:cstheme="minorHAnsi"/>
          <w:i/>
          <w:iCs/>
          <w:sz w:val="22"/>
          <w:szCs w:val="22"/>
        </w:rPr>
        <w:t xml:space="preserve"> </w:t>
      </w:r>
      <w:r w:rsidRPr="002F248A">
        <w:rPr>
          <w:rFonts w:asciiTheme="minorHAnsi" w:hAnsiTheme="minorHAnsi" w:cstheme="minorHAnsi"/>
          <w:i/>
          <w:iCs/>
          <w:spacing w:val="-1"/>
          <w:sz w:val="22"/>
          <w:szCs w:val="22"/>
        </w:rPr>
        <w:t>of</w:t>
      </w:r>
      <w:r w:rsidRPr="002F248A">
        <w:rPr>
          <w:rFonts w:asciiTheme="minorHAnsi" w:hAnsiTheme="minorHAnsi" w:cstheme="minorHAnsi"/>
          <w:i/>
          <w:iCs/>
          <w:sz w:val="22"/>
          <w:szCs w:val="22"/>
        </w:rPr>
        <w:t xml:space="preserve"> core </w:t>
      </w:r>
      <w:r w:rsidRPr="002F248A">
        <w:rPr>
          <w:rFonts w:asciiTheme="minorHAnsi" w:hAnsiTheme="minorHAnsi" w:cstheme="minorHAnsi"/>
          <w:i/>
          <w:iCs/>
          <w:spacing w:val="-1"/>
          <w:sz w:val="22"/>
          <w:szCs w:val="22"/>
        </w:rPr>
        <w:t>programs</w:t>
      </w:r>
      <w:r w:rsidRPr="002F248A">
        <w:rPr>
          <w:rFonts w:asciiTheme="minorHAnsi" w:hAnsiTheme="minorHAnsi" w:cstheme="minorHAnsi"/>
          <w:i/>
          <w:iCs/>
          <w:spacing w:val="51"/>
          <w:sz w:val="22"/>
          <w:szCs w:val="22"/>
        </w:rPr>
        <w:t xml:space="preserve"> </w:t>
      </w:r>
      <w:r w:rsidRPr="002F248A">
        <w:rPr>
          <w:rFonts w:asciiTheme="minorHAnsi" w:hAnsiTheme="minorHAnsi" w:cstheme="minorHAnsi"/>
          <w:i/>
          <w:iCs/>
          <w:sz w:val="22"/>
          <w:szCs w:val="22"/>
        </w:rPr>
        <w:t>based on the</w:t>
      </w:r>
      <w:r w:rsidRPr="002F248A">
        <w:rPr>
          <w:rFonts w:asciiTheme="minorHAnsi" w:hAnsiTheme="minorHAnsi" w:cstheme="minorHAnsi"/>
          <w:i/>
          <w:iCs/>
          <w:spacing w:val="-1"/>
          <w:sz w:val="22"/>
          <w:szCs w:val="22"/>
        </w:rPr>
        <w:t xml:space="preserve"> </w:t>
      </w:r>
      <w:r w:rsidRPr="002F248A">
        <w:rPr>
          <w:rFonts w:asciiTheme="minorHAnsi" w:hAnsiTheme="minorHAnsi" w:cstheme="minorHAnsi"/>
          <w:i/>
          <w:iCs/>
          <w:sz w:val="22"/>
          <w:szCs w:val="22"/>
        </w:rPr>
        <w:t xml:space="preserve">core </w:t>
      </w:r>
      <w:r w:rsidRPr="002F248A">
        <w:rPr>
          <w:rFonts w:asciiTheme="minorHAnsi" w:hAnsiTheme="minorHAnsi" w:cstheme="minorHAnsi"/>
          <w:i/>
          <w:iCs/>
          <w:spacing w:val="-1"/>
          <w:sz w:val="22"/>
          <w:szCs w:val="22"/>
        </w:rPr>
        <w:t>indicators</w:t>
      </w:r>
      <w:r w:rsidRPr="002F248A">
        <w:rPr>
          <w:rFonts w:asciiTheme="minorHAnsi" w:hAnsiTheme="minorHAnsi" w:cstheme="minorHAnsi"/>
          <w:i/>
          <w:iCs/>
          <w:sz w:val="22"/>
          <w:szCs w:val="22"/>
        </w:rPr>
        <w:t xml:space="preserve"> of</w:t>
      </w:r>
      <w:r w:rsidRPr="002F248A">
        <w:rPr>
          <w:rFonts w:asciiTheme="minorHAnsi" w:hAnsiTheme="minorHAnsi" w:cstheme="minorHAnsi"/>
          <w:i/>
          <w:iCs/>
          <w:spacing w:val="1"/>
          <w:sz w:val="22"/>
          <w:szCs w:val="22"/>
        </w:rPr>
        <w:t xml:space="preserve"> </w:t>
      </w:r>
      <w:r w:rsidRPr="002F248A">
        <w:rPr>
          <w:rFonts w:asciiTheme="minorHAnsi" w:hAnsiTheme="minorHAnsi" w:cstheme="minorHAnsi"/>
          <w:i/>
          <w:iCs/>
          <w:spacing w:val="-1"/>
          <w:sz w:val="22"/>
          <w:szCs w:val="22"/>
        </w:rPr>
        <w:t>performance.</w:t>
      </w:r>
      <w:r w:rsidRPr="002F248A">
        <w:rPr>
          <w:rFonts w:asciiTheme="minorHAnsi" w:hAnsiTheme="minorHAnsi" w:cstheme="minorHAnsi"/>
          <w:i/>
          <w:iCs/>
          <w:sz w:val="22"/>
          <w:szCs w:val="22"/>
        </w:rPr>
        <w:t xml:space="preserve">  </w:t>
      </w:r>
      <w:r w:rsidRPr="002F248A">
        <w:rPr>
          <w:rFonts w:asciiTheme="minorHAnsi" w:hAnsiTheme="minorHAnsi" w:cstheme="minorHAnsi"/>
          <w:i/>
          <w:iCs/>
          <w:spacing w:val="-1"/>
          <w:sz w:val="22"/>
          <w:szCs w:val="22"/>
        </w:rPr>
        <w:t>Discuss</w:t>
      </w:r>
      <w:r w:rsidRPr="002F248A">
        <w:rPr>
          <w:rFonts w:asciiTheme="minorHAnsi" w:hAnsiTheme="minorHAnsi" w:cstheme="minorHAnsi"/>
          <w:i/>
          <w:iCs/>
          <w:sz w:val="22"/>
          <w:szCs w:val="22"/>
        </w:rPr>
        <w:t xml:space="preserve"> how </w:t>
      </w:r>
      <w:r w:rsidRPr="002F248A">
        <w:rPr>
          <w:rFonts w:asciiTheme="minorHAnsi" w:hAnsiTheme="minorHAnsi" w:cstheme="minorHAnsi"/>
          <w:i/>
          <w:iCs/>
          <w:spacing w:val="-1"/>
          <w:sz w:val="22"/>
          <w:szCs w:val="22"/>
        </w:rPr>
        <w:t>the</w:t>
      </w:r>
      <w:r w:rsidRPr="002F248A">
        <w:rPr>
          <w:rFonts w:asciiTheme="minorHAnsi" w:hAnsiTheme="minorHAnsi" w:cstheme="minorHAnsi"/>
          <w:i/>
          <w:iCs/>
          <w:sz w:val="22"/>
          <w:szCs w:val="22"/>
        </w:rPr>
        <w:t xml:space="preserve"> </w:t>
      </w:r>
      <w:r w:rsidRPr="002F248A">
        <w:rPr>
          <w:rFonts w:asciiTheme="minorHAnsi" w:hAnsiTheme="minorHAnsi" w:cstheme="minorHAnsi"/>
          <w:i/>
          <w:iCs/>
          <w:spacing w:val="-1"/>
          <w:sz w:val="22"/>
          <w:szCs w:val="22"/>
        </w:rPr>
        <w:t>assessment</w:t>
      </w:r>
      <w:r w:rsidRPr="002F248A">
        <w:rPr>
          <w:rFonts w:asciiTheme="minorHAnsi" w:hAnsiTheme="minorHAnsi" w:cstheme="minorHAnsi"/>
          <w:i/>
          <w:iCs/>
          <w:sz w:val="22"/>
          <w:szCs w:val="22"/>
        </w:rPr>
        <w:t xml:space="preserve"> was used to </w:t>
      </w:r>
      <w:r w:rsidRPr="002F248A">
        <w:rPr>
          <w:rFonts w:asciiTheme="minorHAnsi" w:hAnsiTheme="minorHAnsi" w:cstheme="minorHAnsi"/>
          <w:i/>
          <w:iCs/>
          <w:spacing w:val="-1"/>
          <w:sz w:val="22"/>
          <w:szCs w:val="22"/>
        </w:rPr>
        <w:t>improve</w:t>
      </w:r>
      <w:r w:rsidR="004649DF">
        <w:rPr>
          <w:rFonts w:asciiTheme="minorHAnsi" w:hAnsiTheme="minorHAnsi" w:cstheme="minorHAnsi"/>
          <w:i/>
          <w:iCs/>
          <w:spacing w:val="81"/>
          <w:sz w:val="22"/>
          <w:szCs w:val="22"/>
        </w:rPr>
        <w:t xml:space="preserve"> </w:t>
      </w:r>
      <w:r w:rsidRPr="002F248A">
        <w:rPr>
          <w:rFonts w:asciiTheme="minorHAnsi" w:hAnsiTheme="minorHAnsi" w:cstheme="minorHAnsi"/>
          <w:i/>
          <w:iCs/>
          <w:sz w:val="22"/>
          <w:szCs w:val="22"/>
        </w:rPr>
        <w:t>quality and</w:t>
      </w:r>
      <w:r w:rsidRPr="002F248A">
        <w:rPr>
          <w:rFonts w:asciiTheme="minorHAnsi" w:hAnsiTheme="minorHAnsi" w:cstheme="minorHAnsi"/>
          <w:i/>
          <w:iCs/>
          <w:spacing w:val="-2"/>
          <w:sz w:val="22"/>
          <w:szCs w:val="22"/>
        </w:rPr>
        <w:t xml:space="preserve"> </w:t>
      </w:r>
      <w:r w:rsidRPr="002F248A">
        <w:rPr>
          <w:rFonts w:asciiTheme="minorHAnsi" w:hAnsiTheme="minorHAnsi" w:cstheme="minorHAnsi"/>
          <w:i/>
          <w:iCs/>
          <w:spacing w:val="-1"/>
          <w:sz w:val="22"/>
          <w:szCs w:val="22"/>
        </w:rPr>
        <w:t>effectiveness</w:t>
      </w:r>
      <w:r w:rsidRPr="002F248A">
        <w:rPr>
          <w:rFonts w:asciiTheme="minorHAnsi" w:hAnsiTheme="minorHAnsi" w:cstheme="minorHAnsi"/>
          <w:i/>
          <w:iCs/>
          <w:sz w:val="22"/>
          <w:szCs w:val="22"/>
        </w:rPr>
        <w:t xml:space="preserve"> of</w:t>
      </w:r>
      <w:r w:rsidRPr="002F248A">
        <w:rPr>
          <w:rFonts w:asciiTheme="minorHAnsi" w:hAnsiTheme="minorHAnsi" w:cstheme="minorHAnsi"/>
          <w:i/>
          <w:iCs/>
          <w:spacing w:val="1"/>
          <w:sz w:val="22"/>
          <w:szCs w:val="22"/>
        </w:rPr>
        <w:t xml:space="preserve"> </w:t>
      </w:r>
      <w:r w:rsidRPr="002F248A">
        <w:rPr>
          <w:rFonts w:asciiTheme="minorHAnsi" w:hAnsiTheme="minorHAnsi" w:cstheme="minorHAnsi"/>
          <w:i/>
          <w:iCs/>
          <w:sz w:val="22"/>
          <w:szCs w:val="22"/>
        </w:rPr>
        <w:t xml:space="preserve">the </w:t>
      </w:r>
      <w:r w:rsidRPr="002F248A">
        <w:rPr>
          <w:rFonts w:asciiTheme="minorHAnsi" w:hAnsiTheme="minorHAnsi" w:cstheme="minorHAnsi"/>
          <w:i/>
          <w:iCs/>
          <w:spacing w:val="-1"/>
          <w:sz w:val="22"/>
          <w:szCs w:val="22"/>
        </w:rPr>
        <w:t>funded</w:t>
      </w:r>
      <w:r w:rsidRPr="002F248A">
        <w:rPr>
          <w:rFonts w:asciiTheme="minorHAnsi" w:hAnsiTheme="minorHAnsi" w:cstheme="minorHAnsi"/>
          <w:i/>
          <w:iCs/>
          <w:sz w:val="22"/>
          <w:szCs w:val="22"/>
        </w:rPr>
        <w:t xml:space="preserve"> eligible </w:t>
      </w:r>
      <w:r w:rsidRPr="002F248A">
        <w:rPr>
          <w:rFonts w:asciiTheme="minorHAnsi" w:hAnsiTheme="minorHAnsi" w:cstheme="minorHAnsi"/>
          <w:i/>
          <w:iCs/>
          <w:spacing w:val="-1"/>
          <w:sz w:val="22"/>
          <w:szCs w:val="22"/>
        </w:rPr>
        <w:t>providers</w:t>
      </w:r>
      <w:r w:rsidRPr="002F248A">
        <w:rPr>
          <w:rFonts w:asciiTheme="minorHAnsi" w:hAnsiTheme="minorHAnsi" w:cstheme="minorHAnsi"/>
          <w:i/>
          <w:iCs/>
          <w:sz w:val="22"/>
          <w:szCs w:val="22"/>
        </w:rPr>
        <w:t xml:space="preserve"> and</w:t>
      </w:r>
      <w:r w:rsidRPr="002F248A">
        <w:rPr>
          <w:rFonts w:asciiTheme="minorHAnsi" w:hAnsiTheme="minorHAnsi" w:cstheme="minorHAnsi"/>
          <w:i/>
          <w:iCs/>
          <w:spacing w:val="-2"/>
          <w:sz w:val="22"/>
          <w:szCs w:val="22"/>
        </w:rPr>
        <w:t xml:space="preserve"> </w:t>
      </w:r>
      <w:r w:rsidRPr="002F248A">
        <w:rPr>
          <w:rFonts w:asciiTheme="minorHAnsi" w:hAnsiTheme="minorHAnsi" w:cstheme="minorHAnsi"/>
          <w:i/>
          <w:iCs/>
          <w:sz w:val="22"/>
          <w:szCs w:val="22"/>
        </w:rPr>
        <w:t>any plans</w:t>
      </w:r>
      <w:r w:rsidRPr="002F248A">
        <w:rPr>
          <w:rFonts w:asciiTheme="minorHAnsi" w:hAnsiTheme="minorHAnsi" w:cstheme="minorHAnsi"/>
          <w:i/>
          <w:iCs/>
          <w:spacing w:val="-1"/>
          <w:sz w:val="22"/>
          <w:szCs w:val="22"/>
        </w:rPr>
        <w:t xml:space="preserve"> </w:t>
      </w:r>
      <w:r w:rsidRPr="002F248A">
        <w:rPr>
          <w:rFonts w:asciiTheme="minorHAnsi" w:hAnsiTheme="minorHAnsi" w:cstheme="minorHAnsi"/>
          <w:i/>
          <w:iCs/>
          <w:sz w:val="22"/>
          <w:szCs w:val="22"/>
        </w:rPr>
        <w:t>to</w:t>
      </w:r>
      <w:r w:rsidRPr="002F248A">
        <w:rPr>
          <w:rFonts w:asciiTheme="minorHAnsi" w:hAnsiTheme="minorHAnsi" w:cstheme="minorHAnsi"/>
          <w:i/>
          <w:iCs/>
          <w:spacing w:val="-1"/>
          <w:sz w:val="22"/>
          <w:szCs w:val="22"/>
        </w:rPr>
        <w:t xml:space="preserve"> </w:t>
      </w:r>
      <w:r w:rsidRPr="002F248A">
        <w:rPr>
          <w:rFonts w:asciiTheme="minorHAnsi" w:hAnsiTheme="minorHAnsi" w:cstheme="minorHAnsi"/>
          <w:i/>
          <w:iCs/>
          <w:sz w:val="22"/>
          <w:szCs w:val="22"/>
        </w:rPr>
        <w:t xml:space="preserve">further </w:t>
      </w:r>
      <w:r w:rsidRPr="002F248A">
        <w:rPr>
          <w:rFonts w:asciiTheme="minorHAnsi" w:hAnsiTheme="minorHAnsi" w:cstheme="minorHAnsi"/>
          <w:i/>
          <w:iCs/>
          <w:spacing w:val="-1"/>
          <w:sz w:val="22"/>
          <w:szCs w:val="22"/>
        </w:rPr>
        <w:t>increase</w:t>
      </w:r>
      <w:r w:rsidRPr="002F248A">
        <w:rPr>
          <w:rFonts w:asciiTheme="minorHAnsi" w:hAnsiTheme="minorHAnsi" w:cstheme="minorHAnsi"/>
          <w:i/>
          <w:iCs/>
          <w:spacing w:val="59"/>
          <w:sz w:val="22"/>
          <w:szCs w:val="22"/>
        </w:rPr>
        <w:t xml:space="preserve"> </w:t>
      </w:r>
      <w:r w:rsidRPr="002F248A">
        <w:rPr>
          <w:rFonts w:asciiTheme="minorHAnsi" w:hAnsiTheme="minorHAnsi" w:cstheme="minorHAnsi"/>
          <w:i/>
          <w:iCs/>
          <w:sz w:val="22"/>
          <w:szCs w:val="22"/>
        </w:rPr>
        <w:t>performance</w:t>
      </w:r>
      <w:r w:rsidRPr="002F248A">
        <w:rPr>
          <w:rFonts w:asciiTheme="minorHAnsi" w:hAnsiTheme="minorHAnsi" w:cstheme="minorHAnsi"/>
          <w:i/>
          <w:iCs/>
          <w:spacing w:val="-2"/>
          <w:sz w:val="22"/>
          <w:szCs w:val="22"/>
        </w:rPr>
        <w:t xml:space="preserve"> </w:t>
      </w:r>
      <w:r w:rsidRPr="002F248A">
        <w:rPr>
          <w:rFonts w:asciiTheme="minorHAnsi" w:hAnsiTheme="minorHAnsi" w:cstheme="minorHAnsi"/>
          <w:i/>
          <w:iCs/>
          <w:sz w:val="22"/>
          <w:szCs w:val="22"/>
        </w:rPr>
        <w:t xml:space="preserve">in </w:t>
      </w:r>
      <w:r w:rsidRPr="002F248A">
        <w:rPr>
          <w:rFonts w:asciiTheme="minorHAnsi" w:hAnsiTheme="minorHAnsi" w:cstheme="minorHAnsi"/>
          <w:i/>
          <w:iCs/>
          <w:spacing w:val="-1"/>
          <w:sz w:val="22"/>
          <w:szCs w:val="22"/>
        </w:rPr>
        <w:t>future</w:t>
      </w:r>
      <w:r w:rsidRPr="002F248A">
        <w:rPr>
          <w:rFonts w:asciiTheme="minorHAnsi" w:hAnsiTheme="minorHAnsi" w:cstheme="minorHAnsi"/>
          <w:i/>
          <w:iCs/>
          <w:sz w:val="22"/>
          <w:szCs w:val="22"/>
        </w:rPr>
        <w:t xml:space="preserve"> </w:t>
      </w:r>
      <w:r w:rsidRPr="002F248A">
        <w:rPr>
          <w:rFonts w:asciiTheme="minorHAnsi" w:hAnsiTheme="minorHAnsi" w:cstheme="minorHAnsi"/>
          <w:i/>
          <w:iCs/>
          <w:spacing w:val="-1"/>
          <w:sz w:val="22"/>
          <w:szCs w:val="22"/>
        </w:rPr>
        <w:t>reporting</w:t>
      </w:r>
      <w:r w:rsidRPr="002F248A">
        <w:rPr>
          <w:rFonts w:asciiTheme="minorHAnsi" w:hAnsiTheme="minorHAnsi" w:cstheme="minorHAnsi"/>
          <w:i/>
          <w:iCs/>
          <w:sz w:val="22"/>
          <w:szCs w:val="22"/>
        </w:rPr>
        <w:t xml:space="preserve"> </w:t>
      </w:r>
      <w:r w:rsidRPr="002F248A">
        <w:rPr>
          <w:rFonts w:asciiTheme="minorHAnsi" w:hAnsiTheme="minorHAnsi" w:cstheme="minorHAnsi"/>
          <w:i/>
          <w:iCs/>
          <w:spacing w:val="-1"/>
          <w:sz w:val="22"/>
          <w:szCs w:val="22"/>
        </w:rPr>
        <w:t>years.</w:t>
      </w:r>
      <w:r w:rsidR="003A157A" w:rsidRPr="002F248A">
        <w:rPr>
          <w:rFonts w:asciiTheme="minorHAnsi" w:hAnsiTheme="minorHAnsi" w:cstheme="minorHAnsi"/>
          <w:i/>
          <w:iCs/>
          <w:spacing w:val="-1"/>
          <w:sz w:val="22"/>
          <w:szCs w:val="22"/>
        </w:rPr>
        <w:t xml:space="preserve">  </w:t>
      </w:r>
    </w:p>
    <w:p w14:paraId="2C00AF0B" w14:textId="31481336" w:rsidR="002248F3" w:rsidRPr="002F248A" w:rsidRDefault="002248F3" w:rsidP="00A74870">
      <w:pPr>
        <w:pStyle w:val="BodyText"/>
        <w:ind w:left="100" w:right="173"/>
        <w:rPr>
          <w:rFonts w:asciiTheme="minorHAnsi" w:hAnsiTheme="minorHAnsi" w:cstheme="minorHAnsi"/>
          <w:i/>
          <w:iCs/>
          <w:spacing w:val="-1"/>
          <w:sz w:val="22"/>
          <w:szCs w:val="22"/>
          <w:highlight w:val="cyan"/>
        </w:rPr>
      </w:pPr>
    </w:p>
    <w:p w14:paraId="1711AA65" w14:textId="5AB057F8" w:rsidR="00FC7861" w:rsidRDefault="005E0CDF" w:rsidP="00597A59">
      <w:pPr>
        <w:jc w:val="both"/>
        <w:rPr>
          <w:rFonts w:cstheme="minorHAnsi"/>
        </w:rPr>
      </w:pPr>
      <w:r>
        <w:rPr>
          <w:rFonts w:cstheme="minorHAnsi"/>
        </w:rPr>
        <w:t>It is an understatement to say that the COVID-19 pandemic had a significant impact on the educational systems throughout the</w:t>
      </w:r>
      <w:r w:rsidR="00645A84">
        <w:rPr>
          <w:rFonts w:cstheme="minorHAnsi"/>
        </w:rPr>
        <w:t xml:space="preserve"> United States and the world.  The effects will be impactful for years to come, none greater than the negative impact on the adul</w:t>
      </w:r>
      <w:r w:rsidR="00437033">
        <w:rPr>
          <w:rFonts w:cstheme="minorHAnsi"/>
        </w:rPr>
        <w:t xml:space="preserve">t education population.  </w:t>
      </w:r>
      <w:r w:rsidR="002248F3" w:rsidRPr="002F248A">
        <w:rPr>
          <w:rFonts w:cstheme="minorHAnsi"/>
        </w:rPr>
        <w:t>T</w:t>
      </w:r>
      <w:r w:rsidR="006F76FA">
        <w:rPr>
          <w:rFonts w:cstheme="minorHAnsi"/>
        </w:rPr>
        <w:t>he main</w:t>
      </w:r>
      <w:r w:rsidR="002248F3" w:rsidRPr="002F248A">
        <w:rPr>
          <w:rFonts w:cstheme="minorHAnsi"/>
        </w:rPr>
        <w:t xml:space="preserve"> </w:t>
      </w:r>
      <w:r w:rsidR="006F76FA" w:rsidRPr="002F248A">
        <w:rPr>
          <w:rFonts w:cstheme="minorHAnsi"/>
        </w:rPr>
        <w:t>objective</w:t>
      </w:r>
      <w:r w:rsidR="002248F3" w:rsidRPr="002F248A">
        <w:rPr>
          <w:rFonts w:cstheme="minorHAnsi"/>
        </w:rPr>
        <w:t xml:space="preserve"> during Program Year </w:t>
      </w:r>
      <w:r w:rsidR="003D5876">
        <w:rPr>
          <w:rFonts w:cstheme="minorHAnsi"/>
        </w:rPr>
        <w:t>20</w:t>
      </w:r>
      <w:r w:rsidR="002248F3" w:rsidRPr="002F248A">
        <w:rPr>
          <w:rFonts w:cstheme="minorHAnsi"/>
        </w:rPr>
        <w:t>20-</w:t>
      </w:r>
      <w:r w:rsidR="003D5876">
        <w:rPr>
          <w:rFonts w:cstheme="minorHAnsi"/>
        </w:rPr>
        <w:t>20</w:t>
      </w:r>
      <w:r w:rsidR="002248F3" w:rsidRPr="002F248A">
        <w:rPr>
          <w:rFonts w:cstheme="minorHAnsi"/>
        </w:rPr>
        <w:t>21 was to assist local programs in</w:t>
      </w:r>
      <w:r w:rsidR="006F76FA">
        <w:rPr>
          <w:rFonts w:cstheme="minorHAnsi"/>
        </w:rPr>
        <w:t xml:space="preserve"> retaining</w:t>
      </w:r>
      <w:r w:rsidR="002248F3" w:rsidRPr="002F248A">
        <w:rPr>
          <w:rFonts w:cstheme="minorHAnsi"/>
        </w:rPr>
        <w:t xml:space="preserve"> </w:t>
      </w:r>
      <w:r w:rsidR="006F76FA">
        <w:rPr>
          <w:rFonts w:cstheme="minorHAnsi"/>
        </w:rPr>
        <w:t xml:space="preserve">current students and recruiting new students that may have been displaced or </w:t>
      </w:r>
      <w:r w:rsidR="00847D9B">
        <w:rPr>
          <w:rFonts w:cstheme="minorHAnsi"/>
        </w:rPr>
        <w:t>negatively impacted by the COVID-19 pandemic</w:t>
      </w:r>
      <w:r w:rsidR="002248F3" w:rsidRPr="002F248A">
        <w:rPr>
          <w:rFonts w:cstheme="minorHAnsi"/>
        </w:rPr>
        <w:t xml:space="preserve">.  </w:t>
      </w:r>
      <w:r w:rsidR="00847D9B">
        <w:rPr>
          <w:rFonts w:cstheme="minorHAnsi"/>
        </w:rPr>
        <w:t xml:space="preserve">Simply put, the goal was to provide solutions and resources for engagement and results during the crisis.   </w:t>
      </w:r>
      <w:r w:rsidR="002248F3" w:rsidRPr="002F248A">
        <w:rPr>
          <w:rFonts w:cstheme="minorHAnsi"/>
        </w:rPr>
        <w:t xml:space="preserve">At the beginning of the program year, the pandemic continued to be a factor for students not attending class in person.  A method for </w:t>
      </w:r>
      <w:r w:rsidR="002B2A71">
        <w:rPr>
          <w:rFonts w:cstheme="minorHAnsi"/>
        </w:rPr>
        <w:t xml:space="preserve">remotely </w:t>
      </w:r>
      <w:r w:rsidR="002248F3" w:rsidRPr="002F248A">
        <w:rPr>
          <w:rFonts w:cstheme="minorHAnsi"/>
        </w:rPr>
        <w:t xml:space="preserve">proctoring pre and post assessments was established, but local programs were still challenged by </w:t>
      </w:r>
      <w:r w:rsidR="002B2A71">
        <w:rPr>
          <w:rFonts w:cstheme="minorHAnsi"/>
        </w:rPr>
        <w:t xml:space="preserve">many </w:t>
      </w:r>
      <w:r w:rsidR="002248F3" w:rsidRPr="002F248A">
        <w:rPr>
          <w:rFonts w:cstheme="minorHAnsi"/>
        </w:rPr>
        <w:t>student</w:t>
      </w:r>
      <w:r w:rsidR="00B938B6">
        <w:rPr>
          <w:rFonts w:cstheme="minorHAnsi"/>
        </w:rPr>
        <w:t xml:space="preserve">s </w:t>
      </w:r>
      <w:r w:rsidR="00A21256">
        <w:rPr>
          <w:rFonts w:cstheme="minorHAnsi"/>
        </w:rPr>
        <w:t xml:space="preserve">lacking </w:t>
      </w:r>
      <w:r w:rsidR="00B938B6">
        <w:rPr>
          <w:rFonts w:cstheme="minorHAnsi"/>
        </w:rPr>
        <w:t xml:space="preserve">the skill and the technology to </w:t>
      </w:r>
      <w:r w:rsidR="002B2A71">
        <w:rPr>
          <w:rFonts w:cstheme="minorHAnsi"/>
        </w:rPr>
        <w:t>communicate</w:t>
      </w:r>
      <w:r w:rsidR="00B938B6">
        <w:rPr>
          <w:rFonts w:cstheme="minorHAnsi"/>
        </w:rPr>
        <w:t xml:space="preserve"> at a distance.</w:t>
      </w:r>
      <w:r w:rsidR="002248F3" w:rsidRPr="002F248A">
        <w:rPr>
          <w:rFonts w:cstheme="minorHAnsi"/>
        </w:rPr>
        <w:t xml:space="preserve"> </w:t>
      </w:r>
      <w:r w:rsidR="00B938B6">
        <w:rPr>
          <w:rFonts w:cstheme="minorHAnsi"/>
        </w:rPr>
        <w:t xml:space="preserve">  </w:t>
      </w:r>
      <w:r w:rsidR="002248F3" w:rsidRPr="002F248A">
        <w:rPr>
          <w:rFonts w:cstheme="minorHAnsi"/>
        </w:rPr>
        <w:t>A</w:t>
      </w:r>
      <w:r w:rsidR="00E425DE">
        <w:rPr>
          <w:rFonts w:cstheme="minorHAnsi"/>
        </w:rPr>
        <w:t>dult Education began a</w:t>
      </w:r>
      <w:r w:rsidR="005E447B">
        <w:rPr>
          <w:rFonts w:cstheme="minorHAnsi"/>
        </w:rPr>
        <w:t xml:space="preserve"> computer equipment loan program </w:t>
      </w:r>
      <w:r w:rsidR="002248F3" w:rsidRPr="002F248A">
        <w:rPr>
          <w:rFonts w:cstheme="minorHAnsi"/>
        </w:rPr>
        <w:t xml:space="preserve">to increase </w:t>
      </w:r>
      <w:r w:rsidR="00FC7861">
        <w:rPr>
          <w:rFonts w:cstheme="minorHAnsi"/>
        </w:rPr>
        <w:t xml:space="preserve">the ability to provide </w:t>
      </w:r>
      <w:r w:rsidR="002248F3" w:rsidRPr="002F248A">
        <w:rPr>
          <w:rFonts w:cstheme="minorHAnsi"/>
        </w:rPr>
        <w:t>assessment and remote learning opportunities.</w:t>
      </w:r>
      <w:r w:rsidR="00521F1F">
        <w:rPr>
          <w:rFonts w:cstheme="minorHAnsi"/>
        </w:rPr>
        <w:t xml:space="preserve">  </w:t>
      </w:r>
      <w:r w:rsidR="00605F92">
        <w:rPr>
          <w:rFonts w:cstheme="minorHAnsi"/>
        </w:rPr>
        <w:t>This effort was also coupled with prepar</w:t>
      </w:r>
      <w:r w:rsidR="00B272A5">
        <w:rPr>
          <w:rFonts w:cstheme="minorHAnsi"/>
        </w:rPr>
        <w:t>ing</w:t>
      </w:r>
      <w:r w:rsidR="00605F92">
        <w:rPr>
          <w:rFonts w:cstheme="minorHAnsi"/>
        </w:rPr>
        <w:t xml:space="preserve"> </w:t>
      </w:r>
      <w:r w:rsidR="00B272A5">
        <w:rPr>
          <w:rFonts w:cstheme="minorHAnsi"/>
        </w:rPr>
        <w:t>adult education classrooms</w:t>
      </w:r>
      <w:r w:rsidR="00605F92">
        <w:rPr>
          <w:rFonts w:cstheme="minorHAnsi"/>
        </w:rPr>
        <w:t xml:space="preserve"> to accommodate </w:t>
      </w:r>
      <w:r w:rsidR="00B272A5">
        <w:rPr>
          <w:rFonts w:cstheme="minorHAnsi"/>
        </w:rPr>
        <w:t xml:space="preserve">social distancing protocols to ensure a safe learning environment for face-to-face instruction.  </w:t>
      </w:r>
    </w:p>
    <w:p w14:paraId="201EBFF5" w14:textId="77777777" w:rsidR="00605F92" w:rsidRDefault="00605F92" w:rsidP="00597A59">
      <w:pPr>
        <w:jc w:val="both"/>
        <w:rPr>
          <w:rFonts w:cstheme="minorHAnsi"/>
        </w:rPr>
      </w:pPr>
    </w:p>
    <w:p w14:paraId="203E31F0" w14:textId="751F61BD" w:rsidR="008970E3" w:rsidRDefault="00605F92" w:rsidP="00597A59">
      <w:pPr>
        <w:jc w:val="both"/>
        <w:rPr>
          <w:rFonts w:cstheme="minorHAnsi"/>
        </w:rPr>
      </w:pPr>
      <w:r>
        <w:rPr>
          <w:rFonts w:cstheme="minorHAnsi"/>
        </w:rPr>
        <w:t>As with most states, we s</w:t>
      </w:r>
      <w:r w:rsidR="00ED2DC4">
        <w:rPr>
          <w:rFonts w:cstheme="minorHAnsi"/>
        </w:rPr>
        <w:t>a</w:t>
      </w:r>
      <w:r>
        <w:rPr>
          <w:rFonts w:cstheme="minorHAnsi"/>
        </w:rPr>
        <w:t>w</w:t>
      </w:r>
      <w:r w:rsidR="00ED2DC4">
        <w:rPr>
          <w:rFonts w:cstheme="minorHAnsi"/>
        </w:rPr>
        <w:t xml:space="preserve"> </w:t>
      </w:r>
      <w:r>
        <w:rPr>
          <w:rFonts w:cstheme="minorHAnsi"/>
        </w:rPr>
        <w:t xml:space="preserve">an overall </w:t>
      </w:r>
      <w:r w:rsidR="00ED2DC4">
        <w:rPr>
          <w:rFonts w:cstheme="minorHAnsi"/>
        </w:rPr>
        <w:t xml:space="preserve">decrease in all populations and ages of students served versus the previous year.  The most significant decrease </w:t>
      </w:r>
      <w:r>
        <w:rPr>
          <w:rFonts w:cstheme="minorHAnsi"/>
        </w:rPr>
        <w:t xml:space="preserve">for Alabama </w:t>
      </w:r>
      <w:r w:rsidR="00ED2DC4">
        <w:rPr>
          <w:rFonts w:cstheme="minorHAnsi"/>
        </w:rPr>
        <w:t xml:space="preserve">was in the number of </w:t>
      </w:r>
      <w:r w:rsidR="00180DC2">
        <w:rPr>
          <w:rFonts w:cstheme="minorHAnsi"/>
        </w:rPr>
        <w:t xml:space="preserve">non-white </w:t>
      </w:r>
      <w:r w:rsidR="00A51241">
        <w:rPr>
          <w:rFonts w:cstheme="minorHAnsi"/>
        </w:rPr>
        <w:t>students</w:t>
      </w:r>
      <w:r w:rsidR="00ED2DC4">
        <w:rPr>
          <w:rFonts w:cstheme="minorHAnsi"/>
        </w:rPr>
        <w:t>, especially males</w:t>
      </w:r>
      <w:r w:rsidR="00ED2DC4" w:rsidRPr="00ED2DC4">
        <w:rPr>
          <w:rFonts w:cstheme="minorHAnsi"/>
        </w:rPr>
        <w:t>.  The data shows that th</w:t>
      </w:r>
      <w:r w:rsidR="00495F35">
        <w:rPr>
          <w:rFonts w:cstheme="minorHAnsi"/>
        </w:rPr>
        <w:t>e</w:t>
      </w:r>
      <w:r w:rsidR="00ED2DC4" w:rsidRPr="00ED2DC4">
        <w:rPr>
          <w:rFonts w:cstheme="minorHAnsi"/>
        </w:rPr>
        <w:t xml:space="preserve"> </w:t>
      </w:r>
      <w:r w:rsidR="00A51241">
        <w:rPr>
          <w:rFonts w:cstheme="minorHAnsi"/>
        </w:rPr>
        <w:t>overall</w:t>
      </w:r>
      <w:r w:rsidR="00495F35">
        <w:rPr>
          <w:rFonts w:cstheme="minorHAnsi"/>
        </w:rPr>
        <w:t xml:space="preserve"> non-white</w:t>
      </w:r>
      <w:r w:rsidR="00A51241">
        <w:rPr>
          <w:rFonts w:cstheme="minorHAnsi"/>
        </w:rPr>
        <w:t xml:space="preserve"> </w:t>
      </w:r>
      <w:r w:rsidR="00ED2DC4" w:rsidRPr="00ED2DC4">
        <w:rPr>
          <w:rFonts w:cstheme="minorHAnsi"/>
        </w:rPr>
        <w:t xml:space="preserve">population </w:t>
      </w:r>
      <w:r w:rsidR="00A51241">
        <w:rPr>
          <w:rFonts w:cstheme="minorHAnsi"/>
        </w:rPr>
        <w:t xml:space="preserve">of students </w:t>
      </w:r>
      <w:r w:rsidR="00ED2DC4" w:rsidRPr="00ED2DC4">
        <w:rPr>
          <w:rFonts w:cstheme="minorHAnsi"/>
        </w:rPr>
        <w:t>w</w:t>
      </w:r>
      <w:r w:rsidR="00A51241">
        <w:rPr>
          <w:rFonts w:cstheme="minorHAnsi"/>
        </w:rPr>
        <w:t>ere</w:t>
      </w:r>
      <w:r w:rsidR="00ED2DC4" w:rsidRPr="00ED2DC4">
        <w:rPr>
          <w:rFonts w:cstheme="minorHAnsi"/>
        </w:rPr>
        <w:t xml:space="preserve"> </w:t>
      </w:r>
      <w:r w:rsidR="00FB15C6">
        <w:rPr>
          <w:rFonts w:cstheme="minorHAnsi"/>
        </w:rPr>
        <w:t xml:space="preserve">thirty percent </w:t>
      </w:r>
      <w:r w:rsidR="00ED2DC4" w:rsidRPr="00ED2DC4">
        <w:rPr>
          <w:rFonts w:cstheme="minorHAnsi"/>
        </w:rPr>
        <w:t>less than the</w:t>
      </w:r>
      <w:r w:rsidR="00ED2DC4">
        <w:rPr>
          <w:rFonts w:cstheme="minorHAnsi"/>
        </w:rPr>
        <w:t xml:space="preserve"> number served in PY 2019-2020.  </w:t>
      </w:r>
      <w:r>
        <w:rPr>
          <w:rFonts w:cstheme="minorHAnsi"/>
        </w:rPr>
        <w:t>Also, t</w:t>
      </w:r>
      <w:r w:rsidR="00ED2DC4">
        <w:rPr>
          <w:rFonts w:cstheme="minorHAnsi"/>
        </w:rPr>
        <w:t xml:space="preserve">he first six months of PY 2020-2021 saw a significant decrease in </w:t>
      </w:r>
      <w:r w:rsidR="00666FE1">
        <w:rPr>
          <w:rFonts w:cstheme="minorHAnsi"/>
        </w:rPr>
        <w:t xml:space="preserve">overall </w:t>
      </w:r>
      <w:r w:rsidR="00ED2DC4" w:rsidRPr="002F248A">
        <w:rPr>
          <w:rFonts w:cstheme="minorHAnsi"/>
        </w:rPr>
        <w:t xml:space="preserve">enrollment, MSGs, and high school credential attainment </w:t>
      </w:r>
      <w:r w:rsidR="00ED2DC4">
        <w:rPr>
          <w:rFonts w:cstheme="minorHAnsi"/>
        </w:rPr>
        <w:t xml:space="preserve">compared to the same </w:t>
      </w:r>
      <w:r w:rsidR="00666FE1">
        <w:rPr>
          <w:rFonts w:cstheme="minorHAnsi"/>
        </w:rPr>
        <w:t>six-month</w:t>
      </w:r>
      <w:r w:rsidR="00ED2DC4">
        <w:rPr>
          <w:rFonts w:cstheme="minorHAnsi"/>
        </w:rPr>
        <w:t xml:space="preserve"> timeframe the year before which was prior to COVID-19.   </w:t>
      </w:r>
      <w:r w:rsidR="002C5CD1" w:rsidRPr="002F248A">
        <w:rPr>
          <w:rFonts w:cstheme="minorHAnsi"/>
        </w:rPr>
        <w:t>The OCTAE level completion</w:t>
      </w:r>
      <w:r w:rsidR="00666FE1">
        <w:rPr>
          <w:rFonts w:cstheme="minorHAnsi"/>
        </w:rPr>
        <w:t xml:space="preserve"> percentage</w:t>
      </w:r>
      <w:r w:rsidR="002C5CD1" w:rsidRPr="002F248A">
        <w:rPr>
          <w:rFonts w:cstheme="minorHAnsi"/>
        </w:rPr>
        <w:t xml:space="preserve"> for the first six months </w:t>
      </w:r>
      <w:r w:rsidR="00666FE1">
        <w:rPr>
          <w:rFonts w:cstheme="minorHAnsi"/>
        </w:rPr>
        <w:t>in PY 2020-2021</w:t>
      </w:r>
      <w:r w:rsidR="00964DC4">
        <w:rPr>
          <w:rFonts w:cstheme="minorHAnsi"/>
        </w:rPr>
        <w:t xml:space="preserve"> </w:t>
      </w:r>
      <w:r w:rsidR="002C5CD1" w:rsidRPr="002F248A">
        <w:rPr>
          <w:rFonts w:cstheme="minorHAnsi"/>
        </w:rPr>
        <w:t xml:space="preserve">was 11%.  This was a nine-point decline for the same time of the pre-covid </w:t>
      </w:r>
      <w:r w:rsidR="002C5CD1">
        <w:rPr>
          <w:rFonts w:cstheme="minorHAnsi"/>
        </w:rPr>
        <w:t>months of</w:t>
      </w:r>
      <w:r w:rsidR="002C5CD1" w:rsidRPr="002F248A">
        <w:rPr>
          <w:rFonts w:cstheme="minorHAnsi"/>
        </w:rPr>
        <w:t xml:space="preserve"> PY </w:t>
      </w:r>
      <w:r w:rsidR="002C5CD1">
        <w:rPr>
          <w:rFonts w:cstheme="minorHAnsi"/>
        </w:rPr>
        <w:t>20</w:t>
      </w:r>
      <w:r w:rsidR="002C5CD1" w:rsidRPr="002F248A">
        <w:rPr>
          <w:rFonts w:cstheme="minorHAnsi"/>
        </w:rPr>
        <w:t>19-</w:t>
      </w:r>
      <w:r w:rsidR="002C5CD1">
        <w:rPr>
          <w:rFonts w:cstheme="minorHAnsi"/>
        </w:rPr>
        <w:t>20</w:t>
      </w:r>
      <w:r w:rsidR="002C5CD1" w:rsidRPr="002F248A">
        <w:rPr>
          <w:rFonts w:cstheme="minorHAnsi"/>
        </w:rPr>
        <w:t xml:space="preserve">20.  </w:t>
      </w:r>
      <w:r w:rsidR="00C278B0">
        <w:rPr>
          <w:rFonts w:cstheme="minorHAnsi"/>
        </w:rPr>
        <w:t xml:space="preserve">As you will see described in the </w:t>
      </w:r>
      <w:r w:rsidR="00937134">
        <w:rPr>
          <w:rFonts w:cstheme="minorHAnsi"/>
        </w:rPr>
        <w:t xml:space="preserve">Corrections Education section at the end of this report, the inability to have direct or virtual access to the state correctional population to pre/post-test and provide high quality instruction also impacted the overall educational functioning level and MSG performance. </w:t>
      </w:r>
      <w:r w:rsidR="002C5CD1" w:rsidRPr="002F248A">
        <w:rPr>
          <w:rFonts w:cstheme="minorHAnsi"/>
        </w:rPr>
        <w:t xml:space="preserve">The OCTAE </w:t>
      </w:r>
      <w:r w:rsidR="002C5CD1">
        <w:rPr>
          <w:rFonts w:cstheme="minorHAnsi"/>
        </w:rPr>
        <w:t xml:space="preserve">educational functioning </w:t>
      </w:r>
      <w:r w:rsidR="002C5CD1" w:rsidRPr="002F248A">
        <w:rPr>
          <w:rFonts w:cstheme="minorHAnsi"/>
        </w:rPr>
        <w:t xml:space="preserve">levels </w:t>
      </w:r>
      <w:r w:rsidR="002C5CD1">
        <w:rPr>
          <w:rFonts w:cstheme="minorHAnsi"/>
        </w:rPr>
        <w:t>affected the most</w:t>
      </w:r>
      <w:r w:rsidR="002C5CD1" w:rsidRPr="002F248A">
        <w:rPr>
          <w:rFonts w:cstheme="minorHAnsi"/>
        </w:rPr>
        <w:t xml:space="preserve"> were </w:t>
      </w:r>
      <w:r w:rsidR="002C5CD1" w:rsidRPr="00574B90">
        <w:rPr>
          <w:rFonts w:cstheme="minorHAnsi"/>
          <w:i/>
          <w:iCs/>
        </w:rPr>
        <w:t>ABE Beginning Literacy</w:t>
      </w:r>
      <w:r w:rsidR="002C5CD1" w:rsidRPr="002F248A">
        <w:rPr>
          <w:rFonts w:cstheme="minorHAnsi"/>
        </w:rPr>
        <w:t xml:space="preserve">, </w:t>
      </w:r>
      <w:r w:rsidR="002C5CD1" w:rsidRPr="00574B90">
        <w:rPr>
          <w:rFonts w:cstheme="minorHAnsi"/>
          <w:i/>
          <w:iCs/>
        </w:rPr>
        <w:t>Beginning Basic Education</w:t>
      </w:r>
      <w:r w:rsidR="002C5CD1" w:rsidRPr="002F248A">
        <w:rPr>
          <w:rFonts w:cstheme="minorHAnsi"/>
        </w:rPr>
        <w:t xml:space="preserve">, </w:t>
      </w:r>
      <w:r w:rsidR="002C5CD1" w:rsidRPr="00574B90">
        <w:rPr>
          <w:rFonts w:cstheme="minorHAnsi"/>
          <w:i/>
          <w:iCs/>
        </w:rPr>
        <w:t>Beginning ESL Literacy</w:t>
      </w:r>
      <w:r w:rsidR="002C5CD1" w:rsidRPr="002F248A">
        <w:rPr>
          <w:rFonts w:cstheme="minorHAnsi"/>
        </w:rPr>
        <w:t xml:space="preserve">, and </w:t>
      </w:r>
      <w:r w:rsidR="002C5CD1" w:rsidRPr="00574B90">
        <w:rPr>
          <w:rFonts w:cstheme="minorHAnsi"/>
          <w:i/>
          <w:iCs/>
        </w:rPr>
        <w:t>Low Beginning ESL</w:t>
      </w:r>
      <w:r w:rsidR="002C5CD1" w:rsidRPr="002F248A">
        <w:rPr>
          <w:rFonts w:cstheme="minorHAnsi"/>
        </w:rPr>
        <w:t>.  The</w:t>
      </w:r>
      <w:r w:rsidR="006E4455">
        <w:rPr>
          <w:rFonts w:cstheme="minorHAnsi"/>
        </w:rPr>
        <w:t>se</w:t>
      </w:r>
      <w:r w:rsidR="002C5CD1" w:rsidRPr="002F248A">
        <w:rPr>
          <w:rFonts w:cstheme="minorHAnsi"/>
        </w:rPr>
        <w:t xml:space="preserve"> </w:t>
      </w:r>
      <w:r w:rsidR="00604F70">
        <w:rPr>
          <w:rFonts w:cstheme="minorHAnsi"/>
        </w:rPr>
        <w:t>lower-level students</w:t>
      </w:r>
      <w:r w:rsidR="002C5CD1">
        <w:rPr>
          <w:rFonts w:cstheme="minorHAnsi"/>
        </w:rPr>
        <w:t xml:space="preserve"> </w:t>
      </w:r>
      <w:r w:rsidR="002B249E">
        <w:rPr>
          <w:rFonts w:cstheme="minorHAnsi"/>
        </w:rPr>
        <w:t>were certainly impacted</w:t>
      </w:r>
      <w:r w:rsidR="00604F70">
        <w:rPr>
          <w:rFonts w:cstheme="minorHAnsi"/>
        </w:rPr>
        <w:t xml:space="preserve"> </w:t>
      </w:r>
      <w:r w:rsidR="002B249E">
        <w:rPr>
          <w:rFonts w:cstheme="minorHAnsi"/>
        </w:rPr>
        <w:t>by the effects of COVID-19 which exacerbated the</w:t>
      </w:r>
      <w:r w:rsidR="00604F70">
        <w:rPr>
          <w:rFonts w:cstheme="minorHAnsi"/>
        </w:rPr>
        <w:t>ir already</w:t>
      </w:r>
      <w:r w:rsidR="002B249E">
        <w:rPr>
          <w:rFonts w:cstheme="minorHAnsi"/>
        </w:rPr>
        <w:t xml:space="preserve"> inconsistent ability</w:t>
      </w:r>
      <w:r w:rsidR="002C5CD1">
        <w:rPr>
          <w:rFonts w:cstheme="minorHAnsi"/>
        </w:rPr>
        <w:t xml:space="preserve"> to learn through distance education </w:t>
      </w:r>
      <w:r w:rsidR="00604F70">
        <w:rPr>
          <w:rFonts w:cstheme="minorHAnsi"/>
        </w:rPr>
        <w:t xml:space="preserve">formats.  </w:t>
      </w:r>
      <w:r w:rsidR="00136CBD">
        <w:rPr>
          <w:rFonts w:cstheme="minorHAnsi"/>
        </w:rPr>
        <w:t>However, t</w:t>
      </w:r>
      <w:r w:rsidR="002248F3" w:rsidRPr="002F248A">
        <w:rPr>
          <w:rFonts w:cstheme="minorHAnsi"/>
        </w:rPr>
        <w:t xml:space="preserve">he second half of the </w:t>
      </w:r>
      <w:r w:rsidR="00136CBD">
        <w:rPr>
          <w:rFonts w:cstheme="minorHAnsi"/>
        </w:rPr>
        <w:t xml:space="preserve">2020-2021 </w:t>
      </w:r>
      <w:r w:rsidR="002248F3" w:rsidRPr="002F248A">
        <w:rPr>
          <w:rFonts w:cstheme="minorHAnsi"/>
        </w:rPr>
        <w:t xml:space="preserve">year gained momentum </w:t>
      </w:r>
      <w:r w:rsidR="00136CBD">
        <w:rPr>
          <w:rFonts w:cstheme="minorHAnsi"/>
        </w:rPr>
        <w:t xml:space="preserve">from </w:t>
      </w:r>
      <w:r w:rsidR="002248F3" w:rsidRPr="002F248A">
        <w:rPr>
          <w:rFonts w:cstheme="minorHAnsi"/>
        </w:rPr>
        <w:t>students return</w:t>
      </w:r>
      <w:r w:rsidR="00136CBD">
        <w:rPr>
          <w:rFonts w:cstheme="minorHAnsi"/>
        </w:rPr>
        <w:t>ing</w:t>
      </w:r>
      <w:r w:rsidR="002248F3" w:rsidRPr="002F248A">
        <w:rPr>
          <w:rFonts w:cstheme="minorHAnsi"/>
        </w:rPr>
        <w:t xml:space="preserve"> to face-to-face learning while others continued </w:t>
      </w:r>
      <w:r w:rsidR="00136CBD">
        <w:rPr>
          <w:rFonts w:cstheme="minorHAnsi"/>
        </w:rPr>
        <w:t xml:space="preserve">to hone their ability to learn </w:t>
      </w:r>
      <w:r w:rsidR="002248F3" w:rsidRPr="002F248A">
        <w:rPr>
          <w:rFonts w:cstheme="minorHAnsi"/>
        </w:rPr>
        <w:t>virtual</w:t>
      </w:r>
      <w:r w:rsidR="00136CBD">
        <w:rPr>
          <w:rFonts w:cstheme="minorHAnsi"/>
        </w:rPr>
        <w:t>ly</w:t>
      </w:r>
      <w:r w:rsidR="00604F70">
        <w:rPr>
          <w:rFonts w:cstheme="minorHAnsi"/>
        </w:rPr>
        <w:t xml:space="preserve"> from a distance</w:t>
      </w:r>
      <w:r w:rsidR="002248F3" w:rsidRPr="002F248A">
        <w:rPr>
          <w:rFonts w:cstheme="minorHAnsi"/>
        </w:rPr>
        <w:t xml:space="preserve">.  </w:t>
      </w:r>
      <w:r w:rsidR="008970E3">
        <w:rPr>
          <w:rFonts w:cstheme="minorHAnsi"/>
        </w:rPr>
        <w:t xml:space="preserve">Local program </w:t>
      </w:r>
      <w:r w:rsidR="002248F3" w:rsidRPr="002F248A">
        <w:rPr>
          <w:rFonts w:cstheme="minorHAnsi"/>
        </w:rPr>
        <w:t xml:space="preserve">providers </w:t>
      </w:r>
      <w:r w:rsidR="008970E3">
        <w:rPr>
          <w:rFonts w:cstheme="minorHAnsi"/>
        </w:rPr>
        <w:t xml:space="preserve">became more comfortable </w:t>
      </w:r>
      <w:r w:rsidR="000436A1">
        <w:rPr>
          <w:rFonts w:cstheme="minorHAnsi"/>
        </w:rPr>
        <w:t>using technology to create</w:t>
      </w:r>
      <w:r w:rsidR="008970E3">
        <w:rPr>
          <w:rFonts w:cstheme="minorHAnsi"/>
        </w:rPr>
        <w:t xml:space="preserve"> </w:t>
      </w:r>
      <w:r w:rsidR="002248F3" w:rsidRPr="002F248A">
        <w:rPr>
          <w:rFonts w:cstheme="minorHAnsi"/>
        </w:rPr>
        <w:t>asynchronous</w:t>
      </w:r>
      <w:r w:rsidR="008970E3">
        <w:rPr>
          <w:rFonts w:cstheme="minorHAnsi"/>
        </w:rPr>
        <w:t xml:space="preserve"> </w:t>
      </w:r>
      <w:r w:rsidR="000436A1">
        <w:rPr>
          <w:rFonts w:cstheme="minorHAnsi"/>
        </w:rPr>
        <w:t>instruction</w:t>
      </w:r>
      <w:r w:rsidR="008970E3">
        <w:rPr>
          <w:rFonts w:cstheme="minorHAnsi"/>
        </w:rPr>
        <w:t xml:space="preserve"> for all levels of learners</w:t>
      </w:r>
      <w:r w:rsidR="006F561F">
        <w:rPr>
          <w:rFonts w:cstheme="minorHAnsi"/>
        </w:rPr>
        <w:t xml:space="preserve"> and employing </w:t>
      </w:r>
      <w:r w:rsidR="006E4455">
        <w:rPr>
          <w:rFonts w:cstheme="minorHAnsi"/>
        </w:rPr>
        <w:t xml:space="preserve">interactive </w:t>
      </w:r>
      <w:r w:rsidR="006F561F">
        <w:rPr>
          <w:rFonts w:cstheme="minorHAnsi"/>
        </w:rPr>
        <w:t>hybrid approaches</w:t>
      </w:r>
      <w:r w:rsidR="002248F3" w:rsidRPr="002F248A">
        <w:rPr>
          <w:rFonts w:cstheme="minorHAnsi"/>
        </w:rPr>
        <w:t xml:space="preserve">.  </w:t>
      </w:r>
    </w:p>
    <w:p w14:paraId="025600CD" w14:textId="77777777" w:rsidR="008970E3" w:rsidRDefault="008970E3" w:rsidP="00597A59">
      <w:pPr>
        <w:jc w:val="both"/>
        <w:rPr>
          <w:rFonts w:cstheme="minorHAnsi"/>
        </w:rPr>
      </w:pPr>
    </w:p>
    <w:p w14:paraId="064E73A9" w14:textId="5BFEDE18" w:rsidR="002248F3" w:rsidRPr="002F248A" w:rsidRDefault="002248F3" w:rsidP="00597A59">
      <w:pPr>
        <w:jc w:val="both"/>
        <w:rPr>
          <w:rFonts w:cstheme="minorHAnsi"/>
        </w:rPr>
      </w:pPr>
      <w:r w:rsidRPr="002F248A">
        <w:rPr>
          <w:rFonts w:cstheme="minorHAnsi"/>
        </w:rPr>
        <w:t>The Performance Dashboard on the Alabama Adult Education System for Accountability and Performance system, AAESAP, provides valuable real-time information for enrollment, progress post-test rate, MSG and EFL gain rate, and Career Pathway completions. The dashboard emphasizes federal and state performance goals</w:t>
      </w:r>
      <w:r w:rsidR="006A6AAE">
        <w:rPr>
          <w:rFonts w:cstheme="minorHAnsi"/>
        </w:rPr>
        <w:t xml:space="preserve"> in real time</w:t>
      </w:r>
      <w:r w:rsidRPr="002F248A">
        <w:rPr>
          <w:rFonts w:cstheme="minorHAnsi"/>
        </w:rPr>
        <w:t>.  This information allow</w:t>
      </w:r>
      <w:r w:rsidR="008423EB">
        <w:rPr>
          <w:rFonts w:cstheme="minorHAnsi"/>
        </w:rPr>
        <w:t>ed</w:t>
      </w:r>
      <w:r w:rsidRPr="002F248A">
        <w:rPr>
          <w:rFonts w:cstheme="minorHAnsi"/>
        </w:rPr>
        <w:t xml:space="preserve"> providers to </w:t>
      </w:r>
      <w:r w:rsidR="00B272A5">
        <w:rPr>
          <w:rFonts w:cstheme="minorHAnsi"/>
        </w:rPr>
        <w:t>self-</w:t>
      </w:r>
      <w:r w:rsidRPr="002F248A">
        <w:rPr>
          <w:rFonts w:cstheme="minorHAnsi"/>
        </w:rPr>
        <w:t xml:space="preserve">analyze </w:t>
      </w:r>
      <w:r w:rsidR="00B272A5">
        <w:rPr>
          <w:rFonts w:cstheme="minorHAnsi"/>
        </w:rPr>
        <w:t xml:space="preserve">their program </w:t>
      </w:r>
      <w:r w:rsidRPr="002F248A">
        <w:rPr>
          <w:rFonts w:cstheme="minorHAnsi"/>
        </w:rPr>
        <w:t xml:space="preserve">data </w:t>
      </w:r>
      <w:r w:rsidR="00B272A5">
        <w:rPr>
          <w:rFonts w:cstheme="minorHAnsi"/>
        </w:rPr>
        <w:t xml:space="preserve">to </w:t>
      </w:r>
      <w:r w:rsidRPr="002F248A">
        <w:rPr>
          <w:rFonts w:cstheme="minorHAnsi"/>
        </w:rPr>
        <w:t xml:space="preserve">identify potential problems </w:t>
      </w:r>
      <w:r w:rsidR="006A6AAE" w:rsidRPr="002F248A">
        <w:rPr>
          <w:rFonts w:cstheme="minorHAnsi"/>
        </w:rPr>
        <w:t xml:space="preserve">and </w:t>
      </w:r>
      <w:r w:rsidR="006A6AAE">
        <w:rPr>
          <w:rFonts w:cstheme="minorHAnsi"/>
        </w:rPr>
        <w:t xml:space="preserve">proactively </w:t>
      </w:r>
      <w:r w:rsidRPr="002F248A">
        <w:rPr>
          <w:rFonts w:cstheme="minorHAnsi"/>
        </w:rPr>
        <w:t xml:space="preserve">work to resolve the issues.  </w:t>
      </w:r>
      <w:r w:rsidR="006A6AAE">
        <w:rPr>
          <w:rFonts w:cstheme="minorHAnsi"/>
        </w:rPr>
        <w:t>As described in other sections, t</w:t>
      </w:r>
      <w:r w:rsidRPr="002F248A">
        <w:rPr>
          <w:rFonts w:cstheme="minorHAnsi"/>
        </w:rPr>
        <w:t xml:space="preserve">echnical assistance is </w:t>
      </w:r>
      <w:r w:rsidR="006A6AAE">
        <w:rPr>
          <w:rFonts w:cstheme="minorHAnsi"/>
        </w:rPr>
        <w:t>a continuous</w:t>
      </w:r>
      <w:r w:rsidRPr="002F248A">
        <w:rPr>
          <w:rFonts w:cstheme="minorHAnsi"/>
        </w:rPr>
        <w:t xml:space="preserve"> </w:t>
      </w:r>
      <w:r w:rsidR="006A6AAE">
        <w:rPr>
          <w:rFonts w:cstheme="minorHAnsi"/>
        </w:rPr>
        <w:t>process</w:t>
      </w:r>
      <w:r w:rsidRPr="002F248A">
        <w:rPr>
          <w:rFonts w:cstheme="minorHAnsi"/>
        </w:rPr>
        <w:t>.</w:t>
      </w:r>
      <w:r w:rsidR="006A6AAE">
        <w:rPr>
          <w:rFonts w:cstheme="minorHAnsi"/>
        </w:rPr>
        <w:t xml:space="preserve">  </w:t>
      </w:r>
      <w:r w:rsidR="006A6AAE" w:rsidRPr="002F248A">
        <w:rPr>
          <w:rFonts w:cstheme="minorHAnsi"/>
        </w:rPr>
        <w:t>Local providers receive a quarterly desk-top monitoring assessment</w:t>
      </w:r>
      <w:r w:rsidR="006A6AAE">
        <w:rPr>
          <w:rFonts w:cstheme="minorHAnsi"/>
        </w:rPr>
        <w:t xml:space="preserve"> from state staff</w:t>
      </w:r>
      <w:r w:rsidR="00E73989">
        <w:rPr>
          <w:rFonts w:cstheme="minorHAnsi"/>
        </w:rPr>
        <w:t xml:space="preserve"> as well as monthly performance data checks</w:t>
      </w:r>
      <w:r w:rsidR="006A6AAE" w:rsidRPr="002F248A">
        <w:rPr>
          <w:rFonts w:cstheme="minorHAnsi"/>
        </w:rPr>
        <w:t xml:space="preserve">.  </w:t>
      </w:r>
    </w:p>
    <w:p w14:paraId="575FA06F" w14:textId="77777777" w:rsidR="0024240A" w:rsidRDefault="0024240A" w:rsidP="00597A59">
      <w:pPr>
        <w:jc w:val="both"/>
        <w:rPr>
          <w:rFonts w:cstheme="minorHAnsi"/>
        </w:rPr>
      </w:pPr>
    </w:p>
    <w:p w14:paraId="0AB7BF6A" w14:textId="18570343" w:rsidR="002248F3" w:rsidRPr="00935DAE" w:rsidRDefault="002248F3" w:rsidP="00597A59">
      <w:pPr>
        <w:jc w:val="both"/>
        <w:rPr>
          <w:rFonts w:cstheme="minorHAnsi"/>
        </w:rPr>
      </w:pPr>
      <w:r w:rsidRPr="002F248A">
        <w:rPr>
          <w:rFonts w:cstheme="minorHAnsi"/>
        </w:rPr>
        <w:t xml:space="preserve">The AAESAP system also allows students to self-enroll online for Adult Education services.  </w:t>
      </w:r>
      <w:r w:rsidR="00053BCC">
        <w:rPr>
          <w:rFonts w:cstheme="minorHAnsi"/>
        </w:rPr>
        <w:t>Classes are offered for on-site</w:t>
      </w:r>
      <w:r w:rsidRPr="002F248A">
        <w:rPr>
          <w:rFonts w:cstheme="minorHAnsi"/>
        </w:rPr>
        <w:t xml:space="preserve">, virtual, or a hybrid combination. </w:t>
      </w:r>
      <w:r w:rsidR="00746748">
        <w:rPr>
          <w:rFonts w:cstheme="minorHAnsi"/>
        </w:rPr>
        <w:t xml:space="preserve"> </w:t>
      </w:r>
      <w:r w:rsidRPr="002F248A">
        <w:rPr>
          <w:rFonts w:cstheme="minorHAnsi"/>
        </w:rPr>
        <w:t xml:space="preserve">An auto alert notification </w:t>
      </w:r>
      <w:r w:rsidR="00746748">
        <w:rPr>
          <w:rFonts w:cstheme="minorHAnsi"/>
        </w:rPr>
        <w:t xml:space="preserve">allows </w:t>
      </w:r>
      <w:r w:rsidRPr="002F248A">
        <w:rPr>
          <w:rFonts w:cstheme="minorHAnsi"/>
        </w:rPr>
        <w:t xml:space="preserve">a local program </w:t>
      </w:r>
      <w:r w:rsidR="00746748">
        <w:rPr>
          <w:rFonts w:cstheme="minorHAnsi"/>
        </w:rPr>
        <w:t>to know when</w:t>
      </w:r>
      <w:r w:rsidRPr="002F248A">
        <w:rPr>
          <w:rFonts w:cstheme="minorHAnsi"/>
        </w:rPr>
        <w:t xml:space="preserve"> a public inquiry or enrollment has been </w:t>
      </w:r>
      <w:r w:rsidR="00746748" w:rsidRPr="002F248A">
        <w:rPr>
          <w:rFonts w:cstheme="minorHAnsi"/>
        </w:rPr>
        <w:t>created</w:t>
      </w:r>
      <w:r w:rsidRPr="002F248A">
        <w:rPr>
          <w:rFonts w:cstheme="minorHAnsi"/>
        </w:rPr>
        <w:t xml:space="preserve">. </w:t>
      </w:r>
      <w:r w:rsidRPr="00935DAE">
        <w:rPr>
          <w:rFonts w:cstheme="minorHAnsi"/>
        </w:rPr>
        <w:t xml:space="preserve"> </w:t>
      </w:r>
    </w:p>
    <w:p w14:paraId="1628E695" w14:textId="3A22AF75" w:rsidR="00DD4743" w:rsidRPr="00935DAE" w:rsidRDefault="00DD4743" w:rsidP="002248F3">
      <w:pPr>
        <w:rPr>
          <w:rFonts w:cstheme="minorHAnsi"/>
        </w:rPr>
      </w:pPr>
    </w:p>
    <w:p w14:paraId="5FB1E05D" w14:textId="45F926DA" w:rsidR="00DD4743" w:rsidRDefault="00DD4743" w:rsidP="002248F3"/>
    <w:p w14:paraId="1D6665FA" w14:textId="35342677" w:rsidR="00DD4743" w:rsidRPr="00EE2FD4" w:rsidRDefault="00935DAE" w:rsidP="008423EB">
      <w:pPr>
        <w:widowControl/>
        <w:pBdr>
          <w:top w:val="single" w:sz="4" w:space="1" w:color="auto"/>
          <w:left w:val="single" w:sz="4" w:space="4" w:color="auto"/>
          <w:bottom w:val="single" w:sz="4" w:space="1" w:color="auto"/>
          <w:right w:val="single" w:sz="4" w:space="4" w:color="auto"/>
        </w:pBdr>
        <w:shd w:val="clear" w:color="auto" w:fill="B4C6E7" w:themeFill="accent1" w:themeFillTint="66"/>
        <w:spacing w:after="160" w:line="256" w:lineRule="auto"/>
        <w:jc w:val="both"/>
        <w:rPr>
          <w:b/>
          <w:bCs/>
        </w:rPr>
      </w:pPr>
      <w:r w:rsidRPr="00EE2FD4">
        <w:t>Regarding</w:t>
      </w:r>
      <w:r w:rsidR="00DD4743" w:rsidRPr="00EE2FD4">
        <w:t xml:space="preserve"> core performance measures for PY 2020-2021, Alabama Adult Education performed as follows:</w:t>
      </w:r>
    </w:p>
    <w:p w14:paraId="7C62E795" w14:textId="77777777" w:rsidR="00DD4743" w:rsidRPr="00EE2FD4" w:rsidRDefault="00DD4743" w:rsidP="00DD4743">
      <w:pPr>
        <w:pStyle w:val="ListParagraph"/>
        <w:jc w:val="both"/>
        <w:rPr>
          <w:b/>
          <w:bCs/>
        </w:rPr>
      </w:pPr>
    </w:p>
    <w:tbl>
      <w:tblPr>
        <w:tblStyle w:val="TableGrid"/>
        <w:tblW w:w="0" w:type="auto"/>
        <w:tblInd w:w="720" w:type="dxa"/>
        <w:tblLook w:val="04A0" w:firstRow="1" w:lastRow="0" w:firstColumn="1" w:lastColumn="0" w:noHBand="0" w:noVBand="1"/>
      </w:tblPr>
      <w:tblGrid>
        <w:gridCol w:w="4466"/>
        <w:gridCol w:w="4424"/>
      </w:tblGrid>
      <w:tr w:rsidR="00DD4743" w:rsidRPr="00EE2FD4" w14:paraId="6BFC0527" w14:textId="77777777" w:rsidTr="008423EB">
        <w:tc>
          <w:tcPr>
            <w:tcW w:w="46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5B2F12" w14:textId="77777777" w:rsidR="00DD4743" w:rsidRPr="00EE2FD4" w:rsidRDefault="00DD4743">
            <w:pPr>
              <w:pStyle w:val="ListParagraph"/>
              <w:ind w:left="0"/>
              <w:jc w:val="both"/>
            </w:pPr>
            <w:r w:rsidRPr="00EE2FD4">
              <w:t>Employment 2</w:t>
            </w:r>
            <w:r w:rsidRPr="00EE2FD4">
              <w:rPr>
                <w:vertAlign w:val="superscript"/>
              </w:rPr>
              <w:t>nd</w:t>
            </w:r>
            <w:r w:rsidRPr="00EE2FD4">
              <w:t xml:space="preserve"> QTR after exit</w:t>
            </w:r>
          </w:p>
        </w:tc>
        <w:tc>
          <w:tcPr>
            <w:tcW w:w="46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29ADC4" w14:textId="77777777" w:rsidR="00DD4743" w:rsidRPr="00EE2FD4" w:rsidRDefault="00DD4743">
            <w:pPr>
              <w:pStyle w:val="ListParagraph"/>
              <w:ind w:left="0"/>
              <w:jc w:val="both"/>
              <w:rPr>
                <w:b/>
                <w:bCs/>
              </w:rPr>
            </w:pPr>
            <w:r w:rsidRPr="00EE2FD4">
              <w:rPr>
                <w:b/>
                <w:bCs/>
              </w:rPr>
              <w:t>41.10%</w:t>
            </w:r>
          </w:p>
        </w:tc>
      </w:tr>
      <w:tr w:rsidR="00DD4743" w:rsidRPr="00EE2FD4" w14:paraId="0C030AAF" w14:textId="77777777" w:rsidTr="00DD4743">
        <w:tc>
          <w:tcPr>
            <w:tcW w:w="4675" w:type="dxa"/>
            <w:tcBorders>
              <w:top w:val="single" w:sz="4" w:space="0" w:color="auto"/>
              <w:left w:val="single" w:sz="4" w:space="0" w:color="auto"/>
              <w:bottom w:val="single" w:sz="4" w:space="0" w:color="auto"/>
              <w:right w:val="single" w:sz="4" w:space="0" w:color="auto"/>
            </w:tcBorders>
            <w:hideMark/>
          </w:tcPr>
          <w:p w14:paraId="3E5E97EA" w14:textId="77777777" w:rsidR="00DD4743" w:rsidRPr="00EE2FD4" w:rsidRDefault="00DD4743">
            <w:pPr>
              <w:pStyle w:val="ListParagraph"/>
              <w:ind w:left="0"/>
              <w:jc w:val="both"/>
            </w:pPr>
            <w:r w:rsidRPr="00EE2FD4">
              <w:t>Employment 4</w:t>
            </w:r>
            <w:r w:rsidRPr="00EE2FD4">
              <w:rPr>
                <w:vertAlign w:val="superscript"/>
              </w:rPr>
              <w:t>th</w:t>
            </w:r>
            <w:r w:rsidRPr="00EE2FD4">
              <w:t xml:space="preserve"> QTR after exit</w:t>
            </w:r>
          </w:p>
        </w:tc>
        <w:tc>
          <w:tcPr>
            <w:tcW w:w="4675" w:type="dxa"/>
            <w:tcBorders>
              <w:top w:val="single" w:sz="4" w:space="0" w:color="auto"/>
              <w:left w:val="single" w:sz="4" w:space="0" w:color="auto"/>
              <w:bottom w:val="single" w:sz="4" w:space="0" w:color="auto"/>
              <w:right w:val="single" w:sz="4" w:space="0" w:color="auto"/>
            </w:tcBorders>
            <w:hideMark/>
          </w:tcPr>
          <w:p w14:paraId="4DF6B177" w14:textId="77777777" w:rsidR="00DD4743" w:rsidRPr="00EE2FD4" w:rsidRDefault="00DD4743">
            <w:pPr>
              <w:pStyle w:val="ListParagraph"/>
              <w:ind w:left="0"/>
              <w:jc w:val="both"/>
              <w:rPr>
                <w:b/>
                <w:bCs/>
              </w:rPr>
            </w:pPr>
            <w:r w:rsidRPr="00EE2FD4">
              <w:rPr>
                <w:b/>
                <w:bCs/>
              </w:rPr>
              <w:t>42.72%</w:t>
            </w:r>
          </w:p>
        </w:tc>
      </w:tr>
      <w:tr w:rsidR="00DD4743" w:rsidRPr="00EE2FD4" w14:paraId="69F36458" w14:textId="77777777" w:rsidTr="008423EB">
        <w:tc>
          <w:tcPr>
            <w:tcW w:w="46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BBD96FD" w14:textId="77777777" w:rsidR="00DD4743" w:rsidRPr="00EE2FD4" w:rsidRDefault="00DD4743">
            <w:pPr>
              <w:pStyle w:val="ListParagraph"/>
              <w:ind w:left="0"/>
              <w:jc w:val="both"/>
            </w:pPr>
            <w:r w:rsidRPr="00EE2FD4">
              <w:t>Attained HSE and enrolled in postsecondary within one year of exit</w:t>
            </w:r>
          </w:p>
        </w:tc>
        <w:tc>
          <w:tcPr>
            <w:tcW w:w="46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5669AF" w14:textId="77777777" w:rsidR="00DD4743" w:rsidRPr="00EE2FD4" w:rsidRDefault="00DD4743">
            <w:pPr>
              <w:pStyle w:val="ListParagraph"/>
              <w:ind w:left="0"/>
              <w:jc w:val="both"/>
              <w:rPr>
                <w:b/>
                <w:bCs/>
              </w:rPr>
            </w:pPr>
          </w:p>
          <w:p w14:paraId="05214F7F" w14:textId="77777777" w:rsidR="00DD4743" w:rsidRPr="00EE2FD4" w:rsidRDefault="00DD4743">
            <w:pPr>
              <w:pStyle w:val="ListParagraph"/>
              <w:ind w:left="0"/>
              <w:jc w:val="both"/>
              <w:rPr>
                <w:b/>
                <w:bCs/>
              </w:rPr>
            </w:pPr>
            <w:r w:rsidRPr="00EE2FD4">
              <w:rPr>
                <w:b/>
                <w:bCs/>
              </w:rPr>
              <w:t>11.12%</w:t>
            </w:r>
          </w:p>
        </w:tc>
      </w:tr>
      <w:tr w:rsidR="00DD4743" w:rsidRPr="00EE2FD4" w14:paraId="5F9F8652" w14:textId="77777777" w:rsidTr="00DD4743">
        <w:tc>
          <w:tcPr>
            <w:tcW w:w="4675" w:type="dxa"/>
            <w:tcBorders>
              <w:top w:val="single" w:sz="4" w:space="0" w:color="auto"/>
              <w:left w:val="single" w:sz="4" w:space="0" w:color="auto"/>
              <w:bottom w:val="single" w:sz="4" w:space="0" w:color="auto"/>
              <w:right w:val="single" w:sz="4" w:space="0" w:color="auto"/>
            </w:tcBorders>
            <w:hideMark/>
          </w:tcPr>
          <w:p w14:paraId="395D806D" w14:textId="77777777" w:rsidR="00DD4743" w:rsidRPr="00EE2FD4" w:rsidRDefault="00DD4743">
            <w:pPr>
              <w:pStyle w:val="ListParagraph"/>
              <w:ind w:left="0"/>
              <w:jc w:val="both"/>
            </w:pPr>
            <w:r w:rsidRPr="00EE2FD4">
              <w:t>Attained HSE and employed within one year of exit</w:t>
            </w:r>
          </w:p>
        </w:tc>
        <w:tc>
          <w:tcPr>
            <w:tcW w:w="4675" w:type="dxa"/>
            <w:tcBorders>
              <w:top w:val="single" w:sz="4" w:space="0" w:color="auto"/>
              <w:left w:val="single" w:sz="4" w:space="0" w:color="auto"/>
              <w:bottom w:val="single" w:sz="4" w:space="0" w:color="auto"/>
              <w:right w:val="single" w:sz="4" w:space="0" w:color="auto"/>
            </w:tcBorders>
          </w:tcPr>
          <w:p w14:paraId="5314A41F" w14:textId="77777777" w:rsidR="00DD4743" w:rsidRPr="00EE2FD4" w:rsidRDefault="00DD4743">
            <w:pPr>
              <w:pStyle w:val="ListParagraph"/>
              <w:ind w:left="0"/>
              <w:jc w:val="both"/>
              <w:rPr>
                <w:b/>
                <w:bCs/>
              </w:rPr>
            </w:pPr>
          </w:p>
          <w:p w14:paraId="59E920E3" w14:textId="77777777" w:rsidR="00DD4743" w:rsidRPr="00EE2FD4" w:rsidRDefault="00DD4743">
            <w:pPr>
              <w:pStyle w:val="ListParagraph"/>
              <w:ind w:left="0"/>
              <w:jc w:val="both"/>
              <w:rPr>
                <w:b/>
                <w:bCs/>
              </w:rPr>
            </w:pPr>
            <w:r w:rsidRPr="00EE2FD4">
              <w:rPr>
                <w:b/>
                <w:bCs/>
              </w:rPr>
              <w:t>32.66%</w:t>
            </w:r>
          </w:p>
        </w:tc>
      </w:tr>
      <w:tr w:rsidR="00DD4743" w:rsidRPr="00EE2FD4" w14:paraId="6355D2DC" w14:textId="77777777" w:rsidTr="008423EB">
        <w:tc>
          <w:tcPr>
            <w:tcW w:w="46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5F0DA2C" w14:textId="77777777" w:rsidR="00DD4743" w:rsidRPr="00EE2FD4" w:rsidRDefault="00DD4743">
            <w:pPr>
              <w:pStyle w:val="ListParagraph"/>
              <w:ind w:left="0"/>
              <w:jc w:val="both"/>
            </w:pPr>
            <w:r w:rsidRPr="00EE2FD4">
              <w:t>Attained a postsecondary credential while enrolled or within one year of exit</w:t>
            </w:r>
          </w:p>
        </w:tc>
        <w:tc>
          <w:tcPr>
            <w:tcW w:w="46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EE906C" w14:textId="77777777" w:rsidR="00DD4743" w:rsidRPr="00EE2FD4" w:rsidRDefault="00DD4743">
            <w:pPr>
              <w:pStyle w:val="ListParagraph"/>
              <w:ind w:left="0"/>
              <w:jc w:val="both"/>
              <w:rPr>
                <w:b/>
                <w:bCs/>
              </w:rPr>
            </w:pPr>
          </w:p>
          <w:p w14:paraId="722728D1" w14:textId="77777777" w:rsidR="00DD4743" w:rsidRPr="00EE2FD4" w:rsidRDefault="00DD4743">
            <w:pPr>
              <w:pStyle w:val="ListParagraph"/>
              <w:ind w:left="0"/>
              <w:jc w:val="both"/>
              <w:rPr>
                <w:b/>
                <w:bCs/>
              </w:rPr>
            </w:pPr>
            <w:r w:rsidRPr="00EE2FD4">
              <w:rPr>
                <w:b/>
                <w:bCs/>
              </w:rPr>
              <w:t>37.46%</w:t>
            </w:r>
          </w:p>
        </w:tc>
      </w:tr>
      <w:tr w:rsidR="00DD4743" w:rsidRPr="00EE2FD4" w14:paraId="4B19B682" w14:textId="77777777" w:rsidTr="00DD4743">
        <w:tc>
          <w:tcPr>
            <w:tcW w:w="4675" w:type="dxa"/>
            <w:tcBorders>
              <w:top w:val="single" w:sz="4" w:space="0" w:color="auto"/>
              <w:left w:val="single" w:sz="4" w:space="0" w:color="auto"/>
              <w:bottom w:val="single" w:sz="4" w:space="0" w:color="auto"/>
              <w:right w:val="single" w:sz="4" w:space="0" w:color="auto"/>
            </w:tcBorders>
            <w:hideMark/>
          </w:tcPr>
          <w:p w14:paraId="6E87225A" w14:textId="77777777" w:rsidR="00DD4743" w:rsidRPr="00EE2FD4" w:rsidRDefault="00DD4743">
            <w:pPr>
              <w:pStyle w:val="ListParagraph"/>
              <w:ind w:left="0"/>
              <w:jc w:val="both"/>
            </w:pPr>
            <w:r w:rsidRPr="00EE2FD4">
              <w:t>Attained any credential</w:t>
            </w:r>
          </w:p>
        </w:tc>
        <w:tc>
          <w:tcPr>
            <w:tcW w:w="4675" w:type="dxa"/>
            <w:tcBorders>
              <w:top w:val="single" w:sz="4" w:space="0" w:color="auto"/>
              <w:left w:val="single" w:sz="4" w:space="0" w:color="auto"/>
              <w:bottom w:val="single" w:sz="4" w:space="0" w:color="auto"/>
              <w:right w:val="single" w:sz="4" w:space="0" w:color="auto"/>
            </w:tcBorders>
            <w:hideMark/>
          </w:tcPr>
          <w:p w14:paraId="513DCE21" w14:textId="77777777" w:rsidR="00DD4743" w:rsidRPr="00EE2FD4" w:rsidRDefault="00DD4743">
            <w:pPr>
              <w:pStyle w:val="ListParagraph"/>
              <w:ind w:left="0"/>
              <w:jc w:val="both"/>
              <w:rPr>
                <w:b/>
                <w:bCs/>
              </w:rPr>
            </w:pPr>
            <w:r w:rsidRPr="00EE2FD4">
              <w:rPr>
                <w:b/>
                <w:bCs/>
              </w:rPr>
              <w:t>38.30%</w:t>
            </w:r>
          </w:p>
        </w:tc>
      </w:tr>
      <w:tr w:rsidR="00DD4743" w:rsidRPr="00EE2FD4" w14:paraId="341D7CB5" w14:textId="77777777" w:rsidTr="008423EB">
        <w:tc>
          <w:tcPr>
            <w:tcW w:w="46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47B6FFF" w14:textId="77777777" w:rsidR="00DD4743" w:rsidRPr="00EE2FD4" w:rsidRDefault="00DD4743">
            <w:pPr>
              <w:pStyle w:val="ListParagraph"/>
              <w:ind w:left="0"/>
              <w:jc w:val="both"/>
            </w:pPr>
            <w:r w:rsidRPr="00EE2FD4">
              <w:t>Measurable Skill Gain</w:t>
            </w:r>
          </w:p>
        </w:tc>
        <w:tc>
          <w:tcPr>
            <w:tcW w:w="46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844A26" w14:textId="77777777" w:rsidR="00DD4743" w:rsidRPr="00EE2FD4" w:rsidRDefault="00DD4743">
            <w:pPr>
              <w:pStyle w:val="ListParagraph"/>
              <w:ind w:left="0"/>
              <w:jc w:val="both"/>
              <w:rPr>
                <w:b/>
                <w:bCs/>
              </w:rPr>
            </w:pPr>
            <w:r w:rsidRPr="00EE2FD4">
              <w:rPr>
                <w:b/>
                <w:bCs/>
              </w:rPr>
              <w:t>36%</w:t>
            </w:r>
          </w:p>
        </w:tc>
      </w:tr>
    </w:tbl>
    <w:p w14:paraId="6A45EA9E" w14:textId="77777777" w:rsidR="00DD4743" w:rsidRPr="00EE2FD4" w:rsidRDefault="00DD4743" w:rsidP="00DD4743">
      <w:pPr>
        <w:pStyle w:val="ListParagraph"/>
        <w:jc w:val="both"/>
        <w:rPr>
          <w:b/>
          <w:bCs/>
          <w:u w:val="single"/>
        </w:rPr>
      </w:pPr>
    </w:p>
    <w:p w14:paraId="17469873" w14:textId="48F48EEF" w:rsidR="00DD4743" w:rsidRDefault="00DD4743" w:rsidP="002C54A2">
      <w:pPr>
        <w:jc w:val="both"/>
      </w:pPr>
      <w:r w:rsidRPr="00EE2FD4">
        <w:t>Alabama’s MSG</w:t>
      </w:r>
      <w:r w:rsidR="002C54A2">
        <w:t xml:space="preserve"> percentage </w:t>
      </w:r>
      <w:r w:rsidRPr="00EE2FD4">
        <w:t xml:space="preserve">saw improvement </w:t>
      </w:r>
      <w:r w:rsidR="003D5876" w:rsidRPr="00EE2FD4">
        <w:t>because of</w:t>
      </w:r>
      <w:r w:rsidRPr="00EE2FD4">
        <w:t xml:space="preserve"> the</w:t>
      </w:r>
      <w:r w:rsidR="0024240A">
        <w:t xml:space="preserve"> ability to count</w:t>
      </w:r>
      <w:r w:rsidRPr="00EE2FD4">
        <w:t xml:space="preserve"> </w:t>
      </w:r>
      <w:r w:rsidR="0024240A">
        <w:t xml:space="preserve">gains specifically related to </w:t>
      </w:r>
      <w:r w:rsidRPr="00EE2FD4">
        <w:t>Workplace Literacy and I</w:t>
      </w:r>
      <w:r w:rsidR="003D5876">
        <w:t>ntegrated Education &amp; Training programs</w:t>
      </w:r>
      <w:r w:rsidRPr="00EE2FD4">
        <w:t>.  Another ar</w:t>
      </w:r>
      <w:r w:rsidR="00E95D04">
        <w:t>ea of opportunity for the State</w:t>
      </w:r>
      <w:r w:rsidRPr="00EE2FD4">
        <w:t xml:space="preserve"> </w:t>
      </w:r>
      <w:r w:rsidR="002C54A2" w:rsidRPr="00EE2FD4">
        <w:t>regarding</w:t>
      </w:r>
      <w:r w:rsidRPr="00EE2FD4">
        <w:t xml:space="preserve"> continuous improvement of the MSG</w:t>
      </w:r>
      <w:r w:rsidR="0024240A">
        <w:t xml:space="preserve"> percentage</w:t>
      </w:r>
      <w:r w:rsidRPr="00EE2FD4">
        <w:t xml:space="preserve"> is EFL gain.  The State </w:t>
      </w:r>
      <w:r w:rsidR="00597A59">
        <w:t xml:space="preserve">has enacted a monthly </w:t>
      </w:r>
      <w:r w:rsidR="0032691C">
        <w:t>theme-based</w:t>
      </w:r>
      <w:r w:rsidR="00247C36">
        <w:t xml:space="preserve"> </w:t>
      </w:r>
      <w:r w:rsidR="00597A59">
        <w:t>strategy t</w:t>
      </w:r>
      <w:r w:rsidR="00247C36">
        <w:t>o motivate</w:t>
      </w:r>
      <w:r w:rsidR="0032691C">
        <w:t xml:space="preserve"> and focus programs</w:t>
      </w:r>
      <w:r w:rsidR="00247C36">
        <w:t xml:space="preserve"> while</w:t>
      </w:r>
      <w:r w:rsidR="00597A59">
        <w:t xml:space="preserve"> highlight</w:t>
      </w:r>
      <w:r w:rsidR="00247C36">
        <w:t>ing</w:t>
      </w:r>
      <w:r w:rsidR="00597A59">
        <w:t xml:space="preserve"> best practices to increase</w:t>
      </w:r>
      <w:r w:rsidR="00D71EBE">
        <w:t xml:space="preserve"> educational functioning level gains.  </w:t>
      </w:r>
      <w:r w:rsidR="00247C36">
        <w:t xml:space="preserve">The last theme for the month was called “Bread and Butter” which </w:t>
      </w:r>
      <w:r w:rsidR="0032691C">
        <w:t xml:space="preserve">symbolizes </w:t>
      </w:r>
      <w:r w:rsidR="00E73896">
        <w:t xml:space="preserve">and emphasizes </w:t>
      </w:r>
      <w:r w:rsidR="00247C36">
        <w:t xml:space="preserve">the importance of </w:t>
      </w:r>
      <w:r w:rsidR="0032691C">
        <w:t>Measurable</w:t>
      </w:r>
      <w:r w:rsidR="00247C36">
        <w:t xml:space="preserve"> Skill Gains (MSG</w:t>
      </w:r>
      <w:r w:rsidR="0032691C">
        <w:t>s</w:t>
      </w:r>
      <w:r w:rsidR="00247C36">
        <w:t xml:space="preserve">) to </w:t>
      </w:r>
      <w:r w:rsidR="0032691C">
        <w:t xml:space="preserve">overall student and program performance.  </w:t>
      </w:r>
      <w:r w:rsidR="00D71EBE">
        <w:t>The new strategy assists</w:t>
      </w:r>
      <w:r w:rsidRPr="00EE2FD4">
        <w:t xml:space="preserve"> local programs in identifying obstacles </w:t>
      </w:r>
      <w:r w:rsidR="00D71EBE">
        <w:t>impacting gains and prescribes strategies and professional development to alleviate</w:t>
      </w:r>
      <w:r w:rsidR="008423EB">
        <w:t xml:space="preserve"> barriers</w:t>
      </w:r>
      <w:r w:rsidR="00D71EBE">
        <w:t xml:space="preserve"> and enhance opportunities</w:t>
      </w:r>
      <w:r w:rsidR="008423EB">
        <w:t xml:space="preserve"> for</w:t>
      </w:r>
      <w:r w:rsidR="00FA6E90">
        <w:t xml:space="preserve"> increasing program performance</w:t>
      </w:r>
      <w:r w:rsidR="00D71EBE">
        <w:t xml:space="preserve">.  </w:t>
      </w:r>
    </w:p>
    <w:p w14:paraId="0B2ADCA9" w14:textId="77777777" w:rsidR="00A74870" w:rsidRDefault="00A74870" w:rsidP="00B55B73">
      <w:pPr>
        <w:rPr>
          <w:rFonts w:ascii="Times New Roman" w:eastAsia="Times New Roman" w:hAnsi="Times New Roman" w:cs="Times New Roman"/>
          <w:b/>
          <w:bCs/>
          <w:sz w:val="24"/>
          <w:szCs w:val="24"/>
        </w:rPr>
      </w:pPr>
    </w:p>
    <w:p w14:paraId="569FB121" w14:textId="77777777" w:rsidR="003720DD" w:rsidRPr="007D3516" w:rsidRDefault="003720DD" w:rsidP="00B55B73">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jc w:val="both"/>
        <w:rPr>
          <w:rFonts w:cs="Times New Roman"/>
          <w:b/>
          <w:bCs/>
        </w:rPr>
      </w:pPr>
      <w:r w:rsidRPr="007D3516">
        <w:rPr>
          <w:rFonts w:cs="Times New Roman"/>
          <w:b/>
          <w:bCs/>
        </w:rPr>
        <w:t>Integration with One-stop Partners</w:t>
      </w:r>
    </w:p>
    <w:p w14:paraId="475B35E6" w14:textId="52BB1E30" w:rsidR="003720DD" w:rsidRDefault="003720DD" w:rsidP="00B55B73">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jc w:val="both"/>
        <w:rPr>
          <w:rFonts w:cs="Times New Roman"/>
        </w:rPr>
      </w:pPr>
      <w:r w:rsidRPr="005366BC">
        <w:rPr>
          <w:rFonts w:cs="Times New Roman"/>
          <w:i/>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 stop system. Describe how infrastructure costs are supported through State and local options</w:t>
      </w:r>
      <w:r w:rsidRPr="007D3516">
        <w:rPr>
          <w:rFonts w:cs="Times New Roman"/>
        </w:rPr>
        <w:t>.</w:t>
      </w:r>
    </w:p>
    <w:p w14:paraId="4769678F" w14:textId="31B6B7BC" w:rsidR="00611D48" w:rsidRDefault="00611D48" w:rsidP="00677127">
      <w:pPr>
        <w:pStyle w:val="BodyText"/>
        <w:ind w:left="0" w:right="102"/>
        <w:rPr>
          <w:spacing w:val="-1"/>
        </w:rPr>
      </w:pPr>
    </w:p>
    <w:p w14:paraId="15636323" w14:textId="6CF376BB" w:rsidR="00611D48" w:rsidRPr="00EE2FD4" w:rsidRDefault="00611D48" w:rsidP="00611D48">
      <w:pPr>
        <w:autoSpaceDE w:val="0"/>
        <w:autoSpaceDN w:val="0"/>
        <w:adjustRightInd w:val="0"/>
        <w:jc w:val="both"/>
        <w:rPr>
          <w:rFonts w:cs="Times New Roman"/>
          <w:bCs/>
        </w:rPr>
      </w:pPr>
      <w:r w:rsidRPr="00EE2FD4">
        <w:rPr>
          <w:rFonts w:cs="Times New Roman"/>
          <w:bCs/>
        </w:rPr>
        <w:t xml:space="preserve">The Alabama Community College System, Adult Education Division is responsible for the requirements under 34 CFR part 463, subpart J, and carries out this responsibility.  Adult Education provides adult education services as stated under 34CFR part 463, subpart J, throughout the state in the designated comprehensive career centers and in the affiliate career centers where possible.   Adult Education has fulfilled a vital part of the assessment and training role in the career centers.  The relationship between the partners is one that fosters and demands collaborative teamwork.  Education and training services between partners are provided through direct referral and reverse referral.  </w:t>
      </w:r>
    </w:p>
    <w:p w14:paraId="20DEF22F" w14:textId="77777777" w:rsidR="00611D48" w:rsidRPr="00EE2FD4" w:rsidRDefault="00611D48" w:rsidP="00611D48">
      <w:pPr>
        <w:autoSpaceDE w:val="0"/>
        <w:autoSpaceDN w:val="0"/>
        <w:adjustRightInd w:val="0"/>
        <w:jc w:val="both"/>
        <w:rPr>
          <w:rFonts w:cs="Times New Roman"/>
          <w:bCs/>
        </w:rPr>
      </w:pPr>
    </w:p>
    <w:p w14:paraId="23FDBEF5" w14:textId="5F42DF68" w:rsidR="00611D48" w:rsidRPr="00EE2FD4" w:rsidRDefault="00611D48" w:rsidP="00611D48">
      <w:pPr>
        <w:autoSpaceDE w:val="0"/>
        <w:autoSpaceDN w:val="0"/>
        <w:adjustRightInd w:val="0"/>
        <w:jc w:val="both"/>
        <w:rPr>
          <w:rFonts w:cs="Times New Roman"/>
          <w:bCs/>
        </w:rPr>
      </w:pPr>
      <w:r w:rsidRPr="00EE2FD4">
        <w:rPr>
          <w:rFonts w:cs="Times New Roman"/>
          <w:bCs/>
        </w:rPr>
        <w:t>Alabama Adult Education is a leader in workforce development. We assist</w:t>
      </w:r>
      <w:r w:rsidR="00746748">
        <w:rPr>
          <w:rFonts w:cs="Times New Roman"/>
          <w:bCs/>
        </w:rPr>
        <w:t xml:space="preserve"> </w:t>
      </w:r>
      <w:r w:rsidR="00E425DE">
        <w:rPr>
          <w:rFonts w:cs="Times New Roman"/>
          <w:bCs/>
        </w:rPr>
        <w:t xml:space="preserve">the </w:t>
      </w:r>
      <w:r w:rsidR="00E425DE" w:rsidRPr="00EE2FD4">
        <w:rPr>
          <w:rFonts w:cs="Times New Roman"/>
          <w:bCs/>
        </w:rPr>
        <w:t>career</w:t>
      </w:r>
      <w:r w:rsidRPr="00EE2FD4">
        <w:rPr>
          <w:rFonts w:cs="Times New Roman"/>
          <w:bCs/>
        </w:rPr>
        <w:t xml:space="preserve"> cente</w:t>
      </w:r>
      <w:r w:rsidR="00746748">
        <w:rPr>
          <w:rFonts w:cs="Times New Roman"/>
          <w:bCs/>
        </w:rPr>
        <w:t>r system</w:t>
      </w:r>
      <w:r w:rsidRPr="00EE2FD4">
        <w:rPr>
          <w:rFonts w:cs="Times New Roman"/>
          <w:bCs/>
        </w:rPr>
        <w:t xml:space="preserve"> with TABE testing for WIOA programs and sk</w:t>
      </w:r>
      <w:r w:rsidR="009458C0">
        <w:rPr>
          <w:rFonts w:cs="Times New Roman"/>
          <w:bCs/>
        </w:rPr>
        <w:t xml:space="preserve">illing up clients for a viable </w:t>
      </w:r>
      <w:r w:rsidRPr="00EE2FD4">
        <w:rPr>
          <w:rFonts w:cs="Times New Roman"/>
          <w:bCs/>
        </w:rPr>
        <w:t xml:space="preserve">and strong workforce. </w:t>
      </w:r>
      <w:r w:rsidR="00E425DE">
        <w:rPr>
          <w:rFonts w:cs="Times New Roman"/>
          <w:bCs/>
        </w:rPr>
        <w:t xml:space="preserve"> </w:t>
      </w:r>
      <w:r w:rsidRPr="00EE2FD4">
        <w:rPr>
          <w:rFonts w:cs="Times New Roman"/>
          <w:bCs/>
        </w:rPr>
        <w:t>For accessibility purposes, classes specific to workforce development are held on</w:t>
      </w:r>
      <w:r w:rsidR="009458C0">
        <w:rPr>
          <w:rFonts w:cs="Times New Roman"/>
          <w:bCs/>
        </w:rPr>
        <w:t>-</w:t>
      </w:r>
      <w:r w:rsidRPr="00EE2FD4">
        <w:rPr>
          <w:rFonts w:cs="Times New Roman"/>
          <w:bCs/>
        </w:rPr>
        <w:t>site at the comprehensive career centers. GED, Ready to Work (Alabama Adult Education’s Employability Skill Development Program), and Digital Literacy are regular classes held on-site at our Comprehensive Career Centers. Reverse referrals for these classes are made by our smaller affiliate career centers to our local adult education programs. On-site TABE testing is also provided to all our career center partners to determine WIOA eligibility for career center clients who want to enter workforce training programs. Career Pathway development, Short Certificate Training (</w:t>
      </w:r>
      <w:r w:rsidRPr="00CD2D01">
        <w:rPr>
          <w:rFonts w:cs="Times New Roman"/>
          <w:bCs/>
          <w:i/>
          <w:iCs/>
        </w:rPr>
        <w:t>such as</w:t>
      </w:r>
      <w:r w:rsidRPr="00EE2FD4">
        <w:rPr>
          <w:rFonts w:cs="Times New Roman"/>
          <w:bCs/>
        </w:rPr>
        <w:t xml:space="preserve"> </w:t>
      </w:r>
      <w:r w:rsidRPr="00CD2D01">
        <w:rPr>
          <w:rFonts w:cs="Times New Roman"/>
          <w:bCs/>
          <w:i/>
          <w:iCs/>
        </w:rPr>
        <w:t xml:space="preserve">MSSC, NCCER CORE, OSHA 10, and </w:t>
      </w:r>
      <w:proofErr w:type="spellStart"/>
      <w:r w:rsidRPr="00CD2D01">
        <w:rPr>
          <w:rFonts w:cs="Times New Roman"/>
          <w:bCs/>
          <w:i/>
          <w:iCs/>
        </w:rPr>
        <w:t>ServSafe</w:t>
      </w:r>
      <w:proofErr w:type="spellEnd"/>
      <w:r w:rsidRPr="00EE2FD4">
        <w:rPr>
          <w:rFonts w:cs="Times New Roman"/>
          <w:bCs/>
        </w:rPr>
        <w:t xml:space="preserve">) and </w:t>
      </w:r>
      <w:r w:rsidR="00746748">
        <w:rPr>
          <w:rFonts w:cs="Times New Roman"/>
          <w:bCs/>
        </w:rPr>
        <w:t>t</w:t>
      </w:r>
      <w:r w:rsidRPr="00EE2FD4">
        <w:rPr>
          <w:rFonts w:cs="Times New Roman"/>
          <w:bCs/>
        </w:rPr>
        <w:t xml:space="preserve">ransitional </w:t>
      </w:r>
      <w:r w:rsidR="00746748">
        <w:rPr>
          <w:rFonts w:cs="Times New Roman"/>
          <w:bCs/>
        </w:rPr>
        <w:t>c</w:t>
      </w:r>
      <w:r w:rsidRPr="00EE2FD4">
        <w:rPr>
          <w:rFonts w:cs="Times New Roman"/>
          <w:bCs/>
        </w:rPr>
        <w:t xml:space="preserve">ounseling are also collaborative services provided through adult education for </w:t>
      </w:r>
      <w:r w:rsidR="00746748">
        <w:rPr>
          <w:rFonts w:cs="Times New Roman"/>
          <w:bCs/>
        </w:rPr>
        <w:t xml:space="preserve">the </w:t>
      </w:r>
      <w:r w:rsidRPr="00EE2FD4">
        <w:rPr>
          <w:rFonts w:cs="Times New Roman"/>
          <w:bCs/>
        </w:rPr>
        <w:t xml:space="preserve">Career Center </w:t>
      </w:r>
      <w:r w:rsidR="00746748">
        <w:rPr>
          <w:rFonts w:cs="Times New Roman"/>
          <w:bCs/>
        </w:rPr>
        <w:t>p</w:t>
      </w:r>
      <w:r w:rsidRPr="00EE2FD4">
        <w:rPr>
          <w:rFonts w:cs="Times New Roman"/>
          <w:bCs/>
        </w:rPr>
        <w:t xml:space="preserve">artners. </w:t>
      </w:r>
    </w:p>
    <w:p w14:paraId="5893743A" w14:textId="77777777" w:rsidR="00611D48" w:rsidRPr="00EE2FD4" w:rsidRDefault="00611D48" w:rsidP="00611D48">
      <w:pPr>
        <w:autoSpaceDE w:val="0"/>
        <w:autoSpaceDN w:val="0"/>
        <w:adjustRightInd w:val="0"/>
        <w:jc w:val="both"/>
        <w:rPr>
          <w:rFonts w:cs="Times New Roman"/>
          <w:bCs/>
        </w:rPr>
      </w:pPr>
    </w:p>
    <w:p w14:paraId="49B37885" w14:textId="162ED385" w:rsidR="00611D48" w:rsidRPr="00247C36" w:rsidRDefault="00611D48" w:rsidP="00247C36">
      <w:pPr>
        <w:autoSpaceDE w:val="0"/>
        <w:autoSpaceDN w:val="0"/>
        <w:adjustRightInd w:val="0"/>
        <w:jc w:val="both"/>
        <w:rPr>
          <w:rFonts w:cs="Times New Roman"/>
          <w:bCs/>
        </w:rPr>
      </w:pPr>
      <w:r w:rsidRPr="00EE2FD4">
        <w:rPr>
          <w:rFonts w:cs="Times New Roman"/>
          <w:bCs/>
        </w:rPr>
        <w:t>Infrastructure costs are directly charged to each partner based on square footage for those that are co-located.  The state adult education office provides the financial support for each local program’s fair and equitable share of the infrastructure costs based on benefit received and as determined through the funding formula created by the Alabama Department of Labor.  An example of infrastructure cost is attached to this report</w:t>
      </w:r>
      <w:r w:rsidR="000110B1">
        <w:rPr>
          <w:rFonts w:cs="Times New Roman"/>
          <w:bCs/>
        </w:rPr>
        <w:t xml:space="preserve"> (Attachment A)</w:t>
      </w:r>
      <w:r w:rsidRPr="00EE2FD4">
        <w:rPr>
          <w:rFonts w:cs="Times New Roman"/>
          <w:bCs/>
        </w:rPr>
        <w:t xml:space="preserve">.  In this example, </w:t>
      </w:r>
      <w:r w:rsidR="00677127">
        <w:rPr>
          <w:rFonts w:cs="Times New Roman"/>
          <w:bCs/>
        </w:rPr>
        <w:t>the local adult education provider</w:t>
      </w:r>
      <w:r w:rsidR="00CD2D01">
        <w:rPr>
          <w:rFonts w:cs="Times New Roman"/>
          <w:bCs/>
        </w:rPr>
        <w:t xml:space="preserve"> is responsible for </w:t>
      </w:r>
      <w:r w:rsidRPr="00EE2FD4">
        <w:rPr>
          <w:rFonts w:cs="Times New Roman"/>
          <w:bCs/>
        </w:rPr>
        <w:t xml:space="preserve">8.46% of the lease, communications, utilities and supplies </w:t>
      </w:r>
      <w:r w:rsidR="00CD2D01">
        <w:rPr>
          <w:rFonts w:cs="Times New Roman"/>
          <w:bCs/>
        </w:rPr>
        <w:t xml:space="preserve">which is adult education’s fair share of </w:t>
      </w:r>
      <w:r w:rsidR="00677127">
        <w:rPr>
          <w:rFonts w:cs="Times New Roman"/>
          <w:bCs/>
        </w:rPr>
        <w:t xml:space="preserve">the </w:t>
      </w:r>
      <w:r w:rsidRPr="00EE2FD4">
        <w:rPr>
          <w:rFonts w:cs="Times New Roman"/>
          <w:bCs/>
        </w:rPr>
        <w:t>Alabaster Career Center</w:t>
      </w:r>
      <w:r w:rsidR="00CD2D01">
        <w:rPr>
          <w:rFonts w:cs="Times New Roman"/>
          <w:bCs/>
        </w:rPr>
        <w:t xml:space="preserve"> costs</w:t>
      </w:r>
      <w:r w:rsidRPr="00EE2FD4">
        <w:rPr>
          <w:rFonts w:cs="Times New Roman"/>
          <w:bCs/>
        </w:rPr>
        <w:t xml:space="preserve">.  This type of equitable sharing can be found with each of </w:t>
      </w:r>
      <w:r w:rsidR="00677127">
        <w:rPr>
          <w:rFonts w:cs="Times New Roman"/>
          <w:bCs/>
        </w:rPr>
        <w:t>the</w:t>
      </w:r>
      <w:r w:rsidRPr="00EE2FD4">
        <w:rPr>
          <w:rFonts w:cs="Times New Roman"/>
          <w:bCs/>
        </w:rPr>
        <w:t xml:space="preserve"> </w:t>
      </w:r>
      <w:r w:rsidR="00677127">
        <w:rPr>
          <w:rFonts w:cs="Times New Roman"/>
          <w:bCs/>
        </w:rPr>
        <w:t>C</w:t>
      </w:r>
      <w:r w:rsidRPr="00EE2FD4">
        <w:rPr>
          <w:rFonts w:cs="Times New Roman"/>
          <w:bCs/>
        </w:rPr>
        <w:t xml:space="preserve">areer </w:t>
      </w:r>
      <w:r w:rsidR="00677127">
        <w:rPr>
          <w:rFonts w:cs="Times New Roman"/>
          <w:bCs/>
        </w:rPr>
        <w:t>C</w:t>
      </w:r>
      <w:r w:rsidRPr="00EE2FD4">
        <w:rPr>
          <w:rFonts w:cs="Times New Roman"/>
          <w:bCs/>
        </w:rPr>
        <w:t xml:space="preserve">enter </w:t>
      </w:r>
      <w:r w:rsidR="00247C36">
        <w:rPr>
          <w:rFonts w:cs="Times New Roman"/>
          <w:bCs/>
        </w:rPr>
        <w:t>locations where adult education has a presence</w:t>
      </w:r>
      <w:r w:rsidRPr="00EE2FD4">
        <w:rPr>
          <w:rFonts w:cs="Times New Roman"/>
          <w:bCs/>
        </w:rPr>
        <w:t xml:space="preserve">. </w:t>
      </w:r>
      <w:r w:rsidR="00677127">
        <w:rPr>
          <w:rFonts w:cs="Times New Roman"/>
          <w:bCs/>
        </w:rPr>
        <w:t xml:space="preserve"> </w:t>
      </w:r>
      <w:r w:rsidRPr="00EE2FD4">
        <w:rPr>
          <w:rFonts w:cs="Times New Roman"/>
          <w:bCs/>
        </w:rPr>
        <w:t>Alabama Adult Education is a strong supporter</w:t>
      </w:r>
      <w:r w:rsidR="000110B1">
        <w:rPr>
          <w:rFonts w:cs="Times New Roman"/>
          <w:bCs/>
        </w:rPr>
        <w:t xml:space="preserve"> and integral part</w:t>
      </w:r>
      <w:r w:rsidRPr="00EE2FD4">
        <w:rPr>
          <w:rFonts w:cs="Times New Roman"/>
          <w:bCs/>
        </w:rPr>
        <w:t xml:space="preserve"> of the Career Center System.</w:t>
      </w:r>
      <w:r>
        <w:rPr>
          <w:rFonts w:cs="Times New Roman"/>
          <w:bCs/>
        </w:rPr>
        <w:t xml:space="preserve"> </w:t>
      </w:r>
    </w:p>
    <w:p w14:paraId="2AB89DE4" w14:textId="77777777" w:rsidR="00A74870" w:rsidRDefault="00A74870" w:rsidP="00A74870">
      <w:pPr>
        <w:rPr>
          <w:rFonts w:ascii="Times New Roman" w:eastAsia="Times New Roman" w:hAnsi="Times New Roman" w:cs="Times New Roman"/>
          <w:sz w:val="24"/>
          <w:szCs w:val="24"/>
        </w:rPr>
      </w:pPr>
    </w:p>
    <w:p w14:paraId="34CDDE40" w14:textId="77777777" w:rsidR="00E231B9" w:rsidRPr="004241AD" w:rsidRDefault="00E231B9" w:rsidP="00B55B73">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jc w:val="both"/>
        <w:rPr>
          <w:rFonts w:cs="Times New Roman"/>
          <w:b/>
        </w:rPr>
      </w:pPr>
      <w:r w:rsidRPr="004241AD">
        <w:rPr>
          <w:rFonts w:cs="Times New Roman"/>
          <w:b/>
          <w:bCs/>
        </w:rPr>
        <w:t xml:space="preserve">Integrated English Literacy and Civics Education (IELCE) Program </w:t>
      </w:r>
      <w:r w:rsidRPr="004241AD">
        <w:rPr>
          <w:rFonts w:cs="Times New Roman"/>
          <w:b/>
        </w:rPr>
        <w:t xml:space="preserve">(AEFLA Section 243) </w:t>
      </w:r>
    </w:p>
    <w:p w14:paraId="58D415BD" w14:textId="77777777" w:rsidR="00E231B9" w:rsidRPr="00CA6F87" w:rsidRDefault="00E231B9" w:rsidP="00B55B73">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jc w:val="both"/>
        <w:rPr>
          <w:rFonts w:cs="Times New Roman"/>
          <w:i/>
        </w:rPr>
      </w:pPr>
      <w:r w:rsidRPr="00CA6F87">
        <w:rPr>
          <w:rFonts w:cs="Times New Roman"/>
          <w:i/>
        </w:rPr>
        <w:t>Describe how the state is using funds under Section 243 to support the following activities under the IELCE program:</w:t>
      </w:r>
    </w:p>
    <w:p w14:paraId="38B1D117" w14:textId="77777777" w:rsidR="00611D48" w:rsidRDefault="00611D48" w:rsidP="00051E7D">
      <w:pPr>
        <w:pStyle w:val="BodyText"/>
        <w:tabs>
          <w:tab w:val="left" w:pos="821"/>
        </w:tabs>
        <w:ind w:left="0" w:right="240"/>
        <w:rPr>
          <w:highlight w:val="green"/>
        </w:rPr>
      </w:pPr>
    </w:p>
    <w:p w14:paraId="5F9BFE38" w14:textId="77777777" w:rsidR="00B31D3F" w:rsidRPr="00B31D3F" w:rsidRDefault="00B31D3F" w:rsidP="00BA4246">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cs="Times New Roman"/>
          <w:i/>
        </w:rPr>
      </w:pPr>
      <w:r w:rsidRPr="00B31D3F">
        <w:rPr>
          <w:rFonts w:cs="Times New Roman"/>
          <w:i/>
        </w:rPr>
        <w:t>Describe when your State held a competition [the latest competition] for IELCE program funds and the number of grants awarded by your State to support IELCE programs.</w:t>
      </w:r>
    </w:p>
    <w:p w14:paraId="4D5CBD8C" w14:textId="77777777" w:rsidR="00B31D3F" w:rsidRDefault="00B31D3F" w:rsidP="00BA4246"/>
    <w:p w14:paraId="4069CF16" w14:textId="249F5E68" w:rsidR="002248F3" w:rsidRPr="00EE2FD4" w:rsidRDefault="002248F3" w:rsidP="002C54A2">
      <w:pPr>
        <w:jc w:val="both"/>
      </w:pPr>
      <w:r w:rsidRPr="00EE2FD4">
        <w:t xml:space="preserve">Alabama held a multi-year competition for IELCE funding in </w:t>
      </w:r>
      <w:r w:rsidR="00AE4F79">
        <w:t xml:space="preserve">early </w:t>
      </w:r>
      <w:r w:rsidRPr="00EE2FD4">
        <w:t>2021 for PY</w:t>
      </w:r>
      <w:r w:rsidR="00B70922">
        <w:t>20</w:t>
      </w:r>
      <w:r w:rsidRPr="00EE2FD4">
        <w:t xml:space="preserve">21-24.  </w:t>
      </w:r>
      <w:r w:rsidR="00AE4F79">
        <w:t xml:space="preserve">The IELCE Request for Funding Proposal (RFP) was released on February 24, 2021 and proposals were due on April 5, 2021. </w:t>
      </w:r>
      <w:r w:rsidRPr="00EE2FD4">
        <w:t xml:space="preserve">Announcements of the competition were </w:t>
      </w:r>
      <w:r w:rsidR="00EE2FD4" w:rsidRPr="00EE2FD4">
        <w:t>posted,</w:t>
      </w:r>
      <w:r w:rsidRPr="00EE2FD4">
        <w:t xml:space="preserve"> and a bidder’s webinar was held.  Questions from the field were received and responded to </w:t>
      </w:r>
      <w:r w:rsidR="00B70922">
        <w:t xml:space="preserve">during the </w:t>
      </w:r>
      <w:r w:rsidR="00AD390C">
        <w:t>bidder’s</w:t>
      </w:r>
      <w:r w:rsidR="00B70922">
        <w:t xml:space="preserve"> webinar </w:t>
      </w:r>
      <w:r w:rsidR="00AD390C">
        <w:t>and</w:t>
      </w:r>
      <w:r w:rsidR="00B70922">
        <w:t xml:space="preserve"> </w:t>
      </w:r>
      <w:r w:rsidR="00AD390C">
        <w:t xml:space="preserve">listed </w:t>
      </w:r>
      <w:r w:rsidRPr="00EE2FD4">
        <w:t xml:space="preserve">in </w:t>
      </w:r>
      <w:r w:rsidR="00B70922">
        <w:t xml:space="preserve">the </w:t>
      </w:r>
      <w:r w:rsidRPr="00EE2FD4">
        <w:t>Frequently Asked Questions</w:t>
      </w:r>
      <w:r w:rsidR="00B70922">
        <w:t xml:space="preserve"> (FAQ) document</w:t>
      </w:r>
      <w:r w:rsidRPr="00EE2FD4">
        <w:t xml:space="preserve"> which w</w:t>
      </w:r>
      <w:r w:rsidR="00B70922">
        <w:t>as</w:t>
      </w:r>
      <w:r w:rsidRPr="00EE2FD4">
        <w:t xml:space="preserve"> posted on the </w:t>
      </w:r>
      <w:r w:rsidR="00B70922">
        <w:t xml:space="preserve">Request for Funding (RFP) </w:t>
      </w:r>
      <w:r w:rsidRPr="00EE2FD4">
        <w:t>website</w:t>
      </w:r>
      <w:r w:rsidR="00AD390C">
        <w:t xml:space="preserve"> for all interested parties to see</w:t>
      </w:r>
      <w:r w:rsidRPr="00EE2FD4">
        <w:t xml:space="preserve">.  </w:t>
      </w:r>
      <w:r w:rsidR="008024B5">
        <w:t>Eight</w:t>
      </w:r>
      <w:r w:rsidRPr="00EE2FD4">
        <w:t xml:space="preserve"> IELCE proposals were received and reviewed.   A key component of the review was the demonstration of sufficient need for IELCE services in the community to warrant additional programming.  All </w:t>
      </w:r>
      <w:r w:rsidR="008024B5">
        <w:t>eight</w:t>
      </w:r>
      <w:r w:rsidRPr="00EE2FD4">
        <w:t xml:space="preserve"> applicants were selected for funding based on a demonstra</w:t>
      </w:r>
      <w:r w:rsidR="009458C0">
        <w:t xml:space="preserve">ted need in their service area </w:t>
      </w:r>
      <w:r w:rsidRPr="00EE2FD4">
        <w:t xml:space="preserve">and the ability to provide </w:t>
      </w:r>
      <w:r w:rsidR="000110B1">
        <w:t xml:space="preserve">IELCE </w:t>
      </w:r>
      <w:r w:rsidRPr="00EE2FD4">
        <w:t xml:space="preserve">instruction and services to English language learners.  </w:t>
      </w:r>
      <w:r w:rsidR="00AE4F79">
        <w:t>Notification</w:t>
      </w:r>
      <w:r w:rsidR="009458C0">
        <w:t>s</w:t>
      </w:r>
      <w:r w:rsidR="00AE4F79">
        <w:t xml:space="preserve"> of intent to contract were sent on May 21, 2021.  The total amount awarded for IELCE </w:t>
      </w:r>
      <w:r w:rsidR="001513C8">
        <w:t>is $291,737.</w:t>
      </w:r>
    </w:p>
    <w:p w14:paraId="74372E99" w14:textId="77777777" w:rsidR="000E7634" w:rsidRDefault="000E7634" w:rsidP="002248F3"/>
    <w:p w14:paraId="32744286" w14:textId="6DC666C0" w:rsidR="00B31D3F" w:rsidRPr="00B31D3F" w:rsidRDefault="00B31D3F" w:rsidP="00BA4246">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cs="Times New Roman"/>
          <w:i/>
        </w:rPr>
      </w:pPr>
      <w:r w:rsidRPr="00B31D3F">
        <w:rPr>
          <w:rFonts w:cs="Times New Roman"/>
          <w:i/>
        </w:rPr>
        <w:t xml:space="preserve">Describe your </w:t>
      </w:r>
      <w:proofErr w:type="gramStart"/>
      <w:r w:rsidR="00597A59">
        <w:rPr>
          <w:rFonts w:cs="Times New Roman"/>
          <w:i/>
        </w:rPr>
        <w:t>State</w:t>
      </w:r>
      <w:proofErr w:type="gramEnd"/>
      <w:r w:rsidRPr="00B31D3F">
        <w:rPr>
          <w:rFonts w:cs="Times New Roman"/>
          <w:i/>
        </w:rPr>
        <w:t xml:space="preserve"> efforts in meeting the requirement to provide IELCE services in combination with integrated education and training activities.</w:t>
      </w:r>
    </w:p>
    <w:p w14:paraId="1E6FD457" w14:textId="77777777" w:rsidR="0009287D" w:rsidRDefault="0009287D" w:rsidP="002C54A2">
      <w:pPr>
        <w:widowControl/>
        <w:spacing w:after="160" w:line="256" w:lineRule="auto"/>
        <w:jc w:val="both"/>
      </w:pPr>
    </w:p>
    <w:p w14:paraId="7C8DEE08" w14:textId="10F5801E" w:rsidR="00356D16" w:rsidRDefault="00B31D3F" w:rsidP="002C54A2">
      <w:pPr>
        <w:widowControl/>
        <w:spacing w:after="160" w:line="256" w:lineRule="auto"/>
        <w:jc w:val="both"/>
        <w:rPr>
          <w:rFonts w:cstheme="minorHAnsi"/>
          <w:spacing w:val="-1"/>
        </w:rPr>
      </w:pPr>
      <w:r w:rsidRPr="00EE2FD4">
        <w:t>To</w:t>
      </w:r>
      <w:r w:rsidR="000E7634" w:rsidRPr="00EE2FD4">
        <w:t xml:space="preserve"> meet the requirement of providing IELCE services in combination with integrated education and training, the State team has provided training to the programs regarding the requirements, as well as access to resources and toolkits available through LINCS and other sources.</w:t>
      </w:r>
      <w:r w:rsidR="00356D16">
        <w:t xml:space="preserve"> </w:t>
      </w:r>
      <w:r w:rsidR="00356D16" w:rsidRPr="00B31D3F">
        <w:rPr>
          <w:rFonts w:cstheme="minorHAnsi"/>
          <w:spacing w:val="-1"/>
        </w:rPr>
        <w:t xml:space="preserve">Eligible providers have designed programs that deliver </w:t>
      </w:r>
      <w:r w:rsidR="00693CDC">
        <w:rPr>
          <w:rFonts w:cstheme="minorHAnsi"/>
          <w:spacing w:val="-1"/>
        </w:rPr>
        <w:t xml:space="preserve">high quality instructional </w:t>
      </w:r>
      <w:r w:rsidR="00356D16" w:rsidRPr="00B31D3F">
        <w:rPr>
          <w:rFonts w:cstheme="minorHAnsi"/>
          <w:spacing w:val="-1"/>
        </w:rPr>
        <w:t>activities</w:t>
      </w:r>
      <w:r w:rsidR="009458C0">
        <w:rPr>
          <w:rFonts w:cstheme="minorHAnsi"/>
          <w:spacing w:val="-1"/>
        </w:rPr>
        <w:t>,</w:t>
      </w:r>
      <w:r w:rsidR="00356D16" w:rsidRPr="00B31D3F">
        <w:rPr>
          <w:rFonts w:cstheme="minorHAnsi"/>
          <w:spacing w:val="-1"/>
        </w:rPr>
        <w:t xml:space="preserve"> </w:t>
      </w:r>
      <w:r w:rsidR="00693CDC">
        <w:rPr>
          <w:rFonts w:cstheme="minorHAnsi"/>
          <w:spacing w:val="-1"/>
        </w:rPr>
        <w:t>such as</w:t>
      </w:r>
      <w:r w:rsidR="00356D16" w:rsidRPr="00B31D3F">
        <w:rPr>
          <w:rFonts w:cstheme="minorHAnsi"/>
          <w:spacing w:val="-1"/>
        </w:rPr>
        <w:t xml:space="preserve"> the integration of literacy and English language instruction with occupational skill training, </w:t>
      </w:r>
      <w:r w:rsidR="00693CDC">
        <w:rPr>
          <w:rFonts w:cstheme="minorHAnsi"/>
          <w:spacing w:val="-1"/>
        </w:rPr>
        <w:t>which lead to employment</w:t>
      </w:r>
      <w:r w:rsidR="00356D16" w:rsidRPr="00B31D3F">
        <w:rPr>
          <w:rFonts w:cstheme="minorHAnsi"/>
          <w:spacing w:val="-1"/>
        </w:rPr>
        <w:t xml:space="preserve">.  </w:t>
      </w:r>
      <w:r w:rsidR="00693CDC">
        <w:rPr>
          <w:rFonts w:cstheme="minorHAnsi"/>
          <w:spacing w:val="-1"/>
        </w:rPr>
        <w:t xml:space="preserve">Local program </w:t>
      </w:r>
      <w:r w:rsidR="0009287D">
        <w:rPr>
          <w:rFonts w:cstheme="minorHAnsi"/>
          <w:spacing w:val="-1"/>
        </w:rPr>
        <w:t>a</w:t>
      </w:r>
      <w:r w:rsidR="0009287D" w:rsidRPr="00B31D3F">
        <w:rPr>
          <w:rFonts w:cstheme="minorHAnsi"/>
          <w:spacing w:val="-1"/>
        </w:rPr>
        <w:t>ctivities have</w:t>
      </w:r>
      <w:r w:rsidR="00356D16" w:rsidRPr="00B31D3F">
        <w:rPr>
          <w:rFonts w:cstheme="minorHAnsi"/>
          <w:spacing w:val="-1"/>
        </w:rPr>
        <w:t xml:space="preserve"> reflected the local, regional</w:t>
      </w:r>
      <w:r w:rsidR="006D7788">
        <w:rPr>
          <w:rFonts w:cstheme="minorHAnsi"/>
          <w:spacing w:val="-1"/>
        </w:rPr>
        <w:t>, and state specific workforce sector strategies</w:t>
      </w:r>
      <w:r w:rsidR="00356D16" w:rsidRPr="00B31D3F">
        <w:rPr>
          <w:rFonts w:cstheme="minorHAnsi"/>
          <w:spacing w:val="-1"/>
        </w:rPr>
        <w:t>.</w:t>
      </w:r>
    </w:p>
    <w:p w14:paraId="2DE14932" w14:textId="3BE51600" w:rsidR="0024240A" w:rsidRPr="00EE2FD4" w:rsidRDefault="006D7788" w:rsidP="002C54A2">
      <w:pPr>
        <w:jc w:val="both"/>
      </w:pPr>
      <w:r>
        <w:t xml:space="preserve">Local program </w:t>
      </w:r>
      <w:r w:rsidR="00693CDC" w:rsidRPr="00EE2FD4">
        <w:t>providers us</w:t>
      </w:r>
      <w:r>
        <w:t xml:space="preserve">e </w:t>
      </w:r>
      <w:r w:rsidR="00693CDC" w:rsidRPr="00EE2FD4">
        <w:t>the regional labor market information</w:t>
      </w:r>
      <w:r>
        <w:t xml:space="preserve"> and other tools such as EMSI</w:t>
      </w:r>
      <w:r w:rsidR="006E4455">
        <w:t xml:space="preserve"> (</w:t>
      </w:r>
      <w:r w:rsidR="006E4455" w:rsidRPr="006E4455">
        <w:rPr>
          <w:i/>
          <w:iCs/>
        </w:rPr>
        <w:t xml:space="preserve">national, state, local labor market and </w:t>
      </w:r>
      <w:r w:rsidR="00FF7981">
        <w:rPr>
          <w:i/>
          <w:iCs/>
        </w:rPr>
        <w:t>community</w:t>
      </w:r>
      <w:r w:rsidR="006E4455" w:rsidRPr="006E4455">
        <w:rPr>
          <w:i/>
          <w:iCs/>
        </w:rPr>
        <w:t xml:space="preserve"> </w:t>
      </w:r>
      <w:r w:rsidR="00FF7981">
        <w:rPr>
          <w:i/>
          <w:iCs/>
        </w:rPr>
        <w:t xml:space="preserve">data </w:t>
      </w:r>
      <w:r w:rsidR="006E4455" w:rsidRPr="006E4455">
        <w:rPr>
          <w:i/>
          <w:iCs/>
        </w:rPr>
        <w:t>assessment tool</w:t>
      </w:r>
      <w:r w:rsidR="006E4455">
        <w:t>)</w:t>
      </w:r>
      <w:r w:rsidR="00693CDC" w:rsidRPr="00EE2FD4">
        <w:t xml:space="preserve"> to help place English Language Learners in unsubsidized employment for in-demand industries and occupations that lead to economic self-sufficiency.  </w:t>
      </w:r>
      <w:r>
        <w:t xml:space="preserve">The Alabama Community College System (ACCS) has a statewide contract with EMSI which is used by adult education practitioners </w:t>
      </w:r>
      <w:r w:rsidR="00516DB0">
        <w:t>to augment</w:t>
      </w:r>
      <w:r>
        <w:t xml:space="preserve"> </w:t>
      </w:r>
      <w:r w:rsidR="00516DB0">
        <w:t xml:space="preserve">program </w:t>
      </w:r>
      <w:r>
        <w:t xml:space="preserve">design and career navigation.  </w:t>
      </w:r>
      <w:r w:rsidR="00693CDC" w:rsidRPr="00EE2FD4">
        <w:t xml:space="preserve">The </w:t>
      </w:r>
      <w:r>
        <w:t xml:space="preserve">integration of language and workforce </w:t>
      </w:r>
      <w:r w:rsidR="00693CDC" w:rsidRPr="00EE2FD4">
        <w:t>skills enables the E</w:t>
      </w:r>
      <w:r>
        <w:t xml:space="preserve">nglish </w:t>
      </w:r>
      <w:r w:rsidR="00693CDC" w:rsidRPr="00EE2FD4">
        <w:t>L</w:t>
      </w:r>
      <w:r>
        <w:t xml:space="preserve">anguage </w:t>
      </w:r>
      <w:r w:rsidR="00693CDC" w:rsidRPr="00EE2FD4">
        <w:t>L</w:t>
      </w:r>
      <w:r>
        <w:t>earner</w:t>
      </w:r>
      <w:r w:rsidR="00693CDC" w:rsidRPr="00EE2FD4">
        <w:t>s to achieve competency in the English language and acquire the skills</w:t>
      </w:r>
      <w:r w:rsidR="00516DB0">
        <w:t xml:space="preserve"> </w:t>
      </w:r>
      <w:r w:rsidR="00693CDC" w:rsidRPr="00EE2FD4">
        <w:t>to function effectively as parents, workers, and citizens in the United States.</w:t>
      </w:r>
      <w:r w:rsidR="00693CDC">
        <w:t xml:space="preserve">  </w:t>
      </w:r>
    </w:p>
    <w:p w14:paraId="7072BC27" w14:textId="4BE50B64" w:rsidR="002248F3" w:rsidRPr="00EE2FD4" w:rsidRDefault="002248F3" w:rsidP="002248F3">
      <w:pPr>
        <w:pStyle w:val="BodyText"/>
        <w:tabs>
          <w:tab w:val="left" w:pos="821"/>
        </w:tabs>
        <w:ind w:right="134"/>
      </w:pPr>
    </w:p>
    <w:p w14:paraId="6921D945" w14:textId="6BBBAD56" w:rsidR="0009287D" w:rsidRPr="00245D16" w:rsidRDefault="00BA4246" w:rsidP="00245D16">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6" w:lineRule="auto"/>
        <w:rPr>
          <w:rFonts w:cs="Times New Roman"/>
          <w:i/>
        </w:rPr>
      </w:pPr>
      <w:r w:rsidRPr="00BA4246">
        <w:rPr>
          <w:rFonts w:cs="Times New Roman"/>
          <w:i/>
        </w:rPr>
        <w:t>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w:t>
      </w:r>
    </w:p>
    <w:p w14:paraId="08B3023C" w14:textId="52082ED3" w:rsidR="00245D16" w:rsidRDefault="0000076B" w:rsidP="00E73989">
      <w:pPr>
        <w:jc w:val="both"/>
      </w:pPr>
      <w:r w:rsidRPr="00EE2FD4">
        <w:t>In PY2020-2021, there were 1,690 IELCE participants statewide.  I</w:t>
      </w:r>
      <w:r w:rsidR="0078613B">
        <w:t>ntegrated Education and Training (I</w:t>
      </w:r>
      <w:r w:rsidRPr="00EE2FD4">
        <w:t>ET</w:t>
      </w:r>
      <w:r w:rsidR="0078613B">
        <w:t>)</w:t>
      </w:r>
      <w:r w:rsidRPr="00EE2FD4">
        <w:t xml:space="preserve"> programs in PY2020-2021 were offered in occupational clusters including </w:t>
      </w:r>
      <w:r w:rsidRPr="00755B49">
        <w:rPr>
          <w:i/>
          <w:iCs/>
        </w:rPr>
        <w:t xml:space="preserve">manufacturing, </w:t>
      </w:r>
      <w:r w:rsidR="00755B49">
        <w:rPr>
          <w:i/>
          <w:iCs/>
        </w:rPr>
        <w:t xml:space="preserve">healthcare, construction, information </w:t>
      </w:r>
      <w:r w:rsidRPr="00755B49">
        <w:rPr>
          <w:i/>
          <w:iCs/>
        </w:rPr>
        <w:t>technology, transportation</w:t>
      </w:r>
      <w:r w:rsidR="00755B49">
        <w:rPr>
          <w:i/>
          <w:iCs/>
        </w:rPr>
        <w:t>/logistics</w:t>
      </w:r>
      <w:r w:rsidRPr="00755B49">
        <w:rPr>
          <w:i/>
          <w:iCs/>
        </w:rPr>
        <w:t>,</w:t>
      </w:r>
      <w:r w:rsidR="00755B49">
        <w:rPr>
          <w:i/>
          <w:iCs/>
        </w:rPr>
        <w:t xml:space="preserve"> and</w:t>
      </w:r>
      <w:r w:rsidRPr="00755B49">
        <w:rPr>
          <w:i/>
          <w:iCs/>
        </w:rPr>
        <w:t xml:space="preserve"> hospitality</w:t>
      </w:r>
      <w:r w:rsidR="00755B49">
        <w:t>/</w:t>
      </w:r>
      <w:r w:rsidRPr="00755B49">
        <w:rPr>
          <w:i/>
          <w:iCs/>
        </w:rPr>
        <w:t>customer service</w:t>
      </w:r>
      <w:r w:rsidRPr="00EE2FD4">
        <w:t xml:space="preserve">. </w:t>
      </w:r>
      <w:r>
        <w:t>Some examples of c</w:t>
      </w:r>
      <w:r w:rsidRPr="00EE2FD4">
        <w:t>redentials earned includ</w:t>
      </w:r>
      <w:r>
        <w:t>e</w:t>
      </w:r>
      <w:r w:rsidRPr="00EE2FD4">
        <w:t xml:space="preserve"> Certified Nursing Assistant, FDIC Money Smart, Forklift Operator, N</w:t>
      </w:r>
      <w:r>
        <w:t>ational Council for Construction Education and Research (N</w:t>
      </w:r>
      <w:r w:rsidRPr="00EE2FD4">
        <w:t>CCER</w:t>
      </w:r>
      <w:r>
        <w:t>)</w:t>
      </w:r>
      <w:r w:rsidRPr="00EE2FD4">
        <w:t xml:space="preserve"> Core, and Commercial Driver’s License</w:t>
      </w:r>
      <w:r>
        <w:t xml:space="preserve"> (CDL) class A,</w:t>
      </w:r>
      <w:r w:rsidR="009458C0">
        <w:t xml:space="preserve"> </w:t>
      </w:r>
      <w:r>
        <w:t>B, and C</w:t>
      </w:r>
      <w:r w:rsidRPr="00EE2FD4">
        <w:t xml:space="preserve">.  </w:t>
      </w:r>
    </w:p>
    <w:p w14:paraId="74AD3438" w14:textId="77777777" w:rsidR="00E73989" w:rsidRDefault="00E73989" w:rsidP="00E73989">
      <w:pPr>
        <w:jc w:val="both"/>
      </w:pPr>
    </w:p>
    <w:p w14:paraId="15D704C4" w14:textId="0348535E" w:rsidR="009C1A65" w:rsidRPr="00BA4246" w:rsidRDefault="009C1A65" w:rsidP="002C54A2">
      <w:pPr>
        <w:widowControl/>
        <w:spacing w:after="160" w:line="256" w:lineRule="auto"/>
        <w:jc w:val="both"/>
        <w:rPr>
          <w:b/>
          <w:bCs/>
          <w:u w:val="single"/>
        </w:rPr>
      </w:pPr>
      <w:r w:rsidRPr="00EE2FD4">
        <w:t>Regarding how the State is progressing towards program goals of providing and placing IELCE participants in employment, leading to self-sufficiency as described in 243(c)(1), please see the data below:</w:t>
      </w:r>
    </w:p>
    <w:p w14:paraId="74DE9F67" w14:textId="77777777" w:rsidR="009C1A65" w:rsidRPr="00EE2FD4" w:rsidRDefault="009C1A65" w:rsidP="009C1A65">
      <w:pPr>
        <w:pStyle w:val="ListParagraph"/>
      </w:pPr>
    </w:p>
    <w:tbl>
      <w:tblPr>
        <w:tblStyle w:val="TableGrid"/>
        <w:tblW w:w="0" w:type="auto"/>
        <w:tblInd w:w="720" w:type="dxa"/>
        <w:tblLook w:val="04A0" w:firstRow="1" w:lastRow="0" w:firstColumn="1" w:lastColumn="0" w:noHBand="0" w:noVBand="1"/>
      </w:tblPr>
      <w:tblGrid>
        <w:gridCol w:w="4377"/>
        <w:gridCol w:w="4253"/>
      </w:tblGrid>
      <w:tr w:rsidR="009C1A65" w:rsidRPr="00EE2FD4" w14:paraId="61872FE9" w14:textId="77777777" w:rsidTr="009C1A65">
        <w:tc>
          <w:tcPr>
            <w:tcW w:w="4377" w:type="dxa"/>
            <w:tcBorders>
              <w:top w:val="single" w:sz="4" w:space="0" w:color="auto"/>
              <w:left w:val="single" w:sz="4" w:space="0" w:color="auto"/>
              <w:bottom w:val="single" w:sz="4" w:space="0" w:color="auto"/>
              <w:right w:val="single" w:sz="4" w:space="0" w:color="auto"/>
            </w:tcBorders>
            <w:hideMark/>
          </w:tcPr>
          <w:p w14:paraId="1B962835" w14:textId="77777777" w:rsidR="009C1A65" w:rsidRPr="00EE2FD4" w:rsidRDefault="009C1A65">
            <w:pPr>
              <w:pStyle w:val="ListParagraph"/>
              <w:ind w:left="0"/>
            </w:pPr>
            <w:r w:rsidRPr="00EE2FD4">
              <w:t>Employment 2</w:t>
            </w:r>
            <w:r w:rsidRPr="00EE2FD4">
              <w:rPr>
                <w:vertAlign w:val="superscript"/>
              </w:rPr>
              <w:t>nd</w:t>
            </w:r>
            <w:r w:rsidRPr="00EE2FD4">
              <w:t xml:space="preserve"> QTR after exit</w:t>
            </w:r>
          </w:p>
        </w:tc>
        <w:tc>
          <w:tcPr>
            <w:tcW w:w="4253" w:type="dxa"/>
            <w:tcBorders>
              <w:top w:val="single" w:sz="4" w:space="0" w:color="auto"/>
              <w:left w:val="single" w:sz="4" w:space="0" w:color="auto"/>
              <w:bottom w:val="single" w:sz="4" w:space="0" w:color="auto"/>
              <w:right w:val="single" w:sz="4" w:space="0" w:color="auto"/>
            </w:tcBorders>
            <w:hideMark/>
          </w:tcPr>
          <w:p w14:paraId="6A914168" w14:textId="77777777" w:rsidR="009C1A65" w:rsidRPr="00EE2FD4" w:rsidRDefault="009C1A65">
            <w:pPr>
              <w:pStyle w:val="ListParagraph"/>
              <w:ind w:left="0"/>
              <w:rPr>
                <w:b/>
                <w:bCs/>
              </w:rPr>
            </w:pPr>
            <w:r w:rsidRPr="00EE2FD4">
              <w:rPr>
                <w:b/>
                <w:bCs/>
              </w:rPr>
              <w:t>12.41%</w:t>
            </w:r>
          </w:p>
        </w:tc>
      </w:tr>
      <w:tr w:rsidR="009C1A65" w:rsidRPr="00EE2FD4" w14:paraId="2C214236" w14:textId="77777777" w:rsidTr="009C1A65">
        <w:tc>
          <w:tcPr>
            <w:tcW w:w="4377" w:type="dxa"/>
            <w:tcBorders>
              <w:top w:val="single" w:sz="4" w:space="0" w:color="auto"/>
              <w:left w:val="single" w:sz="4" w:space="0" w:color="auto"/>
              <w:bottom w:val="single" w:sz="4" w:space="0" w:color="auto"/>
              <w:right w:val="single" w:sz="4" w:space="0" w:color="auto"/>
            </w:tcBorders>
            <w:hideMark/>
          </w:tcPr>
          <w:p w14:paraId="1A45E486" w14:textId="77777777" w:rsidR="009C1A65" w:rsidRPr="00EE2FD4" w:rsidRDefault="009C1A65">
            <w:pPr>
              <w:pStyle w:val="ListParagraph"/>
              <w:ind w:left="0"/>
            </w:pPr>
            <w:r w:rsidRPr="00EE2FD4">
              <w:t>Employment 4</w:t>
            </w:r>
            <w:r w:rsidRPr="00EE2FD4">
              <w:rPr>
                <w:vertAlign w:val="superscript"/>
              </w:rPr>
              <w:t>th</w:t>
            </w:r>
            <w:r w:rsidRPr="00EE2FD4">
              <w:t xml:space="preserve"> QTR after exit</w:t>
            </w:r>
          </w:p>
        </w:tc>
        <w:tc>
          <w:tcPr>
            <w:tcW w:w="4253" w:type="dxa"/>
            <w:tcBorders>
              <w:top w:val="single" w:sz="4" w:space="0" w:color="auto"/>
              <w:left w:val="single" w:sz="4" w:space="0" w:color="auto"/>
              <w:bottom w:val="single" w:sz="4" w:space="0" w:color="auto"/>
              <w:right w:val="single" w:sz="4" w:space="0" w:color="auto"/>
            </w:tcBorders>
            <w:hideMark/>
          </w:tcPr>
          <w:p w14:paraId="065CAB38" w14:textId="77777777" w:rsidR="009C1A65" w:rsidRPr="00EE2FD4" w:rsidRDefault="009C1A65">
            <w:pPr>
              <w:pStyle w:val="ListParagraph"/>
              <w:ind w:left="0"/>
              <w:rPr>
                <w:b/>
                <w:bCs/>
              </w:rPr>
            </w:pPr>
            <w:r w:rsidRPr="00EE2FD4">
              <w:rPr>
                <w:b/>
                <w:bCs/>
              </w:rPr>
              <w:t>12.25%</w:t>
            </w:r>
          </w:p>
        </w:tc>
      </w:tr>
      <w:tr w:rsidR="009C1A65" w:rsidRPr="00EE2FD4" w14:paraId="67406E3A" w14:textId="77777777" w:rsidTr="009C1A65">
        <w:tc>
          <w:tcPr>
            <w:tcW w:w="4377" w:type="dxa"/>
            <w:tcBorders>
              <w:top w:val="single" w:sz="4" w:space="0" w:color="auto"/>
              <w:left w:val="single" w:sz="4" w:space="0" w:color="auto"/>
              <w:bottom w:val="single" w:sz="4" w:space="0" w:color="auto"/>
              <w:right w:val="single" w:sz="4" w:space="0" w:color="auto"/>
            </w:tcBorders>
            <w:hideMark/>
          </w:tcPr>
          <w:p w14:paraId="12F5D44E" w14:textId="77777777" w:rsidR="009C1A65" w:rsidRPr="00EE2FD4" w:rsidRDefault="009C1A65">
            <w:pPr>
              <w:pStyle w:val="ListParagraph"/>
              <w:ind w:left="0"/>
            </w:pPr>
            <w:r w:rsidRPr="00EE2FD4">
              <w:t>Attainment of postsecondary credential while enrolled or within one year of exit</w:t>
            </w:r>
          </w:p>
        </w:tc>
        <w:tc>
          <w:tcPr>
            <w:tcW w:w="4253" w:type="dxa"/>
            <w:tcBorders>
              <w:top w:val="single" w:sz="4" w:space="0" w:color="auto"/>
              <w:left w:val="single" w:sz="4" w:space="0" w:color="auto"/>
              <w:bottom w:val="single" w:sz="4" w:space="0" w:color="auto"/>
              <w:right w:val="single" w:sz="4" w:space="0" w:color="auto"/>
            </w:tcBorders>
          </w:tcPr>
          <w:p w14:paraId="7BDE8122" w14:textId="77777777" w:rsidR="009C1A65" w:rsidRPr="00EE2FD4" w:rsidRDefault="009C1A65">
            <w:pPr>
              <w:pStyle w:val="ListParagraph"/>
              <w:ind w:left="0"/>
              <w:rPr>
                <w:b/>
                <w:bCs/>
                <w:u w:val="single"/>
              </w:rPr>
            </w:pPr>
          </w:p>
          <w:p w14:paraId="220CFC86" w14:textId="77777777" w:rsidR="009C1A65" w:rsidRPr="00EE2FD4" w:rsidRDefault="009C1A65">
            <w:pPr>
              <w:pStyle w:val="ListParagraph"/>
              <w:ind w:left="0"/>
              <w:rPr>
                <w:b/>
                <w:bCs/>
              </w:rPr>
            </w:pPr>
            <w:r w:rsidRPr="00EE2FD4">
              <w:rPr>
                <w:b/>
                <w:bCs/>
              </w:rPr>
              <w:t>6.76%</w:t>
            </w:r>
          </w:p>
        </w:tc>
      </w:tr>
      <w:tr w:rsidR="009C1A65" w:rsidRPr="00EE2FD4" w14:paraId="54E326F1" w14:textId="77777777" w:rsidTr="009C1A65">
        <w:tc>
          <w:tcPr>
            <w:tcW w:w="4377" w:type="dxa"/>
            <w:tcBorders>
              <w:top w:val="single" w:sz="4" w:space="0" w:color="auto"/>
              <w:left w:val="single" w:sz="4" w:space="0" w:color="auto"/>
              <w:bottom w:val="single" w:sz="4" w:space="0" w:color="auto"/>
              <w:right w:val="single" w:sz="4" w:space="0" w:color="auto"/>
            </w:tcBorders>
            <w:hideMark/>
          </w:tcPr>
          <w:p w14:paraId="2DD1A733" w14:textId="77777777" w:rsidR="009C1A65" w:rsidRPr="00EE2FD4" w:rsidRDefault="009C1A65">
            <w:pPr>
              <w:pStyle w:val="ListParagraph"/>
              <w:ind w:left="0"/>
            </w:pPr>
            <w:r w:rsidRPr="00EE2FD4">
              <w:t>Measurable Skill Gain</w:t>
            </w:r>
          </w:p>
        </w:tc>
        <w:tc>
          <w:tcPr>
            <w:tcW w:w="4253" w:type="dxa"/>
            <w:tcBorders>
              <w:top w:val="single" w:sz="4" w:space="0" w:color="auto"/>
              <w:left w:val="single" w:sz="4" w:space="0" w:color="auto"/>
              <w:bottom w:val="single" w:sz="4" w:space="0" w:color="auto"/>
              <w:right w:val="single" w:sz="4" w:space="0" w:color="auto"/>
            </w:tcBorders>
            <w:hideMark/>
          </w:tcPr>
          <w:p w14:paraId="5F081A3B" w14:textId="77777777" w:rsidR="009C1A65" w:rsidRPr="00EE2FD4" w:rsidRDefault="009C1A65">
            <w:pPr>
              <w:pStyle w:val="ListParagraph"/>
              <w:ind w:left="0"/>
              <w:rPr>
                <w:b/>
                <w:bCs/>
              </w:rPr>
            </w:pPr>
            <w:r w:rsidRPr="00EE2FD4">
              <w:rPr>
                <w:b/>
                <w:bCs/>
              </w:rPr>
              <w:t>19.28%</w:t>
            </w:r>
          </w:p>
        </w:tc>
      </w:tr>
    </w:tbl>
    <w:p w14:paraId="2CF2C9B4" w14:textId="6BF1A762" w:rsidR="009C1A65" w:rsidRPr="00EE2FD4" w:rsidRDefault="009C1A65" w:rsidP="002248F3">
      <w:pPr>
        <w:pStyle w:val="BodyText"/>
        <w:tabs>
          <w:tab w:val="left" w:pos="821"/>
        </w:tabs>
        <w:ind w:right="134"/>
      </w:pPr>
    </w:p>
    <w:p w14:paraId="30AF4BD2" w14:textId="7C22C2FD" w:rsidR="00356D16" w:rsidRDefault="009458C0" w:rsidP="00DF0116">
      <w:pPr>
        <w:pStyle w:val="BodyText"/>
        <w:tabs>
          <w:tab w:val="left" w:pos="821"/>
        </w:tabs>
        <w:ind w:left="0" w:right="134"/>
        <w:jc w:val="both"/>
        <w:rPr>
          <w:rFonts w:asciiTheme="minorHAnsi" w:hAnsiTheme="minorHAnsi" w:cstheme="minorHAnsi"/>
          <w:sz w:val="22"/>
          <w:szCs w:val="22"/>
        </w:rPr>
      </w:pPr>
      <w:r>
        <w:rPr>
          <w:rFonts w:asciiTheme="minorHAnsi" w:hAnsiTheme="minorHAnsi" w:cstheme="minorHAnsi"/>
          <w:sz w:val="22"/>
          <w:szCs w:val="22"/>
        </w:rPr>
        <w:t xml:space="preserve">During PY 2020-2021, there was </w:t>
      </w:r>
      <w:r w:rsidR="00A122B7">
        <w:rPr>
          <w:rFonts w:asciiTheme="minorHAnsi" w:hAnsiTheme="minorHAnsi" w:cstheme="minorHAnsi"/>
          <w:sz w:val="22"/>
          <w:szCs w:val="22"/>
        </w:rPr>
        <w:t>a</w:t>
      </w:r>
      <w:r w:rsidR="00356D16" w:rsidRPr="00CE63FE">
        <w:rPr>
          <w:rFonts w:asciiTheme="minorHAnsi" w:hAnsiTheme="minorHAnsi" w:cstheme="minorHAnsi"/>
          <w:sz w:val="22"/>
          <w:szCs w:val="22"/>
        </w:rPr>
        <w:t xml:space="preserve">n increased emphasis on college and career readiness </w:t>
      </w:r>
      <w:r w:rsidR="0000076B">
        <w:rPr>
          <w:rFonts w:asciiTheme="minorHAnsi" w:hAnsiTheme="minorHAnsi" w:cstheme="minorHAnsi"/>
          <w:sz w:val="22"/>
          <w:szCs w:val="22"/>
        </w:rPr>
        <w:t>professional development</w:t>
      </w:r>
      <w:r w:rsidR="00A122B7">
        <w:rPr>
          <w:rFonts w:asciiTheme="minorHAnsi" w:hAnsiTheme="minorHAnsi" w:cstheme="minorHAnsi"/>
          <w:sz w:val="22"/>
          <w:szCs w:val="22"/>
        </w:rPr>
        <w:t xml:space="preserve"> for </w:t>
      </w:r>
      <w:r w:rsidR="00356D16" w:rsidRPr="00CE63FE">
        <w:rPr>
          <w:rFonts w:asciiTheme="minorHAnsi" w:hAnsiTheme="minorHAnsi" w:cstheme="minorHAnsi"/>
          <w:sz w:val="22"/>
          <w:szCs w:val="22"/>
        </w:rPr>
        <w:t>ELL</w:t>
      </w:r>
      <w:r w:rsidR="00A122B7">
        <w:rPr>
          <w:rFonts w:asciiTheme="minorHAnsi" w:hAnsiTheme="minorHAnsi" w:cstheme="minorHAnsi"/>
          <w:sz w:val="22"/>
          <w:szCs w:val="22"/>
        </w:rPr>
        <w:t>/IELCE instructors</w:t>
      </w:r>
      <w:r w:rsidR="00356D16" w:rsidRPr="00CE63FE">
        <w:rPr>
          <w:rFonts w:asciiTheme="minorHAnsi" w:hAnsiTheme="minorHAnsi" w:cstheme="minorHAnsi"/>
          <w:sz w:val="22"/>
          <w:szCs w:val="22"/>
        </w:rPr>
        <w:t xml:space="preserve">. </w:t>
      </w:r>
      <w:r w:rsidR="00B21A22">
        <w:rPr>
          <w:rFonts w:asciiTheme="minorHAnsi" w:hAnsiTheme="minorHAnsi" w:cstheme="minorHAnsi"/>
          <w:sz w:val="22"/>
          <w:szCs w:val="22"/>
        </w:rPr>
        <w:t xml:space="preserve">Virtual training and technical assistance focused on the why and the how of integrating English literacy civics education with </w:t>
      </w:r>
      <w:r w:rsidR="00356D16" w:rsidRPr="00CE63FE">
        <w:rPr>
          <w:rFonts w:asciiTheme="minorHAnsi" w:hAnsiTheme="minorHAnsi" w:cstheme="minorHAnsi"/>
          <w:sz w:val="22"/>
          <w:szCs w:val="22"/>
        </w:rPr>
        <w:t xml:space="preserve">Integrated Education and </w:t>
      </w:r>
      <w:r w:rsidR="00B21A22">
        <w:rPr>
          <w:rFonts w:asciiTheme="minorHAnsi" w:hAnsiTheme="minorHAnsi" w:cstheme="minorHAnsi"/>
          <w:sz w:val="22"/>
          <w:szCs w:val="22"/>
        </w:rPr>
        <w:t xml:space="preserve">skills </w:t>
      </w:r>
      <w:r w:rsidR="00356D16" w:rsidRPr="00CE63FE">
        <w:rPr>
          <w:rFonts w:asciiTheme="minorHAnsi" w:hAnsiTheme="minorHAnsi" w:cstheme="minorHAnsi"/>
          <w:sz w:val="22"/>
          <w:szCs w:val="22"/>
        </w:rPr>
        <w:t xml:space="preserve">Training (IET) </w:t>
      </w:r>
      <w:r w:rsidR="00DF0116">
        <w:rPr>
          <w:rFonts w:asciiTheme="minorHAnsi" w:hAnsiTheme="minorHAnsi" w:cstheme="minorHAnsi"/>
          <w:sz w:val="22"/>
          <w:szCs w:val="22"/>
        </w:rPr>
        <w:t xml:space="preserve">based on the demand occupations in alignment with the state workforce system goals as established by the Governor.  </w:t>
      </w:r>
      <w:r w:rsidR="00356D16" w:rsidRPr="00CE63FE">
        <w:rPr>
          <w:rFonts w:asciiTheme="minorHAnsi" w:hAnsiTheme="minorHAnsi" w:cstheme="minorHAnsi"/>
          <w:sz w:val="22"/>
          <w:szCs w:val="22"/>
        </w:rPr>
        <w:t xml:space="preserve"> </w:t>
      </w:r>
      <w:r w:rsidR="00B70D09">
        <w:rPr>
          <w:rFonts w:asciiTheme="minorHAnsi" w:hAnsiTheme="minorHAnsi" w:cstheme="minorHAnsi"/>
          <w:sz w:val="22"/>
          <w:szCs w:val="22"/>
        </w:rPr>
        <w:t>Alabama’s goal of producing 500,000 skilled workers by 2025 will incorporate all residents</w:t>
      </w:r>
      <w:r w:rsidR="00A122B7">
        <w:rPr>
          <w:rFonts w:asciiTheme="minorHAnsi" w:hAnsiTheme="minorHAnsi" w:cstheme="minorHAnsi"/>
          <w:sz w:val="22"/>
          <w:szCs w:val="22"/>
        </w:rPr>
        <w:t xml:space="preserve">, none </w:t>
      </w:r>
      <w:r w:rsidR="007D7BE7">
        <w:rPr>
          <w:rFonts w:asciiTheme="minorHAnsi" w:hAnsiTheme="minorHAnsi" w:cstheme="minorHAnsi"/>
          <w:sz w:val="22"/>
          <w:szCs w:val="22"/>
        </w:rPr>
        <w:t xml:space="preserve">are </w:t>
      </w:r>
      <w:r w:rsidR="00A122B7">
        <w:rPr>
          <w:rFonts w:asciiTheme="minorHAnsi" w:hAnsiTheme="minorHAnsi" w:cstheme="minorHAnsi"/>
          <w:sz w:val="22"/>
          <w:szCs w:val="22"/>
        </w:rPr>
        <w:t>more important than the English as a Second Language population</w:t>
      </w:r>
      <w:r w:rsidR="00B70D09">
        <w:rPr>
          <w:rFonts w:asciiTheme="minorHAnsi" w:hAnsiTheme="minorHAnsi" w:cstheme="minorHAnsi"/>
          <w:sz w:val="22"/>
          <w:szCs w:val="22"/>
        </w:rPr>
        <w:t xml:space="preserve">.  </w:t>
      </w:r>
    </w:p>
    <w:p w14:paraId="7E69B353" w14:textId="77777777" w:rsidR="002248F3" w:rsidRDefault="002248F3" w:rsidP="00247C36">
      <w:pPr>
        <w:pStyle w:val="BodyText"/>
        <w:tabs>
          <w:tab w:val="left" w:pos="821"/>
        </w:tabs>
        <w:ind w:left="0" w:right="134"/>
      </w:pPr>
    </w:p>
    <w:p w14:paraId="1B30703A" w14:textId="3CAE5D38" w:rsidR="002248F3" w:rsidRPr="0024240A" w:rsidRDefault="00A74870" w:rsidP="002C54A2">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821"/>
        </w:tabs>
        <w:ind w:left="0" w:right="134"/>
        <w:jc w:val="both"/>
        <w:rPr>
          <w:rFonts w:asciiTheme="minorHAnsi" w:hAnsiTheme="minorHAnsi" w:cstheme="minorHAnsi"/>
          <w:i/>
          <w:iCs/>
          <w:sz w:val="22"/>
          <w:szCs w:val="22"/>
        </w:rPr>
      </w:pPr>
      <w:r w:rsidRPr="0024240A">
        <w:rPr>
          <w:rFonts w:asciiTheme="minorHAnsi" w:hAnsiTheme="minorHAnsi" w:cstheme="minorHAnsi"/>
          <w:i/>
          <w:iCs/>
          <w:sz w:val="22"/>
          <w:szCs w:val="22"/>
        </w:rPr>
        <w:t xml:space="preserve">Describe </w:t>
      </w:r>
      <w:r w:rsidRPr="0024240A">
        <w:rPr>
          <w:rFonts w:asciiTheme="minorHAnsi" w:hAnsiTheme="minorHAnsi" w:cstheme="minorHAnsi"/>
          <w:i/>
          <w:iCs/>
          <w:spacing w:val="-1"/>
          <w:sz w:val="22"/>
          <w:szCs w:val="22"/>
        </w:rPr>
        <w:t>how</w:t>
      </w:r>
      <w:r w:rsidRPr="0024240A">
        <w:rPr>
          <w:rFonts w:asciiTheme="minorHAnsi" w:hAnsiTheme="minorHAnsi" w:cstheme="minorHAnsi"/>
          <w:i/>
          <w:iCs/>
          <w:sz w:val="22"/>
          <w:szCs w:val="22"/>
        </w:rPr>
        <w:t xml:space="preserve"> the </w:t>
      </w:r>
      <w:r w:rsidRPr="0024240A">
        <w:rPr>
          <w:rFonts w:asciiTheme="minorHAnsi" w:hAnsiTheme="minorHAnsi" w:cstheme="minorHAnsi"/>
          <w:i/>
          <w:iCs/>
          <w:spacing w:val="-1"/>
          <w:sz w:val="22"/>
          <w:szCs w:val="22"/>
        </w:rPr>
        <w:t xml:space="preserve">State </w:t>
      </w:r>
      <w:r w:rsidRPr="0024240A">
        <w:rPr>
          <w:rFonts w:asciiTheme="minorHAnsi" w:hAnsiTheme="minorHAnsi" w:cstheme="minorHAnsi"/>
          <w:i/>
          <w:iCs/>
          <w:sz w:val="22"/>
          <w:szCs w:val="22"/>
        </w:rPr>
        <w:t xml:space="preserve">is </w:t>
      </w:r>
      <w:r w:rsidRPr="0024240A">
        <w:rPr>
          <w:rFonts w:asciiTheme="minorHAnsi" w:hAnsiTheme="minorHAnsi" w:cstheme="minorHAnsi"/>
          <w:i/>
          <w:iCs/>
          <w:spacing w:val="-1"/>
          <w:sz w:val="22"/>
          <w:szCs w:val="22"/>
        </w:rPr>
        <w:t>progressing</w:t>
      </w:r>
      <w:r w:rsidRPr="0024240A">
        <w:rPr>
          <w:rFonts w:asciiTheme="minorHAnsi" w:hAnsiTheme="minorHAnsi" w:cstheme="minorHAnsi"/>
          <w:i/>
          <w:iCs/>
          <w:sz w:val="22"/>
          <w:szCs w:val="22"/>
        </w:rPr>
        <w:t xml:space="preserve"> towards</w:t>
      </w:r>
      <w:r w:rsidRPr="0024240A">
        <w:rPr>
          <w:rFonts w:asciiTheme="minorHAnsi" w:hAnsiTheme="minorHAnsi" w:cstheme="minorHAnsi"/>
          <w:i/>
          <w:iCs/>
          <w:spacing w:val="1"/>
          <w:sz w:val="22"/>
          <w:szCs w:val="22"/>
        </w:rPr>
        <w:t xml:space="preserve"> </w:t>
      </w:r>
      <w:r w:rsidRPr="0024240A">
        <w:rPr>
          <w:rFonts w:asciiTheme="minorHAnsi" w:hAnsiTheme="minorHAnsi" w:cstheme="minorHAnsi"/>
          <w:i/>
          <w:iCs/>
          <w:sz w:val="22"/>
          <w:szCs w:val="22"/>
        </w:rPr>
        <w:t xml:space="preserve">program </w:t>
      </w:r>
      <w:r w:rsidRPr="0024240A">
        <w:rPr>
          <w:rFonts w:asciiTheme="minorHAnsi" w:hAnsiTheme="minorHAnsi" w:cstheme="minorHAnsi"/>
          <w:i/>
          <w:iCs/>
          <w:spacing w:val="-1"/>
          <w:sz w:val="22"/>
          <w:szCs w:val="22"/>
        </w:rPr>
        <w:t xml:space="preserve">goals </w:t>
      </w:r>
      <w:r w:rsidRPr="0024240A">
        <w:rPr>
          <w:rFonts w:asciiTheme="minorHAnsi" w:hAnsiTheme="minorHAnsi" w:cstheme="minorHAnsi"/>
          <w:i/>
          <w:iCs/>
          <w:sz w:val="22"/>
          <w:szCs w:val="22"/>
        </w:rPr>
        <w:t>of ensuring</w:t>
      </w:r>
      <w:r w:rsidRPr="0024240A">
        <w:rPr>
          <w:rFonts w:asciiTheme="minorHAnsi" w:hAnsiTheme="minorHAnsi" w:cstheme="minorHAnsi"/>
          <w:i/>
          <w:iCs/>
          <w:spacing w:val="-2"/>
          <w:sz w:val="22"/>
          <w:szCs w:val="22"/>
        </w:rPr>
        <w:t xml:space="preserve"> </w:t>
      </w:r>
      <w:r w:rsidRPr="0024240A">
        <w:rPr>
          <w:rFonts w:asciiTheme="minorHAnsi" w:hAnsiTheme="minorHAnsi" w:cstheme="minorHAnsi"/>
          <w:i/>
          <w:iCs/>
          <w:sz w:val="22"/>
          <w:szCs w:val="22"/>
        </w:rPr>
        <w:t xml:space="preserve">that </w:t>
      </w:r>
      <w:r w:rsidRPr="0024240A">
        <w:rPr>
          <w:rFonts w:asciiTheme="minorHAnsi" w:hAnsiTheme="minorHAnsi" w:cstheme="minorHAnsi"/>
          <w:i/>
          <w:iCs/>
          <w:spacing w:val="-1"/>
          <w:sz w:val="22"/>
          <w:szCs w:val="22"/>
        </w:rPr>
        <w:t>IELCE</w:t>
      </w:r>
      <w:r w:rsidRPr="0024240A">
        <w:rPr>
          <w:rFonts w:asciiTheme="minorHAnsi" w:hAnsiTheme="minorHAnsi" w:cstheme="minorHAnsi"/>
          <w:i/>
          <w:iCs/>
          <w:spacing w:val="47"/>
          <w:sz w:val="22"/>
          <w:szCs w:val="22"/>
        </w:rPr>
        <w:t xml:space="preserve"> </w:t>
      </w:r>
      <w:r w:rsidRPr="0024240A">
        <w:rPr>
          <w:rFonts w:asciiTheme="minorHAnsi" w:hAnsiTheme="minorHAnsi" w:cstheme="minorHAnsi"/>
          <w:i/>
          <w:iCs/>
          <w:sz w:val="22"/>
          <w:szCs w:val="22"/>
        </w:rPr>
        <w:t xml:space="preserve">program </w:t>
      </w:r>
      <w:r w:rsidRPr="0024240A">
        <w:rPr>
          <w:rFonts w:asciiTheme="minorHAnsi" w:hAnsiTheme="minorHAnsi" w:cstheme="minorHAnsi"/>
          <w:i/>
          <w:iCs/>
          <w:spacing w:val="-1"/>
          <w:sz w:val="22"/>
          <w:szCs w:val="22"/>
        </w:rPr>
        <w:t>activities</w:t>
      </w:r>
      <w:r w:rsidRPr="0024240A">
        <w:rPr>
          <w:rFonts w:asciiTheme="minorHAnsi" w:hAnsiTheme="minorHAnsi" w:cstheme="minorHAnsi"/>
          <w:i/>
          <w:iCs/>
          <w:sz w:val="22"/>
          <w:szCs w:val="22"/>
        </w:rPr>
        <w:t xml:space="preserve"> </w:t>
      </w:r>
      <w:r w:rsidRPr="0024240A">
        <w:rPr>
          <w:rFonts w:asciiTheme="minorHAnsi" w:hAnsiTheme="minorHAnsi" w:cstheme="minorHAnsi"/>
          <w:i/>
          <w:iCs/>
          <w:spacing w:val="-1"/>
          <w:sz w:val="22"/>
          <w:szCs w:val="22"/>
        </w:rPr>
        <w:t>are</w:t>
      </w:r>
      <w:r w:rsidRPr="0024240A">
        <w:rPr>
          <w:rFonts w:asciiTheme="minorHAnsi" w:hAnsiTheme="minorHAnsi" w:cstheme="minorHAnsi"/>
          <w:i/>
          <w:iCs/>
          <w:sz w:val="22"/>
          <w:szCs w:val="22"/>
        </w:rPr>
        <w:t xml:space="preserve"> integrated </w:t>
      </w:r>
      <w:r w:rsidRPr="0024240A">
        <w:rPr>
          <w:rFonts w:asciiTheme="minorHAnsi" w:hAnsiTheme="minorHAnsi" w:cstheme="minorHAnsi"/>
          <w:i/>
          <w:iCs/>
          <w:spacing w:val="-1"/>
          <w:sz w:val="22"/>
          <w:szCs w:val="22"/>
        </w:rPr>
        <w:t>with</w:t>
      </w:r>
      <w:r w:rsidRPr="0024240A">
        <w:rPr>
          <w:rFonts w:asciiTheme="minorHAnsi" w:hAnsiTheme="minorHAnsi" w:cstheme="minorHAnsi"/>
          <w:i/>
          <w:iCs/>
          <w:spacing w:val="-2"/>
          <w:sz w:val="22"/>
          <w:szCs w:val="22"/>
        </w:rPr>
        <w:t xml:space="preserve"> </w:t>
      </w:r>
      <w:r w:rsidRPr="0024240A">
        <w:rPr>
          <w:rFonts w:asciiTheme="minorHAnsi" w:hAnsiTheme="minorHAnsi" w:cstheme="minorHAnsi"/>
          <w:i/>
          <w:iCs/>
          <w:sz w:val="22"/>
          <w:szCs w:val="22"/>
        </w:rPr>
        <w:t xml:space="preserve">the </w:t>
      </w:r>
      <w:r w:rsidRPr="0024240A">
        <w:rPr>
          <w:rFonts w:asciiTheme="minorHAnsi" w:hAnsiTheme="minorHAnsi" w:cstheme="minorHAnsi"/>
          <w:i/>
          <w:iCs/>
          <w:spacing w:val="-1"/>
          <w:sz w:val="22"/>
          <w:szCs w:val="22"/>
        </w:rPr>
        <w:t>local</w:t>
      </w:r>
      <w:r w:rsidRPr="0024240A">
        <w:rPr>
          <w:rFonts w:asciiTheme="minorHAnsi" w:hAnsiTheme="minorHAnsi" w:cstheme="minorHAnsi"/>
          <w:i/>
          <w:iCs/>
          <w:sz w:val="22"/>
          <w:szCs w:val="22"/>
        </w:rPr>
        <w:t xml:space="preserve"> workforce </w:t>
      </w:r>
      <w:r w:rsidRPr="0024240A">
        <w:rPr>
          <w:rFonts w:asciiTheme="minorHAnsi" w:hAnsiTheme="minorHAnsi" w:cstheme="minorHAnsi"/>
          <w:i/>
          <w:iCs/>
          <w:spacing w:val="-1"/>
          <w:sz w:val="22"/>
          <w:szCs w:val="22"/>
        </w:rPr>
        <w:t>development</w:t>
      </w:r>
      <w:r w:rsidRPr="0024240A">
        <w:rPr>
          <w:rFonts w:asciiTheme="minorHAnsi" w:hAnsiTheme="minorHAnsi" w:cstheme="minorHAnsi"/>
          <w:i/>
          <w:iCs/>
          <w:sz w:val="22"/>
          <w:szCs w:val="22"/>
        </w:rPr>
        <w:t xml:space="preserve"> </w:t>
      </w:r>
      <w:r w:rsidR="00CE63FE" w:rsidRPr="0024240A">
        <w:rPr>
          <w:rFonts w:asciiTheme="minorHAnsi" w:hAnsiTheme="minorHAnsi" w:cstheme="minorHAnsi"/>
          <w:i/>
          <w:iCs/>
          <w:spacing w:val="-1"/>
          <w:sz w:val="22"/>
          <w:szCs w:val="22"/>
        </w:rPr>
        <w:t>system,</w:t>
      </w:r>
      <w:r w:rsidRPr="0024240A">
        <w:rPr>
          <w:rFonts w:asciiTheme="minorHAnsi" w:hAnsiTheme="minorHAnsi" w:cstheme="minorHAnsi"/>
          <w:i/>
          <w:iCs/>
          <w:spacing w:val="-1"/>
          <w:sz w:val="22"/>
          <w:szCs w:val="22"/>
        </w:rPr>
        <w:t xml:space="preserve"> </w:t>
      </w:r>
      <w:r w:rsidRPr="0024240A">
        <w:rPr>
          <w:rFonts w:asciiTheme="minorHAnsi" w:hAnsiTheme="minorHAnsi" w:cstheme="minorHAnsi"/>
          <w:i/>
          <w:iCs/>
          <w:sz w:val="22"/>
          <w:szCs w:val="22"/>
        </w:rPr>
        <w:t>and it functions as</w:t>
      </w:r>
      <w:r w:rsidRPr="0024240A">
        <w:rPr>
          <w:rFonts w:asciiTheme="minorHAnsi" w:hAnsiTheme="minorHAnsi" w:cstheme="minorHAnsi"/>
          <w:i/>
          <w:iCs/>
          <w:spacing w:val="-1"/>
          <w:sz w:val="22"/>
          <w:szCs w:val="22"/>
        </w:rPr>
        <w:t xml:space="preserve"> described</w:t>
      </w:r>
      <w:r w:rsidRPr="0024240A">
        <w:rPr>
          <w:rFonts w:asciiTheme="minorHAnsi" w:hAnsiTheme="minorHAnsi" w:cstheme="minorHAnsi"/>
          <w:i/>
          <w:iCs/>
          <w:sz w:val="22"/>
          <w:szCs w:val="22"/>
        </w:rPr>
        <w:t xml:space="preserve"> in section </w:t>
      </w:r>
      <w:r w:rsidRPr="0024240A">
        <w:rPr>
          <w:rFonts w:asciiTheme="minorHAnsi" w:hAnsiTheme="minorHAnsi" w:cstheme="minorHAnsi"/>
          <w:i/>
          <w:iCs/>
          <w:spacing w:val="-1"/>
          <w:sz w:val="22"/>
          <w:szCs w:val="22"/>
        </w:rPr>
        <w:t>243(c)(2)</w:t>
      </w:r>
      <w:r w:rsidRPr="0024240A">
        <w:rPr>
          <w:rFonts w:asciiTheme="minorHAnsi" w:hAnsiTheme="minorHAnsi" w:cstheme="minorHAnsi"/>
          <w:i/>
          <w:iCs/>
          <w:sz w:val="22"/>
          <w:szCs w:val="22"/>
        </w:rPr>
        <w:t xml:space="preserve"> and discuss any performance </w:t>
      </w:r>
      <w:r w:rsidRPr="0024240A">
        <w:rPr>
          <w:rFonts w:asciiTheme="minorHAnsi" w:hAnsiTheme="minorHAnsi" w:cstheme="minorHAnsi"/>
          <w:i/>
          <w:iCs/>
          <w:spacing w:val="-1"/>
          <w:sz w:val="22"/>
          <w:szCs w:val="22"/>
        </w:rPr>
        <w:t>results,</w:t>
      </w:r>
      <w:r w:rsidRPr="0024240A">
        <w:rPr>
          <w:rFonts w:asciiTheme="minorHAnsi" w:hAnsiTheme="minorHAnsi" w:cstheme="minorHAnsi"/>
          <w:i/>
          <w:iCs/>
          <w:spacing w:val="45"/>
          <w:sz w:val="22"/>
          <w:szCs w:val="22"/>
        </w:rPr>
        <w:t xml:space="preserve"> </w:t>
      </w:r>
      <w:r w:rsidRPr="0024240A">
        <w:rPr>
          <w:rFonts w:asciiTheme="minorHAnsi" w:hAnsiTheme="minorHAnsi" w:cstheme="minorHAnsi"/>
          <w:i/>
          <w:iCs/>
          <w:sz w:val="22"/>
          <w:szCs w:val="22"/>
        </w:rPr>
        <w:t>challenges,</w:t>
      </w:r>
      <w:r w:rsidRPr="0024240A">
        <w:rPr>
          <w:rFonts w:asciiTheme="minorHAnsi" w:hAnsiTheme="minorHAnsi" w:cstheme="minorHAnsi"/>
          <w:i/>
          <w:iCs/>
          <w:spacing w:val="-2"/>
          <w:sz w:val="22"/>
          <w:szCs w:val="22"/>
        </w:rPr>
        <w:t xml:space="preserve"> </w:t>
      </w:r>
      <w:r w:rsidRPr="0024240A">
        <w:rPr>
          <w:rFonts w:asciiTheme="minorHAnsi" w:hAnsiTheme="minorHAnsi" w:cstheme="minorHAnsi"/>
          <w:i/>
          <w:iCs/>
          <w:sz w:val="22"/>
          <w:szCs w:val="22"/>
        </w:rPr>
        <w:t>and lessons</w:t>
      </w:r>
      <w:r w:rsidRPr="0024240A">
        <w:rPr>
          <w:rFonts w:asciiTheme="minorHAnsi" w:hAnsiTheme="minorHAnsi" w:cstheme="minorHAnsi"/>
          <w:i/>
          <w:iCs/>
          <w:spacing w:val="-1"/>
          <w:sz w:val="22"/>
          <w:szCs w:val="22"/>
        </w:rPr>
        <w:t xml:space="preserve"> </w:t>
      </w:r>
      <w:r w:rsidRPr="0024240A">
        <w:rPr>
          <w:rFonts w:asciiTheme="minorHAnsi" w:hAnsiTheme="minorHAnsi" w:cstheme="minorHAnsi"/>
          <w:i/>
          <w:iCs/>
          <w:sz w:val="22"/>
          <w:szCs w:val="22"/>
        </w:rPr>
        <w:t>learned</w:t>
      </w:r>
      <w:r w:rsidRPr="0024240A">
        <w:rPr>
          <w:rFonts w:asciiTheme="minorHAnsi" w:hAnsiTheme="minorHAnsi" w:cstheme="minorHAnsi"/>
          <w:i/>
          <w:iCs/>
          <w:spacing w:val="-1"/>
          <w:sz w:val="22"/>
          <w:szCs w:val="22"/>
        </w:rPr>
        <w:t xml:space="preserve"> </w:t>
      </w:r>
      <w:r w:rsidRPr="0024240A">
        <w:rPr>
          <w:rFonts w:asciiTheme="minorHAnsi" w:hAnsiTheme="minorHAnsi" w:cstheme="minorHAnsi"/>
          <w:i/>
          <w:iCs/>
          <w:sz w:val="22"/>
          <w:szCs w:val="22"/>
        </w:rPr>
        <w:t>from</w:t>
      </w:r>
      <w:r w:rsidRPr="0024240A">
        <w:rPr>
          <w:rFonts w:asciiTheme="minorHAnsi" w:hAnsiTheme="minorHAnsi" w:cstheme="minorHAnsi"/>
          <w:i/>
          <w:iCs/>
          <w:spacing w:val="-1"/>
          <w:sz w:val="22"/>
          <w:szCs w:val="22"/>
        </w:rPr>
        <w:t xml:space="preserve"> implementing</w:t>
      </w:r>
      <w:r w:rsidRPr="0024240A">
        <w:rPr>
          <w:rFonts w:asciiTheme="minorHAnsi" w:hAnsiTheme="minorHAnsi" w:cstheme="minorHAnsi"/>
          <w:i/>
          <w:iCs/>
          <w:sz w:val="22"/>
          <w:szCs w:val="22"/>
        </w:rPr>
        <w:t xml:space="preserve"> those </w:t>
      </w:r>
      <w:r w:rsidRPr="0024240A">
        <w:rPr>
          <w:rFonts w:asciiTheme="minorHAnsi" w:hAnsiTheme="minorHAnsi" w:cstheme="minorHAnsi"/>
          <w:i/>
          <w:iCs/>
          <w:spacing w:val="-1"/>
          <w:sz w:val="22"/>
          <w:szCs w:val="22"/>
        </w:rPr>
        <w:t>program</w:t>
      </w:r>
      <w:r w:rsidRPr="0024240A">
        <w:rPr>
          <w:rFonts w:asciiTheme="minorHAnsi" w:hAnsiTheme="minorHAnsi" w:cstheme="minorHAnsi"/>
          <w:i/>
          <w:iCs/>
          <w:sz w:val="22"/>
          <w:szCs w:val="22"/>
        </w:rPr>
        <w:t xml:space="preserve"> </w:t>
      </w:r>
      <w:r w:rsidRPr="0024240A">
        <w:rPr>
          <w:rFonts w:asciiTheme="minorHAnsi" w:hAnsiTheme="minorHAnsi" w:cstheme="minorHAnsi"/>
          <w:i/>
          <w:iCs/>
          <w:spacing w:val="-1"/>
          <w:sz w:val="22"/>
          <w:szCs w:val="22"/>
        </w:rPr>
        <w:t>goals.</w:t>
      </w:r>
    </w:p>
    <w:p w14:paraId="1581BE89" w14:textId="77777777" w:rsidR="009C1A65" w:rsidRDefault="009C1A65" w:rsidP="002248F3">
      <w:pPr>
        <w:rPr>
          <w:color w:val="00B050"/>
          <w:spacing w:val="-1"/>
        </w:rPr>
      </w:pPr>
    </w:p>
    <w:p w14:paraId="7DCEDC0A" w14:textId="20906A3E" w:rsidR="00A122B7" w:rsidRDefault="00A919F2" w:rsidP="002C54A2">
      <w:pPr>
        <w:jc w:val="both"/>
        <w:rPr>
          <w:color w:val="000000" w:themeColor="text1"/>
          <w:spacing w:val="-1"/>
        </w:rPr>
      </w:pPr>
      <w:r>
        <w:rPr>
          <w:color w:val="000000" w:themeColor="text1"/>
          <w:spacing w:val="-1"/>
        </w:rPr>
        <w:t>Alabama has identified five major sectors (</w:t>
      </w:r>
      <w:r w:rsidR="00A122B7" w:rsidRPr="00245D16">
        <w:rPr>
          <w:i/>
          <w:iCs/>
          <w:color w:val="000000" w:themeColor="text1"/>
          <w:spacing w:val="-1"/>
        </w:rPr>
        <w:t>M</w:t>
      </w:r>
      <w:r w:rsidRPr="00245D16">
        <w:rPr>
          <w:i/>
          <w:iCs/>
          <w:color w:val="000000" w:themeColor="text1"/>
          <w:spacing w:val="-1"/>
        </w:rPr>
        <w:t xml:space="preserve">anufacturing, </w:t>
      </w:r>
      <w:r w:rsidR="00A122B7" w:rsidRPr="00245D16">
        <w:rPr>
          <w:i/>
          <w:iCs/>
          <w:color w:val="000000" w:themeColor="text1"/>
          <w:spacing w:val="-1"/>
        </w:rPr>
        <w:t>H</w:t>
      </w:r>
      <w:r w:rsidRPr="00245D16">
        <w:rPr>
          <w:i/>
          <w:iCs/>
          <w:color w:val="000000" w:themeColor="text1"/>
          <w:spacing w:val="-1"/>
        </w:rPr>
        <w:t xml:space="preserve">ealthcare, </w:t>
      </w:r>
      <w:r w:rsidR="00A122B7" w:rsidRPr="00245D16">
        <w:rPr>
          <w:i/>
          <w:iCs/>
          <w:color w:val="000000" w:themeColor="text1"/>
          <w:spacing w:val="-1"/>
        </w:rPr>
        <w:t>C</w:t>
      </w:r>
      <w:r w:rsidRPr="00245D16">
        <w:rPr>
          <w:i/>
          <w:iCs/>
          <w:color w:val="000000" w:themeColor="text1"/>
          <w:spacing w:val="-1"/>
        </w:rPr>
        <w:t xml:space="preserve">onstruction, </w:t>
      </w:r>
      <w:r w:rsidR="00A122B7" w:rsidRPr="00245D16">
        <w:rPr>
          <w:i/>
          <w:iCs/>
          <w:color w:val="000000" w:themeColor="text1"/>
          <w:spacing w:val="-1"/>
        </w:rPr>
        <w:t>I</w:t>
      </w:r>
      <w:r w:rsidRPr="00245D16">
        <w:rPr>
          <w:i/>
          <w:iCs/>
          <w:color w:val="000000" w:themeColor="text1"/>
          <w:spacing w:val="-1"/>
        </w:rPr>
        <w:t xml:space="preserve">nformation </w:t>
      </w:r>
      <w:r w:rsidR="00A122B7" w:rsidRPr="00245D16">
        <w:rPr>
          <w:i/>
          <w:iCs/>
          <w:color w:val="000000" w:themeColor="text1"/>
          <w:spacing w:val="-1"/>
        </w:rPr>
        <w:t>T</w:t>
      </w:r>
      <w:r w:rsidRPr="00245D16">
        <w:rPr>
          <w:i/>
          <w:iCs/>
          <w:color w:val="000000" w:themeColor="text1"/>
          <w:spacing w:val="-1"/>
        </w:rPr>
        <w:t xml:space="preserve">echnology, and </w:t>
      </w:r>
      <w:r w:rsidR="00A122B7" w:rsidRPr="00245D16">
        <w:rPr>
          <w:i/>
          <w:iCs/>
          <w:color w:val="000000" w:themeColor="text1"/>
          <w:spacing w:val="-1"/>
        </w:rPr>
        <w:t>T</w:t>
      </w:r>
      <w:r w:rsidRPr="00245D16">
        <w:rPr>
          <w:i/>
          <w:iCs/>
          <w:color w:val="000000" w:themeColor="text1"/>
          <w:spacing w:val="-1"/>
        </w:rPr>
        <w:t>ransportation/logistics</w:t>
      </w:r>
      <w:r>
        <w:rPr>
          <w:color w:val="000000" w:themeColor="text1"/>
          <w:spacing w:val="-1"/>
        </w:rPr>
        <w:t xml:space="preserve">) that are critical for the success of our state.   </w:t>
      </w:r>
      <w:r w:rsidR="00F86354">
        <w:rPr>
          <w:color w:val="000000" w:themeColor="text1"/>
          <w:spacing w:val="-1"/>
        </w:rPr>
        <w:t>All sectors are important, but these five high demand/high wage sectors in our state have been negatively impacted by the COVID pandemic.</w:t>
      </w:r>
      <w:r w:rsidR="003616F8">
        <w:rPr>
          <w:color w:val="000000" w:themeColor="text1"/>
          <w:spacing w:val="-1"/>
        </w:rPr>
        <w:t xml:space="preserve">  </w:t>
      </w:r>
      <w:r w:rsidR="00E73989">
        <w:rPr>
          <w:color w:val="000000" w:themeColor="text1"/>
          <w:spacing w:val="-1"/>
        </w:rPr>
        <w:t>B</w:t>
      </w:r>
      <w:r w:rsidR="003616F8">
        <w:rPr>
          <w:color w:val="000000" w:themeColor="text1"/>
          <w:spacing w:val="-1"/>
        </w:rPr>
        <w:t xml:space="preserve">asic foundational training </w:t>
      </w:r>
      <w:r w:rsidR="00E73989">
        <w:rPr>
          <w:color w:val="000000" w:themeColor="text1"/>
          <w:spacing w:val="-1"/>
        </w:rPr>
        <w:t xml:space="preserve">for these areas as well as the other remaining 16 career clusters </w:t>
      </w:r>
      <w:r w:rsidR="003616F8">
        <w:rPr>
          <w:color w:val="000000" w:themeColor="text1"/>
          <w:spacing w:val="-1"/>
        </w:rPr>
        <w:t>are used in the IELCE classes to prepare English Language Learners</w:t>
      </w:r>
      <w:r w:rsidR="0078613B">
        <w:rPr>
          <w:color w:val="000000" w:themeColor="text1"/>
          <w:spacing w:val="-1"/>
        </w:rPr>
        <w:t xml:space="preserve"> (ELL)</w:t>
      </w:r>
      <w:r w:rsidR="003616F8">
        <w:rPr>
          <w:color w:val="000000" w:themeColor="text1"/>
          <w:spacing w:val="-1"/>
        </w:rPr>
        <w:t xml:space="preserve"> with the ability to attain</w:t>
      </w:r>
      <w:r w:rsidR="00121AF0">
        <w:rPr>
          <w:color w:val="000000" w:themeColor="text1"/>
          <w:spacing w:val="-1"/>
        </w:rPr>
        <w:t xml:space="preserve"> and/or retain employment</w:t>
      </w:r>
      <w:r w:rsidR="001F551C">
        <w:rPr>
          <w:color w:val="000000" w:themeColor="text1"/>
          <w:spacing w:val="-1"/>
        </w:rPr>
        <w:t>.</w:t>
      </w:r>
      <w:r w:rsidR="00E73989">
        <w:rPr>
          <w:color w:val="000000" w:themeColor="text1"/>
          <w:spacing w:val="-1"/>
        </w:rPr>
        <w:t xml:space="preserve"> </w:t>
      </w:r>
    </w:p>
    <w:p w14:paraId="4E5F0377" w14:textId="77777777" w:rsidR="0063462C" w:rsidRDefault="0063462C" w:rsidP="002C54A2">
      <w:pPr>
        <w:jc w:val="both"/>
        <w:rPr>
          <w:color w:val="000000" w:themeColor="text1"/>
          <w:spacing w:val="-1"/>
        </w:rPr>
      </w:pPr>
    </w:p>
    <w:p w14:paraId="7E44E806" w14:textId="55867BB9" w:rsidR="003616F8" w:rsidRDefault="00EA5808" w:rsidP="002C54A2">
      <w:pPr>
        <w:jc w:val="both"/>
        <w:rPr>
          <w:color w:val="000000" w:themeColor="text1"/>
        </w:rPr>
      </w:pPr>
      <w:r>
        <w:rPr>
          <w:color w:val="000000" w:themeColor="text1"/>
          <w:spacing w:val="-1"/>
        </w:rPr>
        <w:t>The E</w:t>
      </w:r>
      <w:r w:rsidR="0078613B">
        <w:rPr>
          <w:color w:val="000000" w:themeColor="text1"/>
          <w:spacing w:val="-1"/>
        </w:rPr>
        <w:t xml:space="preserve">nglish </w:t>
      </w:r>
      <w:r>
        <w:rPr>
          <w:color w:val="000000" w:themeColor="text1"/>
          <w:spacing w:val="-1"/>
        </w:rPr>
        <w:t>L</w:t>
      </w:r>
      <w:r w:rsidR="0078613B">
        <w:rPr>
          <w:color w:val="000000" w:themeColor="text1"/>
          <w:spacing w:val="-1"/>
        </w:rPr>
        <w:t xml:space="preserve">anguage </w:t>
      </w:r>
      <w:r>
        <w:rPr>
          <w:color w:val="000000" w:themeColor="text1"/>
          <w:spacing w:val="-1"/>
        </w:rPr>
        <w:t>L</w:t>
      </w:r>
      <w:r w:rsidR="0078613B">
        <w:rPr>
          <w:color w:val="000000" w:themeColor="text1"/>
          <w:spacing w:val="-1"/>
        </w:rPr>
        <w:t>earner</w:t>
      </w:r>
      <w:r>
        <w:rPr>
          <w:color w:val="000000" w:themeColor="text1"/>
          <w:spacing w:val="-1"/>
        </w:rPr>
        <w:t xml:space="preserve"> population is a challenging population to serve b</w:t>
      </w:r>
      <w:r w:rsidR="00334F91">
        <w:rPr>
          <w:color w:val="000000" w:themeColor="text1"/>
          <w:spacing w:val="-1"/>
        </w:rPr>
        <w:t>ased on the educational and workforce preparation deficiencies</w:t>
      </w:r>
      <w:r w:rsidR="007A4F43">
        <w:rPr>
          <w:color w:val="000000" w:themeColor="text1"/>
          <w:spacing w:val="-1"/>
        </w:rPr>
        <w:t xml:space="preserve"> that </w:t>
      </w:r>
      <w:r w:rsidR="0012244D">
        <w:rPr>
          <w:color w:val="000000" w:themeColor="text1"/>
          <w:spacing w:val="-1"/>
        </w:rPr>
        <w:t>most of</w:t>
      </w:r>
      <w:r w:rsidR="007A4F43">
        <w:rPr>
          <w:color w:val="000000" w:themeColor="text1"/>
          <w:spacing w:val="-1"/>
        </w:rPr>
        <w:t xml:space="preserve"> the learners</w:t>
      </w:r>
      <w:r w:rsidR="0063462C">
        <w:rPr>
          <w:color w:val="000000" w:themeColor="text1"/>
          <w:spacing w:val="-1"/>
        </w:rPr>
        <w:t xml:space="preserve"> have in addition to the lack of English acquisition skills</w:t>
      </w:r>
      <w:r w:rsidR="00334F91">
        <w:rPr>
          <w:color w:val="000000" w:themeColor="text1"/>
          <w:spacing w:val="-1"/>
        </w:rPr>
        <w:t xml:space="preserve">.  Teaching </w:t>
      </w:r>
      <w:r w:rsidR="007A4F43">
        <w:rPr>
          <w:color w:val="000000" w:themeColor="text1"/>
          <w:spacing w:val="-1"/>
        </w:rPr>
        <w:t>the skills</w:t>
      </w:r>
      <w:r w:rsidR="00334F91">
        <w:rPr>
          <w:color w:val="000000" w:themeColor="text1"/>
          <w:spacing w:val="-1"/>
        </w:rPr>
        <w:t xml:space="preserve"> to learn to read, write, and speak the English language while </w:t>
      </w:r>
      <w:r w:rsidR="007A4F43">
        <w:rPr>
          <w:color w:val="000000" w:themeColor="text1"/>
          <w:spacing w:val="-1"/>
        </w:rPr>
        <w:t>integrating Workforce preparation and skills training to E</w:t>
      </w:r>
      <w:r w:rsidR="007C05F1">
        <w:rPr>
          <w:color w:val="000000" w:themeColor="text1"/>
          <w:spacing w:val="-1"/>
        </w:rPr>
        <w:t xml:space="preserve">LL students </w:t>
      </w:r>
      <w:r w:rsidR="007A4F43">
        <w:rPr>
          <w:color w:val="000000" w:themeColor="text1"/>
          <w:spacing w:val="-1"/>
        </w:rPr>
        <w:t xml:space="preserve">that are </w:t>
      </w:r>
      <w:r w:rsidR="00334F91">
        <w:rPr>
          <w:color w:val="000000" w:themeColor="text1"/>
          <w:spacing w:val="-1"/>
        </w:rPr>
        <w:t xml:space="preserve">basic </w:t>
      </w:r>
      <w:r w:rsidR="007A4F43">
        <w:rPr>
          <w:color w:val="000000" w:themeColor="text1"/>
          <w:spacing w:val="-1"/>
        </w:rPr>
        <w:t xml:space="preserve">skill deficient in their </w:t>
      </w:r>
      <w:r w:rsidR="00334F91">
        <w:rPr>
          <w:color w:val="000000" w:themeColor="text1"/>
          <w:spacing w:val="-1"/>
        </w:rPr>
        <w:t>foundational educati</w:t>
      </w:r>
      <w:r w:rsidR="007A4F43">
        <w:rPr>
          <w:color w:val="000000" w:themeColor="text1"/>
          <w:spacing w:val="-1"/>
        </w:rPr>
        <w:t xml:space="preserve">on </w:t>
      </w:r>
      <w:r w:rsidR="00334F91">
        <w:rPr>
          <w:color w:val="000000" w:themeColor="text1"/>
          <w:spacing w:val="-1"/>
        </w:rPr>
        <w:t>i</w:t>
      </w:r>
      <w:r w:rsidR="0012244D">
        <w:rPr>
          <w:color w:val="000000" w:themeColor="text1"/>
          <w:spacing w:val="-1"/>
        </w:rPr>
        <w:t>s a demanding proposition</w:t>
      </w:r>
      <w:r w:rsidR="00F86354">
        <w:rPr>
          <w:color w:val="000000" w:themeColor="text1"/>
          <w:spacing w:val="-1"/>
        </w:rPr>
        <w:t xml:space="preserve">.  </w:t>
      </w:r>
      <w:r w:rsidR="00334F91">
        <w:rPr>
          <w:color w:val="000000" w:themeColor="text1"/>
          <w:spacing w:val="-1"/>
        </w:rPr>
        <w:t xml:space="preserve"> </w:t>
      </w:r>
      <w:r w:rsidR="00A85FD4" w:rsidRPr="00A85FD4">
        <w:rPr>
          <w:color w:val="000000" w:themeColor="text1"/>
          <w:spacing w:val="-1"/>
        </w:rPr>
        <w:t>I</w:t>
      </w:r>
      <w:r w:rsidR="002248F3" w:rsidRPr="00A85FD4">
        <w:rPr>
          <w:color w:val="000000" w:themeColor="text1"/>
        </w:rPr>
        <w:t xml:space="preserve">nstructors must be prepared </w:t>
      </w:r>
      <w:r w:rsidR="0012244D">
        <w:rPr>
          <w:color w:val="000000" w:themeColor="text1"/>
        </w:rPr>
        <w:t xml:space="preserve">and equipped </w:t>
      </w:r>
      <w:r w:rsidR="002248F3" w:rsidRPr="00A85FD4">
        <w:rPr>
          <w:color w:val="000000" w:themeColor="text1"/>
        </w:rPr>
        <w:t xml:space="preserve">to deliver </w:t>
      </w:r>
      <w:r w:rsidR="0012244D">
        <w:rPr>
          <w:color w:val="000000" w:themeColor="text1"/>
        </w:rPr>
        <w:t xml:space="preserve">a </w:t>
      </w:r>
      <w:r w:rsidR="0047781E">
        <w:rPr>
          <w:color w:val="000000" w:themeColor="text1"/>
        </w:rPr>
        <w:t>wide array</w:t>
      </w:r>
      <w:r w:rsidR="0012244D">
        <w:rPr>
          <w:color w:val="000000" w:themeColor="text1"/>
        </w:rPr>
        <w:t xml:space="preserve"> of instruction</w:t>
      </w:r>
      <w:r w:rsidR="0047781E">
        <w:rPr>
          <w:color w:val="000000" w:themeColor="text1"/>
        </w:rPr>
        <w:t>al techniques</w:t>
      </w:r>
      <w:r w:rsidR="0012244D">
        <w:rPr>
          <w:color w:val="000000" w:themeColor="text1"/>
        </w:rPr>
        <w:t xml:space="preserve"> to learners with many different modalities</w:t>
      </w:r>
      <w:r w:rsidR="00FD717B">
        <w:rPr>
          <w:color w:val="000000" w:themeColor="text1"/>
        </w:rPr>
        <w:t xml:space="preserve"> and digital literacy </w:t>
      </w:r>
      <w:r w:rsidR="007C05F1">
        <w:rPr>
          <w:color w:val="000000" w:themeColor="text1"/>
        </w:rPr>
        <w:t>capabilities</w:t>
      </w:r>
      <w:r w:rsidR="00FD717B">
        <w:rPr>
          <w:color w:val="000000" w:themeColor="text1"/>
        </w:rPr>
        <w:t xml:space="preserve">.  </w:t>
      </w:r>
      <w:r w:rsidR="002248F3" w:rsidRPr="00A85FD4">
        <w:rPr>
          <w:color w:val="000000" w:themeColor="text1"/>
        </w:rPr>
        <w:t xml:space="preserve">Ongoing professional development </w:t>
      </w:r>
      <w:r w:rsidR="00FD717B">
        <w:rPr>
          <w:color w:val="000000" w:themeColor="text1"/>
        </w:rPr>
        <w:t xml:space="preserve">for </w:t>
      </w:r>
      <w:r w:rsidR="00982A00">
        <w:rPr>
          <w:color w:val="000000" w:themeColor="text1"/>
        </w:rPr>
        <w:t xml:space="preserve">integrated, </w:t>
      </w:r>
      <w:r w:rsidR="00FD717B">
        <w:rPr>
          <w:color w:val="000000" w:themeColor="text1"/>
        </w:rPr>
        <w:t>virtual</w:t>
      </w:r>
      <w:r w:rsidR="00982A00">
        <w:rPr>
          <w:color w:val="000000" w:themeColor="text1"/>
        </w:rPr>
        <w:t>, and distance education</w:t>
      </w:r>
      <w:r w:rsidR="00FD717B">
        <w:rPr>
          <w:color w:val="000000" w:themeColor="text1"/>
        </w:rPr>
        <w:t xml:space="preserve"> instruction </w:t>
      </w:r>
      <w:r w:rsidR="002248F3" w:rsidRPr="00A85FD4">
        <w:rPr>
          <w:color w:val="000000" w:themeColor="text1"/>
        </w:rPr>
        <w:t>is critical</w:t>
      </w:r>
      <w:r w:rsidR="001F551C">
        <w:rPr>
          <w:color w:val="000000" w:themeColor="text1"/>
        </w:rPr>
        <w:t xml:space="preserve"> and has been a focus</w:t>
      </w:r>
      <w:r w:rsidR="007C05F1">
        <w:rPr>
          <w:color w:val="000000" w:themeColor="text1"/>
        </w:rPr>
        <w:t xml:space="preserve"> and will continue to be one in 2022</w:t>
      </w:r>
      <w:r w:rsidR="002248F3" w:rsidRPr="00A85FD4">
        <w:rPr>
          <w:color w:val="000000" w:themeColor="text1"/>
        </w:rPr>
        <w:t xml:space="preserve">.  </w:t>
      </w:r>
    </w:p>
    <w:p w14:paraId="185E11FE" w14:textId="77777777" w:rsidR="003616F8" w:rsidRDefault="003616F8" w:rsidP="002C54A2">
      <w:pPr>
        <w:jc w:val="both"/>
        <w:rPr>
          <w:color w:val="000000" w:themeColor="text1"/>
        </w:rPr>
      </w:pPr>
    </w:p>
    <w:p w14:paraId="30B2A67B" w14:textId="12031673" w:rsidR="009C1A65" w:rsidRDefault="009C1A65" w:rsidP="002C54A2">
      <w:pPr>
        <w:widowControl/>
        <w:spacing w:after="160" w:line="256" w:lineRule="auto"/>
        <w:jc w:val="both"/>
      </w:pPr>
      <w:r w:rsidRPr="00CE63FE">
        <w:t xml:space="preserve">Regarding obstacles in integrating IELCE participants with the local workforce development system, the same barriers are seen with this effort as with other efforts on behalf of this population.  In many cases, the paperwork and documentation </w:t>
      </w:r>
      <w:r w:rsidR="0024240A" w:rsidRPr="00CE63FE">
        <w:t>are</w:t>
      </w:r>
      <w:r w:rsidRPr="00CE63FE">
        <w:t xml:space="preserve"> not available, literacy skills are below the level needed to participate in some training, as well as other barriers such as transportation, </w:t>
      </w:r>
      <w:r w:rsidR="00CE63FE" w:rsidRPr="00CE63FE">
        <w:t>childcare, and</w:t>
      </w:r>
      <w:r w:rsidRPr="00CE63FE">
        <w:t xml:space="preserve"> cultural issues.</w:t>
      </w:r>
    </w:p>
    <w:p w14:paraId="3B5A10F3" w14:textId="3FF3993B" w:rsidR="003616F8" w:rsidRDefault="003616F8" w:rsidP="003616F8">
      <w:pPr>
        <w:pStyle w:val="BodyText"/>
        <w:tabs>
          <w:tab w:val="left" w:pos="821"/>
        </w:tabs>
        <w:ind w:left="0" w:right="134"/>
        <w:jc w:val="both"/>
        <w:rPr>
          <w:rFonts w:asciiTheme="minorHAnsi" w:hAnsiTheme="minorHAnsi" w:cstheme="minorHAnsi"/>
          <w:spacing w:val="-1"/>
          <w:sz w:val="22"/>
          <w:szCs w:val="22"/>
        </w:rPr>
      </w:pPr>
      <w:r w:rsidRPr="00A85FD4">
        <w:rPr>
          <w:rFonts w:asciiTheme="minorHAnsi" w:hAnsiTheme="minorHAnsi" w:cstheme="minorHAnsi"/>
          <w:spacing w:val="-1"/>
          <w:sz w:val="22"/>
          <w:szCs w:val="22"/>
        </w:rPr>
        <w:t>Local program</w:t>
      </w:r>
      <w:r>
        <w:rPr>
          <w:rFonts w:asciiTheme="minorHAnsi" w:hAnsiTheme="minorHAnsi" w:cstheme="minorHAnsi"/>
          <w:spacing w:val="-1"/>
          <w:sz w:val="22"/>
          <w:szCs w:val="22"/>
        </w:rPr>
        <w:t xml:space="preserve"> providers</w:t>
      </w:r>
      <w:r w:rsidR="005B43EE">
        <w:rPr>
          <w:rFonts w:asciiTheme="minorHAnsi" w:hAnsiTheme="minorHAnsi" w:cstheme="minorHAnsi"/>
          <w:spacing w:val="-1"/>
          <w:sz w:val="22"/>
          <w:szCs w:val="22"/>
        </w:rPr>
        <w:t xml:space="preserve"> are making a consistent effort to </w:t>
      </w:r>
      <w:r w:rsidR="00121AF0">
        <w:rPr>
          <w:rFonts w:asciiTheme="minorHAnsi" w:hAnsiTheme="minorHAnsi" w:cstheme="minorHAnsi"/>
          <w:spacing w:val="-1"/>
          <w:sz w:val="22"/>
          <w:szCs w:val="22"/>
        </w:rPr>
        <w:t>develop connections</w:t>
      </w:r>
      <w:r w:rsidRPr="00A85FD4">
        <w:rPr>
          <w:rFonts w:asciiTheme="minorHAnsi" w:hAnsiTheme="minorHAnsi" w:cstheme="minorHAnsi"/>
          <w:spacing w:val="-1"/>
          <w:sz w:val="22"/>
          <w:szCs w:val="22"/>
        </w:rPr>
        <w:t xml:space="preserve"> with companies to employ </w:t>
      </w:r>
      <w:r w:rsidR="00121AF0">
        <w:rPr>
          <w:rFonts w:asciiTheme="minorHAnsi" w:hAnsiTheme="minorHAnsi" w:cstheme="minorHAnsi"/>
          <w:spacing w:val="-1"/>
          <w:sz w:val="22"/>
          <w:szCs w:val="22"/>
        </w:rPr>
        <w:t xml:space="preserve">ELL </w:t>
      </w:r>
      <w:r w:rsidR="00FD59D8">
        <w:rPr>
          <w:rFonts w:asciiTheme="minorHAnsi" w:hAnsiTheme="minorHAnsi" w:cstheme="minorHAnsi"/>
          <w:spacing w:val="-1"/>
          <w:sz w:val="22"/>
          <w:szCs w:val="22"/>
        </w:rPr>
        <w:t>and IELCE participants</w:t>
      </w:r>
      <w:r w:rsidR="005B43EE">
        <w:rPr>
          <w:rFonts w:asciiTheme="minorHAnsi" w:hAnsiTheme="minorHAnsi" w:cstheme="minorHAnsi"/>
          <w:spacing w:val="-1"/>
          <w:sz w:val="22"/>
          <w:szCs w:val="22"/>
        </w:rPr>
        <w:t xml:space="preserve"> directly after completion or in some instances, while training is occurring</w:t>
      </w:r>
      <w:r w:rsidRPr="00A85FD4">
        <w:rPr>
          <w:rFonts w:asciiTheme="minorHAnsi" w:hAnsiTheme="minorHAnsi" w:cstheme="minorHAnsi"/>
          <w:spacing w:val="-1"/>
          <w:sz w:val="22"/>
          <w:szCs w:val="22"/>
        </w:rPr>
        <w:t>.</w:t>
      </w:r>
      <w:r w:rsidR="005B43EE">
        <w:rPr>
          <w:rFonts w:asciiTheme="minorHAnsi" w:hAnsiTheme="minorHAnsi" w:cstheme="minorHAnsi"/>
          <w:spacing w:val="-1"/>
          <w:sz w:val="22"/>
          <w:szCs w:val="22"/>
        </w:rPr>
        <w:t xml:space="preserve">  </w:t>
      </w:r>
      <w:r w:rsidR="00885E52">
        <w:rPr>
          <w:rFonts w:asciiTheme="minorHAnsi" w:hAnsiTheme="minorHAnsi" w:cstheme="minorHAnsi"/>
          <w:spacing w:val="-1"/>
          <w:sz w:val="22"/>
          <w:szCs w:val="22"/>
        </w:rPr>
        <w:t xml:space="preserve">The collaboration with </w:t>
      </w:r>
      <w:r w:rsidR="005B43EE">
        <w:rPr>
          <w:rFonts w:asciiTheme="minorHAnsi" w:hAnsiTheme="minorHAnsi" w:cstheme="minorHAnsi"/>
          <w:spacing w:val="-1"/>
          <w:sz w:val="22"/>
          <w:szCs w:val="22"/>
        </w:rPr>
        <w:t>Tyson food corporation</w:t>
      </w:r>
      <w:r w:rsidR="00885E52">
        <w:rPr>
          <w:rFonts w:asciiTheme="minorHAnsi" w:hAnsiTheme="minorHAnsi" w:cstheme="minorHAnsi"/>
          <w:spacing w:val="-1"/>
          <w:sz w:val="22"/>
          <w:szCs w:val="22"/>
        </w:rPr>
        <w:t xml:space="preserve"> and their </w:t>
      </w:r>
      <w:r w:rsidR="00885E52" w:rsidRPr="004E168C">
        <w:rPr>
          <w:rFonts w:asciiTheme="minorHAnsi" w:hAnsiTheme="minorHAnsi" w:cstheme="minorHAnsi"/>
          <w:i/>
          <w:iCs/>
          <w:spacing w:val="-1"/>
          <w:sz w:val="22"/>
          <w:szCs w:val="22"/>
        </w:rPr>
        <w:t>Upward Academy</w:t>
      </w:r>
      <w:r w:rsidR="00885E52">
        <w:rPr>
          <w:rFonts w:asciiTheme="minorHAnsi" w:hAnsiTheme="minorHAnsi" w:cstheme="minorHAnsi"/>
          <w:spacing w:val="-1"/>
          <w:sz w:val="22"/>
          <w:szCs w:val="22"/>
        </w:rPr>
        <w:t xml:space="preserve"> and </w:t>
      </w:r>
      <w:r w:rsidR="00885E52" w:rsidRPr="004E168C">
        <w:rPr>
          <w:rFonts w:asciiTheme="minorHAnsi" w:hAnsiTheme="minorHAnsi" w:cstheme="minorHAnsi"/>
          <w:i/>
          <w:iCs/>
          <w:spacing w:val="-1"/>
          <w:sz w:val="22"/>
          <w:szCs w:val="22"/>
        </w:rPr>
        <w:t>Upward Pathways</w:t>
      </w:r>
      <w:r w:rsidR="00885E52">
        <w:rPr>
          <w:rFonts w:asciiTheme="minorHAnsi" w:hAnsiTheme="minorHAnsi" w:cstheme="minorHAnsi"/>
          <w:spacing w:val="-1"/>
          <w:sz w:val="22"/>
          <w:szCs w:val="22"/>
        </w:rPr>
        <w:t xml:space="preserve"> program</w:t>
      </w:r>
      <w:r w:rsidR="005B43EE">
        <w:rPr>
          <w:rFonts w:asciiTheme="minorHAnsi" w:hAnsiTheme="minorHAnsi" w:cstheme="minorHAnsi"/>
          <w:spacing w:val="-1"/>
          <w:sz w:val="22"/>
          <w:szCs w:val="22"/>
        </w:rPr>
        <w:t xml:space="preserve"> is an example of how IELCE integrated education and training is occurring with new employees and incumbent workers.  </w:t>
      </w:r>
    </w:p>
    <w:p w14:paraId="04D69E37" w14:textId="77777777" w:rsidR="00A74870" w:rsidRDefault="00A74870" w:rsidP="00A74870">
      <w:pPr>
        <w:pStyle w:val="BodyText"/>
        <w:tabs>
          <w:tab w:val="left" w:pos="821"/>
        </w:tabs>
        <w:ind w:left="0" w:right="553"/>
      </w:pPr>
    </w:p>
    <w:p w14:paraId="312C00D3" w14:textId="77777777" w:rsidR="00E231B9" w:rsidRPr="007D3516" w:rsidRDefault="00E231B9" w:rsidP="002C54A2">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jc w:val="both"/>
        <w:rPr>
          <w:rFonts w:cs="Times New Roman"/>
          <w:b/>
          <w:bCs/>
        </w:rPr>
      </w:pPr>
      <w:r w:rsidRPr="007D3516">
        <w:rPr>
          <w:rFonts w:cs="Times New Roman"/>
          <w:b/>
          <w:bCs/>
        </w:rPr>
        <w:t>Adult Education Standards</w:t>
      </w:r>
    </w:p>
    <w:p w14:paraId="00287AF8" w14:textId="77777777" w:rsidR="00E231B9" w:rsidRPr="00AC2E77" w:rsidRDefault="00E231B9" w:rsidP="002C54A2">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jc w:val="both"/>
        <w:rPr>
          <w:rFonts w:cs="Times New Roman"/>
          <w:i/>
        </w:rPr>
      </w:pPr>
      <w:r w:rsidRPr="00AC2E77">
        <w:rPr>
          <w:rFonts w:cs="Times New Roman"/>
          <w:i/>
        </w:rPr>
        <w:t>If your State has adopted new challenging K-12 standards under title I of the Elementary and</w:t>
      </w:r>
    </w:p>
    <w:p w14:paraId="7DC9A69B" w14:textId="77777777" w:rsidR="00B55B73" w:rsidRDefault="00E231B9" w:rsidP="002C54A2">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jc w:val="both"/>
        <w:rPr>
          <w:rFonts w:cs="Times New Roman"/>
          <w:i/>
        </w:rPr>
      </w:pPr>
      <w:r w:rsidRPr="00AC2E77">
        <w:rPr>
          <w:rFonts w:cs="Times New Roman"/>
          <w:i/>
        </w:rPr>
        <w:t>Secondary Education Act of 1965, as amended, describe how your Adult Education content standards are aligned with those K-12 standards.</w:t>
      </w:r>
      <w:r w:rsidR="00B55B73">
        <w:rPr>
          <w:rFonts w:cs="Times New Roman"/>
          <w:i/>
        </w:rPr>
        <w:t xml:space="preserve">  </w:t>
      </w:r>
    </w:p>
    <w:p w14:paraId="69A5D432" w14:textId="29640968" w:rsidR="00E231B9" w:rsidRPr="00B55B73" w:rsidRDefault="00E231B9" w:rsidP="002C54A2">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jc w:val="both"/>
        <w:rPr>
          <w:rFonts w:cs="Times New Roman"/>
          <w:i/>
        </w:rPr>
      </w:pPr>
      <w:r w:rsidRPr="00B55B73">
        <w:rPr>
          <w:rFonts w:cs="Times New Roman"/>
          <w:i/>
        </w:rPr>
        <w:t>Optional – Describe implementation efforts, challenges, and any lessons learned.</w:t>
      </w:r>
    </w:p>
    <w:p w14:paraId="5AAA162B" w14:textId="77777777" w:rsidR="001D3BEC" w:rsidRPr="001D3BEC" w:rsidRDefault="001D3BEC" w:rsidP="00B55B73">
      <w:pPr>
        <w:widowControl/>
        <w:shd w:val="clear" w:color="auto" w:fill="FFFFFF" w:themeFill="background1"/>
        <w:autoSpaceDE w:val="0"/>
        <w:autoSpaceDN w:val="0"/>
        <w:adjustRightInd w:val="0"/>
        <w:jc w:val="both"/>
        <w:rPr>
          <w:rFonts w:cs="Times New Roman"/>
          <w:i/>
        </w:rPr>
      </w:pPr>
    </w:p>
    <w:p w14:paraId="4661C833" w14:textId="77777777" w:rsidR="00611D48" w:rsidRDefault="00611D48" w:rsidP="00B55B73">
      <w:pPr>
        <w:pStyle w:val="ListParagraph"/>
        <w:ind w:left="0"/>
      </w:pPr>
    </w:p>
    <w:p w14:paraId="51E22B29" w14:textId="07C4B4CB" w:rsidR="00611D48" w:rsidRPr="001D3BEC" w:rsidRDefault="00611D48" w:rsidP="002C54A2">
      <w:pPr>
        <w:pStyle w:val="ListParagraph"/>
        <w:ind w:left="0"/>
        <w:jc w:val="both"/>
      </w:pPr>
      <w:r w:rsidRPr="001D3BEC">
        <w:t xml:space="preserve">At this time, Alabama Adult Education follows the adopted College and Career Readiness (CCR) standards promulgated through the Office of Career, Technical, and Adult Education (OCTAE).  Based on the rigorous national K-12 standards, these standards were developed for Adult Education in the areas of Reading Language Arts (RLA) and Mathematics.  These standards serve as the instructional blueprint for instructors to create plan(s) of instruction for students and to provide accountability for student results.  Each local program </w:t>
      </w:r>
      <w:r w:rsidR="000D0B72">
        <w:t xml:space="preserve">provider </w:t>
      </w:r>
      <w:r w:rsidRPr="001D3BEC">
        <w:t xml:space="preserve">utilizes a Plan of Instruction (POI) </w:t>
      </w:r>
      <w:r w:rsidR="001D3BEC" w:rsidRPr="001D3BEC">
        <w:t>document for</w:t>
      </w:r>
      <w:r w:rsidRPr="001D3BEC">
        <w:t xml:space="preserve"> each student allowing for a </w:t>
      </w:r>
      <w:r w:rsidR="000D0B72">
        <w:t xml:space="preserve">structured, </w:t>
      </w:r>
      <w:r w:rsidRPr="001D3BEC">
        <w:t xml:space="preserve">targeted path for successful outcomes.  </w:t>
      </w:r>
    </w:p>
    <w:p w14:paraId="6C9E94F7" w14:textId="77777777" w:rsidR="00611D48" w:rsidRPr="001D3BEC" w:rsidRDefault="00611D48" w:rsidP="002C54A2">
      <w:pPr>
        <w:pStyle w:val="ListParagraph"/>
        <w:ind w:left="0"/>
        <w:jc w:val="both"/>
      </w:pPr>
    </w:p>
    <w:p w14:paraId="1AC5B61A" w14:textId="6C741793" w:rsidR="00611D48" w:rsidRPr="001D3BEC" w:rsidRDefault="00611D48" w:rsidP="002C54A2">
      <w:pPr>
        <w:pStyle w:val="ListParagraph"/>
        <w:ind w:left="0"/>
        <w:jc w:val="both"/>
      </w:pPr>
      <w:r w:rsidRPr="001D3BEC">
        <w:t xml:space="preserve">During the 2020 pandemic, training was provided to teachers to move content and delivery of </w:t>
      </w:r>
      <w:r w:rsidR="00353DE1">
        <w:t xml:space="preserve">instruction </w:t>
      </w:r>
      <w:r w:rsidRPr="001D3BEC">
        <w:t xml:space="preserve">to virtual and hybrid </w:t>
      </w:r>
      <w:r w:rsidR="00353DE1">
        <w:t xml:space="preserve">learning </w:t>
      </w:r>
      <w:r w:rsidRPr="001D3BEC">
        <w:t xml:space="preserve">models.  Students were also provided on-line and asynchronous training </w:t>
      </w:r>
      <w:r w:rsidR="003E38A3">
        <w:t xml:space="preserve">before </w:t>
      </w:r>
      <w:r w:rsidRPr="001D3BEC">
        <w:t>u</w:t>
      </w:r>
      <w:r w:rsidR="00353DE1">
        <w:t>tiliz</w:t>
      </w:r>
      <w:r w:rsidR="003E38A3">
        <w:t>ing</w:t>
      </w:r>
      <w:r w:rsidRPr="001D3BEC">
        <w:t xml:space="preserve"> the Canvas learning management system, Google classroom, Zoom and other regionally supported web platforms.  Computers and wi-fi hotspots were loaned to students with technology deficiencies to allow for completion of programs.  On-line courses were developed </w:t>
      </w:r>
      <w:r w:rsidR="003E38A3">
        <w:t>by</w:t>
      </w:r>
      <w:r w:rsidRPr="001D3BEC">
        <w:t xml:space="preserve"> </w:t>
      </w:r>
      <w:r w:rsidR="00353DE1">
        <w:t xml:space="preserve">experienced </w:t>
      </w:r>
      <w:r w:rsidRPr="001D3BEC">
        <w:t xml:space="preserve">lead teachers from various programs to allow for continuation of learning statewide </w:t>
      </w:r>
      <w:r w:rsidR="00353DE1">
        <w:t>as all</w:t>
      </w:r>
      <w:r w:rsidRPr="001D3BEC">
        <w:t xml:space="preserve"> programs were brought online with Canvas.  Online learning training was provided to teachers</w:t>
      </w:r>
      <w:r w:rsidR="00353DE1">
        <w:t xml:space="preserve"> in all programs</w:t>
      </w:r>
      <w:r w:rsidRPr="001D3BEC">
        <w:t xml:space="preserve"> from </w:t>
      </w:r>
      <w:r w:rsidR="00353DE1">
        <w:t xml:space="preserve">these </w:t>
      </w:r>
      <w:r w:rsidR="000D0B72">
        <w:t>mentor</w:t>
      </w:r>
      <w:r w:rsidR="007A587B">
        <w:t xml:space="preserve"> “</w:t>
      </w:r>
      <w:r w:rsidRPr="001D3BEC">
        <w:t>lead</w:t>
      </w:r>
      <w:r w:rsidR="007A587B">
        <w:t>”</w:t>
      </w:r>
      <w:r w:rsidRPr="001D3BEC">
        <w:t xml:space="preserve"> teachers.  Technical </w:t>
      </w:r>
      <w:r w:rsidR="007A587B">
        <w:t xml:space="preserve">support </w:t>
      </w:r>
      <w:r w:rsidR="003E38A3">
        <w:t xml:space="preserve">of online </w:t>
      </w:r>
      <w:r w:rsidRPr="001D3BEC">
        <w:t xml:space="preserve">training was </w:t>
      </w:r>
      <w:r w:rsidR="003E38A3">
        <w:t xml:space="preserve">also </w:t>
      </w:r>
      <w:r w:rsidRPr="001D3BEC">
        <w:t xml:space="preserve">provided to teachers, </w:t>
      </w:r>
      <w:r w:rsidR="007A587B" w:rsidRPr="001D3BEC">
        <w:t>staff,</w:t>
      </w:r>
      <w:r w:rsidRPr="001D3BEC">
        <w:t xml:space="preserve"> and students to ensure the continuation of classes.  This included resource pages for all students and staff on the state website including ESL</w:t>
      </w:r>
      <w:r w:rsidR="007A587B">
        <w:t>/IELCE</w:t>
      </w:r>
      <w:r w:rsidRPr="001D3BEC">
        <w:t xml:space="preserve"> and academic remediation</w:t>
      </w:r>
      <w:r w:rsidR="00FC742C">
        <w:t xml:space="preserve"> resources</w:t>
      </w:r>
      <w:r w:rsidRPr="001D3BEC">
        <w:t xml:space="preserve">.   </w:t>
      </w:r>
    </w:p>
    <w:p w14:paraId="2DE7CC5A" w14:textId="77777777" w:rsidR="00611D48" w:rsidRPr="001D3BEC" w:rsidRDefault="00611D48" w:rsidP="002C54A2">
      <w:pPr>
        <w:pStyle w:val="ListParagraph"/>
        <w:ind w:left="0"/>
        <w:jc w:val="both"/>
      </w:pPr>
    </w:p>
    <w:p w14:paraId="18E3A335" w14:textId="14BD53CA" w:rsidR="00597481" w:rsidRDefault="00611D48" w:rsidP="002C54A2">
      <w:pPr>
        <w:pStyle w:val="ListParagraph"/>
        <w:ind w:left="0"/>
        <w:jc w:val="both"/>
      </w:pPr>
      <w:r w:rsidRPr="001D3BEC">
        <w:t xml:space="preserve">Remote proctoring training was provided for </w:t>
      </w:r>
      <w:r w:rsidR="006C5256">
        <w:t>the Tests for Adult Basic Education (</w:t>
      </w:r>
      <w:r w:rsidRPr="001D3BEC">
        <w:t>TABE</w:t>
      </w:r>
      <w:r w:rsidR="006C5256">
        <w:t>)</w:t>
      </w:r>
      <w:r w:rsidRPr="001D3BEC">
        <w:t xml:space="preserve"> and other online testing sites.  GED Testing Service provided workshops and webinars for test alignment to </w:t>
      </w:r>
      <w:r w:rsidR="006C5256">
        <w:t>the College and Career Readiness Standards (</w:t>
      </w:r>
      <w:r w:rsidRPr="001D3BEC">
        <w:t>CCRS</w:t>
      </w:r>
      <w:r w:rsidR="006C5256">
        <w:t>)</w:t>
      </w:r>
      <w:r w:rsidRPr="001D3BEC">
        <w:t xml:space="preserve">.  Online standards courses offered from </w:t>
      </w:r>
      <w:r w:rsidR="008C0B4E" w:rsidRPr="001D3BEC">
        <w:t>LINCS,</w:t>
      </w:r>
      <w:r w:rsidRPr="001D3BEC">
        <w:t xml:space="preserve"> and </w:t>
      </w:r>
      <w:r w:rsidR="008C0B4E">
        <w:t>the Institute for the Professional Development of Adult Educators (</w:t>
      </w:r>
      <w:r w:rsidRPr="001D3BEC">
        <w:t>IPDAE</w:t>
      </w:r>
      <w:r w:rsidR="008C0B4E">
        <w:t>)</w:t>
      </w:r>
      <w:r w:rsidRPr="001D3BEC">
        <w:t xml:space="preserve"> were </w:t>
      </w:r>
      <w:r w:rsidR="008C0B4E">
        <w:t xml:space="preserve">used to improve </w:t>
      </w:r>
      <w:r w:rsidRPr="001D3BEC">
        <w:t>online instruction.  NorthStar</w:t>
      </w:r>
      <w:r w:rsidR="007D7BE7">
        <w:t xml:space="preserve"> Digital Literacy</w:t>
      </w:r>
      <w:r w:rsidRPr="001D3BEC">
        <w:t xml:space="preserve"> and G</w:t>
      </w:r>
      <w:r w:rsidR="007D7BE7">
        <w:t xml:space="preserve">oodwill Community Foundation (GCF) </w:t>
      </w:r>
      <w:r w:rsidRPr="007D7BE7">
        <w:rPr>
          <w:i/>
          <w:iCs/>
        </w:rPr>
        <w:t>Learn Free</w:t>
      </w:r>
      <w:r w:rsidRPr="001D3BEC">
        <w:t xml:space="preserve"> were </w:t>
      </w:r>
      <w:r w:rsidR="00597481">
        <w:t xml:space="preserve">also </w:t>
      </w:r>
      <w:r w:rsidR="00597481" w:rsidRPr="001D3BEC">
        <w:t>promoted</w:t>
      </w:r>
      <w:r w:rsidRPr="001D3BEC">
        <w:t xml:space="preserve"> for staff and students throughout the state to increase technology skills.  The statewide Ready to Work program for soft skill instruction was moved to the Canvas platform and training provided for all staff to deliver curriculum to the same rigorous standards as in-person instruction.  This allowed for other course offerings to be migrated to the online learning platform.  </w:t>
      </w:r>
    </w:p>
    <w:p w14:paraId="3A4E9861" w14:textId="77777777" w:rsidR="00597481" w:rsidRDefault="00597481" w:rsidP="002C54A2">
      <w:pPr>
        <w:pStyle w:val="ListParagraph"/>
        <w:ind w:left="0"/>
        <w:jc w:val="both"/>
      </w:pPr>
    </w:p>
    <w:p w14:paraId="3097686C" w14:textId="2FBF000A" w:rsidR="00611D48" w:rsidRPr="001D3BEC" w:rsidRDefault="00611D48" w:rsidP="002C54A2">
      <w:pPr>
        <w:pStyle w:val="ListParagraph"/>
        <w:ind w:left="0"/>
        <w:jc w:val="both"/>
      </w:pPr>
      <w:r w:rsidRPr="001D3BEC">
        <w:t xml:space="preserve">The </w:t>
      </w:r>
      <w:r w:rsidR="00124AC0">
        <w:t>challenges and lessons learned</w:t>
      </w:r>
      <w:r w:rsidRPr="001D3BEC">
        <w:t xml:space="preserve"> </w:t>
      </w:r>
      <w:r w:rsidR="001669A5">
        <w:t xml:space="preserve">with virtual online learning involve </w:t>
      </w:r>
      <w:r w:rsidR="00D32061">
        <w:t xml:space="preserve">students and programs </w:t>
      </w:r>
      <w:r w:rsidRPr="001D3BEC">
        <w:t xml:space="preserve">having equal access to technology and Wi-Fi networks.  Also, continuous </w:t>
      </w:r>
      <w:r w:rsidR="00D32061">
        <w:t xml:space="preserve">state level and program level </w:t>
      </w:r>
      <w:r w:rsidRPr="001D3BEC">
        <w:t xml:space="preserve">follow-up is required for implementation and performance as well as moving more course offerings to the virtual platforms.  </w:t>
      </w:r>
    </w:p>
    <w:p w14:paraId="1F248C6D" w14:textId="600F196D" w:rsidR="00611D48" w:rsidRPr="001D3BEC" w:rsidRDefault="00611D48" w:rsidP="002C54A2">
      <w:pPr>
        <w:pStyle w:val="BodyText"/>
        <w:ind w:left="0" w:right="417"/>
        <w:jc w:val="both"/>
        <w:rPr>
          <w:spacing w:val="-1"/>
        </w:rPr>
      </w:pPr>
    </w:p>
    <w:p w14:paraId="0F263C2E" w14:textId="77777777" w:rsidR="00B95A07" w:rsidRDefault="00B95A07" w:rsidP="001D3BEC">
      <w:pPr>
        <w:pStyle w:val="Heading1"/>
        <w:tabs>
          <w:tab w:val="left" w:pos="1200"/>
        </w:tabs>
        <w:ind w:left="0" w:right="737" w:firstLine="0"/>
      </w:pPr>
    </w:p>
    <w:p w14:paraId="1A0E5270" w14:textId="77777777" w:rsidR="001D3BEC" w:rsidRDefault="001D3BEC" w:rsidP="00B55B73">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jc w:val="both"/>
        <w:rPr>
          <w:rFonts w:cs="Times New Roman"/>
          <w:b/>
          <w:bCs/>
        </w:rPr>
      </w:pPr>
    </w:p>
    <w:p w14:paraId="70E2A93A" w14:textId="0F99CB06" w:rsidR="009565C7" w:rsidRPr="007D3516" w:rsidRDefault="009565C7" w:rsidP="00B55B73">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jc w:val="both"/>
        <w:rPr>
          <w:rFonts w:cs="Times New Roman"/>
          <w:b/>
          <w:bCs/>
        </w:rPr>
      </w:pPr>
      <w:r w:rsidRPr="007D3516">
        <w:rPr>
          <w:rFonts w:cs="Times New Roman"/>
          <w:b/>
          <w:bCs/>
        </w:rPr>
        <w:t>Programs for Corrections Education and the Education of Other Institutionalized</w:t>
      </w:r>
    </w:p>
    <w:p w14:paraId="428300B2" w14:textId="77777777" w:rsidR="009565C7" w:rsidRPr="007D3516" w:rsidRDefault="009565C7" w:rsidP="00B55B73">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jc w:val="both"/>
        <w:rPr>
          <w:rFonts w:cs="Times New Roman"/>
        </w:rPr>
      </w:pPr>
      <w:r w:rsidRPr="007D3516">
        <w:rPr>
          <w:rFonts w:cs="Times New Roman"/>
          <w:b/>
          <w:bCs/>
        </w:rPr>
        <w:t xml:space="preserve">Individuals </w:t>
      </w:r>
      <w:r w:rsidRPr="007D3516">
        <w:rPr>
          <w:rFonts w:cs="Times New Roman"/>
        </w:rPr>
        <w:t>(AEFLA Section 225)</w:t>
      </w:r>
    </w:p>
    <w:p w14:paraId="36BE726C" w14:textId="76C7B74C" w:rsidR="009565C7" w:rsidRDefault="009565C7" w:rsidP="00B55B73">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jc w:val="both"/>
        <w:rPr>
          <w:rFonts w:cs="Times New Roman"/>
          <w:i/>
        </w:rPr>
      </w:pPr>
      <w:r w:rsidRPr="004241AD">
        <w:rPr>
          <w:rFonts w:cs="Times New Roman"/>
          <w:i/>
        </w:rPr>
        <w:t>What was the relative rate of recidivism for criminal offenders served? Please describe the methods and factors used in calculating the rate for this reporting period.</w:t>
      </w:r>
    </w:p>
    <w:p w14:paraId="66CFE3D4" w14:textId="77777777" w:rsidR="001D3BEC" w:rsidRPr="004241AD" w:rsidRDefault="001D3BEC" w:rsidP="00B55B73">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jc w:val="both"/>
        <w:rPr>
          <w:rFonts w:cs="Times New Roman"/>
          <w:i/>
        </w:rPr>
      </w:pPr>
    </w:p>
    <w:p w14:paraId="0CCC58AB" w14:textId="77777777" w:rsidR="00B95A07" w:rsidRDefault="00B95A07" w:rsidP="00072017">
      <w:pPr>
        <w:pStyle w:val="BodyText"/>
        <w:ind w:left="1200" w:right="257"/>
      </w:pPr>
    </w:p>
    <w:p w14:paraId="2C5D5CD3" w14:textId="77777777" w:rsidR="00B95A07" w:rsidRPr="001D3BEC" w:rsidRDefault="00B95A07" w:rsidP="00B95A07">
      <w:pPr>
        <w:autoSpaceDE w:val="0"/>
        <w:autoSpaceDN w:val="0"/>
        <w:adjustRightInd w:val="0"/>
        <w:jc w:val="both"/>
        <w:rPr>
          <w:rFonts w:cs="Times New Roman"/>
        </w:rPr>
      </w:pPr>
    </w:p>
    <w:p w14:paraId="14BEE877" w14:textId="31CF832F" w:rsidR="00B95A07" w:rsidRPr="001D3BEC" w:rsidRDefault="00B95A07" w:rsidP="00B95A07">
      <w:pPr>
        <w:autoSpaceDE w:val="0"/>
        <w:autoSpaceDN w:val="0"/>
        <w:adjustRightInd w:val="0"/>
        <w:jc w:val="both"/>
        <w:rPr>
          <w:rFonts w:cs="Times New Roman"/>
        </w:rPr>
      </w:pPr>
      <w:r w:rsidRPr="001D3BEC">
        <w:rPr>
          <w:rFonts w:cs="Times New Roman"/>
        </w:rPr>
        <w:t xml:space="preserve">Alabama measures recidivism of an offender by rearrests, reconviction, and/or return to prison during a three-year period following the offender’s date of release.  Alabama is making a strong investment in </w:t>
      </w:r>
      <w:r w:rsidR="000D3F44">
        <w:rPr>
          <w:rFonts w:cs="Times New Roman"/>
        </w:rPr>
        <w:t>a</w:t>
      </w:r>
      <w:r w:rsidRPr="001D3BEC">
        <w:rPr>
          <w:rFonts w:cs="Times New Roman"/>
        </w:rPr>
        <w:t xml:space="preserve">dult </w:t>
      </w:r>
      <w:r w:rsidR="000D3F44">
        <w:rPr>
          <w:rFonts w:cs="Times New Roman"/>
        </w:rPr>
        <w:t>e</w:t>
      </w:r>
      <w:r w:rsidRPr="001D3BEC">
        <w:rPr>
          <w:rFonts w:cs="Times New Roman"/>
        </w:rPr>
        <w:t>ducation and workforce training for the Department of Corrections.  This investment i</w:t>
      </w:r>
      <w:r w:rsidR="000D3F44">
        <w:rPr>
          <w:rFonts w:cs="Times New Roman"/>
        </w:rPr>
        <w:t xml:space="preserve">n educational programming is </w:t>
      </w:r>
      <w:r w:rsidRPr="001D3BEC">
        <w:rPr>
          <w:rFonts w:cs="Times New Roman"/>
        </w:rPr>
        <w:t xml:space="preserve">working to reduce the rate of recidivism. </w:t>
      </w:r>
    </w:p>
    <w:p w14:paraId="7AE8E096" w14:textId="77777777" w:rsidR="00B95A07" w:rsidRPr="001D3BEC" w:rsidRDefault="00B95A07" w:rsidP="00B95A07">
      <w:pPr>
        <w:autoSpaceDE w:val="0"/>
        <w:autoSpaceDN w:val="0"/>
        <w:adjustRightInd w:val="0"/>
        <w:jc w:val="both"/>
        <w:rPr>
          <w:rFonts w:cs="Times New Roman"/>
        </w:rPr>
      </w:pPr>
    </w:p>
    <w:p w14:paraId="52FCE602" w14:textId="47BA3D26" w:rsidR="00B95A07" w:rsidRPr="005278DB" w:rsidRDefault="00B95A07" w:rsidP="00B95A07">
      <w:pPr>
        <w:autoSpaceDE w:val="0"/>
        <w:autoSpaceDN w:val="0"/>
        <w:adjustRightInd w:val="0"/>
        <w:jc w:val="both"/>
        <w:rPr>
          <w:rFonts w:cs="Times New Roman"/>
        </w:rPr>
      </w:pPr>
      <w:r w:rsidRPr="001D3BEC">
        <w:rPr>
          <w:rFonts w:cs="Times New Roman"/>
        </w:rPr>
        <w:t xml:space="preserve">During Fiscal Year </w:t>
      </w:r>
      <w:r w:rsidR="003C7978">
        <w:rPr>
          <w:rFonts w:cs="Times New Roman"/>
        </w:rPr>
        <w:t>2018-20</w:t>
      </w:r>
      <w:r w:rsidRPr="001D3BEC">
        <w:rPr>
          <w:rFonts w:cs="Times New Roman"/>
        </w:rPr>
        <w:t xml:space="preserve">19, there were 3,704 correctional students served in the Alabama Adult Education Program.  </w:t>
      </w:r>
      <w:r w:rsidR="0006059D">
        <w:rPr>
          <w:rFonts w:cs="Times New Roman"/>
        </w:rPr>
        <w:t xml:space="preserve"> </w:t>
      </w:r>
      <w:r w:rsidRPr="001D3BEC">
        <w:rPr>
          <w:rFonts w:cs="Times New Roman"/>
        </w:rPr>
        <w:t xml:space="preserve">The fiscal year is used to better align </w:t>
      </w:r>
      <w:r w:rsidR="00D57261">
        <w:rPr>
          <w:rFonts w:cs="Times New Roman"/>
        </w:rPr>
        <w:t xml:space="preserve">the data </w:t>
      </w:r>
      <w:r w:rsidRPr="001D3BEC">
        <w:rPr>
          <w:rFonts w:cs="Times New Roman"/>
        </w:rPr>
        <w:t>with the Alabama Department of Corrections</w:t>
      </w:r>
      <w:r w:rsidR="003C7978">
        <w:rPr>
          <w:rFonts w:cs="Times New Roman"/>
        </w:rPr>
        <w:t xml:space="preserve"> </w:t>
      </w:r>
      <w:r w:rsidRPr="001D3BEC">
        <w:rPr>
          <w:rFonts w:cs="Times New Roman"/>
        </w:rPr>
        <w:t>(ADOC)</w:t>
      </w:r>
      <w:r w:rsidR="003C7978">
        <w:rPr>
          <w:rFonts w:cs="Times New Roman"/>
        </w:rPr>
        <w:t xml:space="preserve"> reporting period</w:t>
      </w:r>
      <w:r w:rsidRPr="001D3BEC">
        <w:rPr>
          <w:rFonts w:cs="Times New Roman"/>
        </w:rPr>
        <w:t xml:space="preserve">.  Of this number, 2,789 students were matched by </w:t>
      </w:r>
      <w:r w:rsidR="003C7978">
        <w:rPr>
          <w:rFonts w:cs="Times New Roman"/>
        </w:rPr>
        <w:t>the Alabama Department of C</w:t>
      </w:r>
      <w:r w:rsidRPr="001D3BEC">
        <w:rPr>
          <w:rFonts w:cs="Times New Roman"/>
        </w:rPr>
        <w:t xml:space="preserve">orrections. There have been </w:t>
      </w:r>
      <w:r w:rsidRPr="003C7978">
        <w:rPr>
          <w:rFonts w:cs="Times New Roman"/>
          <w:b/>
          <w:bCs/>
        </w:rPr>
        <w:t>1,119</w:t>
      </w:r>
      <w:r w:rsidRPr="001D3BEC">
        <w:rPr>
          <w:rFonts w:cs="Times New Roman"/>
        </w:rPr>
        <w:t xml:space="preserve"> </w:t>
      </w:r>
      <w:r w:rsidR="005278DB">
        <w:rPr>
          <w:rFonts w:cs="Times New Roman"/>
        </w:rPr>
        <w:t xml:space="preserve">incarcerated students served in FY 2018-2019 </w:t>
      </w:r>
      <w:r w:rsidRPr="001D3BEC">
        <w:rPr>
          <w:rFonts w:cs="Times New Roman"/>
        </w:rPr>
        <w:t xml:space="preserve">who were released </w:t>
      </w:r>
      <w:r w:rsidR="003C7978">
        <w:rPr>
          <w:rFonts w:cs="Times New Roman"/>
        </w:rPr>
        <w:t xml:space="preserve">back into society </w:t>
      </w:r>
      <w:r w:rsidRPr="001D3BEC">
        <w:rPr>
          <w:rFonts w:cs="Times New Roman"/>
        </w:rPr>
        <w:t xml:space="preserve">and </w:t>
      </w:r>
      <w:r w:rsidR="00C278B0">
        <w:rPr>
          <w:rFonts w:cs="Times New Roman"/>
        </w:rPr>
        <w:t xml:space="preserve">only </w:t>
      </w:r>
      <w:r w:rsidRPr="003C7978">
        <w:rPr>
          <w:rFonts w:cs="Times New Roman"/>
          <w:b/>
          <w:bCs/>
        </w:rPr>
        <w:t>22</w:t>
      </w:r>
      <w:r w:rsidRPr="001D3BEC">
        <w:rPr>
          <w:rFonts w:cs="Times New Roman"/>
        </w:rPr>
        <w:t xml:space="preserve"> </w:t>
      </w:r>
      <w:r w:rsidR="003C7978">
        <w:rPr>
          <w:rFonts w:cs="Times New Roman"/>
        </w:rPr>
        <w:t xml:space="preserve">of those have been </w:t>
      </w:r>
      <w:r w:rsidRPr="001D3BEC">
        <w:rPr>
          <w:rFonts w:cs="Times New Roman"/>
        </w:rPr>
        <w:t>r</w:t>
      </w:r>
      <w:r w:rsidR="003C7978">
        <w:rPr>
          <w:rFonts w:cs="Times New Roman"/>
        </w:rPr>
        <w:t>eincarcerated</w:t>
      </w:r>
      <w:r w:rsidRPr="001D3BEC">
        <w:rPr>
          <w:rFonts w:cs="Times New Roman"/>
        </w:rPr>
        <w:t xml:space="preserve">.   This gives us a 3-year recidivism rate of </w:t>
      </w:r>
      <w:r w:rsidRPr="003C7978">
        <w:rPr>
          <w:rFonts w:cs="Times New Roman"/>
          <w:b/>
          <w:bCs/>
        </w:rPr>
        <w:t>2.0%</w:t>
      </w:r>
      <w:r w:rsidR="005278DB">
        <w:rPr>
          <w:rFonts w:cs="Times New Roman"/>
          <w:b/>
          <w:bCs/>
        </w:rPr>
        <w:t xml:space="preserve">, </w:t>
      </w:r>
      <w:r w:rsidR="005278DB" w:rsidRPr="005278DB">
        <w:rPr>
          <w:rFonts w:cs="Times New Roman"/>
        </w:rPr>
        <w:t>which is a</w:t>
      </w:r>
      <w:r w:rsidR="005D5469">
        <w:rPr>
          <w:rFonts w:cs="Times New Roman"/>
        </w:rPr>
        <w:t>n exceptionally</w:t>
      </w:r>
      <w:r w:rsidR="005278DB" w:rsidRPr="005278DB">
        <w:rPr>
          <w:rFonts w:cs="Times New Roman"/>
        </w:rPr>
        <w:t xml:space="preserve"> low</w:t>
      </w:r>
      <w:r w:rsidR="005278DB">
        <w:rPr>
          <w:rFonts w:cs="Times New Roman"/>
        </w:rPr>
        <w:t xml:space="preserve"> rate that demonstrates the </w:t>
      </w:r>
      <w:r w:rsidR="00A71BB2">
        <w:rPr>
          <w:rFonts w:cs="Times New Roman"/>
        </w:rPr>
        <w:t>role</w:t>
      </w:r>
      <w:r w:rsidR="005278DB">
        <w:rPr>
          <w:rFonts w:cs="Times New Roman"/>
        </w:rPr>
        <w:t xml:space="preserve"> education</w:t>
      </w:r>
      <w:r w:rsidR="00A71BB2">
        <w:rPr>
          <w:rFonts w:cs="Times New Roman"/>
        </w:rPr>
        <w:t xml:space="preserve"> performs</w:t>
      </w:r>
      <w:r w:rsidR="005278DB">
        <w:rPr>
          <w:rFonts w:cs="Times New Roman"/>
        </w:rPr>
        <w:t xml:space="preserve"> </w:t>
      </w:r>
      <w:r w:rsidR="005D5469">
        <w:rPr>
          <w:rFonts w:cs="Times New Roman"/>
        </w:rPr>
        <w:t>in reducing recidivism</w:t>
      </w:r>
      <w:r w:rsidR="005278DB">
        <w:rPr>
          <w:rFonts w:cs="Times New Roman"/>
        </w:rPr>
        <w:t xml:space="preserve">.  In comparison, </w:t>
      </w:r>
      <w:r w:rsidRPr="001D3BEC">
        <w:rPr>
          <w:rFonts w:cs="Times New Roman"/>
        </w:rPr>
        <w:t xml:space="preserve">the </w:t>
      </w:r>
      <w:r w:rsidR="00A73181">
        <w:rPr>
          <w:rFonts w:cs="Times New Roman"/>
        </w:rPr>
        <w:t>2019-2020 A</w:t>
      </w:r>
      <w:r w:rsidR="00A71BB2">
        <w:rPr>
          <w:rFonts w:cs="Times New Roman"/>
        </w:rPr>
        <w:t>L</w:t>
      </w:r>
      <w:r w:rsidR="00A73181">
        <w:rPr>
          <w:rFonts w:cs="Times New Roman"/>
        </w:rPr>
        <w:t xml:space="preserve"> report</w:t>
      </w:r>
      <w:r w:rsidR="005278DB">
        <w:rPr>
          <w:rFonts w:cs="Times New Roman"/>
        </w:rPr>
        <w:t xml:space="preserve"> </w:t>
      </w:r>
      <w:r w:rsidR="005278DB">
        <w:t>touted a</w:t>
      </w:r>
      <w:r w:rsidR="005D5469">
        <w:t xml:space="preserve"> very respectable </w:t>
      </w:r>
      <w:r w:rsidRPr="001D3BEC">
        <w:t xml:space="preserve">3-year recidivism rate </w:t>
      </w:r>
      <w:r w:rsidR="005278DB">
        <w:t xml:space="preserve">of </w:t>
      </w:r>
      <w:r w:rsidRPr="001D3BEC">
        <w:t>3.5%.</w:t>
      </w:r>
    </w:p>
    <w:p w14:paraId="4B10BCF5" w14:textId="77777777" w:rsidR="00B95A07" w:rsidRPr="001D3BEC" w:rsidRDefault="00B95A07" w:rsidP="00B95A07">
      <w:pPr>
        <w:autoSpaceDE w:val="0"/>
        <w:autoSpaceDN w:val="0"/>
        <w:adjustRightInd w:val="0"/>
        <w:jc w:val="both"/>
        <w:rPr>
          <w:rFonts w:cs="Times New Roman"/>
        </w:rPr>
      </w:pPr>
    </w:p>
    <w:p w14:paraId="5CF98817" w14:textId="1C160B4F" w:rsidR="00846D5D" w:rsidRPr="009565C7" w:rsidRDefault="00B95A07" w:rsidP="002E1074">
      <w:pPr>
        <w:autoSpaceDE w:val="0"/>
        <w:autoSpaceDN w:val="0"/>
        <w:adjustRightInd w:val="0"/>
        <w:jc w:val="both"/>
        <w:sectPr w:rsidR="00846D5D" w:rsidRPr="009565C7">
          <w:headerReference w:type="default" r:id="rId9"/>
          <w:footerReference w:type="default" r:id="rId10"/>
          <w:pgSz w:w="12240" w:h="15840"/>
          <w:pgMar w:top="1240" w:right="1280" w:bottom="1020" w:left="1340" w:header="0" w:footer="823" w:gutter="0"/>
          <w:cols w:space="720"/>
        </w:sectPr>
      </w:pPr>
      <w:r w:rsidRPr="001D3BEC">
        <w:t xml:space="preserve">With the COVID-19 shutdown, local programs were unable to provide in-person or virtual instruction due to COVID-19 concerns and restrictive </w:t>
      </w:r>
      <w:r w:rsidR="005D5469">
        <w:t xml:space="preserve">ADOC </w:t>
      </w:r>
      <w:r w:rsidRPr="001D3BEC">
        <w:t xml:space="preserve">Internet </w:t>
      </w:r>
      <w:r w:rsidR="005D5469">
        <w:t>and/</w:t>
      </w:r>
      <w:r w:rsidRPr="001D3BEC">
        <w:t xml:space="preserve">or technology policies. </w:t>
      </w:r>
      <w:r w:rsidR="00340EE9">
        <w:t xml:space="preserve">Access to direct instruction was not allowed until </w:t>
      </w:r>
      <w:r w:rsidR="00D42FF7">
        <w:t>late into the 2020-2021 program year</w:t>
      </w:r>
      <w:r w:rsidR="00C278B0">
        <w:t xml:space="preserve"> (May 2021)</w:t>
      </w:r>
      <w:r w:rsidR="00D42FF7">
        <w:t xml:space="preserve">.  </w:t>
      </w:r>
      <w:r w:rsidRPr="001D3BEC">
        <w:t xml:space="preserve">Some programs were able to provide paper-based distance education </w:t>
      </w:r>
      <w:r w:rsidR="00D42FF7">
        <w:t xml:space="preserve">opportunities </w:t>
      </w:r>
      <w:r w:rsidRPr="001D3BEC">
        <w:t>through instructional packets</w:t>
      </w:r>
      <w:r w:rsidR="00842E31">
        <w:t xml:space="preserve"> which</w:t>
      </w:r>
      <w:r w:rsidRPr="001D3BEC">
        <w:t xml:space="preserve"> allowed students to work independently in their cells</w:t>
      </w:r>
      <w:r w:rsidR="00D42FF7">
        <w:t xml:space="preserve"> with feedback coming from </w:t>
      </w:r>
      <w:r w:rsidR="00842E31">
        <w:t xml:space="preserve">verbal communication when inmates were on the yard and instructors </w:t>
      </w:r>
      <w:r w:rsidR="004A204E">
        <w:t xml:space="preserve">were allowed to </w:t>
      </w:r>
      <w:r w:rsidR="00842E31">
        <w:t>talk</w:t>
      </w:r>
      <w:r w:rsidR="004A204E">
        <w:t xml:space="preserve"> </w:t>
      </w:r>
      <w:r w:rsidR="00842E31">
        <w:t>with them through the fence</w:t>
      </w:r>
      <w:r w:rsidR="004A204E">
        <w:t xml:space="preserve">.  Instructional support and feedback were also provided through </w:t>
      </w:r>
      <w:r w:rsidR="00D42FF7">
        <w:t>written correspondence</w:t>
      </w:r>
      <w:r w:rsidRPr="001D3BEC">
        <w:t>.</w:t>
      </w:r>
      <w:r w:rsidR="00340EE9">
        <w:t xml:space="preserve">  </w:t>
      </w:r>
      <w:r w:rsidR="008B2D14">
        <w:t>However, the ability to provide an approved</w:t>
      </w:r>
      <w:r w:rsidR="00846D5D">
        <w:t>, proctored</w:t>
      </w:r>
      <w:r w:rsidR="008B2D14">
        <w:t xml:space="preserve"> </w:t>
      </w:r>
      <w:r w:rsidR="00846D5D">
        <w:t>posttest</w:t>
      </w:r>
      <w:r w:rsidR="008B2D14">
        <w:t xml:space="preserve"> was not possible</w:t>
      </w:r>
      <w:r w:rsidR="004A204E">
        <w:t>, t</w:t>
      </w:r>
      <w:r w:rsidR="00D42FF7">
        <w:t>hus</w:t>
      </w:r>
      <w:r w:rsidR="004A204E">
        <w:t xml:space="preserve"> </w:t>
      </w:r>
      <w:r w:rsidR="00D42FF7">
        <w:t>impacting overall educational functioning level gains and measurable skill gains</w:t>
      </w:r>
      <w:r w:rsidR="00B936D0">
        <w:t xml:space="preserve"> for PY 2020-2021</w:t>
      </w:r>
      <w:r w:rsidR="00D42FF7">
        <w:t xml:space="preserve">.  </w:t>
      </w:r>
      <w:r w:rsidR="00A73181">
        <w:t>A reduction in traditional face to face instruction</w:t>
      </w:r>
      <w:r w:rsidR="004A204E">
        <w:t>,</w:t>
      </w:r>
      <w:r w:rsidR="00A73181">
        <w:t xml:space="preserve"> coupled with the </w:t>
      </w:r>
      <w:r w:rsidR="00D57261">
        <w:t xml:space="preserve">reality that incarcerated students demonstrate overall lower literacy levels, </w:t>
      </w:r>
      <w:r w:rsidR="0006059D">
        <w:t xml:space="preserve">may </w:t>
      </w:r>
      <w:r w:rsidR="003257F5">
        <w:t xml:space="preserve">lead to fluctuations in </w:t>
      </w:r>
      <w:r w:rsidR="00D57261">
        <w:t>future r</w:t>
      </w:r>
      <w:r w:rsidR="003257F5">
        <w:t>ecidivism rates</w:t>
      </w:r>
      <w:r w:rsidR="00D57261">
        <w:t xml:space="preserve">.  </w:t>
      </w:r>
    </w:p>
    <w:p w14:paraId="63BB5069" w14:textId="0702D1EF" w:rsidR="004675DC" w:rsidRDefault="004675DC" w:rsidP="002E1074"/>
    <w:p w14:paraId="123C7D41" w14:textId="359DE405" w:rsidR="000110B1" w:rsidRDefault="000110B1" w:rsidP="002E1074"/>
    <w:p w14:paraId="054154E5" w14:textId="03266458" w:rsidR="000110B1" w:rsidRPr="000110B1" w:rsidRDefault="000110B1" w:rsidP="002E1074">
      <w:pPr>
        <w:rPr>
          <w:b/>
          <w:bCs/>
          <w:sz w:val="28"/>
          <w:szCs w:val="28"/>
        </w:rPr>
      </w:pPr>
      <w:r w:rsidRPr="000110B1">
        <w:rPr>
          <w:b/>
          <w:bCs/>
          <w:sz w:val="28"/>
          <w:szCs w:val="28"/>
        </w:rPr>
        <w:t>Attachment A</w:t>
      </w:r>
    </w:p>
    <w:p w14:paraId="72E427C8" w14:textId="35D71D1E" w:rsidR="000110B1" w:rsidRDefault="000110B1" w:rsidP="002E1074"/>
    <w:p w14:paraId="1884E33D" w14:textId="237B11ED" w:rsidR="000110B1" w:rsidRDefault="000110B1" w:rsidP="002E1074">
      <w:pPr>
        <w:rPr>
          <w:noProof/>
        </w:rPr>
      </w:pPr>
      <w:r>
        <w:rPr>
          <w:noProof/>
        </w:rPr>
        <w:drawing>
          <wp:inline distT="0" distB="0" distL="0" distR="0" wp14:anchorId="110F854E" wp14:editId="5625C4B0">
            <wp:extent cx="6252329" cy="652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257772" cy="6530305"/>
                    </a:xfrm>
                    <a:prstGeom prst="rect">
                      <a:avLst/>
                    </a:prstGeom>
                    <a:noFill/>
                    <a:ln>
                      <a:noFill/>
                    </a:ln>
                  </pic:spPr>
                </pic:pic>
              </a:graphicData>
            </a:graphic>
          </wp:inline>
        </w:drawing>
      </w:r>
    </w:p>
    <w:p w14:paraId="436B7CDA" w14:textId="0DA1832D" w:rsidR="00DC5C0D" w:rsidRPr="00DC5C0D" w:rsidRDefault="00DC5C0D" w:rsidP="00DC5C0D"/>
    <w:p w14:paraId="08320FDF" w14:textId="03978C2C" w:rsidR="00DC5C0D" w:rsidRPr="00DC5C0D" w:rsidRDefault="00DC5C0D" w:rsidP="00DC5C0D"/>
    <w:p w14:paraId="67E92343" w14:textId="75FAB2C7" w:rsidR="00DC5C0D" w:rsidRDefault="00DC5C0D" w:rsidP="00DC5C0D">
      <w:pPr>
        <w:rPr>
          <w:noProof/>
        </w:rPr>
      </w:pPr>
    </w:p>
    <w:p w14:paraId="05905D7D" w14:textId="77777777" w:rsidR="00DC5C0D" w:rsidRDefault="00DC5C0D" w:rsidP="00DC5C0D">
      <w:pPr>
        <w:jc w:val="center"/>
        <w:rPr>
          <w:b/>
          <w:sz w:val="28"/>
          <w:szCs w:val="28"/>
        </w:rPr>
      </w:pPr>
    </w:p>
    <w:p w14:paraId="78A1B218" w14:textId="77777777" w:rsidR="00DC5C0D" w:rsidRDefault="00DC5C0D" w:rsidP="00DC5C0D">
      <w:pPr>
        <w:jc w:val="center"/>
        <w:rPr>
          <w:b/>
          <w:sz w:val="28"/>
          <w:szCs w:val="28"/>
        </w:rPr>
      </w:pPr>
    </w:p>
    <w:sectPr w:rsidR="00DC5C0D" w:rsidSect="000D3F44">
      <w:pgSz w:w="12240" w:h="15840"/>
      <w:pgMar w:top="1152"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EF79" w14:textId="77777777" w:rsidR="001D6BE3" w:rsidRDefault="001D6BE3" w:rsidP="00584B75">
      <w:r>
        <w:separator/>
      </w:r>
    </w:p>
  </w:endnote>
  <w:endnote w:type="continuationSeparator" w:id="0">
    <w:p w14:paraId="6D527B12" w14:textId="77777777" w:rsidR="001D6BE3" w:rsidRDefault="001D6BE3" w:rsidP="0058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9687"/>
      <w:docPartObj>
        <w:docPartGallery w:val="Page Numbers (Bottom of Page)"/>
        <w:docPartUnique/>
      </w:docPartObj>
    </w:sdtPr>
    <w:sdtContent>
      <w:sdt>
        <w:sdtPr>
          <w:id w:val="-1705238520"/>
          <w:docPartObj>
            <w:docPartGallery w:val="Page Numbers (Top of Page)"/>
            <w:docPartUnique/>
          </w:docPartObj>
        </w:sdtPr>
        <w:sdtContent>
          <w:p w14:paraId="2684013D" w14:textId="256DD434" w:rsidR="00BF54E7" w:rsidRDefault="00BF54E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A78ED">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78ED">
              <w:rPr>
                <w:b/>
                <w:bCs/>
                <w:noProof/>
              </w:rPr>
              <w:t>12</w:t>
            </w:r>
            <w:r>
              <w:rPr>
                <w:b/>
                <w:bCs/>
                <w:sz w:val="24"/>
                <w:szCs w:val="24"/>
              </w:rPr>
              <w:fldChar w:fldCharType="end"/>
            </w:r>
          </w:p>
        </w:sdtContent>
      </w:sdt>
    </w:sdtContent>
  </w:sdt>
  <w:p w14:paraId="55530CA7" w14:textId="6DD01495" w:rsidR="00584B75" w:rsidRPr="00584B75" w:rsidRDefault="00584B75" w:rsidP="00BF54E7">
    <w:pPr>
      <w:pStyle w:val="Footer"/>
      <w:tabs>
        <w:tab w:val="clear" w:pos="4680"/>
        <w:tab w:val="clear" w:pos="9360"/>
        <w:tab w:val="left" w:pos="2685"/>
      </w:tabs>
      <w:jc w:val="right"/>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F33A" w14:textId="77777777" w:rsidR="001D6BE3" w:rsidRDefault="001D6BE3" w:rsidP="00584B75">
      <w:r>
        <w:separator/>
      </w:r>
    </w:p>
  </w:footnote>
  <w:footnote w:type="continuationSeparator" w:id="0">
    <w:p w14:paraId="06BEC64A" w14:textId="77777777" w:rsidR="001D6BE3" w:rsidRDefault="001D6BE3" w:rsidP="0058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516F" w14:textId="0A2E20EB" w:rsidR="00584B75" w:rsidRDefault="007F76C9" w:rsidP="000D3F44">
    <w:pPr>
      <w:pStyle w:val="BodyText"/>
      <w:tabs>
        <w:tab w:val="left" w:pos="9545"/>
      </w:tabs>
      <w:spacing w:before="69"/>
      <w:ind w:left="0" w:right="177"/>
      <w:rPr>
        <w:noProof/>
      </w:rPr>
    </w:pPr>
    <w:r w:rsidRPr="00D27C11">
      <w:rPr>
        <w:noProof/>
      </w:rPr>
      <mc:AlternateContent>
        <mc:Choice Requires="wps">
          <w:drawing>
            <wp:anchor distT="0" distB="0" distL="114300" distR="114300" simplePos="0" relativeHeight="251657216" behindDoc="0" locked="0" layoutInCell="1" allowOverlap="1" wp14:anchorId="301A5ED5" wp14:editId="1E382911">
              <wp:simplePos x="0" y="0"/>
              <wp:positionH relativeFrom="page">
                <wp:align>left</wp:align>
              </wp:positionH>
              <wp:positionV relativeFrom="paragraph">
                <wp:posOffset>152400</wp:posOffset>
              </wp:positionV>
              <wp:extent cx="7715250" cy="409575"/>
              <wp:effectExtent l="0" t="0" r="0" b="9525"/>
              <wp:wrapNone/>
              <wp:docPr id="8" name="Rectangle 7"/>
              <wp:cNvGraphicFramePr/>
              <a:graphic xmlns:a="http://schemas.openxmlformats.org/drawingml/2006/main">
                <a:graphicData uri="http://schemas.microsoft.com/office/word/2010/wordprocessingShape">
                  <wps:wsp>
                    <wps:cNvSpPr/>
                    <wps:spPr>
                      <a:xfrm>
                        <a:off x="0" y="0"/>
                        <a:ext cx="7715250" cy="409575"/>
                      </a:xfrm>
                      <a:prstGeom prst="rect">
                        <a:avLst/>
                      </a:prstGeom>
                      <a:noFill/>
                      <a:ln w="69850" cap="flat">
                        <a:noFill/>
                        <a:miter lim="400000"/>
                      </a:ln>
                      <a:effectLst/>
                    </wps:spPr>
                    <wps:style>
                      <a:lnRef idx="0">
                        <a:scrgbClr r="0" g="0" b="0"/>
                      </a:lnRef>
                      <a:fillRef idx="0">
                        <a:scrgbClr r="0" g="0" b="0"/>
                      </a:fillRef>
                      <a:effectRef idx="0">
                        <a:scrgbClr r="0" g="0" b="0"/>
                      </a:effectRef>
                      <a:fontRef idx="none"/>
                    </wps:style>
                    <wps:txbx>
                      <w:txbxContent>
                        <w:p w14:paraId="085499BA" w14:textId="3F4949DF" w:rsidR="00D97C9E" w:rsidRPr="00CA6B95" w:rsidRDefault="00D97C9E" w:rsidP="00CA6B95">
                          <w:pPr>
                            <w:pStyle w:val="BodyText"/>
                            <w:tabs>
                              <w:tab w:val="left" w:pos="9545"/>
                            </w:tabs>
                            <w:spacing w:before="69"/>
                            <w:ind w:left="0" w:right="177"/>
                            <w:jc w:val="center"/>
                            <w:rPr>
                              <w:noProof/>
                              <w:sz w:val="32"/>
                              <w:szCs w:val="32"/>
                            </w:rPr>
                          </w:pPr>
                          <w:r w:rsidRPr="00CA6B95">
                            <w:rPr>
                              <w:b/>
                              <w:bCs/>
                              <w:sz w:val="32"/>
                              <w:szCs w:val="32"/>
                            </w:rPr>
                            <w:t>Alabama Narrative Report 2020-2021</w:t>
                          </w:r>
                        </w:p>
                        <w:p w14:paraId="39201421" w14:textId="77777777" w:rsidR="00D97C9E" w:rsidRPr="00CA6B95" w:rsidRDefault="00D97C9E" w:rsidP="00CA6B95">
                          <w:pPr>
                            <w:shd w:val="clear" w:color="auto" w:fill="FFFFFF" w:themeFill="background1"/>
                            <w:jc w:val="center"/>
                          </w:pPr>
                        </w:p>
                      </w:txbxContent>
                    </wps:txbx>
                    <wps:bodyPr rot="0" spcFirstLastPara="1" vertOverflow="overflow" horzOverflow="overflow" vert="horz" wrap="square" lIns="0" tIns="0" rIns="0" bIns="0" numCol="1" spcCol="38100" rtlCol="0" anchor="ctr">
                      <a:noAutofit/>
                    </wps:bodyPr>
                  </wps:wsp>
                </a:graphicData>
              </a:graphic>
              <wp14:sizeRelH relativeFrom="margin">
                <wp14:pctWidth>0</wp14:pctWidth>
              </wp14:sizeRelH>
              <wp14:sizeRelV relativeFrom="margin">
                <wp14:pctHeight>0</wp14:pctHeight>
              </wp14:sizeRelV>
            </wp:anchor>
          </w:drawing>
        </mc:Choice>
        <mc:Fallback>
          <w:pict>
            <v:rect w14:anchorId="301A5ED5" id="Rectangle 7" o:spid="_x0000_s1026" style="position:absolute;margin-left:0;margin-top:12pt;width:607.5pt;height:32.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" filled="f" stroked="f" strokeweight="5.5pt">
              <v:stroke miterlimit="4"/>
              <v:textbox inset="0,0,0,0">
                <w:txbxContent>
                  <w:p w14:paraId="085499BA" w14:textId="3F4949DF" w:rsidR="00D97C9E" w:rsidRPr="00CA6B95" w:rsidRDefault="00D97C9E" w:rsidP="00CA6B95">
                    <w:pPr>
                      <w:pStyle w:val="BodyText"/>
                      <w:tabs>
                        <w:tab w:val="left" w:pos="9545"/>
                      </w:tabs>
                      <w:spacing w:before="69"/>
                      <w:ind w:left="0" w:right="177"/>
                      <w:jc w:val="center"/>
                      <w:rPr>
                        <w:noProof/>
                        <w:sz w:val="32"/>
                        <w:szCs w:val="32"/>
                      </w:rPr>
                    </w:pPr>
                    <w:r w:rsidRPr="00CA6B95">
                      <w:rPr>
                        <w:b/>
                        <w:bCs/>
                        <w:sz w:val="32"/>
                        <w:szCs w:val="32"/>
                      </w:rPr>
                      <w:t>Alabama Narrative Report 2020-2021</w:t>
                    </w:r>
                  </w:p>
                  <w:p w14:paraId="39201421" w14:textId="77777777" w:rsidR="00D97C9E" w:rsidRPr="00CA6B95" w:rsidRDefault="00D97C9E" w:rsidP="00CA6B95">
                    <w:pPr>
                      <w:shd w:val="clear" w:color="auto" w:fill="FFFFFF" w:themeFill="background1"/>
                      <w:jc w:val="center"/>
                    </w:pPr>
                  </w:p>
                </w:txbxContent>
              </v:textbox>
              <w10:wrap anchorx="page"/>
            </v:rect>
          </w:pict>
        </mc:Fallback>
      </mc:AlternateContent>
    </w:r>
  </w:p>
  <w:p w14:paraId="3867C269" w14:textId="62CCFDEC" w:rsidR="00584B75" w:rsidRDefault="0058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B9A"/>
    <w:multiLevelType w:val="hybridMultilevel"/>
    <w:tmpl w:val="304C1B7A"/>
    <w:lvl w:ilvl="0" w:tplc="80A00A30">
      <w:start w:val="1"/>
      <w:numFmt w:val="lowerLetter"/>
      <w:lvlText w:val="(%1)"/>
      <w:lvlJc w:val="left"/>
      <w:pPr>
        <w:ind w:left="460" w:hanging="360"/>
      </w:pPr>
      <w:rPr>
        <w:rFonts w:ascii="Times New Roman" w:eastAsia="Times New Roman" w:hAnsi="Times New Roman" w:hint="default"/>
        <w:sz w:val="24"/>
        <w:szCs w:val="24"/>
      </w:rPr>
    </w:lvl>
    <w:lvl w:ilvl="1" w:tplc="16425A7C">
      <w:start w:val="1"/>
      <w:numFmt w:val="bullet"/>
      <w:lvlText w:val=""/>
      <w:lvlJc w:val="left"/>
      <w:pPr>
        <w:ind w:left="820" w:hanging="361"/>
      </w:pPr>
      <w:rPr>
        <w:rFonts w:ascii="Symbol" w:eastAsia="Symbol" w:hAnsi="Symbol" w:hint="default"/>
        <w:sz w:val="24"/>
        <w:szCs w:val="24"/>
      </w:rPr>
    </w:lvl>
    <w:lvl w:ilvl="2" w:tplc="B2BC8502">
      <w:start w:val="1"/>
      <w:numFmt w:val="bullet"/>
      <w:lvlText w:val=""/>
      <w:lvlJc w:val="left"/>
      <w:pPr>
        <w:ind w:left="1200" w:hanging="360"/>
      </w:pPr>
      <w:rPr>
        <w:rFonts w:ascii="Symbol" w:eastAsia="Symbol" w:hAnsi="Symbol" w:hint="default"/>
        <w:sz w:val="24"/>
        <w:szCs w:val="24"/>
      </w:rPr>
    </w:lvl>
    <w:lvl w:ilvl="3" w:tplc="FDD8FA60">
      <w:start w:val="1"/>
      <w:numFmt w:val="bullet"/>
      <w:lvlText w:val="•"/>
      <w:lvlJc w:val="left"/>
      <w:pPr>
        <w:ind w:left="2247" w:hanging="360"/>
      </w:pPr>
      <w:rPr>
        <w:rFonts w:hint="default"/>
      </w:rPr>
    </w:lvl>
    <w:lvl w:ilvl="4" w:tplc="D690D86C">
      <w:start w:val="1"/>
      <w:numFmt w:val="bullet"/>
      <w:lvlText w:val="•"/>
      <w:lvlJc w:val="left"/>
      <w:pPr>
        <w:ind w:left="3295" w:hanging="360"/>
      </w:pPr>
      <w:rPr>
        <w:rFonts w:hint="default"/>
      </w:rPr>
    </w:lvl>
    <w:lvl w:ilvl="5" w:tplc="5A84F37E">
      <w:start w:val="1"/>
      <w:numFmt w:val="bullet"/>
      <w:lvlText w:val="•"/>
      <w:lvlJc w:val="left"/>
      <w:pPr>
        <w:ind w:left="4342" w:hanging="360"/>
      </w:pPr>
      <w:rPr>
        <w:rFonts w:hint="default"/>
      </w:rPr>
    </w:lvl>
    <w:lvl w:ilvl="6" w:tplc="A9860764">
      <w:start w:val="1"/>
      <w:numFmt w:val="bullet"/>
      <w:lvlText w:val="•"/>
      <w:lvlJc w:val="left"/>
      <w:pPr>
        <w:ind w:left="5390" w:hanging="360"/>
      </w:pPr>
      <w:rPr>
        <w:rFonts w:hint="default"/>
      </w:rPr>
    </w:lvl>
    <w:lvl w:ilvl="7" w:tplc="DAC2D226">
      <w:start w:val="1"/>
      <w:numFmt w:val="bullet"/>
      <w:lvlText w:val="•"/>
      <w:lvlJc w:val="left"/>
      <w:pPr>
        <w:ind w:left="6437" w:hanging="360"/>
      </w:pPr>
      <w:rPr>
        <w:rFonts w:hint="default"/>
      </w:rPr>
    </w:lvl>
    <w:lvl w:ilvl="8" w:tplc="9BE2A064">
      <w:start w:val="1"/>
      <w:numFmt w:val="bullet"/>
      <w:lvlText w:val="•"/>
      <w:lvlJc w:val="left"/>
      <w:pPr>
        <w:ind w:left="7485" w:hanging="360"/>
      </w:pPr>
      <w:rPr>
        <w:rFonts w:hint="default"/>
      </w:rPr>
    </w:lvl>
  </w:abstractNum>
  <w:abstractNum w:abstractNumId="1" w15:restartNumberingAfterBreak="0">
    <w:nsid w:val="14233ABD"/>
    <w:multiLevelType w:val="hybridMultilevel"/>
    <w:tmpl w:val="4AB0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2B23"/>
    <w:multiLevelType w:val="hybridMultilevel"/>
    <w:tmpl w:val="AE30E6C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2427DC"/>
    <w:multiLevelType w:val="hybridMultilevel"/>
    <w:tmpl w:val="959C09D2"/>
    <w:lvl w:ilvl="0" w:tplc="8E0CF20E">
      <w:start w:val="1"/>
      <w:numFmt w:val="lowerRoman"/>
      <w:lvlText w:val="%1."/>
      <w:lvlJc w:val="left"/>
      <w:pPr>
        <w:ind w:left="1080" w:hanging="72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47A6F"/>
    <w:multiLevelType w:val="hybridMultilevel"/>
    <w:tmpl w:val="AE30E6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20355"/>
    <w:multiLevelType w:val="hybridMultilevel"/>
    <w:tmpl w:val="EAC659AE"/>
    <w:lvl w:ilvl="0" w:tplc="7C50A4A2">
      <w:start w:val="1"/>
      <w:numFmt w:val="decimal"/>
      <w:lvlText w:val="%1."/>
      <w:lvlJc w:val="left"/>
      <w:pPr>
        <w:ind w:left="1170" w:hanging="360"/>
        <w:jc w:val="right"/>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B5965"/>
    <w:multiLevelType w:val="hybridMultilevel"/>
    <w:tmpl w:val="6218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A2119E"/>
    <w:multiLevelType w:val="hybridMultilevel"/>
    <w:tmpl w:val="298AE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34243"/>
    <w:multiLevelType w:val="hybridMultilevel"/>
    <w:tmpl w:val="4AC4D630"/>
    <w:lvl w:ilvl="0" w:tplc="7C50A4A2">
      <w:start w:val="1"/>
      <w:numFmt w:val="decimal"/>
      <w:lvlText w:val="%1."/>
      <w:lvlJc w:val="left"/>
      <w:pPr>
        <w:ind w:left="1170" w:hanging="360"/>
        <w:jc w:val="right"/>
      </w:pPr>
      <w:rPr>
        <w:rFonts w:ascii="Times New Roman" w:eastAsia="Times New Roman" w:hAnsi="Times New Roman" w:hint="default"/>
        <w:b/>
        <w:bCs/>
        <w:sz w:val="24"/>
        <w:szCs w:val="24"/>
      </w:rPr>
    </w:lvl>
    <w:lvl w:ilvl="1" w:tplc="46B284AC">
      <w:start w:val="1"/>
      <w:numFmt w:val="bullet"/>
      <w:lvlText w:val=""/>
      <w:lvlJc w:val="left"/>
      <w:pPr>
        <w:ind w:left="1920" w:hanging="360"/>
      </w:pPr>
      <w:rPr>
        <w:rFonts w:ascii="Symbol" w:eastAsia="Symbol" w:hAnsi="Symbol" w:hint="default"/>
        <w:sz w:val="24"/>
        <w:szCs w:val="24"/>
      </w:rPr>
    </w:lvl>
    <w:lvl w:ilvl="2" w:tplc="5FB2A702">
      <w:start w:val="1"/>
      <w:numFmt w:val="bullet"/>
      <w:lvlText w:val="•"/>
      <w:lvlJc w:val="left"/>
      <w:pPr>
        <w:ind w:left="2853" w:hanging="360"/>
      </w:pPr>
      <w:rPr>
        <w:rFonts w:hint="default"/>
      </w:rPr>
    </w:lvl>
    <w:lvl w:ilvl="3" w:tplc="7400B9CA">
      <w:start w:val="1"/>
      <w:numFmt w:val="bullet"/>
      <w:lvlText w:val="•"/>
      <w:lvlJc w:val="left"/>
      <w:pPr>
        <w:ind w:left="3786" w:hanging="360"/>
      </w:pPr>
      <w:rPr>
        <w:rFonts w:hint="default"/>
      </w:rPr>
    </w:lvl>
    <w:lvl w:ilvl="4" w:tplc="0C30DB42">
      <w:start w:val="1"/>
      <w:numFmt w:val="bullet"/>
      <w:lvlText w:val="•"/>
      <w:lvlJc w:val="left"/>
      <w:pPr>
        <w:ind w:left="4720" w:hanging="360"/>
      </w:pPr>
      <w:rPr>
        <w:rFonts w:hint="default"/>
      </w:rPr>
    </w:lvl>
    <w:lvl w:ilvl="5" w:tplc="2D1E5C4E">
      <w:start w:val="1"/>
      <w:numFmt w:val="bullet"/>
      <w:lvlText w:val="•"/>
      <w:lvlJc w:val="left"/>
      <w:pPr>
        <w:ind w:left="5653" w:hanging="360"/>
      </w:pPr>
      <w:rPr>
        <w:rFonts w:hint="default"/>
      </w:rPr>
    </w:lvl>
    <w:lvl w:ilvl="6" w:tplc="99C82BD8">
      <w:start w:val="1"/>
      <w:numFmt w:val="bullet"/>
      <w:lvlText w:val="•"/>
      <w:lvlJc w:val="left"/>
      <w:pPr>
        <w:ind w:left="6586" w:hanging="360"/>
      </w:pPr>
      <w:rPr>
        <w:rFonts w:hint="default"/>
      </w:rPr>
    </w:lvl>
    <w:lvl w:ilvl="7" w:tplc="88801A98">
      <w:start w:val="1"/>
      <w:numFmt w:val="bullet"/>
      <w:lvlText w:val="•"/>
      <w:lvlJc w:val="left"/>
      <w:pPr>
        <w:ind w:left="7520" w:hanging="360"/>
      </w:pPr>
      <w:rPr>
        <w:rFonts w:hint="default"/>
      </w:rPr>
    </w:lvl>
    <w:lvl w:ilvl="8" w:tplc="B74C5868">
      <w:start w:val="1"/>
      <w:numFmt w:val="bullet"/>
      <w:lvlText w:val="•"/>
      <w:lvlJc w:val="left"/>
      <w:pPr>
        <w:ind w:left="8453" w:hanging="360"/>
      </w:pPr>
      <w:rPr>
        <w:rFonts w:hint="default"/>
      </w:rPr>
    </w:lvl>
  </w:abstractNum>
  <w:abstractNum w:abstractNumId="9" w15:restartNumberingAfterBreak="0">
    <w:nsid w:val="4A323515"/>
    <w:multiLevelType w:val="hybridMultilevel"/>
    <w:tmpl w:val="4AC4D630"/>
    <w:lvl w:ilvl="0" w:tplc="7C50A4A2">
      <w:start w:val="1"/>
      <w:numFmt w:val="decimal"/>
      <w:lvlText w:val="%1."/>
      <w:lvlJc w:val="left"/>
      <w:pPr>
        <w:ind w:left="1170" w:hanging="360"/>
        <w:jc w:val="right"/>
      </w:pPr>
      <w:rPr>
        <w:rFonts w:ascii="Times New Roman" w:eastAsia="Times New Roman" w:hAnsi="Times New Roman" w:hint="default"/>
        <w:b/>
        <w:bCs/>
        <w:sz w:val="24"/>
        <w:szCs w:val="24"/>
      </w:rPr>
    </w:lvl>
    <w:lvl w:ilvl="1" w:tplc="46B284AC">
      <w:start w:val="1"/>
      <w:numFmt w:val="bullet"/>
      <w:lvlText w:val=""/>
      <w:lvlJc w:val="left"/>
      <w:pPr>
        <w:ind w:left="1920" w:hanging="360"/>
      </w:pPr>
      <w:rPr>
        <w:rFonts w:ascii="Symbol" w:eastAsia="Symbol" w:hAnsi="Symbol" w:hint="default"/>
        <w:sz w:val="24"/>
        <w:szCs w:val="24"/>
      </w:rPr>
    </w:lvl>
    <w:lvl w:ilvl="2" w:tplc="5FB2A702">
      <w:start w:val="1"/>
      <w:numFmt w:val="bullet"/>
      <w:lvlText w:val="•"/>
      <w:lvlJc w:val="left"/>
      <w:pPr>
        <w:ind w:left="2853" w:hanging="360"/>
      </w:pPr>
      <w:rPr>
        <w:rFonts w:hint="default"/>
      </w:rPr>
    </w:lvl>
    <w:lvl w:ilvl="3" w:tplc="7400B9CA">
      <w:start w:val="1"/>
      <w:numFmt w:val="bullet"/>
      <w:lvlText w:val="•"/>
      <w:lvlJc w:val="left"/>
      <w:pPr>
        <w:ind w:left="3786" w:hanging="360"/>
      </w:pPr>
      <w:rPr>
        <w:rFonts w:hint="default"/>
      </w:rPr>
    </w:lvl>
    <w:lvl w:ilvl="4" w:tplc="0C30DB42">
      <w:start w:val="1"/>
      <w:numFmt w:val="bullet"/>
      <w:lvlText w:val="•"/>
      <w:lvlJc w:val="left"/>
      <w:pPr>
        <w:ind w:left="4720" w:hanging="360"/>
      </w:pPr>
      <w:rPr>
        <w:rFonts w:hint="default"/>
      </w:rPr>
    </w:lvl>
    <w:lvl w:ilvl="5" w:tplc="2D1E5C4E">
      <w:start w:val="1"/>
      <w:numFmt w:val="bullet"/>
      <w:lvlText w:val="•"/>
      <w:lvlJc w:val="left"/>
      <w:pPr>
        <w:ind w:left="5653" w:hanging="360"/>
      </w:pPr>
      <w:rPr>
        <w:rFonts w:hint="default"/>
      </w:rPr>
    </w:lvl>
    <w:lvl w:ilvl="6" w:tplc="99C82BD8">
      <w:start w:val="1"/>
      <w:numFmt w:val="bullet"/>
      <w:lvlText w:val="•"/>
      <w:lvlJc w:val="left"/>
      <w:pPr>
        <w:ind w:left="6586" w:hanging="360"/>
      </w:pPr>
      <w:rPr>
        <w:rFonts w:hint="default"/>
      </w:rPr>
    </w:lvl>
    <w:lvl w:ilvl="7" w:tplc="88801A98">
      <w:start w:val="1"/>
      <w:numFmt w:val="bullet"/>
      <w:lvlText w:val="•"/>
      <w:lvlJc w:val="left"/>
      <w:pPr>
        <w:ind w:left="7520" w:hanging="360"/>
      </w:pPr>
      <w:rPr>
        <w:rFonts w:hint="default"/>
      </w:rPr>
    </w:lvl>
    <w:lvl w:ilvl="8" w:tplc="B74C5868">
      <w:start w:val="1"/>
      <w:numFmt w:val="bullet"/>
      <w:lvlText w:val="•"/>
      <w:lvlJc w:val="left"/>
      <w:pPr>
        <w:ind w:left="8453" w:hanging="360"/>
      </w:pPr>
      <w:rPr>
        <w:rFonts w:hint="default"/>
      </w:rPr>
    </w:lvl>
  </w:abstractNum>
  <w:abstractNum w:abstractNumId="10" w15:restartNumberingAfterBreak="0">
    <w:nsid w:val="4C8A7DD8"/>
    <w:multiLevelType w:val="hybridMultilevel"/>
    <w:tmpl w:val="27740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10139F"/>
    <w:multiLevelType w:val="hybridMultilevel"/>
    <w:tmpl w:val="D1FC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47E97"/>
    <w:multiLevelType w:val="hybridMultilevel"/>
    <w:tmpl w:val="959C09D2"/>
    <w:lvl w:ilvl="0" w:tplc="FFFFFFFF">
      <w:start w:val="1"/>
      <w:numFmt w:val="lowerRoman"/>
      <w:lvlText w:val="%1."/>
      <w:lvlJc w:val="left"/>
      <w:pPr>
        <w:ind w:left="1080" w:hanging="72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E55796"/>
    <w:multiLevelType w:val="hybridMultilevel"/>
    <w:tmpl w:val="A78E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22908"/>
    <w:multiLevelType w:val="hybridMultilevel"/>
    <w:tmpl w:val="7880363C"/>
    <w:lvl w:ilvl="0" w:tplc="9D86BCE0">
      <w:start w:val="2"/>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6E5B7886"/>
    <w:multiLevelType w:val="hybridMultilevel"/>
    <w:tmpl w:val="78DAC610"/>
    <w:lvl w:ilvl="0" w:tplc="3FC6ED4E">
      <w:start w:val="1"/>
      <w:numFmt w:val="lowerRoman"/>
      <w:lvlText w:val="%1."/>
      <w:lvlJc w:val="left"/>
      <w:pPr>
        <w:ind w:left="1080" w:hanging="72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6754B"/>
    <w:multiLevelType w:val="hybridMultilevel"/>
    <w:tmpl w:val="E3303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637144">
    <w:abstractNumId w:val="9"/>
  </w:num>
  <w:num w:numId="2" w16cid:durableId="778794635">
    <w:abstractNumId w:val="0"/>
  </w:num>
  <w:num w:numId="3" w16cid:durableId="1188637102">
    <w:abstractNumId w:val="8"/>
  </w:num>
  <w:num w:numId="4" w16cid:durableId="798105342">
    <w:abstractNumId w:val="5"/>
  </w:num>
  <w:num w:numId="5" w16cid:durableId="275718091">
    <w:abstractNumId w:val="11"/>
  </w:num>
  <w:num w:numId="6" w16cid:durableId="984817358">
    <w:abstractNumId w:val="10"/>
  </w:num>
  <w:num w:numId="7" w16cid:durableId="1574123089">
    <w:abstractNumId w:val="16"/>
  </w:num>
  <w:num w:numId="8" w16cid:durableId="1697729879">
    <w:abstractNumId w:val="6"/>
  </w:num>
  <w:num w:numId="9" w16cid:durableId="783814132">
    <w:abstractNumId w:val="0"/>
    <w:lvlOverride w:ilvl="0">
      <w:startOverride w:val="1"/>
    </w:lvlOverride>
    <w:lvlOverride w:ilvl="1"/>
    <w:lvlOverride w:ilvl="2"/>
    <w:lvlOverride w:ilvl="3"/>
    <w:lvlOverride w:ilvl="4"/>
    <w:lvlOverride w:ilvl="5"/>
    <w:lvlOverride w:ilvl="6"/>
    <w:lvlOverride w:ilvl="7"/>
    <w:lvlOverride w:ilvl="8"/>
  </w:num>
  <w:num w:numId="10" w16cid:durableId="1689912174">
    <w:abstractNumId w:val="4"/>
  </w:num>
  <w:num w:numId="11" w16cid:durableId="296184277">
    <w:abstractNumId w:val="1"/>
  </w:num>
  <w:num w:numId="12" w16cid:durableId="1325743699">
    <w:abstractNumId w:val="13"/>
  </w:num>
  <w:num w:numId="13" w16cid:durableId="1432505305">
    <w:abstractNumId w:val="7"/>
  </w:num>
  <w:num w:numId="14" w16cid:durableId="2010862991">
    <w:abstractNumId w:val="14"/>
  </w:num>
  <w:num w:numId="15" w16cid:durableId="1307472704">
    <w:abstractNumId w:val="2"/>
  </w:num>
  <w:num w:numId="16" w16cid:durableId="1308247343">
    <w:abstractNumId w:val="15"/>
  </w:num>
  <w:num w:numId="17" w16cid:durableId="1743479508">
    <w:abstractNumId w:val="3"/>
  </w:num>
  <w:num w:numId="18" w16cid:durableId="15851446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870"/>
    <w:rsid w:val="0000076B"/>
    <w:rsid w:val="00007601"/>
    <w:rsid w:val="000110B1"/>
    <w:rsid w:val="00031476"/>
    <w:rsid w:val="00035AD6"/>
    <w:rsid w:val="000436A1"/>
    <w:rsid w:val="00047CBB"/>
    <w:rsid w:val="00051E7D"/>
    <w:rsid w:val="00053BCC"/>
    <w:rsid w:val="0006059D"/>
    <w:rsid w:val="00072017"/>
    <w:rsid w:val="00081A29"/>
    <w:rsid w:val="0009287D"/>
    <w:rsid w:val="000A226E"/>
    <w:rsid w:val="000A4C40"/>
    <w:rsid w:val="000C25B3"/>
    <w:rsid w:val="000C298E"/>
    <w:rsid w:val="000C7C59"/>
    <w:rsid w:val="000D0B72"/>
    <w:rsid w:val="000D0C05"/>
    <w:rsid w:val="000D3F44"/>
    <w:rsid w:val="000E715D"/>
    <w:rsid w:val="000E7634"/>
    <w:rsid w:val="000F7942"/>
    <w:rsid w:val="001015C5"/>
    <w:rsid w:val="00121AF0"/>
    <w:rsid w:val="0012244D"/>
    <w:rsid w:val="00124AC0"/>
    <w:rsid w:val="00136CBD"/>
    <w:rsid w:val="00144681"/>
    <w:rsid w:val="001456B2"/>
    <w:rsid w:val="001513C8"/>
    <w:rsid w:val="00152360"/>
    <w:rsid w:val="00154521"/>
    <w:rsid w:val="001669A5"/>
    <w:rsid w:val="001714D9"/>
    <w:rsid w:val="0017271A"/>
    <w:rsid w:val="001773F2"/>
    <w:rsid w:val="00180DC2"/>
    <w:rsid w:val="00182221"/>
    <w:rsid w:val="00182D5B"/>
    <w:rsid w:val="00187FED"/>
    <w:rsid w:val="001A0C92"/>
    <w:rsid w:val="001B37EA"/>
    <w:rsid w:val="001B7E26"/>
    <w:rsid w:val="001D3BEC"/>
    <w:rsid w:val="001D6BE3"/>
    <w:rsid w:val="001F551C"/>
    <w:rsid w:val="001F64FA"/>
    <w:rsid w:val="00216A59"/>
    <w:rsid w:val="0021778F"/>
    <w:rsid w:val="002248F3"/>
    <w:rsid w:val="0024240A"/>
    <w:rsid w:val="00245D16"/>
    <w:rsid w:val="00247C36"/>
    <w:rsid w:val="00265906"/>
    <w:rsid w:val="002821BD"/>
    <w:rsid w:val="00287A4E"/>
    <w:rsid w:val="002B249E"/>
    <w:rsid w:val="002B2A71"/>
    <w:rsid w:val="002B3FB6"/>
    <w:rsid w:val="002C54A2"/>
    <w:rsid w:val="002C5CD1"/>
    <w:rsid w:val="002D4028"/>
    <w:rsid w:val="002D5634"/>
    <w:rsid w:val="002D5BA0"/>
    <w:rsid w:val="002E1074"/>
    <w:rsid w:val="002E51F2"/>
    <w:rsid w:val="002E700B"/>
    <w:rsid w:val="002F248A"/>
    <w:rsid w:val="0031331C"/>
    <w:rsid w:val="00315164"/>
    <w:rsid w:val="00323A6D"/>
    <w:rsid w:val="003257F5"/>
    <w:rsid w:val="0032691C"/>
    <w:rsid w:val="00327453"/>
    <w:rsid w:val="00334F91"/>
    <w:rsid w:val="00340EE9"/>
    <w:rsid w:val="0034268E"/>
    <w:rsid w:val="00353DE1"/>
    <w:rsid w:val="00356D16"/>
    <w:rsid w:val="003616F8"/>
    <w:rsid w:val="003638BE"/>
    <w:rsid w:val="003720DD"/>
    <w:rsid w:val="003800F4"/>
    <w:rsid w:val="003919E2"/>
    <w:rsid w:val="00392307"/>
    <w:rsid w:val="003A157A"/>
    <w:rsid w:val="003A389D"/>
    <w:rsid w:val="003A78ED"/>
    <w:rsid w:val="003C12B3"/>
    <w:rsid w:val="003C7978"/>
    <w:rsid w:val="003D5876"/>
    <w:rsid w:val="003E17D4"/>
    <w:rsid w:val="003E38A3"/>
    <w:rsid w:val="003F74E2"/>
    <w:rsid w:val="003F7A69"/>
    <w:rsid w:val="00404252"/>
    <w:rsid w:val="00405551"/>
    <w:rsid w:val="0041053D"/>
    <w:rsid w:val="004256F1"/>
    <w:rsid w:val="0043001F"/>
    <w:rsid w:val="00437033"/>
    <w:rsid w:val="00454785"/>
    <w:rsid w:val="004649DF"/>
    <w:rsid w:val="004675DC"/>
    <w:rsid w:val="00470636"/>
    <w:rsid w:val="0047216E"/>
    <w:rsid w:val="0047781E"/>
    <w:rsid w:val="0048583C"/>
    <w:rsid w:val="00495F35"/>
    <w:rsid w:val="004A204E"/>
    <w:rsid w:val="004A580F"/>
    <w:rsid w:val="004B5FE5"/>
    <w:rsid w:val="004B716B"/>
    <w:rsid w:val="004D6EE4"/>
    <w:rsid w:val="004E168C"/>
    <w:rsid w:val="004E188F"/>
    <w:rsid w:val="004E530D"/>
    <w:rsid w:val="00510369"/>
    <w:rsid w:val="00511F18"/>
    <w:rsid w:val="00516DB0"/>
    <w:rsid w:val="005176FE"/>
    <w:rsid w:val="00521F1F"/>
    <w:rsid w:val="00524CBD"/>
    <w:rsid w:val="005278DB"/>
    <w:rsid w:val="00527A18"/>
    <w:rsid w:val="005343C4"/>
    <w:rsid w:val="00536521"/>
    <w:rsid w:val="00536A72"/>
    <w:rsid w:val="00561341"/>
    <w:rsid w:val="00574B90"/>
    <w:rsid w:val="00584B75"/>
    <w:rsid w:val="00597481"/>
    <w:rsid w:val="00597A59"/>
    <w:rsid w:val="005B43EE"/>
    <w:rsid w:val="005C5E73"/>
    <w:rsid w:val="005C6143"/>
    <w:rsid w:val="005C6FD2"/>
    <w:rsid w:val="005D5469"/>
    <w:rsid w:val="005E0CDF"/>
    <w:rsid w:val="005E1E35"/>
    <w:rsid w:val="005E447B"/>
    <w:rsid w:val="0060206B"/>
    <w:rsid w:val="00604F70"/>
    <w:rsid w:val="00605F92"/>
    <w:rsid w:val="00611D48"/>
    <w:rsid w:val="006142D1"/>
    <w:rsid w:val="0061524B"/>
    <w:rsid w:val="00616E40"/>
    <w:rsid w:val="006228CD"/>
    <w:rsid w:val="0063462C"/>
    <w:rsid w:val="0064328A"/>
    <w:rsid w:val="00645A84"/>
    <w:rsid w:val="00655BC7"/>
    <w:rsid w:val="00663BE8"/>
    <w:rsid w:val="00666FE1"/>
    <w:rsid w:val="006750D3"/>
    <w:rsid w:val="00677127"/>
    <w:rsid w:val="00681B1E"/>
    <w:rsid w:val="00690669"/>
    <w:rsid w:val="00693CDC"/>
    <w:rsid w:val="006A6AAE"/>
    <w:rsid w:val="006B01E1"/>
    <w:rsid w:val="006B7E11"/>
    <w:rsid w:val="006C3050"/>
    <w:rsid w:val="006C5256"/>
    <w:rsid w:val="006D03FF"/>
    <w:rsid w:val="006D28C7"/>
    <w:rsid w:val="006D7788"/>
    <w:rsid w:val="006E4455"/>
    <w:rsid w:val="006F561F"/>
    <w:rsid w:val="006F6A39"/>
    <w:rsid w:val="006F76FA"/>
    <w:rsid w:val="00707CD7"/>
    <w:rsid w:val="007400BB"/>
    <w:rsid w:val="00746748"/>
    <w:rsid w:val="007514BB"/>
    <w:rsid w:val="007526D4"/>
    <w:rsid w:val="00755B49"/>
    <w:rsid w:val="0078613B"/>
    <w:rsid w:val="007A4F43"/>
    <w:rsid w:val="007A587B"/>
    <w:rsid w:val="007C05F1"/>
    <w:rsid w:val="007D7BE7"/>
    <w:rsid w:val="007F76C9"/>
    <w:rsid w:val="00800F29"/>
    <w:rsid w:val="008024B5"/>
    <w:rsid w:val="00831B47"/>
    <w:rsid w:val="008423EB"/>
    <w:rsid w:val="00842E31"/>
    <w:rsid w:val="0084367D"/>
    <w:rsid w:val="00846D5D"/>
    <w:rsid w:val="00847D9B"/>
    <w:rsid w:val="00866453"/>
    <w:rsid w:val="00870CBE"/>
    <w:rsid w:val="008728A3"/>
    <w:rsid w:val="00885E52"/>
    <w:rsid w:val="00887DB4"/>
    <w:rsid w:val="008937D0"/>
    <w:rsid w:val="008970E3"/>
    <w:rsid w:val="008B2D14"/>
    <w:rsid w:val="008C010D"/>
    <w:rsid w:val="008C0B4E"/>
    <w:rsid w:val="008C5285"/>
    <w:rsid w:val="008D6E37"/>
    <w:rsid w:val="008E1EB7"/>
    <w:rsid w:val="008F4511"/>
    <w:rsid w:val="00934D19"/>
    <w:rsid w:val="00935DAE"/>
    <w:rsid w:val="00937134"/>
    <w:rsid w:val="009458C0"/>
    <w:rsid w:val="00947247"/>
    <w:rsid w:val="009527C7"/>
    <w:rsid w:val="009565C7"/>
    <w:rsid w:val="00964DC4"/>
    <w:rsid w:val="00965309"/>
    <w:rsid w:val="0097460A"/>
    <w:rsid w:val="009746F8"/>
    <w:rsid w:val="00976AE2"/>
    <w:rsid w:val="00977388"/>
    <w:rsid w:val="00982A00"/>
    <w:rsid w:val="00991216"/>
    <w:rsid w:val="009912CE"/>
    <w:rsid w:val="009A12B1"/>
    <w:rsid w:val="009B6072"/>
    <w:rsid w:val="009C1A65"/>
    <w:rsid w:val="009C33D4"/>
    <w:rsid w:val="009F2ACB"/>
    <w:rsid w:val="00A02D5C"/>
    <w:rsid w:val="00A122B7"/>
    <w:rsid w:val="00A21256"/>
    <w:rsid w:val="00A51241"/>
    <w:rsid w:val="00A71BB2"/>
    <w:rsid w:val="00A73181"/>
    <w:rsid w:val="00A74870"/>
    <w:rsid w:val="00A77E3E"/>
    <w:rsid w:val="00A85FD4"/>
    <w:rsid w:val="00A919F2"/>
    <w:rsid w:val="00A92F3E"/>
    <w:rsid w:val="00AA5A01"/>
    <w:rsid w:val="00AA5E2A"/>
    <w:rsid w:val="00AA7E6D"/>
    <w:rsid w:val="00AB1382"/>
    <w:rsid w:val="00AC4D38"/>
    <w:rsid w:val="00AD390C"/>
    <w:rsid w:val="00AD67D1"/>
    <w:rsid w:val="00AE4F79"/>
    <w:rsid w:val="00AE5699"/>
    <w:rsid w:val="00AF5677"/>
    <w:rsid w:val="00B1184C"/>
    <w:rsid w:val="00B21A22"/>
    <w:rsid w:val="00B21B31"/>
    <w:rsid w:val="00B272A5"/>
    <w:rsid w:val="00B30D08"/>
    <w:rsid w:val="00B31D3F"/>
    <w:rsid w:val="00B34D49"/>
    <w:rsid w:val="00B42B0D"/>
    <w:rsid w:val="00B525AD"/>
    <w:rsid w:val="00B55B73"/>
    <w:rsid w:val="00B70434"/>
    <w:rsid w:val="00B70922"/>
    <w:rsid w:val="00B70CD9"/>
    <w:rsid w:val="00B70D09"/>
    <w:rsid w:val="00B7710D"/>
    <w:rsid w:val="00B9269C"/>
    <w:rsid w:val="00B936D0"/>
    <w:rsid w:val="00B938B6"/>
    <w:rsid w:val="00B95A07"/>
    <w:rsid w:val="00BA309D"/>
    <w:rsid w:val="00BA4246"/>
    <w:rsid w:val="00BB4F9D"/>
    <w:rsid w:val="00BF54E7"/>
    <w:rsid w:val="00C26329"/>
    <w:rsid w:val="00C278B0"/>
    <w:rsid w:val="00C30801"/>
    <w:rsid w:val="00C430F1"/>
    <w:rsid w:val="00C50B1A"/>
    <w:rsid w:val="00C57EE7"/>
    <w:rsid w:val="00C613C2"/>
    <w:rsid w:val="00C62FA2"/>
    <w:rsid w:val="00C65716"/>
    <w:rsid w:val="00C663E2"/>
    <w:rsid w:val="00C90266"/>
    <w:rsid w:val="00C94AE2"/>
    <w:rsid w:val="00C97633"/>
    <w:rsid w:val="00CA53F9"/>
    <w:rsid w:val="00CA6B95"/>
    <w:rsid w:val="00CA6CDF"/>
    <w:rsid w:val="00CD2D01"/>
    <w:rsid w:val="00CE63FE"/>
    <w:rsid w:val="00D07EB8"/>
    <w:rsid w:val="00D2167C"/>
    <w:rsid w:val="00D27C11"/>
    <w:rsid w:val="00D30A1C"/>
    <w:rsid w:val="00D32061"/>
    <w:rsid w:val="00D42FF7"/>
    <w:rsid w:val="00D57261"/>
    <w:rsid w:val="00D71D73"/>
    <w:rsid w:val="00D71EBE"/>
    <w:rsid w:val="00D96181"/>
    <w:rsid w:val="00D97C9E"/>
    <w:rsid w:val="00DA2270"/>
    <w:rsid w:val="00DC5C0D"/>
    <w:rsid w:val="00DD4743"/>
    <w:rsid w:val="00DF0116"/>
    <w:rsid w:val="00E12114"/>
    <w:rsid w:val="00E231B9"/>
    <w:rsid w:val="00E26438"/>
    <w:rsid w:val="00E34609"/>
    <w:rsid w:val="00E40028"/>
    <w:rsid w:val="00E425DE"/>
    <w:rsid w:val="00E54173"/>
    <w:rsid w:val="00E64317"/>
    <w:rsid w:val="00E73896"/>
    <w:rsid w:val="00E73989"/>
    <w:rsid w:val="00E754F6"/>
    <w:rsid w:val="00E8013D"/>
    <w:rsid w:val="00E8204F"/>
    <w:rsid w:val="00E8716B"/>
    <w:rsid w:val="00E95D04"/>
    <w:rsid w:val="00EA5126"/>
    <w:rsid w:val="00EA5808"/>
    <w:rsid w:val="00EC15BE"/>
    <w:rsid w:val="00ED1035"/>
    <w:rsid w:val="00ED2DC4"/>
    <w:rsid w:val="00EE1F4A"/>
    <w:rsid w:val="00EE2FD4"/>
    <w:rsid w:val="00EE39EE"/>
    <w:rsid w:val="00EE5F01"/>
    <w:rsid w:val="00EF516E"/>
    <w:rsid w:val="00F07748"/>
    <w:rsid w:val="00F11E4E"/>
    <w:rsid w:val="00F52E9D"/>
    <w:rsid w:val="00F848CE"/>
    <w:rsid w:val="00F85810"/>
    <w:rsid w:val="00F86354"/>
    <w:rsid w:val="00F92E24"/>
    <w:rsid w:val="00F94173"/>
    <w:rsid w:val="00FA6E90"/>
    <w:rsid w:val="00FB15C6"/>
    <w:rsid w:val="00FB64F2"/>
    <w:rsid w:val="00FC70B9"/>
    <w:rsid w:val="00FC742C"/>
    <w:rsid w:val="00FC7861"/>
    <w:rsid w:val="00FD59D8"/>
    <w:rsid w:val="00FD717B"/>
    <w:rsid w:val="00FE3C72"/>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5DA3F"/>
  <w15:chartTrackingRefBased/>
  <w15:docId w15:val="{8738C05E-2ABA-42ED-B2C1-2BA146A3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870"/>
    <w:pPr>
      <w:widowControl w:val="0"/>
      <w:spacing w:after="0" w:line="240" w:lineRule="auto"/>
    </w:pPr>
  </w:style>
  <w:style w:type="paragraph" w:styleId="Heading1">
    <w:name w:val="heading 1"/>
    <w:basedOn w:val="Normal"/>
    <w:link w:val="Heading1Char"/>
    <w:uiPriority w:val="9"/>
    <w:qFormat/>
    <w:rsid w:val="00A74870"/>
    <w:pPr>
      <w:ind w:left="460" w:hanging="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74870"/>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74870"/>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A74870"/>
    <w:rPr>
      <w:rFonts w:ascii="Times New Roman" w:eastAsia="Times New Roman" w:hAnsi="Times New Roman"/>
      <w:b/>
      <w:bCs/>
      <w:sz w:val="24"/>
      <w:szCs w:val="24"/>
    </w:rPr>
  </w:style>
  <w:style w:type="paragraph" w:styleId="ListParagraph">
    <w:name w:val="List Paragraph"/>
    <w:basedOn w:val="Normal"/>
    <w:uiPriority w:val="34"/>
    <w:qFormat/>
    <w:rsid w:val="00A74870"/>
    <w:pPr>
      <w:ind w:left="720"/>
      <w:contextualSpacing/>
    </w:pPr>
  </w:style>
  <w:style w:type="table" w:styleId="TableGrid">
    <w:name w:val="Table Grid"/>
    <w:basedOn w:val="TableNormal"/>
    <w:rsid w:val="00DD47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B75"/>
    <w:pPr>
      <w:tabs>
        <w:tab w:val="center" w:pos="4680"/>
        <w:tab w:val="right" w:pos="9360"/>
      </w:tabs>
    </w:pPr>
  </w:style>
  <w:style w:type="character" w:customStyle="1" w:styleId="HeaderChar">
    <w:name w:val="Header Char"/>
    <w:basedOn w:val="DefaultParagraphFont"/>
    <w:link w:val="Header"/>
    <w:uiPriority w:val="99"/>
    <w:rsid w:val="00584B75"/>
  </w:style>
  <w:style w:type="paragraph" w:styleId="Footer">
    <w:name w:val="footer"/>
    <w:basedOn w:val="Normal"/>
    <w:link w:val="FooterChar"/>
    <w:uiPriority w:val="99"/>
    <w:unhideWhenUsed/>
    <w:rsid w:val="00584B75"/>
    <w:pPr>
      <w:tabs>
        <w:tab w:val="center" w:pos="4680"/>
        <w:tab w:val="right" w:pos="9360"/>
      </w:tabs>
    </w:pPr>
  </w:style>
  <w:style w:type="character" w:customStyle="1" w:styleId="FooterChar">
    <w:name w:val="Footer Char"/>
    <w:basedOn w:val="DefaultParagraphFont"/>
    <w:link w:val="Footer"/>
    <w:uiPriority w:val="99"/>
    <w:rsid w:val="00584B75"/>
  </w:style>
  <w:style w:type="character" w:styleId="Hyperlink">
    <w:name w:val="Hyperlink"/>
    <w:basedOn w:val="DefaultParagraphFont"/>
    <w:uiPriority w:val="99"/>
    <w:unhideWhenUsed/>
    <w:rsid w:val="00B9269C"/>
    <w:rPr>
      <w:color w:val="0563C1" w:themeColor="hyperlink"/>
      <w:u w:val="single"/>
    </w:rPr>
  </w:style>
  <w:style w:type="character" w:customStyle="1" w:styleId="UnresolvedMention1">
    <w:name w:val="Unresolved Mention1"/>
    <w:basedOn w:val="DefaultParagraphFont"/>
    <w:uiPriority w:val="99"/>
    <w:semiHidden/>
    <w:unhideWhenUsed/>
    <w:rsid w:val="00B92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157">
      <w:bodyDiv w:val="1"/>
      <w:marLeft w:val="0"/>
      <w:marRight w:val="0"/>
      <w:marTop w:val="0"/>
      <w:marBottom w:val="0"/>
      <w:divBdr>
        <w:top w:val="none" w:sz="0" w:space="0" w:color="auto"/>
        <w:left w:val="none" w:sz="0" w:space="0" w:color="auto"/>
        <w:bottom w:val="none" w:sz="0" w:space="0" w:color="auto"/>
        <w:right w:val="none" w:sz="0" w:space="0" w:color="auto"/>
      </w:divBdr>
    </w:div>
    <w:div w:id="360133474">
      <w:bodyDiv w:val="1"/>
      <w:marLeft w:val="0"/>
      <w:marRight w:val="0"/>
      <w:marTop w:val="0"/>
      <w:marBottom w:val="0"/>
      <w:divBdr>
        <w:top w:val="none" w:sz="0" w:space="0" w:color="auto"/>
        <w:left w:val="none" w:sz="0" w:space="0" w:color="auto"/>
        <w:bottom w:val="none" w:sz="0" w:space="0" w:color="auto"/>
        <w:right w:val="none" w:sz="0" w:space="0" w:color="auto"/>
      </w:divBdr>
    </w:div>
    <w:div w:id="465587859">
      <w:bodyDiv w:val="1"/>
      <w:marLeft w:val="0"/>
      <w:marRight w:val="0"/>
      <w:marTop w:val="0"/>
      <w:marBottom w:val="0"/>
      <w:divBdr>
        <w:top w:val="none" w:sz="0" w:space="0" w:color="auto"/>
        <w:left w:val="none" w:sz="0" w:space="0" w:color="auto"/>
        <w:bottom w:val="none" w:sz="0" w:space="0" w:color="auto"/>
        <w:right w:val="none" w:sz="0" w:space="0" w:color="auto"/>
      </w:divBdr>
    </w:div>
    <w:div w:id="532839752">
      <w:bodyDiv w:val="1"/>
      <w:marLeft w:val="0"/>
      <w:marRight w:val="0"/>
      <w:marTop w:val="0"/>
      <w:marBottom w:val="0"/>
      <w:divBdr>
        <w:top w:val="none" w:sz="0" w:space="0" w:color="auto"/>
        <w:left w:val="none" w:sz="0" w:space="0" w:color="auto"/>
        <w:bottom w:val="none" w:sz="0" w:space="0" w:color="auto"/>
        <w:right w:val="none" w:sz="0" w:space="0" w:color="auto"/>
      </w:divBdr>
    </w:div>
    <w:div w:id="548733872">
      <w:bodyDiv w:val="1"/>
      <w:marLeft w:val="0"/>
      <w:marRight w:val="0"/>
      <w:marTop w:val="0"/>
      <w:marBottom w:val="0"/>
      <w:divBdr>
        <w:top w:val="none" w:sz="0" w:space="0" w:color="auto"/>
        <w:left w:val="none" w:sz="0" w:space="0" w:color="auto"/>
        <w:bottom w:val="none" w:sz="0" w:space="0" w:color="auto"/>
        <w:right w:val="none" w:sz="0" w:space="0" w:color="auto"/>
      </w:divBdr>
    </w:div>
    <w:div w:id="613748503">
      <w:bodyDiv w:val="1"/>
      <w:marLeft w:val="0"/>
      <w:marRight w:val="0"/>
      <w:marTop w:val="0"/>
      <w:marBottom w:val="0"/>
      <w:divBdr>
        <w:top w:val="none" w:sz="0" w:space="0" w:color="auto"/>
        <w:left w:val="none" w:sz="0" w:space="0" w:color="auto"/>
        <w:bottom w:val="none" w:sz="0" w:space="0" w:color="auto"/>
        <w:right w:val="none" w:sz="0" w:space="0" w:color="auto"/>
      </w:divBdr>
    </w:div>
    <w:div w:id="651445546">
      <w:bodyDiv w:val="1"/>
      <w:marLeft w:val="0"/>
      <w:marRight w:val="0"/>
      <w:marTop w:val="0"/>
      <w:marBottom w:val="0"/>
      <w:divBdr>
        <w:top w:val="none" w:sz="0" w:space="0" w:color="auto"/>
        <w:left w:val="none" w:sz="0" w:space="0" w:color="auto"/>
        <w:bottom w:val="none" w:sz="0" w:space="0" w:color="auto"/>
        <w:right w:val="none" w:sz="0" w:space="0" w:color="auto"/>
      </w:divBdr>
    </w:div>
    <w:div w:id="869298935">
      <w:bodyDiv w:val="1"/>
      <w:marLeft w:val="0"/>
      <w:marRight w:val="0"/>
      <w:marTop w:val="0"/>
      <w:marBottom w:val="0"/>
      <w:divBdr>
        <w:top w:val="none" w:sz="0" w:space="0" w:color="auto"/>
        <w:left w:val="none" w:sz="0" w:space="0" w:color="auto"/>
        <w:bottom w:val="none" w:sz="0" w:space="0" w:color="auto"/>
        <w:right w:val="none" w:sz="0" w:space="0" w:color="auto"/>
      </w:divBdr>
    </w:div>
    <w:div w:id="872309769">
      <w:bodyDiv w:val="1"/>
      <w:marLeft w:val="0"/>
      <w:marRight w:val="0"/>
      <w:marTop w:val="0"/>
      <w:marBottom w:val="0"/>
      <w:divBdr>
        <w:top w:val="none" w:sz="0" w:space="0" w:color="auto"/>
        <w:left w:val="none" w:sz="0" w:space="0" w:color="auto"/>
        <w:bottom w:val="none" w:sz="0" w:space="0" w:color="auto"/>
        <w:right w:val="none" w:sz="0" w:space="0" w:color="auto"/>
      </w:divBdr>
    </w:div>
    <w:div w:id="900680713">
      <w:bodyDiv w:val="1"/>
      <w:marLeft w:val="0"/>
      <w:marRight w:val="0"/>
      <w:marTop w:val="0"/>
      <w:marBottom w:val="0"/>
      <w:divBdr>
        <w:top w:val="none" w:sz="0" w:space="0" w:color="auto"/>
        <w:left w:val="none" w:sz="0" w:space="0" w:color="auto"/>
        <w:bottom w:val="none" w:sz="0" w:space="0" w:color="auto"/>
        <w:right w:val="none" w:sz="0" w:space="0" w:color="auto"/>
      </w:divBdr>
    </w:div>
    <w:div w:id="963266401">
      <w:bodyDiv w:val="1"/>
      <w:marLeft w:val="0"/>
      <w:marRight w:val="0"/>
      <w:marTop w:val="0"/>
      <w:marBottom w:val="0"/>
      <w:divBdr>
        <w:top w:val="none" w:sz="0" w:space="0" w:color="auto"/>
        <w:left w:val="none" w:sz="0" w:space="0" w:color="auto"/>
        <w:bottom w:val="none" w:sz="0" w:space="0" w:color="auto"/>
        <w:right w:val="none" w:sz="0" w:space="0" w:color="auto"/>
      </w:divBdr>
    </w:div>
    <w:div w:id="1007246961">
      <w:bodyDiv w:val="1"/>
      <w:marLeft w:val="0"/>
      <w:marRight w:val="0"/>
      <w:marTop w:val="0"/>
      <w:marBottom w:val="0"/>
      <w:divBdr>
        <w:top w:val="none" w:sz="0" w:space="0" w:color="auto"/>
        <w:left w:val="none" w:sz="0" w:space="0" w:color="auto"/>
        <w:bottom w:val="none" w:sz="0" w:space="0" w:color="auto"/>
        <w:right w:val="none" w:sz="0" w:space="0" w:color="auto"/>
      </w:divBdr>
    </w:div>
    <w:div w:id="1049181647">
      <w:bodyDiv w:val="1"/>
      <w:marLeft w:val="0"/>
      <w:marRight w:val="0"/>
      <w:marTop w:val="0"/>
      <w:marBottom w:val="0"/>
      <w:divBdr>
        <w:top w:val="none" w:sz="0" w:space="0" w:color="auto"/>
        <w:left w:val="none" w:sz="0" w:space="0" w:color="auto"/>
        <w:bottom w:val="none" w:sz="0" w:space="0" w:color="auto"/>
        <w:right w:val="none" w:sz="0" w:space="0" w:color="auto"/>
      </w:divBdr>
    </w:div>
    <w:div w:id="1056468308">
      <w:bodyDiv w:val="1"/>
      <w:marLeft w:val="0"/>
      <w:marRight w:val="0"/>
      <w:marTop w:val="0"/>
      <w:marBottom w:val="0"/>
      <w:divBdr>
        <w:top w:val="none" w:sz="0" w:space="0" w:color="auto"/>
        <w:left w:val="none" w:sz="0" w:space="0" w:color="auto"/>
        <w:bottom w:val="none" w:sz="0" w:space="0" w:color="auto"/>
        <w:right w:val="none" w:sz="0" w:space="0" w:color="auto"/>
      </w:divBdr>
    </w:div>
    <w:div w:id="1065834265">
      <w:bodyDiv w:val="1"/>
      <w:marLeft w:val="0"/>
      <w:marRight w:val="0"/>
      <w:marTop w:val="0"/>
      <w:marBottom w:val="0"/>
      <w:divBdr>
        <w:top w:val="none" w:sz="0" w:space="0" w:color="auto"/>
        <w:left w:val="none" w:sz="0" w:space="0" w:color="auto"/>
        <w:bottom w:val="none" w:sz="0" w:space="0" w:color="auto"/>
        <w:right w:val="none" w:sz="0" w:space="0" w:color="auto"/>
      </w:divBdr>
    </w:div>
    <w:div w:id="1084496184">
      <w:bodyDiv w:val="1"/>
      <w:marLeft w:val="0"/>
      <w:marRight w:val="0"/>
      <w:marTop w:val="0"/>
      <w:marBottom w:val="0"/>
      <w:divBdr>
        <w:top w:val="none" w:sz="0" w:space="0" w:color="auto"/>
        <w:left w:val="none" w:sz="0" w:space="0" w:color="auto"/>
        <w:bottom w:val="none" w:sz="0" w:space="0" w:color="auto"/>
        <w:right w:val="none" w:sz="0" w:space="0" w:color="auto"/>
      </w:divBdr>
    </w:div>
    <w:div w:id="1096560636">
      <w:bodyDiv w:val="1"/>
      <w:marLeft w:val="0"/>
      <w:marRight w:val="0"/>
      <w:marTop w:val="0"/>
      <w:marBottom w:val="0"/>
      <w:divBdr>
        <w:top w:val="none" w:sz="0" w:space="0" w:color="auto"/>
        <w:left w:val="none" w:sz="0" w:space="0" w:color="auto"/>
        <w:bottom w:val="none" w:sz="0" w:space="0" w:color="auto"/>
        <w:right w:val="none" w:sz="0" w:space="0" w:color="auto"/>
      </w:divBdr>
    </w:div>
    <w:div w:id="1229612692">
      <w:bodyDiv w:val="1"/>
      <w:marLeft w:val="0"/>
      <w:marRight w:val="0"/>
      <w:marTop w:val="0"/>
      <w:marBottom w:val="0"/>
      <w:divBdr>
        <w:top w:val="none" w:sz="0" w:space="0" w:color="auto"/>
        <w:left w:val="none" w:sz="0" w:space="0" w:color="auto"/>
        <w:bottom w:val="none" w:sz="0" w:space="0" w:color="auto"/>
        <w:right w:val="none" w:sz="0" w:space="0" w:color="auto"/>
      </w:divBdr>
    </w:div>
    <w:div w:id="1386444893">
      <w:bodyDiv w:val="1"/>
      <w:marLeft w:val="0"/>
      <w:marRight w:val="0"/>
      <w:marTop w:val="0"/>
      <w:marBottom w:val="0"/>
      <w:divBdr>
        <w:top w:val="none" w:sz="0" w:space="0" w:color="auto"/>
        <w:left w:val="none" w:sz="0" w:space="0" w:color="auto"/>
        <w:bottom w:val="none" w:sz="0" w:space="0" w:color="auto"/>
        <w:right w:val="none" w:sz="0" w:space="0" w:color="auto"/>
      </w:divBdr>
    </w:div>
    <w:div w:id="1424375560">
      <w:bodyDiv w:val="1"/>
      <w:marLeft w:val="0"/>
      <w:marRight w:val="0"/>
      <w:marTop w:val="0"/>
      <w:marBottom w:val="0"/>
      <w:divBdr>
        <w:top w:val="none" w:sz="0" w:space="0" w:color="auto"/>
        <w:left w:val="none" w:sz="0" w:space="0" w:color="auto"/>
        <w:bottom w:val="none" w:sz="0" w:space="0" w:color="auto"/>
        <w:right w:val="none" w:sz="0" w:space="0" w:color="auto"/>
      </w:divBdr>
    </w:div>
    <w:div w:id="1444811520">
      <w:bodyDiv w:val="1"/>
      <w:marLeft w:val="0"/>
      <w:marRight w:val="0"/>
      <w:marTop w:val="0"/>
      <w:marBottom w:val="0"/>
      <w:divBdr>
        <w:top w:val="none" w:sz="0" w:space="0" w:color="auto"/>
        <w:left w:val="none" w:sz="0" w:space="0" w:color="auto"/>
        <w:bottom w:val="none" w:sz="0" w:space="0" w:color="auto"/>
        <w:right w:val="none" w:sz="0" w:space="0" w:color="auto"/>
      </w:divBdr>
    </w:div>
    <w:div w:id="1457067140">
      <w:bodyDiv w:val="1"/>
      <w:marLeft w:val="0"/>
      <w:marRight w:val="0"/>
      <w:marTop w:val="0"/>
      <w:marBottom w:val="0"/>
      <w:divBdr>
        <w:top w:val="none" w:sz="0" w:space="0" w:color="auto"/>
        <w:left w:val="none" w:sz="0" w:space="0" w:color="auto"/>
        <w:bottom w:val="none" w:sz="0" w:space="0" w:color="auto"/>
        <w:right w:val="none" w:sz="0" w:space="0" w:color="auto"/>
      </w:divBdr>
    </w:div>
    <w:div w:id="1536770628">
      <w:bodyDiv w:val="1"/>
      <w:marLeft w:val="0"/>
      <w:marRight w:val="0"/>
      <w:marTop w:val="0"/>
      <w:marBottom w:val="0"/>
      <w:divBdr>
        <w:top w:val="none" w:sz="0" w:space="0" w:color="auto"/>
        <w:left w:val="none" w:sz="0" w:space="0" w:color="auto"/>
        <w:bottom w:val="none" w:sz="0" w:space="0" w:color="auto"/>
        <w:right w:val="none" w:sz="0" w:space="0" w:color="auto"/>
      </w:divBdr>
    </w:div>
    <w:div w:id="1676878485">
      <w:bodyDiv w:val="1"/>
      <w:marLeft w:val="0"/>
      <w:marRight w:val="0"/>
      <w:marTop w:val="0"/>
      <w:marBottom w:val="0"/>
      <w:divBdr>
        <w:top w:val="none" w:sz="0" w:space="0" w:color="auto"/>
        <w:left w:val="none" w:sz="0" w:space="0" w:color="auto"/>
        <w:bottom w:val="none" w:sz="0" w:space="0" w:color="auto"/>
        <w:right w:val="none" w:sz="0" w:space="0" w:color="auto"/>
      </w:divBdr>
    </w:div>
    <w:div w:id="1775856452">
      <w:bodyDiv w:val="1"/>
      <w:marLeft w:val="0"/>
      <w:marRight w:val="0"/>
      <w:marTop w:val="0"/>
      <w:marBottom w:val="0"/>
      <w:divBdr>
        <w:top w:val="none" w:sz="0" w:space="0" w:color="auto"/>
        <w:left w:val="none" w:sz="0" w:space="0" w:color="auto"/>
        <w:bottom w:val="none" w:sz="0" w:space="0" w:color="auto"/>
        <w:right w:val="none" w:sz="0" w:space="0" w:color="auto"/>
      </w:divBdr>
    </w:div>
    <w:div w:id="1867718997">
      <w:bodyDiv w:val="1"/>
      <w:marLeft w:val="0"/>
      <w:marRight w:val="0"/>
      <w:marTop w:val="0"/>
      <w:marBottom w:val="0"/>
      <w:divBdr>
        <w:top w:val="none" w:sz="0" w:space="0" w:color="auto"/>
        <w:left w:val="none" w:sz="0" w:space="0" w:color="auto"/>
        <w:bottom w:val="none" w:sz="0" w:space="0" w:color="auto"/>
        <w:right w:val="none" w:sz="0" w:space="0" w:color="auto"/>
      </w:divBdr>
    </w:div>
    <w:div w:id="1906603127">
      <w:bodyDiv w:val="1"/>
      <w:marLeft w:val="0"/>
      <w:marRight w:val="0"/>
      <w:marTop w:val="0"/>
      <w:marBottom w:val="0"/>
      <w:divBdr>
        <w:top w:val="none" w:sz="0" w:space="0" w:color="auto"/>
        <w:left w:val="none" w:sz="0" w:space="0" w:color="auto"/>
        <w:bottom w:val="none" w:sz="0" w:space="0" w:color="auto"/>
        <w:right w:val="none" w:sz="0" w:space="0" w:color="auto"/>
      </w:divBdr>
    </w:div>
    <w:div w:id="1961643132">
      <w:bodyDiv w:val="1"/>
      <w:marLeft w:val="0"/>
      <w:marRight w:val="0"/>
      <w:marTop w:val="0"/>
      <w:marBottom w:val="0"/>
      <w:divBdr>
        <w:top w:val="none" w:sz="0" w:space="0" w:color="auto"/>
        <w:left w:val="none" w:sz="0" w:space="0" w:color="auto"/>
        <w:bottom w:val="none" w:sz="0" w:space="0" w:color="auto"/>
        <w:right w:val="none" w:sz="0" w:space="0" w:color="auto"/>
      </w:divBdr>
    </w:div>
    <w:div w:id="2105345873">
      <w:bodyDiv w:val="1"/>
      <w:marLeft w:val="0"/>
      <w:marRight w:val="0"/>
      <w:marTop w:val="0"/>
      <w:marBottom w:val="0"/>
      <w:divBdr>
        <w:top w:val="none" w:sz="0" w:space="0" w:color="auto"/>
        <w:left w:val="none" w:sz="0" w:space="0" w:color="auto"/>
        <w:bottom w:val="none" w:sz="0" w:space="0" w:color="auto"/>
        <w:right w:val="none" w:sz="0" w:space="0" w:color="auto"/>
      </w:divBdr>
    </w:div>
    <w:div w:id="2112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bamaworks.com/dav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D7F185.628B4E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E0E77-6124-48C7-9638-20A0C56C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10</Pages>
  <Words>5069</Words>
  <Characters>28897</Characters>
  <Application>Microsoft Office Word</Application>
  <DocSecurity>0</DocSecurity>
  <Lines>240</Lines>
  <Paragraphs>67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Walters</dc:creator>
  <cp:keywords/>
  <dc:description/>
  <cp:lastModifiedBy>David Walters</cp:lastModifiedBy>
  <cp:revision>3</cp:revision>
  <cp:lastPrinted>2022-01-03T16:46:00Z</cp:lastPrinted>
  <dcterms:created xsi:type="dcterms:W3CDTF">2022-08-02T12:15:00Z</dcterms:created>
  <dcterms:modified xsi:type="dcterms:W3CDTF">2022-08-02T18:20:00Z</dcterms:modified>
</cp:coreProperties>
</file>