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84668" w14:textId="77777777" w:rsidR="00283DA8" w:rsidRPr="00F70214" w:rsidRDefault="00283DA8" w:rsidP="00283DA8">
      <w:pPr>
        <w:autoSpaceDE w:val="0"/>
        <w:autoSpaceDN w:val="0"/>
        <w:adjustRightInd w:val="0"/>
        <w:spacing w:after="0" w:line="240" w:lineRule="auto"/>
        <w:rPr>
          <w:rFonts w:ascii="Arial" w:hAnsi="Arial" w:cs="Arial"/>
        </w:rPr>
      </w:pPr>
      <w:r>
        <w:rPr>
          <w:rFonts w:ascii="Times New Roman" w:hAnsi="Times New Roman" w:cs="Times New Roman"/>
          <w:b/>
          <w:bCs/>
          <w:sz w:val="24"/>
          <w:szCs w:val="24"/>
        </w:rPr>
        <w:t>1.</w:t>
      </w:r>
      <w:r>
        <w:rPr>
          <w:rFonts w:ascii="Times New Roman" w:hAnsi="Times New Roman" w:cs="Times New Roman"/>
          <w:b/>
          <w:bCs/>
          <w:sz w:val="24"/>
          <w:szCs w:val="24"/>
        </w:rPr>
        <w:tab/>
      </w:r>
      <w:r w:rsidRPr="00F70214">
        <w:rPr>
          <w:rFonts w:ascii="Arial" w:hAnsi="Arial" w:cs="Arial"/>
          <w:b/>
          <w:bCs/>
        </w:rPr>
        <w:t xml:space="preserve">State Leadership Funds </w:t>
      </w:r>
      <w:r w:rsidRPr="00F70214">
        <w:rPr>
          <w:rFonts w:ascii="Arial" w:hAnsi="Arial" w:cs="Arial"/>
        </w:rPr>
        <w:t>(AEFLA Section 223)</w:t>
      </w:r>
    </w:p>
    <w:p w14:paraId="3D71E929" w14:textId="6E6C4AE5" w:rsidR="00283DA8" w:rsidRPr="00F70214" w:rsidRDefault="00283DA8" w:rsidP="00283DA8">
      <w:pPr>
        <w:autoSpaceDE w:val="0"/>
        <w:autoSpaceDN w:val="0"/>
        <w:adjustRightInd w:val="0"/>
        <w:spacing w:after="0" w:line="240" w:lineRule="auto"/>
        <w:rPr>
          <w:rFonts w:ascii="Arial" w:hAnsi="Arial" w:cs="Arial"/>
          <w:i/>
        </w:rPr>
      </w:pPr>
      <w:r w:rsidRPr="00F70214">
        <w:rPr>
          <w:rFonts w:ascii="Arial" w:hAnsi="Arial" w:cs="Arial"/>
        </w:rPr>
        <w:tab/>
      </w:r>
      <w:r w:rsidRPr="00F70214">
        <w:rPr>
          <w:rFonts w:ascii="Arial" w:hAnsi="Arial" w:cs="Arial"/>
          <w:i/>
        </w:rPr>
        <w:t>(a) Describe how the State has used funds made avail</w:t>
      </w:r>
      <w:r w:rsidR="00D3466A">
        <w:rPr>
          <w:rFonts w:ascii="Arial" w:hAnsi="Arial" w:cs="Arial"/>
          <w:i/>
        </w:rPr>
        <w:t>able</w:t>
      </w:r>
      <w:r w:rsidRPr="00F70214">
        <w:rPr>
          <w:rFonts w:ascii="Arial" w:hAnsi="Arial" w:cs="Arial"/>
          <w:i/>
        </w:rPr>
        <w:t xml:space="preserve"> under section 223 (State </w:t>
      </w:r>
      <w:r w:rsidRPr="00F70214">
        <w:rPr>
          <w:rFonts w:ascii="Arial" w:hAnsi="Arial" w:cs="Arial"/>
          <w:i/>
        </w:rPr>
        <w:tab/>
        <w:t xml:space="preserve">Leadership </w:t>
      </w:r>
      <w:r w:rsidR="005211AB">
        <w:rPr>
          <w:rFonts w:ascii="Arial" w:hAnsi="Arial" w:cs="Arial"/>
          <w:i/>
        </w:rPr>
        <w:t>A</w:t>
      </w:r>
      <w:r w:rsidRPr="00F70214">
        <w:rPr>
          <w:rFonts w:ascii="Arial" w:hAnsi="Arial" w:cs="Arial"/>
          <w:i/>
        </w:rPr>
        <w:t xml:space="preserve">ctivities) for each </w:t>
      </w:r>
      <w:r w:rsidR="005211AB">
        <w:rPr>
          <w:rFonts w:ascii="Arial" w:hAnsi="Arial" w:cs="Arial"/>
          <w:i/>
        </w:rPr>
        <w:t xml:space="preserve">of </w:t>
      </w:r>
      <w:r w:rsidRPr="00F70214">
        <w:rPr>
          <w:rFonts w:ascii="Arial" w:hAnsi="Arial" w:cs="Arial"/>
          <w:i/>
        </w:rPr>
        <w:t>the following required activities:</w:t>
      </w:r>
    </w:p>
    <w:p w14:paraId="560A9A84" w14:textId="77777777" w:rsidR="00F70214" w:rsidRPr="00F70214" w:rsidRDefault="00F70214" w:rsidP="00283DA8">
      <w:pPr>
        <w:autoSpaceDE w:val="0"/>
        <w:autoSpaceDN w:val="0"/>
        <w:adjustRightInd w:val="0"/>
        <w:spacing w:after="0" w:line="240" w:lineRule="auto"/>
        <w:rPr>
          <w:rFonts w:ascii="Arial" w:eastAsia="SymbolMT" w:hAnsi="Arial" w:cs="Arial"/>
          <w:i/>
          <w:color w:val="FF0000"/>
        </w:rPr>
      </w:pPr>
      <w:r w:rsidRPr="00F70214">
        <w:rPr>
          <w:rFonts w:ascii="Arial" w:eastAsia="SymbolMT" w:hAnsi="Arial" w:cs="Arial"/>
          <w:i/>
          <w:color w:val="FF0000"/>
        </w:rPr>
        <w:tab/>
      </w:r>
    </w:p>
    <w:p w14:paraId="6FD6A4E0" w14:textId="1A139458" w:rsidR="00A7359F" w:rsidRPr="00B668BA" w:rsidRDefault="00283DA8" w:rsidP="00B668BA">
      <w:pPr>
        <w:autoSpaceDE w:val="0"/>
        <w:autoSpaceDN w:val="0"/>
        <w:adjustRightInd w:val="0"/>
        <w:spacing w:after="0" w:line="240" w:lineRule="auto"/>
        <w:ind w:left="720"/>
        <w:rPr>
          <w:rFonts w:ascii="Arial" w:hAnsi="Arial" w:cs="Arial"/>
          <w:i/>
          <w:color w:val="548DD4" w:themeColor="text2" w:themeTint="99"/>
        </w:rPr>
      </w:pPr>
      <w:r w:rsidRPr="00B668BA">
        <w:rPr>
          <w:rFonts w:ascii="Arial" w:hAnsi="Arial" w:cs="Arial"/>
          <w:i/>
          <w:color w:val="548DD4" w:themeColor="text2" w:themeTint="99"/>
        </w:rPr>
        <w:t>Alignment of adult education and literacy activities with other one-stop required</w:t>
      </w:r>
      <w:r w:rsidR="00F70214" w:rsidRPr="00B668BA">
        <w:rPr>
          <w:rFonts w:ascii="Arial" w:hAnsi="Arial" w:cs="Arial"/>
          <w:i/>
          <w:color w:val="548DD4" w:themeColor="text2" w:themeTint="99"/>
        </w:rPr>
        <w:t xml:space="preserve"> </w:t>
      </w:r>
      <w:r w:rsidRPr="00B668BA">
        <w:rPr>
          <w:rFonts w:ascii="Arial" w:hAnsi="Arial" w:cs="Arial"/>
          <w:i/>
          <w:color w:val="548DD4" w:themeColor="text2" w:themeTint="99"/>
        </w:rPr>
        <w:t>partners to implement the strategies in the Unified or Combined State Plan as described</w:t>
      </w:r>
      <w:r w:rsidR="00F70214" w:rsidRPr="00B668BA">
        <w:rPr>
          <w:rFonts w:ascii="Arial" w:hAnsi="Arial" w:cs="Arial"/>
          <w:i/>
          <w:color w:val="548DD4" w:themeColor="text2" w:themeTint="99"/>
        </w:rPr>
        <w:t xml:space="preserve"> </w:t>
      </w:r>
      <w:r w:rsidRPr="00B668BA">
        <w:rPr>
          <w:rFonts w:ascii="Arial" w:hAnsi="Arial" w:cs="Arial"/>
          <w:i/>
          <w:color w:val="548DD4" w:themeColor="text2" w:themeTint="99"/>
        </w:rPr>
        <w:t xml:space="preserve">in </w:t>
      </w:r>
      <w:r w:rsidR="00F70214" w:rsidRPr="00B668BA">
        <w:rPr>
          <w:rFonts w:ascii="Arial" w:hAnsi="Arial" w:cs="Arial"/>
          <w:i/>
          <w:color w:val="548DD4" w:themeColor="text2" w:themeTint="99"/>
        </w:rPr>
        <w:t>s</w:t>
      </w:r>
      <w:r w:rsidRPr="00B668BA">
        <w:rPr>
          <w:rFonts w:ascii="Arial" w:hAnsi="Arial" w:cs="Arial"/>
          <w:i/>
          <w:color w:val="548DD4" w:themeColor="text2" w:themeTint="99"/>
        </w:rPr>
        <w:t>ection 223</w:t>
      </w:r>
      <w:r w:rsidR="005211AB">
        <w:rPr>
          <w:rFonts w:ascii="Arial" w:hAnsi="Arial" w:cs="Arial"/>
          <w:i/>
          <w:color w:val="548DD4" w:themeColor="text2" w:themeTint="99"/>
        </w:rPr>
        <w:t>(a)</w:t>
      </w:r>
      <w:r w:rsidRPr="00B668BA">
        <w:rPr>
          <w:rFonts w:ascii="Arial" w:hAnsi="Arial" w:cs="Arial"/>
          <w:i/>
          <w:color w:val="548DD4" w:themeColor="text2" w:themeTint="99"/>
        </w:rPr>
        <w:t>(1)(</w:t>
      </w:r>
      <w:r w:rsidR="005211AB">
        <w:rPr>
          <w:rFonts w:ascii="Arial" w:hAnsi="Arial" w:cs="Arial"/>
          <w:i/>
          <w:color w:val="548DD4" w:themeColor="text2" w:themeTint="99"/>
        </w:rPr>
        <w:t>A</w:t>
      </w:r>
      <w:r w:rsidRPr="00B668BA">
        <w:rPr>
          <w:rFonts w:ascii="Arial" w:hAnsi="Arial" w:cs="Arial"/>
          <w:i/>
          <w:color w:val="548DD4" w:themeColor="text2" w:themeTint="99"/>
        </w:rPr>
        <w:t>).</w:t>
      </w:r>
      <w:r w:rsidR="00A7359F" w:rsidRPr="00B668BA">
        <w:rPr>
          <w:rFonts w:ascii="Arial" w:hAnsi="Arial" w:cs="Arial"/>
          <w:i/>
          <w:color w:val="548DD4" w:themeColor="text2" w:themeTint="99"/>
        </w:rPr>
        <w:t xml:space="preserve"> </w:t>
      </w:r>
    </w:p>
    <w:p w14:paraId="188006EF" w14:textId="77777777" w:rsidR="00F70214" w:rsidRPr="00F70214" w:rsidRDefault="00F70214" w:rsidP="00F70214">
      <w:pPr>
        <w:autoSpaceDE w:val="0"/>
        <w:autoSpaceDN w:val="0"/>
        <w:adjustRightInd w:val="0"/>
        <w:spacing w:after="0" w:line="240" w:lineRule="auto"/>
        <w:rPr>
          <w:rFonts w:ascii="Arial" w:hAnsi="Arial" w:cs="Arial"/>
          <w:i/>
        </w:rPr>
      </w:pPr>
    </w:p>
    <w:p w14:paraId="0296C57C" w14:textId="377B6FEF" w:rsidR="00C05567" w:rsidRPr="00F858FE" w:rsidRDefault="007507AB" w:rsidP="00B668BA">
      <w:pPr>
        <w:autoSpaceDE w:val="0"/>
        <w:autoSpaceDN w:val="0"/>
        <w:adjustRightInd w:val="0"/>
        <w:spacing w:after="0" w:line="240" w:lineRule="auto"/>
        <w:ind w:left="720"/>
        <w:rPr>
          <w:rFonts w:ascii="Arial" w:hAnsi="Arial" w:cs="Arial"/>
          <w:color w:val="FF0000"/>
          <w:sz w:val="28"/>
          <w:szCs w:val="28"/>
        </w:rPr>
      </w:pPr>
      <w:r>
        <w:rPr>
          <w:rFonts w:ascii="Arial" w:hAnsi="Arial" w:cs="Arial"/>
        </w:rPr>
        <w:t xml:space="preserve">Utah </w:t>
      </w:r>
      <w:r w:rsidR="00543E0B">
        <w:rPr>
          <w:rFonts w:ascii="Arial" w:hAnsi="Arial" w:cs="Arial"/>
        </w:rPr>
        <w:t>has certified</w:t>
      </w:r>
      <w:r w:rsidR="00360009">
        <w:rPr>
          <w:rFonts w:ascii="Arial" w:hAnsi="Arial" w:cs="Arial"/>
        </w:rPr>
        <w:t xml:space="preserve"> </w:t>
      </w:r>
      <w:r w:rsidR="00E822D6">
        <w:rPr>
          <w:rFonts w:ascii="Arial" w:hAnsi="Arial" w:cs="Arial"/>
        </w:rPr>
        <w:t>multiple</w:t>
      </w:r>
      <w:r w:rsidR="00360009">
        <w:rPr>
          <w:rFonts w:ascii="Arial" w:hAnsi="Arial" w:cs="Arial"/>
        </w:rPr>
        <w:t xml:space="preserve"> centers across the state</w:t>
      </w:r>
      <w:r w:rsidR="00E822D6">
        <w:rPr>
          <w:rFonts w:ascii="Arial" w:hAnsi="Arial" w:cs="Arial"/>
        </w:rPr>
        <w:t xml:space="preserve">. Each </w:t>
      </w:r>
      <w:r w:rsidR="00360009">
        <w:rPr>
          <w:rFonts w:ascii="Arial" w:hAnsi="Arial" w:cs="Arial"/>
        </w:rPr>
        <w:t>One-Stop Center provides</w:t>
      </w:r>
      <w:r w:rsidR="00543E0B">
        <w:rPr>
          <w:rFonts w:ascii="Arial" w:hAnsi="Arial" w:cs="Arial"/>
        </w:rPr>
        <w:t xml:space="preserve"> Title II services</w:t>
      </w:r>
      <w:r>
        <w:rPr>
          <w:rFonts w:ascii="Arial" w:hAnsi="Arial" w:cs="Arial"/>
        </w:rPr>
        <w:t>.</w:t>
      </w:r>
      <w:r w:rsidR="00543E0B">
        <w:rPr>
          <w:rFonts w:ascii="Arial" w:hAnsi="Arial" w:cs="Arial"/>
        </w:rPr>
        <w:t xml:space="preserve"> Activities described in the Unified State Plan are provided </w:t>
      </w:r>
      <w:proofErr w:type="gramStart"/>
      <w:r w:rsidR="00543E0B">
        <w:rPr>
          <w:rFonts w:ascii="Arial" w:hAnsi="Arial" w:cs="Arial"/>
        </w:rPr>
        <w:t>through the use of</w:t>
      </w:r>
      <w:proofErr w:type="gramEnd"/>
      <w:r w:rsidR="00543E0B">
        <w:rPr>
          <w:rFonts w:ascii="Arial" w:hAnsi="Arial" w:cs="Arial"/>
        </w:rPr>
        <w:t xml:space="preserve"> section 223 funds</w:t>
      </w:r>
      <w:r>
        <w:rPr>
          <w:rFonts w:ascii="Arial" w:hAnsi="Arial" w:cs="Arial"/>
        </w:rPr>
        <w:t xml:space="preserve">. </w:t>
      </w:r>
      <w:r w:rsidR="00543E0B">
        <w:rPr>
          <w:rFonts w:ascii="Arial" w:hAnsi="Arial" w:cs="Arial"/>
        </w:rPr>
        <w:t xml:space="preserve">Utah adult education programs are partnering with core and required partners in </w:t>
      </w:r>
      <w:proofErr w:type="gramStart"/>
      <w:r w:rsidR="00E822D6">
        <w:rPr>
          <w:rFonts w:ascii="Arial" w:hAnsi="Arial" w:cs="Arial"/>
        </w:rPr>
        <w:t>all of</w:t>
      </w:r>
      <w:proofErr w:type="gramEnd"/>
      <w:r w:rsidR="00E822D6">
        <w:rPr>
          <w:rFonts w:ascii="Arial" w:hAnsi="Arial" w:cs="Arial"/>
        </w:rPr>
        <w:t xml:space="preserve"> the state’s</w:t>
      </w:r>
      <w:r w:rsidR="00543E0B">
        <w:rPr>
          <w:rFonts w:ascii="Arial" w:hAnsi="Arial" w:cs="Arial"/>
        </w:rPr>
        <w:t xml:space="preserve"> regions. Basic literacy programs, high-school completion, along with GED preparation, and English language acquisition services highlight the provided services.</w:t>
      </w:r>
    </w:p>
    <w:p w14:paraId="6D22E489" w14:textId="77777777" w:rsidR="00A7359F" w:rsidRPr="00F70214" w:rsidRDefault="00A7359F" w:rsidP="00A7359F">
      <w:pPr>
        <w:tabs>
          <w:tab w:val="left" w:pos="720"/>
        </w:tabs>
        <w:ind w:left="720"/>
        <w:rPr>
          <w:rFonts w:ascii="Arial" w:hAnsi="Arial" w:cs="Arial"/>
        </w:rPr>
      </w:pPr>
    </w:p>
    <w:p w14:paraId="6EA64857" w14:textId="41408B9A" w:rsidR="00604323" w:rsidRPr="00B668BA" w:rsidRDefault="00604323" w:rsidP="00B668BA">
      <w:pPr>
        <w:autoSpaceDE w:val="0"/>
        <w:autoSpaceDN w:val="0"/>
        <w:adjustRightInd w:val="0"/>
        <w:spacing w:after="0" w:line="240" w:lineRule="auto"/>
        <w:ind w:left="720"/>
        <w:rPr>
          <w:rFonts w:ascii="Arial" w:hAnsi="Arial" w:cs="Arial"/>
          <w:i/>
          <w:color w:val="548DD4" w:themeColor="text2" w:themeTint="99"/>
        </w:rPr>
      </w:pPr>
      <w:r w:rsidRPr="00B668BA">
        <w:rPr>
          <w:rFonts w:ascii="Arial" w:hAnsi="Arial" w:cs="Arial"/>
          <w:i/>
          <w:color w:val="548DD4" w:themeColor="text2" w:themeTint="99"/>
        </w:rPr>
        <w:t>Establishment or operation of a high</w:t>
      </w:r>
      <w:r w:rsidR="005211AB">
        <w:rPr>
          <w:rFonts w:ascii="Arial" w:hAnsi="Arial" w:cs="Arial"/>
          <w:i/>
          <w:color w:val="548DD4" w:themeColor="text2" w:themeTint="99"/>
        </w:rPr>
        <w:t>-</w:t>
      </w:r>
      <w:r w:rsidRPr="00B668BA">
        <w:rPr>
          <w:rFonts w:ascii="Arial" w:hAnsi="Arial" w:cs="Arial"/>
          <w:i/>
          <w:color w:val="548DD4" w:themeColor="text2" w:themeTint="99"/>
        </w:rPr>
        <w:t>quality professional development programs as</w:t>
      </w:r>
      <w:r w:rsidR="00F70214" w:rsidRPr="00B668BA">
        <w:rPr>
          <w:rFonts w:ascii="Arial" w:hAnsi="Arial" w:cs="Arial"/>
          <w:i/>
          <w:color w:val="548DD4" w:themeColor="text2" w:themeTint="99"/>
        </w:rPr>
        <w:t xml:space="preserve"> </w:t>
      </w:r>
      <w:r w:rsidRPr="00B668BA">
        <w:rPr>
          <w:rFonts w:ascii="Arial" w:hAnsi="Arial" w:cs="Arial"/>
          <w:i/>
          <w:color w:val="548DD4" w:themeColor="text2" w:themeTint="99"/>
        </w:rPr>
        <w:t>described in section 223</w:t>
      </w:r>
      <w:r w:rsidR="005211AB">
        <w:rPr>
          <w:rFonts w:ascii="Arial" w:hAnsi="Arial" w:cs="Arial"/>
          <w:i/>
          <w:color w:val="548DD4" w:themeColor="text2" w:themeTint="99"/>
        </w:rPr>
        <w:t>(a)</w:t>
      </w:r>
      <w:r w:rsidRPr="00B668BA">
        <w:rPr>
          <w:rFonts w:ascii="Arial" w:hAnsi="Arial" w:cs="Arial"/>
          <w:i/>
          <w:color w:val="548DD4" w:themeColor="text2" w:themeTint="99"/>
        </w:rPr>
        <w:t>(1)(</w:t>
      </w:r>
      <w:r w:rsidR="005211AB">
        <w:rPr>
          <w:rFonts w:ascii="Arial" w:hAnsi="Arial" w:cs="Arial"/>
          <w:i/>
          <w:color w:val="548DD4" w:themeColor="text2" w:themeTint="99"/>
        </w:rPr>
        <w:t>B</w:t>
      </w:r>
      <w:r w:rsidRPr="00B668BA">
        <w:rPr>
          <w:rFonts w:ascii="Arial" w:hAnsi="Arial" w:cs="Arial"/>
          <w:i/>
          <w:color w:val="548DD4" w:themeColor="text2" w:themeTint="99"/>
        </w:rPr>
        <w:t>).</w:t>
      </w:r>
    </w:p>
    <w:p w14:paraId="7C322A03" w14:textId="77777777" w:rsidR="00F70214" w:rsidRDefault="00F70214" w:rsidP="00604323">
      <w:pPr>
        <w:autoSpaceDE w:val="0"/>
        <w:autoSpaceDN w:val="0"/>
        <w:adjustRightInd w:val="0"/>
        <w:spacing w:after="0" w:line="240" w:lineRule="auto"/>
        <w:rPr>
          <w:rFonts w:ascii="Arial" w:hAnsi="Arial" w:cs="Arial"/>
          <w:i/>
        </w:rPr>
      </w:pPr>
    </w:p>
    <w:p w14:paraId="39EA7051" w14:textId="77777777" w:rsidR="00554212" w:rsidRPr="00554212" w:rsidRDefault="007507AB" w:rsidP="00554212">
      <w:pPr>
        <w:autoSpaceDE w:val="0"/>
        <w:autoSpaceDN w:val="0"/>
        <w:adjustRightInd w:val="0"/>
        <w:spacing w:after="0" w:line="240" w:lineRule="auto"/>
        <w:ind w:left="720"/>
        <w:rPr>
          <w:rFonts w:ascii="Arial" w:hAnsi="Arial" w:cs="Arial"/>
        </w:rPr>
      </w:pPr>
      <w:r>
        <w:rPr>
          <w:rFonts w:ascii="Arial" w:hAnsi="Arial" w:cs="Arial"/>
        </w:rPr>
        <w:t xml:space="preserve">Utah </w:t>
      </w:r>
      <w:r w:rsidR="002B215E">
        <w:rPr>
          <w:rFonts w:ascii="Arial" w:hAnsi="Arial" w:cs="Arial"/>
        </w:rPr>
        <w:t xml:space="preserve">has used section 223 funds to provide the following professional </w:t>
      </w:r>
      <w:r w:rsidR="00360009">
        <w:rPr>
          <w:rFonts w:ascii="Arial" w:hAnsi="Arial" w:cs="Arial"/>
        </w:rPr>
        <w:t xml:space="preserve">development in </w:t>
      </w:r>
      <w:r w:rsidR="00360009" w:rsidRPr="00E822D6">
        <w:rPr>
          <w:rFonts w:ascii="Arial" w:hAnsi="Arial" w:cs="Arial"/>
        </w:rPr>
        <w:t>program year 201</w:t>
      </w:r>
      <w:r w:rsidR="00554212">
        <w:rPr>
          <w:rFonts w:ascii="Arial" w:hAnsi="Arial" w:cs="Arial"/>
        </w:rPr>
        <w:t>9</w:t>
      </w:r>
      <w:r w:rsidR="002B215E" w:rsidRPr="00E822D6">
        <w:rPr>
          <w:rFonts w:ascii="Arial" w:hAnsi="Arial" w:cs="Arial"/>
        </w:rPr>
        <w:t>:</w:t>
      </w:r>
      <w:r w:rsidR="002B215E">
        <w:rPr>
          <w:rFonts w:ascii="Arial" w:hAnsi="Arial" w:cs="Arial"/>
        </w:rPr>
        <w:t xml:space="preserve"> </w:t>
      </w:r>
      <w:r w:rsidR="00360009">
        <w:rPr>
          <w:rFonts w:ascii="Arial" w:hAnsi="Arial" w:cs="Arial"/>
        </w:rPr>
        <w:t>statewide directors meetings (3</w:t>
      </w:r>
      <w:r w:rsidR="002B215E">
        <w:rPr>
          <w:rFonts w:ascii="Arial" w:hAnsi="Arial" w:cs="Arial"/>
        </w:rPr>
        <w:t>); database and data usage trainings</w:t>
      </w:r>
      <w:r w:rsidR="00360009">
        <w:rPr>
          <w:rFonts w:ascii="Arial" w:hAnsi="Arial" w:cs="Arial"/>
        </w:rPr>
        <w:t xml:space="preserve"> (</w:t>
      </w:r>
      <w:r w:rsidR="00E822D6">
        <w:rPr>
          <w:rFonts w:ascii="Arial" w:hAnsi="Arial" w:cs="Arial"/>
        </w:rPr>
        <w:t>1</w:t>
      </w:r>
      <w:r w:rsidR="00360009">
        <w:rPr>
          <w:rFonts w:ascii="Arial" w:hAnsi="Arial" w:cs="Arial"/>
        </w:rPr>
        <w:t xml:space="preserve">); </w:t>
      </w:r>
      <w:r w:rsidR="00554212">
        <w:rPr>
          <w:rFonts w:ascii="Arial" w:hAnsi="Arial" w:cs="Arial"/>
        </w:rPr>
        <w:t>assessment system</w:t>
      </w:r>
      <w:r w:rsidR="00360009">
        <w:rPr>
          <w:rFonts w:ascii="Arial" w:hAnsi="Arial" w:cs="Arial"/>
        </w:rPr>
        <w:t xml:space="preserve"> trainings (</w:t>
      </w:r>
      <w:r w:rsidR="00554212">
        <w:rPr>
          <w:rFonts w:ascii="Arial" w:hAnsi="Arial" w:cs="Arial"/>
        </w:rPr>
        <w:t>1</w:t>
      </w:r>
      <w:r w:rsidR="002B215E">
        <w:rPr>
          <w:rFonts w:ascii="Arial" w:hAnsi="Arial" w:cs="Arial"/>
        </w:rPr>
        <w:t xml:space="preserve">); corrections education programming (1); and a comprehensive </w:t>
      </w:r>
      <w:r w:rsidR="00E822D6">
        <w:rPr>
          <w:rFonts w:ascii="Arial" w:hAnsi="Arial" w:cs="Arial"/>
        </w:rPr>
        <w:t>fall</w:t>
      </w:r>
      <w:r w:rsidR="002B215E">
        <w:rPr>
          <w:rFonts w:ascii="Arial" w:hAnsi="Arial" w:cs="Arial"/>
        </w:rPr>
        <w:t xml:space="preserve"> conference for adult educators</w:t>
      </w:r>
      <w:r>
        <w:rPr>
          <w:rFonts w:ascii="Arial" w:hAnsi="Arial" w:cs="Arial"/>
        </w:rPr>
        <w:t>.</w:t>
      </w:r>
      <w:r w:rsidR="00554212">
        <w:rPr>
          <w:rFonts w:ascii="Arial" w:hAnsi="Arial" w:cs="Arial"/>
        </w:rPr>
        <w:t xml:space="preserve"> After the </w:t>
      </w:r>
      <w:proofErr w:type="gramStart"/>
      <w:r w:rsidR="00554212">
        <w:rPr>
          <w:rFonts w:ascii="Arial" w:hAnsi="Arial" w:cs="Arial"/>
        </w:rPr>
        <w:t>soft-closure</w:t>
      </w:r>
      <w:proofErr w:type="gramEnd"/>
      <w:r w:rsidR="00554212">
        <w:rPr>
          <w:rFonts w:ascii="Arial" w:hAnsi="Arial" w:cs="Arial"/>
        </w:rPr>
        <w:t xml:space="preserve"> of schools in March of 2020, Utah used section 223 funds to provide access for all adult education staff to the following three professional development activities: </w:t>
      </w:r>
      <w:r w:rsidR="00554212" w:rsidRPr="00554212">
        <w:rPr>
          <w:rFonts w:ascii="Arial" w:hAnsi="Arial" w:cs="Arial"/>
        </w:rPr>
        <w:t>Identifying and Remediating Reading Skill</w:t>
      </w:r>
    </w:p>
    <w:p w14:paraId="2B82B166" w14:textId="09E85007" w:rsidR="00B668BA" w:rsidRDefault="00554212" w:rsidP="00554212">
      <w:pPr>
        <w:autoSpaceDE w:val="0"/>
        <w:autoSpaceDN w:val="0"/>
        <w:adjustRightInd w:val="0"/>
        <w:spacing w:after="0" w:line="240" w:lineRule="auto"/>
        <w:ind w:left="720"/>
        <w:rPr>
          <w:rFonts w:ascii="Arial" w:hAnsi="Arial" w:cs="Arial"/>
          <w:i/>
          <w:color w:val="548DD4" w:themeColor="text2" w:themeTint="99"/>
        </w:rPr>
      </w:pPr>
      <w:r w:rsidRPr="00554212">
        <w:rPr>
          <w:rFonts w:ascii="Arial" w:hAnsi="Arial" w:cs="Arial"/>
        </w:rPr>
        <w:t>Difficulties, Motivating the Adult Learner, and Blended Learning in Adult</w:t>
      </w:r>
      <w:r>
        <w:rPr>
          <w:rFonts w:ascii="Arial" w:hAnsi="Arial" w:cs="Arial"/>
        </w:rPr>
        <w:t xml:space="preserve"> </w:t>
      </w:r>
      <w:r w:rsidRPr="00554212">
        <w:rPr>
          <w:rFonts w:ascii="Arial" w:hAnsi="Arial" w:cs="Arial"/>
        </w:rPr>
        <w:t>Education</w:t>
      </w:r>
      <w:r>
        <w:rPr>
          <w:rFonts w:ascii="Arial" w:hAnsi="Arial" w:cs="Arial"/>
        </w:rPr>
        <w:t>.</w:t>
      </w:r>
    </w:p>
    <w:p w14:paraId="4FDC56B8" w14:textId="77777777" w:rsidR="00865C4A" w:rsidRDefault="00865C4A" w:rsidP="00B668BA">
      <w:pPr>
        <w:autoSpaceDE w:val="0"/>
        <w:autoSpaceDN w:val="0"/>
        <w:adjustRightInd w:val="0"/>
        <w:spacing w:after="0" w:line="240" w:lineRule="auto"/>
        <w:ind w:firstLine="720"/>
        <w:rPr>
          <w:rFonts w:ascii="Arial" w:hAnsi="Arial" w:cs="Arial"/>
          <w:i/>
          <w:color w:val="548DD4" w:themeColor="text2" w:themeTint="99"/>
        </w:rPr>
      </w:pPr>
    </w:p>
    <w:p w14:paraId="52F7A151" w14:textId="77777777" w:rsidR="00865C4A" w:rsidRDefault="00865C4A" w:rsidP="00B668BA">
      <w:pPr>
        <w:autoSpaceDE w:val="0"/>
        <w:autoSpaceDN w:val="0"/>
        <w:adjustRightInd w:val="0"/>
        <w:spacing w:after="0" w:line="240" w:lineRule="auto"/>
        <w:ind w:firstLine="720"/>
        <w:rPr>
          <w:rFonts w:ascii="Arial" w:hAnsi="Arial" w:cs="Arial"/>
          <w:i/>
          <w:color w:val="548DD4" w:themeColor="text2" w:themeTint="99"/>
        </w:rPr>
      </w:pPr>
    </w:p>
    <w:p w14:paraId="00F47D6A" w14:textId="71091E72" w:rsidR="00A3046F" w:rsidRPr="00B668BA" w:rsidRDefault="00A3046F" w:rsidP="005211AB">
      <w:pPr>
        <w:autoSpaceDE w:val="0"/>
        <w:autoSpaceDN w:val="0"/>
        <w:adjustRightInd w:val="0"/>
        <w:spacing w:after="0" w:line="240" w:lineRule="auto"/>
        <w:ind w:left="720"/>
        <w:rPr>
          <w:rFonts w:ascii="Arial" w:hAnsi="Arial" w:cs="Arial"/>
          <w:i/>
          <w:color w:val="548DD4" w:themeColor="text2" w:themeTint="99"/>
        </w:rPr>
      </w:pPr>
      <w:r w:rsidRPr="00B668BA">
        <w:rPr>
          <w:rFonts w:ascii="Arial" w:hAnsi="Arial" w:cs="Arial"/>
          <w:i/>
          <w:color w:val="548DD4" w:themeColor="text2" w:themeTint="99"/>
        </w:rPr>
        <w:t>Provision of technical assistance to funded eligible providers as described in section</w:t>
      </w:r>
      <w:r w:rsidR="002B0328" w:rsidRPr="00B668BA">
        <w:rPr>
          <w:rFonts w:ascii="Arial" w:hAnsi="Arial" w:cs="Arial"/>
          <w:i/>
          <w:color w:val="548DD4" w:themeColor="text2" w:themeTint="99"/>
        </w:rPr>
        <w:t xml:space="preserve"> </w:t>
      </w:r>
      <w:r w:rsidRPr="00B668BA">
        <w:rPr>
          <w:rFonts w:ascii="Arial" w:hAnsi="Arial" w:cs="Arial"/>
          <w:i/>
          <w:color w:val="548DD4" w:themeColor="text2" w:themeTint="99"/>
        </w:rPr>
        <w:t>223</w:t>
      </w:r>
      <w:r w:rsidR="005211AB">
        <w:rPr>
          <w:rFonts w:ascii="Arial" w:hAnsi="Arial" w:cs="Arial"/>
          <w:i/>
          <w:color w:val="548DD4" w:themeColor="text2" w:themeTint="99"/>
        </w:rPr>
        <w:t>(a)</w:t>
      </w:r>
      <w:r w:rsidRPr="00B668BA">
        <w:rPr>
          <w:rFonts w:ascii="Arial" w:hAnsi="Arial" w:cs="Arial"/>
          <w:i/>
          <w:color w:val="548DD4" w:themeColor="text2" w:themeTint="99"/>
        </w:rPr>
        <w:t>(1)(</w:t>
      </w:r>
      <w:r w:rsidR="005211AB">
        <w:rPr>
          <w:rFonts w:ascii="Arial" w:hAnsi="Arial" w:cs="Arial"/>
          <w:i/>
          <w:color w:val="548DD4" w:themeColor="text2" w:themeTint="99"/>
        </w:rPr>
        <w:t>C</w:t>
      </w:r>
      <w:r w:rsidRPr="00B668BA">
        <w:rPr>
          <w:rFonts w:ascii="Arial" w:hAnsi="Arial" w:cs="Arial"/>
          <w:i/>
          <w:color w:val="548DD4" w:themeColor="text2" w:themeTint="99"/>
        </w:rPr>
        <w:t xml:space="preserve">). </w:t>
      </w:r>
    </w:p>
    <w:p w14:paraId="3E7C0EF2" w14:textId="77777777" w:rsidR="002B0328" w:rsidRDefault="002B0328" w:rsidP="00A3046F">
      <w:pPr>
        <w:autoSpaceDE w:val="0"/>
        <w:autoSpaceDN w:val="0"/>
        <w:adjustRightInd w:val="0"/>
        <w:spacing w:after="0" w:line="240" w:lineRule="auto"/>
        <w:rPr>
          <w:rFonts w:ascii="Arial" w:hAnsi="Arial" w:cs="Arial"/>
          <w:i/>
        </w:rPr>
      </w:pPr>
    </w:p>
    <w:p w14:paraId="38561FAD" w14:textId="77777777" w:rsidR="00866C17" w:rsidRPr="00514091" w:rsidRDefault="002B0328" w:rsidP="008E709F">
      <w:pPr>
        <w:autoSpaceDE w:val="0"/>
        <w:autoSpaceDN w:val="0"/>
        <w:adjustRightInd w:val="0"/>
        <w:spacing w:after="0" w:line="240" w:lineRule="auto"/>
        <w:ind w:left="720" w:hanging="720"/>
        <w:rPr>
          <w:rFonts w:ascii="Arial" w:hAnsi="Arial" w:cs="Arial"/>
        </w:rPr>
      </w:pPr>
      <w:r>
        <w:rPr>
          <w:rFonts w:ascii="Arial" w:hAnsi="Arial" w:cs="Arial"/>
          <w:i/>
        </w:rPr>
        <w:tab/>
      </w:r>
      <w:r w:rsidR="008E709F">
        <w:rPr>
          <w:rFonts w:ascii="Arial" w:hAnsi="Arial" w:cs="Arial"/>
        </w:rPr>
        <w:t>On-site and virtual technical assistance is provided upon request</w:t>
      </w:r>
      <w:r w:rsidR="007507AB">
        <w:rPr>
          <w:rFonts w:ascii="Arial" w:hAnsi="Arial" w:cs="Arial"/>
        </w:rPr>
        <w:t xml:space="preserve">. </w:t>
      </w:r>
      <w:r w:rsidR="008E709F">
        <w:rPr>
          <w:rFonts w:ascii="Arial" w:hAnsi="Arial" w:cs="Arial"/>
        </w:rPr>
        <w:t>Core partner meetings have helped local programs understand their role in client referrals and service patterns</w:t>
      </w:r>
      <w:r w:rsidR="007507AB">
        <w:rPr>
          <w:rFonts w:ascii="Arial" w:hAnsi="Arial" w:cs="Arial"/>
        </w:rPr>
        <w:t xml:space="preserve">. </w:t>
      </w:r>
      <w:r w:rsidR="008E709F">
        <w:rPr>
          <w:rFonts w:ascii="Arial" w:hAnsi="Arial" w:cs="Arial"/>
        </w:rPr>
        <w:t>Partner agencies have had access to a portal in Utopia for several years</w:t>
      </w:r>
      <w:r w:rsidR="007507AB">
        <w:rPr>
          <w:rFonts w:ascii="Arial" w:hAnsi="Arial" w:cs="Arial"/>
        </w:rPr>
        <w:t>.</w:t>
      </w:r>
      <w:r w:rsidR="008E709F">
        <w:rPr>
          <w:rFonts w:ascii="Arial" w:hAnsi="Arial" w:cs="Arial"/>
        </w:rPr>
        <w:t xml:space="preserve"> Additional time is spent refining reports that assist the common client. Partner agencies are encouraged to reach out to the adult education providers to ensure that the referred client is correctly identified in the database ensuring a stronger service pattern for the client.</w:t>
      </w:r>
    </w:p>
    <w:p w14:paraId="5B09F2E8" w14:textId="77777777" w:rsidR="002B0328" w:rsidRPr="00514091" w:rsidRDefault="002B0328" w:rsidP="002B0328">
      <w:pPr>
        <w:autoSpaceDE w:val="0"/>
        <w:autoSpaceDN w:val="0"/>
        <w:adjustRightInd w:val="0"/>
        <w:spacing w:after="0" w:line="240" w:lineRule="auto"/>
        <w:rPr>
          <w:rFonts w:ascii="Arial" w:hAnsi="Arial" w:cs="Arial"/>
        </w:rPr>
      </w:pPr>
      <w:r w:rsidRPr="00514091">
        <w:rPr>
          <w:rFonts w:ascii="Arial" w:hAnsi="Arial" w:cs="Arial"/>
        </w:rPr>
        <w:tab/>
      </w:r>
    </w:p>
    <w:p w14:paraId="27B89DED" w14:textId="77777777" w:rsidR="00B668BA" w:rsidRDefault="00B668BA" w:rsidP="00C05567">
      <w:pPr>
        <w:autoSpaceDE w:val="0"/>
        <w:autoSpaceDN w:val="0"/>
        <w:adjustRightInd w:val="0"/>
        <w:spacing w:after="0" w:line="240" w:lineRule="auto"/>
        <w:ind w:left="720"/>
        <w:rPr>
          <w:rFonts w:ascii="Arial" w:hAnsi="Arial" w:cs="Arial"/>
        </w:rPr>
      </w:pPr>
    </w:p>
    <w:p w14:paraId="708F594C" w14:textId="61555995" w:rsidR="00866C17" w:rsidRPr="00C05567" w:rsidRDefault="00866C17" w:rsidP="00C05567">
      <w:pPr>
        <w:autoSpaceDE w:val="0"/>
        <w:autoSpaceDN w:val="0"/>
        <w:adjustRightInd w:val="0"/>
        <w:spacing w:after="0" w:line="240" w:lineRule="auto"/>
        <w:ind w:left="720"/>
        <w:rPr>
          <w:rFonts w:ascii="Arial" w:hAnsi="Arial" w:cs="Arial"/>
          <w:i/>
          <w:color w:val="548DD4" w:themeColor="text2" w:themeTint="99"/>
        </w:rPr>
      </w:pPr>
      <w:r w:rsidRPr="00C05567">
        <w:rPr>
          <w:rFonts w:ascii="Arial" w:hAnsi="Arial" w:cs="Arial"/>
          <w:i/>
          <w:color w:val="548DD4" w:themeColor="text2" w:themeTint="99"/>
        </w:rPr>
        <w:t>Monitoring and evaluation of the quality and improvement of adult education activities</w:t>
      </w:r>
      <w:r w:rsidR="00514091" w:rsidRPr="00C05567">
        <w:rPr>
          <w:rFonts w:ascii="Arial" w:hAnsi="Arial" w:cs="Arial"/>
          <w:i/>
          <w:color w:val="548DD4" w:themeColor="text2" w:themeTint="99"/>
        </w:rPr>
        <w:t xml:space="preserve"> </w:t>
      </w:r>
      <w:r w:rsidRPr="00C05567">
        <w:rPr>
          <w:rFonts w:ascii="Arial" w:hAnsi="Arial" w:cs="Arial"/>
          <w:i/>
          <w:color w:val="548DD4" w:themeColor="text2" w:themeTint="99"/>
        </w:rPr>
        <w:t>as described in section 223</w:t>
      </w:r>
      <w:r w:rsidR="008F632D">
        <w:rPr>
          <w:rFonts w:ascii="Arial" w:hAnsi="Arial" w:cs="Arial"/>
          <w:i/>
          <w:color w:val="548DD4" w:themeColor="text2" w:themeTint="99"/>
        </w:rPr>
        <w:t>(a)</w:t>
      </w:r>
      <w:r w:rsidRPr="00C05567">
        <w:rPr>
          <w:rFonts w:ascii="Arial" w:hAnsi="Arial" w:cs="Arial"/>
          <w:i/>
          <w:color w:val="548DD4" w:themeColor="text2" w:themeTint="99"/>
        </w:rPr>
        <w:t>(1)(</w:t>
      </w:r>
      <w:r w:rsidR="008F632D">
        <w:rPr>
          <w:rFonts w:ascii="Arial" w:hAnsi="Arial" w:cs="Arial"/>
          <w:i/>
          <w:color w:val="548DD4" w:themeColor="text2" w:themeTint="99"/>
        </w:rPr>
        <w:t>D</w:t>
      </w:r>
      <w:r w:rsidRPr="00C05567">
        <w:rPr>
          <w:rFonts w:ascii="Arial" w:hAnsi="Arial" w:cs="Arial"/>
          <w:i/>
          <w:color w:val="548DD4" w:themeColor="text2" w:themeTint="99"/>
        </w:rPr>
        <w:t>).</w:t>
      </w:r>
    </w:p>
    <w:p w14:paraId="4661AE66" w14:textId="2DF6EF01" w:rsidR="00F70227" w:rsidRPr="00390581" w:rsidRDefault="007507AB" w:rsidP="009A5BCA">
      <w:pPr>
        <w:spacing w:before="100" w:beforeAutospacing="1" w:after="100" w:afterAutospacing="1" w:line="240" w:lineRule="auto"/>
        <w:ind w:left="720"/>
        <w:rPr>
          <w:rFonts w:ascii="Arial" w:eastAsiaTheme="minorEastAsia" w:hAnsi="Arial" w:cs="Arial"/>
        </w:rPr>
      </w:pPr>
      <w:r>
        <w:rPr>
          <w:rFonts w:ascii="Arial" w:eastAsiaTheme="minorEastAsia" w:hAnsi="Arial" w:cs="Arial"/>
        </w:rPr>
        <w:t xml:space="preserve">Utah </w:t>
      </w:r>
      <w:r w:rsidR="0074166E">
        <w:rPr>
          <w:rFonts w:ascii="Arial" w:eastAsiaTheme="minorEastAsia" w:hAnsi="Arial" w:cs="Arial"/>
        </w:rPr>
        <w:t>conduct</w:t>
      </w:r>
      <w:r w:rsidR="00103743">
        <w:rPr>
          <w:rFonts w:ascii="Arial" w:eastAsiaTheme="minorEastAsia" w:hAnsi="Arial" w:cs="Arial"/>
        </w:rPr>
        <w:t>ed</w:t>
      </w:r>
      <w:r w:rsidR="0074166E">
        <w:rPr>
          <w:rFonts w:ascii="Arial" w:eastAsiaTheme="minorEastAsia" w:hAnsi="Arial" w:cs="Arial"/>
        </w:rPr>
        <w:t xml:space="preserve"> monthly desk monitorin</w:t>
      </w:r>
      <w:r w:rsidR="00FF1E6D">
        <w:rPr>
          <w:rFonts w:ascii="Arial" w:eastAsiaTheme="minorEastAsia" w:hAnsi="Arial" w:cs="Arial"/>
        </w:rPr>
        <w:t xml:space="preserve">g with programs </w:t>
      </w:r>
      <w:r w:rsidR="00FF1E6D" w:rsidRPr="00103743">
        <w:rPr>
          <w:rFonts w:ascii="Arial" w:eastAsiaTheme="minorEastAsia" w:hAnsi="Arial" w:cs="Arial"/>
        </w:rPr>
        <w:t>during PY1</w:t>
      </w:r>
      <w:r w:rsidR="00F643D4">
        <w:rPr>
          <w:rFonts w:ascii="Arial" w:eastAsiaTheme="minorEastAsia" w:hAnsi="Arial" w:cs="Arial"/>
        </w:rPr>
        <w:t>9</w:t>
      </w:r>
      <w:r w:rsidRPr="00103743">
        <w:rPr>
          <w:rFonts w:ascii="Arial" w:eastAsiaTheme="minorEastAsia" w:hAnsi="Arial" w:cs="Arial"/>
        </w:rPr>
        <w:t>.</w:t>
      </w:r>
      <w:r>
        <w:rPr>
          <w:rFonts w:ascii="Arial" w:eastAsiaTheme="minorEastAsia" w:hAnsi="Arial" w:cs="Arial"/>
        </w:rPr>
        <w:t xml:space="preserve"> </w:t>
      </w:r>
      <w:r w:rsidR="0074166E">
        <w:rPr>
          <w:rFonts w:ascii="Arial" w:eastAsiaTheme="minorEastAsia" w:hAnsi="Arial" w:cs="Arial"/>
        </w:rPr>
        <w:t>Annual independent compliance audits continue to show minimal data errors</w:t>
      </w:r>
      <w:r>
        <w:rPr>
          <w:rFonts w:ascii="Arial" w:eastAsiaTheme="minorEastAsia" w:hAnsi="Arial" w:cs="Arial"/>
        </w:rPr>
        <w:t xml:space="preserve">. </w:t>
      </w:r>
      <w:r w:rsidR="0074166E">
        <w:rPr>
          <w:rFonts w:ascii="Arial" w:eastAsiaTheme="minorEastAsia" w:hAnsi="Arial" w:cs="Arial"/>
        </w:rPr>
        <w:t>As a state, Utah continues to work on correcting errors through user training, mentoring and system improvements that mitigate error options</w:t>
      </w:r>
      <w:r>
        <w:rPr>
          <w:rFonts w:ascii="Arial" w:eastAsiaTheme="minorEastAsia" w:hAnsi="Arial" w:cs="Arial"/>
        </w:rPr>
        <w:t xml:space="preserve">. </w:t>
      </w:r>
    </w:p>
    <w:p w14:paraId="2C6C4736" w14:textId="77777777" w:rsidR="00694694" w:rsidRPr="00EA6B6D" w:rsidRDefault="00694694" w:rsidP="007507AB">
      <w:pPr>
        <w:spacing w:before="100" w:beforeAutospacing="1" w:after="100" w:afterAutospacing="1" w:line="240" w:lineRule="auto"/>
        <w:rPr>
          <w:rFonts w:ascii="Arial" w:hAnsi="Arial" w:cs="Arial"/>
          <w:i/>
          <w:color w:val="548DD4" w:themeColor="text2" w:themeTint="99"/>
        </w:rPr>
      </w:pPr>
      <w:r w:rsidRPr="00390581">
        <w:rPr>
          <w:rFonts w:ascii="Arial" w:eastAsiaTheme="minorEastAsia" w:hAnsi="Arial" w:cs="Arial"/>
        </w:rPr>
        <w:tab/>
      </w:r>
      <w:r w:rsidR="007507AB">
        <w:rPr>
          <w:rFonts w:ascii="Arial" w:hAnsi="Arial" w:cs="Arial"/>
          <w:i/>
          <w:color w:val="548DD4" w:themeColor="text2" w:themeTint="99"/>
        </w:rPr>
        <w:t>(b</w:t>
      </w:r>
      <w:r w:rsidRPr="00EA6B6D">
        <w:rPr>
          <w:rFonts w:ascii="Arial" w:hAnsi="Arial" w:cs="Arial"/>
          <w:i/>
          <w:color w:val="548DD4" w:themeColor="text2" w:themeTint="99"/>
        </w:rPr>
        <w:t>) As applic</w:t>
      </w:r>
      <w:r w:rsidR="007E6416">
        <w:rPr>
          <w:rFonts w:ascii="Arial" w:hAnsi="Arial" w:cs="Arial"/>
          <w:i/>
          <w:color w:val="548DD4" w:themeColor="text2" w:themeTint="99"/>
        </w:rPr>
        <w:t>able</w:t>
      </w:r>
      <w:r w:rsidRPr="00EA6B6D">
        <w:rPr>
          <w:rFonts w:ascii="Arial" w:hAnsi="Arial" w:cs="Arial"/>
          <w:i/>
          <w:color w:val="548DD4" w:themeColor="text2" w:themeTint="99"/>
        </w:rPr>
        <w:t xml:space="preserve">, describe how the State has used funds for additional permissible </w:t>
      </w:r>
      <w:r w:rsidRPr="00EA6B6D">
        <w:rPr>
          <w:rFonts w:ascii="Arial" w:hAnsi="Arial" w:cs="Arial"/>
          <w:i/>
          <w:color w:val="548DD4" w:themeColor="text2" w:themeTint="99"/>
        </w:rPr>
        <w:tab/>
        <w:t>activities described in section 223(a)(2).</w:t>
      </w:r>
    </w:p>
    <w:p w14:paraId="50F4B962" w14:textId="77777777" w:rsidR="0078290E" w:rsidRDefault="0074166E" w:rsidP="005C681F">
      <w:pPr>
        <w:spacing w:before="100" w:beforeAutospacing="1" w:after="100" w:afterAutospacing="1" w:line="240" w:lineRule="auto"/>
        <w:ind w:left="720"/>
        <w:rPr>
          <w:rFonts w:ascii="Arial" w:hAnsi="Arial" w:cs="Arial"/>
        </w:rPr>
      </w:pPr>
      <w:r>
        <w:rPr>
          <w:rFonts w:ascii="Arial" w:hAnsi="Arial" w:cs="Arial"/>
        </w:rPr>
        <w:t>N/A</w:t>
      </w:r>
      <w:r w:rsidR="007507AB">
        <w:rPr>
          <w:rFonts w:ascii="Arial" w:hAnsi="Arial" w:cs="Arial"/>
        </w:rPr>
        <w:t xml:space="preserve"> </w:t>
      </w:r>
    </w:p>
    <w:p w14:paraId="5778CB7A" w14:textId="31CAC1E3" w:rsidR="00EF37C7" w:rsidRDefault="00EF37C7" w:rsidP="005C681F">
      <w:pPr>
        <w:spacing w:before="100" w:beforeAutospacing="1" w:after="100" w:afterAutospacing="1" w:line="240" w:lineRule="auto"/>
        <w:ind w:left="720"/>
        <w:rPr>
          <w:rFonts w:ascii="Arial" w:eastAsia="Calibri" w:hAnsi="Arial" w:cs="Arial"/>
        </w:rPr>
      </w:pPr>
    </w:p>
    <w:p w14:paraId="4A7CF59C" w14:textId="77777777" w:rsidR="0083711E" w:rsidRPr="0078290E" w:rsidRDefault="0083711E" w:rsidP="005C681F">
      <w:pPr>
        <w:spacing w:before="100" w:beforeAutospacing="1" w:after="100" w:afterAutospacing="1" w:line="240" w:lineRule="auto"/>
        <w:ind w:left="720"/>
        <w:rPr>
          <w:rFonts w:ascii="Arial" w:eastAsia="Calibri" w:hAnsi="Arial" w:cs="Arial"/>
        </w:rPr>
      </w:pPr>
    </w:p>
    <w:p w14:paraId="5022F038" w14:textId="713C9843" w:rsidR="0075410D" w:rsidRPr="005C681F" w:rsidRDefault="00DC4006" w:rsidP="00D27605">
      <w:pPr>
        <w:ind w:left="720" w:hanging="720"/>
        <w:rPr>
          <w:rFonts w:ascii="Arial" w:hAnsi="Arial" w:cs="Arial"/>
          <w:b/>
        </w:rPr>
      </w:pPr>
      <w:r w:rsidRPr="005C681F">
        <w:rPr>
          <w:rFonts w:ascii="Arial" w:hAnsi="Arial" w:cs="Arial"/>
          <w:b/>
        </w:rPr>
        <w:t xml:space="preserve">2. </w:t>
      </w:r>
      <w:r w:rsidRPr="005C681F">
        <w:rPr>
          <w:rFonts w:ascii="Arial" w:hAnsi="Arial" w:cs="Arial"/>
          <w:b/>
        </w:rPr>
        <w:tab/>
      </w:r>
      <w:r w:rsidR="0075410D" w:rsidRPr="005C681F">
        <w:rPr>
          <w:rFonts w:ascii="Arial" w:hAnsi="Arial" w:cs="Arial"/>
          <w:b/>
        </w:rPr>
        <w:t>Performance Data Analys</w:t>
      </w:r>
      <w:r w:rsidR="00F6373B">
        <w:rPr>
          <w:rFonts w:ascii="Arial" w:hAnsi="Arial" w:cs="Arial"/>
          <w:b/>
        </w:rPr>
        <w:t>i</w:t>
      </w:r>
      <w:r w:rsidR="0075410D" w:rsidRPr="005C681F">
        <w:rPr>
          <w:rFonts w:ascii="Arial" w:hAnsi="Arial" w:cs="Arial"/>
          <w:b/>
        </w:rPr>
        <w:t>s</w:t>
      </w:r>
    </w:p>
    <w:p w14:paraId="67667992" w14:textId="77777777" w:rsidR="00DC4006" w:rsidRPr="005C681F" w:rsidRDefault="00DC4006" w:rsidP="00DC4006">
      <w:pPr>
        <w:pStyle w:val="ListParagraph"/>
        <w:spacing w:after="0"/>
        <w:rPr>
          <w:rFonts w:ascii="Arial" w:hAnsi="Arial" w:cs="Arial"/>
          <w:i/>
          <w:color w:val="FF0000"/>
        </w:rPr>
      </w:pPr>
      <w:r w:rsidRPr="00EA6B6D">
        <w:rPr>
          <w:rFonts w:ascii="Arial" w:hAnsi="Arial" w:cs="Arial"/>
          <w:i/>
          <w:color w:val="548DD4" w:themeColor="text2" w:themeTint="99"/>
        </w:rPr>
        <w:t>Describe 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 years</w:t>
      </w:r>
      <w:r w:rsidRPr="005C681F">
        <w:rPr>
          <w:rFonts w:ascii="Arial" w:hAnsi="Arial" w:cs="Arial"/>
          <w:i/>
        </w:rPr>
        <w:t>.</w:t>
      </w:r>
    </w:p>
    <w:p w14:paraId="6152BF16" w14:textId="77777777" w:rsidR="00DC4006" w:rsidRPr="00F70214" w:rsidRDefault="00DC4006" w:rsidP="00BC381C">
      <w:pPr>
        <w:pStyle w:val="ListParagraph"/>
        <w:spacing w:after="0"/>
        <w:rPr>
          <w:rFonts w:ascii="Arial" w:hAnsi="Arial" w:cs="Arial"/>
          <w:b/>
        </w:rPr>
      </w:pPr>
    </w:p>
    <w:p w14:paraId="1FC4344C" w14:textId="6D5103DA" w:rsidR="00FE0A36" w:rsidRDefault="00F643D4" w:rsidP="00F643D4">
      <w:pPr>
        <w:pStyle w:val="ListParagraph"/>
        <w:tabs>
          <w:tab w:val="left" w:pos="1080"/>
        </w:tabs>
        <w:spacing w:after="0"/>
        <w:rPr>
          <w:rFonts w:ascii="Arial" w:hAnsi="Arial" w:cs="Arial"/>
        </w:rPr>
      </w:pPr>
      <w:r>
        <w:rPr>
          <w:rFonts w:ascii="Arial" w:hAnsi="Arial" w:cs="Arial"/>
        </w:rPr>
        <w:t xml:space="preserve">Student achievement is a factor of provider </w:t>
      </w:r>
      <w:r w:rsidR="006A1715">
        <w:rPr>
          <w:rFonts w:ascii="Arial" w:hAnsi="Arial" w:cs="Arial"/>
        </w:rPr>
        <w:t>quality and effectiveness</w:t>
      </w:r>
      <w:r w:rsidR="00CC64F3">
        <w:rPr>
          <w:rFonts w:ascii="Arial" w:hAnsi="Arial" w:cs="Arial"/>
        </w:rPr>
        <w:t xml:space="preserve">. As individual programs focus on the needs of the student and work with that student to achieve individual outcomes, the effective use of funds is improved and student, and instructor, satisfaction is increased. </w:t>
      </w:r>
      <w:r w:rsidR="00C67DB3">
        <w:rPr>
          <w:rFonts w:ascii="Arial" w:hAnsi="Arial" w:cs="Arial"/>
        </w:rPr>
        <w:t>Recent data analysis suggests that local providers have</w:t>
      </w:r>
      <w:r w:rsidR="00A4119C">
        <w:rPr>
          <w:rFonts w:ascii="Arial" w:hAnsi="Arial" w:cs="Arial"/>
        </w:rPr>
        <w:t>, in years past,</w:t>
      </w:r>
      <w:r w:rsidR="00C67DB3">
        <w:rPr>
          <w:rFonts w:ascii="Arial" w:hAnsi="Arial" w:cs="Arial"/>
        </w:rPr>
        <w:t xml:space="preserve"> encouraged enrollment over completion. Utah has been working with </w:t>
      </w:r>
      <w:r w:rsidR="00617FCA">
        <w:rPr>
          <w:rFonts w:ascii="Arial" w:hAnsi="Arial" w:cs="Arial"/>
        </w:rPr>
        <w:t xml:space="preserve">providers to change the expectations of program staff to better retain students. With a shift in emphasis, data would suggest that fewer students overall will be served while those who are served will have a higher rate of </w:t>
      </w:r>
      <w:r w:rsidR="009D2078">
        <w:rPr>
          <w:rFonts w:ascii="Arial" w:hAnsi="Arial" w:cs="Arial"/>
        </w:rPr>
        <w:t>retention</w:t>
      </w:r>
      <w:r w:rsidR="00617FCA">
        <w:rPr>
          <w:rFonts w:ascii="Arial" w:hAnsi="Arial" w:cs="Arial"/>
        </w:rPr>
        <w:t>.</w:t>
      </w:r>
    </w:p>
    <w:p w14:paraId="70329B76" w14:textId="6082EE7C" w:rsidR="008D19C9" w:rsidRDefault="008D19C9" w:rsidP="00F643D4">
      <w:pPr>
        <w:pStyle w:val="ListParagraph"/>
        <w:tabs>
          <w:tab w:val="left" w:pos="1080"/>
        </w:tabs>
        <w:spacing w:after="0"/>
        <w:rPr>
          <w:rFonts w:ascii="Arial" w:hAnsi="Arial" w:cs="Arial"/>
        </w:rPr>
      </w:pPr>
    </w:p>
    <w:tbl>
      <w:tblPr>
        <w:tblStyle w:val="TableGrid"/>
        <w:tblW w:w="0" w:type="auto"/>
        <w:tblInd w:w="720" w:type="dxa"/>
        <w:tblLook w:val="04A0" w:firstRow="1" w:lastRow="0" w:firstColumn="1" w:lastColumn="0" w:noHBand="0" w:noVBand="1"/>
      </w:tblPr>
      <w:tblGrid>
        <w:gridCol w:w="3955"/>
        <w:gridCol w:w="1710"/>
        <w:gridCol w:w="1800"/>
        <w:gridCol w:w="1723"/>
      </w:tblGrid>
      <w:tr w:rsidR="00AC79BD" w14:paraId="1A2B7C06" w14:textId="77777777" w:rsidTr="00AC79BD">
        <w:tc>
          <w:tcPr>
            <w:tcW w:w="3955" w:type="dxa"/>
          </w:tcPr>
          <w:p w14:paraId="74E901A1" w14:textId="4E1DF6CF" w:rsidR="008D19C9" w:rsidRDefault="0045331E" w:rsidP="0045331E">
            <w:pPr>
              <w:pStyle w:val="ListParagraph"/>
              <w:tabs>
                <w:tab w:val="left" w:pos="1080"/>
              </w:tabs>
              <w:ind w:left="0"/>
              <w:jc w:val="center"/>
              <w:rPr>
                <w:rFonts w:ascii="Arial" w:hAnsi="Arial" w:cs="Arial"/>
              </w:rPr>
            </w:pPr>
            <w:r>
              <w:rPr>
                <w:rFonts w:ascii="Arial" w:hAnsi="Arial" w:cs="Arial"/>
              </w:rPr>
              <w:t>Data Element</w:t>
            </w:r>
          </w:p>
        </w:tc>
        <w:tc>
          <w:tcPr>
            <w:tcW w:w="1710" w:type="dxa"/>
          </w:tcPr>
          <w:p w14:paraId="29F06198" w14:textId="139246FB" w:rsidR="008D19C9" w:rsidRPr="008D19C9" w:rsidRDefault="008D19C9" w:rsidP="008D19C9">
            <w:pPr>
              <w:pStyle w:val="ListParagraph"/>
              <w:tabs>
                <w:tab w:val="left" w:pos="1080"/>
              </w:tabs>
              <w:ind w:left="0"/>
              <w:jc w:val="center"/>
              <w:rPr>
                <w:rFonts w:ascii="Arial" w:hAnsi="Arial" w:cs="Arial"/>
                <w:b/>
                <w:bCs/>
              </w:rPr>
            </w:pPr>
            <w:r w:rsidRPr="008D19C9">
              <w:rPr>
                <w:rFonts w:ascii="Arial" w:hAnsi="Arial" w:cs="Arial"/>
                <w:b/>
                <w:bCs/>
              </w:rPr>
              <w:t>2017 - 2018</w:t>
            </w:r>
          </w:p>
        </w:tc>
        <w:tc>
          <w:tcPr>
            <w:tcW w:w="1800" w:type="dxa"/>
          </w:tcPr>
          <w:p w14:paraId="05DCD179" w14:textId="2EED8878" w:rsidR="008D19C9" w:rsidRPr="008D19C9" w:rsidRDefault="008D19C9" w:rsidP="008D19C9">
            <w:pPr>
              <w:pStyle w:val="ListParagraph"/>
              <w:tabs>
                <w:tab w:val="left" w:pos="1080"/>
              </w:tabs>
              <w:ind w:left="0"/>
              <w:jc w:val="center"/>
              <w:rPr>
                <w:rFonts w:ascii="Arial" w:hAnsi="Arial" w:cs="Arial"/>
                <w:b/>
                <w:bCs/>
              </w:rPr>
            </w:pPr>
            <w:r w:rsidRPr="008D19C9">
              <w:rPr>
                <w:rFonts w:ascii="Arial" w:hAnsi="Arial" w:cs="Arial"/>
                <w:b/>
                <w:bCs/>
              </w:rPr>
              <w:t>2018- 2019</w:t>
            </w:r>
          </w:p>
        </w:tc>
        <w:tc>
          <w:tcPr>
            <w:tcW w:w="1723" w:type="dxa"/>
          </w:tcPr>
          <w:p w14:paraId="035CCCDA" w14:textId="339DEB7E" w:rsidR="008D19C9" w:rsidRPr="008D19C9" w:rsidRDefault="008D19C9" w:rsidP="008D19C9">
            <w:pPr>
              <w:pStyle w:val="ListParagraph"/>
              <w:tabs>
                <w:tab w:val="left" w:pos="1080"/>
              </w:tabs>
              <w:ind w:left="0"/>
              <w:jc w:val="center"/>
              <w:rPr>
                <w:rFonts w:ascii="Arial" w:hAnsi="Arial" w:cs="Arial"/>
                <w:b/>
                <w:bCs/>
              </w:rPr>
            </w:pPr>
            <w:r w:rsidRPr="008D19C9">
              <w:rPr>
                <w:rFonts w:ascii="Arial" w:hAnsi="Arial" w:cs="Arial"/>
                <w:b/>
                <w:bCs/>
              </w:rPr>
              <w:t>2019 - 2020</w:t>
            </w:r>
          </w:p>
        </w:tc>
      </w:tr>
      <w:tr w:rsidR="00AC79BD" w14:paraId="29CB8A8E" w14:textId="77777777" w:rsidTr="00AC79BD">
        <w:tc>
          <w:tcPr>
            <w:tcW w:w="3955" w:type="dxa"/>
          </w:tcPr>
          <w:p w14:paraId="1141A7D5" w14:textId="5A863407" w:rsidR="008D19C9" w:rsidRDefault="0045331E" w:rsidP="00F643D4">
            <w:pPr>
              <w:pStyle w:val="ListParagraph"/>
              <w:tabs>
                <w:tab w:val="left" w:pos="1080"/>
              </w:tabs>
              <w:ind w:left="0"/>
              <w:rPr>
                <w:rFonts w:ascii="Arial" w:hAnsi="Arial" w:cs="Arial"/>
              </w:rPr>
            </w:pPr>
            <w:r>
              <w:rPr>
                <w:rFonts w:ascii="Arial" w:hAnsi="Arial" w:cs="Arial"/>
              </w:rPr>
              <w:t># of Students Served</w:t>
            </w:r>
          </w:p>
        </w:tc>
        <w:tc>
          <w:tcPr>
            <w:tcW w:w="1710" w:type="dxa"/>
          </w:tcPr>
          <w:p w14:paraId="1ED04BF4" w14:textId="0432AAD8" w:rsidR="008D19C9" w:rsidRDefault="00A4119C" w:rsidP="00A4119C">
            <w:pPr>
              <w:pStyle w:val="ListParagraph"/>
              <w:tabs>
                <w:tab w:val="left" w:pos="1080"/>
              </w:tabs>
              <w:ind w:left="0"/>
              <w:jc w:val="right"/>
              <w:rPr>
                <w:rFonts w:ascii="Arial" w:hAnsi="Arial" w:cs="Arial"/>
              </w:rPr>
            </w:pPr>
            <w:r>
              <w:rPr>
                <w:rFonts w:ascii="Arial" w:hAnsi="Arial" w:cs="Arial"/>
              </w:rPr>
              <w:t>15,222</w:t>
            </w:r>
          </w:p>
        </w:tc>
        <w:tc>
          <w:tcPr>
            <w:tcW w:w="1800" w:type="dxa"/>
          </w:tcPr>
          <w:p w14:paraId="37FEA49C" w14:textId="08E4E09F" w:rsidR="008D19C9" w:rsidRDefault="00A4119C" w:rsidP="00A4119C">
            <w:pPr>
              <w:pStyle w:val="ListParagraph"/>
              <w:tabs>
                <w:tab w:val="left" w:pos="1080"/>
              </w:tabs>
              <w:ind w:left="0"/>
              <w:jc w:val="right"/>
              <w:rPr>
                <w:rFonts w:ascii="Arial" w:hAnsi="Arial" w:cs="Arial"/>
              </w:rPr>
            </w:pPr>
            <w:r>
              <w:rPr>
                <w:rFonts w:ascii="Arial" w:hAnsi="Arial" w:cs="Arial"/>
              </w:rPr>
              <w:t>13,795</w:t>
            </w:r>
          </w:p>
        </w:tc>
        <w:tc>
          <w:tcPr>
            <w:tcW w:w="1723" w:type="dxa"/>
          </w:tcPr>
          <w:p w14:paraId="3EFDCDC3" w14:textId="792E5140" w:rsidR="008D19C9" w:rsidRDefault="00A4119C" w:rsidP="00A4119C">
            <w:pPr>
              <w:pStyle w:val="ListParagraph"/>
              <w:tabs>
                <w:tab w:val="left" w:pos="1080"/>
              </w:tabs>
              <w:ind w:left="0"/>
              <w:jc w:val="right"/>
              <w:rPr>
                <w:rFonts w:ascii="Arial" w:hAnsi="Arial" w:cs="Arial"/>
              </w:rPr>
            </w:pPr>
            <w:r>
              <w:rPr>
                <w:rFonts w:ascii="Arial" w:hAnsi="Arial" w:cs="Arial"/>
              </w:rPr>
              <w:t>12,245</w:t>
            </w:r>
          </w:p>
        </w:tc>
      </w:tr>
      <w:tr w:rsidR="00AC79BD" w14:paraId="6B5F5D9A" w14:textId="77777777" w:rsidTr="00AC79BD">
        <w:tc>
          <w:tcPr>
            <w:tcW w:w="3955" w:type="dxa"/>
          </w:tcPr>
          <w:p w14:paraId="008F45D4" w14:textId="7E592F48" w:rsidR="008D19C9" w:rsidRDefault="0045331E" w:rsidP="00F643D4">
            <w:pPr>
              <w:pStyle w:val="ListParagraph"/>
              <w:tabs>
                <w:tab w:val="left" w:pos="1080"/>
              </w:tabs>
              <w:ind w:left="0"/>
              <w:rPr>
                <w:rFonts w:ascii="Arial" w:hAnsi="Arial" w:cs="Arial"/>
              </w:rPr>
            </w:pPr>
            <w:r>
              <w:rPr>
                <w:rFonts w:ascii="Arial" w:hAnsi="Arial" w:cs="Arial"/>
              </w:rPr>
              <w:t># of Students</w:t>
            </w:r>
            <w:r w:rsidR="00A4119C">
              <w:rPr>
                <w:rFonts w:ascii="Arial" w:hAnsi="Arial" w:cs="Arial"/>
              </w:rPr>
              <w:t xml:space="preserve"> </w:t>
            </w:r>
            <w:proofErr w:type="gramStart"/>
            <w:r w:rsidR="00A4119C">
              <w:rPr>
                <w:rFonts w:ascii="Arial" w:hAnsi="Arial" w:cs="Arial"/>
              </w:rPr>
              <w:t>Pre</w:t>
            </w:r>
            <w:proofErr w:type="gramEnd"/>
            <w:r w:rsidR="00A4119C">
              <w:rPr>
                <w:rFonts w:ascii="Arial" w:hAnsi="Arial" w:cs="Arial"/>
              </w:rPr>
              <w:t xml:space="preserve"> and Post-Tested</w:t>
            </w:r>
          </w:p>
        </w:tc>
        <w:tc>
          <w:tcPr>
            <w:tcW w:w="1710" w:type="dxa"/>
          </w:tcPr>
          <w:p w14:paraId="13767A22" w14:textId="1FAA574D" w:rsidR="008D19C9" w:rsidRDefault="00A4119C" w:rsidP="00A4119C">
            <w:pPr>
              <w:pStyle w:val="ListParagraph"/>
              <w:tabs>
                <w:tab w:val="left" w:pos="1080"/>
              </w:tabs>
              <w:ind w:left="0"/>
              <w:jc w:val="right"/>
              <w:rPr>
                <w:rFonts w:ascii="Arial" w:hAnsi="Arial" w:cs="Arial"/>
              </w:rPr>
            </w:pPr>
            <w:r>
              <w:rPr>
                <w:rFonts w:ascii="Arial" w:hAnsi="Arial" w:cs="Arial"/>
              </w:rPr>
              <w:t>8,399</w:t>
            </w:r>
          </w:p>
        </w:tc>
        <w:tc>
          <w:tcPr>
            <w:tcW w:w="1800" w:type="dxa"/>
          </w:tcPr>
          <w:p w14:paraId="433832F5" w14:textId="1849ABE8" w:rsidR="008D19C9" w:rsidRDefault="00A4119C" w:rsidP="00A4119C">
            <w:pPr>
              <w:pStyle w:val="ListParagraph"/>
              <w:tabs>
                <w:tab w:val="left" w:pos="1080"/>
              </w:tabs>
              <w:ind w:left="0"/>
              <w:jc w:val="right"/>
              <w:rPr>
                <w:rFonts w:ascii="Arial" w:hAnsi="Arial" w:cs="Arial"/>
              </w:rPr>
            </w:pPr>
            <w:r>
              <w:rPr>
                <w:rFonts w:ascii="Arial" w:hAnsi="Arial" w:cs="Arial"/>
              </w:rPr>
              <w:t>7,875</w:t>
            </w:r>
          </w:p>
        </w:tc>
        <w:tc>
          <w:tcPr>
            <w:tcW w:w="1723" w:type="dxa"/>
          </w:tcPr>
          <w:p w14:paraId="5E07C6B8" w14:textId="235886FB" w:rsidR="008D19C9" w:rsidRDefault="00A4119C" w:rsidP="00A4119C">
            <w:pPr>
              <w:pStyle w:val="ListParagraph"/>
              <w:tabs>
                <w:tab w:val="left" w:pos="1080"/>
              </w:tabs>
              <w:ind w:left="0"/>
              <w:jc w:val="right"/>
              <w:rPr>
                <w:rFonts w:ascii="Arial" w:hAnsi="Arial" w:cs="Arial"/>
              </w:rPr>
            </w:pPr>
            <w:r>
              <w:rPr>
                <w:rFonts w:ascii="Arial" w:hAnsi="Arial" w:cs="Arial"/>
              </w:rPr>
              <w:t>5,129</w:t>
            </w:r>
          </w:p>
        </w:tc>
      </w:tr>
      <w:tr w:rsidR="0045331E" w14:paraId="23CBE951" w14:textId="77777777" w:rsidTr="00AC79BD">
        <w:tc>
          <w:tcPr>
            <w:tcW w:w="3955" w:type="dxa"/>
          </w:tcPr>
          <w:p w14:paraId="057D2498" w14:textId="77777777" w:rsidR="0045331E" w:rsidRDefault="0045331E" w:rsidP="00F643D4">
            <w:pPr>
              <w:pStyle w:val="ListParagraph"/>
              <w:tabs>
                <w:tab w:val="left" w:pos="1080"/>
              </w:tabs>
              <w:ind w:left="0"/>
              <w:rPr>
                <w:rFonts w:ascii="Arial" w:hAnsi="Arial" w:cs="Arial"/>
              </w:rPr>
            </w:pPr>
          </w:p>
        </w:tc>
        <w:tc>
          <w:tcPr>
            <w:tcW w:w="1710" w:type="dxa"/>
          </w:tcPr>
          <w:p w14:paraId="2CF18A5A" w14:textId="580DA600" w:rsidR="0045331E" w:rsidRDefault="009D2078" w:rsidP="009D2078">
            <w:pPr>
              <w:pStyle w:val="ListParagraph"/>
              <w:tabs>
                <w:tab w:val="left" w:pos="1080"/>
              </w:tabs>
              <w:ind w:left="0"/>
              <w:jc w:val="center"/>
              <w:rPr>
                <w:rFonts w:ascii="Arial" w:hAnsi="Arial" w:cs="Arial"/>
              </w:rPr>
            </w:pPr>
            <w:r>
              <w:rPr>
                <w:rFonts w:ascii="Arial" w:hAnsi="Arial" w:cs="Arial"/>
              </w:rPr>
              <w:t>55.17%</w:t>
            </w:r>
          </w:p>
        </w:tc>
        <w:tc>
          <w:tcPr>
            <w:tcW w:w="1800" w:type="dxa"/>
          </w:tcPr>
          <w:p w14:paraId="49555BD6" w14:textId="1EA625BE" w:rsidR="0045331E" w:rsidRDefault="009D2078" w:rsidP="009D2078">
            <w:pPr>
              <w:pStyle w:val="ListParagraph"/>
              <w:tabs>
                <w:tab w:val="left" w:pos="1080"/>
              </w:tabs>
              <w:ind w:left="0"/>
              <w:jc w:val="center"/>
              <w:rPr>
                <w:rFonts w:ascii="Arial" w:hAnsi="Arial" w:cs="Arial"/>
              </w:rPr>
            </w:pPr>
            <w:r>
              <w:rPr>
                <w:rFonts w:ascii="Arial" w:hAnsi="Arial" w:cs="Arial"/>
              </w:rPr>
              <w:t>57.09%</w:t>
            </w:r>
          </w:p>
        </w:tc>
        <w:tc>
          <w:tcPr>
            <w:tcW w:w="1723" w:type="dxa"/>
          </w:tcPr>
          <w:p w14:paraId="6AB102F9" w14:textId="6702B865" w:rsidR="0045331E" w:rsidRDefault="009D2078" w:rsidP="009D2078">
            <w:pPr>
              <w:pStyle w:val="ListParagraph"/>
              <w:tabs>
                <w:tab w:val="left" w:pos="1080"/>
              </w:tabs>
              <w:ind w:left="0"/>
              <w:jc w:val="center"/>
              <w:rPr>
                <w:rFonts w:ascii="Arial" w:hAnsi="Arial" w:cs="Arial"/>
              </w:rPr>
            </w:pPr>
            <w:r>
              <w:rPr>
                <w:rFonts w:ascii="Arial" w:hAnsi="Arial" w:cs="Arial"/>
              </w:rPr>
              <w:t>41.89%</w:t>
            </w:r>
          </w:p>
        </w:tc>
      </w:tr>
    </w:tbl>
    <w:p w14:paraId="1A03E530" w14:textId="6E68FABE" w:rsidR="008D19C9" w:rsidRDefault="008D19C9" w:rsidP="00F643D4">
      <w:pPr>
        <w:pStyle w:val="ListParagraph"/>
        <w:tabs>
          <w:tab w:val="left" w:pos="1080"/>
        </w:tabs>
        <w:spacing w:after="0"/>
        <w:rPr>
          <w:rFonts w:ascii="Arial" w:hAnsi="Arial" w:cs="Arial"/>
        </w:rPr>
      </w:pPr>
    </w:p>
    <w:p w14:paraId="4C68351F" w14:textId="3E01A89D" w:rsidR="009D2078" w:rsidRDefault="009D2078" w:rsidP="00F643D4">
      <w:pPr>
        <w:pStyle w:val="ListParagraph"/>
        <w:tabs>
          <w:tab w:val="left" w:pos="1080"/>
        </w:tabs>
        <w:spacing w:after="0"/>
        <w:rPr>
          <w:rFonts w:ascii="Arial" w:hAnsi="Arial" w:cs="Arial"/>
        </w:rPr>
      </w:pPr>
      <w:r>
        <w:rPr>
          <w:rFonts w:ascii="Arial" w:hAnsi="Arial" w:cs="Arial"/>
        </w:rPr>
        <w:t xml:space="preserve">Prior to the </w:t>
      </w:r>
      <w:proofErr w:type="gramStart"/>
      <w:r>
        <w:rPr>
          <w:rFonts w:ascii="Arial" w:hAnsi="Arial" w:cs="Arial"/>
        </w:rPr>
        <w:t>soft-closure</w:t>
      </w:r>
      <w:proofErr w:type="gramEnd"/>
      <w:r>
        <w:rPr>
          <w:rFonts w:ascii="Arial" w:hAnsi="Arial" w:cs="Arial"/>
        </w:rPr>
        <w:t xml:space="preserve"> of programs in March of 2020 data suggests that an emphasis to serve fewer students in a more personalized way was beginning to take hold. Programs began to de-emphasize enrollment beginning in the 18-19 program year while maintaining high retention. Most of the post-testing accomplished in the 19-20 program year was complete by February. Year over year trends suggest that most of the post-testing occurs in the last three months of the program year – so it was yet to be done. Utah will continue to </w:t>
      </w:r>
      <w:r w:rsidR="001202A6">
        <w:rPr>
          <w:rFonts w:ascii="Arial" w:hAnsi="Arial" w:cs="Arial"/>
        </w:rPr>
        <w:t xml:space="preserve">de-emphasize the quantity of enrollment and emphasize the importance of helping </w:t>
      </w:r>
      <w:proofErr w:type="gramStart"/>
      <w:r w:rsidR="001202A6">
        <w:rPr>
          <w:rFonts w:ascii="Arial" w:hAnsi="Arial" w:cs="Arial"/>
        </w:rPr>
        <w:t>each individual</w:t>
      </w:r>
      <w:proofErr w:type="gramEnd"/>
      <w:r w:rsidR="001202A6">
        <w:rPr>
          <w:rFonts w:ascii="Arial" w:hAnsi="Arial" w:cs="Arial"/>
        </w:rPr>
        <w:t xml:space="preserve"> to achieve progress towards completion.</w:t>
      </w:r>
    </w:p>
    <w:p w14:paraId="45171276" w14:textId="77777777" w:rsidR="002953EA" w:rsidRDefault="002953EA" w:rsidP="00657646">
      <w:pPr>
        <w:pStyle w:val="ListParagraph"/>
        <w:tabs>
          <w:tab w:val="left" w:pos="-2340"/>
          <w:tab w:val="left" w:pos="-1620"/>
        </w:tabs>
        <w:spacing w:after="0"/>
        <w:ind w:left="990"/>
        <w:mirrorIndents/>
        <w:rPr>
          <w:rFonts w:ascii="Arial" w:hAnsi="Arial" w:cs="Arial"/>
        </w:rPr>
      </w:pPr>
    </w:p>
    <w:p w14:paraId="212C2451" w14:textId="77777777" w:rsidR="00FA2900" w:rsidRDefault="00FA2900" w:rsidP="00657646">
      <w:pPr>
        <w:pStyle w:val="ListParagraph"/>
        <w:tabs>
          <w:tab w:val="left" w:pos="-2340"/>
          <w:tab w:val="left" w:pos="-1620"/>
        </w:tabs>
        <w:spacing w:after="0"/>
        <w:ind w:left="990"/>
        <w:mirrorIndents/>
        <w:rPr>
          <w:rFonts w:ascii="Arial" w:hAnsi="Arial" w:cs="Arial"/>
        </w:rPr>
      </w:pPr>
    </w:p>
    <w:p w14:paraId="3579FD09" w14:textId="77777777" w:rsidR="00FA2900" w:rsidRPr="0078290E" w:rsidRDefault="00FA2900" w:rsidP="00657646">
      <w:pPr>
        <w:pStyle w:val="ListParagraph"/>
        <w:tabs>
          <w:tab w:val="left" w:pos="-2340"/>
          <w:tab w:val="left" w:pos="-1620"/>
        </w:tabs>
        <w:spacing w:after="0"/>
        <w:ind w:left="990"/>
        <w:mirrorIndents/>
        <w:rPr>
          <w:rFonts w:ascii="Arial" w:hAnsi="Arial" w:cs="Arial"/>
        </w:rPr>
      </w:pPr>
    </w:p>
    <w:p w14:paraId="23ED124C" w14:textId="77777777" w:rsidR="00DC4006" w:rsidRDefault="00DC4006" w:rsidP="00DC4006">
      <w:pPr>
        <w:autoSpaceDE w:val="0"/>
        <w:autoSpaceDN w:val="0"/>
        <w:adjustRightInd w:val="0"/>
        <w:spacing w:after="0" w:line="240" w:lineRule="auto"/>
        <w:rPr>
          <w:rFonts w:ascii="Arial" w:hAnsi="Arial" w:cs="Arial"/>
          <w:b/>
          <w:bCs/>
        </w:rPr>
      </w:pPr>
      <w:r w:rsidRPr="00076387">
        <w:rPr>
          <w:rFonts w:ascii="Arial" w:hAnsi="Arial" w:cs="Arial"/>
          <w:b/>
        </w:rPr>
        <w:t>3</w:t>
      </w:r>
      <w:r w:rsidRPr="00076387">
        <w:rPr>
          <w:rFonts w:ascii="Arial" w:hAnsi="Arial" w:cs="Arial"/>
        </w:rPr>
        <w:t xml:space="preserve">. </w:t>
      </w:r>
      <w:r w:rsidR="00076387">
        <w:rPr>
          <w:rFonts w:ascii="Arial" w:hAnsi="Arial" w:cs="Arial"/>
        </w:rPr>
        <w:tab/>
      </w:r>
      <w:r w:rsidRPr="00076387">
        <w:rPr>
          <w:rFonts w:ascii="Arial" w:hAnsi="Arial" w:cs="Arial"/>
          <w:b/>
          <w:bCs/>
        </w:rPr>
        <w:t>Integration with One-stop Partners</w:t>
      </w:r>
    </w:p>
    <w:p w14:paraId="58E3A0C9" w14:textId="77777777" w:rsidR="00076387" w:rsidRPr="00076387" w:rsidRDefault="00076387" w:rsidP="00DC4006">
      <w:pPr>
        <w:autoSpaceDE w:val="0"/>
        <w:autoSpaceDN w:val="0"/>
        <w:adjustRightInd w:val="0"/>
        <w:spacing w:after="0" w:line="240" w:lineRule="auto"/>
        <w:rPr>
          <w:rFonts w:ascii="Arial" w:hAnsi="Arial" w:cs="Arial"/>
          <w:b/>
          <w:bCs/>
        </w:rPr>
      </w:pPr>
    </w:p>
    <w:p w14:paraId="2F9C1B2F" w14:textId="2C512EA8" w:rsidR="000E2F44" w:rsidRDefault="00DC4006" w:rsidP="00A00A7D">
      <w:pPr>
        <w:autoSpaceDE w:val="0"/>
        <w:autoSpaceDN w:val="0"/>
        <w:adjustRightInd w:val="0"/>
        <w:spacing w:after="0" w:line="240" w:lineRule="auto"/>
        <w:ind w:left="720"/>
        <w:rPr>
          <w:rFonts w:ascii="Arial" w:hAnsi="Arial" w:cs="Arial"/>
          <w:i/>
          <w:color w:val="548DD4" w:themeColor="text2" w:themeTint="99"/>
        </w:rPr>
      </w:pPr>
      <w:r w:rsidRPr="00EA6B6D">
        <w:rPr>
          <w:rFonts w:ascii="Arial" w:hAnsi="Arial" w:cs="Arial"/>
          <w:i/>
          <w:color w:val="548DD4" w:themeColor="text2" w:themeTint="99"/>
        </w:rPr>
        <w:t>Describe how the State eligible agency, as the entity responsible for meeting one-stop</w:t>
      </w:r>
      <w:r w:rsidR="00A00A7D">
        <w:rPr>
          <w:rFonts w:ascii="Arial" w:hAnsi="Arial" w:cs="Arial"/>
          <w:i/>
          <w:color w:val="548DD4" w:themeColor="text2" w:themeTint="99"/>
        </w:rPr>
        <w:t xml:space="preserve"> </w:t>
      </w:r>
      <w:r w:rsidRPr="00EA6B6D">
        <w:rPr>
          <w:rFonts w:ascii="Arial" w:hAnsi="Arial" w:cs="Arial"/>
          <w:i/>
          <w:color w:val="548DD4" w:themeColor="text2" w:themeTint="99"/>
        </w:rPr>
        <w:t>requirements under 34 CFR part 463, subpart J, carries out or delegates its required one-stop</w:t>
      </w:r>
      <w:r w:rsidR="00A00A7D">
        <w:rPr>
          <w:rFonts w:ascii="Arial" w:hAnsi="Arial" w:cs="Arial"/>
          <w:i/>
          <w:color w:val="548DD4" w:themeColor="text2" w:themeTint="99"/>
        </w:rPr>
        <w:t xml:space="preserve"> </w:t>
      </w:r>
      <w:r w:rsidRPr="00EA6B6D">
        <w:rPr>
          <w:rFonts w:ascii="Arial" w:hAnsi="Arial" w:cs="Arial"/>
          <w:i/>
          <w:color w:val="548DD4" w:themeColor="text2" w:themeTint="99"/>
        </w:rPr>
        <w:t>roles to eligible providers. Describe the applic</w:t>
      </w:r>
      <w:r w:rsidR="007E6416">
        <w:rPr>
          <w:rFonts w:ascii="Arial" w:hAnsi="Arial" w:cs="Arial"/>
          <w:i/>
          <w:color w:val="548DD4" w:themeColor="text2" w:themeTint="99"/>
        </w:rPr>
        <w:t>able</w:t>
      </w:r>
      <w:r w:rsidRPr="00EA6B6D">
        <w:rPr>
          <w:rFonts w:ascii="Arial" w:hAnsi="Arial" w:cs="Arial"/>
          <w:i/>
          <w:color w:val="548DD4" w:themeColor="text2" w:themeTint="99"/>
        </w:rPr>
        <w:t xml:space="preserve"> career services that are provided in the </w:t>
      </w:r>
      <w:r w:rsidR="00A00A7D">
        <w:rPr>
          <w:rFonts w:ascii="Arial" w:hAnsi="Arial" w:cs="Arial"/>
          <w:i/>
          <w:color w:val="548DD4" w:themeColor="text2" w:themeTint="99"/>
        </w:rPr>
        <w:t>one-</w:t>
      </w:r>
      <w:r w:rsidRPr="00EA6B6D">
        <w:rPr>
          <w:rFonts w:ascii="Arial" w:hAnsi="Arial" w:cs="Arial"/>
          <w:i/>
          <w:color w:val="548DD4" w:themeColor="text2" w:themeTint="99"/>
        </w:rPr>
        <w:t>stop system. Describe how infrastructure costs are supported through State and local options</w:t>
      </w:r>
      <w:r w:rsidR="003E16DE">
        <w:rPr>
          <w:rFonts w:ascii="Arial" w:hAnsi="Arial" w:cs="Arial"/>
          <w:i/>
          <w:color w:val="548DD4" w:themeColor="text2" w:themeTint="99"/>
        </w:rPr>
        <w:t>. In the event the local option was not used in a local area, indicate that the State option was triggered</w:t>
      </w:r>
      <w:r w:rsidRPr="00EA6B6D">
        <w:rPr>
          <w:rFonts w:ascii="Arial" w:hAnsi="Arial" w:cs="Arial"/>
          <w:i/>
          <w:color w:val="548DD4" w:themeColor="text2" w:themeTint="99"/>
        </w:rPr>
        <w:t>.</w:t>
      </w:r>
    </w:p>
    <w:p w14:paraId="12CB9D96" w14:textId="77777777" w:rsidR="00C71588" w:rsidRPr="00C71588" w:rsidRDefault="00C71588" w:rsidP="00C71588">
      <w:pPr>
        <w:autoSpaceDE w:val="0"/>
        <w:autoSpaceDN w:val="0"/>
        <w:adjustRightInd w:val="0"/>
        <w:spacing w:after="0" w:line="240" w:lineRule="auto"/>
        <w:rPr>
          <w:rFonts w:ascii="Arial" w:hAnsi="Arial" w:cs="Arial"/>
          <w:i/>
          <w:color w:val="548DD4" w:themeColor="text2" w:themeTint="99"/>
        </w:rPr>
      </w:pPr>
    </w:p>
    <w:p w14:paraId="28695038" w14:textId="77777777" w:rsidR="00DD4A99" w:rsidRDefault="00C2156C" w:rsidP="00944ED2">
      <w:pPr>
        <w:ind w:left="720"/>
        <w:rPr>
          <w:rFonts w:ascii="Arial" w:hAnsi="Arial" w:cs="Arial"/>
        </w:rPr>
      </w:pPr>
      <w:r>
        <w:rPr>
          <w:rFonts w:ascii="Arial" w:hAnsi="Arial" w:cs="Arial"/>
        </w:rPr>
        <w:t xml:space="preserve">Collaborative efforts with all core partners and local required partners have made the one-stop system successful. The State Workforce Development Board has kept the one-stop certification process as a high priority throughout the process. Adult education providers have </w:t>
      </w:r>
      <w:r>
        <w:rPr>
          <w:rFonts w:ascii="Arial" w:hAnsi="Arial" w:cs="Arial"/>
        </w:rPr>
        <w:lastRenderedPageBreak/>
        <w:t>been an integral part of the process at each step. Programs, where necessary, have simplified deliver</w:t>
      </w:r>
      <w:r w:rsidR="00FF1E6D">
        <w:rPr>
          <w:rFonts w:ascii="Arial" w:hAnsi="Arial" w:cs="Arial"/>
        </w:rPr>
        <w:t>y</w:t>
      </w:r>
      <w:r>
        <w:rPr>
          <w:rFonts w:ascii="Arial" w:hAnsi="Arial" w:cs="Arial"/>
        </w:rPr>
        <w:t xml:space="preserve"> to avoid duplication and have been </w:t>
      </w:r>
      <w:proofErr w:type="gramStart"/>
      <w:r>
        <w:rPr>
          <w:rFonts w:ascii="Arial" w:hAnsi="Arial" w:cs="Arial"/>
        </w:rPr>
        <w:t>open</w:t>
      </w:r>
      <w:proofErr w:type="gramEnd"/>
      <w:r>
        <w:rPr>
          <w:rFonts w:ascii="Arial" w:hAnsi="Arial" w:cs="Arial"/>
        </w:rPr>
        <w:t xml:space="preserve"> to modifying programs to meet the needs of common clients</w:t>
      </w:r>
      <w:r w:rsidR="00944ED2">
        <w:rPr>
          <w:rFonts w:ascii="Arial" w:hAnsi="Arial" w:cs="Arial"/>
        </w:rPr>
        <w:t xml:space="preserve">. </w:t>
      </w:r>
      <w:r>
        <w:rPr>
          <w:rFonts w:ascii="Arial" w:hAnsi="Arial" w:cs="Arial"/>
        </w:rPr>
        <w:t>Career services have been provided in the form of career pathway counseling and transition to post-secondary partner programs</w:t>
      </w:r>
      <w:r w:rsidR="00944ED2">
        <w:rPr>
          <w:rFonts w:ascii="Arial" w:hAnsi="Arial" w:cs="Arial"/>
        </w:rPr>
        <w:t>.</w:t>
      </w:r>
    </w:p>
    <w:p w14:paraId="6B374E2E" w14:textId="6D0FE132" w:rsidR="00C2156C" w:rsidRDefault="00C2156C" w:rsidP="00944ED2">
      <w:pPr>
        <w:ind w:left="720"/>
        <w:rPr>
          <w:rFonts w:ascii="Arial" w:hAnsi="Arial" w:cs="Arial"/>
        </w:rPr>
      </w:pPr>
      <w:r w:rsidRPr="00A52C5E">
        <w:rPr>
          <w:rFonts w:ascii="Arial" w:hAnsi="Arial" w:cs="Arial"/>
        </w:rPr>
        <w:t xml:space="preserve">Infrastructure costs agreements with all core partners and required partners </w:t>
      </w:r>
      <w:r w:rsidR="00A52C5E">
        <w:rPr>
          <w:rFonts w:ascii="Arial" w:hAnsi="Arial" w:cs="Arial"/>
        </w:rPr>
        <w:t xml:space="preserve">have been </w:t>
      </w:r>
      <w:r w:rsidRPr="00A52C5E">
        <w:rPr>
          <w:rFonts w:ascii="Arial" w:hAnsi="Arial" w:cs="Arial"/>
        </w:rPr>
        <w:t>develop</w:t>
      </w:r>
      <w:r w:rsidR="00A52C5E">
        <w:rPr>
          <w:rFonts w:ascii="Arial" w:hAnsi="Arial" w:cs="Arial"/>
        </w:rPr>
        <w:t xml:space="preserve">ed and </w:t>
      </w:r>
      <w:r w:rsidRPr="00A52C5E">
        <w:rPr>
          <w:rFonts w:ascii="Arial" w:hAnsi="Arial" w:cs="Arial"/>
        </w:rPr>
        <w:t xml:space="preserve">a memorandum of understanding and </w:t>
      </w:r>
      <w:r w:rsidR="00FF1E6D" w:rsidRPr="00A52C5E">
        <w:rPr>
          <w:rFonts w:ascii="Arial" w:hAnsi="Arial" w:cs="Arial"/>
        </w:rPr>
        <w:t>accompanying cost agreement</w:t>
      </w:r>
      <w:r w:rsidR="00A52C5E">
        <w:rPr>
          <w:rFonts w:ascii="Arial" w:hAnsi="Arial" w:cs="Arial"/>
        </w:rPr>
        <w:t>s are in place</w:t>
      </w:r>
      <w:r w:rsidR="00FF1E6D" w:rsidRPr="00A52C5E">
        <w:rPr>
          <w:rFonts w:ascii="Arial" w:hAnsi="Arial" w:cs="Arial"/>
        </w:rPr>
        <w:t>.</w:t>
      </w:r>
    </w:p>
    <w:p w14:paraId="153F3DC4" w14:textId="3E843D88" w:rsidR="00257DE1" w:rsidRPr="00944ED2" w:rsidRDefault="00257DE1" w:rsidP="00944ED2">
      <w:pPr>
        <w:ind w:left="720"/>
        <w:rPr>
          <w:rFonts w:ascii="Arial" w:hAnsi="Arial" w:cs="Arial"/>
        </w:rPr>
      </w:pPr>
      <w:r>
        <w:rPr>
          <w:rFonts w:ascii="Arial" w:hAnsi="Arial" w:cs="Arial"/>
        </w:rPr>
        <w:t>One-stop certification</w:t>
      </w:r>
      <w:r w:rsidR="004D4C36">
        <w:rPr>
          <w:rFonts w:ascii="Arial" w:hAnsi="Arial" w:cs="Arial"/>
        </w:rPr>
        <w:t xml:space="preserve"> was transferred to a virtual process in April 2020 and one additional center was certified in July.</w:t>
      </w:r>
    </w:p>
    <w:p w14:paraId="43BF32BF" w14:textId="77777777" w:rsidR="002F1DAE" w:rsidRDefault="002F1DAE" w:rsidP="00DC4006">
      <w:pPr>
        <w:autoSpaceDE w:val="0"/>
        <w:autoSpaceDN w:val="0"/>
        <w:adjustRightInd w:val="0"/>
        <w:spacing w:after="0" w:line="240" w:lineRule="auto"/>
        <w:rPr>
          <w:rFonts w:ascii="Arial" w:hAnsi="Arial" w:cs="Arial"/>
          <w:b/>
          <w:bCs/>
        </w:rPr>
      </w:pPr>
    </w:p>
    <w:p w14:paraId="190AA2EE" w14:textId="77777777" w:rsidR="00DC4006" w:rsidRPr="00233E0E" w:rsidRDefault="00DC4006" w:rsidP="00DC4006">
      <w:pPr>
        <w:autoSpaceDE w:val="0"/>
        <w:autoSpaceDN w:val="0"/>
        <w:adjustRightInd w:val="0"/>
        <w:spacing w:after="0" w:line="240" w:lineRule="auto"/>
        <w:rPr>
          <w:rFonts w:ascii="Arial" w:hAnsi="Arial" w:cs="Arial"/>
        </w:rPr>
      </w:pPr>
      <w:r w:rsidRPr="004B606E">
        <w:rPr>
          <w:rFonts w:ascii="Arial" w:hAnsi="Arial" w:cs="Arial"/>
          <w:b/>
          <w:bCs/>
        </w:rPr>
        <w:t xml:space="preserve">4. </w:t>
      </w:r>
      <w:r w:rsidR="004B606E">
        <w:rPr>
          <w:rFonts w:ascii="Arial" w:hAnsi="Arial" w:cs="Arial"/>
          <w:b/>
          <w:bCs/>
        </w:rPr>
        <w:tab/>
      </w:r>
      <w:r w:rsidRPr="00233E0E">
        <w:rPr>
          <w:rFonts w:ascii="Arial" w:hAnsi="Arial" w:cs="Arial"/>
          <w:b/>
          <w:bCs/>
        </w:rPr>
        <w:t xml:space="preserve">Integrated English Literacy and Civics Education (IELCE) Program </w:t>
      </w:r>
      <w:r w:rsidRPr="00233E0E">
        <w:rPr>
          <w:rFonts w:ascii="Arial" w:hAnsi="Arial" w:cs="Arial"/>
        </w:rPr>
        <w:t>(AEFLA Section</w:t>
      </w:r>
      <w:r w:rsidR="00233E0E">
        <w:rPr>
          <w:rFonts w:ascii="Arial" w:hAnsi="Arial" w:cs="Arial"/>
        </w:rPr>
        <w:t xml:space="preserve"> </w:t>
      </w:r>
      <w:r w:rsidRPr="00233E0E">
        <w:rPr>
          <w:rFonts w:ascii="Arial" w:hAnsi="Arial" w:cs="Arial"/>
        </w:rPr>
        <w:t>243)</w:t>
      </w:r>
    </w:p>
    <w:p w14:paraId="48193A42" w14:textId="77777777" w:rsidR="00714EC8" w:rsidRDefault="00233E0E" w:rsidP="00DC4006">
      <w:pPr>
        <w:autoSpaceDE w:val="0"/>
        <w:autoSpaceDN w:val="0"/>
        <w:adjustRightInd w:val="0"/>
        <w:spacing w:after="0" w:line="240" w:lineRule="auto"/>
        <w:rPr>
          <w:rFonts w:ascii="Arial" w:hAnsi="Arial" w:cs="Arial"/>
        </w:rPr>
      </w:pPr>
      <w:r>
        <w:rPr>
          <w:rFonts w:ascii="Arial" w:hAnsi="Arial" w:cs="Arial"/>
        </w:rPr>
        <w:tab/>
      </w:r>
    </w:p>
    <w:p w14:paraId="0ADCDFDB" w14:textId="77777777" w:rsidR="00DC4006" w:rsidRPr="00EA6B6D" w:rsidRDefault="00DC4006" w:rsidP="00D252A7">
      <w:pPr>
        <w:autoSpaceDE w:val="0"/>
        <w:autoSpaceDN w:val="0"/>
        <w:adjustRightInd w:val="0"/>
        <w:spacing w:after="0" w:line="240" w:lineRule="auto"/>
        <w:ind w:left="720"/>
        <w:rPr>
          <w:rFonts w:ascii="Arial" w:hAnsi="Arial" w:cs="Arial"/>
          <w:i/>
          <w:color w:val="548DD4" w:themeColor="text2" w:themeTint="99"/>
        </w:rPr>
      </w:pPr>
      <w:r w:rsidRPr="00EA6B6D">
        <w:rPr>
          <w:rFonts w:ascii="Arial" w:hAnsi="Arial" w:cs="Arial"/>
          <w:i/>
          <w:color w:val="548DD4" w:themeColor="text2" w:themeTint="99"/>
        </w:rPr>
        <w:t>Describe when your State held a competition [the latest competition] for IELCE program funds and the number of grants awarded by your State to support IELCE programs.</w:t>
      </w:r>
    </w:p>
    <w:p w14:paraId="56847AEC" w14:textId="77777777" w:rsidR="007F5B22" w:rsidRPr="00233E0E" w:rsidRDefault="007F5B22" w:rsidP="007F5B22">
      <w:pPr>
        <w:pStyle w:val="ListParagraph"/>
        <w:autoSpaceDE w:val="0"/>
        <w:autoSpaceDN w:val="0"/>
        <w:adjustRightInd w:val="0"/>
        <w:spacing w:after="0" w:line="240" w:lineRule="auto"/>
        <w:rPr>
          <w:rFonts w:ascii="Arial" w:hAnsi="Arial" w:cs="Arial"/>
          <w:i/>
        </w:rPr>
      </w:pPr>
    </w:p>
    <w:p w14:paraId="336C8993" w14:textId="54F7120A" w:rsidR="00CD4342" w:rsidRPr="0078290E" w:rsidRDefault="000548C9" w:rsidP="005C0481">
      <w:pPr>
        <w:autoSpaceDE w:val="0"/>
        <w:autoSpaceDN w:val="0"/>
        <w:adjustRightInd w:val="0"/>
        <w:spacing w:after="0" w:line="240" w:lineRule="auto"/>
        <w:ind w:left="720"/>
        <w:rPr>
          <w:rFonts w:ascii="Arial" w:hAnsi="Arial" w:cs="Arial"/>
        </w:rPr>
      </w:pPr>
      <w:r w:rsidRPr="00A52C5E">
        <w:rPr>
          <w:rFonts w:ascii="Arial" w:hAnsi="Arial" w:cs="Arial"/>
        </w:rPr>
        <w:t xml:space="preserve">Utah </w:t>
      </w:r>
      <w:r w:rsidR="00673C59" w:rsidRPr="00A52C5E">
        <w:rPr>
          <w:rFonts w:ascii="Arial" w:hAnsi="Arial" w:cs="Arial"/>
        </w:rPr>
        <w:t>held a competition for IELCE program funds in the spring of 201</w:t>
      </w:r>
      <w:r w:rsidR="00124CC0">
        <w:rPr>
          <w:rFonts w:ascii="Arial" w:hAnsi="Arial" w:cs="Arial"/>
        </w:rPr>
        <w:t>9</w:t>
      </w:r>
      <w:r w:rsidR="00673C59" w:rsidRPr="00A52C5E">
        <w:rPr>
          <w:rFonts w:ascii="Arial" w:hAnsi="Arial" w:cs="Arial"/>
        </w:rPr>
        <w:t xml:space="preserve"> with only </w:t>
      </w:r>
      <w:r w:rsidR="00124CC0">
        <w:rPr>
          <w:rFonts w:ascii="Arial" w:hAnsi="Arial" w:cs="Arial"/>
        </w:rPr>
        <w:t>five</w:t>
      </w:r>
      <w:r w:rsidR="00673C59" w:rsidRPr="00A52C5E">
        <w:rPr>
          <w:rFonts w:ascii="Arial" w:hAnsi="Arial" w:cs="Arial"/>
        </w:rPr>
        <w:t xml:space="preserve"> programs receiving final awards.</w:t>
      </w:r>
    </w:p>
    <w:p w14:paraId="65E69E12" w14:textId="77777777" w:rsidR="004B606E" w:rsidRPr="00F70214" w:rsidRDefault="004B606E" w:rsidP="00DC4006">
      <w:pPr>
        <w:autoSpaceDE w:val="0"/>
        <w:autoSpaceDN w:val="0"/>
        <w:adjustRightInd w:val="0"/>
        <w:spacing w:after="0" w:line="240" w:lineRule="auto"/>
        <w:rPr>
          <w:rFonts w:ascii="Arial" w:hAnsi="Arial" w:cs="Arial"/>
          <w:color w:val="548DD4" w:themeColor="text2" w:themeTint="99"/>
        </w:rPr>
      </w:pPr>
    </w:p>
    <w:p w14:paraId="5B4B184A" w14:textId="69B2048E" w:rsidR="00DC4006" w:rsidRPr="00EA6B6D" w:rsidRDefault="00DC4006" w:rsidP="009E7564">
      <w:pPr>
        <w:pStyle w:val="ListParagraph"/>
        <w:autoSpaceDE w:val="0"/>
        <w:autoSpaceDN w:val="0"/>
        <w:adjustRightInd w:val="0"/>
        <w:spacing w:after="0" w:line="240" w:lineRule="auto"/>
        <w:rPr>
          <w:rFonts w:ascii="Arial" w:hAnsi="Arial" w:cs="Arial"/>
          <w:i/>
          <w:color w:val="548DD4" w:themeColor="text2" w:themeTint="99"/>
        </w:rPr>
      </w:pPr>
      <w:r w:rsidRPr="00EA6B6D">
        <w:rPr>
          <w:rFonts w:ascii="Arial" w:hAnsi="Arial" w:cs="Arial"/>
          <w:i/>
          <w:color w:val="548DD4" w:themeColor="text2" w:themeTint="99"/>
        </w:rPr>
        <w:t>Describe your State efforts in meeting the requirement to provide IELCE services in</w:t>
      </w:r>
      <w:r w:rsidR="004B606E" w:rsidRPr="00EA6B6D">
        <w:rPr>
          <w:rFonts w:ascii="Arial" w:hAnsi="Arial" w:cs="Arial"/>
          <w:i/>
          <w:color w:val="548DD4" w:themeColor="text2" w:themeTint="99"/>
        </w:rPr>
        <w:t xml:space="preserve"> </w:t>
      </w:r>
      <w:r w:rsidRPr="00EA6B6D">
        <w:rPr>
          <w:rFonts w:ascii="Arial" w:hAnsi="Arial" w:cs="Arial"/>
          <w:i/>
          <w:color w:val="548DD4" w:themeColor="text2" w:themeTint="99"/>
        </w:rPr>
        <w:t>combination with integrated education and training activities</w:t>
      </w:r>
      <w:r w:rsidR="00826C3B">
        <w:rPr>
          <w:rFonts w:ascii="Arial" w:hAnsi="Arial" w:cs="Arial"/>
          <w:i/>
          <w:color w:val="548DD4" w:themeColor="text2" w:themeTint="99"/>
        </w:rPr>
        <w:t>:</w:t>
      </w:r>
    </w:p>
    <w:p w14:paraId="6AEFC378" w14:textId="77777777" w:rsidR="004B606E" w:rsidRDefault="004B606E" w:rsidP="00C30473">
      <w:pPr>
        <w:pStyle w:val="NoSpacing"/>
        <w:rPr>
          <w:rFonts w:ascii="Arial" w:hAnsi="Arial" w:cs="Arial"/>
          <w:color w:val="548DD4" w:themeColor="text2" w:themeTint="99"/>
        </w:rPr>
      </w:pPr>
    </w:p>
    <w:p w14:paraId="0B2AC4B7" w14:textId="1BBC0F83" w:rsidR="00C30473" w:rsidRPr="0078290E" w:rsidRDefault="00B948D7" w:rsidP="00F858FE">
      <w:pPr>
        <w:pStyle w:val="NoSpacing"/>
        <w:ind w:left="720"/>
        <w:rPr>
          <w:rFonts w:ascii="Arial" w:hAnsi="Arial" w:cs="Arial"/>
        </w:rPr>
      </w:pPr>
      <w:r w:rsidRPr="00124CC0">
        <w:rPr>
          <w:rFonts w:ascii="Arial" w:hAnsi="Arial" w:cs="Arial"/>
        </w:rPr>
        <w:t xml:space="preserve">Utah </w:t>
      </w:r>
      <w:r w:rsidR="00673C59" w:rsidRPr="00124CC0">
        <w:rPr>
          <w:rFonts w:ascii="Arial" w:hAnsi="Arial" w:cs="Arial"/>
        </w:rPr>
        <w:t>has been training and updating programs on the WIOA requirements to provide IELCE services with integrated education and training activities</w:t>
      </w:r>
      <w:r w:rsidRPr="00124CC0">
        <w:rPr>
          <w:rFonts w:ascii="Arial" w:hAnsi="Arial" w:cs="Arial"/>
        </w:rPr>
        <w:t xml:space="preserve">. </w:t>
      </w:r>
      <w:r w:rsidR="00DA528B">
        <w:rPr>
          <w:rFonts w:ascii="Arial" w:hAnsi="Arial" w:cs="Arial"/>
        </w:rPr>
        <w:t>Specific trainings</w:t>
      </w:r>
      <w:r w:rsidR="005A010C">
        <w:rPr>
          <w:rFonts w:ascii="Arial" w:hAnsi="Arial" w:cs="Arial"/>
        </w:rPr>
        <w:t xml:space="preserve"> with current providers have been offered to provide a community of practitioners for shared lessons and content development</w:t>
      </w:r>
      <w:r w:rsidR="00673C59" w:rsidRPr="00124CC0">
        <w:rPr>
          <w:rFonts w:ascii="Arial" w:hAnsi="Arial" w:cs="Arial"/>
        </w:rPr>
        <w:t>.</w:t>
      </w:r>
      <w:r>
        <w:rPr>
          <w:rFonts w:ascii="Arial" w:hAnsi="Arial" w:cs="Arial"/>
        </w:rPr>
        <w:t xml:space="preserve"> </w:t>
      </w:r>
    </w:p>
    <w:p w14:paraId="02C9462C" w14:textId="77777777" w:rsidR="00C30473" w:rsidRPr="00F70214" w:rsidRDefault="00C30473" w:rsidP="00DC4006">
      <w:pPr>
        <w:autoSpaceDE w:val="0"/>
        <w:autoSpaceDN w:val="0"/>
        <w:adjustRightInd w:val="0"/>
        <w:spacing w:after="0" w:line="240" w:lineRule="auto"/>
        <w:rPr>
          <w:rFonts w:ascii="Arial" w:eastAsia="SymbolMT" w:hAnsi="Arial" w:cs="Arial"/>
          <w:color w:val="FF0000"/>
        </w:rPr>
      </w:pPr>
    </w:p>
    <w:p w14:paraId="7E95C778" w14:textId="77777777" w:rsidR="00DC4006" w:rsidRPr="00EA6B6D" w:rsidRDefault="00DC4006" w:rsidP="009E7564">
      <w:pPr>
        <w:pStyle w:val="ListParagraph"/>
        <w:autoSpaceDE w:val="0"/>
        <w:autoSpaceDN w:val="0"/>
        <w:adjustRightInd w:val="0"/>
        <w:spacing w:after="0" w:line="240" w:lineRule="auto"/>
        <w:rPr>
          <w:rFonts w:ascii="Arial" w:hAnsi="Arial" w:cs="Arial"/>
          <w:i/>
          <w:color w:val="548DD4" w:themeColor="text2" w:themeTint="99"/>
        </w:rPr>
      </w:pPr>
      <w:r w:rsidRPr="00EA6B6D">
        <w:rPr>
          <w:rFonts w:ascii="Arial" w:hAnsi="Arial" w:cs="Arial"/>
          <w:i/>
          <w:color w:val="548DD4" w:themeColor="text2" w:themeTint="99"/>
        </w:rPr>
        <w:t>Describe how the State is progressing towards program goals of preparing and placing</w:t>
      </w:r>
    </w:p>
    <w:p w14:paraId="53123D5B" w14:textId="38BAA906" w:rsidR="00DC4006" w:rsidRPr="00EA6B6D" w:rsidRDefault="004B606E" w:rsidP="00DC4006">
      <w:pPr>
        <w:autoSpaceDE w:val="0"/>
        <w:autoSpaceDN w:val="0"/>
        <w:adjustRightInd w:val="0"/>
        <w:spacing w:after="0" w:line="240" w:lineRule="auto"/>
        <w:rPr>
          <w:rFonts w:ascii="Arial" w:hAnsi="Arial" w:cs="Arial"/>
          <w:i/>
          <w:color w:val="548DD4" w:themeColor="text2" w:themeTint="99"/>
        </w:rPr>
      </w:pPr>
      <w:r w:rsidRPr="00EA6B6D">
        <w:rPr>
          <w:rFonts w:ascii="Arial" w:hAnsi="Arial" w:cs="Arial"/>
          <w:i/>
          <w:color w:val="548DD4" w:themeColor="text2" w:themeTint="99"/>
        </w:rPr>
        <w:tab/>
      </w:r>
      <w:r w:rsidR="00DC4006" w:rsidRPr="00EA6B6D">
        <w:rPr>
          <w:rFonts w:ascii="Arial" w:hAnsi="Arial" w:cs="Arial"/>
          <w:i/>
          <w:color w:val="548DD4" w:themeColor="text2" w:themeTint="99"/>
        </w:rPr>
        <w:t>IELCE program participants in unsubsidized employment in in-demand industries and</w:t>
      </w:r>
      <w:r w:rsidR="0088469A" w:rsidRPr="00EA6B6D">
        <w:rPr>
          <w:rFonts w:ascii="Arial" w:hAnsi="Arial" w:cs="Arial"/>
          <w:i/>
          <w:color w:val="548DD4" w:themeColor="text2" w:themeTint="99"/>
        </w:rPr>
        <w:t xml:space="preserve"> </w:t>
      </w:r>
      <w:r w:rsidRPr="00EA6B6D">
        <w:rPr>
          <w:rFonts w:ascii="Arial" w:hAnsi="Arial" w:cs="Arial"/>
          <w:i/>
          <w:color w:val="548DD4" w:themeColor="text2" w:themeTint="99"/>
        </w:rPr>
        <w:tab/>
      </w:r>
      <w:r w:rsidR="00DC4006" w:rsidRPr="00EA6B6D">
        <w:rPr>
          <w:rFonts w:ascii="Arial" w:hAnsi="Arial" w:cs="Arial"/>
          <w:i/>
          <w:color w:val="548DD4" w:themeColor="text2" w:themeTint="99"/>
        </w:rPr>
        <w:t>occupations that lead to economic self-sufficiency as described in section 243(c)(1) and</w:t>
      </w:r>
      <w:r w:rsidRPr="00EA6B6D">
        <w:rPr>
          <w:rFonts w:ascii="Arial" w:hAnsi="Arial" w:cs="Arial"/>
          <w:i/>
          <w:color w:val="548DD4" w:themeColor="text2" w:themeTint="99"/>
        </w:rPr>
        <w:t xml:space="preserve"> </w:t>
      </w:r>
      <w:r w:rsidRPr="00EA6B6D">
        <w:rPr>
          <w:rFonts w:ascii="Arial" w:hAnsi="Arial" w:cs="Arial"/>
          <w:i/>
          <w:color w:val="548DD4" w:themeColor="text2" w:themeTint="99"/>
        </w:rPr>
        <w:tab/>
      </w:r>
      <w:r w:rsidR="00DC4006" w:rsidRPr="00EA6B6D">
        <w:rPr>
          <w:rFonts w:ascii="Arial" w:hAnsi="Arial" w:cs="Arial"/>
          <w:i/>
          <w:color w:val="548DD4" w:themeColor="text2" w:themeTint="99"/>
        </w:rPr>
        <w:t>discuss any performance results, challenges, and lessons learned from implementing</w:t>
      </w:r>
      <w:r w:rsidRPr="00EA6B6D">
        <w:rPr>
          <w:rFonts w:ascii="Arial" w:hAnsi="Arial" w:cs="Arial"/>
          <w:i/>
          <w:color w:val="548DD4" w:themeColor="text2" w:themeTint="99"/>
        </w:rPr>
        <w:t xml:space="preserve"> </w:t>
      </w:r>
      <w:r w:rsidR="00DC4006" w:rsidRPr="00EA6B6D">
        <w:rPr>
          <w:rFonts w:ascii="Arial" w:hAnsi="Arial" w:cs="Arial"/>
          <w:i/>
          <w:color w:val="548DD4" w:themeColor="text2" w:themeTint="99"/>
        </w:rPr>
        <w:t xml:space="preserve">those </w:t>
      </w:r>
      <w:r w:rsidRPr="00EA6B6D">
        <w:rPr>
          <w:rFonts w:ascii="Arial" w:hAnsi="Arial" w:cs="Arial"/>
          <w:i/>
          <w:color w:val="548DD4" w:themeColor="text2" w:themeTint="99"/>
        </w:rPr>
        <w:tab/>
      </w:r>
      <w:r w:rsidR="0088469A" w:rsidRPr="00EA6B6D">
        <w:rPr>
          <w:rFonts w:ascii="Arial" w:hAnsi="Arial" w:cs="Arial"/>
          <w:i/>
          <w:color w:val="548DD4" w:themeColor="text2" w:themeTint="99"/>
        </w:rPr>
        <w:t>program goals</w:t>
      </w:r>
      <w:r w:rsidR="00826C3B">
        <w:rPr>
          <w:rFonts w:ascii="Arial" w:hAnsi="Arial" w:cs="Arial"/>
          <w:i/>
          <w:color w:val="548DD4" w:themeColor="text2" w:themeTint="99"/>
        </w:rPr>
        <w:t>.</w:t>
      </w:r>
    </w:p>
    <w:p w14:paraId="7DC8B913" w14:textId="77777777" w:rsidR="006A2A66" w:rsidRPr="004B606E" w:rsidRDefault="006A2A66" w:rsidP="00DC4006">
      <w:pPr>
        <w:autoSpaceDE w:val="0"/>
        <w:autoSpaceDN w:val="0"/>
        <w:adjustRightInd w:val="0"/>
        <w:spacing w:after="0" w:line="240" w:lineRule="auto"/>
        <w:rPr>
          <w:rFonts w:ascii="Arial" w:hAnsi="Arial" w:cs="Arial"/>
          <w:i/>
        </w:rPr>
      </w:pPr>
    </w:p>
    <w:p w14:paraId="1871191F" w14:textId="680E1658" w:rsidR="0088469A" w:rsidRDefault="00673C59" w:rsidP="00A06245">
      <w:pPr>
        <w:autoSpaceDE w:val="0"/>
        <w:autoSpaceDN w:val="0"/>
        <w:adjustRightInd w:val="0"/>
        <w:spacing w:after="0" w:line="240" w:lineRule="auto"/>
        <w:ind w:left="720"/>
        <w:rPr>
          <w:rFonts w:ascii="Arial" w:hAnsi="Arial" w:cs="Arial"/>
        </w:rPr>
      </w:pPr>
      <w:r w:rsidRPr="005A010C">
        <w:rPr>
          <w:rFonts w:ascii="Arial" w:hAnsi="Arial" w:cs="Arial"/>
        </w:rPr>
        <w:t xml:space="preserve">Utah </w:t>
      </w:r>
      <w:r w:rsidR="00370A2C">
        <w:rPr>
          <w:rFonts w:ascii="Arial" w:hAnsi="Arial" w:cs="Arial"/>
        </w:rPr>
        <w:t xml:space="preserve">adult education </w:t>
      </w:r>
      <w:r w:rsidRPr="005A010C">
        <w:rPr>
          <w:rFonts w:ascii="Arial" w:hAnsi="Arial" w:cs="Arial"/>
        </w:rPr>
        <w:t xml:space="preserve">has </w:t>
      </w:r>
      <w:r w:rsidR="00370A2C">
        <w:rPr>
          <w:rFonts w:ascii="Arial" w:hAnsi="Arial" w:cs="Arial"/>
        </w:rPr>
        <w:t>aligned program development with the State Workforce Development Board’s industry and economic projections</w:t>
      </w:r>
      <w:r w:rsidR="0086439A" w:rsidRPr="005A010C">
        <w:rPr>
          <w:rFonts w:ascii="Arial" w:hAnsi="Arial" w:cs="Arial"/>
        </w:rPr>
        <w:t>.</w:t>
      </w:r>
      <w:r w:rsidR="00370A2C">
        <w:rPr>
          <w:rFonts w:ascii="Arial" w:hAnsi="Arial" w:cs="Arial"/>
        </w:rPr>
        <w:t xml:space="preserve"> Early results have shown small pockets of success and promising practices for scalability.</w:t>
      </w:r>
    </w:p>
    <w:p w14:paraId="7F7C1A16" w14:textId="77777777" w:rsidR="00370A2C" w:rsidRPr="00A06245" w:rsidRDefault="00370A2C" w:rsidP="00A06245">
      <w:pPr>
        <w:autoSpaceDE w:val="0"/>
        <w:autoSpaceDN w:val="0"/>
        <w:adjustRightInd w:val="0"/>
        <w:spacing w:after="0" w:line="240" w:lineRule="auto"/>
        <w:ind w:left="720"/>
        <w:rPr>
          <w:rFonts w:ascii="Arial" w:hAnsi="Arial" w:cs="Arial"/>
        </w:rPr>
      </w:pPr>
    </w:p>
    <w:p w14:paraId="45DD809F" w14:textId="77777777" w:rsidR="00425E3F" w:rsidRPr="00F70214" w:rsidRDefault="00425E3F" w:rsidP="00DC4006">
      <w:pPr>
        <w:autoSpaceDE w:val="0"/>
        <w:autoSpaceDN w:val="0"/>
        <w:adjustRightInd w:val="0"/>
        <w:spacing w:after="0" w:line="240" w:lineRule="auto"/>
        <w:rPr>
          <w:rFonts w:ascii="Arial" w:hAnsi="Arial" w:cs="Arial"/>
          <w:color w:val="548DD4" w:themeColor="text2" w:themeTint="99"/>
        </w:rPr>
      </w:pPr>
    </w:p>
    <w:p w14:paraId="5D9C1CBE" w14:textId="77777777" w:rsidR="0026409D" w:rsidRDefault="00DC4006" w:rsidP="009E7564">
      <w:pPr>
        <w:pStyle w:val="ListParagraph"/>
        <w:autoSpaceDE w:val="0"/>
        <w:autoSpaceDN w:val="0"/>
        <w:adjustRightInd w:val="0"/>
        <w:spacing w:after="0" w:line="240" w:lineRule="auto"/>
        <w:rPr>
          <w:rFonts w:ascii="Arial" w:hAnsi="Arial" w:cs="Arial"/>
          <w:i/>
          <w:color w:val="548DD4" w:themeColor="text2" w:themeTint="99"/>
        </w:rPr>
      </w:pPr>
      <w:r w:rsidRPr="0009570C">
        <w:rPr>
          <w:rFonts w:ascii="Arial" w:hAnsi="Arial" w:cs="Arial"/>
          <w:i/>
          <w:color w:val="548DD4" w:themeColor="text2" w:themeTint="99"/>
        </w:rPr>
        <w:t>Describe how the State is progressing towards program goals of ensuring that IELCE</w:t>
      </w:r>
      <w:r w:rsidR="006A2A66" w:rsidRPr="0009570C">
        <w:rPr>
          <w:rFonts w:ascii="Arial" w:hAnsi="Arial" w:cs="Arial"/>
          <w:i/>
          <w:color w:val="548DD4" w:themeColor="text2" w:themeTint="99"/>
        </w:rPr>
        <w:t xml:space="preserve"> </w:t>
      </w:r>
      <w:r w:rsidRPr="0009570C">
        <w:rPr>
          <w:rFonts w:ascii="Arial" w:hAnsi="Arial" w:cs="Arial"/>
          <w:i/>
          <w:color w:val="548DD4" w:themeColor="text2" w:themeTint="99"/>
        </w:rPr>
        <w:t>program activities are integrated with the local workforce development system and its</w:t>
      </w:r>
      <w:r w:rsidR="006A2A66" w:rsidRPr="0009570C">
        <w:rPr>
          <w:rFonts w:ascii="Arial" w:hAnsi="Arial" w:cs="Arial"/>
          <w:i/>
          <w:color w:val="548DD4" w:themeColor="text2" w:themeTint="99"/>
        </w:rPr>
        <w:t xml:space="preserve"> </w:t>
      </w:r>
      <w:r w:rsidRPr="0009570C">
        <w:rPr>
          <w:rFonts w:ascii="Arial" w:hAnsi="Arial" w:cs="Arial"/>
          <w:i/>
          <w:color w:val="548DD4" w:themeColor="text2" w:themeTint="99"/>
        </w:rPr>
        <w:t>functions as described in section 243(c)(2) and discuss any performance results</w:t>
      </w:r>
      <w:r w:rsidR="00EA6B6D" w:rsidRPr="0009570C">
        <w:rPr>
          <w:rFonts w:ascii="Arial" w:hAnsi="Arial" w:cs="Arial"/>
          <w:i/>
          <w:color w:val="548DD4" w:themeColor="text2" w:themeTint="99"/>
        </w:rPr>
        <w:t xml:space="preserve">, challenges, and lessons learned from implementing those program goals. </w:t>
      </w:r>
    </w:p>
    <w:p w14:paraId="49077BB7" w14:textId="77777777" w:rsidR="0009570C" w:rsidRDefault="0009570C" w:rsidP="009E7564">
      <w:pPr>
        <w:pStyle w:val="ListParagraph"/>
        <w:autoSpaceDE w:val="0"/>
        <w:autoSpaceDN w:val="0"/>
        <w:adjustRightInd w:val="0"/>
        <w:spacing w:after="0" w:line="240" w:lineRule="auto"/>
        <w:rPr>
          <w:rFonts w:ascii="Arial" w:hAnsi="Arial" w:cs="Arial"/>
          <w:i/>
          <w:color w:val="548DD4" w:themeColor="text2" w:themeTint="99"/>
        </w:rPr>
      </w:pPr>
    </w:p>
    <w:p w14:paraId="3F21FB64" w14:textId="723959C1" w:rsidR="0009570C" w:rsidRDefault="006778C1" w:rsidP="009E7564">
      <w:pPr>
        <w:pStyle w:val="ListParagraph"/>
        <w:autoSpaceDE w:val="0"/>
        <w:autoSpaceDN w:val="0"/>
        <w:adjustRightInd w:val="0"/>
        <w:spacing w:after="0" w:line="240" w:lineRule="auto"/>
        <w:rPr>
          <w:rFonts w:ascii="Arial" w:hAnsi="Arial" w:cs="Arial"/>
        </w:rPr>
      </w:pPr>
      <w:r w:rsidRPr="00370A2C">
        <w:rPr>
          <w:rFonts w:ascii="Arial" w:hAnsi="Arial" w:cs="Arial"/>
        </w:rPr>
        <w:t>One aspect of our workforce development system has been the creation of a statewide initiative known as Talent Ready Utah (</w:t>
      </w:r>
      <w:hyperlink r:id="rId8" w:history="1">
        <w:r w:rsidRPr="00370A2C">
          <w:rPr>
            <w:rStyle w:val="Hyperlink"/>
            <w:rFonts w:ascii="Arial" w:hAnsi="Arial" w:cs="Arial"/>
          </w:rPr>
          <w:t>www.talentrea</w:t>
        </w:r>
        <w:r w:rsidR="007E13DD" w:rsidRPr="00370A2C">
          <w:rPr>
            <w:rStyle w:val="Hyperlink"/>
            <w:rFonts w:ascii="Arial" w:hAnsi="Arial" w:cs="Arial"/>
          </w:rPr>
          <w:t>dyutah.com</w:t>
        </w:r>
      </w:hyperlink>
      <w:r w:rsidRPr="00370A2C">
        <w:rPr>
          <w:rFonts w:ascii="Arial" w:hAnsi="Arial" w:cs="Arial"/>
        </w:rPr>
        <w:t xml:space="preserve">) </w:t>
      </w:r>
      <w:r w:rsidR="007E13DD" w:rsidRPr="00370A2C">
        <w:rPr>
          <w:rFonts w:ascii="Arial" w:hAnsi="Arial" w:cs="Arial"/>
        </w:rPr>
        <w:t>and local adult education programs are joining with their county economic development councils to leverage this initiative</w:t>
      </w:r>
      <w:r w:rsidR="0052214E" w:rsidRPr="00370A2C">
        <w:rPr>
          <w:rFonts w:ascii="Arial" w:hAnsi="Arial" w:cs="Arial"/>
        </w:rPr>
        <w:t>.</w:t>
      </w:r>
    </w:p>
    <w:p w14:paraId="1D3528AB" w14:textId="77777777" w:rsidR="004D4C36" w:rsidRPr="00FF7357" w:rsidRDefault="004D4C36" w:rsidP="009E7564">
      <w:pPr>
        <w:pStyle w:val="ListParagraph"/>
        <w:autoSpaceDE w:val="0"/>
        <w:autoSpaceDN w:val="0"/>
        <w:adjustRightInd w:val="0"/>
        <w:spacing w:after="0" w:line="240" w:lineRule="auto"/>
        <w:rPr>
          <w:rFonts w:ascii="Arial" w:hAnsi="Arial" w:cs="Arial"/>
        </w:rPr>
      </w:pPr>
    </w:p>
    <w:p w14:paraId="15B5F1FD" w14:textId="77777777" w:rsidR="0009570C" w:rsidRPr="0009570C" w:rsidRDefault="0009570C" w:rsidP="009E7564">
      <w:pPr>
        <w:pStyle w:val="ListParagraph"/>
        <w:autoSpaceDE w:val="0"/>
        <w:autoSpaceDN w:val="0"/>
        <w:adjustRightInd w:val="0"/>
        <w:spacing w:after="0" w:line="240" w:lineRule="auto"/>
        <w:rPr>
          <w:rFonts w:ascii="Arial" w:hAnsi="Arial" w:cs="Arial"/>
        </w:rPr>
      </w:pPr>
    </w:p>
    <w:p w14:paraId="00113568" w14:textId="77777777" w:rsidR="00DC4006" w:rsidRPr="00FA6D87" w:rsidRDefault="00DC4006" w:rsidP="00DC4006">
      <w:pPr>
        <w:autoSpaceDE w:val="0"/>
        <w:autoSpaceDN w:val="0"/>
        <w:adjustRightInd w:val="0"/>
        <w:spacing w:after="0" w:line="240" w:lineRule="auto"/>
        <w:rPr>
          <w:rFonts w:ascii="Arial" w:hAnsi="Arial" w:cs="Arial"/>
          <w:b/>
          <w:bCs/>
        </w:rPr>
      </w:pPr>
      <w:r w:rsidRPr="00FA6D87">
        <w:rPr>
          <w:rFonts w:ascii="Arial" w:hAnsi="Arial" w:cs="Arial"/>
          <w:b/>
        </w:rPr>
        <w:lastRenderedPageBreak/>
        <w:t>5.</w:t>
      </w:r>
      <w:r w:rsidR="00FA6D87" w:rsidRPr="00FA6D87">
        <w:rPr>
          <w:rFonts w:ascii="Arial" w:hAnsi="Arial" w:cs="Arial"/>
          <w:b/>
        </w:rPr>
        <w:t xml:space="preserve"> </w:t>
      </w:r>
      <w:r w:rsidR="00FA6D87" w:rsidRPr="00FA6D87">
        <w:rPr>
          <w:rFonts w:ascii="Arial" w:hAnsi="Arial" w:cs="Arial"/>
          <w:b/>
        </w:rPr>
        <w:tab/>
        <w:t>A</w:t>
      </w:r>
      <w:r w:rsidRPr="00FA6D87">
        <w:rPr>
          <w:rFonts w:ascii="Arial" w:hAnsi="Arial" w:cs="Arial"/>
          <w:b/>
          <w:bCs/>
        </w:rPr>
        <w:t>dult Education Standards</w:t>
      </w:r>
    </w:p>
    <w:p w14:paraId="2F3A76A1" w14:textId="77777777" w:rsidR="00FA6D87" w:rsidRDefault="00FA6D87" w:rsidP="00DC4006">
      <w:pPr>
        <w:autoSpaceDE w:val="0"/>
        <w:autoSpaceDN w:val="0"/>
        <w:adjustRightInd w:val="0"/>
        <w:spacing w:after="0" w:line="240" w:lineRule="auto"/>
        <w:rPr>
          <w:rFonts w:ascii="Arial" w:hAnsi="Arial" w:cs="Arial"/>
          <w:i/>
        </w:rPr>
      </w:pPr>
      <w:r>
        <w:rPr>
          <w:rFonts w:ascii="Arial" w:hAnsi="Arial" w:cs="Arial"/>
          <w:i/>
        </w:rPr>
        <w:tab/>
      </w:r>
    </w:p>
    <w:p w14:paraId="70E5B988" w14:textId="77777777" w:rsidR="00DC4006" w:rsidRPr="009A5BCA" w:rsidRDefault="00FA6D87" w:rsidP="00DC4006">
      <w:pPr>
        <w:autoSpaceDE w:val="0"/>
        <w:autoSpaceDN w:val="0"/>
        <w:adjustRightInd w:val="0"/>
        <w:spacing w:after="0" w:line="240" w:lineRule="auto"/>
        <w:rPr>
          <w:rFonts w:ascii="Arial" w:hAnsi="Arial" w:cs="Arial"/>
          <w:i/>
          <w:color w:val="548DD4" w:themeColor="text2" w:themeTint="99"/>
        </w:rPr>
      </w:pPr>
      <w:r>
        <w:rPr>
          <w:rFonts w:ascii="Arial" w:hAnsi="Arial" w:cs="Arial"/>
          <w:i/>
        </w:rPr>
        <w:tab/>
      </w:r>
      <w:r w:rsidR="00DC4006" w:rsidRPr="009A5BCA">
        <w:rPr>
          <w:rFonts w:ascii="Arial" w:hAnsi="Arial" w:cs="Arial"/>
          <w:i/>
          <w:color w:val="548DD4" w:themeColor="text2" w:themeTint="99"/>
        </w:rPr>
        <w:t>If your State has adopted new challenging K-12 standards under title I of the Elementary and</w:t>
      </w:r>
    </w:p>
    <w:p w14:paraId="380B82FA" w14:textId="77777777" w:rsidR="00F92FCB" w:rsidRDefault="00FA6D87" w:rsidP="00987492">
      <w:pPr>
        <w:autoSpaceDE w:val="0"/>
        <w:autoSpaceDN w:val="0"/>
        <w:adjustRightInd w:val="0"/>
        <w:spacing w:after="0" w:line="240" w:lineRule="auto"/>
        <w:rPr>
          <w:rFonts w:ascii="Arial" w:hAnsi="Arial" w:cs="Arial"/>
          <w:i/>
          <w:color w:val="548DD4" w:themeColor="text2" w:themeTint="99"/>
        </w:rPr>
      </w:pPr>
      <w:r w:rsidRPr="009A5BCA">
        <w:rPr>
          <w:rFonts w:ascii="Arial" w:hAnsi="Arial" w:cs="Arial"/>
          <w:i/>
          <w:color w:val="548DD4" w:themeColor="text2" w:themeTint="99"/>
        </w:rPr>
        <w:tab/>
      </w:r>
      <w:r w:rsidR="00DC4006" w:rsidRPr="009A5BCA">
        <w:rPr>
          <w:rFonts w:ascii="Arial" w:hAnsi="Arial" w:cs="Arial"/>
          <w:i/>
          <w:color w:val="548DD4" w:themeColor="text2" w:themeTint="99"/>
        </w:rPr>
        <w:t xml:space="preserve">Secondary Education Act of 1965, as amended, describe how your Adult Education content </w:t>
      </w:r>
      <w:r w:rsidRPr="009A5BCA">
        <w:rPr>
          <w:rFonts w:ascii="Arial" w:hAnsi="Arial" w:cs="Arial"/>
          <w:i/>
          <w:color w:val="548DD4" w:themeColor="text2" w:themeTint="99"/>
        </w:rPr>
        <w:tab/>
      </w:r>
      <w:r w:rsidR="00DC4006" w:rsidRPr="009A5BCA">
        <w:rPr>
          <w:rFonts w:ascii="Arial" w:hAnsi="Arial" w:cs="Arial"/>
          <w:i/>
          <w:color w:val="548DD4" w:themeColor="text2" w:themeTint="99"/>
        </w:rPr>
        <w:t>standards are aligned with those K-12 standards.</w:t>
      </w:r>
    </w:p>
    <w:p w14:paraId="2CAC924E" w14:textId="77777777" w:rsidR="00987492" w:rsidRPr="00987492" w:rsidRDefault="00987492" w:rsidP="00987492">
      <w:pPr>
        <w:autoSpaceDE w:val="0"/>
        <w:autoSpaceDN w:val="0"/>
        <w:adjustRightInd w:val="0"/>
        <w:spacing w:after="0" w:line="240" w:lineRule="auto"/>
        <w:rPr>
          <w:rFonts w:ascii="Arial" w:hAnsi="Arial" w:cs="Arial"/>
          <w:i/>
          <w:color w:val="548DD4" w:themeColor="text2" w:themeTint="99"/>
        </w:rPr>
      </w:pPr>
    </w:p>
    <w:p w14:paraId="737579DF" w14:textId="1770CF79" w:rsidR="00BE182E" w:rsidRDefault="000A071E" w:rsidP="00370A2C">
      <w:pPr>
        <w:spacing w:after="0" w:line="240" w:lineRule="auto"/>
        <w:ind w:left="720"/>
        <w:rPr>
          <w:rFonts w:ascii="Arial" w:hAnsi="Arial" w:cs="Arial"/>
        </w:rPr>
      </w:pPr>
      <w:r w:rsidRPr="00370A2C">
        <w:rPr>
          <w:rFonts w:ascii="Arial" w:hAnsi="Arial" w:cs="Arial"/>
        </w:rPr>
        <w:t xml:space="preserve">Each program that is housed in a school district uses the K-12 instructional standards to build curriculum and award academic credit towards the completion of an Adult Education Secondary Diploma.  The CCR standards are folded into the </w:t>
      </w:r>
      <w:r w:rsidR="00DA180F" w:rsidRPr="00370A2C">
        <w:rPr>
          <w:rFonts w:ascii="Arial" w:hAnsi="Arial" w:cs="Arial"/>
        </w:rPr>
        <w:t xml:space="preserve">existing </w:t>
      </w:r>
      <w:r w:rsidRPr="00370A2C">
        <w:rPr>
          <w:rFonts w:ascii="Arial" w:hAnsi="Arial" w:cs="Arial"/>
        </w:rPr>
        <w:t>standards as the framework for their instruction.</w:t>
      </w:r>
      <w:r w:rsidR="00CC397C" w:rsidRPr="00370A2C">
        <w:rPr>
          <w:rFonts w:ascii="Arial" w:hAnsi="Arial" w:cs="Arial"/>
        </w:rPr>
        <w:t xml:space="preserve"> </w:t>
      </w:r>
    </w:p>
    <w:p w14:paraId="5DD41EF2" w14:textId="77777777" w:rsidR="007B5299" w:rsidRPr="00370A2C" w:rsidRDefault="007B5299" w:rsidP="00370A2C">
      <w:pPr>
        <w:spacing w:after="0" w:line="240" w:lineRule="auto"/>
        <w:ind w:left="720"/>
        <w:rPr>
          <w:rFonts w:ascii="Arial" w:hAnsi="Arial" w:cs="Arial"/>
        </w:rPr>
      </w:pPr>
    </w:p>
    <w:p w14:paraId="7CD16169" w14:textId="6D65B0B2" w:rsidR="00FA6D87" w:rsidRPr="009A5BCA" w:rsidRDefault="00FA6D87" w:rsidP="009E7564">
      <w:pPr>
        <w:pStyle w:val="ListParagraph"/>
        <w:rPr>
          <w:rFonts w:ascii="Arial" w:hAnsi="Arial" w:cs="Arial"/>
          <w:i/>
          <w:color w:val="548DD4" w:themeColor="text2" w:themeTint="99"/>
        </w:rPr>
      </w:pPr>
      <w:r w:rsidRPr="009A5BCA">
        <w:rPr>
          <w:rFonts w:ascii="Arial" w:hAnsi="Arial" w:cs="Arial"/>
          <w:i/>
          <w:color w:val="548DD4" w:themeColor="text2" w:themeTint="99"/>
        </w:rPr>
        <w:t>Optional – Describe implementation efforts, challenges, and any lessons learned</w:t>
      </w:r>
      <w:r w:rsidR="00826C3B">
        <w:rPr>
          <w:rFonts w:ascii="Arial" w:hAnsi="Arial" w:cs="Arial"/>
          <w:i/>
          <w:color w:val="548DD4" w:themeColor="text2" w:themeTint="99"/>
        </w:rPr>
        <w:t>.</w:t>
      </w:r>
    </w:p>
    <w:p w14:paraId="0792EDA9" w14:textId="77777777" w:rsidR="00FA6D87" w:rsidRPr="00F70214" w:rsidRDefault="00DA180F" w:rsidP="00FA6D87">
      <w:pPr>
        <w:ind w:left="720"/>
        <w:rPr>
          <w:rFonts w:ascii="Arial" w:hAnsi="Arial" w:cs="Arial"/>
        </w:rPr>
      </w:pPr>
      <w:r>
        <w:rPr>
          <w:rStyle w:val="Hyperlink"/>
          <w:rFonts w:ascii="Arial" w:hAnsi="Arial" w:cs="Arial"/>
          <w:color w:val="auto"/>
          <w:u w:val="none"/>
        </w:rPr>
        <w:t>N/A</w:t>
      </w:r>
    </w:p>
    <w:p w14:paraId="2AB43141" w14:textId="77777777" w:rsidR="00DC4006" w:rsidRPr="00F70214" w:rsidRDefault="00DC4006" w:rsidP="00DC4006">
      <w:pPr>
        <w:autoSpaceDE w:val="0"/>
        <w:autoSpaceDN w:val="0"/>
        <w:adjustRightInd w:val="0"/>
        <w:spacing w:after="0" w:line="240" w:lineRule="auto"/>
        <w:rPr>
          <w:rFonts w:ascii="Arial" w:hAnsi="Arial" w:cs="Arial"/>
          <w:b/>
          <w:bCs/>
        </w:rPr>
      </w:pPr>
      <w:r w:rsidRPr="00F70214">
        <w:rPr>
          <w:rStyle w:val="Hyperlink"/>
          <w:rFonts w:ascii="Arial" w:hAnsi="Arial" w:cs="Arial"/>
          <w:color w:val="auto"/>
          <w:u w:val="none"/>
        </w:rPr>
        <w:t xml:space="preserve">6. </w:t>
      </w:r>
      <w:r w:rsidR="006C0AB5">
        <w:rPr>
          <w:rStyle w:val="Hyperlink"/>
          <w:rFonts w:ascii="Arial" w:hAnsi="Arial" w:cs="Arial"/>
          <w:color w:val="auto"/>
          <w:u w:val="none"/>
        </w:rPr>
        <w:tab/>
      </w:r>
      <w:r w:rsidRPr="00F70214">
        <w:rPr>
          <w:rFonts w:ascii="Arial" w:hAnsi="Arial" w:cs="Arial"/>
          <w:b/>
          <w:bCs/>
        </w:rPr>
        <w:t>Programs for Corrections Education and the Education of Other Institutionalized</w:t>
      </w:r>
    </w:p>
    <w:p w14:paraId="5DD261AE" w14:textId="77777777" w:rsidR="00DC4006" w:rsidRPr="00F70214" w:rsidRDefault="00DC4006" w:rsidP="00DC4006">
      <w:pPr>
        <w:ind w:left="720"/>
        <w:rPr>
          <w:rFonts w:ascii="Arial" w:hAnsi="Arial" w:cs="Arial"/>
        </w:rPr>
      </w:pPr>
      <w:r w:rsidRPr="00F70214">
        <w:rPr>
          <w:rFonts w:ascii="Arial" w:hAnsi="Arial" w:cs="Arial"/>
          <w:b/>
          <w:bCs/>
        </w:rPr>
        <w:t xml:space="preserve">Individuals </w:t>
      </w:r>
      <w:r w:rsidRPr="00F70214">
        <w:rPr>
          <w:rFonts w:ascii="Arial" w:hAnsi="Arial" w:cs="Arial"/>
        </w:rPr>
        <w:t>(AEFLA Section 225)</w:t>
      </w:r>
    </w:p>
    <w:p w14:paraId="6AFA2C98" w14:textId="77777777" w:rsidR="00DC4006" w:rsidRPr="009A5BCA" w:rsidRDefault="006C0AB5" w:rsidP="00DC4006">
      <w:pPr>
        <w:autoSpaceDE w:val="0"/>
        <w:autoSpaceDN w:val="0"/>
        <w:adjustRightInd w:val="0"/>
        <w:spacing w:after="0" w:line="240" w:lineRule="auto"/>
        <w:rPr>
          <w:rFonts w:ascii="Arial" w:hAnsi="Arial" w:cs="Arial"/>
          <w:i/>
          <w:color w:val="548DD4" w:themeColor="text2" w:themeTint="99"/>
        </w:rPr>
      </w:pPr>
      <w:r>
        <w:rPr>
          <w:rFonts w:ascii="Arial" w:hAnsi="Arial" w:cs="Arial"/>
        </w:rPr>
        <w:tab/>
      </w:r>
      <w:r w:rsidR="00DC4006" w:rsidRPr="009A5BCA">
        <w:rPr>
          <w:rFonts w:ascii="Arial" w:hAnsi="Arial" w:cs="Arial"/>
          <w:i/>
          <w:color w:val="548DD4" w:themeColor="text2" w:themeTint="99"/>
        </w:rPr>
        <w:t>What was the relative rate of recidivism for criminal offenders served? Please describe the</w:t>
      </w:r>
    </w:p>
    <w:p w14:paraId="1A8DC200" w14:textId="77777777" w:rsidR="00A472BD" w:rsidRDefault="00DC4006" w:rsidP="00A472BD">
      <w:pPr>
        <w:ind w:left="720"/>
        <w:rPr>
          <w:rFonts w:ascii="Arial" w:hAnsi="Arial" w:cs="Arial"/>
          <w:i/>
          <w:color w:val="548DD4" w:themeColor="text2" w:themeTint="99"/>
        </w:rPr>
      </w:pPr>
      <w:r w:rsidRPr="009A5BCA">
        <w:rPr>
          <w:rFonts w:ascii="Arial" w:hAnsi="Arial" w:cs="Arial"/>
          <w:i/>
          <w:color w:val="548DD4" w:themeColor="text2" w:themeTint="99"/>
        </w:rPr>
        <w:t>methods and factors used in calculating the</w:t>
      </w:r>
      <w:r w:rsidR="00A472BD">
        <w:rPr>
          <w:rFonts w:ascii="Arial" w:hAnsi="Arial" w:cs="Arial"/>
          <w:i/>
          <w:color w:val="548DD4" w:themeColor="text2" w:themeTint="99"/>
        </w:rPr>
        <w:t xml:space="preserve"> rate for this reporting period. </w:t>
      </w:r>
    </w:p>
    <w:p w14:paraId="4B583A5D" w14:textId="73D7670D" w:rsidR="00EF44EF" w:rsidRPr="00370A2C" w:rsidRDefault="00232858" w:rsidP="00370A2C">
      <w:pPr>
        <w:spacing w:after="0" w:line="240" w:lineRule="auto"/>
        <w:ind w:left="720"/>
        <w:rPr>
          <w:rFonts w:ascii="Arial" w:hAnsi="Arial" w:cs="Arial"/>
        </w:rPr>
      </w:pPr>
      <w:r w:rsidRPr="00232858">
        <w:rPr>
          <w:rFonts w:ascii="Arial" w:hAnsi="Arial" w:cs="Arial"/>
        </w:rPr>
        <w:t xml:space="preserve">The Utah Department of Corrections (UDOC) defines recidivism as a return to prison for either a technical violation of parole conditions or a new criminal event within 36 months of release.  UDOC looks at offenders that parole </w:t>
      </w:r>
      <w:proofErr w:type="gramStart"/>
      <w:r w:rsidRPr="00232858">
        <w:rPr>
          <w:rFonts w:ascii="Arial" w:hAnsi="Arial" w:cs="Arial"/>
        </w:rPr>
        <w:t>in a given year</w:t>
      </w:r>
      <w:proofErr w:type="gramEnd"/>
      <w:r w:rsidRPr="00232858">
        <w:rPr>
          <w:rFonts w:ascii="Arial" w:hAnsi="Arial" w:cs="Arial"/>
        </w:rPr>
        <w:t>. Offender data is tracked for 36 months post-release.  At the pres</w:t>
      </w:r>
      <w:r>
        <w:rPr>
          <w:rFonts w:ascii="Arial" w:hAnsi="Arial" w:cs="Arial"/>
        </w:rPr>
        <w:t>ent time UDOC is looking at 2013</w:t>
      </w:r>
      <w:r w:rsidRPr="00232858">
        <w:rPr>
          <w:rFonts w:ascii="Arial" w:hAnsi="Arial" w:cs="Arial"/>
        </w:rPr>
        <w:t xml:space="preserve">.  For our purposes this means the </w:t>
      </w:r>
      <w:r w:rsidR="00FB4FF8">
        <w:rPr>
          <w:rFonts w:ascii="Arial" w:hAnsi="Arial" w:cs="Arial"/>
        </w:rPr>
        <w:t>201</w:t>
      </w:r>
      <w:r w:rsidR="00826C3B">
        <w:rPr>
          <w:rFonts w:ascii="Arial" w:hAnsi="Arial" w:cs="Arial"/>
        </w:rPr>
        <w:t>9</w:t>
      </w:r>
      <w:r>
        <w:rPr>
          <w:rFonts w:ascii="Arial" w:hAnsi="Arial" w:cs="Arial"/>
        </w:rPr>
        <w:t>-20</w:t>
      </w:r>
      <w:r w:rsidR="00826C3B">
        <w:rPr>
          <w:rFonts w:ascii="Arial" w:hAnsi="Arial" w:cs="Arial"/>
        </w:rPr>
        <w:t>20</w:t>
      </w:r>
      <w:r w:rsidRPr="00232858">
        <w:rPr>
          <w:rFonts w:ascii="Arial" w:hAnsi="Arial" w:cs="Arial"/>
        </w:rPr>
        <w:t xml:space="preserve"> cohort of offenders who received education services (graduates and non-graduates) recidivism data will not be</w:t>
      </w:r>
      <w:r>
        <w:rPr>
          <w:rFonts w:ascii="Arial" w:hAnsi="Arial" w:cs="Arial"/>
        </w:rPr>
        <w:t xml:space="preserve"> completely available until 2021</w:t>
      </w:r>
      <w:r w:rsidRPr="00232858">
        <w:rPr>
          <w:rFonts w:ascii="Arial" w:hAnsi="Arial" w:cs="Arial"/>
        </w:rPr>
        <w:t>.</w:t>
      </w:r>
      <w:r w:rsidR="00CC397C">
        <w:rPr>
          <w:rFonts w:ascii="Arial" w:hAnsi="Arial" w:cs="Arial"/>
        </w:rPr>
        <w:t xml:space="preserve"> </w:t>
      </w:r>
    </w:p>
    <w:sectPr w:rsidR="00EF44EF" w:rsidRPr="00370A2C" w:rsidSect="00CC64F3">
      <w:headerReference w:type="default" r:id="rId9"/>
      <w:footerReference w:type="default" r:id="rId10"/>
      <w:pgSz w:w="12240" w:h="15840"/>
      <w:pgMar w:top="1152" w:right="1152" w:bottom="1152"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CA519" w14:textId="77777777" w:rsidR="00CD251A" w:rsidRDefault="00CD251A" w:rsidP="0098114B">
      <w:pPr>
        <w:spacing w:after="0" w:line="240" w:lineRule="auto"/>
      </w:pPr>
      <w:r>
        <w:separator/>
      </w:r>
    </w:p>
  </w:endnote>
  <w:endnote w:type="continuationSeparator" w:id="0">
    <w:p w14:paraId="3B104978" w14:textId="77777777" w:rsidR="00CD251A" w:rsidRDefault="00CD251A" w:rsidP="00981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80D12" w14:textId="77777777" w:rsidR="00714EC8" w:rsidRPr="0098114B" w:rsidRDefault="00714EC8">
    <w:pPr>
      <w:pStyle w:val="Footer"/>
      <w:pBdr>
        <w:top w:val="thinThickSmallGap" w:sz="24" w:space="1" w:color="622423" w:themeColor="accent2" w:themeShade="7F"/>
      </w:pBdr>
      <w:rPr>
        <w:rFonts w:asciiTheme="majorHAnsi" w:eastAsiaTheme="majorEastAsia" w:hAnsiTheme="majorHAnsi" w:cstheme="majorBidi"/>
      </w:rPr>
    </w:pPr>
    <w:r w:rsidRPr="0098114B">
      <w:rPr>
        <w:rFonts w:asciiTheme="majorHAnsi" w:eastAsiaTheme="majorEastAsia" w:hAnsiTheme="majorHAnsi" w:cstheme="majorBidi"/>
      </w:rPr>
      <w:ptab w:relativeTo="margin" w:alignment="right" w:leader="none"/>
    </w:r>
    <w:r w:rsidRPr="0098114B">
      <w:rPr>
        <w:rFonts w:asciiTheme="majorHAnsi" w:eastAsiaTheme="majorEastAsia" w:hAnsiTheme="majorHAnsi" w:cstheme="majorBidi"/>
      </w:rPr>
      <w:t xml:space="preserve">Page </w:t>
    </w:r>
    <w:r w:rsidRPr="0098114B">
      <w:rPr>
        <w:rFonts w:asciiTheme="majorHAnsi" w:eastAsiaTheme="minorEastAsia" w:hAnsiTheme="majorHAnsi"/>
      </w:rPr>
      <w:fldChar w:fldCharType="begin"/>
    </w:r>
    <w:r w:rsidRPr="0098114B">
      <w:rPr>
        <w:rFonts w:asciiTheme="majorHAnsi" w:hAnsiTheme="majorHAnsi"/>
      </w:rPr>
      <w:instrText xml:space="preserve"> PAGE   \* MERGEFORMAT </w:instrText>
    </w:r>
    <w:r w:rsidRPr="0098114B">
      <w:rPr>
        <w:rFonts w:asciiTheme="majorHAnsi" w:eastAsiaTheme="minorEastAsia" w:hAnsiTheme="majorHAnsi"/>
      </w:rPr>
      <w:fldChar w:fldCharType="separate"/>
    </w:r>
    <w:r w:rsidR="00FB4FF8" w:rsidRPr="00FB4FF8">
      <w:rPr>
        <w:rFonts w:asciiTheme="majorHAnsi" w:eastAsiaTheme="majorEastAsia" w:hAnsiTheme="majorHAnsi" w:cstheme="majorBidi"/>
        <w:noProof/>
      </w:rPr>
      <w:t>4</w:t>
    </w:r>
    <w:r w:rsidRPr="0098114B">
      <w:rPr>
        <w:rFonts w:asciiTheme="majorHAnsi" w:eastAsiaTheme="majorEastAsia" w:hAnsiTheme="majorHAnsi" w:cstheme="majorBidi"/>
        <w:noProof/>
      </w:rPr>
      <w:fldChar w:fldCharType="end"/>
    </w:r>
  </w:p>
  <w:p w14:paraId="7ACA5FD3" w14:textId="77777777" w:rsidR="00714EC8" w:rsidRDefault="00714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31B8C" w14:textId="77777777" w:rsidR="00CD251A" w:rsidRDefault="00CD251A" w:rsidP="0098114B">
      <w:pPr>
        <w:spacing w:after="0" w:line="240" w:lineRule="auto"/>
      </w:pPr>
      <w:r>
        <w:separator/>
      </w:r>
    </w:p>
  </w:footnote>
  <w:footnote w:type="continuationSeparator" w:id="0">
    <w:p w14:paraId="11D41ADF" w14:textId="77777777" w:rsidR="00CD251A" w:rsidRDefault="00CD251A" w:rsidP="00981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D1B8B" w14:textId="5F06758B" w:rsidR="00714EC8" w:rsidRPr="0098114B" w:rsidRDefault="007B5299" w:rsidP="0098114B">
    <w:pPr>
      <w:pStyle w:val="Header"/>
      <w:pBdr>
        <w:bottom w:val="thickThinSmallGap" w:sz="24" w:space="1" w:color="622423" w:themeColor="accent2" w:themeShade="7F"/>
      </w:pBdr>
      <w:jc w:val="right"/>
      <w:rPr>
        <w:rFonts w:asciiTheme="majorHAnsi" w:eastAsiaTheme="majorEastAsia" w:hAnsiTheme="majorHAnsi" w:cstheme="majorBidi"/>
        <w:sz w:val="24"/>
        <w:szCs w:val="24"/>
      </w:rPr>
    </w:pPr>
    <w:sdt>
      <w:sdtPr>
        <w:rPr>
          <w:rFonts w:asciiTheme="majorHAnsi" w:eastAsiaTheme="majorEastAsia" w:hAnsiTheme="majorHAnsi" w:cstheme="majorBidi"/>
          <w:sz w:val="24"/>
          <w:szCs w:val="24"/>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7507AB">
          <w:rPr>
            <w:rFonts w:asciiTheme="majorHAnsi" w:eastAsiaTheme="majorEastAsia" w:hAnsiTheme="majorHAnsi" w:cstheme="majorBidi"/>
            <w:sz w:val="24"/>
            <w:szCs w:val="24"/>
          </w:rPr>
          <w:t>Utah</w:t>
        </w:r>
        <w:r w:rsidR="009A5BCA">
          <w:rPr>
            <w:rFonts w:asciiTheme="majorHAnsi" w:eastAsiaTheme="majorEastAsia" w:hAnsiTheme="majorHAnsi" w:cstheme="majorBidi"/>
            <w:sz w:val="24"/>
            <w:szCs w:val="24"/>
          </w:rPr>
          <w:t xml:space="preserve"> </w:t>
        </w:r>
        <w:r w:rsidR="00714EC8" w:rsidRPr="0098114B">
          <w:rPr>
            <w:rFonts w:asciiTheme="majorHAnsi" w:eastAsiaTheme="majorEastAsia" w:hAnsiTheme="majorHAnsi" w:cstheme="majorBidi"/>
            <w:sz w:val="24"/>
            <w:szCs w:val="24"/>
          </w:rPr>
          <w:t xml:space="preserve">Narrative Report </w:t>
        </w:r>
        <w:r w:rsidR="005211AB">
          <w:rPr>
            <w:rFonts w:asciiTheme="majorHAnsi" w:eastAsiaTheme="majorEastAsia" w:hAnsiTheme="majorHAnsi" w:cstheme="majorBidi"/>
            <w:sz w:val="24"/>
            <w:szCs w:val="24"/>
          </w:rPr>
          <w:t xml:space="preserve">for the </w:t>
        </w:r>
        <w:r w:rsidR="003A5671">
          <w:rPr>
            <w:rFonts w:asciiTheme="majorHAnsi" w:eastAsiaTheme="majorEastAsia" w:hAnsiTheme="majorHAnsi" w:cstheme="majorBidi"/>
            <w:sz w:val="24"/>
            <w:szCs w:val="24"/>
          </w:rPr>
          <w:t>P</w:t>
        </w:r>
        <w:r w:rsidR="007507AB">
          <w:rPr>
            <w:rFonts w:asciiTheme="majorHAnsi" w:eastAsiaTheme="majorEastAsia" w:hAnsiTheme="majorHAnsi" w:cstheme="majorBidi"/>
            <w:sz w:val="24"/>
            <w:szCs w:val="24"/>
          </w:rPr>
          <w:t xml:space="preserve">rogram </w:t>
        </w:r>
        <w:r w:rsidR="003A5671">
          <w:rPr>
            <w:rFonts w:asciiTheme="majorHAnsi" w:eastAsiaTheme="majorEastAsia" w:hAnsiTheme="majorHAnsi" w:cstheme="majorBidi"/>
            <w:sz w:val="24"/>
            <w:szCs w:val="24"/>
          </w:rPr>
          <w:t>Y</w:t>
        </w:r>
        <w:r w:rsidR="007507AB">
          <w:rPr>
            <w:rFonts w:asciiTheme="majorHAnsi" w:eastAsiaTheme="majorEastAsia" w:hAnsiTheme="majorHAnsi" w:cstheme="majorBidi"/>
            <w:sz w:val="24"/>
            <w:szCs w:val="24"/>
          </w:rPr>
          <w:t>ear</w:t>
        </w:r>
        <w:r w:rsidR="003A5671">
          <w:rPr>
            <w:rFonts w:asciiTheme="majorHAnsi" w:eastAsiaTheme="majorEastAsia" w:hAnsiTheme="majorHAnsi" w:cstheme="majorBidi"/>
            <w:sz w:val="24"/>
            <w:szCs w:val="24"/>
          </w:rPr>
          <w:t xml:space="preserve"> </w:t>
        </w:r>
        <w:r w:rsidR="00714EC8" w:rsidRPr="0098114B">
          <w:rPr>
            <w:rFonts w:asciiTheme="majorHAnsi" w:eastAsiaTheme="majorEastAsia" w:hAnsiTheme="majorHAnsi" w:cstheme="majorBidi"/>
            <w:sz w:val="24"/>
            <w:szCs w:val="24"/>
          </w:rPr>
          <w:t>201</w:t>
        </w:r>
        <w:r w:rsidR="005211AB">
          <w:rPr>
            <w:rFonts w:asciiTheme="majorHAnsi" w:eastAsiaTheme="majorEastAsia" w:hAnsiTheme="majorHAnsi" w:cstheme="majorBidi"/>
            <w:sz w:val="24"/>
            <w:szCs w:val="24"/>
          </w:rPr>
          <w:t>9</w:t>
        </w:r>
        <w:r w:rsidR="00714EC8">
          <w:rPr>
            <w:rFonts w:asciiTheme="majorHAnsi" w:eastAsiaTheme="majorEastAsia" w:hAnsiTheme="majorHAnsi" w:cstheme="majorBidi"/>
            <w:sz w:val="24"/>
            <w:szCs w:val="24"/>
          </w:rPr>
          <w:t>-20</w:t>
        </w:r>
        <w:r w:rsidR="005211AB">
          <w:rPr>
            <w:rFonts w:asciiTheme="majorHAnsi" w:eastAsiaTheme="majorEastAsia" w:hAnsiTheme="majorHAnsi" w:cstheme="majorBidi"/>
            <w:sz w:val="24"/>
            <w:szCs w:val="24"/>
          </w:rPr>
          <w:t>20</w:t>
        </w:r>
      </w:sdtContent>
    </w:sdt>
  </w:p>
  <w:p w14:paraId="0A866643" w14:textId="77777777" w:rsidR="00714EC8" w:rsidRDefault="00714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A3B"/>
    <w:multiLevelType w:val="hybridMultilevel"/>
    <w:tmpl w:val="2EE697E4"/>
    <w:lvl w:ilvl="0" w:tplc="7244F7FC">
      <w:start w:val="1"/>
      <w:numFmt w:val="upperLetter"/>
      <w:lvlText w:val="%1."/>
      <w:lvlJc w:val="left"/>
      <w:pPr>
        <w:ind w:left="1170" w:hanging="360"/>
      </w:pPr>
      <w:rPr>
        <w:rFonts w:ascii="Arial" w:hAnsi="Arial" w:cs="Arial" w:hint="default"/>
        <w:sz w:val="22"/>
        <w:szCs w:val="22"/>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2843DBA"/>
    <w:multiLevelType w:val="hybridMultilevel"/>
    <w:tmpl w:val="A44C8878"/>
    <w:lvl w:ilvl="0" w:tplc="0AB405E6">
      <w:start w:val="1"/>
      <w:numFmt w:val="decimal"/>
      <w:lvlText w:val="%1."/>
      <w:lvlJc w:val="left"/>
      <w:pPr>
        <w:ind w:left="990" w:hanging="360"/>
      </w:pPr>
      <w:rPr>
        <w:rFonts w:ascii="Arial" w:hAnsi="Arial" w:cs="Arial" w:hint="default"/>
        <w:sz w:val="22"/>
        <w:szCs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8293AC1"/>
    <w:multiLevelType w:val="hybridMultilevel"/>
    <w:tmpl w:val="2E665BE4"/>
    <w:lvl w:ilvl="0" w:tplc="78F844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25133"/>
    <w:multiLevelType w:val="hybridMultilevel"/>
    <w:tmpl w:val="95FC7AD4"/>
    <w:lvl w:ilvl="0" w:tplc="8320D7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B7661A4"/>
    <w:multiLevelType w:val="hybridMultilevel"/>
    <w:tmpl w:val="908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F0357"/>
    <w:multiLevelType w:val="hybridMultilevel"/>
    <w:tmpl w:val="E82EA8C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92265"/>
    <w:multiLevelType w:val="hybridMultilevel"/>
    <w:tmpl w:val="8E68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84C2D"/>
    <w:multiLevelType w:val="hybridMultilevel"/>
    <w:tmpl w:val="97840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EF6733"/>
    <w:multiLevelType w:val="hybridMultilevel"/>
    <w:tmpl w:val="B8C86960"/>
    <w:lvl w:ilvl="0" w:tplc="F3A8FB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2690F"/>
    <w:multiLevelType w:val="hybridMultilevel"/>
    <w:tmpl w:val="886C32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87577F7"/>
    <w:multiLevelType w:val="hybridMultilevel"/>
    <w:tmpl w:val="30D6FC76"/>
    <w:lvl w:ilvl="0" w:tplc="026AFCBA">
      <w:start w:val="1"/>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2275227E"/>
    <w:multiLevelType w:val="hybridMultilevel"/>
    <w:tmpl w:val="F14231E6"/>
    <w:lvl w:ilvl="0" w:tplc="04090001">
      <w:start w:val="1"/>
      <w:numFmt w:val="bullet"/>
      <w:lvlText w:val=""/>
      <w:lvlJc w:val="left"/>
      <w:pPr>
        <w:ind w:left="990" w:hanging="360"/>
      </w:pPr>
      <w:rPr>
        <w:rFonts w:ascii="Symbol" w:hAnsi="Symbo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710" w:hanging="360"/>
      </w:pPr>
      <w:rPr>
        <w:rFonts w:ascii="Symbol" w:hAnsi="Symbol" w:hint="default"/>
      </w:rPr>
    </w:lvl>
    <w:lvl w:ilvl="2" w:tplc="04090003">
      <w:start w:val="1"/>
      <w:numFmt w:val="bullet"/>
      <w:lvlText w:val="o"/>
      <w:lvlJc w:val="left"/>
      <w:pPr>
        <w:ind w:left="2430" w:hanging="180"/>
      </w:pPr>
      <w:rPr>
        <w:rFonts w:ascii="Courier New" w:hAnsi="Courier New" w:cs="Courier New" w:hint="default"/>
      </w:r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6FD343E"/>
    <w:multiLevelType w:val="hybridMultilevel"/>
    <w:tmpl w:val="DC34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D217B"/>
    <w:multiLevelType w:val="hybridMultilevel"/>
    <w:tmpl w:val="8E0E2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B83E45"/>
    <w:multiLevelType w:val="hybridMultilevel"/>
    <w:tmpl w:val="1954007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45EF1511"/>
    <w:multiLevelType w:val="hybridMultilevel"/>
    <w:tmpl w:val="EFCCF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A282D9C"/>
    <w:multiLevelType w:val="hybridMultilevel"/>
    <w:tmpl w:val="DB84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A1824"/>
    <w:multiLevelType w:val="hybridMultilevel"/>
    <w:tmpl w:val="7E005CAA"/>
    <w:lvl w:ilvl="0" w:tplc="04090015">
      <w:start w:val="1"/>
      <w:numFmt w:val="upperLetter"/>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AE624C0"/>
    <w:multiLevelType w:val="hybridMultilevel"/>
    <w:tmpl w:val="33F49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92270B"/>
    <w:multiLevelType w:val="hybridMultilevel"/>
    <w:tmpl w:val="0B9CA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5AF558E"/>
    <w:multiLevelType w:val="multilevel"/>
    <w:tmpl w:val="C8D4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CC1996"/>
    <w:multiLevelType w:val="hybridMultilevel"/>
    <w:tmpl w:val="FD16F668"/>
    <w:lvl w:ilvl="0" w:tplc="60DAF950">
      <w:start w:val="1"/>
      <w:numFmt w:val="decimal"/>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22" w15:restartNumberingAfterBreak="0">
    <w:nsid w:val="5C5E3994"/>
    <w:multiLevelType w:val="hybridMultilevel"/>
    <w:tmpl w:val="23A60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D350F90"/>
    <w:multiLevelType w:val="hybridMultilevel"/>
    <w:tmpl w:val="8AB2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E87458"/>
    <w:multiLevelType w:val="hybridMultilevel"/>
    <w:tmpl w:val="6574825C"/>
    <w:lvl w:ilvl="0" w:tplc="F3A8FB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734E4"/>
    <w:multiLevelType w:val="hybridMultilevel"/>
    <w:tmpl w:val="E82EA8C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038B2"/>
    <w:multiLevelType w:val="multilevel"/>
    <w:tmpl w:val="C8D4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28173E"/>
    <w:multiLevelType w:val="hybridMultilevel"/>
    <w:tmpl w:val="C4C08D6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73997688"/>
    <w:multiLevelType w:val="hybridMultilevel"/>
    <w:tmpl w:val="581485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78D55C94"/>
    <w:multiLevelType w:val="hybridMultilevel"/>
    <w:tmpl w:val="C2861B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C9B2928"/>
    <w:multiLevelType w:val="hybridMultilevel"/>
    <w:tmpl w:val="AA0AD8DA"/>
    <w:lvl w:ilvl="0" w:tplc="D242BDC0">
      <w:start w:val="1"/>
      <w:numFmt w:val="decimal"/>
      <w:lvlText w:val="%1."/>
      <w:lvlJc w:val="left"/>
      <w:pPr>
        <w:ind w:left="900" w:hanging="360"/>
      </w:pPr>
      <w:rPr>
        <w:b w:val="0"/>
        <w:strike w:val="0"/>
        <w:dstrike w:val="0"/>
        <w:color w:val="auto"/>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4"/>
  </w:num>
  <w:num w:numId="2">
    <w:abstractNumId w:val="0"/>
  </w:num>
  <w:num w:numId="3">
    <w:abstractNumId w:val="23"/>
  </w:num>
  <w:num w:numId="4">
    <w:abstractNumId w:val="18"/>
  </w:num>
  <w:num w:numId="5">
    <w:abstractNumId w:val="11"/>
  </w:num>
  <w:num w:numId="6">
    <w:abstractNumId w:val="19"/>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5"/>
  </w:num>
  <w:num w:numId="12">
    <w:abstractNumId w:val="10"/>
  </w:num>
  <w:num w:numId="13">
    <w:abstractNumId w:val="1"/>
  </w:num>
  <w:num w:numId="14">
    <w:abstractNumId w:val="3"/>
  </w:num>
  <w:num w:numId="15">
    <w:abstractNumId w:val="17"/>
  </w:num>
  <w:num w:numId="16">
    <w:abstractNumId w:val="9"/>
  </w:num>
  <w:num w:numId="17">
    <w:abstractNumId w:val="14"/>
  </w:num>
  <w:num w:numId="18">
    <w:abstractNumId w:val="12"/>
  </w:num>
  <w:num w:numId="19">
    <w:abstractNumId w:val="5"/>
  </w:num>
  <w:num w:numId="20">
    <w:abstractNumId w:val="6"/>
  </w:num>
  <w:num w:numId="21">
    <w:abstractNumId w:val="7"/>
  </w:num>
  <w:num w:numId="22">
    <w:abstractNumId w:val="27"/>
  </w:num>
  <w:num w:numId="23">
    <w:abstractNumId w:val="2"/>
  </w:num>
  <w:num w:numId="24">
    <w:abstractNumId w:val="8"/>
  </w:num>
  <w:num w:numId="25">
    <w:abstractNumId w:val="24"/>
  </w:num>
  <w:num w:numId="26">
    <w:abstractNumId w:val="28"/>
  </w:num>
  <w:num w:numId="27">
    <w:abstractNumId w:val="29"/>
  </w:num>
  <w:num w:numId="28">
    <w:abstractNumId w:val="13"/>
  </w:num>
  <w:num w:numId="29">
    <w:abstractNumId w:val="15"/>
  </w:num>
  <w:num w:numId="30">
    <w:abstractNumId w:val="20"/>
  </w:num>
  <w:num w:numId="31">
    <w:abstractNumId w:val="2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10D"/>
    <w:rsid w:val="0000294E"/>
    <w:rsid w:val="00002C96"/>
    <w:rsid w:val="00004A6C"/>
    <w:rsid w:val="00007FF7"/>
    <w:rsid w:val="00023F7E"/>
    <w:rsid w:val="000372C7"/>
    <w:rsid w:val="000427FF"/>
    <w:rsid w:val="000548C9"/>
    <w:rsid w:val="00055BB0"/>
    <w:rsid w:val="0005703F"/>
    <w:rsid w:val="00063371"/>
    <w:rsid w:val="00076387"/>
    <w:rsid w:val="00083AA5"/>
    <w:rsid w:val="0009224A"/>
    <w:rsid w:val="0009570C"/>
    <w:rsid w:val="0009768E"/>
    <w:rsid w:val="00097D8F"/>
    <w:rsid w:val="000A071E"/>
    <w:rsid w:val="000B3522"/>
    <w:rsid w:val="000B6067"/>
    <w:rsid w:val="000B73C2"/>
    <w:rsid w:val="000C2DA8"/>
    <w:rsid w:val="000D0645"/>
    <w:rsid w:val="000D0B05"/>
    <w:rsid w:val="000E2F44"/>
    <w:rsid w:val="000F037E"/>
    <w:rsid w:val="00103743"/>
    <w:rsid w:val="001070EA"/>
    <w:rsid w:val="001152FC"/>
    <w:rsid w:val="00115CED"/>
    <w:rsid w:val="001202A6"/>
    <w:rsid w:val="001214A2"/>
    <w:rsid w:val="00124CC0"/>
    <w:rsid w:val="00133F2B"/>
    <w:rsid w:val="001462CB"/>
    <w:rsid w:val="001478CD"/>
    <w:rsid w:val="00161AEF"/>
    <w:rsid w:val="00182C5D"/>
    <w:rsid w:val="001B52D1"/>
    <w:rsid w:val="001B7D13"/>
    <w:rsid w:val="001E68FB"/>
    <w:rsid w:val="00204B03"/>
    <w:rsid w:val="002107E3"/>
    <w:rsid w:val="002119DB"/>
    <w:rsid w:val="00224AD6"/>
    <w:rsid w:val="0022754E"/>
    <w:rsid w:val="00232858"/>
    <w:rsid w:val="00233E0E"/>
    <w:rsid w:val="002455D2"/>
    <w:rsid w:val="00246965"/>
    <w:rsid w:val="0025099D"/>
    <w:rsid w:val="00251928"/>
    <w:rsid w:val="00254ECC"/>
    <w:rsid w:val="00257DE1"/>
    <w:rsid w:val="0026409D"/>
    <w:rsid w:val="00266DB3"/>
    <w:rsid w:val="00277287"/>
    <w:rsid w:val="00283DA8"/>
    <w:rsid w:val="002953EA"/>
    <w:rsid w:val="002957CC"/>
    <w:rsid w:val="002B0328"/>
    <w:rsid w:val="002B215E"/>
    <w:rsid w:val="002B5446"/>
    <w:rsid w:val="002C1476"/>
    <w:rsid w:val="002C3578"/>
    <w:rsid w:val="002E0582"/>
    <w:rsid w:val="002E2C78"/>
    <w:rsid w:val="002E3C62"/>
    <w:rsid w:val="002E7187"/>
    <w:rsid w:val="002F01ED"/>
    <w:rsid w:val="002F1DAE"/>
    <w:rsid w:val="00310595"/>
    <w:rsid w:val="00325A8D"/>
    <w:rsid w:val="0033736D"/>
    <w:rsid w:val="003376D7"/>
    <w:rsid w:val="00354D62"/>
    <w:rsid w:val="00357329"/>
    <w:rsid w:val="00360009"/>
    <w:rsid w:val="0036272C"/>
    <w:rsid w:val="00370A2C"/>
    <w:rsid w:val="0037428F"/>
    <w:rsid w:val="00375006"/>
    <w:rsid w:val="003816D0"/>
    <w:rsid w:val="00390581"/>
    <w:rsid w:val="00397B89"/>
    <w:rsid w:val="003A2EF6"/>
    <w:rsid w:val="003A3B1D"/>
    <w:rsid w:val="003A3D46"/>
    <w:rsid w:val="003A5548"/>
    <w:rsid w:val="003A5671"/>
    <w:rsid w:val="003B4E77"/>
    <w:rsid w:val="003B7084"/>
    <w:rsid w:val="003C5121"/>
    <w:rsid w:val="003E16DE"/>
    <w:rsid w:val="003E185F"/>
    <w:rsid w:val="003E5D55"/>
    <w:rsid w:val="003E79B1"/>
    <w:rsid w:val="003F0D89"/>
    <w:rsid w:val="00403498"/>
    <w:rsid w:val="004067C4"/>
    <w:rsid w:val="00416081"/>
    <w:rsid w:val="00425E3F"/>
    <w:rsid w:val="00426510"/>
    <w:rsid w:val="0043204D"/>
    <w:rsid w:val="0043348A"/>
    <w:rsid w:val="0044010A"/>
    <w:rsid w:val="0044151C"/>
    <w:rsid w:val="00452F25"/>
    <w:rsid w:val="0045331E"/>
    <w:rsid w:val="004626B7"/>
    <w:rsid w:val="004656E3"/>
    <w:rsid w:val="0048153C"/>
    <w:rsid w:val="004947BA"/>
    <w:rsid w:val="004A11A3"/>
    <w:rsid w:val="004A2588"/>
    <w:rsid w:val="004A6290"/>
    <w:rsid w:val="004B2D09"/>
    <w:rsid w:val="004B606E"/>
    <w:rsid w:val="004C4E27"/>
    <w:rsid w:val="004C6E1E"/>
    <w:rsid w:val="004C6E64"/>
    <w:rsid w:val="004D02A6"/>
    <w:rsid w:val="004D4C36"/>
    <w:rsid w:val="004E5ADD"/>
    <w:rsid w:val="004E5F6E"/>
    <w:rsid w:val="004F0242"/>
    <w:rsid w:val="00506B63"/>
    <w:rsid w:val="005115D0"/>
    <w:rsid w:val="00511BC1"/>
    <w:rsid w:val="005122C5"/>
    <w:rsid w:val="00514091"/>
    <w:rsid w:val="005155F6"/>
    <w:rsid w:val="005211AB"/>
    <w:rsid w:val="0052214E"/>
    <w:rsid w:val="00531480"/>
    <w:rsid w:val="00535263"/>
    <w:rsid w:val="00537738"/>
    <w:rsid w:val="005403DC"/>
    <w:rsid w:val="00543E0B"/>
    <w:rsid w:val="00552B7C"/>
    <w:rsid w:val="00554212"/>
    <w:rsid w:val="005762A9"/>
    <w:rsid w:val="00584160"/>
    <w:rsid w:val="00590370"/>
    <w:rsid w:val="005936A3"/>
    <w:rsid w:val="005A010C"/>
    <w:rsid w:val="005A0262"/>
    <w:rsid w:val="005A5A45"/>
    <w:rsid w:val="005C0481"/>
    <w:rsid w:val="005C10B7"/>
    <w:rsid w:val="005C3B66"/>
    <w:rsid w:val="005C6445"/>
    <w:rsid w:val="005C681F"/>
    <w:rsid w:val="005D12CF"/>
    <w:rsid w:val="005D17BF"/>
    <w:rsid w:val="005D2A55"/>
    <w:rsid w:val="005D4146"/>
    <w:rsid w:val="005E3266"/>
    <w:rsid w:val="005E76EE"/>
    <w:rsid w:val="005F04F6"/>
    <w:rsid w:val="005F12D5"/>
    <w:rsid w:val="005F3B92"/>
    <w:rsid w:val="005F46F4"/>
    <w:rsid w:val="00600AAD"/>
    <w:rsid w:val="00604323"/>
    <w:rsid w:val="00604898"/>
    <w:rsid w:val="006048C3"/>
    <w:rsid w:val="00610A7C"/>
    <w:rsid w:val="0061255A"/>
    <w:rsid w:val="006163EE"/>
    <w:rsid w:val="00616D11"/>
    <w:rsid w:val="00617FCA"/>
    <w:rsid w:val="006205D7"/>
    <w:rsid w:val="00637DCB"/>
    <w:rsid w:val="00642D77"/>
    <w:rsid w:val="00652862"/>
    <w:rsid w:val="00652B04"/>
    <w:rsid w:val="006557C0"/>
    <w:rsid w:val="00657646"/>
    <w:rsid w:val="0066207E"/>
    <w:rsid w:val="00673C59"/>
    <w:rsid w:val="006778C1"/>
    <w:rsid w:val="00682226"/>
    <w:rsid w:val="00690457"/>
    <w:rsid w:val="00694694"/>
    <w:rsid w:val="006A1715"/>
    <w:rsid w:val="006A2111"/>
    <w:rsid w:val="006A2A66"/>
    <w:rsid w:val="006C0AB5"/>
    <w:rsid w:val="006E2BAD"/>
    <w:rsid w:val="006F1356"/>
    <w:rsid w:val="00712E08"/>
    <w:rsid w:val="00714EC8"/>
    <w:rsid w:val="00722C9C"/>
    <w:rsid w:val="007253E9"/>
    <w:rsid w:val="0074166E"/>
    <w:rsid w:val="007507AB"/>
    <w:rsid w:val="0075410D"/>
    <w:rsid w:val="0075684F"/>
    <w:rsid w:val="007758A1"/>
    <w:rsid w:val="00775E0D"/>
    <w:rsid w:val="0078290E"/>
    <w:rsid w:val="0079181B"/>
    <w:rsid w:val="007A7DA5"/>
    <w:rsid w:val="007B5299"/>
    <w:rsid w:val="007C214C"/>
    <w:rsid w:val="007C279E"/>
    <w:rsid w:val="007C4775"/>
    <w:rsid w:val="007C5393"/>
    <w:rsid w:val="007D51A6"/>
    <w:rsid w:val="007E13DD"/>
    <w:rsid w:val="007E1A0B"/>
    <w:rsid w:val="007E6226"/>
    <w:rsid w:val="007E6416"/>
    <w:rsid w:val="007F5B22"/>
    <w:rsid w:val="00803D47"/>
    <w:rsid w:val="00805D44"/>
    <w:rsid w:val="00817C27"/>
    <w:rsid w:val="008208B0"/>
    <w:rsid w:val="008218D6"/>
    <w:rsid w:val="00826C3B"/>
    <w:rsid w:val="0083711E"/>
    <w:rsid w:val="0085057F"/>
    <w:rsid w:val="00851034"/>
    <w:rsid w:val="008527DE"/>
    <w:rsid w:val="00860EF1"/>
    <w:rsid w:val="0086439A"/>
    <w:rsid w:val="00865C4A"/>
    <w:rsid w:val="00866C17"/>
    <w:rsid w:val="00876D5F"/>
    <w:rsid w:val="0087785F"/>
    <w:rsid w:val="00881A19"/>
    <w:rsid w:val="00882000"/>
    <w:rsid w:val="008842D5"/>
    <w:rsid w:val="0088469A"/>
    <w:rsid w:val="008974A2"/>
    <w:rsid w:val="008A2DB9"/>
    <w:rsid w:val="008A4B55"/>
    <w:rsid w:val="008B0FB5"/>
    <w:rsid w:val="008B1B45"/>
    <w:rsid w:val="008D01C7"/>
    <w:rsid w:val="008D19C9"/>
    <w:rsid w:val="008D701B"/>
    <w:rsid w:val="008E1FBD"/>
    <w:rsid w:val="008E47FD"/>
    <w:rsid w:val="008E68D0"/>
    <w:rsid w:val="008E709F"/>
    <w:rsid w:val="008F632D"/>
    <w:rsid w:val="009136E8"/>
    <w:rsid w:val="009170CD"/>
    <w:rsid w:val="00944ED2"/>
    <w:rsid w:val="00961E09"/>
    <w:rsid w:val="00962061"/>
    <w:rsid w:val="00962838"/>
    <w:rsid w:val="009652B1"/>
    <w:rsid w:val="00966493"/>
    <w:rsid w:val="0098114B"/>
    <w:rsid w:val="00982750"/>
    <w:rsid w:val="00987492"/>
    <w:rsid w:val="0099162C"/>
    <w:rsid w:val="009A0EB1"/>
    <w:rsid w:val="009A5BCA"/>
    <w:rsid w:val="009B0231"/>
    <w:rsid w:val="009B5CCF"/>
    <w:rsid w:val="009D2078"/>
    <w:rsid w:val="009D71F3"/>
    <w:rsid w:val="009D7E74"/>
    <w:rsid w:val="009E004D"/>
    <w:rsid w:val="009E7564"/>
    <w:rsid w:val="00A00A7D"/>
    <w:rsid w:val="00A06245"/>
    <w:rsid w:val="00A14619"/>
    <w:rsid w:val="00A24C30"/>
    <w:rsid w:val="00A3046F"/>
    <w:rsid w:val="00A37C71"/>
    <w:rsid w:val="00A4119C"/>
    <w:rsid w:val="00A472BD"/>
    <w:rsid w:val="00A52C5E"/>
    <w:rsid w:val="00A639F2"/>
    <w:rsid w:val="00A7359F"/>
    <w:rsid w:val="00A766D0"/>
    <w:rsid w:val="00A77FAC"/>
    <w:rsid w:val="00A97617"/>
    <w:rsid w:val="00AA15BE"/>
    <w:rsid w:val="00AB1ACD"/>
    <w:rsid w:val="00AB344C"/>
    <w:rsid w:val="00AB4AF4"/>
    <w:rsid w:val="00AC683B"/>
    <w:rsid w:val="00AC706E"/>
    <w:rsid w:val="00AC79BD"/>
    <w:rsid w:val="00AD1D20"/>
    <w:rsid w:val="00AD572C"/>
    <w:rsid w:val="00AE5CA5"/>
    <w:rsid w:val="00AF6FAB"/>
    <w:rsid w:val="00B15D5E"/>
    <w:rsid w:val="00B275D4"/>
    <w:rsid w:val="00B33F0C"/>
    <w:rsid w:val="00B50DF6"/>
    <w:rsid w:val="00B62389"/>
    <w:rsid w:val="00B6375C"/>
    <w:rsid w:val="00B664EE"/>
    <w:rsid w:val="00B668BA"/>
    <w:rsid w:val="00B777AD"/>
    <w:rsid w:val="00B819B7"/>
    <w:rsid w:val="00B84CF7"/>
    <w:rsid w:val="00B85282"/>
    <w:rsid w:val="00B92D94"/>
    <w:rsid w:val="00B948D7"/>
    <w:rsid w:val="00BA65A7"/>
    <w:rsid w:val="00BB4CFE"/>
    <w:rsid w:val="00BC381C"/>
    <w:rsid w:val="00BD795C"/>
    <w:rsid w:val="00BD7E84"/>
    <w:rsid w:val="00BE182E"/>
    <w:rsid w:val="00BF760D"/>
    <w:rsid w:val="00C05567"/>
    <w:rsid w:val="00C05939"/>
    <w:rsid w:val="00C06106"/>
    <w:rsid w:val="00C069B7"/>
    <w:rsid w:val="00C0774D"/>
    <w:rsid w:val="00C157C1"/>
    <w:rsid w:val="00C16182"/>
    <w:rsid w:val="00C17B80"/>
    <w:rsid w:val="00C2156C"/>
    <w:rsid w:val="00C30074"/>
    <w:rsid w:val="00C30473"/>
    <w:rsid w:val="00C31E35"/>
    <w:rsid w:val="00C453D0"/>
    <w:rsid w:val="00C52801"/>
    <w:rsid w:val="00C60C25"/>
    <w:rsid w:val="00C67DB3"/>
    <w:rsid w:val="00C71588"/>
    <w:rsid w:val="00C77DBE"/>
    <w:rsid w:val="00C81C12"/>
    <w:rsid w:val="00C93AF7"/>
    <w:rsid w:val="00CA4F35"/>
    <w:rsid w:val="00CB6712"/>
    <w:rsid w:val="00CB7139"/>
    <w:rsid w:val="00CC397C"/>
    <w:rsid w:val="00CC64F3"/>
    <w:rsid w:val="00CD1BF8"/>
    <w:rsid w:val="00CD251A"/>
    <w:rsid w:val="00CD3065"/>
    <w:rsid w:val="00CD4342"/>
    <w:rsid w:val="00CD5C07"/>
    <w:rsid w:val="00CE124B"/>
    <w:rsid w:val="00CE7FD9"/>
    <w:rsid w:val="00CF2279"/>
    <w:rsid w:val="00CF3AF0"/>
    <w:rsid w:val="00D00750"/>
    <w:rsid w:val="00D10F15"/>
    <w:rsid w:val="00D15BB2"/>
    <w:rsid w:val="00D15DEB"/>
    <w:rsid w:val="00D252A7"/>
    <w:rsid w:val="00D27605"/>
    <w:rsid w:val="00D31F87"/>
    <w:rsid w:val="00D3466A"/>
    <w:rsid w:val="00D43CA4"/>
    <w:rsid w:val="00D43FB9"/>
    <w:rsid w:val="00D45A53"/>
    <w:rsid w:val="00D57E6A"/>
    <w:rsid w:val="00D65063"/>
    <w:rsid w:val="00D65BCE"/>
    <w:rsid w:val="00D72C2F"/>
    <w:rsid w:val="00D75D46"/>
    <w:rsid w:val="00D91E1C"/>
    <w:rsid w:val="00DA180F"/>
    <w:rsid w:val="00DA528B"/>
    <w:rsid w:val="00DB1D73"/>
    <w:rsid w:val="00DB3D0B"/>
    <w:rsid w:val="00DC1EFA"/>
    <w:rsid w:val="00DC4006"/>
    <w:rsid w:val="00DC79CB"/>
    <w:rsid w:val="00DD4A99"/>
    <w:rsid w:val="00DD50B0"/>
    <w:rsid w:val="00DD62EE"/>
    <w:rsid w:val="00DE3EF2"/>
    <w:rsid w:val="00DE6370"/>
    <w:rsid w:val="00DF27DF"/>
    <w:rsid w:val="00DF28D6"/>
    <w:rsid w:val="00DF5B55"/>
    <w:rsid w:val="00E02380"/>
    <w:rsid w:val="00E03B6C"/>
    <w:rsid w:val="00E07EA6"/>
    <w:rsid w:val="00E173C4"/>
    <w:rsid w:val="00E44746"/>
    <w:rsid w:val="00E4719F"/>
    <w:rsid w:val="00E47426"/>
    <w:rsid w:val="00E632BF"/>
    <w:rsid w:val="00E669D8"/>
    <w:rsid w:val="00E822D6"/>
    <w:rsid w:val="00E9475B"/>
    <w:rsid w:val="00E97090"/>
    <w:rsid w:val="00EA0FFC"/>
    <w:rsid w:val="00EA53FC"/>
    <w:rsid w:val="00EA6B6D"/>
    <w:rsid w:val="00ED1860"/>
    <w:rsid w:val="00ED7E9B"/>
    <w:rsid w:val="00EE2362"/>
    <w:rsid w:val="00EF1E70"/>
    <w:rsid w:val="00EF2A59"/>
    <w:rsid w:val="00EF37C7"/>
    <w:rsid w:val="00EF44EF"/>
    <w:rsid w:val="00F16CBD"/>
    <w:rsid w:val="00F304C3"/>
    <w:rsid w:val="00F308F3"/>
    <w:rsid w:val="00F31767"/>
    <w:rsid w:val="00F40D1E"/>
    <w:rsid w:val="00F43345"/>
    <w:rsid w:val="00F5103B"/>
    <w:rsid w:val="00F52D06"/>
    <w:rsid w:val="00F6373B"/>
    <w:rsid w:val="00F643D4"/>
    <w:rsid w:val="00F70214"/>
    <w:rsid w:val="00F70227"/>
    <w:rsid w:val="00F74279"/>
    <w:rsid w:val="00F74D5B"/>
    <w:rsid w:val="00F82A21"/>
    <w:rsid w:val="00F83D15"/>
    <w:rsid w:val="00F858FE"/>
    <w:rsid w:val="00F92FCB"/>
    <w:rsid w:val="00FA2900"/>
    <w:rsid w:val="00FA4877"/>
    <w:rsid w:val="00FA6D87"/>
    <w:rsid w:val="00FB4FF8"/>
    <w:rsid w:val="00FB510B"/>
    <w:rsid w:val="00FB6D16"/>
    <w:rsid w:val="00FC62FF"/>
    <w:rsid w:val="00FE0A36"/>
    <w:rsid w:val="00FE22A1"/>
    <w:rsid w:val="00FE4D62"/>
    <w:rsid w:val="00FE5129"/>
    <w:rsid w:val="00FF1E6D"/>
    <w:rsid w:val="00FF4926"/>
    <w:rsid w:val="00FF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105D09"/>
  <w15:docId w15:val="{8B71C641-96C8-4BBF-95E4-E25190A0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10D"/>
    <w:pPr>
      <w:ind w:left="720"/>
      <w:contextualSpacing/>
    </w:pPr>
  </w:style>
  <w:style w:type="paragraph" w:styleId="Header">
    <w:name w:val="header"/>
    <w:basedOn w:val="Normal"/>
    <w:link w:val="HeaderChar"/>
    <w:uiPriority w:val="99"/>
    <w:unhideWhenUsed/>
    <w:rsid w:val="00981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14B"/>
  </w:style>
  <w:style w:type="paragraph" w:styleId="Footer">
    <w:name w:val="footer"/>
    <w:basedOn w:val="Normal"/>
    <w:link w:val="FooterChar"/>
    <w:uiPriority w:val="99"/>
    <w:unhideWhenUsed/>
    <w:rsid w:val="00981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14B"/>
  </w:style>
  <w:style w:type="paragraph" w:styleId="BalloonText">
    <w:name w:val="Balloon Text"/>
    <w:basedOn w:val="Normal"/>
    <w:link w:val="BalloonTextChar"/>
    <w:uiPriority w:val="99"/>
    <w:semiHidden/>
    <w:unhideWhenUsed/>
    <w:rsid w:val="00981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14B"/>
    <w:rPr>
      <w:rFonts w:ascii="Tahoma" w:hAnsi="Tahoma" w:cs="Tahoma"/>
      <w:sz w:val="16"/>
      <w:szCs w:val="16"/>
    </w:rPr>
  </w:style>
  <w:style w:type="paragraph" w:customStyle="1" w:styleId="Default">
    <w:name w:val="Default"/>
    <w:rsid w:val="007758A1"/>
    <w:pPr>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rsid w:val="0044010A"/>
    <w:rPr>
      <w:color w:val="0000FF"/>
      <w:u w:val="single"/>
    </w:rPr>
  </w:style>
  <w:style w:type="paragraph" w:styleId="NoSpacing">
    <w:name w:val="No Spacing"/>
    <w:uiPriority w:val="1"/>
    <w:qFormat/>
    <w:rsid w:val="004626B7"/>
    <w:pPr>
      <w:spacing w:after="0" w:line="240" w:lineRule="auto"/>
    </w:pPr>
    <w:rPr>
      <w:rFonts w:ascii="Calibri" w:eastAsia="Calibri" w:hAnsi="Calibri" w:cs="Times New Roman"/>
    </w:rPr>
  </w:style>
  <w:style w:type="paragraph" w:styleId="NormalWeb">
    <w:name w:val="Normal (Web)"/>
    <w:basedOn w:val="Normal"/>
    <w:uiPriority w:val="99"/>
    <w:unhideWhenUsed/>
    <w:rsid w:val="00D31F87"/>
    <w:pPr>
      <w:spacing w:before="100" w:beforeAutospacing="1" w:after="24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D701B"/>
    <w:rPr>
      <w:sz w:val="16"/>
      <w:szCs w:val="16"/>
    </w:rPr>
  </w:style>
  <w:style w:type="paragraph" w:styleId="CommentText">
    <w:name w:val="annotation text"/>
    <w:basedOn w:val="Normal"/>
    <w:link w:val="CommentTextChar"/>
    <w:uiPriority w:val="99"/>
    <w:semiHidden/>
    <w:unhideWhenUsed/>
    <w:rsid w:val="008D701B"/>
    <w:pPr>
      <w:spacing w:line="240" w:lineRule="auto"/>
    </w:pPr>
    <w:rPr>
      <w:sz w:val="20"/>
      <w:szCs w:val="20"/>
    </w:rPr>
  </w:style>
  <w:style w:type="character" w:customStyle="1" w:styleId="CommentTextChar">
    <w:name w:val="Comment Text Char"/>
    <w:basedOn w:val="DefaultParagraphFont"/>
    <w:link w:val="CommentText"/>
    <w:uiPriority w:val="99"/>
    <w:semiHidden/>
    <w:rsid w:val="008D701B"/>
    <w:rPr>
      <w:sz w:val="20"/>
      <w:szCs w:val="20"/>
    </w:rPr>
  </w:style>
  <w:style w:type="paragraph" w:styleId="CommentSubject">
    <w:name w:val="annotation subject"/>
    <w:basedOn w:val="CommentText"/>
    <w:next w:val="CommentText"/>
    <w:link w:val="CommentSubjectChar"/>
    <w:uiPriority w:val="99"/>
    <w:semiHidden/>
    <w:unhideWhenUsed/>
    <w:rsid w:val="008D701B"/>
    <w:rPr>
      <w:b/>
      <w:bCs/>
    </w:rPr>
  </w:style>
  <w:style w:type="character" w:customStyle="1" w:styleId="CommentSubjectChar">
    <w:name w:val="Comment Subject Char"/>
    <w:basedOn w:val="CommentTextChar"/>
    <w:link w:val="CommentSubject"/>
    <w:uiPriority w:val="99"/>
    <w:semiHidden/>
    <w:rsid w:val="008D701B"/>
    <w:rPr>
      <w:b/>
      <w:bCs/>
      <w:sz w:val="20"/>
      <w:szCs w:val="20"/>
    </w:rPr>
  </w:style>
  <w:style w:type="character" w:customStyle="1" w:styleId="apple-converted-space">
    <w:name w:val="apple-converted-space"/>
    <w:basedOn w:val="DefaultParagraphFont"/>
    <w:rsid w:val="00452F25"/>
  </w:style>
  <w:style w:type="table" w:styleId="TableGrid">
    <w:name w:val="Table Grid"/>
    <w:basedOn w:val="TableNormal"/>
    <w:uiPriority w:val="59"/>
    <w:rsid w:val="00D6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78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4253">
      <w:bodyDiv w:val="1"/>
      <w:marLeft w:val="0"/>
      <w:marRight w:val="0"/>
      <w:marTop w:val="0"/>
      <w:marBottom w:val="0"/>
      <w:divBdr>
        <w:top w:val="none" w:sz="0" w:space="0" w:color="auto"/>
        <w:left w:val="none" w:sz="0" w:space="0" w:color="auto"/>
        <w:bottom w:val="none" w:sz="0" w:space="0" w:color="auto"/>
        <w:right w:val="none" w:sz="0" w:space="0" w:color="auto"/>
      </w:divBdr>
      <w:divsChild>
        <w:div w:id="28185825">
          <w:marLeft w:val="0"/>
          <w:marRight w:val="0"/>
          <w:marTop w:val="0"/>
          <w:marBottom w:val="0"/>
          <w:divBdr>
            <w:top w:val="none" w:sz="0" w:space="0" w:color="auto"/>
            <w:left w:val="none" w:sz="0" w:space="0" w:color="auto"/>
            <w:bottom w:val="none" w:sz="0" w:space="0" w:color="auto"/>
            <w:right w:val="none" w:sz="0" w:space="0" w:color="auto"/>
          </w:divBdr>
          <w:divsChild>
            <w:div w:id="411393598">
              <w:marLeft w:val="0"/>
              <w:marRight w:val="0"/>
              <w:marTop w:val="0"/>
              <w:marBottom w:val="0"/>
              <w:divBdr>
                <w:top w:val="single" w:sz="12" w:space="2" w:color="367ED6"/>
                <w:left w:val="single" w:sz="12" w:space="2" w:color="367ED6"/>
                <w:bottom w:val="single" w:sz="12" w:space="2" w:color="367ED6"/>
                <w:right w:val="single" w:sz="12" w:space="2" w:color="367ED6"/>
              </w:divBdr>
              <w:divsChild>
                <w:div w:id="205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6039">
      <w:bodyDiv w:val="1"/>
      <w:marLeft w:val="0"/>
      <w:marRight w:val="0"/>
      <w:marTop w:val="0"/>
      <w:marBottom w:val="0"/>
      <w:divBdr>
        <w:top w:val="none" w:sz="0" w:space="0" w:color="auto"/>
        <w:left w:val="none" w:sz="0" w:space="0" w:color="auto"/>
        <w:bottom w:val="none" w:sz="0" w:space="0" w:color="auto"/>
        <w:right w:val="none" w:sz="0" w:space="0" w:color="auto"/>
      </w:divBdr>
    </w:div>
    <w:div w:id="314182997">
      <w:bodyDiv w:val="1"/>
      <w:marLeft w:val="0"/>
      <w:marRight w:val="0"/>
      <w:marTop w:val="0"/>
      <w:marBottom w:val="0"/>
      <w:divBdr>
        <w:top w:val="none" w:sz="0" w:space="0" w:color="auto"/>
        <w:left w:val="none" w:sz="0" w:space="0" w:color="auto"/>
        <w:bottom w:val="none" w:sz="0" w:space="0" w:color="auto"/>
        <w:right w:val="none" w:sz="0" w:space="0" w:color="auto"/>
      </w:divBdr>
    </w:div>
    <w:div w:id="323356210">
      <w:bodyDiv w:val="1"/>
      <w:marLeft w:val="0"/>
      <w:marRight w:val="0"/>
      <w:marTop w:val="0"/>
      <w:marBottom w:val="0"/>
      <w:divBdr>
        <w:top w:val="none" w:sz="0" w:space="0" w:color="auto"/>
        <w:left w:val="none" w:sz="0" w:space="0" w:color="auto"/>
        <w:bottom w:val="none" w:sz="0" w:space="0" w:color="auto"/>
        <w:right w:val="none" w:sz="0" w:space="0" w:color="auto"/>
      </w:divBdr>
    </w:div>
    <w:div w:id="386416180">
      <w:bodyDiv w:val="1"/>
      <w:marLeft w:val="0"/>
      <w:marRight w:val="0"/>
      <w:marTop w:val="0"/>
      <w:marBottom w:val="0"/>
      <w:divBdr>
        <w:top w:val="none" w:sz="0" w:space="0" w:color="auto"/>
        <w:left w:val="none" w:sz="0" w:space="0" w:color="auto"/>
        <w:bottom w:val="none" w:sz="0" w:space="0" w:color="auto"/>
        <w:right w:val="none" w:sz="0" w:space="0" w:color="auto"/>
      </w:divBdr>
    </w:div>
    <w:div w:id="670527140">
      <w:bodyDiv w:val="1"/>
      <w:marLeft w:val="0"/>
      <w:marRight w:val="0"/>
      <w:marTop w:val="0"/>
      <w:marBottom w:val="0"/>
      <w:divBdr>
        <w:top w:val="none" w:sz="0" w:space="0" w:color="auto"/>
        <w:left w:val="none" w:sz="0" w:space="0" w:color="auto"/>
        <w:bottom w:val="none" w:sz="0" w:space="0" w:color="auto"/>
        <w:right w:val="none" w:sz="0" w:space="0" w:color="auto"/>
      </w:divBdr>
    </w:div>
    <w:div w:id="767848994">
      <w:bodyDiv w:val="1"/>
      <w:marLeft w:val="0"/>
      <w:marRight w:val="0"/>
      <w:marTop w:val="0"/>
      <w:marBottom w:val="0"/>
      <w:divBdr>
        <w:top w:val="none" w:sz="0" w:space="0" w:color="auto"/>
        <w:left w:val="none" w:sz="0" w:space="0" w:color="auto"/>
        <w:bottom w:val="none" w:sz="0" w:space="0" w:color="auto"/>
        <w:right w:val="none" w:sz="0" w:space="0" w:color="auto"/>
      </w:divBdr>
    </w:div>
    <w:div w:id="857158879">
      <w:bodyDiv w:val="1"/>
      <w:marLeft w:val="0"/>
      <w:marRight w:val="0"/>
      <w:marTop w:val="0"/>
      <w:marBottom w:val="0"/>
      <w:divBdr>
        <w:top w:val="none" w:sz="0" w:space="0" w:color="auto"/>
        <w:left w:val="none" w:sz="0" w:space="0" w:color="auto"/>
        <w:bottom w:val="none" w:sz="0" w:space="0" w:color="auto"/>
        <w:right w:val="none" w:sz="0" w:space="0" w:color="auto"/>
      </w:divBdr>
    </w:div>
    <w:div w:id="1081178759">
      <w:bodyDiv w:val="1"/>
      <w:marLeft w:val="0"/>
      <w:marRight w:val="0"/>
      <w:marTop w:val="0"/>
      <w:marBottom w:val="0"/>
      <w:divBdr>
        <w:top w:val="none" w:sz="0" w:space="0" w:color="auto"/>
        <w:left w:val="none" w:sz="0" w:space="0" w:color="auto"/>
        <w:bottom w:val="none" w:sz="0" w:space="0" w:color="auto"/>
        <w:right w:val="none" w:sz="0" w:space="0" w:color="auto"/>
      </w:divBdr>
    </w:div>
    <w:div w:id="1210537584">
      <w:bodyDiv w:val="1"/>
      <w:marLeft w:val="0"/>
      <w:marRight w:val="0"/>
      <w:marTop w:val="0"/>
      <w:marBottom w:val="0"/>
      <w:divBdr>
        <w:top w:val="none" w:sz="0" w:space="0" w:color="auto"/>
        <w:left w:val="none" w:sz="0" w:space="0" w:color="auto"/>
        <w:bottom w:val="none" w:sz="0" w:space="0" w:color="auto"/>
        <w:right w:val="none" w:sz="0" w:space="0" w:color="auto"/>
      </w:divBdr>
    </w:div>
    <w:div w:id="181155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Olmstead\Desktop\www.talentreadyuta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7BA22-0F06-4278-B286-9F03121F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Utah Narrative Report for the Program Year 2019-2020</vt:lpstr>
    </vt:vector>
  </TitlesOfParts>
  <Company>Ohio Board of Regents</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Narrative Report for the Program Year 2019-2020</dc:title>
  <dc:creator>Cynthia Zengler</dc:creator>
  <cp:lastModifiedBy>Olmstead, Brian L.</cp:lastModifiedBy>
  <cp:revision>8</cp:revision>
  <cp:lastPrinted>2018-01-05T19:09:00Z</cp:lastPrinted>
  <dcterms:created xsi:type="dcterms:W3CDTF">2020-12-28T16:59:00Z</dcterms:created>
  <dcterms:modified xsi:type="dcterms:W3CDTF">2020-12-31T19:31:00Z</dcterms:modified>
</cp:coreProperties>
</file>