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CB314" w14:textId="77777777" w:rsidR="00F234FE" w:rsidRPr="005F719F" w:rsidRDefault="00AF35B3" w:rsidP="00492E0C">
      <w:pPr>
        <w:jc w:val="center"/>
        <w:rPr>
          <w:rFonts w:ascii="Times New Roman" w:hAnsi="Times New Roman" w:cs="Times New Roman"/>
          <w:b/>
        </w:rPr>
      </w:pPr>
      <w:r w:rsidRPr="005F719F">
        <w:rPr>
          <w:rFonts w:ascii="Times New Roman" w:hAnsi="Times New Roman" w:cs="Times New Roman"/>
          <w:b/>
        </w:rPr>
        <w:t>Montana Narrative Report 201</w:t>
      </w:r>
      <w:r w:rsidR="00D631C0" w:rsidRPr="005F719F">
        <w:rPr>
          <w:rFonts w:ascii="Times New Roman" w:hAnsi="Times New Roman" w:cs="Times New Roman"/>
          <w:b/>
        </w:rPr>
        <w:t>9</w:t>
      </w:r>
      <w:r w:rsidR="007F0AED" w:rsidRPr="005F719F">
        <w:rPr>
          <w:rFonts w:ascii="Times New Roman" w:hAnsi="Times New Roman" w:cs="Times New Roman"/>
          <w:b/>
        </w:rPr>
        <w:t>-</w:t>
      </w:r>
      <w:r w:rsidR="00A93537" w:rsidRPr="005F719F">
        <w:rPr>
          <w:rFonts w:ascii="Times New Roman" w:hAnsi="Times New Roman" w:cs="Times New Roman"/>
          <w:b/>
        </w:rPr>
        <w:t>20</w:t>
      </w:r>
      <w:r w:rsidR="00D631C0" w:rsidRPr="005F719F">
        <w:rPr>
          <w:rFonts w:ascii="Times New Roman" w:hAnsi="Times New Roman" w:cs="Times New Roman"/>
          <w:b/>
        </w:rPr>
        <w:t>20</w:t>
      </w:r>
    </w:p>
    <w:p w14:paraId="1C5ED3E5" w14:textId="23113194" w:rsidR="001D4BE9" w:rsidRPr="005F719F" w:rsidRDefault="00A22309" w:rsidP="001D4BE9">
      <w:pPr>
        <w:rPr>
          <w:rFonts w:ascii="Times New Roman" w:hAnsi="Times New Roman" w:cs="Times New Roman"/>
          <w:b/>
        </w:rPr>
      </w:pPr>
      <w:r w:rsidRPr="005F719F">
        <w:rPr>
          <w:rFonts w:ascii="Times New Roman" w:hAnsi="Times New Roman" w:cs="Times New Roman"/>
          <w:b/>
        </w:rPr>
        <w:t>State</w:t>
      </w:r>
      <w:r w:rsidR="001D4BE9" w:rsidRPr="005F719F">
        <w:rPr>
          <w:rFonts w:ascii="Times New Roman" w:hAnsi="Times New Roman" w:cs="Times New Roman"/>
          <w:b/>
        </w:rPr>
        <w:t xml:space="preserve"> Leadership Funds</w:t>
      </w:r>
    </w:p>
    <w:p w14:paraId="7CF3B28F" w14:textId="77777777" w:rsidR="006B606F" w:rsidRPr="005F719F" w:rsidRDefault="001D4BE9" w:rsidP="001D4BE9">
      <w:p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bCs/>
        </w:rPr>
        <w:t xml:space="preserve">1. </w:t>
      </w:r>
      <w:r w:rsidR="00A22309" w:rsidRPr="005F719F">
        <w:rPr>
          <w:rFonts w:ascii="Times New Roman" w:hAnsi="Times New Roman" w:cs="Times New Roman"/>
          <w:b/>
          <w:bCs/>
        </w:rPr>
        <w:t>State</w:t>
      </w:r>
      <w:r w:rsidRPr="005F719F">
        <w:rPr>
          <w:rFonts w:ascii="Times New Roman" w:hAnsi="Times New Roman" w:cs="Times New Roman"/>
          <w:b/>
          <w:bCs/>
        </w:rPr>
        <w:t xml:space="preserve"> Leadership Funds </w:t>
      </w:r>
      <w:r w:rsidRPr="005F719F">
        <w:rPr>
          <w:rFonts w:ascii="Times New Roman" w:hAnsi="Times New Roman" w:cs="Times New Roman"/>
          <w:b/>
        </w:rPr>
        <w:t xml:space="preserve">(AEFLA Section 223) </w:t>
      </w:r>
    </w:p>
    <w:p w14:paraId="2C1604E6" w14:textId="77777777" w:rsidR="006B606F" w:rsidRPr="005F719F" w:rsidRDefault="006B606F" w:rsidP="001D4BE9">
      <w:pPr>
        <w:autoSpaceDE w:val="0"/>
        <w:autoSpaceDN w:val="0"/>
        <w:adjustRightInd w:val="0"/>
        <w:spacing w:after="0" w:line="240" w:lineRule="auto"/>
        <w:rPr>
          <w:rFonts w:ascii="Times New Roman" w:hAnsi="Times New Roman" w:cs="Times New Roman"/>
          <w:b/>
        </w:rPr>
      </w:pPr>
    </w:p>
    <w:p w14:paraId="63C6A339" w14:textId="77777777" w:rsidR="001D4BE9" w:rsidRPr="005F719F" w:rsidRDefault="001D4BE9" w:rsidP="001D4BE9">
      <w:p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rPr>
        <w:t xml:space="preserve">(a) Describe how the </w:t>
      </w:r>
      <w:r w:rsidR="00A22309" w:rsidRPr="005F719F">
        <w:rPr>
          <w:rFonts w:ascii="Times New Roman" w:hAnsi="Times New Roman" w:cs="Times New Roman"/>
          <w:b/>
        </w:rPr>
        <w:t>State</w:t>
      </w:r>
      <w:r w:rsidRPr="005F719F">
        <w:rPr>
          <w:rFonts w:ascii="Times New Roman" w:hAnsi="Times New Roman" w:cs="Times New Roman"/>
          <w:b/>
        </w:rPr>
        <w:t xml:space="preserve"> has used funds made available under section 223 (</w:t>
      </w:r>
      <w:r w:rsidR="00A22309" w:rsidRPr="005F719F">
        <w:rPr>
          <w:rFonts w:ascii="Times New Roman" w:hAnsi="Times New Roman" w:cs="Times New Roman"/>
          <w:b/>
        </w:rPr>
        <w:t>State</w:t>
      </w:r>
      <w:r w:rsidRPr="005F719F">
        <w:rPr>
          <w:rFonts w:ascii="Times New Roman" w:hAnsi="Times New Roman" w:cs="Times New Roman"/>
          <w:b/>
        </w:rPr>
        <w:t xml:space="preserve"> Leadership activities) for each the following required activities:</w:t>
      </w:r>
    </w:p>
    <w:p w14:paraId="5670C056" w14:textId="77777777" w:rsidR="006061EB" w:rsidRPr="005F719F" w:rsidRDefault="006061EB" w:rsidP="001D4BE9">
      <w:pPr>
        <w:autoSpaceDE w:val="0"/>
        <w:autoSpaceDN w:val="0"/>
        <w:adjustRightInd w:val="0"/>
        <w:spacing w:after="0" w:line="240" w:lineRule="auto"/>
        <w:rPr>
          <w:rFonts w:ascii="Times New Roman" w:hAnsi="Times New Roman" w:cs="Times New Roman"/>
          <w:b/>
        </w:rPr>
      </w:pPr>
    </w:p>
    <w:p w14:paraId="3E8F7C08" w14:textId="77777777" w:rsidR="001D4BE9" w:rsidRPr="005F719F" w:rsidRDefault="001D4BE9" w:rsidP="00D149E7">
      <w:pPr>
        <w:pStyle w:val="ListParagraph"/>
        <w:numPr>
          <w:ilvl w:val="0"/>
          <w:numId w:val="2"/>
        </w:num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rPr>
        <w:t>Alignment of adult education and literacy activities with other one-stop required</w:t>
      </w:r>
      <w:r w:rsidR="00D149E7" w:rsidRPr="005F719F">
        <w:rPr>
          <w:rFonts w:ascii="Times New Roman" w:hAnsi="Times New Roman" w:cs="Times New Roman"/>
          <w:b/>
        </w:rPr>
        <w:t xml:space="preserve"> </w:t>
      </w:r>
      <w:r w:rsidRPr="005F719F">
        <w:rPr>
          <w:rFonts w:ascii="Times New Roman" w:hAnsi="Times New Roman" w:cs="Times New Roman"/>
          <w:b/>
        </w:rPr>
        <w:t xml:space="preserve">partners to implement the strategies in the Unified or Combined </w:t>
      </w:r>
      <w:r w:rsidR="00A22309" w:rsidRPr="005F719F">
        <w:rPr>
          <w:rFonts w:ascii="Times New Roman" w:hAnsi="Times New Roman" w:cs="Times New Roman"/>
          <w:b/>
        </w:rPr>
        <w:t>State</w:t>
      </w:r>
      <w:r w:rsidRPr="005F719F">
        <w:rPr>
          <w:rFonts w:ascii="Times New Roman" w:hAnsi="Times New Roman" w:cs="Times New Roman"/>
          <w:b/>
        </w:rPr>
        <w:t xml:space="preserve"> Plan as described</w:t>
      </w:r>
      <w:r w:rsidR="00D149E7" w:rsidRPr="005F719F">
        <w:rPr>
          <w:rFonts w:ascii="Times New Roman" w:hAnsi="Times New Roman" w:cs="Times New Roman"/>
          <w:b/>
        </w:rPr>
        <w:t xml:space="preserve"> </w:t>
      </w:r>
      <w:r w:rsidRPr="005F719F">
        <w:rPr>
          <w:rFonts w:ascii="Times New Roman" w:hAnsi="Times New Roman" w:cs="Times New Roman"/>
          <w:b/>
        </w:rPr>
        <w:t>in section 223(1)(a).</w:t>
      </w:r>
    </w:p>
    <w:p w14:paraId="2196221D" w14:textId="77777777" w:rsidR="00D149E7" w:rsidRPr="005F719F" w:rsidRDefault="00D149E7" w:rsidP="00D149E7">
      <w:pPr>
        <w:pStyle w:val="ListParagraph"/>
        <w:autoSpaceDE w:val="0"/>
        <w:autoSpaceDN w:val="0"/>
        <w:adjustRightInd w:val="0"/>
        <w:spacing w:after="0" w:line="240" w:lineRule="auto"/>
        <w:rPr>
          <w:rFonts w:ascii="Times New Roman" w:hAnsi="Times New Roman" w:cs="Times New Roman"/>
          <w:b/>
        </w:rPr>
      </w:pPr>
    </w:p>
    <w:p w14:paraId="17A778E5" w14:textId="538D4A5A" w:rsidR="00DB04EE" w:rsidRPr="005F719F" w:rsidRDefault="002B2B3A" w:rsidP="00DB04EE">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A</w:t>
      </w:r>
      <w:r w:rsidR="00D149E7" w:rsidRPr="005F719F">
        <w:rPr>
          <w:rFonts w:ascii="Times New Roman" w:hAnsi="Times New Roman" w:cs="Times New Roman"/>
        </w:rPr>
        <w:t xml:space="preserve"> primary use of leadership funds</w:t>
      </w:r>
      <w:r w:rsidR="00B56DC2" w:rsidRPr="005F719F">
        <w:rPr>
          <w:rFonts w:ascii="Times New Roman" w:hAnsi="Times New Roman" w:cs="Times New Roman"/>
        </w:rPr>
        <w:t xml:space="preserve"> </w:t>
      </w:r>
      <w:r w:rsidR="00514A82" w:rsidRPr="005F719F">
        <w:rPr>
          <w:rFonts w:ascii="Times New Roman" w:hAnsi="Times New Roman" w:cs="Times New Roman"/>
        </w:rPr>
        <w:t xml:space="preserve">has </w:t>
      </w:r>
      <w:r w:rsidR="003C5A7B" w:rsidRPr="005F719F">
        <w:rPr>
          <w:rFonts w:ascii="Times New Roman" w:hAnsi="Times New Roman" w:cs="Times New Roman"/>
        </w:rPr>
        <w:t xml:space="preserve">always </w:t>
      </w:r>
      <w:r w:rsidR="00514A82" w:rsidRPr="005F719F">
        <w:rPr>
          <w:rFonts w:ascii="Times New Roman" w:hAnsi="Times New Roman" w:cs="Times New Roman"/>
        </w:rPr>
        <w:t xml:space="preserve">been </w:t>
      </w:r>
      <w:proofErr w:type="gramStart"/>
      <w:r w:rsidR="00514A82" w:rsidRPr="005F719F">
        <w:rPr>
          <w:rFonts w:ascii="Times New Roman" w:hAnsi="Times New Roman" w:cs="Times New Roman"/>
        </w:rPr>
        <w:t>to further enhance</w:t>
      </w:r>
      <w:proofErr w:type="gramEnd"/>
      <w:r w:rsidR="00B56DC2" w:rsidRPr="005F719F">
        <w:rPr>
          <w:rFonts w:ascii="Times New Roman" w:hAnsi="Times New Roman" w:cs="Times New Roman"/>
        </w:rPr>
        <w:t xml:space="preserve"> </w:t>
      </w:r>
      <w:r w:rsidR="00B935A1" w:rsidRPr="005F719F">
        <w:rPr>
          <w:rFonts w:ascii="Times New Roman" w:hAnsi="Times New Roman" w:cs="Times New Roman"/>
        </w:rPr>
        <w:t xml:space="preserve">the WIOA vision and mission such as including </w:t>
      </w:r>
      <w:r w:rsidR="00B56DC2" w:rsidRPr="005F719F">
        <w:rPr>
          <w:rFonts w:ascii="Times New Roman" w:hAnsi="Times New Roman" w:cs="Times New Roman"/>
        </w:rPr>
        <w:t>career pathway integration into the adult education classroom to align with the employment and training services of our core partners.</w:t>
      </w:r>
      <w:r w:rsidR="00B935A1" w:rsidRPr="005F719F">
        <w:rPr>
          <w:rFonts w:ascii="Times New Roman" w:hAnsi="Times New Roman" w:cs="Times New Roman"/>
        </w:rPr>
        <w:t xml:space="preserve"> </w:t>
      </w:r>
      <w:r w:rsidR="00A268B8" w:rsidRPr="005F719F">
        <w:rPr>
          <w:rFonts w:ascii="Times New Roman" w:hAnsi="Times New Roman" w:cs="Times New Roman"/>
        </w:rPr>
        <w:t xml:space="preserve"> </w:t>
      </w:r>
      <w:r w:rsidR="00EF4264" w:rsidRPr="005F719F">
        <w:rPr>
          <w:rFonts w:ascii="Times New Roman" w:hAnsi="Times New Roman" w:cs="Times New Roman"/>
        </w:rPr>
        <w:t>Programs continue to analyze</w:t>
      </w:r>
      <w:r w:rsidR="00531516" w:rsidRPr="005F719F">
        <w:rPr>
          <w:rFonts w:ascii="Times New Roman" w:hAnsi="Times New Roman" w:cs="Times New Roman"/>
        </w:rPr>
        <w:t xml:space="preserve"> instruction, number of hou</w:t>
      </w:r>
      <w:r w:rsidR="00D631C0" w:rsidRPr="005F719F">
        <w:rPr>
          <w:rFonts w:ascii="Times New Roman" w:hAnsi="Times New Roman" w:cs="Times New Roman"/>
        </w:rPr>
        <w:t xml:space="preserve">rs </w:t>
      </w:r>
      <w:r w:rsidR="00DB04EE" w:rsidRPr="005F719F">
        <w:rPr>
          <w:rFonts w:ascii="Times New Roman" w:hAnsi="Times New Roman" w:cs="Times New Roman"/>
        </w:rPr>
        <w:t>per week</w:t>
      </w:r>
      <w:r w:rsidR="00D631C0" w:rsidRPr="005F719F">
        <w:rPr>
          <w:rFonts w:ascii="Times New Roman" w:hAnsi="Times New Roman" w:cs="Times New Roman"/>
        </w:rPr>
        <w:t xml:space="preserve">, </w:t>
      </w:r>
      <w:r w:rsidR="00531516" w:rsidRPr="005F719F">
        <w:rPr>
          <w:rFonts w:ascii="Times New Roman" w:hAnsi="Times New Roman" w:cs="Times New Roman"/>
        </w:rPr>
        <w:t>commercially dev</w:t>
      </w:r>
      <w:r w:rsidR="00D631C0" w:rsidRPr="005F719F">
        <w:rPr>
          <w:rFonts w:ascii="Times New Roman" w:hAnsi="Times New Roman" w:cs="Times New Roman"/>
        </w:rPr>
        <w:t xml:space="preserve">eloped materials used, </w:t>
      </w:r>
      <w:proofErr w:type="gramStart"/>
      <w:r w:rsidR="00531516" w:rsidRPr="005F719F">
        <w:rPr>
          <w:rFonts w:ascii="Times New Roman" w:hAnsi="Times New Roman" w:cs="Times New Roman"/>
        </w:rPr>
        <w:t>computer</w:t>
      </w:r>
      <w:proofErr w:type="gramEnd"/>
      <w:r w:rsidR="00531516" w:rsidRPr="005F719F">
        <w:rPr>
          <w:rFonts w:ascii="Times New Roman" w:hAnsi="Times New Roman" w:cs="Times New Roman"/>
        </w:rPr>
        <w:t xml:space="preserve"> software</w:t>
      </w:r>
      <w:r w:rsidR="00D631C0" w:rsidRPr="005F719F">
        <w:rPr>
          <w:rFonts w:ascii="Times New Roman" w:hAnsi="Times New Roman" w:cs="Times New Roman"/>
        </w:rPr>
        <w:t>/distance learning platform</w:t>
      </w:r>
      <w:r w:rsidR="00F00E92" w:rsidRPr="005F719F">
        <w:rPr>
          <w:rFonts w:ascii="Times New Roman" w:hAnsi="Times New Roman" w:cs="Times New Roman"/>
        </w:rPr>
        <w:t>s</w:t>
      </w:r>
      <w:r w:rsidR="00531516" w:rsidRPr="005F719F">
        <w:rPr>
          <w:rFonts w:ascii="Times New Roman" w:hAnsi="Times New Roman" w:cs="Times New Roman"/>
        </w:rPr>
        <w:t xml:space="preserve"> </w:t>
      </w:r>
      <w:r w:rsidR="00A268B8" w:rsidRPr="005F719F">
        <w:rPr>
          <w:rFonts w:ascii="Times New Roman" w:hAnsi="Times New Roman" w:cs="Times New Roman"/>
        </w:rPr>
        <w:t>utilized</w:t>
      </w:r>
      <w:r w:rsidR="00531516" w:rsidRPr="005F719F">
        <w:rPr>
          <w:rFonts w:ascii="Times New Roman" w:hAnsi="Times New Roman" w:cs="Times New Roman"/>
        </w:rPr>
        <w:t xml:space="preserve">, and types of instructor developed material for each educational functioning level. </w:t>
      </w:r>
      <w:r w:rsidR="00A268B8" w:rsidRPr="005F719F">
        <w:rPr>
          <w:rFonts w:ascii="Times New Roman" w:hAnsi="Times New Roman" w:cs="Times New Roman"/>
        </w:rPr>
        <w:t xml:space="preserve"> </w:t>
      </w:r>
      <w:r w:rsidR="00EF4264" w:rsidRPr="005F719F">
        <w:rPr>
          <w:rFonts w:ascii="Times New Roman" w:hAnsi="Times New Roman" w:cs="Times New Roman"/>
        </w:rPr>
        <w:t xml:space="preserve">This </w:t>
      </w:r>
      <w:r w:rsidR="00E06F11" w:rsidRPr="005F719F">
        <w:rPr>
          <w:rFonts w:ascii="Times New Roman" w:hAnsi="Times New Roman" w:cs="Times New Roman"/>
        </w:rPr>
        <w:t xml:space="preserve">analysis </w:t>
      </w:r>
      <w:r w:rsidR="00531516" w:rsidRPr="005F719F">
        <w:rPr>
          <w:rFonts w:ascii="Times New Roman" w:hAnsi="Times New Roman" w:cs="Times New Roman"/>
        </w:rPr>
        <w:t>assist</w:t>
      </w:r>
      <w:r w:rsidR="00EF4264" w:rsidRPr="005F719F">
        <w:rPr>
          <w:rFonts w:ascii="Times New Roman" w:hAnsi="Times New Roman" w:cs="Times New Roman"/>
        </w:rPr>
        <w:t>s</w:t>
      </w:r>
      <w:r w:rsidR="00531516" w:rsidRPr="005F719F">
        <w:rPr>
          <w:rFonts w:ascii="Times New Roman" w:hAnsi="Times New Roman" w:cs="Times New Roman"/>
        </w:rPr>
        <w:t xml:space="preserve"> teachers </w:t>
      </w:r>
      <w:r w:rsidR="00316160" w:rsidRPr="005F719F">
        <w:rPr>
          <w:rFonts w:ascii="Times New Roman" w:hAnsi="Times New Roman" w:cs="Times New Roman"/>
        </w:rPr>
        <w:t>in discovering</w:t>
      </w:r>
      <w:r w:rsidR="00173C56" w:rsidRPr="005F719F">
        <w:rPr>
          <w:rFonts w:ascii="Times New Roman" w:hAnsi="Times New Roman" w:cs="Times New Roman"/>
        </w:rPr>
        <w:t xml:space="preserve"> </w:t>
      </w:r>
      <w:r w:rsidR="00EF4264" w:rsidRPr="005F719F">
        <w:rPr>
          <w:rFonts w:ascii="Times New Roman" w:hAnsi="Times New Roman" w:cs="Times New Roman"/>
        </w:rPr>
        <w:t>how well the materials they use</w:t>
      </w:r>
      <w:r w:rsidR="00316160" w:rsidRPr="005F719F">
        <w:rPr>
          <w:rFonts w:ascii="Times New Roman" w:hAnsi="Times New Roman" w:cs="Times New Roman"/>
        </w:rPr>
        <w:t xml:space="preserve"> </w:t>
      </w:r>
      <w:r w:rsidR="00173C56" w:rsidRPr="005F719F">
        <w:rPr>
          <w:rFonts w:ascii="Times New Roman" w:hAnsi="Times New Roman" w:cs="Times New Roman"/>
        </w:rPr>
        <w:t>provide</w:t>
      </w:r>
      <w:r w:rsidR="00316160" w:rsidRPr="005F719F">
        <w:rPr>
          <w:rFonts w:ascii="Times New Roman" w:hAnsi="Times New Roman" w:cs="Times New Roman"/>
        </w:rPr>
        <w:t xml:space="preserve"> </w:t>
      </w:r>
      <w:r w:rsidR="00B935A1" w:rsidRPr="005F719F">
        <w:rPr>
          <w:rFonts w:ascii="Times New Roman" w:hAnsi="Times New Roman" w:cs="Times New Roman"/>
        </w:rPr>
        <w:t xml:space="preserve">contextualized learning experiences with </w:t>
      </w:r>
      <w:r w:rsidR="00316160" w:rsidRPr="005F719F">
        <w:rPr>
          <w:rFonts w:ascii="Times New Roman" w:hAnsi="Times New Roman" w:cs="Times New Roman"/>
        </w:rPr>
        <w:t>a scope and sequence that truly supports the college and career readiness standards and stud</w:t>
      </w:r>
      <w:r w:rsidR="009B71C9" w:rsidRPr="005F719F">
        <w:rPr>
          <w:rFonts w:ascii="Times New Roman" w:hAnsi="Times New Roman" w:cs="Times New Roman"/>
        </w:rPr>
        <w:t xml:space="preserve">ent transition to employment, </w:t>
      </w:r>
      <w:r w:rsidR="00316160" w:rsidRPr="005F719F">
        <w:rPr>
          <w:rFonts w:ascii="Times New Roman" w:hAnsi="Times New Roman" w:cs="Times New Roman"/>
        </w:rPr>
        <w:t>posts</w:t>
      </w:r>
      <w:r w:rsidR="0055400B" w:rsidRPr="005F719F">
        <w:rPr>
          <w:rFonts w:ascii="Times New Roman" w:hAnsi="Times New Roman" w:cs="Times New Roman"/>
        </w:rPr>
        <w:t>econdary</w:t>
      </w:r>
      <w:r w:rsidR="009B71C9" w:rsidRPr="005F719F">
        <w:rPr>
          <w:rFonts w:ascii="Times New Roman" w:hAnsi="Times New Roman" w:cs="Times New Roman"/>
        </w:rPr>
        <w:t xml:space="preserve"> education, </w:t>
      </w:r>
      <w:r w:rsidR="006127DA" w:rsidRPr="005F719F">
        <w:rPr>
          <w:rFonts w:ascii="Times New Roman" w:hAnsi="Times New Roman" w:cs="Times New Roman"/>
        </w:rPr>
        <w:t>and</w:t>
      </w:r>
      <w:r w:rsidR="009B71C9" w:rsidRPr="005F719F">
        <w:rPr>
          <w:rFonts w:ascii="Times New Roman" w:hAnsi="Times New Roman" w:cs="Times New Roman"/>
        </w:rPr>
        <w:t xml:space="preserve"> </w:t>
      </w:r>
      <w:r w:rsidR="00DB04EE" w:rsidRPr="005F719F">
        <w:rPr>
          <w:rFonts w:ascii="Times New Roman" w:hAnsi="Times New Roman" w:cs="Times New Roman"/>
        </w:rPr>
        <w:t xml:space="preserve">training.  </w:t>
      </w:r>
      <w:r w:rsidR="00EF4264" w:rsidRPr="005F719F">
        <w:rPr>
          <w:rFonts w:ascii="Times New Roman" w:hAnsi="Times New Roman" w:cs="Times New Roman"/>
        </w:rPr>
        <w:t>T</w:t>
      </w:r>
      <w:r w:rsidR="00316160" w:rsidRPr="005F719F">
        <w:rPr>
          <w:rFonts w:ascii="Times New Roman" w:hAnsi="Times New Roman" w:cs="Times New Roman"/>
        </w:rPr>
        <w:t>eachers</w:t>
      </w:r>
      <w:r w:rsidR="009231E9" w:rsidRPr="005F719F">
        <w:rPr>
          <w:rFonts w:ascii="Times New Roman" w:hAnsi="Times New Roman" w:cs="Times New Roman"/>
        </w:rPr>
        <w:t xml:space="preserve"> </w:t>
      </w:r>
      <w:r w:rsidR="00B935A1" w:rsidRPr="005F719F">
        <w:rPr>
          <w:rFonts w:ascii="Times New Roman" w:hAnsi="Times New Roman" w:cs="Times New Roman"/>
        </w:rPr>
        <w:t>engage in</w:t>
      </w:r>
      <w:r w:rsidR="009231E9" w:rsidRPr="005F719F">
        <w:rPr>
          <w:rFonts w:ascii="Times New Roman" w:hAnsi="Times New Roman" w:cs="Times New Roman"/>
        </w:rPr>
        <w:t xml:space="preserve"> reflective</w:t>
      </w:r>
      <w:r w:rsidR="00B935A1" w:rsidRPr="005F719F">
        <w:rPr>
          <w:rFonts w:ascii="Times New Roman" w:hAnsi="Times New Roman" w:cs="Times New Roman"/>
        </w:rPr>
        <w:t xml:space="preserve"> activities</w:t>
      </w:r>
      <w:r w:rsidR="0055400B" w:rsidRPr="005F719F">
        <w:rPr>
          <w:rFonts w:ascii="Times New Roman" w:hAnsi="Times New Roman" w:cs="Times New Roman"/>
        </w:rPr>
        <w:t xml:space="preserve"> that </w:t>
      </w:r>
      <w:r w:rsidR="00B935A1" w:rsidRPr="005F719F">
        <w:rPr>
          <w:rFonts w:ascii="Times New Roman" w:hAnsi="Times New Roman" w:cs="Times New Roman"/>
        </w:rPr>
        <w:t>help</w:t>
      </w:r>
      <w:r w:rsidR="00EF4264" w:rsidRPr="005F719F">
        <w:rPr>
          <w:rFonts w:ascii="Times New Roman" w:hAnsi="Times New Roman" w:cs="Times New Roman"/>
        </w:rPr>
        <w:t xml:space="preserve"> them understand how they are</w:t>
      </w:r>
      <w:r w:rsidR="0055400B" w:rsidRPr="005F719F">
        <w:rPr>
          <w:rFonts w:ascii="Times New Roman" w:hAnsi="Times New Roman" w:cs="Times New Roman"/>
        </w:rPr>
        <w:t xml:space="preserve"> meeting core partner needs through adult education instructional activities. </w:t>
      </w:r>
      <w:r w:rsidR="00A268B8" w:rsidRPr="005F719F">
        <w:rPr>
          <w:rFonts w:ascii="Times New Roman" w:hAnsi="Times New Roman" w:cs="Times New Roman"/>
        </w:rPr>
        <w:t xml:space="preserve"> </w:t>
      </w:r>
      <w:r w:rsidR="00EF4264" w:rsidRPr="005F719F">
        <w:rPr>
          <w:rFonts w:ascii="Times New Roman" w:hAnsi="Times New Roman" w:cs="Times New Roman"/>
        </w:rPr>
        <w:t>C</w:t>
      </w:r>
      <w:r w:rsidR="002F64F0" w:rsidRPr="005F719F">
        <w:rPr>
          <w:rFonts w:ascii="Times New Roman" w:hAnsi="Times New Roman" w:cs="Times New Roman"/>
        </w:rPr>
        <w:t xml:space="preserve">ore partner coordination, recruitment of diverse clients, intake, orientation, </w:t>
      </w:r>
      <w:r w:rsidR="009231E9" w:rsidRPr="005F719F">
        <w:rPr>
          <w:rFonts w:ascii="Times New Roman" w:hAnsi="Times New Roman" w:cs="Times New Roman"/>
        </w:rPr>
        <w:t xml:space="preserve">and </w:t>
      </w:r>
      <w:r w:rsidR="00EF4264" w:rsidRPr="005F719F">
        <w:rPr>
          <w:rFonts w:ascii="Times New Roman" w:hAnsi="Times New Roman" w:cs="Times New Roman"/>
        </w:rPr>
        <w:t>client services remain integral to</w:t>
      </w:r>
      <w:r w:rsidR="002F64F0" w:rsidRPr="005F719F">
        <w:rPr>
          <w:rFonts w:ascii="Times New Roman" w:hAnsi="Times New Roman" w:cs="Times New Roman"/>
        </w:rPr>
        <w:t xml:space="preserve"> career pathway </w:t>
      </w:r>
      <w:r w:rsidR="004F13A6" w:rsidRPr="005F719F">
        <w:rPr>
          <w:rFonts w:ascii="Times New Roman" w:hAnsi="Times New Roman" w:cs="Times New Roman"/>
        </w:rPr>
        <w:t xml:space="preserve">integration. </w:t>
      </w:r>
      <w:r w:rsidR="00A268B8" w:rsidRPr="005F719F">
        <w:rPr>
          <w:rFonts w:ascii="Times New Roman" w:hAnsi="Times New Roman" w:cs="Times New Roman"/>
        </w:rPr>
        <w:t xml:space="preserve"> </w:t>
      </w:r>
      <w:r w:rsidR="00B935A1" w:rsidRPr="005F719F">
        <w:rPr>
          <w:rFonts w:ascii="Times New Roman" w:hAnsi="Times New Roman" w:cs="Times New Roman"/>
        </w:rPr>
        <w:t>Coordination of services is crucial</w:t>
      </w:r>
      <w:r w:rsidR="002F64F0" w:rsidRPr="005F719F">
        <w:rPr>
          <w:rFonts w:ascii="Times New Roman" w:hAnsi="Times New Roman" w:cs="Times New Roman"/>
        </w:rPr>
        <w:t xml:space="preserve"> </w:t>
      </w:r>
      <w:r w:rsidR="00173C56" w:rsidRPr="005F719F">
        <w:rPr>
          <w:rFonts w:ascii="Times New Roman" w:hAnsi="Times New Roman" w:cs="Times New Roman"/>
        </w:rPr>
        <w:t xml:space="preserve">to recruit and provide services to clients in a manner </w:t>
      </w:r>
      <w:r w:rsidR="00F00E92" w:rsidRPr="005F719F">
        <w:rPr>
          <w:rFonts w:ascii="Times New Roman" w:hAnsi="Times New Roman" w:cs="Times New Roman"/>
        </w:rPr>
        <w:t>that result</w:t>
      </w:r>
      <w:r w:rsidR="00173C56" w:rsidRPr="005F719F">
        <w:rPr>
          <w:rFonts w:ascii="Times New Roman" w:hAnsi="Times New Roman" w:cs="Times New Roman"/>
        </w:rPr>
        <w:t xml:space="preserve"> in occupational train</w:t>
      </w:r>
      <w:r w:rsidR="006127DA" w:rsidRPr="005F719F">
        <w:rPr>
          <w:rFonts w:ascii="Times New Roman" w:hAnsi="Times New Roman" w:cs="Times New Roman"/>
        </w:rPr>
        <w:t>ing, postsecondary education, and</w:t>
      </w:r>
      <w:r w:rsidR="00173C56" w:rsidRPr="005F719F">
        <w:rPr>
          <w:rFonts w:ascii="Times New Roman" w:hAnsi="Times New Roman" w:cs="Times New Roman"/>
        </w:rPr>
        <w:t xml:space="preserve"> employment in a progressive career path.</w:t>
      </w:r>
      <w:r w:rsidR="00DB04EE" w:rsidRPr="005F719F">
        <w:rPr>
          <w:rFonts w:ascii="Times New Roman" w:hAnsi="Times New Roman" w:cs="Times New Roman"/>
        </w:rPr>
        <w:t xml:space="preserve"> </w:t>
      </w:r>
    </w:p>
    <w:p w14:paraId="0ED5B22D" w14:textId="77777777" w:rsidR="00DB04EE" w:rsidRPr="005F719F" w:rsidRDefault="00DB04EE" w:rsidP="00D149E7">
      <w:pPr>
        <w:autoSpaceDE w:val="0"/>
        <w:autoSpaceDN w:val="0"/>
        <w:adjustRightInd w:val="0"/>
        <w:spacing w:after="0" w:line="240" w:lineRule="auto"/>
        <w:ind w:left="720"/>
        <w:rPr>
          <w:rFonts w:ascii="Times New Roman" w:hAnsi="Times New Roman" w:cs="Times New Roman"/>
        </w:rPr>
      </w:pPr>
    </w:p>
    <w:p w14:paraId="372118AD" w14:textId="3094ED1C" w:rsidR="00D149E7" w:rsidRPr="005F719F" w:rsidRDefault="00DB04EE" w:rsidP="00DB04EE">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 xml:space="preserve">Integrated Education and Training (IET) programs have been an ongoing focus of WIOA Title II Adult Education </w:t>
      </w:r>
      <w:r w:rsidR="00F00E92" w:rsidRPr="005F719F">
        <w:rPr>
          <w:rFonts w:ascii="Times New Roman" w:hAnsi="Times New Roman" w:cs="Times New Roman"/>
        </w:rPr>
        <w:t>providers</w:t>
      </w:r>
      <w:r w:rsidRPr="005F719F">
        <w:rPr>
          <w:rFonts w:ascii="Times New Roman" w:hAnsi="Times New Roman" w:cs="Times New Roman"/>
        </w:rPr>
        <w:t xml:space="preserve"> in Montana.  Local programs continually work to develop IET programs that </w:t>
      </w:r>
      <w:proofErr w:type="gramStart"/>
      <w:r w:rsidRPr="005F719F">
        <w:rPr>
          <w:rFonts w:ascii="Times New Roman" w:hAnsi="Times New Roman" w:cs="Times New Roman"/>
        </w:rPr>
        <w:t>are aligned</w:t>
      </w:r>
      <w:proofErr w:type="gramEnd"/>
      <w:r w:rsidRPr="005F719F">
        <w:rPr>
          <w:rFonts w:ascii="Times New Roman" w:hAnsi="Times New Roman" w:cs="Times New Roman"/>
        </w:rPr>
        <w:t xml:space="preserve"> with student interests and needs.  Relationships with community partners and local businesses are critical in designing and implementing these relevant IET programs.</w:t>
      </w:r>
      <w:r w:rsidR="00A268B8" w:rsidRPr="005F719F">
        <w:rPr>
          <w:rFonts w:ascii="Times New Roman" w:hAnsi="Times New Roman" w:cs="Times New Roman"/>
        </w:rPr>
        <w:t xml:space="preserve"> </w:t>
      </w:r>
      <w:r w:rsidRPr="005F719F">
        <w:rPr>
          <w:rFonts w:ascii="Times New Roman" w:hAnsi="Times New Roman" w:cs="Times New Roman"/>
        </w:rPr>
        <w:t xml:space="preserve"> </w:t>
      </w:r>
      <w:r w:rsidR="00D631C0" w:rsidRPr="005F719F">
        <w:rPr>
          <w:rFonts w:ascii="Times New Roman" w:hAnsi="Times New Roman" w:cs="Times New Roman"/>
        </w:rPr>
        <w:t xml:space="preserve">WIOA Title II Adult Education </w:t>
      </w:r>
      <w:r w:rsidR="00A268B8" w:rsidRPr="005F719F">
        <w:rPr>
          <w:rFonts w:ascii="Times New Roman" w:hAnsi="Times New Roman" w:cs="Times New Roman"/>
        </w:rPr>
        <w:t>p</w:t>
      </w:r>
      <w:r w:rsidR="00D631C0" w:rsidRPr="005F719F">
        <w:rPr>
          <w:rFonts w:ascii="Times New Roman" w:hAnsi="Times New Roman" w:cs="Times New Roman"/>
        </w:rPr>
        <w:t xml:space="preserve">roviders keep updated contact information for all partners they work with in their </w:t>
      </w:r>
      <w:r w:rsidR="00377D66" w:rsidRPr="005F719F">
        <w:rPr>
          <w:rFonts w:ascii="Times New Roman" w:hAnsi="Times New Roman" w:cs="Times New Roman"/>
        </w:rPr>
        <w:t xml:space="preserve">regional </w:t>
      </w:r>
      <w:r w:rsidR="00D631C0" w:rsidRPr="005F719F">
        <w:rPr>
          <w:rFonts w:ascii="Times New Roman" w:hAnsi="Times New Roman" w:cs="Times New Roman"/>
        </w:rPr>
        <w:t>area.  At the end of each progra</w:t>
      </w:r>
      <w:r w:rsidR="00377D66" w:rsidRPr="005F719F">
        <w:rPr>
          <w:rFonts w:ascii="Times New Roman" w:hAnsi="Times New Roman" w:cs="Times New Roman"/>
        </w:rPr>
        <w:t xml:space="preserve">m year, those partners </w:t>
      </w:r>
      <w:proofErr w:type="gramStart"/>
      <w:r w:rsidR="00377D66" w:rsidRPr="005F719F">
        <w:rPr>
          <w:rFonts w:ascii="Times New Roman" w:hAnsi="Times New Roman" w:cs="Times New Roman"/>
        </w:rPr>
        <w:t>are asked</w:t>
      </w:r>
      <w:proofErr w:type="gramEnd"/>
      <w:r w:rsidR="00377D66" w:rsidRPr="005F719F">
        <w:rPr>
          <w:rFonts w:ascii="Times New Roman" w:hAnsi="Times New Roman" w:cs="Times New Roman"/>
        </w:rPr>
        <w:t xml:space="preserve"> to complete </w:t>
      </w:r>
      <w:r w:rsidR="00D631C0" w:rsidRPr="005F719F">
        <w:rPr>
          <w:rFonts w:ascii="Times New Roman" w:hAnsi="Times New Roman" w:cs="Times New Roman"/>
        </w:rPr>
        <w:t xml:space="preserve">a survey to evaluate knowledge of and services provided by WIOA </w:t>
      </w:r>
      <w:r w:rsidR="00377D66" w:rsidRPr="005F719F">
        <w:rPr>
          <w:rFonts w:ascii="Times New Roman" w:hAnsi="Times New Roman" w:cs="Times New Roman"/>
        </w:rPr>
        <w:t xml:space="preserve">Title II </w:t>
      </w:r>
      <w:r w:rsidR="00D631C0" w:rsidRPr="005F719F">
        <w:rPr>
          <w:rFonts w:ascii="Times New Roman" w:hAnsi="Times New Roman" w:cs="Times New Roman"/>
        </w:rPr>
        <w:t xml:space="preserve">Adult Education </w:t>
      </w:r>
      <w:r w:rsidR="00A268B8" w:rsidRPr="005F719F">
        <w:rPr>
          <w:rFonts w:ascii="Times New Roman" w:hAnsi="Times New Roman" w:cs="Times New Roman"/>
        </w:rPr>
        <w:t>p</w:t>
      </w:r>
      <w:r w:rsidR="00D631C0" w:rsidRPr="005F719F">
        <w:rPr>
          <w:rFonts w:ascii="Times New Roman" w:hAnsi="Times New Roman" w:cs="Times New Roman"/>
        </w:rPr>
        <w:t>roviders.</w:t>
      </w:r>
      <w:r w:rsidR="00377D66" w:rsidRPr="005F719F">
        <w:rPr>
          <w:rFonts w:ascii="Times New Roman" w:hAnsi="Times New Roman" w:cs="Times New Roman"/>
        </w:rPr>
        <w:t xml:space="preserve">  This</w:t>
      </w:r>
      <w:r w:rsidR="00E05420" w:rsidRPr="005F719F">
        <w:rPr>
          <w:rFonts w:ascii="Times New Roman" w:hAnsi="Times New Roman" w:cs="Times New Roman"/>
        </w:rPr>
        <w:t xml:space="preserve"> survey</w:t>
      </w:r>
      <w:r w:rsidR="00377D66" w:rsidRPr="005F719F">
        <w:rPr>
          <w:rFonts w:ascii="Times New Roman" w:hAnsi="Times New Roman" w:cs="Times New Roman"/>
        </w:rPr>
        <w:t xml:space="preserve"> allows the State and local providers to gauge satisfaction, make necessary improvements, and/or tailor services in their regional area. </w:t>
      </w:r>
    </w:p>
    <w:p w14:paraId="0BBC84C2" w14:textId="77777777" w:rsidR="00B50EE2" w:rsidRPr="005F719F" w:rsidRDefault="00B50EE2" w:rsidP="00D149E7">
      <w:pPr>
        <w:autoSpaceDE w:val="0"/>
        <w:autoSpaceDN w:val="0"/>
        <w:adjustRightInd w:val="0"/>
        <w:spacing w:after="0" w:line="240" w:lineRule="auto"/>
        <w:ind w:left="720"/>
        <w:rPr>
          <w:rFonts w:ascii="Times New Roman" w:hAnsi="Times New Roman" w:cs="Times New Roman"/>
          <w:color w:val="FF0000"/>
        </w:rPr>
      </w:pPr>
    </w:p>
    <w:p w14:paraId="5A3DCD22" w14:textId="4B12A3A7" w:rsidR="00AA1E36" w:rsidRPr="005F719F" w:rsidRDefault="00EF4264" w:rsidP="00CF35E8">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 xml:space="preserve">The </w:t>
      </w:r>
      <w:r w:rsidR="00A22309" w:rsidRPr="005F719F">
        <w:rPr>
          <w:rFonts w:ascii="Times New Roman" w:hAnsi="Times New Roman" w:cs="Times New Roman"/>
        </w:rPr>
        <w:t>State</w:t>
      </w:r>
      <w:r w:rsidRPr="005F719F">
        <w:rPr>
          <w:rFonts w:ascii="Times New Roman" w:hAnsi="Times New Roman" w:cs="Times New Roman"/>
        </w:rPr>
        <w:t xml:space="preserve"> recognizes</w:t>
      </w:r>
      <w:r w:rsidR="00B50EE2" w:rsidRPr="005F719F">
        <w:rPr>
          <w:rFonts w:ascii="Times New Roman" w:hAnsi="Times New Roman" w:cs="Times New Roman"/>
        </w:rPr>
        <w:t xml:space="preserve"> th</w:t>
      </w:r>
      <w:r w:rsidRPr="005F719F">
        <w:rPr>
          <w:rFonts w:ascii="Times New Roman" w:hAnsi="Times New Roman" w:cs="Times New Roman"/>
        </w:rPr>
        <w:t xml:space="preserve">e need to expand and strengthen </w:t>
      </w:r>
      <w:r w:rsidR="00E823AD" w:rsidRPr="005F719F">
        <w:rPr>
          <w:rFonts w:ascii="Times New Roman" w:hAnsi="Times New Roman" w:cs="Times New Roman"/>
        </w:rPr>
        <w:t>existing components</w:t>
      </w:r>
      <w:r w:rsidR="00934176" w:rsidRPr="005F719F">
        <w:rPr>
          <w:rFonts w:ascii="Times New Roman" w:hAnsi="Times New Roman" w:cs="Times New Roman"/>
        </w:rPr>
        <w:t xml:space="preserve"> of care</w:t>
      </w:r>
      <w:r w:rsidRPr="005F719F">
        <w:rPr>
          <w:rFonts w:ascii="Times New Roman" w:hAnsi="Times New Roman" w:cs="Times New Roman"/>
        </w:rPr>
        <w:t xml:space="preserve">er pathway instruction </w:t>
      </w:r>
      <w:r w:rsidR="00533421" w:rsidRPr="005F719F">
        <w:rPr>
          <w:rFonts w:ascii="Times New Roman" w:hAnsi="Times New Roman" w:cs="Times New Roman"/>
        </w:rPr>
        <w:t>provided</w:t>
      </w:r>
      <w:r w:rsidR="00E823AD" w:rsidRPr="005F719F">
        <w:rPr>
          <w:rFonts w:ascii="Times New Roman" w:hAnsi="Times New Roman" w:cs="Times New Roman"/>
        </w:rPr>
        <w:t xml:space="preserve"> by</w:t>
      </w:r>
      <w:r w:rsidR="00B50EE2" w:rsidRPr="005F719F">
        <w:rPr>
          <w:rFonts w:ascii="Times New Roman" w:hAnsi="Times New Roman" w:cs="Times New Roman"/>
        </w:rPr>
        <w:t xml:space="preserve"> </w:t>
      </w:r>
      <w:r w:rsidR="003A6D95" w:rsidRPr="005F719F">
        <w:rPr>
          <w:rFonts w:ascii="Times New Roman" w:hAnsi="Times New Roman" w:cs="Times New Roman"/>
        </w:rPr>
        <w:t>all local adult education programs</w:t>
      </w:r>
      <w:r w:rsidR="00E823AD" w:rsidRPr="005F719F">
        <w:rPr>
          <w:rFonts w:ascii="Times New Roman" w:hAnsi="Times New Roman" w:cs="Times New Roman"/>
        </w:rPr>
        <w:t>.</w:t>
      </w:r>
      <w:r w:rsidR="0047308D" w:rsidRPr="005F719F">
        <w:rPr>
          <w:rFonts w:ascii="Times New Roman" w:hAnsi="Times New Roman" w:cs="Times New Roman"/>
        </w:rPr>
        <w:t xml:space="preserve"> </w:t>
      </w:r>
      <w:r w:rsidR="00A268B8" w:rsidRPr="005F719F">
        <w:rPr>
          <w:rFonts w:ascii="Times New Roman" w:hAnsi="Times New Roman" w:cs="Times New Roman"/>
        </w:rPr>
        <w:t xml:space="preserve"> </w:t>
      </w:r>
      <w:r w:rsidR="0047308D" w:rsidRPr="005F719F">
        <w:rPr>
          <w:rFonts w:ascii="Times New Roman" w:hAnsi="Times New Roman" w:cs="Times New Roman"/>
        </w:rPr>
        <w:t xml:space="preserve">The </w:t>
      </w:r>
      <w:r w:rsidR="00A22309" w:rsidRPr="005F719F">
        <w:rPr>
          <w:rFonts w:ascii="Times New Roman" w:hAnsi="Times New Roman" w:cs="Times New Roman"/>
        </w:rPr>
        <w:t>State</w:t>
      </w:r>
      <w:r w:rsidR="0047308D" w:rsidRPr="005F719F">
        <w:rPr>
          <w:rFonts w:ascii="Times New Roman" w:hAnsi="Times New Roman" w:cs="Times New Roman"/>
        </w:rPr>
        <w:t xml:space="preserve"> </w:t>
      </w:r>
      <w:r w:rsidRPr="005F719F">
        <w:rPr>
          <w:rFonts w:ascii="Times New Roman" w:hAnsi="Times New Roman" w:cs="Times New Roman"/>
        </w:rPr>
        <w:t xml:space="preserve">continues to use </w:t>
      </w:r>
      <w:r w:rsidR="00875845" w:rsidRPr="005F719F">
        <w:rPr>
          <w:rFonts w:ascii="Times New Roman" w:hAnsi="Times New Roman" w:cs="Times New Roman"/>
        </w:rPr>
        <w:t xml:space="preserve">the </w:t>
      </w:r>
      <w:r w:rsidR="00A268B8" w:rsidRPr="005F719F">
        <w:rPr>
          <w:rFonts w:ascii="Times New Roman" w:hAnsi="Times New Roman" w:cs="Times New Roman"/>
        </w:rPr>
        <w:t>statewide</w:t>
      </w:r>
      <w:r w:rsidR="00875845" w:rsidRPr="005F719F">
        <w:rPr>
          <w:rFonts w:ascii="Times New Roman" w:hAnsi="Times New Roman" w:cs="Times New Roman"/>
        </w:rPr>
        <w:t xml:space="preserve"> career pathway curriculum </w:t>
      </w:r>
      <w:r w:rsidRPr="005F719F">
        <w:rPr>
          <w:rFonts w:ascii="Times New Roman" w:hAnsi="Times New Roman" w:cs="Times New Roman"/>
        </w:rPr>
        <w:t xml:space="preserve">via </w:t>
      </w:r>
      <w:r w:rsidR="0047308D" w:rsidRPr="005F719F">
        <w:rPr>
          <w:rFonts w:ascii="Times New Roman" w:hAnsi="Times New Roman" w:cs="Times New Roman"/>
        </w:rPr>
        <w:t>Montana Career Information System</w:t>
      </w:r>
      <w:r w:rsidR="00533421" w:rsidRPr="005F719F">
        <w:rPr>
          <w:rFonts w:ascii="Times New Roman" w:hAnsi="Times New Roman" w:cs="Times New Roman"/>
        </w:rPr>
        <w:t xml:space="preserve"> (MCIS)</w:t>
      </w:r>
      <w:r w:rsidR="00DC5EB8" w:rsidRPr="005F719F">
        <w:rPr>
          <w:rFonts w:ascii="Times New Roman" w:hAnsi="Times New Roman" w:cs="Times New Roman"/>
        </w:rPr>
        <w:t xml:space="preserve"> and our web-based m</w:t>
      </w:r>
      <w:r w:rsidR="0047308D" w:rsidRPr="005F719F">
        <w:rPr>
          <w:rFonts w:ascii="Times New Roman" w:hAnsi="Times New Roman" w:cs="Times New Roman"/>
        </w:rPr>
        <w:t xml:space="preserve">ath </w:t>
      </w:r>
      <w:r w:rsidR="00DC5EB8" w:rsidRPr="005F719F">
        <w:rPr>
          <w:rFonts w:ascii="Times New Roman" w:hAnsi="Times New Roman" w:cs="Times New Roman"/>
        </w:rPr>
        <w:t xml:space="preserve">and English </w:t>
      </w:r>
      <w:r w:rsidR="00220D0B" w:rsidRPr="005F719F">
        <w:rPr>
          <w:rFonts w:ascii="Times New Roman" w:hAnsi="Times New Roman" w:cs="Times New Roman"/>
        </w:rPr>
        <w:t xml:space="preserve">curriculum, EdReady. </w:t>
      </w:r>
      <w:r w:rsidR="00C31AA5" w:rsidRPr="005F719F">
        <w:rPr>
          <w:rFonts w:ascii="Times New Roman" w:hAnsi="Times New Roman" w:cs="Times New Roman"/>
        </w:rPr>
        <w:t xml:space="preserve"> </w:t>
      </w:r>
      <w:r w:rsidR="00196AC9" w:rsidRPr="005F719F">
        <w:rPr>
          <w:rFonts w:ascii="Times New Roman" w:hAnsi="Times New Roman" w:cs="Times New Roman"/>
        </w:rPr>
        <w:t>EdRead</w:t>
      </w:r>
      <w:r w:rsidR="003A6D95" w:rsidRPr="005F719F">
        <w:rPr>
          <w:rFonts w:ascii="Times New Roman" w:hAnsi="Times New Roman" w:cs="Times New Roman"/>
        </w:rPr>
        <w:t xml:space="preserve">y </w:t>
      </w:r>
      <w:r w:rsidRPr="005F719F">
        <w:rPr>
          <w:rFonts w:ascii="Times New Roman" w:hAnsi="Times New Roman" w:cs="Times New Roman"/>
        </w:rPr>
        <w:t>allows teachers to</w:t>
      </w:r>
      <w:r w:rsidR="00196AC9" w:rsidRPr="005F719F">
        <w:rPr>
          <w:rFonts w:ascii="Times New Roman" w:hAnsi="Times New Roman" w:cs="Times New Roman"/>
        </w:rPr>
        <w:t xml:space="preserve"> </w:t>
      </w:r>
      <w:r w:rsidR="003A6D95" w:rsidRPr="005F719F">
        <w:rPr>
          <w:rFonts w:ascii="Times New Roman" w:hAnsi="Times New Roman" w:cs="Times New Roman"/>
        </w:rPr>
        <w:t xml:space="preserve">develop and use a variety of </w:t>
      </w:r>
      <w:r w:rsidR="001C55ED" w:rsidRPr="005F719F">
        <w:rPr>
          <w:rFonts w:ascii="Times New Roman" w:hAnsi="Times New Roman" w:cs="Times New Roman"/>
        </w:rPr>
        <w:t>instructional strategies</w:t>
      </w:r>
      <w:r w:rsidR="003A6D95" w:rsidRPr="005F719F">
        <w:rPr>
          <w:rFonts w:ascii="Times New Roman" w:hAnsi="Times New Roman" w:cs="Times New Roman"/>
        </w:rPr>
        <w:t xml:space="preserve"> for lessons within</w:t>
      </w:r>
      <w:r w:rsidR="00220D0B" w:rsidRPr="005F719F">
        <w:rPr>
          <w:rFonts w:ascii="Times New Roman" w:hAnsi="Times New Roman" w:cs="Times New Roman"/>
        </w:rPr>
        <w:t xml:space="preserve"> this learning platform. </w:t>
      </w:r>
      <w:r w:rsidR="00C31AA5" w:rsidRPr="005F719F">
        <w:rPr>
          <w:rFonts w:ascii="Times New Roman" w:hAnsi="Times New Roman" w:cs="Times New Roman"/>
        </w:rPr>
        <w:t xml:space="preserve"> </w:t>
      </w:r>
      <w:r w:rsidRPr="005F719F">
        <w:rPr>
          <w:rFonts w:ascii="Times New Roman" w:hAnsi="Times New Roman" w:cs="Times New Roman"/>
        </w:rPr>
        <w:t xml:space="preserve">Teachers </w:t>
      </w:r>
      <w:r w:rsidR="001C55ED" w:rsidRPr="005F719F">
        <w:rPr>
          <w:rFonts w:ascii="Times New Roman" w:hAnsi="Times New Roman" w:cs="Times New Roman"/>
        </w:rPr>
        <w:t xml:space="preserve">across the </w:t>
      </w:r>
      <w:r w:rsidR="00A22309" w:rsidRPr="005F719F">
        <w:rPr>
          <w:rFonts w:ascii="Times New Roman" w:hAnsi="Times New Roman" w:cs="Times New Roman"/>
        </w:rPr>
        <w:t>State</w:t>
      </w:r>
      <w:r w:rsidRPr="005F719F">
        <w:rPr>
          <w:rFonts w:ascii="Times New Roman" w:hAnsi="Times New Roman" w:cs="Times New Roman"/>
        </w:rPr>
        <w:t xml:space="preserve"> </w:t>
      </w:r>
      <w:r w:rsidR="001C55ED" w:rsidRPr="005F719F">
        <w:rPr>
          <w:rFonts w:ascii="Times New Roman" w:hAnsi="Times New Roman" w:cs="Times New Roman"/>
        </w:rPr>
        <w:t xml:space="preserve">use </w:t>
      </w:r>
      <w:r w:rsidRPr="005F719F">
        <w:rPr>
          <w:rFonts w:ascii="Times New Roman" w:hAnsi="Times New Roman" w:cs="Times New Roman"/>
        </w:rPr>
        <w:t xml:space="preserve">lessons </w:t>
      </w:r>
      <w:proofErr w:type="gramStart"/>
      <w:r w:rsidR="001C55ED" w:rsidRPr="005F719F">
        <w:rPr>
          <w:rFonts w:ascii="Times New Roman" w:hAnsi="Times New Roman" w:cs="Times New Roman"/>
        </w:rPr>
        <w:t>to</w:t>
      </w:r>
      <w:r w:rsidR="00196AC9" w:rsidRPr="005F719F">
        <w:rPr>
          <w:rFonts w:ascii="Times New Roman" w:hAnsi="Times New Roman" w:cs="Times New Roman"/>
        </w:rPr>
        <w:t xml:space="preserve"> posi</w:t>
      </w:r>
      <w:r w:rsidR="001C55ED" w:rsidRPr="005F719F">
        <w:rPr>
          <w:rFonts w:ascii="Times New Roman" w:hAnsi="Times New Roman" w:cs="Times New Roman"/>
        </w:rPr>
        <w:t>t</w:t>
      </w:r>
      <w:r w:rsidR="003A6D95" w:rsidRPr="005F719F">
        <w:rPr>
          <w:rFonts w:ascii="Times New Roman" w:hAnsi="Times New Roman" w:cs="Times New Roman"/>
        </w:rPr>
        <w:t xml:space="preserve">ively </w:t>
      </w:r>
      <w:r w:rsidR="00F00E92" w:rsidRPr="005F719F">
        <w:rPr>
          <w:rFonts w:ascii="Times New Roman" w:hAnsi="Times New Roman" w:cs="Times New Roman"/>
        </w:rPr>
        <w:t>influence</w:t>
      </w:r>
      <w:proofErr w:type="gramEnd"/>
      <w:r w:rsidR="003A6D95" w:rsidRPr="005F719F">
        <w:rPr>
          <w:rFonts w:ascii="Times New Roman" w:hAnsi="Times New Roman" w:cs="Times New Roman"/>
        </w:rPr>
        <w:t xml:space="preserve"> student retention,</w:t>
      </w:r>
      <w:r w:rsidR="00196AC9" w:rsidRPr="005F719F">
        <w:rPr>
          <w:rFonts w:ascii="Times New Roman" w:hAnsi="Times New Roman" w:cs="Times New Roman"/>
        </w:rPr>
        <w:t xml:space="preserve"> hig</w:t>
      </w:r>
      <w:r w:rsidR="001C55ED" w:rsidRPr="005F719F">
        <w:rPr>
          <w:rFonts w:ascii="Times New Roman" w:hAnsi="Times New Roman" w:cs="Times New Roman"/>
        </w:rPr>
        <w:t xml:space="preserve">h school equivalency attainment, </w:t>
      </w:r>
      <w:r w:rsidR="00196AC9" w:rsidRPr="005F719F">
        <w:rPr>
          <w:rFonts w:ascii="Times New Roman" w:hAnsi="Times New Roman" w:cs="Times New Roman"/>
        </w:rPr>
        <w:t>and</w:t>
      </w:r>
      <w:r w:rsidR="001C55ED" w:rsidRPr="005F719F">
        <w:rPr>
          <w:rFonts w:ascii="Times New Roman" w:hAnsi="Times New Roman" w:cs="Times New Roman"/>
        </w:rPr>
        <w:t xml:space="preserve"> preparedness for </w:t>
      </w:r>
      <w:r w:rsidR="009B71C9" w:rsidRPr="005F719F">
        <w:rPr>
          <w:rFonts w:ascii="Times New Roman" w:hAnsi="Times New Roman" w:cs="Times New Roman"/>
        </w:rPr>
        <w:t xml:space="preserve">postsecondary education and </w:t>
      </w:r>
      <w:r w:rsidR="00196AC9" w:rsidRPr="005F719F">
        <w:rPr>
          <w:rFonts w:ascii="Times New Roman" w:hAnsi="Times New Roman" w:cs="Times New Roman"/>
        </w:rPr>
        <w:t xml:space="preserve">training. </w:t>
      </w:r>
      <w:r w:rsidR="00C31AA5" w:rsidRPr="005F719F">
        <w:rPr>
          <w:rFonts w:ascii="Times New Roman" w:hAnsi="Times New Roman" w:cs="Times New Roman"/>
        </w:rPr>
        <w:t xml:space="preserve"> </w:t>
      </w:r>
      <w:r w:rsidR="003A6D95" w:rsidRPr="005F719F">
        <w:rPr>
          <w:rFonts w:ascii="Times New Roman" w:hAnsi="Times New Roman" w:cs="Times New Roman"/>
        </w:rPr>
        <w:t xml:space="preserve">MCIS </w:t>
      </w:r>
      <w:r w:rsidRPr="005F719F">
        <w:rPr>
          <w:rFonts w:ascii="Times New Roman" w:hAnsi="Times New Roman" w:cs="Times New Roman"/>
        </w:rPr>
        <w:t xml:space="preserve">is a robust </w:t>
      </w:r>
      <w:r w:rsidR="00F00E92" w:rsidRPr="005F719F">
        <w:rPr>
          <w:rFonts w:ascii="Times New Roman" w:hAnsi="Times New Roman" w:cs="Times New Roman"/>
        </w:rPr>
        <w:t>career-planning</w:t>
      </w:r>
      <w:r w:rsidRPr="005F719F">
        <w:rPr>
          <w:rFonts w:ascii="Times New Roman" w:hAnsi="Times New Roman" w:cs="Times New Roman"/>
        </w:rPr>
        <w:t xml:space="preserve"> tool </w:t>
      </w:r>
      <w:r w:rsidR="00DE76F2" w:rsidRPr="005F719F">
        <w:rPr>
          <w:rFonts w:ascii="Times New Roman" w:hAnsi="Times New Roman" w:cs="Times New Roman"/>
        </w:rPr>
        <w:t xml:space="preserve">that </w:t>
      </w:r>
      <w:r w:rsidR="00196AC9" w:rsidRPr="005F719F">
        <w:rPr>
          <w:rFonts w:ascii="Times New Roman" w:hAnsi="Times New Roman" w:cs="Times New Roman"/>
        </w:rPr>
        <w:t>motivate</w:t>
      </w:r>
      <w:r w:rsidRPr="005F719F">
        <w:rPr>
          <w:rFonts w:ascii="Times New Roman" w:hAnsi="Times New Roman" w:cs="Times New Roman"/>
        </w:rPr>
        <w:t>s</w:t>
      </w:r>
      <w:r w:rsidR="00196AC9" w:rsidRPr="005F719F">
        <w:rPr>
          <w:rFonts w:ascii="Times New Roman" w:hAnsi="Times New Roman" w:cs="Times New Roman"/>
        </w:rPr>
        <w:t xml:space="preserve"> students to think ab</w:t>
      </w:r>
      <w:r w:rsidR="00AE3381" w:rsidRPr="005F719F">
        <w:rPr>
          <w:rFonts w:ascii="Times New Roman" w:hAnsi="Times New Roman" w:cs="Times New Roman"/>
        </w:rPr>
        <w:t>out their next steps beyond adult e</w:t>
      </w:r>
      <w:r w:rsidR="00BA795C" w:rsidRPr="005F719F">
        <w:rPr>
          <w:rFonts w:ascii="Times New Roman" w:hAnsi="Times New Roman" w:cs="Times New Roman"/>
        </w:rPr>
        <w:t xml:space="preserve">ducation </w:t>
      </w:r>
      <w:r w:rsidR="00196AC9" w:rsidRPr="005F719F">
        <w:rPr>
          <w:rFonts w:ascii="Times New Roman" w:hAnsi="Times New Roman" w:cs="Times New Roman"/>
        </w:rPr>
        <w:t>and engage</w:t>
      </w:r>
      <w:r w:rsidRPr="005F719F">
        <w:rPr>
          <w:rFonts w:ascii="Times New Roman" w:hAnsi="Times New Roman" w:cs="Times New Roman"/>
        </w:rPr>
        <w:t>s</w:t>
      </w:r>
      <w:r w:rsidR="00014C37" w:rsidRPr="005F719F">
        <w:rPr>
          <w:rFonts w:ascii="Times New Roman" w:hAnsi="Times New Roman" w:cs="Times New Roman"/>
        </w:rPr>
        <w:t xml:space="preserve"> them in thoughtful </w:t>
      </w:r>
      <w:r w:rsidR="00315CAE" w:rsidRPr="005F719F">
        <w:rPr>
          <w:rFonts w:ascii="Times New Roman" w:hAnsi="Times New Roman" w:cs="Times New Roman"/>
        </w:rPr>
        <w:t>short- and long-term</w:t>
      </w:r>
      <w:r w:rsidR="00196AC9" w:rsidRPr="005F719F">
        <w:rPr>
          <w:rFonts w:ascii="Times New Roman" w:hAnsi="Times New Roman" w:cs="Times New Roman"/>
        </w:rPr>
        <w:t xml:space="preserve"> planning for further education and job attainment. </w:t>
      </w:r>
      <w:r w:rsidR="00C31AA5" w:rsidRPr="005F719F">
        <w:rPr>
          <w:rFonts w:ascii="Times New Roman" w:hAnsi="Times New Roman" w:cs="Times New Roman"/>
        </w:rPr>
        <w:t xml:space="preserve"> </w:t>
      </w:r>
      <w:r w:rsidR="001C7B2F" w:rsidRPr="005F719F">
        <w:rPr>
          <w:rFonts w:ascii="Times New Roman" w:hAnsi="Times New Roman" w:cs="Times New Roman"/>
        </w:rPr>
        <w:t xml:space="preserve">Teachers </w:t>
      </w:r>
      <w:r w:rsidR="006061EB" w:rsidRPr="005F719F">
        <w:rPr>
          <w:rFonts w:ascii="Times New Roman" w:hAnsi="Times New Roman" w:cs="Times New Roman"/>
        </w:rPr>
        <w:t xml:space="preserve">integrate these materials </w:t>
      </w:r>
      <w:r w:rsidR="001C7B2F" w:rsidRPr="005F719F">
        <w:rPr>
          <w:rFonts w:ascii="Times New Roman" w:hAnsi="Times New Roman" w:cs="Times New Roman"/>
        </w:rPr>
        <w:t>and</w:t>
      </w:r>
      <w:r w:rsidR="006061EB" w:rsidRPr="005F719F">
        <w:rPr>
          <w:rFonts w:ascii="Times New Roman" w:hAnsi="Times New Roman" w:cs="Times New Roman"/>
        </w:rPr>
        <w:t xml:space="preserve"> learning activities into </w:t>
      </w:r>
      <w:r w:rsidR="001C7B2F" w:rsidRPr="005F719F">
        <w:rPr>
          <w:rFonts w:ascii="Times New Roman" w:hAnsi="Times New Roman" w:cs="Times New Roman"/>
        </w:rPr>
        <w:t xml:space="preserve">existing </w:t>
      </w:r>
      <w:r w:rsidR="001C55ED" w:rsidRPr="005F719F">
        <w:rPr>
          <w:rFonts w:ascii="Times New Roman" w:hAnsi="Times New Roman" w:cs="Times New Roman"/>
        </w:rPr>
        <w:t>career counseling activities.</w:t>
      </w:r>
      <w:r w:rsidR="003A6D95" w:rsidRPr="005F719F">
        <w:rPr>
          <w:rFonts w:ascii="Times New Roman" w:hAnsi="Times New Roman" w:cs="Times New Roman"/>
        </w:rPr>
        <w:t xml:space="preserve"> </w:t>
      </w:r>
      <w:r w:rsidR="00C31AA5" w:rsidRPr="005F719F">
        <w:rPr>
          <w:rFonts w:ascii="Times New Roman" w:hAnsi="Times New Roman" w:cs="Times New Roman"/>
        </w:rPr>
        <w:t xml:space="preserve"> </w:t>
      </w:r>
      <w:r w:rsidR="006061EB" w:rsidRPr="005F719F">
        <w:rPr>
          <w:rFonts w:ascii="Times New Roman" w:hAnsi="Times New Roman" w:cs="Times New Roman"/>
        </w:rPr>
        <w:t xml:space="preserve">The use of MCIS and EdReady </w:t>
      </w:r>
      <w:r w:rsidR="003A6D95" w:rsidRPr="005F719F">
        <w:rPr>
          <w:rFonts w:ascii="Times New Roman" w:hAnsi="Times New Roman" w:cs="Times New Roman"/>
        </w:rPr>
        <w:t>create</w:t>
      </w:r>
      <w:r w:rsidR="006061EB" w:rsidRPr="005F719F">
        <w:rPr>
          <w:rFonts w:ascii="Times New Roman" w:hAnsi="Times New Roman" w:cs="Times New Roman"/>
        </w:rPr>
        <w:t>s</w:t>
      </w:r>
      <w:r w:rsidR="003A6D95" w:rsidRPr="005F719F">
        <w:rPr>
          <w:rFonts w:ascii="Times New Roman" w:hAnsi="Times New Roman" w:cs="Times New Roman"/>
        </w:rPr>
        <w:t xml:space="preserve"> a systemic approach to adult education instruction across programs.</w:t>
      </w:r>
      <w:r w:rsidR="00014C37" w:rsidRPr="005F719F">
        <w:rPr>
          <w:rFonts w:ascii="Times New Roman" w:hAnsi="Times New Roman" w:cs="Times New Roman"/>
        </w:rPr>
        <w:t xml:space="preserve"> </w:t>
      </w:r>
      <w:r w:rsidR="00C31AA5" w:rsidRPr="005F719F">
        <w:rPr>
          <w:rFonts w:ascii="Times New Roman" w:hAnsi="Times New Roman" w:cs="Times New Roman"/>
        </w:rPr>
        <w:t xml:space="preserve"> </w:t>
      </w:r>
      <w:r w:rsidR="00833295" w:rsidRPr="005F719F">
        <w:rPr>
          <w:rFonts w:ascii="Times New Roman" w:hAnsi="Times New Roman" w:cs="Times New Roman"/>
        </w:rPr>
        <w:t xml:space="preserve">In addition, the State includes components relevant to career pathways during fall/spring meetings and adult education staff have opportunities to network and learn from </w:t>
      </w:r>
      <w:r w:rsidR="00833295" w:rsidRPr="005F719F">
        <w:rPr>
          <w:rFonts w:ascii="Times New Roman" w:hAnsi="Times New Roman" w:cs="Times New Roman"/>
        </w:rPr>
        <w:lastRenderedPageBreak/>
        <w:t>colleagues throughout the State.</w:t>
      </w:r>
      <w:r w:rsidR="007A01B4" w:rsidRPr="005F719F">
        <w:rPr>
          <w:rFonts w:ascii="Times New Roman" w:hAnsi="Times New Roman" w:cs="Times New Roman"/>
        </w:rPr>
        <w:t xml:space="preserve">  The State also created an IET work group that will convene </w:t>
      </w:r>
      <w:proofErr w:type="gramStart"/>
      <w:r w:rsidR="00F00E92" w:rsidRPr="005F719F">
        <w:rPr>
          <w:rFonts w:ascii="Times New Roman" w:hAnsi="Times New Roman" w:cs="Times New Roman"/>
        </w:rPr>
        <w:t>F</w:t>
      </w:r>
      <w:r w:rsidR="007A01B4" w:rsidRPr="005F719F">
        <w:rPr>
          <w:rFonts w:ascii="Times New Roman" w:hAnsi="Times New Roman" w:cs="Times New Roman"/>
        </w:rPr>
        <w:t>all</w:t>
      </w:r>
      <w:proofErr w:type="gramEnd"/>
      <w:r w:rsidR="007A01B4" w:rsidRPr="005F719F">
        <w:rPr>
          <w:rFonts w:ascii="Times New Roman" w:hAnsi="Times New Roman" w:cs="Times New Roman"/>
        </w:rPr>
        <w:t xml:space="preserve"> 2020 to focus efforts on IET program development, resources, and best practices.</w:t>
      </w:r>
    </w:p>
    <w:p w14:paraId="0FF37635" w14:textId="77777777" w:rsidR="00CF35E8" w:rsidRPr="005F719F" w:rsidRDefault="00CF35E8" w:rsidP="00CF35E8">
      <w:pPr>
        <w:autoSpaceDE w:val="0"/>
        <w:autoSpaceDN w:val="0"/>
        <w:adjustRightInd w:val="0"/>
        <w:spacing w:after="0" w:line="240" w:lineRule="auto"/>
        <w:ind w:left="720"/>
        <w:rPr>
          <w:rFonts w:ascii="Times New Roman" w:hAnsi="Times New Roman" w:cs="Times New Roman"/>
        </w:rPr>
      </w:pPr>
    </w:p>
    <w:p w14:paraId="0A0A9577" w14:textId="28327DF7" w:rsidR="001D4BE9" w:rsidRPr="005F719F" w:rsidRDefault="00D631C0" w:rsidP="006061EB">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 xml:space="preserve">The </w:t>
      </w:r>
      <w:r w:rsidR="00D371D4" w:rsidRPr="005F719F">
        <w:rPr>
          <w:rFonts w:ascii="Times New Roman" w:hAnsi="Times New Roman" w:cs="Times New Roman"/>
        </w:rPr>
        <w:t>COVID-19</w:t>
      </w:r>
      <w:r w:rsidRPr="005F719F">
        <w:rPr>
          <w:rFonts w:ascii="Times New Roman" w:hAnsi="Times New Roman" w:cs="Times New Roman"/>
        </w:rPr>
        <w:t xml:space="preserve"> pandemic has been challenging for Montana, just as</w:t>
      </w:r>
      <w:r w:rsidR="00756690" w:rsidRPr="005F719F">
        <w:rPr>
          <w:rFonts w:ascii="Times New Roman" w:hAnsi="Times New Roman" w:cs="Times New Roman"/>
        </w:rPr>
        <w:t xml:space="preserve"> </w:t>
      </w:r>
      <w:r w:rsidR="00DB04EE" w:rsidRPr="005F719F">
        <w:rPr>
          <w:rFonts w:ascii="Times New Roman" w:hAnsi="Times New Roman" w:cs="Times New Roman"/>
        </w:rPr>
        <w:t xml:space="preserve">it has been </w:t>
      </w:r>
      <w:r w:rsidR="00756690" w:rsidRPr="005F719F">
        <w:rPr>
          <w:rFonts w:ascii="Times New Roman" w:hAnsi="Times New Roman" w:cs="Times New Roman"/>
        </w:rPr>
        <w:t>for</w:t>
      </w:r>
      <w:r w:rsidRPr="005F719F">
        <w:rPr>
          <w:rFonts w:ascii="Times New Roman" w:hAnsi="Times New Roman" w:cs="Times New Roman"/>
        </w:rPr>
        <w:t xml:space="preserve"> other areas of the nation.</w:t>
      </w:r>
      <w:r w:rsidR="00377D66" w:rsidRPr="005F719F">
        <w:rPr>
          <w:rFonts w:ascii="Times New Roman" w:hAnsi="Times New Roman" w:cs="Times New Roman"/>
        </w:rPr>
        <w:t xml:space="preserve">  As of </w:t>
      </w:r>
      <w:r w:rsidRPr="005F719F">
        <w:rPr>
          <w:rFonts w:ascii="Times New Roman" w:hAnsi="Times New Roman" w:cs="Times New Roman"/>
        </w:rPr>
        <w:t>March 2020</w:t>
      </w:r>
      <w:r w:rsidR="00377D66" w:rsidRPr="005F719F">
        <w:rPr>
          <w:rFonts w:ascii="Times New Roman" w:hAnsi="Times New Roman" w:cs="Times New Roman"/>
        </w:rPr>
        <w:t xml:space="preserve">, WIOA Title II Adult Education </w:t>
      </w:r>
      <w:r w:rsidR="00C31AA5" w:rsidRPr="005F719F">
        <w:rPr>
          <w:rFonts w:ascii="Times New Roman" w:hAnsi="Times New Roman" w:cs="Times New Roman"/>
        </w:rPr>
        <w:t>p</w:t>
      </w:r>
      <w:r w:rsidR="00377D66" w:rsidRPr="005F719F">
        <w:rPr>
          <w:rFonts w:ascii="Times New Roman" w:hAnsi="Times New Roman" w:cs="Times New Roman"/>
        </w:rPr>
        <w:t xml:space="preserve">roviders faced facility closures and </w:t>
      </w:r>
      <w:proofErr w:type="gramStart"/>
      <w:r w:rsidR="00377D66" w:rsidRPr="005F719F">
        <w:rPr>
          <w:rFonts w:ascii="Times New Roman" w:hAnsi="Times New Roman" w:cs="Times New Roman"/>
        </w:rPr>
        <w:t>were tasked</w:t>
      </w:r>
      <w:proofErr w:type="gramEnd"/>
      <w:r w:rsidR="00377D66" w:rsidRPr="005F719F">
        <w:rPr>
          <w:rFonts w:ascii="Times New Roman" w:hAnsi="Times New Roman" w:cs="Times New Roman"/>
        </w:rPr>
        <w:t xml:space="preserve"> with transitioning educational services to a virtual format.  </w:t>
      </w:r>
      <w:r w:rsidR="0095610D" w:rsidRPr="005F719F">
        <w:rPr>
          <w:rFonts w:ascii="Times New Roman" w:hAnsi="Times New Roman" w:cs="Times New Roman"/>
        </w:rPr>
        <w:t xml:space="preserve">Programs </w:t>
      </w:r>
      <w:r w:rsidR="00DB04EE" w:rsidRPr="005F719F">
        <w:rPr>
          <w:rFonts w:ascii="Times New Roman" w:hAnsi="Times New Roman" w:cs="Times New Roman"/>
        </w:rPr>
        <w:t xml:space="preserve">then </w:t>
      </w:r>
      <w:r w:rsidR="0095610D" w:rsidRPr="005F719F">
        <w:rPr>
          <w:rFonts w:ascii="Times New Roman" w:hAnsi="Times New Roman" w:cs="Times New Roman"/>
        </w:rPr>
        <w:t>operated at a reduced capacity, virtually, or in a hybrid f</w:t>
      </w:r>
      <w:r w:rsidR="00C31AA5" w:rsidRPr="005F719F">
        <w:rPr>
          <w:rFonts w:ascii="Times New Roman" w:hAnsi="Times New Roman" w:cs="Times New Roman"/>
        </w:rPr>
        <w:t>ashion</w:t>
      </w:r>
      <w:r w:rsidR="0095610D" w:rsidRPr="005F719F">
        <w:rPr>
          <w:rFonts w:ascii="Times New Roman" w:hAnsi="Times New Roman" w:cs="Times New Roman"/>
        </w:rPr>
        <w:t xml:space="preserve"> through the end of the program year.  </w:t>
      </w:r>
      <w:r w:rsidR="00377D66" w:rsidRPr="005F719F">
        <w:rPr>
          <w:rFonts w:ascii="Times New Roman" w:hAnsi="Times New Roman" w:cs="Times New Roman"/>
        </w:rPr>
        <w:t xml:space="preserve">The State saw an increase in requests to approve additional distance learning platforms and programs began assessing students virtually using TABE and/or </w:t>
      </w:r>
      <w:r w:rsidR="00E469FE" w:rsidRPr="005F719F">
        <w:rPr>
          <w:rFonts w:ascii="Times New Roman" w:hAnsi="Times New Roman" w:cs="Times New Roman"/>
        </w:rPr>
        <w:t xml:space="preserve">informal assessments.  Programs </w:t>
      </w:r>
      <w:r w:rsidR="00377D66" w:rsidRPr="005F719F">
        <w:rPr>
          <w:rFonts w:ascii="Times New Roman" w:hAnsi="Times New Roman" w:cs="Times New Roman"/>
        </w:rPr>
        <w:t xml:space="preserve">became innovative </w:t>
      </w:r>
      <w:r w:rsidR="00DB04EE" w:rsidRPr="005F719F">
        <w:rPr>
          <w:rFonts w:ascii="Times New Roman" w:hAnsi="Times New Roman" w:cs="Times New Roman"/>
        </w:rPr>
        <w:t xml:space="preserve">and </w:t>
      </w:r>
      <w:r w:rsidR="0095610D" w:rsidRPr="005F719F">
        <w:rPr>
          <w:rFonts w:ascii="Times New Roman" w:hAnsi="Times New Roman" w:cs="Times New Roman"/>
        </w:rPr>
        <w:t xml:space="preserve">creative </w:t>
      </w:r>
      <w:r w:rsidR="00377D66" w:rsidRPr="005F719F">
        <w:rPr>
          <w:rFonts w:ascii="Times New Roman" w:hAnsi="Times New Roman" w:cs="Times New Roman"/>
        </w:rPr>
        <w:t>in order to serve students via Zoom, Google,</w:t>
      </w:r>
      <w:r w:rsidR="0095610D" w:rsidRPr="005F719F">
        <w:rPr>
          <w:rFonts w:ascii="Times New Roman" w:hAnsi="Times New Roman" w:cs="Times New Roman"/>
        </w:rPr>
        <w:t xml:space="preserve"> telephone</w:t>
      </w:r>
      <w:r w:rsidR="00377D66" w:rsidRPr="005F719F">
        <w:rPr>
          <w:rFonts w:ascii="Times New Roman" w:hAnsi="Times New Roman" w:cs="Times New Roman"/>
        </w:rPr>
        <w:t xml:space="preserve">, etc.  In fact, some local program staff even went into the homes of students to get technology </w:t>
      </w:r>
      <w:r w:rsidR="00756690" w:rsidRPr="005F719F">
        <w:rPr>
          <w:rFonts w:ascii="Times New Roman" w:hAnsi="Times New Roman" w:cs="Times New Roman"/>
        </w:rPr>
        <w:t xml:space="preserve">setups </w:t>
      </w:r>
      <w:r w:rsidR="00377D66" w:rsidRPr="005F719F">
        <w:rPr>
          <w:rFonts w:ascii="Times New Roman" w:hAnsi="Times New Roman" w:cs="Times New Roman"/>
        </w:rPr>
        <w:t>established.</w:t>
      </w:r>
    </w:p>
    <w:p w14:paraId="5314B146" w14:textId="77777777" w:rsidR="001D4BE9" w:rsidRPr="005F719F" w:rsidRDefault="001D4BE9" w:rsidP="001D4BE9">
      <w:pPr>
        <w:autoSpaceDE w:val="0"/>
        <w:autoSpaceDN w:val="0"/>
        <w:adjustRightInd w:val="0"/>
        <w:spacing w:after="0" w:line="240" w:lineRule="auto"/>
        <w:rPr>
          <w:rFonts w:ascii="Times New Roman" w:hAnsi="Times New Roman" w:cs="Times New Roman"/>
        </w:rPr>
      </w:pPr>
    </w:p>
    <w:p w14:paraId="5BE1A95D" w14:textId="77777777" w:rsidR="001D4BE9" w:rsidRPr="005F719F" w:rsidRDefault="001D4BE9" w:rsidP="001D4BE9">
      <w:pPr>
        <w:pStyle w:val="ListParagraph"/>
        <w:numPr>
          <w:ilvl w:val="0"/>
          <w:numId w:val="1"/>
        </w:num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rPr>
        <w:t>Establishment or operation of a high quality professional development programs as</w:t>
      </w:r>
    </w:p>
    <w:p w14:paraId="7B2B33F1" w14:textId="77777777" w:rsidR="00F917C3" w:rsidRPr="005F719F" w:rsidRDefault="001D4BE9" w:rsidP="00316160">
      <w:pPr>
        <w:autoSpaceDE w:val="0"/>
        <w:autoSpaceDN w:val="0"/>
        <w:adjustRightInd w:val="0"/>
        <w:spacing w:after="0" w:line="240" w:lineRule="auto"/>
        <w:ind w:left="720"/>
        <w:rPr>
          <w:rFonts w:ascii="Times New Roman" w:hAnsi="Times New Roman" w:cs="Times New Roman"/>
          <w:b/>
        </w:rPr>
      </w:pPr>
      <w:proofErr w:type="gramStart"/>
      <w:r w:rsidRPr="005F719F">
        <w:rPr>
          <w:rFonts w:ascii="Times New Roman" w:hAnsi="Times New Roman" w:cs="Times New Roman"/>
          <w:b/>
        </w:rPr>
        <w:t>described</w:t>
      </w:r>
      <w:proofErr w:type="gramEnd"/>
      <w:r w:rsidRPr="005F719F">
        <w:rPr>
          <w:rFonts w:ascii="Times New Roman" w:hAnsi="Times New Roman" w:cs="Times New Roman"/>
          <w:b/>
        </w:rPr>
        <w:t xml:space="preserve"> in section 223(1)(b).</w:t>
      </w:r>
      <w:r w:rsidR="00316160" w:rsidRPr="005F719F">
        <w:rPr>
          <w:rFonts w:ascii="Times New Roman" w:hAnsi="Times New Roman" w:cs="Times New Roman"/>
          <w:b/>
        </w:rPr>
        <w:t xml:space="preserve"> </w:t>
      </w:r>
    </w:p>
    <w:p w14:paraId="4374989D" w14:textId="77777777" w:rsidR="00F917C3" w:rsidRPr="005F719F" w:rsidRDefault="00F917C3" w:rsidP="00316160">
      <w:pPr>
        <w:autoSpaceDE w:val="0"/>
        <w:autoSpaceDN w:val="0"/>
        <w:adjustRightInd w:val="0"/>
        <w:spacing w:after="0" w:line="240" w:lineRule="auto"/>
        <w:ind w:left="720"/>
        <w:rPr>
          <w:rFonts w:ascii="Times New Roman" w:hAnsi="Times New Roman" w:cs="Times New Roman"/>
          <w:b/>
        </w:rPr>
      </w:pPr>
    </w:p>
    <w:p w14:paraId="6B0FA6CF" w14:textId="469F7638" w:rsidR="00F917C3" w:rsidRPr="005F719F" w:rsidRDefault="00F917C3" w:rsidP="00316160">
      <w:pPr>
        <w:autoSpaceDE w:val="0"/>
        <w:autoSpaceDN w:val="0"/>
        <w:adjustRightInd w:val="0"/>
        <w:spacing w:after="0" w:line="240" w:lineRule="auto"/>
        <w:ind w:left="720"/>
        <w:rPr>
          <w:rFonts w:ascii="Times New Roman" w:hAnsi="Times New Roman" w:cs="Times New Roman"/>
          <w:color w:val="000000" w:themeColor="text1"/>
        </w:rPr>
      </w:pPr>
      <w:r w:rsidRPr="005F719F">
        <w:rPr>
          <w:rFonts w:ascii="Times New Roman" w:hAnsi="Times New Roman" w:cs="Times New Roman"/>
          <w:color w:val="000000" w:themeColor="text1"/>
        </w:rPr>
        <w:t xml:space="preserve">The </w:t>
      </w:r>
      <w:r w:rsidR="00A22309" w:rsidRPr="005F719F">
        <w:rPr>
          <w:rFonts w:ascii="Times New Roman" w:hAnsi="Times New Roman" w:cs="Times New Roman"/>
          <w:color w:val="000000" w:themeColor="text1"/>
        </w:rPr>
        <w:t>State</w:t>
      </w:r>
      <w:r w:rsidR="00B141F9" w:rsidRPr="005F719F">
        <w:rPr>
          <w:rFonts w:ascii="Times New Roman" w:hAnsi="Times New Roman" w:cs="Times New Roman"/>
          <w:color w:val="000000" w:themeColor="text1"/>
        </w:rPr>
        <w:t xml:space="preserve"> d</w:t>
      </w:r>
      <w:r w:rsidR="00400A20" w:rsidRPr="005F719F">
        <w:rPr>
          <w:rFonts w:ascii="Times New Roman" w:hAnsi="Times New Roman" w:cs="Times New Roman"/>
          <w:color w:val="000000" w:themeColor="text1"/>
        </w:rPr>
        <w:t>etermined that an essential element of a</w:t>
      </w:r>
      <w:r w:rsidR="00B141F9" w:rsidRPr="005F719F">
        <w:rPr>
          <w:rFonts w:ascii="Times New Roman" w:hAnsi="Times New Roman" w:cs="Times New Roman"/>
          <w:color w:val="000000" w:themeColor="text1"/>
        </w:rPr>
        <w:t xml:space="preserve"> hi</w:t>
      </w:r>
      <w:r w:rsidR="00400A20" w:rsidRPr="005F719F">
        <w:rPr>
          <w:rFonts w:ascii="Times New Roman" w:hAnsi="Times New Roman" w:cs="Times New Roman"/>
          <w:color w:val="000000" w:themeColor="text1"/>
        </w:rPr>
        <w:t>gh quality professional development program</w:t>
      </w:r>
      <w:r w:rsidR="00B141F9" w:rsidRPr="005F719F">
        <w:rPr>
          <w:rFonts w:ascii="Times New Roman" w:hAnsi="Times New Roman" w:cs="Times New Roman"/>
          <w:color w:val="000000" w:themeColor="text1"/>
        </w:rPr>
        <w:t xml:space="preserve"> was the establis</w:t>
      </w:r>
      <w:r w:rsidR="00400A20" w:rsidRPr="005F719F">
        <w:rPr>
          <w:rFonts w:ascii="Times New Roman" w:hAnsi="Times New Roman" w:cs="Times New Roman"/>
          <w:color w:val="000000" w:themeColor="text1"/>
        </w:rPr>
        <w:t xml:space="preserve">hment of rules regarding </w:t>
      </w:r>
      <w:r w:rsidR="00B141F9" w:rsidRPr="005F719F">
        <w:rPr>
          <w:rFonts w:ascii="Times New Roman" w:hAnsi="Times New Roman" w:cs="Times New Roman"/>
          <w:color w:val="000000" w:themeColor="text1"/>
        </w:rPr>
        <w:t xml:space="preserve">required hours for professional development and the ability to track teacher participation. </w:t>
      </w:r>
      <w:r w:rsidR="002C008D" w:rsidRPr="005F719F">
        <w:rPr>
          <w:rFonts w:ascii="Times New Roman" w:hAnsi="Times New Roman" w:cs="Times New Roman"/>
          <w:color w:val="000000" w:themeColor="text1"/>
        </w:rPr>
        <w:t xml:space="preserve"> </w:t>
      </w:r>
      <w:r w:rsidR="00B141F9" w:rsidRPr="005F719F">
        <w:rPr>
          <w:rFonts w:ascii="Times New Roman" w:hAnsi="Times New Roman" w:cs="Times New Roman"/>
          <w:color w:val="000000" w:themeColor="text1"/>
        </w:rPr>
        <w:t xml:space="preserve">Therefore, the </w:t>
      </w:r>
      <w:r w:rsidR="00A22309" w:rsidRPr="005F719F">
        <w:rPr>
          <w:rFonts w:ascii="Times New Roman" w:hAnsi="Times New Roman" w:cs="Times New Roman"/>
          <w:color w:val="000000" w:themeColor="text1"/>
        </w:rPr>
        <w:t>State</w:t>
      </w:r>
      <w:r w:rsidR="00B141F9" w:rsidRPr="005F719F">
        <w:rPr>
          <w:rFonts w:ascii="Times New Roman" w:hAnsi="Times New Roman" w:cs="Times New Roman"/>
          <w:color w:val="000000" w:themeColor="text1"/>
        </w:rPr>
        <w:t xml:space="preserve"> developed business language for a professional </w:t>
      </w:r>
      <w:proofErr w:type="gramStart"/>
      <w:r w:rsidR="00B141F9" w:rsidRPr="005F719F">
        <w:rPr>
          <w:rFonts w:ascii="Times New Roman" w:hAnsi="Times New Roman" w:cs="Times New Roman"/>
          <w:color w:val="000000" w:themeColor="text1"/>
        </w:rPr>
        <w:t>development tracking</w:t>
      </w:r>
      <w:proofErr w:type="gramEnd"/>
      <w:r w:rsidR="00B141F9" w:rsidRPr="005F719F">
        <w:rPr>
          <w:rFonts w:ascii="Times New Roman" w:hAnsi="Times New Roman" w:cs="Times New Roman"/>
          <w:color w:val="000000" w:themeColor="text1"/>
        </w:rPr>
        <w:t xml:space="preserve"> component </w:t>
      </w:r>
      <w:r w:rsidR="00F91780" w:rsidRPr="005F719F">
        <w:rPr>
          <w:rFonts w:ascii="Times New Roman" w:hAnsi="Times New Roman" w:cs="Times New Roman"/>
          <w:color w:val="000000" w:themeColor="text1"/>
        </w:rPr>
        <w:t xml:space="preserve">that </w:t>
      </w:r>
      <w:r w:rsidR="0095610D" w:rsidRPr="005F719F">
        <w:rPr>
          <w:rFonts w:ascii="Times New Roman" w:hAnsi="Times New Roman" w:cs="Times New Roman"/>
          <w:color w:val="000000" w:themeColor="text1"/>
        </w:rPr>
        <w:t>is</w:t>
      </w:r>
      <w:r w:rsidR="009013E2" w:rsidRPr="005F719F">
        <w:rPr>
          <w:rFonts w:ascii="Times New Roman" w:hAnsi="Times New Roman" w:cs="Times New Roman"/>
          <w:color w:val="000000" w:themeColor="text1"/>
        </w:rPr>
        <w:t xml:space="preserve"> </w:t>
      </w:r>
      <w:r w:rsidR="00B141F9" w:rsidRPr="005F719F">
        <w:rPr>
          <w:rFonts w:ascii="Times New Roman" w:hAnsi="Times New Roman" w:cs="Times New Roman"/>
          <w:color w:val="000000" w:themeColor="text1"/>
        </w:rPr>
        <w:t xml:space="preserve">included in </w:t>
      </w:r>
      <w:r w:rsidR="00E469FE" w:rsidRPr="005F719F">
        <w:rPr>
          <w:rFonts w:ascii="Times New Roman" w:hAnsi="Times New Roman" w:cs="Times New Roman"/>
          <w:color w:val="000000" w:themeColor="text1"/>
        </w:rPr>
        <w:t xml:space="preserve">the </w:t>
      </w:r>
      <w:r w:rsidR="0095610D" w:rsidRPr="005F719F">
        <w:rPr>
          <w:rFonts w:ascii="Times New Roman" w:hAnsi="Times New Roman" w:cs="Times New Roman"/>
          <w:color w:val="000000" w:themeColor="text1"/>
        </w:rPr>
        <w:t>data management</w:t>
      </w:r>
      <w:r w:rsidR="009013E2" w:rsidRPr="005F719F">
        <w:rPr>
          <w:rFonts w:ascii="Times New Roman" w:hAnsi="Times New Roman" w:cs="Times New Roman"/>
          <w:color w:val="000000" w:themeColor="text1"/>
        </w:rPr>
        <w:t xml:space="preserve"> system. </w:t>
      </w:r>
      <w:r w:rsidR="002C008D" w:rsidRPr="005F719F">
        <w:rPr>
          <w:rFonts w:ascii="Times New Roman" w:hAnsi="Times New Roman" w:cs="Times New Roman"/>
          <w:color w:val="000000" w:themeColor="text1"/>
        </w:rPr>
        <w:t xml:space="preserve"> </w:t>
      </w:r>
      <w:r w:rsidR="008417BC" w:rsidRPr="005F719F">
        <w:rPr>
          <w:rFonts w:ascii="Times New Roman" w:hAnsi="Times New Roman" w:cs="Times New Roman"/>
          <w:color w:val="000000" w:themeColor="text1"/>
        </w:rPr>
        <w:t xml:space="preserve">The State policies </w:t>
      </w:r>
      <w:proofErr w:type="gramStart"/>
      <w:r w:rsidR="008417BC" w:rsidRPr="005F719F">
        <w:rPr>
          <w:rFonts w:ascii="Times New Roman" w:hAnsi="Times New Roman" w:cs="Times New Roman"/>
          <w:color w:val="000000" w:themeColor="text1"/>
        </w:rPr>
        <w:t>were updated</w:t>
      </w:r>
      <w:proofErr w:type="gramEnd"/>
      <w:r w:rsidR="008417BC" w:rsidRPr="005F719F">
        <w:rPr>
          <w:rFonts w:ascii="Times New Roman" w:hAnsi="Times New Roman" w:cs="Times New Roman"/>
          <w:color w:val="000000" w:themeColor="text1"/>
        </w:rPr>
        <w:t>, as t</w:t>
      </w:r>
      <w:r w:rsidR="009013E2" w:rsidRPr="005F719F">
        <w:rPr>
          <w:rFonts w:ascii="Times New Roman" w:hAnsi="Times New Roman" w:cs="Times New Roman"/>
          <w:color w:val="000000" w:themeColor="text1"/>
        </w:rPr>
        <w:t>his g</w:t>
      </w:r>
      <w:r w:rsidR="00400A20" w:rsidRPr="005F719F">
        <w:rPr>
          <w:rFonts w:ascii="Times New Roman" w:hAnsi="Times New Roman" w:cs="Times New Roman"/>
          <w:color w:val="000000" w:themeColor="text1"/>
        </w:rPr>
        <w:t>ive</w:t>
      </w:r>
      <w:r w:rsidR="009013E2" w:rsidRPr="005F719F">
        <w:rPr>
          <w:rFonts w:ascii="Times New Roman" w:hAnsi="Times New Roman" w:cs="Times New Roman"/>
          <w:color w:val="000000" w:themeColor="text1"/>
        </w:rPr>
        <w:t>s</w:t>
      </w:r>
      <w:r w:rsidR="00400A20" w:rsidRPr="005F719F">
        <w:rPr>
          <w:rFonts w:ascii="Times New Roman" w:hAnsi="Times New Roman" w:cs="Times New Roman"/>
          <w:color w:val="000000" w:themeColor="text1"/>
        </w:rPr>
        <w:t xml:space="preserve"> the </w:t>
      </w:r>
      <w:r w:rsidR="00A22309" w:rsidRPr="005F719F">
        <w:rPr>
          <w:rFonts w:ascii="Times New Roman" w:hAnsi="Times New Roman" w:cs="Times New Roman"/>
          <w:color w:val="000000" w:themeColor="text1"/>
        </w:rPr>
        <w:t>State</w:t>
      </w:r>
      <w:r w:rsidR="00B141F9" w:rsidRPr="005F719F">
        <w:rPr>
          <w:rFonts w:ascii="Times New Roman" w:hAnsi="Times New Roman" w:cs="Times New Roman"/>
          <w:color w:val="000000" w:themeColor="text1"/>
        </w:rPr>
        <w:t xml:space="preserve"> the ability to analyze teacher participation in professional development and its impact on student outcomes.</w:t>
      </w:r>
      <w:r w:rsidR="000D316D" w:rsidRPr="005F719F">
        <w:rPr>
          <w:rFonts w:ascii="Times New Roman" w:hAnsi="Times New Roman" w:cs="Times New Roman"/>
          <w:color w:val="000000" w:themeColor="text1"/>
        </w:rPr>
        <w:t xml:space="preserve"> </w:t>
      </w:r>
      <w:r w:rsidR="002C008D" w:rsidRPr="005F719F">
        <w:rPr>
          <w:rFonts w:ascii="Times New Roman" w:hAnsi="Times New Roman" w:cs="Times New Roman"/>
          <w:color w:val="000000" w:themeColor="text1"/>
        </w:rPr>
        <w:t xml:space="preserve"> </w:t>
      </w:r>
      <w:r w:rsidR="009B71C9" w:rsidRPr="005F719F">
        <w:rPr>
          <w:rFonts w:ascii="Times New Roman" w:hAnsi="Times New Roman" w:cs="Times New Roman"/>
          <w:color w:val="000000" w:themeColor="text1"/>
        </w:rPr>
        <w:t xml:space="preserve">All programs </w:t>
      </w:r>
      <w:r w:rsidR="001057DD" w:rsidRPr="005F719F">
        <w:rPr>
          <w:rFonts w:ascii="Times New Roman" w:hAnsi="Times New Roman" w:cs="Times New Roman"/>
          <w:color w:val="000000" w:themeColor="text1"/>
        </w:rPr>
        <w:t>are expected to participate in S</w:t>
      </w:r>
      <w:r w:rsidR="009B71C9" w:rsidRPr="005F719F">
        <w:rPr>
          <w:rFonts w:ascii="Times New Roman" w:hAnsi="Times New Roman" w:cs="Times New Roman"/>
          <w:color w:val="000000" w:themeColor="text1"/>
        </w:rPr>
        <w:t xml:space="preserve">tate sponsored professional development activities as well as </w:t>
      </w:r>
      <w:r w:rsidR="0095610D" w:rsidRPr="005F719F">
        <w:rPr>
          <w:rFonts w:ascii="Times New Roman" w:hAnsi="Times New Roman" w:cs="Times New Roman"/>
          <w:color w:val="000000" w:themeColor="text1"/>
        </w:rPr>
        <w:t xml:space="preserve">required </w:t>
      </w:r>
      <w:r w:rsidR="009B71C9" w:rsidRPr="005F719F">
        <w:rPr>
          <w:rFonts w:ascii="Times New Roman" w:hAnsi="Times New Roman" w:cs="Times New Roman"/>
          <w:color w:val="000000" w:themeColor="text1"/>
        </w:rPr>
        <w:t>to seek out other professional development opportunities that align with their specific needs.</w:t>
      </w:r>
    </w:p>
    <w:p w14:paraId="527F42FE" w14:textId="77777777" w:rsidR="00B141F9" w:rsidRPr="005F719F" w:rsidRDefault="00B141F9" w:rsidP="00B141F9">
      <w:pPr>
        <w:autoSpaceDE w:val="0"/>
        <w:autoSpaceDN w:val="0"/>
        <w:adjustRightInd w:val="0"/>
        <w:spacing w:after="0" w:line="240" w:lineRule="auto"/>
        <w:rPr>
          <w:rFonts w:ascii="Times New Roman" w:hAnsi="Times New Roman" w:cs="Times New Roman"/>
          <w:color w:val="FFC000"/>
        </w:rPr>
      </w:pPr>
    </w:p>
    <w:p w14:paraId="7739E469" w14:textId="2BEC680B" w:rsidR="002803BE" w:rsidRPr="005F719F" w:rsidRDefault="009013E2" w:rsidP="00B141F9">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The</w:t>
      </w:r>
      <w:r w:rsidR="00B141F9" w:rsidRPr="005F719F">
        <w:rPr>
          <w:rFonts w:ascii="Times New Roman" w:hAnsi="Times New Roman" w:cs="Times New Roman"/>
        </w:rPr>
        <w:t xml:space="preserve"> </w:t>
      </w:r>
      <w:r w:rsidR="00A22309" w:rsidRPr="005F719F">
        <w:rPr>
          <w:rFonts w:ascii="Times New Roman" w:hAnsi="Times New Roman" w:cs="Times New Roman"/>
        </w:rPr>
        <w:t>State</w:t>
      </w:r>
      <w:r w:rsidRPr="005F719F">
        <w:rPr>
          <w:rFonts w:ascii="Times New Roman" w:hAnsi="Times New Roman" w:cs="Times New Roman"/>
        </w:rPr>
        <w:t xml:space="preserve"> </w:t>
      </w:r>
      <w:r w:rsidR="0095610D" w:rsidRPr="005F719F">
        <w:rPr>
          <w:rFonts w:ascii="Times New Roman" w:hAnsi="Times New Roman" w:cs="Times New Roman"/>
        </w:rPr>
        <w:t>regularly</w:t>
      </w:r>
      <w:r w:rsidR="00B141F9" w:rsidRPr="005F719F">
        <w:rPr>
          <w:rFonts w:ascii="Times New Roman" w:hAnsi="Times New Roman" w:cs="Times New Roman"/>
        </w:rPr>
        <w:t xml:space="preserve"> elicit</w:t>
      </w:r>
      <w:r w:rsidR="0095610D" w:rsidRPr="005F719F">
        <w:rPr>
          <w:rFonts w:ascii="Times New Roman" w:hAnsi="Times New Roman" w:cs="Times New Roman"/>
        </w:rPr>
        <w:t>s</w:t>
      </w:r>
      <w:r w:rsidR="00B141F9" w:rsidRPr="005F719F">
        <w:rPr>
          <w:rFonts w:ascii="Times New Roman" w:hAnsi="Times New Roman" w:cs="Times New Roman"/>
        </w:rPr>
        <w:t xml:space="preserve"> feedback from teachers to generate an understanding </w:t>
      </w:r>
      <w:r w:rsidR="00C251BD" w:rsidRPr="005F719F">
        <w:rPr>
          <w:rFonts w:ascii="Times New Roman" w:hAnsi="Times New Roman" w:cs="Times New Roman"/>
        </w:rPr>
        <w:t xml:space="preserve">from </w:t>
      </w:r>
      <w:r w:rsidR="00B141F9" w:rsidRPr="005F719F">
        <w:rPr>
          <w:rFonts w:ascii="Times New Roman" w:hAnsi="Times New Roman" w:cs="Times New Roman"/>
        </w:rPr>
        <w:t xml:space="preserve">their perspective on what is </w:t>
      </w:r>
      <w:r w:rsidR="002C008D" w:rsidRPr="005F719F">
        <w:rPr>
          <w:rFonts w:ascii="Times New Roman" w:hAnsi="Times New Roman" w:cs="Times New Roman"/>
        </w:rPr>
        <w:t xml:space="preserve">meaningful </w:t>
      </w:r>
      <w:r w:rsidR="00B141F9" w:rsidRPr="005F719F">
        <w:rPr>
          <w:rFonts w:ascii="Times New Roman" w:hAnsi="Times New Roman" w:cs="Times New Roman"/>
        </w:rPr>
        <w:t>to support high quality professional development</w:t>
      </w:r>
      <w:r w:rsidR="002C008D" w:rsidRPr="005F719F">
        <w:rPr>
          <w:rFonts w:ascii="Times New Roman" w:hAnsi="Times New Roman" w:cs="Times New Roman"/>
        </w:rPr>
        <w:t xml:space="preserve"> offerings</w:t>
      </w:r>
      <w:r w:rsidR="0089395C" w:rsidRPr="005F719F">
        <w:rPr>
          <w:rFonts w:ascii="Times New Roman" w:hAnsi="Times New Roman" w:cs="Times New Roman"/>
        </w:rPr>
        <w:t xml:space="preserve">. </w:t>
      </w:r>
      <w:r w:rsidR="00316160" w:rsidRPr="005F719F">
        <w:rPr>
          <w:rFonts w:ascii="Times New Roman" w:hAnsi="Times New Roman" w:cs="Times New Roman"/>
        </w:rPr>
        <w:t xml:space="preserve">The </w:t>
      </w:r>
      <w:r w:rsidRPr="005F719F">
        <w:rPr>
          <w:rFonts w:ascii="Times New Roman" w:hAnsi="Times New Roman" w:cs="Times New Roman"/>
        </w:rPr>
        <w:t>State encourages</w:t>
      </w:r>
      <w:r w:rsidR="00316160" w:rsidRPr="005F719F">
        <w:rPr>
          <w:rFonts w:ascii="Times New Roman" w:hAnsi="Times New Roman" w:cs="Times New Roman"/>
        </w:rPr>
        <w:t xml:space="preserve"> </w:t>
      </w:r>
      <w:r w:rsidR="00F94A43" w:rsidRPr="005F719F">
        <w:rPr>
          <w:rFonts w:ascii="Times New Roman" w:hAnsi="Times New Roman" w:cs="Times New Roman"/>
        </w:rPr>
        <w:t>teacher reflection and opportunities via collaborative meetings and field surveys</w:t>
      </w:r>
      <w:r w:rsidR="00316160" w:rsidRPr="005F719F">
        <w:rPr>
          <w:rFonts w:ascii="Times New Roman" w:hAnsi="Times New Roman" w:cs="Times New Roman"/>
        </w:rPr>
        <w:t xml:space="preserve"> to identify critical professional development needs. </w:t>
      </w:r>
      <w:r w:rsidR="00531783" w:rsidRPr="005F719F">
        <w:rPr>
          <w:rFonts w:ascii="Times New Roman" w:hAnsi="Times New Roman" w:cs="Times New Roman"/>
        </w:rPr>
        <w:t xml:space="preserve"> </w:t>
      </w:r>
      <w:r w:rsidR="002803BE" w:rsidRPr="005F719F">
        <w:rPr>
          <w:rFonts w:ascii="Times New Roman" w:hAnsi="Times New Roman" w:cs="Times New Roman"/>
        </w:rPr>
        <w:t xml:space="preserve">The </w:t>
      </w:r>
      <w:r w:rsidR="00A22309" w:rsidRPr="005F719F">
        <w:rPr>
          <w:rFonts w:ascii="Times New Roman" w:hAnsi="Times New Roman" w:cs="Times New Roman"/>
        </w:rPr>
        <w:t>State</w:t>
      </w:r>
      <w:r w:rsidR="002803BE" w:rsidRPr="005F719F">
        <w:rPr>
          <w:rFonts w:ascii="Times New Roman" w:hAnsi="Times New Roman" w:cs="Times New Roman"/>
        </w:rPr>
        <w:t xml:space="preserve"> </w:t>
      </w:r>
      <w:r w:rsidR="00E469FE" w:rsidRPr="005F719F">
        <w:rPr>
          <w:rFonts w:ascii="Times New Roman" w:hAnsi="Times New Roman" w:cs="Times New Roman"/>
        </w:rPr>
        <w:t>takes</w:t>
      </w:r>
      <w:r w:rsidR="00F94A43" w:rsidRPr="005F719F">
        <w:rPr>
          <w:rFonts w:ascii="Times New Roman" w:hAnsi="Times New Roman" w:cs="Times New Roman"/>
        </w:rPr>
        <w:t xml:space="preserve"> </w:t>
      </w:r>
      <w:r w:rsidR="002803BE" w:rsidRPr="005F719F">
        <w:rPr>
          <w:rFonts w:ascii="Times New Roman" w:hAnsi="Times New Roman" w:cs="Times New Roman"/>
        </w:rPr>
        <w:t xml:space="preserve">recommendations </w:t>
      </w:r>
      <w:r w:rsidR="00F94A43" w:rsidRPr="005F719F">
        <w:rPr>
          <w:rFonts w:ascii="Times New Roman" w:hAnsi="Times New Roman" w:cs="Times New Roman"/>
        </w:rPr>
        <w:t>from the field that may</w:t>
      </w:r>
      <w:r w:rsidR="00C251BD" w:rsidRPr="005F719F">
        <w:rPr>
          <w:rFonts w:ascii="Times New Roman" w:hAnsi="Times New Roman" w:cs="Times New Roman"/>
        </w:rPr>
        <w:t xml:space="preserve"> </w:t>
      </w:r>
      <w:r w:rsidR="0095610D" w:rsidRPr="005F719F">
        <w:rPr>
          <w:rFonts w:ascii="Times New Roman" w:hAnsi="Times New Roman" w:cs="Times New Roman"/>
        </w:rPr>
        <w:t>lead</w:t>
      </w:r>
      <w:r w:rsidR="00400A20" w:rsidRPr="005F719F">
        <w:rPr>
          <w:rFonts w:ascii="Times New Roman" w:hAnsi="Times New Roman" w:cs="Times New Roman"/>
        </w:rPr>
        <w:t xml:space="preserve"> to professional development activities</w:t>
      </w:r>
      <w:r w:rsidR="00C251BD" w:rsidRPr="005F719F">
        <w:rPr>
          <w:rFonts w:ascii="Times New Roman" w:hAnsi="Times New Roman" w:cs="Times New Roman"/>
        </w:rPr>
        <w:t xml:space="preserve"> for the dissemination of information and promising </w:t>
      </w:r>
      <w:r w:rsidR="00FF443A" w:rsidRPr="005F719F">
        <w:rPr>
          <w:rFonts w:ascii="Times New Roman" w:hAnsi="Times New Roman" w:cs="Times New Roman"/>
        </w:rPr>
        <w:t xml:space="preserve">best </w:t>
      </w:r>
      <w:r w:rsidR="00C251BD" w:rsidRPr="005F719F">
        <w:rPr>
          <w:rFonts w:ascii="Times New Roman" w:hAnsi="Times New Roman" w:cs="Times New Roman"/>
        </w:rPr>
        <w:t>practices.</w:t>
      </w:r>
      <w:r w:rsidR="00DA5436" w:rsidRPr="005F719F">
        <w:rPr>
          <w:rFonts w:ascii="Times New Roman" w:hAnsi="Times New Roman" w:cs="Times New Roman"/>
        </w:rPr>
        <w:t xml:space="preserve">  </w:t>
      </w:r>
      <w:r w:rsidR="0095610D" w:rsidRPr="005F719F">
        <w:rPr>
          <w:rFonts w:ascii="Times New Roman" w:hAnsi="Times New Roman" w:cs="Times New Roman"/>
        </w:rPr>
        <w:t xml:space="preserve">Ultimately, the State is committed to offering professional development opportunities that will meet the learning needs of </w:t>
      </w:r>
      <w:r w:rsidR="00786625" w:rsidRPr="005F719F">
        <w:rPr>
          <w:rFonts w:ascii="Times New Roman" w:hAnsi="Times New Roman" w:cs="Times New Roman"/>
        </w:rPr>
        <w:t xml:space="preserve">diverse </w:t>
      </w:r>
      <w:r w:rsidR="0095610D" w:rsidRPr="005F719F">
        <w:rPr>
          <w:rFonts w:ascii="Times New Roman" w:hAnsi="Times New Roman" w:cs="Times New Roman"/>
        </w:rPr>
        <w:t>adult students.</w:t>
      </w:r>
    </w:p>
    <w:p w14:paraId="02FC7DB2" w14:textId="77777777" w:rsidR="002803BE" w:rsidRPr="005F719F" w:rsidRDefault="002803BE" w:rsidP="00B141F9">
      <w:pPr>
        <w:autoSpaceDE w:val="0"/>
        <w:autoSpaceDN w:val="0"/>
        <w:adjustRightInd w:val="0"/>
        <w:spacing w:after="0" w:line="240" w:lineRule="auto"/>
        <w:ind w:left="720"/>
        <w:rPr>
          <w:rFonts w:ascii="Times New Roman" w:hAnsi="Times New Roman" w:cs="Times New Roman"/>
        </w:rPr>
      </w:pPr>
    </w:p>
    <w:p w14:paraId="2B6EB85C" w14:textId="2F252F78" w:rsidR="00031AA6" w:rsidRPr="005F719F" w:rsidRDefault="0095610D" w:rsidP="00ED3003">
      <w:pPr>
        <w:pStyle w:val="NoSpacing"/>
        <w:ind w:left="720"/>
        <w:rPr>
          <w:rFonts w:ascii="Times New Roman" w:hAnsi="Times New Roman" w:cs="Times New Roman"/>
        </w:rPr>
      </w:pPr>
      <w:r w:rsidRPr="005F719F">
        <w:rPr>
          <w:rFonts w:ascii="Times New Roman" w:hAnsi="Times New Roman" w:cs="Times New Roman"/>
        </w:rPr>
        <w:t xml:space="preserve">Due to the </w:t>
      </w:r>
      <w:r w:rsidR="00D371D4" w:rsidRPr="005F719F">
        <w:rPr>
          <w:rFonts w:ascii="Times New Roman" w:hAnsi="Times New Roman" w:cs="Times New Roman"/>
        </w:rPr>
        <w:t>COVID-19</w:t>
      </w:r>
      <w:r w:rsidRPr="005F719F">
        <w:rPr>
          <w:rFonts w:ascii="Times New Roman" w:hAnsi="Times New Roman" w:cs="Times New Roman"/>
        </w:rPr>
        <w:t xml:space="preserve"> pandemic, the annual spring meeting sponsored by the State </w:t>
      </w:r>
      <w:proofErr w:type="gramStart"/>
      <w:r w:rsidRPr="005F719F">
        <w:rPr>
          <w:rFonts w:ascii="Times New Roman" w:hAnsi="Times New Roman" w:cs="Times New Roman"/>
        </w:rPr>
        <w:t>was held</w:t>
      </w:r>
      <w:proofErr w:type="gramEnd"/>
      <w:r w:rsidRPr="005F719F">
        <w:rPr>
          <w:rFonts w:ascii="Times New Roman" w:hAnsi="Times New Roman" w:cs="Times New Roman"/>
        </w:rPr>
        <w:t xml:space="preserve"> virtually</w:t>
      </w:r>
      <w:r w:rsidR="00B25F2F" w:rsidRPr="005F719F">
        <w:rPr>
          <w:rFonts w:ascii="Times New Roman" w:hAnsi="Times New Roman" w:cs="Times New Roman"/>
        </w:rPr>
        <w:t xml:space="preserve"> via Zoom</w:t>
      </w:r>
      <w:r w:rsidRPr="005F719F">
        <w:rPr>
          <w:rFonts w:ascii="Times New Roman" w:hAnsi="Times New Roman" w:cs="Times New Roman"/>
        </w:rPr>
        <w:t xml:space="preserve">.  The positive feedback </w:t>
      </w:r>
      <w:r w:rsidR="002C008D" w:rsidRPr="005F719F">
        <w:rPr>
          <w:rFonts w:ascii="Times New Roman" w:hAnsi="Times New Roman" w:cs="Times New Roman"/>
        </w:rPr>
        <w:t>given</w:t>
      </w:r>
      <w:r w:rsidRPr="005F719F">
        <w:rPr>
          <w:rFonts w:ascii="Times New Roman" w:hAnsi="Times New Roman" w:cs="Times New Roman"/>
        </w:rPr>
        <w:t xml:space="preserve"> from program staff was astounding.  Programs </w:t>
      </w:r>
      <w:r w:rsidR="002C008D" w:rsidRPr="005F719F">
        <w:rPr>
          <w:rFonts w:ascii="Times New Roman" w:hAnsi="Times New Roman" w:cs="Times New Roman"/>
        </w:rPr>
        <w:t xml:space="preserve">appreciated </w:t>
      </w:r>
      <w:r w:rsidR="00B25F2F" w:rsidRPr="005F719F">
        <w:rPr>
          <w:rFonts w:ascii="Times New Roman" w:hAnsi="Times New Roman" w:cs="Times New Roman"/>
        </w:rPr>
        <w:t xml:space="preserve">being able to keep their programs operating, while still </w:t>
      </w:r>
      <w:r w:rsidR="002C008D" w:rsidRPr="005F719F">
        <w:rPr>
          <w:rFonts w:ascii="Times New Roman" w:hAnsi="Times New Roman" w:cs="Times New Roman"/>
        </w:rPr>
        <w:t>being able to attend</w:t>
      </w:r>
      <w:r w:rsidR="00B25F2F" w:rsidRPr="005F719F">
        <w:rPr>
          <w:rFonts w:ascii="Times New Roman" w:hAnsi="Times New Roman" w:cs="Times New Roman"/>
        </w:rPr>
        <w:t xml:space="preserve"> professional development activities.  The flexible agenda allowed a variety of program staff to attend </w:t>
      </w:r>
      <w:r w:rsidR="00E469FE" w:rsidRPr="005F719F">
        <w:rPr>
          <w:rFonts w:ascii="Times New Roman" w:hAnsi="Times New Roman" w:cs="Times New Roman"/>
        </w:rPr>
        <w:t xml:space="preserve">the most </w:t>
      </w:r>
      <w:r w:rsidR="00B25F2F" w:rsidRPr="005F719F">
        <w:rPr>
          <w:rFonts w:ascii="Times New Roman" w:hAnsi="Times New Roman" w:cs="Times New Roman"/>
        </w:rPr>
        <w:t xml:space="preserve">applicable sessions.  The virtual platform </w:t>
      </w:r>
      <w:r w:rsidR="002C008D" w:rsidRPr="005F719F">
        <w:rPr>
          <w:rFonts w:ascii="Times New Roman" w:hAnsi="Times New Roman" w:cs="Times New Roman"/>
        </w:rPr>
        <w:t xml:space="preserve">truly </w:t>
      </w:r>
      <w:r w:rsidR="00B25F2F" w:rsidRPr="005F719F">
        <w:rPr>
          <w:rFonts w:ascii="Times New Roman" w:hAnsi="Times New Roman" w:cs="Times New Roman"/>
        </w:rPr>
        <w:t>saved programs</w:t>
      </w:r>
      <w:r w:rsidR="00786625" w:rsidRPr="005F719F">
        <w:rPr>
          <w:rFonts w:ascii="Times New Roman" w:hAnsi="Times New Roman" w:cs="Times New Roman"/>
        </w:rPr>
        <w:t xml:space="preserve"> significant </w:t>
      </w:r>
      <w:r w:rsidR="00B25F2F" w:rsidRPr="005F719F">
        <w:rPr>
          <w:rFonts w:ascii="Times New Roman" w:hAnsi="Times New Roman" w:cs="Times New Roman"/>
        </w:rPr>
        <w:t xml:space="preserve">travel expenses and resulted in </w:t>
      </w:r>
      <w:r w:rsidR="00A8720D" w:rsidRPr="005F719F">
        <w:rPr>
          <w:rFonts w:ascii="Times New Roman" w:hAnsi="Times New Roman" w:cs="Times New Roman"/>
        </w:rPr>
        <w:t xml:space="preserve">overall </w:t>
      </w:r>
      <w:r w:rsidR="00B25F2F" w:rsidRPr="005F719F">
        <w:rPr>
          <w:rFonts w:ascii="Times New Roman" w:hAnsi="Times New Roman" w:cs="Times New Roman"/>
        </w:rPr>
        <w:t>increased participation by staff</w:t>
      </w:r>
      <w:r w:rsidR="002C008D" w:rsidRPr="005F719F">
        <w:rPr>
          <w:rFonts w:ascii="Times New Roman" w:hAnsi="Times New Roman" w:cs="Times New Roman"/>
        </w:rPr>
        <w:t xml:space="preserve"> </w:t>
      </w:r>
      <w:r w:rsidR="00786625" w:rsidRPr="005F719F">
        <w:rPr>
          <w:rFonts w:ascii="Times New Roman" w:hAnsi="Times New Roman" w:cs="Times New Roman"/>
        </w:rPr>
        <w:t xml:space="preserve">across all </w:t>
      </w:r>
      <w:r w:rsidR="002C008D" w:rsidRPr="005F719F">
        <w:rPr>
          <w:rFonts w:ascii="Times New Roman" w:hAnsi="Times New Roman" w:cs="Times New Roman"/>
        </w:rPr>
        <w:t>programs</w:t>
      </w:r>
      <w:r w:rsidR="00B25F2F" w:rsidRPr="005F719F">
        <w:rPr>
          <w:rFonts w:ascii="Times New Roman" w:hAnsi="Times New Roman" w:cs="Times New Roman"/>
        </w:rPr>
        <w:t>.</w:t>
      </w:r>
      <w:r w:rsidR="00756690" w:rsidRPr="005F719F">
        <w:rPr>
          <w:rFonts w:ascii="Times New Roman" w:hAnsi="Times New Roman" w:cs="Times New Roman"/>
        </w:rPr>
        <w:t xml:space="preserve">  The State plans to continue utilizing the virtual platform for </w:t>
      </w:r>
      <w:r w:rsidR="00786625" w:rsidRPr="005F719F">
        <w:rPr>
          <w:rFonts w:ascii="Times New Roman" w:hAnsi="Times New Roman" w:cs="Times New Roman"/>
        </w:rPr>
        <w:t xml:space="preserve">future </w:t>
      </w:r>
      <w:r w:rsidR="00756690" w:rsidRPr="005F719F">
        <w:rPr>
          <w:rFonts w:ascii="Times New Roman" w:hAnsi="Times New Roman" w:cs="Times New Roman"/>
        </w:rPr>
        <w:t>meetings and professional development activities</w:t>
      </w:r>
      <w:r w:rsidR="002C008D" w:rsidRPr="005F719F">
        <w:rPr>
          <w:rFonts w:ascii="Times New Roman" w:hAnsi="Times New Roman" w:cs="Times New Roman"/>
        </w:rPr>
        <w:t xml:space="preserve">, as it </w:t>
      </w:r>
      <w:proofErr w:type="gramStart"/>
      <w:r w:rsidR="002C008D" w:rsidRPr="005F719F">
        <w:rPr>
          <w:rFonts w:ascii="Times New Roman" w:hAnsi="Times New Roman" w:cs="Times New Roman"/>
        </w:rPr>
        <w:t>was extremely well received</w:t>
      </w:r>
      <w:proofErr w:type="gramEnd"/>
      <w:r w:rsidR="00756690" w:rsidRPr="005F719F">
        <w:rPr>
          <w:rFonts w:ascii="Times New Roman" w:hAnsi="Times New Roman" w:cs="Times New Roman"/>
        </w:rPr>
        <w:t>.</w:t>
      </w:r>
      <w:r w:rsidR="00DA5436" w:rsidRPr="005F719F">
        <w:rPr>
          <w:rFonts w:ascii="Times New Roman" w:hAnsi="Times New Roman" w:cs="Times New Roman"/>
        </w:rPr>
        <w:t xml:space="preserve">  In addition, the State plans to implement program lead</w:t>
      </w:r>
      <w:r w:rsidR="00A512A3" w:rsidRPr="005F719F">
        <w:rPr>
          <w:rFonts w:ascii="Times New Roman" w:hAnsi="Times New Roman" w:cs="Times New Roman"/>
        </w:rPr>
        <w:t>,</w:t>
      </w:r>
      <w:r w:rsidR="00DA5436" w:rsidRPr="005F719F">
        <w:rPr>
          <w:rFonts w:ascii="Times New Roman" w:hAnsi="Times New Roman" w:cs="Times New Roman"/>
        </w:rPr>
        <w:t xml:space="preserve"> </w:t>
      </w:r>
      <w:r w:rsidR="00A512A3" w:rsidRPr="005F719F">
        <w:rPr>
          <w:rFonts w:ascii="Times New Roman" w:hAnsi="Times New Roman" w:cs="Times New Roman"/>
        </w:rPr>
        <w:t xml:space="preserve">virtual monthly Shop Talks for </w:t>
      </w:r>
      <w:r w:rsidR="00DA5436" w:rsidRPr="005F719F">
        <w:rPr>
          <w:rFonts w:ascii="Times New Roman" w:hAnsi="Times New Roman" w:cs="Times New Roman"/>
        </w:rPr>
        <w:t>2020-2021.  This will allow all programs opportunities to share with other</w:t>
      </w:r>
      <w:r w:rsidR="00A512A3" w:rsidRPr="005F719F">
        <w:rPr>
          <w:rFonts w:ascii="Times New Roman" w:hAnsi="Times New Roman" w:cs="Times New Roman"/>
        </w:rPr>
        <w:t xml:space="preserve"> programs and </w:t>
      </w:r>
      <w:proofErr w:type="gramStart"/>
      <w:r w:rsidR="00A512A3" w:rsidRPr="005F719F">
        <w:rPr>
          <w:rFonts w:ascii="Times New Roman" w:hAnsi="Times New Roman" w:cs="Times New Roman"/>
        </w:rPr>
        <w:t>showcase</w:t>
      </w:r>
      <w:proofErr w:type="gramEnd"/>
      <w:r w:rsidR="00A512A3" w:rsidRPr="005F719F">
        <w:rPr>
          <w:rFonts w:ascii="Times New Roman" w:hAnsi="Times New Roman" w:cs="Times New Roman"/>
        </w:rPr>
        <w:t xml:space="preserve"> </w:t>
      </w:r>
      <w:r w:rsidR="00DA5436" w:rsidRPr="005F719F">
        <w:rPr>
          <w:rFonts w:ascii="Times New Roman" w:hAnsi="Times New Roman" w:cs="Times New Roman"/>
        </w:rPr>
        <w:t>something that has been working well.  The State hopes this will elicit positive feedback and results across all local programs.</w:t>
      </w:r>
    </w:p>
    <w:p w14:paraId="51A358B8" w14:textId="77777777" w:rsidR="001D4BE9" w:rsidRPr="005F719F" w:rsidRDefault="001D4BE9" w:rsidP="001D4BE9">
      <w:pPr>
        <w:autoSpaceDE w:val="0"/>
        <w:autoSpaceDN w:val="0"/>
        <w:adjustRightInd w:val="0"/>
        <w:spacing w:after="0" w:line="240" w:lineRule="auto"/>
        <w:ind w:firstLine="720"/>
        <w:rPr>
          <w:rFonts w:ascii="Times New Roman" w:hAnsi="Times New Roman" w:cs="Times New Roman"/>
          <w:b/>
        </w:rPr>
      </w:pPr>
    </w:p>
    <w:p w14:paraId="028F7DA3" w14:textId="77777777" w:rsidR="001D4BE9" w:rsidRPr="005F719F" w:rsidRDefault="001D4BE9" w:rsidP="001D4BE9">
      <w:pPr>
        <w:pStyle w:val="ListParagraph"/>
        <w:numPr>
          <w:ilvl w:val="0"/>
          <w:numId w:val="1"/>
        </w:num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rPr>
        <w:t>Provision of technical assistance to funded eligible providers as described in section</w:t>
      </w:r>
    </w:p>
    <w:p w14:paraId="55D3942E" w14:textId="77777777" w:rsidR="001D4BE9" w:rsidRPr="005F719F" w:rsidRDefault="001D4BE9" w:rsidP="001D4BE9">
      <w:pPr>
        <w:ind w:firstLine="720"/>
        <w:rPr>
          <w:rFonts w:ascii="Times New Roman" w:hAnsi="Times New Roman" w:cs="Times New Roman"/>
          <w:b/>
        </w:rPr>
      </w:pPr>
      <w:r w:rsidRPr="005F719F">
        <w:rPr>
          <w:rFonts w:ascii="Times New Roman" w:hAnsi="Times New Roman" w:cs="Times New Roman"/>
          <w:b/>
        </w:rPr>
        <w:t>223(1</w:t>
      </w:r>
      <w:proofErr w:type="gramStart"/>
      <w:r w:rsidRPr="005F719F">
        <w:rPr>
          <w:rFonts w:ascii="Times New Roman" w:hAnsi="Times New Roman" w:cs="Times New Roman"/>
          <w:b/>
        </w:rPr>
        <w:t>)(</w:t>
      </w:r>
      <w:proofErr w:type="gramEnd"/>
      <w:r w:rsidRPr="005F719F">
        <w:rPr>
          <w:rFonts w:ascii="Times New Roman" w:hAnsi="Times New Roman" w:cs="Times New Roman"/>
          <w:b/>
        </w:rPr>
        <w:t>c).</w:t>
      </w:r>
    </w:p>
    <w:p w14:paraId="30E88ADF" w14:textId="121FABD3" w:rsidR="00B25F2F" w:rsidRPr="005F719F" w:rsidRDefault="000102D3" w:rsidP="006B606F">
      <w:pPr>
        <w:ind w:left="720"/>
        <w:rPr>
          <w:rFonts w:ascii="Times New Roman" w:hAnsi="Times New Roman" w:cs="Times New Roman"/>
        </w:rPr>
      </w:pPr>
      <w:r w:rsidRPr="005F719F">
        <w:rPr>
          <w:rFonts w:ascii="Times New Roman" w:hAnsi="Times New Roman" w:cs="Times New Roman"/>
        </w:rPr>
        <w:t xml:space="preserve">The </w:t>
      </w:r>
      <w:r w:rsidR="00A22309" w:rsidRPr="005F719F">
        <w:rPr>
          <w:rFonts w:ascii="Times New Roman" w:hAnsi="Times New Roman" w:cs="Times New Roman"/>
        </w:rPr>
        <w:t>State</w:t>
      </w:r>
      <w:r w:rsidRPr="005F719F">
        <w:rPr>
          <w:rFonts w:ascii="Times New Roman" w:hAnsi="Times New Roman" w:cs="Times New Roman"/>
        </w:rPr>
        <w:t xml:space="preserve"> </w:t>
      </w:r>
      <w:r w:rsidR="00BA4175" w:rsidRPr="005F719F">
        <w:rPr>
          <w:rFonts w:ascii="Times New Roman" w:hAnsi="Times New Roman" w:cs="Times New Roman"/>
        </w:rPr>
        <w:t xml:space="preserve">provided </w:t>
      </w:r>
      <w:r w:rsidR="004C75CE" w:rsidRPr="005F719F">
        <w:rPr>
          <w:rFonts w:ascii="Times New Roman" w:hAnsi="Times New Roman" w:cs="Times New Roman"/>
        </w:rPr>
        <w:t>technical assistance to local programs</w:t>
      </w:r>
      <w:r w:rsidR="000D316D" w:rsidRPr="005F719F">
        <w:rPr>
          <w:rFonts w:ascii="Times New Roman" w:hAnsi="Times New Roman" w:cs="Times New Roman"/>
        </w:rPr>
        <w:t xml:space="preserve"> as needed. </w:t>
      </w:r>
      <w:r w:rsidR="00C536B9" w:rsidRPr="005F719F">
        <w:rPr>
          <w:rFonts w:ascii="Times New Roman" w:hAnsi="Times New Roman" w:cs="Times New Roman"/>
        </w:rPr>
        <w:t xml:space="preserve"> </w:t>
      </w:r>
      <w:r w:rsidR="00BA4175" w:rsidRPr="005F719F">
        <w:rPr>
          <w:rFonts w:ascii="Times New Roman" w:hAnsi="Times New Roman" w:cs="Times New Roman"/>
        </w:rPr>
        <w:t xml:space="preserve">State staff </w:t>
      </w:r>
      <w:r w:rsidR="006B606F" w:rsidRPr="005F719F">
        <w:rPr>
          <w:rFonts w:ascii="Times New Roman" w:hAnsi="Times New Roman" w:cs="Times New Roman"/>
        </w:rPr>
        <w:t xml:space="preserve">continually </w:t>
      </w:r>
      <w:r w:rsidR="00BA4175" w:rsidRPr="005F719F">
        <w:rPr>
          <w:rFonts w:ascii="Times New Roman" w:hAnsi="Times New Roman" w:cs="Times New Roman"/>
        </w:rPr>
        <w:t>analyzed da</w:t>
      </w:r>
      <w:r w:rsidR="006B606F" w:rsidRPr="005F719F">
        <w:rPr>
          <w:rFonts w:ascii="Times New Roman" w:hAnsi="Times New Roman" w:cs="Times New Roman"/>
        </w:rPr>
        <w:t>ta, fielded questions/inquiries, and dissemina</w:t>
      </w:r>
      <w:r w:rsidR="00AE3381" w:rsidRPr="005F719F">
        <w:rPr>
          <w:rFonts w:ascii="Times New Roman" w:hAnsi="Times New Roman" w:cs="Times New Roman"/>
        </w:rPr>
        <w:t xml:space="preserve">ted pertinent information to adult </w:t>
      </w:r>
      <w:r w:rsidR="00AE3381" w:rsidRPr="005F719F">
        <w:rPr>
          <w:rFonts w:ascii="Times New Roman" w:hAnsi="Times New Roman" w:cs="Times New Roman"/>
        </w:rPr>
        <w:lastRenderedPageBreak/>
        <w:t>e</w:t>
      </w:r>
      <w:r w:rsidR="00FF443A" w:rsidRPr="005F719F">
        <w:rPr>
          <w:rFonts w:ascii="Times New Roman" w:hAnsi="Times New Roman" w:cs="Times New Roman"/>
        </w:rPr>
        <w:t>ducation</w:t>
      </w:r>
      <w:r w:rsidR="006B606F" w:rsidRPr="005F719F">
        <w:rPr>
          <w:rFonts w:ascii="Times New Roman" w:hAnsi="Times New Roman" w:cs="Times New Roman"/>
        </w:rPr>
        <w:t xml:space="preserve"> providers.</w:t>
      </w:r>
      <w:r w:rsidR="00B25F2F" w:rsidRPr="005F719F">
        <w:rPr>
          <w:rFonts w:ascii="Times New Roman" w:hAnsi="Times New Roman" w:cs="Times New Roman"/>
        </w:rPr>
        <w:t xml:space="preserve">  Technical assistance </w:t>
      </w:r>
      <w:r w:rsidR="00CA23CF" w:rsidRPr="005F719F">
        <w:rPr>
          <w:rFonts w:ascii="Times New Roman" w:hAnsi="Times New Roman" w:cs="Times New Roman"/>
        </w:rPr>
        <w:t xml:space="preserve">came after monthly desk audits </w:t>
      </w:r>
      <w:r w:rsidR="00E469FE" w:rsidRPr="005F719F">
        <w:rPr>
          <w:rFonts w:ascii="Times New Roman" w:hAnsi="Times New Roman" w:cs="Times New Roman"/>
        </w:rPr>
        <w:t>of program data and performance</w:t>
      </w:r>
      <w:r w:rsidR="00B25F2F" w:rsidRPr="005F719F">
        <w:rPr>
          <w:rFonts w:ascii="Times New Roman" w:hAnsi="Times New Roman" w:cs="Times New Roman"/>
        </w:rPr>
        <w:t xml:space="preserve"> or was determined and provided as needed on a case-by-case basis.  Zoom has allowed the State to meet with </w:t>
      </w:r>
      <w:r w:rsidR="00A8720D" w:rsidRPr="005F719F">
        <w:rPr>
          <w:rFonts w:ascii="Times New Roman" w:hAnsi="Times New Roman" w:cs="Times New Roman"/>
        </w:rPr>
        <w:t xml:space="preserve">local </w:t>
      </w:r>
      <w:r w:rsidR="00B25F2F" w:rsidRPr="005F719F">
        <w:rPr>
          <w:rFonts w:ascii="Times New Roman" w:hAnsi="Times New Roman" w:cs="Times New Roman"/>
        </w:rPr>
        <w:t xml:space="preserve">program staff, observe virtual classrooms, and engage in collaborative discussions with colleagues </w:t>
      </w:r>
      <w:r w:rsidR="00A8720D" w:rsidRPr="005F719F">
        <w:rPr>
          <w:rFonts w:ascii="Times New Roman" w:hAnsi="Times New Roman" w:cs="Times New Roman"/>
        </w:rPr>
        <w:t xml:space="preserve">throughout </w:t>
      </w:r>
      <w:r w:rsidR="00B25F2F" w:rsidRPr="005F719F">
        <w:rPr>
          <w:rFonts w:ascii="Times New Roman" w:hAnsi="Times New Roman" w:cs="Times New Roman"/>
        </w:rPr>
        <w:t>the state.</w:t>
      </w:r>
      <w:r w:rsidR="00C536B9" w:rsidRPr="005F719F">
        <w:rPr>
          <w:rFonts w:ascii="Times New Roman" w:hAnsi="Times New Roman" w:cs="Times New Roman"/>
        </w:rPr>
        <w:t xml:space="preserve">  In addition, the State worked to develop a Google Site for WIOA Adult Education</w:t>
      </w:r>
      <w:r w:rsidR="00E469FE" w:rsidRPr="005F719F">
        <w:rPr>
          <w:rFonts w:ascii="Times New Roman" w:hAnsi="Times New Roman" w:cs="Times New Roman"/>
        </w:rPr>
        <w:t xml:space="preserve"> </w:t>
      </w:r>
      <w:r w:rsidR="00531783" w:rsidRPr="005F719F">
        <w:rPr>
          <w:rFonts w:ascii="Times New Roman" w:hAnsi="Times New Roman" w:cs="Times New Roman"/>
        </w:rPr>
        <w:t>p</w:t>
      </w:r>
      <w:r w:rsidR="00E469FE" w:rsidRPr="005F719F">
        <w:rPr>
          <w:rFonts w:ascii="Times New Roman" w:hAnsi="Times New Roman" w:cs="Times New Roman"/>
        </w:rPr>
        <w:t>roviders</w:t>
      </w:r>
      <w:r w:rsidR="00C536B9" w:rsidRPr="005F719F">
        <w:rPr>
          <w:rFonts w:ascii="Times New Roman" w:hAnsi="Times New Roman" w:cs="Times New Roman"/>
        </w:rPr>
        <w:t xml:space="preserve">.  This site, scheduled to launch </w:t>
      </w:r>
      <w:proofErr w:type="gramStart"/>
      <w:r w:rsidR="00A512A3" w:rsidRPr="005F719F">
        <w:rPr>
          <w:rFonts w:ascii="Times New Roman" w:hAnsi="Times New Roman" w:cs="Times New Roman"/>
        </w:rPr>
        <w:t>F</w:t>
      </w:r>
      <w:r w:rsidR="00C536B9" w:rsidRPr="005F719F">
        <w:rPr>
          <w:rFonts w:ascii="Times New Roman" w:hAnsi="Times New Roman" w:cs="Times New Roman"/>
        </w:rPr>
        <w:t>all</w:t>
      </w:r>
      <w:proofErr w:type="gramEnd"/>
      <w:r w:rsidR="00C536B9" w:rsidRPr="005F719F">
        <w:rPr>
          <w:rFonts w:ascii="Times New Roman" w:hAnsi="Times New Roman" w:cs="Times New Roman"/>
        </w:rPr>
        <w:t xml:space="preserve"> 2020, </w:t>
      </w:r>
      <w:r w:rsidR="00E469FE" w:rsidRPr="005F719F">
        <w:rPr>
          <w:rFonts w:ascii="Times New Roman" w:hAnsi="Times New Roman" w:cs="Times New Roman"/>
        </w:rPr>
        <w:t>is</w:t>
      </w:r>
      <w:r w:rsidR="00C536B9" w:rsidRPr="005F719F">
        <w:rPr>
          <w:rFonts w:ascii="Times New Roman" w:hAnsi="Times New Roman" w:cs="Times New Roman"/>
        </w:rPr>
        <w:t xml:space="preserve"> a common place to share applicable resources and collaborate with colleagues statewide.</w:t>
      </w:r>
    </w:p>
    <w:p w14:paraId="6424558A" w14:textId="77777777" w:rsidR="001D4BE9" w:rsidRPr="005F719F" w:rsidRDefault="001D4BE9" w:rsidP="001D4BE9">
      <w:pPr>
        <w:pStyle w:val="ListParagraph"/>
        <w:numPr>
          <w:ilvl w:val="0"/>
          <w:numId w:val="1"/>
        </w:num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rPr>
        <w:t>Monitoring and evaluation of the quality and improvement of adult education activit</w:t>
      </w:r>
      <w:r w:rsidR="00ED3003" w:rsidRPr="005F719F">
        <w:rPr>
          <w:rFonts w:ascii="Times New Roman" w:hAnsi="Times New Roman" w:cs="Times New Roman"/>
          <w:b/>
        </w:rPr>
        <w:t xml:space="preserve">ies </w:t>
      </w:r>
      <w:r w:rsidRPr="005F719F">
        <w:rPr>
          <w:rFonts w:ascii="Times New Roman" w:hAnsi="Times New Roman" w:cs="Times New Roman"/>
          <w:b/>
        </w:rPr>
        <w:t>as described in section 223(1</w:t>
      </w:r>
      <w:proofErr w:type="gramStart"/>
      <w:r w:rsidRPr="005F719F">
        <w:rPr>
          <w:rFonts w:ascii="Times New Roman" w:hAnsi="Times New Roman" w:cs="Times New Roman"/>
          <w:b/>
        </w:rPr>
        <w:t>)(</w:t>
      </w:r>
      <w:proofErr w:type="gramEnd"/>
      <w:r w:rsidRPr="005F719F">
        <w:rPr>
          <w:rFonts w:ascii="Times New Roman" w:hAnsi="Times New Roman" w:cs="Times New Roman"/>
          <w:b/>
        </w:rPr>
        <w:t>d).</w:t>
      </w:r>
      <w:r w:rsidR="00D85BA5" w:rsidRPr="005F719F">
        <w:rPr>
          <w:rFonts w:ascii="Times New Roman" w:hAnsi="Times New Roman" w:cs="Times New Roman"/>
          <w:b/>
        </w:rPr>
        <w:t xml:space="preserve"> </w:t>
      </w:r>
    </w:p>
    <w:p w14:paraId="60F288BD" w14:textId="77777777" w:rsidR="00B23661" w:rsidRPr="005F719F" w:rsidRDefault="00B23661" w:rsidP="00B23661">
      <w:pPr>
        <w:autoSpaceDE w:val="0"/>
        <w:autoSpaceDN w:val="0"/>
        <w:adjustRightInd w:val="0"/>
        <w:spacing w:after="0" w:line="240" w:lineRule="auto"/>
        <w:rPr>
          <w:rFonts w:ascii="Times New Roman" w:hAnsi="Times New Roman" w:cs="Times New Roman"/>
          <w:b/>
        </w:rPr>
      </w:pPr>
    </w:p>
    <w:p w14:paraId="5374B34B" w14:textId="2D1AED4C" w:rsidR="003F0BD4" w:rsidRPr="005F719F" w:rsidRDefault="00F5769A" w:rsidP="00F5769A">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 xml:space="preserve">During the </w:t>
      </w:r>
      <w:r w:rsidR="00983CF7" w:rsidRPr="005F719F">
        <w:rPr>
          <w:rFonts w:ascii="Times New Roman" w:hAnsi="Times New Roman" w:cs="Times New Roman"/>
        </w:rPr>
        <w:t>2019-2020</w:t>
      </w:r>
      <w:r w:rsidR="00B23661" w:rsidRPr="005F719F">
        <w:rPr>
          <w:rFonts w:ascii="Times New Roman" w:hAnsi="Times New Roman" w:cs="Times New Roman"/>
        </w:rPr>
        <w:t xml:space="preserve"> program</w:t>
      </w:r>
      <w:r w:rsidRPr="005F719F">
        <w:rPr>
          <w:rFonts w:ascii="Times New Roman" w:hAnsi="Times New Roman" w:cs="Times New Roman"/>
        </w:rPr>
        <w:t xml:space="preserve"> year, each program</w:t>
      </w:r>
      <w:r w:rsidR="00983CF7" w:rsidRPr="005F719F">
        <w:rPr>
          <w:rFonts w:ascii="Times New Roman" w:hAnsi="Times New Roman" w:cs="Times New Roman"/>
        </w:rPr>
        <w:t xml:space="preserve"> </w:t>
      </w:r>
      <w:proofErr w:type="gramStart"/>
      <w:r w:rsidR="00983CF7" w:rsidRPr="005F719F">
        <w:rPr>
          <w:rFonts w:ascii="Times New Roman" w:hAnsi="Times New Roman" w:cs="Times New Roman"/>
        </w:rPr>
        <w:t xml:space="preserve">was </w:t>
      </w:r>
      <w:r w:rsidR="00B23661" w:rsidRPr="005F719F">
        <w:rPr>
          <w:rFonts w:ascii="Times New Roman" w:hAnsi="Times New Roman" w:cs="Times New Roman"/>
        </w:rPr>
        <w:t>monitored</w:t>
      </w:r>
      <w:proofErr w:type="gramEnd"/>
      <w:r w:rsidR="00B23661" w:rsidRPr="005F719F">
        <w:rPr>
          <w:rFonts w:ascii="Times New Roman" w:hAnsi="Times New Roman" w:cs="Times New Roman"/>
        </w:rPr>
        <w:t xml:space="preserve"> </w:t>
      </w:r>
      <w:r w:rsidR="006B606F" w:rsidRPr="005F719F">
        <w:rPr>
          <w:rFonts w:ascii="Times New Roman" w:hAnsi="Times New Roman" w:cs="Times New Roman"/>
        </w:rPr>
        <w:t>via</w:t>
      </w:r>
      <w:r w:rsidRPr="005F719F">
        <w:rPr>
          <w:rFonts w:ascii="Times New Roman" w:hAnsi="Times New Roman" w:cs="Times New Roman"/>
        </w:rPr>
        <w:t xml:space="preserve"> desk audits. </w:t>
      </w:r>
      <w:r w:rsidR="00BD585D" w:rsidRPr="005F719F">
        <w:rPr>
          <w:rFonts w:ascii="Times New Roman" w:hAnsi="Times New Roman" w:cs="Times New Roman"/>
        </w:rPr>
        <w:t xml:space="preserve"> </w:t>
      </w:r>
      <w:r w:rsidRPr="005F719F">
        <w:rPr>
          <w:rFonts w:ascii="Times New Roman" w:hAnsi="Times New Roman" w:cs="Times New Roman"/>
        </w:rPr>
        <w:t>These m</w:t>
      </w:r>
      <w:r w:rsidR="00983CF7" w:rsidRPr="005F719F">
        <w:rPr>
          <w:rFonts w:ascii="Times New Roman" w:hAnsi="Times New Roman" w:cs="Times New Roman"/>
        </w:rPr>
        <w:t xml:space="preserve">onthly reports were </w:t>
      </w:r>
      <w:r w:rsidR="00E469FE" w:rsidRPr="005F719F">
        <w:rPr>
          <w:rFonts w:ascii="Times New Roman" w:hAnsi="Times New Roman" w:cs="Times New Roman"/>
        </w:rPr>
        <w:t xml:space="preserve">mandatory </w:t>
      </w:r>
      <w:r w:rsidR="00983CF7" w:rsidRPr="005F719F">
        <w:rPr>
          <w:rFonts w:ascii="Times New Roman" w:hAnsi="Times New Roman" w:cs="Times New Roman"/>
        </w:rPr>
        <w:t xml:space="preserve">for all programs.  </w:t>
      </w:r>
      <w:r w:rsidR="00B23661" w:rsidRPr="005F719F">
        <w:rPr>
          <w:rFonts w:ascii="Times New Roman" w:hAnsi="Times New Roman" w:cs="Times New Roman"/>
        </w:rPr>
        <w:t>The report</w:t>
      </w:r>
      <w:r w:rsidR="001565E3" w:rsidRPr="005F719F">
        <w:rPr>
          <w:rFonts w:ascii="Times New Roman" w:hAnsi="Times New Roman" w:cs="Times New Roman"/>
        </w:rPr>
        <w:t>s</w:t>
      </w:r>
      <w:r w:rsidR="00B23661" w:rsidRPr="005F719F">
        <w:rPr>
          <w:rFonts w:ascii="Times New Roman" w:hAnsi="Times New Roman" w:cs="Times New Roman"/>
        </w:rPr>
        <w:t xml:space="preserve"> had two</w:t>
      </w:r>
      <w:r w:rsidR="00AA6EDE" w:rsidRPr="005F719F">
        <w:rPr>
          <w:rFonts w:ascii="Times New Roman" w:hAnsi="Times New Roman" w:cs="Times New Roman"/>
        </w:rPr>
        <w:t xml:space="preserve"> sections</w:t>
      </w:r>
      <w:r w:rsidR="00983CF7" w:rsidRPr="005F719F">
        <w:rPr>
          <w:rFonts w:ascii="Times New Roman" w:hAnsi="Times New Roman" w:cs="Times New Roman"/>
        </w:rPr>
        <w:t xml:space="preserve">, </w:t>
      </w:r>
      <w:r w:rsidR="00AE3381" w:rsidRPr="005F719F">
        <w:rPr>
          <w:rFonts w:ascii="Times New Roman" w:hAnsi="Times New Roman" w:cs="Times New Roman"/>
        </w:rPr>
        <w:t>data analysis and a partner collaboration/</w:t>
      </w:r>
      <w:r w:rsidR="00B23661" w:rsidRPr="005F719F">
        <w:rPr>
          <w:rFonts w:ascii="Times New Roman" w:hAnsi="Times New Roman" w:cs="Times New Roman"/>
        </w:rPr>
        <w:t xml:space="preserve">activity log. </w:t>
      </w:r>
      <w:r w:rsidR="00983CF7" w:rsidRPr="005F719F">
        <w:rPr>
          <w:rFonts w:ascii="Times New Roman" w:hAnsi="Times New Roman" w:cs="Times New Roman"/>
        </w:rPr>
        <w:t xml:space="preserve"> </w:t>
      </w:r>
      <w:r w:rsidR="00B23661" w:rsidRPr="005F719F">
        <w:rPr>
          <w:rFonts w:ascii="Times New Roman" w:hAnsi="Times New Roman" w:cs="Times New Roman"/>
        </w:rPr>
        <w:t xml:space="preserve">The data analysis </w:t>
      </w:r>
      <w:r w:rsidR="001565E3" w:rsidRPr="005F719F">
        <w:rPr>
          <w:rFonts w:ascii="Times New Roman" w:hAnsi="Times New Roman" w:cs="Times New Roman"/>
        </w:rPr>
        <w:t xml:space="preserve">section </w:t>
      </w:r>
      <w:r w:rsidR="00B23661" w:rsidRPr="005F719F">
        <w:rPr>
          <w:rFonts w:ascii="Times New Roman" w:hAnsi="Times New Roman" w:cs="Times New Roman"/>
        </w:rPr>
        <w:t>re</w:t>
      </w:r>
      <w:r w:rsidR="00983CF7" w:rsidRPr="005F719F">
        <w:rPr>
          <w:rFonts w:ascii="Times New Roman" w:hAnsi="Times New Roman" w:cs="Times New Roman"/>
        </w:rPr>
        <w:t xml:space="preserve">quired </w:t>
      </w:r>
      <w:r w:rsidR="00AA6EDE" w:rsidRPr="005F719F">
        <w:rPr>
          <w:rFonts w:ascii="Times New Roman" w:hAnsi="Times New Roman" w:cs="Times New Roman"/>
        </w:rPr>
        <w:t>programs to report and analyze data on</w:t>
      </w:r>
      <w:r w:rsidR="00B23661" w:rsidRPr="005F719F">
        <w:rPr>
          <w:rFonts w:ascii="Times New Roman" w:hAnsi="Times New Roman" w:cs="Times New Roman"/>
        </w:rPr>
        <w:t xml:space="preserve"> the educational gains for each functioning level, the number of students exited, </w:t>
      </w:r>
      <w:r w:rsidR="003F0BD4" w:rsidRPr="005F719F">
        <w:rPr>
          <w:rFonts w:ascii="Times New Roman" w:hAnsi="Times New Roman" w:cs="Times New Roman"/>
        </w:rPr>
        <w:t xml:space="preserve">the </w:t>
      </w:r>
      <w:r w:rsidR="00B23661" w:rsidRPr="005F719F">
        <w:rPr>
          <w:rFonts w:ascii="Times New Roman" w:hAnsi="Times New Roman" w:cs="Times New Roman"/>
        </w:rPr>
        <w:t xml:space="preserve">number </w:t>
      </w:r>
      <w:r w:rsidR="00412BCC" w:rsidRPr="005F719F">
        <w:rPr>
          <w:rFonts w:ascii="Times New Roman" w:hAnsi="Times New Roman" w:cs="Times New Roman"/>
        </w:rPr>
        <w:t xml:space="preserve">of students </w:t>
      </w:r>
      <w:r w:rsidR="00B23661" w:rsidRPr="005F719F">
        <w:rPr>
          <w:rFonts w:ascii="Times New Roman" w:hAnsi="Times New Roman" w:cs="Times New Roman"/>
        </w:rPr>
        <w:t xml:space="preserve">post-tested, total attendance hours, and </w:t>
      </w:r>
      <w:r w:rsidR="003F0BD4" w:rsidRPr="005F719F">
        <w:rPr>
          <w:rFonts w:ascii="Times New Roman" w:hAnsi="Times New Roman" w:cs="Times New Roman"/>
        </w:rPr>
        <w:t xml:space="preserve">the number of high school equivalency completers. </w:t>
      </w:r>
      <w:r w:rsidR="00983CF7" w:rsidRPr="005F719F">
        <w:rPr>
          <w:rFonts w:ascii="Times New Roman" w:hAnsi="Times New Roman" w:cs="Times New Roman"/>
        </w:rPr>
        <w:t xml:space="preserve"> </w:t>
      </w:r>
      <w:r w:rsidR="003F0BD4" w:rsidRPr="005F719F">
        <w:rPr>
          <w:rFonts w:ascii="Times New Roman" w:hAnsi="Times New Roman" w:cs="Times New Roman"/>
        </w:rPr>
        <w:t xml:space="preserve">The </w:t>
      </w:r>
      <w:r w:rsidR="00AE3381" w:rsidRPr="005F719F">
        <w:rPr>
          <w:rFonts w:ascii="Times New Roman" w:hAnsi="Times New Roman" w:cs="Times New Roman"/>
        </w:rPr>
        <w:t>partner collaboration/</w:t>
      </w:r>
      <w:r w:rsidR="003F0BD4" w:rsidRPr="005F719F">
        <w:rPr>
          <w:rFonts w:ascii="Times New Roman" w:hAnsi="Times New Roman" w:cs="Times New Roman"/>
        </w:rPr>
        <w:t xml:space="preserve">activity log </w:t>
      </w:r>
      <w:r w:rsidR="001565E3" w:rsidRPr="005F719F">
        <w:rPr>
          <w:rFonts w:ascii="Times New Roman" w:hAnsi="Times New Roman" w:cs="Times New Roman"/>
        </w:rPr>
        <w:t xml:space="preserve">section </w:t>
      </w:r>
      <w:r w:rsidR="003F0BD4" w:rsidRPr="005F719F">
        <w:rPr>
          <w:rFonts w:ascii="Times New Roman" w:hAnsi="Times New Roman" w:cs="Times New Roman"/>
        </w:rPr>
        <w:t>documented the programs ongoing work with agency partners to support their career pathway integration</w:t>
      </w:r>
      <w:r w:rsidRPr="005F719F">
        <w:rPr>
          <w:rFonts w:ascii="Times New Roman" w:hAnsi="Times New Roman" w:cs="Times New Roman"/>
        </w:rPr>
        <w:t xml:space="preserve"> and coordination of services</w:t>
      </w:r>
      <w:r w:rsidR="003F0BD4" w:rsidRPr="005F719F">
        <w:rPr>
          <w:rFonts w:ascii="Times New Roman" w:hAnsi="Times New Roman" w:cs="Times New Roman"/>
        </w:rPr>
        <w:t xml:space="preserve">. </w:t>
      </w:r>
      <w:r w:rsidR="00983CF7" w:rsidRPr="005F719F">
        <w:rPr>
          <w:rFonts w:ascii="Times New Roman" w:hAnsi="Times New Roman" w:cs="Times New Roman"/>
        </w:rPr>
        <w:t xml:space="preserve"> Programs </w:t>
      </w:r>
      <w:r w:rsidR="003F0BD4" w:rsidRPr="005F719F">
        <w:rPr>
          <w:rFonts w:ascii="Times New Roman" w:hAnsi="Times New Roman" w:cs="Times New Roman"/>
        </w:rPr>
        <w:t xml:space="preserve">were required to report on all monthly activities with current partners and identify new partner meetings and activities. </w:t>
      </w:r>
      <w:r w:rsidR="007843B7" w:rsidRPr="005F719F">
        <w:rPr>
          <w:rFonts w:ascii="Times New Roman" w:hAnsi="Times New Roman" w:cs="Times New Roman"/>
        </w:rPr>
        <w:t xml:space="preserve"> </w:t>
      </w:r>
      <w:r w:rsidR="001565E3" w:rsidRPr="005F719F">
        <w:rPr>
          <w:rFonts w:ascii="Times New Roman" w:hAnsi="Times New Roman" w:cs="Times New Roman"/>
        </w:rPr>
        <w:t>In addition,</w:t>
      </w:r>
      <w:r w:rsidR="003F0BD4" w:rsidRPr="005F719F">
        <w:rPr>
          <w:rFonts w:ascii="Times New Roman" w:hAnsi="Times New Roman" w:cs="Times New Roman"/>
        </w:rPr>
        <w:t xml:space="preserve"> it was required that the program report on the outcome</w:t>
      </w:r>
      <w:r w:rsidR="00412BCC" w:rsidRPr="005F719F">
        <w:rPr>
          <w:rFonts w:ascii="Times New Roman" w:hAnsi="Times New Roman" w:cs="Times New Roman"/>
        </w:rPr>
        <w:t>,</w:t>
      </w:r>
      <w:r w:rsidR="003F0BD4" w:rsidRPr="005F719F">
        <w:rPr>
          <w:rFonts w:ascii="Times New Roman" w:hAnsi="Times New Roman" w:cs="Times New Roman"/>
        </w:rPr>
        <w:t xml:space="preserve"> or anticipated outcome</w:t>
      </w:r>
      <w:r w:rsidR="00412BCC" w:rsidRPr="005F719F">
        <w:rPr>
          <w:rFonts w:ascii="Times New Roman" w:hAnsi="Times New Roman" w:cs="Times New Roman"/>
        </w:rPr>
        <w:t xml:space="preserve">, with the </w:t>
      </w:r>
      <w:r w:rsidR="003F0BD4" w:rsidRPr="005F719F">
        <w:rPr>
          <w:rFonts w:ascii="Times New Roman" w:hAnsi="Times New Roman" w:cs="Times New Roman"/>
        </w:rPr>
        <w:t>partner.</w:t>
      </w:r>
      <w:r w:rsidR="00BD585D" w:rsidRPr="005F719F">
        <w:rPr>
          <w:rFonts w:ascii="Times New Roman" w:hAnsi="Times New Roman" w:cs="Times New Roman"/>
        </w:rPr>
        <w:t xml:space="preserve"> </w:t>
      </w:r>
      <w:r w:rsidR="003F0BD4" w:rsidRPr="005F719F">
        <w:rPr>
          <w:rFonts w:ascii="Times New Roman" w:hAnsi="Times New Roman" w:cs="Times New Roman"/>
        </w:rPr>
        <w:t xml:space="preserve"> The </w:t>
      </w:r>
      <w:r w:rsidR="00AE3381" w:rsidRPr="005F719F">
        <w:rPr>
          <w:rFonts w:ascii="Times New Roman" w:hAnsi="Times New Roman" w:cs="Times New Roman"/>
        </w:rPr>
        <w:t>partner collaboration/</w:t>
      </w:r>
      <w:r w:rsidR="003F0BD4" w:rsidRPr="005F719F">
        <w:rPr>
          <w:rFonts w:ascii="Times New Roman" w:hAnsi="Times New Roman" w:cs="Times New Roman"/>
        </w:rPr>
        <w:t xml:space="preserve">activity log also required that the programs document ongoing strategies for increasing educational gains and specify what recruitment activities </w:t>
      </w:r>
      <w:proofErr w:type="gramStart"/>
      <w:r w:rsidR="003F0BD4" w:rsidRPr="005F719F">
        <w:rPr>
          <w:rFonts w:ascii="Times New Roman" w:hAnsi="Times New Roman" w:cs="Times New Roman"/>
        </w:rPr>
        <w:t>were comple</w:t>
      </w:r>
      <w:r w:rsidR="00AE3381" w:rsidRPr="005F719F">
        <w:rPr>
          <w:rFonts w:ascii="Times New Roman" w:hAnsi="Times New Roman" w:cs="Times New Roman"/>
        </w:rPr>
        <w:t>ted</w:t>
      </w:r>
      <w:proofErr w:type="gramEnd"/>
      <w:r w:rsidR="00AE3381" w:rsidRPr="005F719F">
        <w:rPr>
          <w:rFonts w:ascii="Times New Roman" w:hAnsi="Times New Roman" w:cs="Times New Roman"/>
        </w:rPr>
        <w:t xml:space="preserve"> throughout the month. </w:t>
      </w:r>
      <w:r w:rsidR="00BD585D" w:rsidRPr="005F719F">
        <w:rPr>
          <w:rFonts w:ascii="Times New Roman" w:hAnsi="Times New Roman" w:cs="Times New Roman"/>
        </w:rPr>
        <w:t xml:space="preserve"> </w:t>
      </w:r>
      <w:r w:rsidR="00AE3381" w:rsidRPr="005F719F">
        <w:rPr>
          <w:rFonts w:ascii="Times New Roman" w:hAnsi="Times New Roman" w:cs="Times New Roman"/>
        </w:rPr>
        <w:t>The partner collaboration/</w:t>
      </w:r>
      <w:r w:rsidR="003F0BD4" w:rsidRPr="005F719F">
        <w:rPr>
          <w:rFonts w:ascii="Times New Roman" w:hAnsi="Times New Roman" w:cs="Times New Roman"/>
        </w:rPr>
        <w:t xml:space="preserve">activity </w:t>
      </w:r>
      <w:r w:rsidR="00A64B9D" w:rsidRPr="005F719F">
        <w:rPr>
          <w:rFonts w:ascii="Times New Roman" w:hAnsi="Times New Roman" w:cs="Times New Roman"/>
        </w:rPr>
        <w:t>log will become the basis for identifying models of promising practices.</w:t>
      </w:r>
    </w:p>
    <w:p w14:paraId="3F0F2F05" w14:textId="77777777" w:rsidR="00F5769A" w:rsidRPr="005F719F" w:rsidRDefault="00F5769A" w:rsidP="00F5769A">
      <w:pPr>
        <w:autoSpaceDE w:val="0"/>
        <w:autoSpaceDN w:val="0"/>
        <w:adjustRightInd w:val="0"/>
        <w:spacing w:after="0" w:line="240" w:lineRule="auto"/>
        <w:ind w:left="720"/>
        <w:rPr>
          <w:rFonts w:ascii="Times New Roman" w:hAnsi="Times New Roman" w:cs="Times New Roman"/>
        </w:rPr>
      </w:pPr>
    </w:p>
    <w:p w14:paraId="448BA670" w14:textId="122AC932" w:rsidR="008F340A" w:rsidRPr="005F719F" w:rsidRDefault="00F5769A" w:rsidP="004E0B3E">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 xml:space="preserve">State staff also </w:t>
      </w:r>
      <w:r w:rsidR="00983CF7" w:rsidRPr="005F719F">
        <w:rPr>
          <w:rFonts w:ascii="Times New Roman" w:hAnsi="Times New Roman" w:cs="Times New Roman"/>
        </w:rPr>
        <w:t xml:space="preserve">continued revising a </w:t>
      </w:r>
      <w:r w:rsidRPr="005F719F">
        <w:rPr>
          <w:rFonts w:ascii="Times New Roman" w:hAnsi="Times New Roman" w:cs="Times New Roman"/>
        </w:rPr>
        <w:t xml:space="preserve">guiding document to use for program monitoring that directly aligned to the original WIOA Adult </w:t>
      </w:r>
      <w:r w:rsidR="00F85B01" w:rsidRPr="005F719F">
        <w:rPr>
          <w:rFonts w:ascii="Times New Roman" w:hAnsi="Times New Roman" w:cs="Times New Roman"/>
        </w:rPr>
        <w:t xml:space="preserve">Education RFP. </w:t>
      </w:r>
      <w:r w:rsidR="007843B7" w:rsidRPr="005F719F">
        <w:rPr>
          <w:rFonts w:ascii="Times New Roman" w:hAnsi="Times New Roman" w:cs="Times New Roman"/>
        </w:rPr>
        <w:t xml:space="preserve"> </w:t>
      </w:r>
      <w:r w:rsidR="00983CF7" w:rsidRPr="005F719F">
        <w:rPr>
          <w:rFonts w:ascii="Times New Roman" w:hAnsi="Times New Roman" w:cs="Times New Roman"/>
        </w:rPr>
        <w:t>That monitoring tool will be</w:t>
      </w:r>
      <w:r w:rsidR="005A2445" w:rsidRPr="005F719F">
        <w:rPr>
          <w:rFonts w:ascii="Times New Roman" w:hAnsi="Times New Roman" w:cs="Times New Roman"/>
        </w:rPr>
        <w:t xml:space="preserve"> used to monitor all local programs either</w:t>
      </w:r>
      <w:r w:rsidR="00DA5436" w:rsidRPr="005F719F">
        <w:rPr>
          <w:rFonts w:ascii="Times New Roman" w:hAnsi="Times New Roman" w:cs="Times New Roman"/>
        </w:rPr>
        <w:t xml:space="preserve"> onsite or virtually.  The State also implemented peer monitoring, onsite or virtually, as well.  All programs were required to visit and observe another program, gleaning new information and resources to implement.  </w:t>
      </w:r>
      <w:r w:rsidR="00A512A3" w:rsidRPr="005F719F">
        <w:rPr>
          <w:rFonts w:ascii="Times New Roman" w:hAnsi="Times New Roman" w:cs="Times New Roman"/>
        </w:rPr>
        <w:t xml:space="preserve">Local programs found this meaningful and beneficial.  </w:t>
      </w:r>
      <w:r w:rsidR="00983CF7" w:rsidRPr="005F719F">
        <w:rPr>
          <w:rFonts w:ascii="Times New Roman" w:hAnsi="Times New Roman" w:cs="Times New Roman"/>
        </w:rPr>
        <w:t xml:space="preserve">As </w:t>
      </w:r>
      <w:r w:rsidR="007843B7" w:rsidRPr="005F719F">
        <w:rPr>
          <w:rFonts w:ascii="Times New Roman" w:hAnsi="Times New Roman" w:cs="Times New Roman"/>
        </w:rPr>
        <w:t>mentioned previously</w:t>
      </w:r>
      <w:r w:rsidR="00983CF7" w:rsidRPr="005F719F">
        <w:rPr>
          <w:rFonts w:ascii="Times New Roman" w:hAnsi="Times New Roman" w:cs="Times New Roman"/>
        </w:rPr>
        <w:t xml:space="preserve">, the State was able to observe virtual classrooms and activities during the </w:t>
      </w:r>
      <w:r w:rsidR="00D371D4" w:rsidRPr="005F719F">
        <w:rPr>
          <w:rFonts w:ascii="Times New Roman" w:hAnsi="Times New Roman" w:cs="Times New Roman"/>
        </w:rPr>
        <w:t>COVID-19</w:t>
      </w:r>
      <w:r w:rsidR="00983CF7" w:rsidRPr="005F719F">
        <w:rPr>
          <w:rFonts w:ascii="Times New Roman" w:hAnsi="Times New Roman" w:cs="Times New Roman"/>
        </w:rPr>
        <w:t xml:space="preserve"> pandemic.  Therefore, the State is confident that future virtual monitoring visits would be manageable and successful.</w:t>
      </w:r>
      <w:r w:rsidR="00F519AD" w:rsidRPr="005F719F">
        <w:rPr>
          <w:rFonts w:ascii="Times New Roman" w:hAnsi="Times New Roman" w:cs="Times New Roman"/>
        </w:rPr>
        <w:t xml:space="preserve">  The State also hopes to work on updating monitoring processes to better align with federal monitoring requirements.</w:t>
      </w:r>
    </w:p>
    <w:p w14:paraId="3C7CE570" w14:textId="77777777" w:rsidR="004E0B3E" w:rsidRPr="005F719F" w:rsidRDefault="004E0B3E" w:rsidP="004E0B3E">
      <w:pPr>
        <w:autoSpaceDE w:val="0"/>
        <w:autoSpaceDN w:val="0"/>
        <w:adjustRightInd w:val="0"/>
        <w:spacing w:after="0" w:line="240" w:lineRule="auto"/>
        <w:ind w:left="720"/>
        <w:rPr>
          <w:rFonts w:ascii="Times New Roman" w:hAnsi="Times New Roman" w:cs="Times New Roman"/>
        </w:rPr>
      </w:pPr>
    </w:p>
    <w:p w14:paraId="1E7ACFDB" w14:textId="77777777" w:rsidR="008F340A" w:rsidRPr="005F719F" w:rsidRDefault="006B606F" w:rsidP="006B606F">
      <w:p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b/>
        </w:rPr>
        <w:t>(b) As applicable, describe how the State has used funds for additional permissible activities described in section 223(a</w:t>
      </w:r>
      <w:proofErr w:type="gramStart"/>
      <w:r w:rsidRPr="005F719F">
        <w:rPr>
          <w:rFonts w:ascii="Times New Roman" w:hAnsi="Times New Roman" w:cs="Times New Roman"/>
          <w:b/>
        </w:rPr>
        <w:t>)(</w:t>
      </w:r>
      <w:proofErr w:type="gramEnd"/>
      <w:r w:rsidRPr="005F719F">
        <w:rPr>
          <w:rFonts w:ascii="Times New Roman" w:hAnsi="Times New Roman" w:cs="Times New Roman"/>
          <w:b/>
        </w:rPr>
        <w:t>2).</w:t>
      </w:r>
    </w:p>
    <w:p w14:paraId="6884DA0D" w14:textId="77777777" w:rsidR="006B606F" w:rsidRPr="005F719F" w:rsidRDefault="006B606F" w:rsidP="003B0517">
      <w:pPr>
        <w:autoSpaceDE w:val="0"/>
        <w:autoSpaceDN w:val="0"/>
        <w:adjustRightInd w:val="0"/>
        <w:spacing w:after="0" w:line="240" w:lineRule="auto"/>
        <w:ind w:left="720"/>
        <w:rPr>
          <w:rFonts w:ascii="Times New Roman" w:hAnsi="Times New Roman" w:cs="Times New Roman"/>
        </w:rPr>
      </w:pPr>
    </w:p>
    <w:p w14:paraId="4BAE083A" w14:textId="1C230495" w:rsidR="008F340A" w:rsidRPr="005F719F" w:rsidRDefault="00954F81" w:rsidP="003B0517">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Other activities supported b</w:t>
      </w:r>
      <w:r w:rsidR="006B606F" w:rsidRPr="005F719F">
        <w:rPr>
          <w:rFonts w:ascii="Times New Roman" w:hAnsi="Times New Roman" w:cs="Times New Roman"/>
        </w:rPr>
        <w:t xml:space="preserve">y leadership dollars included: </w:t>
      </w:r>
      <w:r w:rsidR="00983CF7" w:rsidRPr="005F719F">
        <w:rPr>
          <w:rFonts w:ascii="Times New Roman" w:hAnsi="Times New Roman" w:cs="Times New Roman"/>
        </w:rPr>
        <w:t>Director/Instructor</w:t>
      </w:r>
      <w:r w:rsidRPr="005F719F">
        <w:rPr>
          <w:rFonts w:ascii="Times New Roman" w:hAnsi="Times New Roman" w:cs="Times New Roman"/>
        </w:rPr>
        <w:t xml:space="preserve"> Fall </w:t>
      </w:r>
      <w:r w:rsidR="00F17B84" w:rsidRPr="005F719F">
        <w:rPr>
          <w:rFonts w:ascii="Times New Roman" w:hAnsi="Times New Roman" w:cs="Times New Roman"/>
        </w:rPr>
        <w:t xml:space="preserve">and Spring </w:t>
      </w:r>
      <w:r w:rsidRPr="005F719F">
        <w:rPr>
          <w:rFonts w:ascii="Times New Roman" w:hAnsi="Times New Roman" w:cs="Times New Roman"/>
        </w:rPr>
        <w:t>Conference</w:t>
      </w:r>
      <w:r w:rsidR="00F17B84" w:rsidRPr="005F719F">
        <w:rPr>
          <w:rFonts w:ascii="Times New Roman" w:hAnsi="Times New Roman" w:cs="Times New Roman"/>
        </w:rPr>
        <w:t>s</w:t>
      </w:r>
      <w:r w:rsidRPr="005F719F">
        <w:rPr>
          <w:rFonts w:ascii="Times New Roman" w:hAnsi="Times New Roman" w:cs="Times New Roman"/>
        </w:rPr>
        <w:t xml:space="preserve">, </w:t>
      </w:r>
      <w:r w:rsidR="00F17B84" w:rsidRPr="005F719F">
        <w:rPr>
          <w:rFonts w:ascii="Times New Roman" w:hAnsi="Times New Roman" w:cs="Times New Roman"/>
        </w:rPr>
        <w:t>distribution of</w:t>
      </w:r>
      <w:r w:rsidR="006B606F" w:rsidRPr="005F719F">
        <w:rPr>
          <w:rFonts w:ascii="Times New Roman" w:hAnsi="Times New Roman" w:cs="Times New Roman"/>
        </w:rPr>
        <w:t xml:space="preserve"> pertinent information</w:t>
      </w:r>
      <w:r w:rsidR="00983CF7" w:rsidRPr="005F719F">
        <w:rPr>
          <w:rFonts w:ascii="Times New Roman" w:hAnsi="Times New Roman" w:cs="Times New Roman"/>
        </w:rPr>
        <w:t xml:space="preserve">, assessment training, </w:t>
      </w:r>
      <w:proofErr w:type="gramStart"/>
      <w:r w:rsidR="003B0517" w:rsidRPr="005F719F">
        <w:rPr>
          <w:rFonts w:ascii="Times New Roman" w:hAnsi="Times New Roman" w:cs="Times New Roman"/>
        </w:rPr>
        <w:t>purchase</w:t>
      </w:r>
      <w:proofErr w:type="gramEnd"/>
      <w:r w:rsidR="003B0517" w:rsidRPr="005F719F">
        <w:rPr>
          <w:rFonts w:ascii="Times New Roman" w:hAnsi="Times New Roman" w:cs="Times New Roman"/>
        </w:rPr>
        <w:t xml:space="preserve"> of distance learning curriculum</w:t>
      </w:r>
      <w:r w:rsidR="007843B7" w:rsidRPr="005F719F">
        <w:rPr>
          <w:rFonts w:ascii="Times New Roman" w:hAnsi="Times New Roman" w:cs="Times New Roman"/>
        </w:rPr>
        <w:t xml:space="preserve"> or educational materials</w:t>
      </w:r>
      <w:r w:rsidR="003B0517" w:rsidRPr="005F719F">
        <w:rPr>
          <w:rFonts w:ascii="Times New Roman" w:hAnsi="Times New Roman" w:cs="Times New Roman"/>
        </w:rPr>
        <w:t>, and monthly Shop Talks for program directors.</w:t>
      </w:r>
      <w:r w:rsidR="00A8720D" w:rsidRPr="005F719F">
        <w:rPr>
          <w:rFonts w:ascii="Times New Roman" w:hAnsi="Times New Roman" w:cs="Times New Roman"/>
        </w:rPr>
        <w:t xml:space="preserve"> </w:t>
      </w:r>
      <w:r w:rsidR="00DA45DA" w:rsidRPr="005F719F">
        <w:rPr>
          <w:rFonts w:ascii="Times New Roman" w:hAnsi="Times New Roman" w:cs="Times New Roman"/>
        </w:rPr>
        <w:t xml:space="preserve"> </w:t>
      </w:r>
      <w:r w:rsidR="00A8720D" w:rsidRPr="005F719F">
        <w:rPr>
          <w:rFonts w:ascii="Times New Roman" w:hAnsi="Times New Roman" w:cs="Times New Roman"/>
        </w:rPr>
        <w:t>It is important to note that a</w:t>
      </w:r>
      <w:r w:rsidR="00983CF7" w:rsidRPr="005F719F">
        <w:rPr>
          <w:rFonts w:ascii="Times New Roman" w:hAnsi="Times New Roman" w:cs="Times New Roman"/>
        </w:rPr>
        <w:t xml:space="preserve"> majority of state leadership fund</w:t>
      </w:r>
      <w:r w:rsidR="00DA45DA" w:rsidRPr="005F719F">
        <w:rPr>
          <w:rFonts w:ascii="Times New Roman" w:hAnsi="Times New Roman" w:cs="Times New Roman"/>
        </w:rPr>
        <w:t xml:space="preserve">ing </w:t>
      </w:r>
      <w:proofErr w:type="gramStart"/>
      <w:r w:rsidR="00DA45DA" w:rsidRPr="005F719F">
        <w:rPr>
          <w:rFonts w:ascii="Times New Roman" w:hAnsi="Times New Roman" w:cs="Times New Roman"/>
        </w:rPr>
        <w:t>is</w:t>
      </w:r>
      <w:r w:rsidR="00A8720D" w:rsidRPr="005F719F">
        <w:rPr>
          <w:rFonts w:ascii="Times New Roman" w:hAnsi="Times New Roman" w:cs="Times New Roman"/>
        </w:rPr>
        <w:t xml:space="preserve"> used</w:t>
      </w:r>
      <w:proofErr w:type="gramEnd"/>
      <w:r w:rsidR="00A8720D" w:rsidRPr="005F719F">
        <w:rPr>
          <w:rFonts w:ascii="Times New Roman" w:hAnsi="Times New Roman" w:cs="Times New Roman"/>
        </w:rPr>
        <w:t xml:space="preserve"> to </w:t>
      </w:r>
      <w:r w:rsidR="00983CF7" w:rsidRPr="005F719F">
        <w:rPr>
          <w:rFonts w:ascii="Times New Roman" w:hAnsi="Times New Roman" w:cs="Times New Roman"/>
        </w:rPr>
        <w:t>comp</w:t>
      </w:r>
      <w:r w:rsidR="00A8720D" w:rsidRPr="005F719F">
        <w:rPr>
          <w:rFonts w:ascii="Times New Roman" w:hAnsi="Times New Roman" w:cs="Times New Roman"/>
        </w:rPr>
        <w:t xml:space="preserve">letely cover the cost of LACES </w:t>
      </w:r>
      <w:r w:rsidR="00983CF7" w:rsidRPr="005F719F">
        <w:rPr>
          <w:rFonts w:ascii="Times New Roman" w:hAnsi="Times New Roman" w:cs="Times New Roman"/>
        </w:rPr>
        <w:t xml:space="preserve">for all programs.  The 2019-2020 program year was the </w:t>
      </w:r>
      <w:r w:rsidR="007F7FAC" w:rsidRPr="005F719F">
        <w:rPr>
          <w:rFonts w:ascii="Times New Roman" w:hAnsi="Times New Roman" w:cs="Times New Roman"/>
        </w:rPr>
        <w:t>first academic year with LACES.  L</w:t>
      </w:r>
      <w:r w:rsidR="00983CF7" w:rsidRPr="005F719F">
        <w:rPr>
          <w:rFonts w:ascii="Times New Roman" w:hAnsi="Times New Roman" w:cs="Times New Roman"/>
        </w:rPr>
        <w:t xml:space="preserve">ocal programs and the State were </w:t>
      </w:r>
      <w:r w:rsidR="007F7FAC" w:rsidRPr="005F719F">
        <w:rPr>
          <w:rFonts w:ascii="Times New Roman" w:hAnsi="Times New Roman" w:cs="Times New Roman"/>
        </w:rPr>
        <w:t xml:space="preserve">highly impressed with the </w:t>
      </w:r>
      <w:r w:rsidR="00A8720D" w:rsidRPr="005F719F">
        <w:rPr>
          <w:rFonts w:ascii="Times New Roman" w:hAnsi="Times New Roman" w:cs="Times New Roman"/>
        </w:rPr>
        <w:t>robust data management system</w:t>
      </w:r>
      <w:r w:rsidR="007F7FAC" w:rsidRPr="005F719F">
        <w:rPr>
          <w:rFonts w:ascii="Times New Roman" w:hAnsi="Times New Roman" w:cs="Times New Roman"/>
        </w:rPr>
        <w:t xml:space="preserve"> itself as well as the support/training received from LiteracyPro personnel.</w:t>
      </w:r>
      <w:r w:rsidR="00A8720D" w:rsidRPr="005F719F">
        <w:rPr>
          <w:rFonts w:ascii="Times New Roman" w:hAnsi="Times New Roman" w:cs="Times New Roman"/>
        </w:rPr>
        <w:t xml:space="preserve">  </w:t>
      </w:r>
      <w:r w:rsidR="007F3384" w:rsidRPr="005F719F">
        <w:rPr>
          <w:rFonts w:ascii="Times New Roman" w:hAnsi="Times New Roman" w:cs="Times New Roman"/>
        </w:rPr>
        <w:t xml:space="preserve">Because LACES is so costly in relation to </w:t>
      </w:r>
      <w:proofErr w:type="gramStart"/>
      <w:r w:rsidR="007F3384" w:rsidRPr="005F719F">
        <w:rPr>
          <w:rFonts w:ascii="Times New Roman" w:hAnsi="Times New Roman" w:cs="Times New Roman"/>
        </w:rPr>
        <w:t>overall</w:t>
      </w:r>
      <w:proofErr w:type="gramEnd"/>
      <w:r w:rsidR="007F3384" w:rsidRPr="005F719F">
        <w:rPr>
          <w:rFonts w:ascii="Times New Roman" w:hAnsi="Times New Roman" w:cs="Times New Roman"/>
        </w:rPr>
        <w:t xml:space="preserve"> leadership funding Montana has available, </w:t>
      </w:r>
      <w:r w:rsidR="00A8720D" w:rsidRPr="005F719F">
        <w:rPr>
          <w:rFonts w:ascii="Times New Roman" w:hAnsi="Times New Roman" w:cs="Times New Roman"/>
        </w:rPr>
        <w:t>other state leadership expenditures</w:t>
      </w:r>
      <w:r w:rsidR="007F3384" w:rsidRPr="005F719F">
        <w:rPr>
          <w:rFonts w:ascii="Times New Roman" w:hAnsi="Times New Roman" w:cs="Times New Roman"/>
        </w:rPr>
        <w:t xml:space="preserve"> and opportunities are limited.  However</w:t>
      </w:r>
      <w:r w:rsidR="00FF4966" w:rsidRPr="005F719F">
        <w:rPr>
          <w:rFonts w:ascii="Times New Roman" w:hAnsi="Times New Roman" w:cs="Times New Roman"/>
        </w:rPr>
        <w:t xml:space="preserve">, transitioning to this </w:t>
      </w:r>
      <w:r w:rsidR="007F3384" w:rsidRPr="005F719F">
        <w:rPr>
          <w:rFonts w:ascii="Times New Roman" w:hAnsi="Times New Roman" w:cs="Times New Roman"/>
        </w:rPr>
        <w:t xml:space="preserve">robust and accurate </w:t>
      </w:r>
      <w:r w:rsidR="00A8720D" w:rsidRPr="005F719F">
        <w:rPr>
          <w:rFonts w:ascii="Times New Roman" w:hAnsi="Times New Roman" w:cs="Times New Roman"/>
        </w:rPr>
        <w:t xml:space="preserve">data management system has been an extremely beneficial change for WIOA Title II Adult Education </w:t>
      </w:r>
      <w:r w:rsidR="00DA45DA" w:rsidRPr="005F719F">
        <w:rPr>
          <w:rFonts w:ascii="Times New Roman" w:hAnsi="Times New Roman" w:cs="Times New Roman"/>
        </w:rPr>
        <w:t>p</w:t>
      </w:r>
      <w:r w:rsidR="00A8720D" w:rsidRPr="005F719F">
        <w:rPr>
          <w:rFonts w:ascii="Times New Roman" w:hAnsi="Times New Roman" w:cs="Times New Roman"/>
        </w:rPr>
        <w:t>rograms in Montana.</w:t>
      </w:r>
    </w:p>
    <w:p w14:paraId="6E7E7B4C" w14:textId="69AAACF8" w:rsidR="008F340A" w:rsidRPr="005F719F" w:rsidRDefault="008F340A" w:rsidP="003F0BD4">
      <w:pPr>
        <w:autoSpaceDE w:val="0"/>
        <w:autoSpaceDN w:val="0"/>
        <w:adjustRightInd w:val="0"/>
        <w:spacing w:after="0" w:line="240" w:lineRule="auto"/>
        <w:ind w:left="720"/>
        <w:rPr>
          <w:rFonts w:ascii="Times New Roman" w:hAnsi="Times New Roman" w:cs="Times New Roman"/>
        </w:rPr>
      </w:pPr>
    </w:p>
    <w:p w14:paraId="53BA8E65" w14:textId="76AE63B9" w:rsidR="008F14D9" w:rsidRPr="005F719F" w:rsidRDefault="008F14D9" w:rsidP="003F0BD4">
      <w:pPr>
        <w:autoSpaceDE w:val="0"/>
        <w:autoSpaceDN w:val="0"/>
        <w:adjustRightInd w:val="0"/>
        <w:spacing w:after="0" w:line="240" w:lineRule="auto"/>
        <w:ind w:left="720"/>
        <w:rPr>
          <w:rFonts w:ascii="Times New Roman" w:hAnsi="Times New Roman" w:cs="Times New Roman"/>
        </w:rPr>
      </w:pPr>
    </w:p>
    <w:p w14:paraId="1B34A8D8" w14:textId="77777777" w:rsidR="008F14D9" w:rsidRPr="005F719F" w:rsidRDefault="008F14D9" w:rsidP="003F0BD4">
      <w:pPr>
        <w:autoSpaceDE w:val="0"/>
        <w:autoSpaceDN w:val="0"/>
        <w:adjustRightInd w:val="0"/>
        <w:spacing w:after="0" w:line="240" w:lineRule="auto"/>
        <w:ind w:left="720"/>
        <w:rPr>
          <w:rFonts w:ascii="Times New Roman" w:hAnsi="Times New Roman" w:cs="Times New Roman"/>
        </w:rPr>
      </w:pPr>
    </w:p>
    <w:p w14:paraId="054D17D6" w14:textId="77777777" w:rsidR="001D4BE9" w:rsidRPr="005F719F" w:rsidRDefault="001D4BE9" w:rsidP="002D1E15">
      <w:pPr>
        <w:rPr>
          <w:rFonts w:ascii="Times New Roman" w:hAnsi="Times New Roman" w:cs="Times New Roman"/>
          <w:bCs/>
          <w:color w:val="FF0000"/>
        </w:rPr>
      </w:pPr>
      <w:r w:rsidRPr="005F719F">
        <w:rPr>
          <w:rFonts w:ascii="Times New Roman" w:hAnsi="Times New Roman" w:cs="Times New Roman"/>
          <w:b/>
          <w:bCs/>
        </w:rPr>
        <w:lastRenderedPageBreak/>
        <w:t>2. Performance Data Analysis</w:t>
      </w:r>
    </w:p>
    <w:p w14:paraId="79981EB7" w14:textId="77777777" w:rsidR="001D4BE9" w:rsidRPr="005F719F" w:rsidRDefault="001D4BE9" w:rsidP="001D4BE9">
      <w:p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rPr>
        <w:t>Describe how the adult education program performed in the overall assessment of core</w:t>
      </w:r>
    </w:p>
    <w:p w14:paraId="5BDF589A" w14:textId="77777777" w:rsidR="001D4BE9" w:rsidRPr="005F719F" w:rsidRDefault="001D4BE9" w:rsidP="001D4BE9">
      <w:pPr>
        <w:autoSpaceDE w:val="0"/>
        <w:autoSpaceDN w:val="0"/>
        <w:adjustRightInd w:val="0"/>
        <w:spacing w:after="0" w:line="240" w:lineRule="auto"/>
        <w:rPr>
          <w:rFonts w:ascii="Times New Roman" w:hAnsi="Times New Roman" w:cs="Times New Roman"/>
        </w:rPr>
      </w:pPr>
      <w:proofErr w:type="gramStart"/>
      <w:r w:rsidRPr="005F719F">
        <w:rPr>
          <w:rFonts w:ascii="Times New Roman" w:hAnsi="Times New Roman" w:cs="Times New Roman"/>
          <w:b/>
        </w:rPr>
        <w:t>programs</w:t>
      </w:r>
      <w:proofErr w:type="gramEnd"/>
      <w:r w:rsidRPr="005F719F">
        <w:rPr>
          <w:rFonts w:ascii="Times New Roman" w:hAnsi="Times New Roman" w:cs="Times New Roman"/>
          <w:b/>
        </w:rPr>
        <w:t xml:space="preserve"> based on the core indicators of performance. Discuss how the assessment </w:t>
      </w:r>
      <w:proofErr w:type="gramStart"/>
      <w:r w:rsidRPr="005F719F">
        <w:rPr>
          <w:rFonts w:ascii="Times New Roman" w:hAnsi="Times New Roman" w:cs="Times New Roman"/>
          <w:b/>
        </w:rPr>
        <w:t>was used</w:t>
      </w:r>
      <w:proofErr w:type="gramEnd"/>
      <w:r w:rsidRPr="005F719F">
        <w:rPr>
          <w:rFonts w:ascii="Times New Roman" w:hAnsi="Times New Roman" w:cs="Times New Roman"/>
          <w:b/>
        </w:rPr>
        <w:t xml:space="preserve"> to</w:t>
      </w:r>
      <w:r w:rsidR="008F340A" w:rsidRPr="005F719F">
        <w:rPr>
          <w:rFonts w:ascii="Times New Roman" w:hAnsi="Times New Roman" w:cs="Times New Roman"/>
          <w:b/>
        </w:rPr>
        <w:t xml:space="preserve"> </w:t>
      </w:r>
      <w:r w:rsidRPr="005F719F">
        <w:rPr>
          <w:rFonts w:ascii="Times New Roman" w:hAnsi="Times New Roman" w:cs="Times New Roman"/>
          <w:b/>
        </w:rPr>
        <w:t>improve quality and effectiveness of the funded eligible providers and any plans to further</w:t>
      </w:r>
      <w:r w:rsidR="003B0517" w:rsidRPr="005F719F">
        <w:rPr>
          <w:rFonts w:ascii="Times New Roman" w:hAnsi="Times New Roman" w:cs="Times New Roman"/>
          <w:b/>
        </w:rPr>
        <w:t xml:space="preserve"> </w:t>
      </w:r>
      <w:r w:rsidRPr="005F719F">
        <w:rPr>
          <w:rFonts w:ascii="Times New Roman" w:hAnsi="Times New Roman" w:cs="Times New Roman"/>
          <w:b/>
        </w:rPr>
        <w:t>increase performance in future reporting years</w:t>
      </w:r>
      <w:r w:rsidRPr="005F719F">
        <w:rPr>
          <w:rFonts w:ascii="Times New Roman" w:hAnsi="Times New Roman" w:cs="Times New Roman"/>
        </w:rPr>
        <w:t>.</w:t>
      </w:r>
    </w:p>
    <w:p w14:paraId="2256EB2E" w14:textId="77777777" w:rsidR="00A64DBE" w:rsidRPr="005F719F" w:rsidRDefault="00A64DBE" w:rsidP="001D4BE9">
      <w:pPr>
        <w:autoSpaceDE w:val="0"/>
        <w:autoSpaceDN w:val="0"/>
        <w:adjustRightInd w:val="0"/>
        <w:spacing w:after="0" w:line="240" w:lineRule="auto"/>
        <w:rPr>
          <w:rFonts w:ascii="Times New Roman" w:hAnsi="Times New Roman" w:cs="Times New Roman"/>
        </w:rPr>
      </w:pPr>
    </w:p>
    <w:p w14:paraId="7B891860" w14:textId="7B2638AA" w:rsidR="00E81922" w:rsidRPr="005F719F" w:rsidRDefault="009265B1" w:rsidP="00E81922">
      <w:p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 xml:space="preserve">The </w:t>
      </w:r>
      <w:r w:rsidR="00D371D4" w:rsidRPr="005F719F">
        <w:rPr>
          <w:rFonts w:ascii="Times New Roman" w:hAnsi="Times New Roman" w:cs="Times New Roman"/>
        </w:rPr>
        <w:t>COVID-19</w:t>
      </w:r>
      <w:r w:rsidRPr="005F719F">
        <w:rPr>
          <w:rFonts w:ascii="Times New Roman" w:hAnsi="Times New Roman" w:cs="Times New Roman"/>
        </w:rPr>
        <w:t xml:space="preserve"> pandemic definitely had an impact on Montana’s WIOA Title II Adult Education services and overall performance for the 2019-2020 program year.  Many services halted as of March 2020 when programs faced </w:t>
      </w:r>
      <w:r w:rsidR="00852507" w:rsidRPr="005F719F">
        <w:rPr>
          <w:rFonts w:ascii="Times New Roman" w:hAnsi="Times New Roman" w:cs="Times New Roman"/>
        </w:rPr>
        <w:t xml:space="preserve">mandatory </w:t>
      </w:r>
      <w:r w:rsidRPr="005F719F">
        <w:rPr>
          <w:rFonts w:ascii="Times New Roman" w:hAnsi="Times New Roman" w:cs="Times New Roman"/>
        </w:rPr>
        <w:t>closures, which resulted in the suspension of in-person assessment and instruction.  Programs scrambled to implement distant lear</w:t>
      </w:r>
      <w:r w:rsidR="00D371D4" w:rsidRPr="005F719F">
        <w:rPr>
          <w:rFonts w:ascii="Times New Roman" w:hAnsi="Times New Roman" w:cs="Times New Roman"/>
        </w:rPr>
        <w:t>ning initiatives, establish virtual</w:t>
      </w:r>
      <w:r w:rsidRPr="005F719F">
        <w:rPr>
          <w:rFonts w:ascii="Times New Roman" w:hAnsi="Times New Roman" w:cs="Times New Roman"/>
        </w:rPr>
        <w:t xml:space="preserve"> classrooms and adjusted </w:t>
      </w:r>
      <w:r w:rsidR="00852507" w:rsidRPr="005F719F">
        <w:rPr>
          <w:rFonts w:ascii="Times New Roman" w:hAnsi="Times New Roman" w:cs="Times New Roman"/>
        </w:rPr>
        <w:t xml:space="preserve">overall </w:t>
      </w:r>
      <w:r w:rsidRPr="005F719F">
        <w:rPr>
          <w:rFonts w:ascii="Times New Roman" w:hAnsi="Times New Roman" w:cs="Times New Roman"/>
        </w:rPr>
        <w:t>program procedures. Outreach via phone, e-mail, and text</w:t>
      </w:r>
      <w:r w:rsidR="00D371D4" w:rsidRPr="005F719F">
        <w:rPr>
          <w:rFonts w:ascii="Times New Roman" w:hAnsi="Times New Roman" w:cs="Times New Roman"/>
        </w:rPr>
        <w:t xml:space="preserve"> message</w:t>
      </w:r>
      <w:r w:rsidRPr="005F719F">
        <w:rPr>
          <w:rFonts w:ascii="Times New Roman" w:hAnsi="Times New Roman" w:cs="Times New Roman"/>
        </w:rPr>
        <w:t xml:space="preserve"> was common but did not receive </w:t>
      </w:r>
      <w:r w:rsidR="004364AE" w:rsidRPr="005F719F">
        <w:rPr>
          <w:rFonts w:ascii="Times New Roman" w:hAnsi="Times New Roman" w:cs="Times New Roman"/>
        </w:rPr>
        <w:t xml:space="preserve">overly </w:t>
      </w:r>
      <w:r w:rsidRPr="005F719F">
        <w:rPr>
          <w:rFonts w:ascii="Times New Roman" w:hAnsi="Times New Roman" w:cs="Times New Roman"/>
        </w:rPr>
        <w:t xml:space="preserve">high response </w:t>
      </w:r>
      <w:r w:rsidR="004364AE" w:rsidRPr="005F719F">
        <w:rPr>
          <w:rFonts w:ascii="Times New Roman" w:hAnsi="Times New Roman" w:cs="Times New Roman"/>
        </w:rPr>
        <w:t xml:space="preserve">rates </w:t>
      </w:r>
      <w:r w:rsidRPr="005F719F">
        <w:rPr>
          <w:rFonts w:ascii="Times New Roman" w:hAnsi="Times New Roman" w:cs="Times New Roman"/>
        </w:rPr>
        <w:t xml:space="preserve">early into the pandemic.  Programs turned focus </w:t>
      </w:r>
      <w:r w:rsidR="00AF10F1" w:rsidRPr="005F719F">
        <w:rPr>
          <w:rFonts w:ascii="Times New Roman" w:hAnsi="Times New Roman" w:cs="Times New Roman"/>
        </w:rPr>
        <w:t xml:space="preserve">and efforts </w:t>
      </w:r>
      <w:r w:rsidRPr="005F719F">
        <w:rPr>
          <w:rFonts w:ascii="Times New Roman" w:hAnsi="Times New Roman" w:cs="Times New Roman"/>
        </w:rPr>
        <w:t>to client support—</w:t>
      </w:r>
      <w:r w:rsidR="002158F7" w:rsidRPr="005F719F">
        <w:rPr>
          <w:rFonts w:ascii="Times New Roman" w:hAnsi="Times New Roman" w:cs="Times New Roman"/>
        </w:rPr>
        <w:t xml:space="preserve">such as </w:t>
      </w:r>
      <w:r w:rsidRPr="005F719F">
        <w:rPr>
          <w:rFonts w:ascii="Times New Roman" w:hAnsi="Times New Roman" w:cs="Times New Roman"/>
        </w:rPr>
        <w:t xml:space="preserve">how </w:t>
      </w:r>
      <w:r w:rsidR="00DF0ADE" w:rsidRPr="005F719F">
        <w:rPr>
          <w:rFonts w:ascii="Times New Roman" w:hAnsi="Times New Roman" w:cs="Times New Roman"/>
        </w:rPr>
        <w:t>to get</w:t>
      </w:r>
      <w:r w:rsidRPr="005F719F">
        <w:rPr>
          <w:rFonts w:ascii="Times New Roman" w:hAnsi="Times New Roman" w:cs="Times New Roman"/>
        </w:rPr>
        <w:t xml:space="preserve"> internet connectivity an</w:t>
      </w:r>
      <w:r w:rsidR="00DF0ADE" w:rsidRPr="005F719F">
        <w:rPr>
          <w:rFonts w:ascii="Times New Roman" w:hAnsi="Times New Roman" w:cs="Times New Roman"/>
        </w:rPr>
        <w:t>d computers/tablets to students to continue</w:t>
      </w:r>
      <w:r w:rsidR="00A512A3" w:rsidRPr="005F719F">
        <w:rPr>
          <w:rFonts w:ascii="Times New Roman" w:hAnsi="Times New Roman" w:cs="Times New Roman"/>
        </w:rPr>
        <w:t>d</w:t>
      </w:r>
      <w:r w:rsidR="00DF0ADE" w:rsidRPr="005F719F">
        <w:rPr>
          <w:rFonts w:ascii="Times New Roman" w:hAnsi="Times New Roman" w:cs="Times New Roman"/>
        </w:rPr>
        <w:t xml:space="preserve"> service. </w:t>
      </w:r>
    </w:p>
    <w:p w14:paraId="557924D1" w14:textId="77777777" w:rsidR="00E81922" w:rsidRPr="005F719F" w:rsidRDefault="00E81922" w:rsidP="00E81922">
      <w:pPr>
        <w:autoSpaceDE w:val="0"/>
        <w:autoSpaceDN w:val="0"/>
        <w:adjustRightInd w:val="0"/>
        <w:spacing w:after="0" w:line="240" w:lineRule="auto"/>
        <w:rPr>
          <w:rFonts w:ascii="Times New Roman" w:hAnsi="Times New Roman" w:cs="Times New Roman"/>
        </w:rPr>
      </w:pPr>
    </w:p>
    <w:p w14:paraId="23864F34" w14:textId="0E1D16FB" w:rsidR="00AF10F1" w:rsidRPr="005F719F" w:rsidRDefault="00450859" w:rsidP="00852507">
      <w:pPr>
        <w:rPr>
          <w:rFonts w:ascii="Times New Roman" w:hAnsi="Times New Roman" w:cs="Times New Roman"/>
        </w:rPr>
      </w:pPr>
      <w:r w:rsidRPr="005F719F">
        <w:rPr>
          <w:rFonts w:ascii="Times New Roman" w:hAnsi="Times New Roman" w:cs="Times New Roman"/>
        </w:rPr>
        <w:t xml:space="preserve">Montana primarily served WIOA Title II Adult Education students in-person prior to the COVID-19 pandemic.  </w:t>
      </w:r>
      <w:r w:rsidR="00DF0ADE" w:rsidRPr="005F719F">
        <w:rPr>
          <w:rFonts w:ascii="Times New Roman" w:hAnsi="Times New Roman" w:cs="Times New Roman"/>
        </w:rPr>
        <w:t>Although some</w:t>
      </w:r>
      <w:r w:rsidR="00852507" w:rsidRPr="005F719F">
        <w:rPr>
          <w:rFonts w:ascii="Times New Roman" w:hAnsi="Times New Roman" w:cs="Times New Roman"/>
        </w:rPr>
        <w:t xml:space="preserve"> programs opened back up with reduced class sizes and implemented </w:t>
      </w:r>
      <w:r w:rsidR="00E469FE" w:rsidRPr="005F719F">
        <w:rPr>
          <w:rFonts w:ascii="Times New Roman" w:hAnsi="Times New Roman" w:cs="Times New Roman"/>
        </w:rPr>
        <w:t>COVID-19</w:t>
      </w:r>
      <w:r w:rsidR="00852507" w:rsidRPr="005F719F">
        <w:rPr>
          <w:rFonts w:ascii="Times New Roman" w:hAnsi="Times New Roman" w:cs="Times New Roman"/>
        </w:rPr>
        <w:t xml:space="preserve"> specific restrictions</w:t>
      </w:r>
      <w:r w:rsidR="00DF0ADE" w:rsidRPr="005F719F">
        <w:rPr>
          <w:rFonts w:ascii="Times New Roman" w:hAnsi="Times New Roman" w:cs="Times New Roman"/>
        </w:rPr>
        <w:t xml:space="preserve"> in May, </w:t>
      </w:r>
      <w:r w:rsidR="00852507" w:rsidRPr="005F719F">
        <w:rPr>
          <w:rFonts w:ascii="Times New Roman" w:hAnsi="Times New Roman" w:cs="Times New Roman"/>
        </w:rPr>
        <w:t>the State’s MSG rate was relatively sta</w:t>
      </w:r>
      <w:r w:rsidR="00F519AD" w:rsidRPr="005F719F">
        <w:rPr>
          <w:rFonts w:ascii="Times New Roman" w:hAnsi="Times New Roman" w:cs="Times New Roman"/>
        </w:rPr>
        <w:t>gnant from March 2020 to the end of the program year</w:t>
      </w:r>
      <w:r w:rsidR="00D371D4" w:rsidRPr="005F719F">
        <w:rPr>
          <w:rFonts w:ascii="Times New Roman" w:hAnsi="Times New Roman" w:cs="Times New Roman"/>
        </w:rPr>
        <w:t>.  The S</w:t>
      </w:r>
      <w:r w:rsidR="00852507" w:rsidRPr="005F719F">
        <w:rPr>
          <w:rFonts w:ascii="Times New Roman" w:hAnsi="Times New Roman" w:cs="Times New Roman"/>
        </w:rPr>
        <w:t xml:space="preserve">tate only recognized 168 MSGs from March 18, 2020 to June 30, 2020.  In comparison, the state recognized 295 MSGs </w:t>
      </w:r>
      <w:r w:rsidR="00DF0ADE" w:rsidRPr="005F719F">
        <w:rPr>
          <w:rFonts w:ascii="Times New Roman" w:hAnsi="Times New Roman" w:cs="Times New Roman"/>
        </w:rPr>
        <w:t>during the same timeframe</w:t>
      </w:r>
      <w:r w:rsidR="00AF10F1" w:rsidRPr="005F719F">
        <w:rPr>
          <w:rFonts w:ascii="Times New Roman" w:hAnsi="Times New Roman" w:cs="Times New Roman"/>
        </w:rPr>
        <w:t xml:space="preserve"> of the previous program year.  Posttesting and IET </w:t>
      </w:r>
      <w:r w:rsidR="00D371D4" w:rsidRPr="005F719F">
        <w:rPr>
          <w:rFonts w:ascii="Times New Roman" w:hAnsi="Times New Roman" w:cs="Times New Roman"/>
        </w:rPr>
        <w:t xml:space="preserve">programs </w:t>
      </w:r>
      <w:r w:rsidR="00FA2B24" w:rsidRPr="005F719F">
        <w:rPr>
          <w:rFonts w:ascii="Times New Roman" w:hAnsi="Times New Roman" w:cs="Times New Roman"/>
        </w:rPr>
        <w:t>suffered.</w:t>
      </w:r>
      <w:r w:rsidR="00AF10F1" w:rsidRPr="005F719F">
        <w:rPr>
          <w:rFonts w:ascii="Times New Roman" w:hAnsi="Times New Roman" w:cs="Times New Roman"/>
        </w:rPr>
        <w:t xml:space="preserve"> </w:t>
      </w:r>
      <w:r w:rsidR="00DA45DA" w:rsidRPr="005F719F">
        <w:rPr>
          <w:rFonts w:ascii="Times New Roman" w:hAnsi="Times New Roman" w:cs="Times New Roman"/>
        </w:rPr>
        <w:t xml:space="preserve"> </w:t>
      </w:r>
      <w:r w:rsidR="00FA2B24" w:rsidRPr="005F719F">
        <w:rPr>
          <w:rFonts w:ascii="Times New Roman" w:hAnsi="Times New Roman" w:cs="Times New Roman"/>
        </w:rPr>
        <w:t>There</w:t>
      </w:r>
      <w:r w:rsidR="00AF10F1" w:rsidRPr="005F719F">
        <w:rPr>
          <w:rFonts w:ascii="Times New Roman" w:hAnsi="Times New Roman" w:cs="Times New Roman"/>
        </w:rPr>
        <w:t xml:space="preserve"> was a decrease of in-person assessments given </w:t>
      </w:r>
      <w:r w:rsidR="00FA2B24" w:rsidRPr="005F719F">
        <w:rPr>
          <w:rFonts w:ascii="Times New Roman" w:hAnsi="Times New Roman" w:cs="Times New Roman"/>
        </w:rPr>
        <w:t xml:space="preserve">for the students at or above the threshold for posttesting.  The </w:t>
      </w:r>
      <w:r w:rsidR="00AF10F1" w:rsidRPr="005F719F">
        <w:rPr>
          <w:rFonts w:ascii="Times New Roman" w:hAnsi="Times New Roman" w:cs="Times New Roman"/>
        </w:rPr>
        <w:t xml:space="preserve">IET components such as clinical assignments </w:t>
      </w:r>
      <w:proofErr w:type="gramStart"/>
      <w:r w:rsidR="00AF10F1" w:rsidRPr="005F719F">
        <w:rPr>
          <w:rFonts w:ascii="Times New Roman" w:hAnsi="Times New Roman" w:cs="Times New Roman"/>
        </w:rPr>
        <w:t>were placed</w:t>
      </w:r>
      <w:proofErr w:type="gramEnd"/>
      <w:r w:rsidR="00AF10F1" w:rsidRPr="005F719F">
        <w:rPr>
          <w:rFonts w:ascii="Times New Roman" w:hAnsi="Times New Roman" w:cs="Times New Roman"/>
        </w:rPr>
        <w:t xml:space="preserve"> on hold.  The State recommended virtual assessments, job shadowing, and training simulations if ap</w:t>
      </w:r>
      <w:r w:rsidR="00D371D4" w:rsidRPr="005F719F">
        <w:rPr>
          <w:rFonts w:ascii="Times New Roman" w:hAnsi="Times New Roman" w:cs="Times New Roman"/>
        </w:rPr>
        <w:t xml:space="preserve">plicable.  Virtual TABE assessments </w:t>
      </w:r>
      <w:r w:rsidR="00AF10F1" w:rsidRPr="005F719F">
        <w:rPr>
          <w:rFonts w:ascii="Times New Roman" w:hAnsi="Times New Roman" w:cs="Times New Roman"/>
        </w:rPr>
        <w:t xml:space="preserve">became available </w:t>
      </w:r>
      <w:r w:rsidR="003B7BF6" w:rsidRPr="005F719F">
        <w:rPr>
          <w:rFonts w:ascii="Times New Roman" w:hAnsi="Times New Roman" w:cs="Times New Roman"/>
        </w:rPr>
        <w:t>in early May, but there was</w:t>
      </w:r>
      <w:r w:rsidR="00AF10F1" w:rsidRPr="005F719F">
        <w:rPr>
          <w:rFonts w:ascii="Times New Roman" w:hAnsi="Times New Roman" w:cs="Times New Roman"/>
        </w:rPr>
        <w:t xml:space="preserve"> lag time to roll that out across all programs as staff needed additional training and students needed to establish secure technology setups.</w:t>
      </w:r>
      <w:r w:rsidR="002158F7" w:rsidRPr="005F719F">
        <w:rPr>
          <w:rFonts w:ascii="Times New Roman" w:hAnsi="Times New Roman" w:cs="Times New Roman"/>
        </w:rPr>
        <w:t xml:space="preserve"> </w:t>
      </w:r>
      <w:r w:rsidR="00F519AD" w:rsidRPr="005F719F">
        <w:rPr>
          <w:rFonts w:ascii="Times New Roman" w:hAnsi="Times New Roman" w:cs="Times New Roman"/>
        </w:rPr>
        <w:t xml:space="preserve"> Inevitably, not all programs were able </w:t>
      </w:r>
      <w:proofErr w:type="gramStart"/>
      <w:r w:rsidR="00F519AD" w:rsidRPr="005F719F">
        <w:rPr>
          <w:rFonts w:ascii="Times New Roman" w:hAnsi="Times New Roman" w:cs="Times New Roman"/>
        </w:rPr>
        <w:t>to virtually assess</w:t>
      </w:r>
      <w:proofErr w:type="gramEnd"/>
      <w:r w:rsidR="00F519AD" w:rsidRPr="005F719F">
        <w:rPr>
          <w:rFonts w:ascii="Times New Roman" w:hAnsi="Times New Roman" w:cs="Times New Roman"/>
        </w:rPr>
        <w:t xml:space="preserve"> students due to a variety of constraints including technology or staff availability.  </w:t>
      </w:r>
      <w:proofErr w:type="gramStart"/>
      <w:r w:rsidR="003B7BF6" w:rsidRPr="005F719F">
        <w:rPr>
          <w:rFonts w:ascii="Times New Roman" w:hAnsi="Times New Roman" w:cs="Times New Roman"/>
        </w:rPr>
        <w:t>Also</w:t>
      </w:r>
      <w:proofErr w:type="gramEnd"/>
      <w:r w:rsidR="003B7BF6" w:rsidRPr="005F719F">
        <w:rPr>
          <w:rFonts w:ascii="Times New Roman" w:hAnsi="Times New Roman" w:cs="Times New Roman"/>
        </w:rPr>
        <w:t xml:space="preserve">, no virtual assessment option for BEST Literacy resulted in some loss of ELL posttests.  </w:t>
      </w:r>
      <w:r w:rsidRPr="005F719F">
        <w:rPr>
          <w:rFonts w:ascii="Times New Roman" w:hAnsi="Times New Roman" w:cs="Times New Roman"/>
        </w:rPr>
        <w:t xml:space="preserve">One local program got extremely creative and utilized the community college </w:t>
      </w:r>
      <w:r w:rsidR="00F00E92" w:rsidRPr="005F719F">
        <w:rPr>
          <w:rFonts w:ascii="Times New Roman" w:hAnsi="Times New Roman" w:cs="Times New Roman"/>
        </w:rPr>
        <w:t>Wi-Fi</w:t>
      </w:r>
      <w:r w:rsidRPr="005F719F">
        <w:rPr>
          <w:rFonts w:ascii="Times New Roman" w:hAnsi="Times New Roman" w:cs="Times New Roman"/>
        </w:rPr>
        <w:t xml:space="preserve"> to administer posttests in the </w:t>
      </w:r>
      <w:r w:rsidR="00F519AD" w:rsidRPr="005F719F">
        <w:rPr>
          <w:rFonts w:ascii="Times New Roman" w:hAnsi="Times New Roman" w:cs="Times New Roman"/>
        </w:rPr>
        <w:t>campus parking lot.</w:t>
      </w:r>
      <w:r w:rsidRPr="005F719F">
        <w:rPr>
          <w:rFonts w:ascii="Times New Roman" w:hAnsi="Times New Roman" w:cs="Times New Roman"/>
        </w:rPr>
        <w:t xml:space="preserve"> </w:t>
      </w:r>
    </w:p>
    <w:p w14:paraId="62477750" w14:textId="77777777" w:rsidR="008F14D9" w:rsidRPr="005F719F" w:rsidRDefault="00F36FB5" w:rsidP="009C4455">
      <w:pPr>
        <w:rPr>
          <w:rFonts w:ascii="Times New Roman" w:hAnsi="Times New Roman" w:cs="Times New Roman"/>
        </w:rPr>
      </w:pPr>
      <w:r w:rsidRPr="005F719F">
        <w:rPr>
          <w:rFonts w:ascii="Times New Roman" w:hAnsi="Times New Roman" w:cs="Times New Roman"/>
        </w:rPr>
        <w:t xml:space="preserve">While some students excelled at learning from home, many did not.  Programs reported that students often had issues accessing internet services or did not have a computer at home.  Inevitably, bandwidth issues were common as were interruptions such as juggling distance learning requirements for children at home.  </w:t>
      </w:r>
      <w:proofErr w:type="gramStart"/>
      <w:r w:rsidR="00A3573B" w:rsidRPr="005F719F">
        <w:rPr>
          <w:rFonts w:ascii="Times New Roman" w:hAnsi="Times New Roman" w:cs="Times New Roman"/>
        </w:rPr>
        <w:t>Also</w:t>
      </w:r>
      <w:proofErr w:type="gramEnd"/>
      <w:r w:rsidR="00A3573B" w:rsidRPr="005F719F">
        <w:rPr>
          <w:rFonts w:ascii="Times New Roman" w:hAnsi="Times New Roman" w:cs="Times New Roman"/>
        </w:rPr>
        <w:t>,</w:t>
      </w:r>
      <w:r w:rsidRPr="005F719F">
        <w:rPr>
          <w:rFonts w:ascii="Times New Roman" w:hAnsi="Times New Roman" w:cs="Times New Roman"/>
        </w:rPr>
        <w:t xml:space="preserve"> the lack of motivation, high stress levels/cognitive loads, health concerns, family stressors, and modality challenges were apparent with many students.  The programs that were able to continue services spent many hours supporting students and helping get them up to speed with technology.  Navigating new services, finding distance learning platforms, and holding classes virtually was very time consuming f</w:t>
      </w:r>
      <w:r w:rsidR="001F2C36" w:rsidRPr="005F719F">
        <w:rPr>
          <w:rFonts w:ascii="Times New Roman" w:hAnsi="Times New Roman" w:cs="Times New Roman"/>
        </w:rPr>
        <w:t xml:space="preserve">or both teachers and students.  Abruptly changing from in-person teaching and learning to distance teaching and learning created many barriers for adult learners.  Although, some programs found that successes came easier than in other programs.  </w:t>
      </w:r>
      <w:r w:rsidRPr="005F719F">
        <w:rPr>
          <w:rFonts w:ascii="Times New Roman" w:hAnsi="Times New Roman" w:cs="Times New Roman"/>
        </w:rPr>
        <w:t>One local program stated they were better able to mitigate the effects COVID-19 had on their data/success because of their previously implemented cohort model.  For example, by the time the COVID-19 pandemic hit, they had already established ongoing relationships and appropriate communication methods with the cohort of students they were serving.</w:t>
      </w:r>
      <w:r w:rsidR="003C7870" w:rsidRPr="005F719F">
        <w:rPr>
          <w:rFonts w:ascii="Times New Roman" w:hAnsi="Times New Roman" w:cs="Times New Roman"/>
        </w:rPr>
        <w:t xml:space="preserve">  Smaller programs seemed to not </w:t>
      </w:r>
      <w:r w:rsidR="00F00E92" w:rsidRPr="005F719F">
        <w:rPr>
          <w:rFonts w:ascii="Times New Roman" w:hAnsi="Times New Roman" w:cs="Times New Roman"/>
        </w:rPr>
        <w:t>fare</w:t>
      </w:r>
      <w:r w:rsidR="003C7870" w:rsidRPr="005F719F">
        <w:rPr>
          <w:rFonts w:ascii="Times New Roman" w:hAnsi="Times New Roman" w:cs="Times New Roman"/>
        </w:rPr>
        <w:t xml:space="preserve"> as well as larger programs during the transition to online service delivery.  Larger programs have more resources including access to staff, technology, and educational materials.</w:t>
      </w:r>
    </w:p>
    <w:p w14:paraId="7B35873D" w14:textId="31C80A7F" w:rsidR="009C4455" w:rsidRPr="005F719F" w:rsidRDefault="00450859" w:rsidP="009C4455">
      <w:pPr>
        <w:rPr>
          <w:rFonts w:ascii="Times New Roman" w:hAnsi="Times New Roman" w:cs="Times New Roman"/>
        </w:rPr>
      </w:pPr>
      <w:r w:rsidRPr="005F719F">
        <w:rPr>
          <w:rFonts w:ascii="Times New Roman" w:hAnsi="Times New Roman" w:cs="Times New Roman"/>
        </w:rPr>
        <w:lastRenderedPageBreak/>
        <w:t xml:space="preserve">Most HiSET test centers closed for several weeks and then operated with a reduced number of testing spots upon reopening.  </w:t>
      </w:r>
      <w:r w:rsidR="00E81922" w:rsidRPr="005F719F">
        <w:rPr>
          <w:rFonts w:ascii="Times New Roman" w:hAnsi="Times New Roman" w:cs="Times New Roman"/>
        </w:rPr>
        <w:t>If students were ready to HiSET test, they</w:t>
      </w:r>
      <w:r w:rsidRPr="005F719F">
        <w:rPr>
          <w:rFonts w:ascii="Times New Roman" w:hAnsi="Times New Roman" w:cs="Times New Roman"/>
        </w:rPr>
        <w:t xml:space="preserve"> were at the mercy of test center availability.  Alternately, if students had </w:t>
      </w:r>
      <w:r w:rsidR="00E81922" w:rsidRPr="005F719F">
        <w:rPr>
          <w:rFonts w:ascii="Times New Roman" w:hAnsi="Times New Roman" w:cs="Times New Roman"/>
        </w:rPr>
        <w:t>appr</w:t>
      </w:r>
      <w:r w:rsidR="00990EBB" w:rsidRPr="005F719F">
        <w:rPr>
          <w:rFonts w:ascii="Times New Roman" w:hAnsi="Times New Roman" w:cs="Times New Roman"/>
        </w:rPr>
        <w:t>opriate technology</w:t>
      </w:r>
      <w:r w:rsidRPr="005F719F">
        <w:rPr>
          <w:rFonts w:ascii="Times New Roman" w:hAnsi="Times New Roman" w:cs="Times New Roman"/>
        </w:rPr>
        <w:t>, secure space, and a</w:t>
      </w:r>
      <w:r w:rsidR="00E81922" w:rsidRPr="005F719F">
        <w:rPr>
          <w:rFonts w:ascii="Times New Roman" w:hAnsi="Times New Roman" w:cs="Times New Roman"/>
        </w:rPr>
        <w:t>dequate internet connectivity</w:t>
      </w:r>
      <w:r w:rsidRPr="005F719F">
        <w:rPr>
          <w:rFonts w:ascii="Times New Roman" w:hAnsi="Times New Roman" w:cs="Times New Roman"/>
        </w:rPr>
        <w:t xml:space="preserve"> then the HiSET at Home exam was an option.  However, the HiSET at Home exam was not ready for deployment in Montana until end of June 2020.  </w:t>
      </w:r>
      <w:proofErr w:type="gramStart"/>
      <w:r w:rsidRPr="005F719F">
        <w:rPr>
          <w:rFonts w:ascii="Times New Roman" w:hAnsi="Times New Roman" w:cs="Times New Roman"/>
        </w:rPr>
        <w:t>Also</w:t>
      </w:r>
      <w:proofErr w:type="gramEnd"/>
      <w:r w:rsidRPr="005F719F">
        <w:rPr>
          <w:rFonts w:ascii="Times New Roman" w:hAnsi="Times New Roman" w:cs="Times New Roman"/>
        </w:rPr>
        <w:t xml:space="preserve">, </w:t>
      </w:r>
      <w:r w:rsidR="00237977" w:rsidRPr="005F719F">
        <w:rPr>
          <w:rFonts w:ascii="Times New Roman" w:hAnsi="Times New Roman" w:cs="Times New Roman"/>
        </w:rPr>
        <w:t xml:space="preserve">the </w:t>
      </w:r>
      <w:r w:rsidR="00E81922" w:rsidRPr="005F719F">
        <w:rPr>
          <w:rFonts w:ascii="Times New Roman" w:hAnsi="Times New Roman" w:cs="Times New Roman"/>
        </w:rPr>
        <w:t xml:space="preserve">HiSET at Home exam is </w:t>
      </w:r>
      <w:r w:rsidRPr="005F719F">
        <w:rPr>
          <w:rFonts w:ascii="Times New Roman" w:hAnsi="Times New Roman" w:cs="Times New Roman"/>
        </w:rPr>
        <w:t>quite expensive</w:t>
      </w:r>
      <w:r w:rsidR="00F91780" w:rsidRPr="005F719F">
        <w:rPr>
          <w:rFonts w:ascii="Times New Roman" w:hAnsi="Times New Roman" w:cs="Times New Roman"/>
        </w:rPr>
        <w:t>,</w:t>
      </w:r>
      <w:r w:rsidR="009C4455" w:rsidRPr="005F719F">
        <w:rPr>
          <w:rFonts w:ascii="Times New Roman" w:hAnsi="Times New Roman" w:cs="Times New Roman"/>
        </w:rPr>
        <w:t xml:space="preserve"> which can be a </w:t>
      </w:r>
      <w:r w:rsidR="00FD679F" w:rsidRPr="005F719F">
        <w:rPr>
          <w:rFonts w:ascii="Times New Roman" w:hAnsi="Times New Roman" w:cs="Times New Roman"/>
        </w:rPr>
        <w:t xml:space="preserve">heavy </w:t>
      </w:r>
      <w:r w:rsidR="009C4455" w:rsidRPr="005F719F">
        <w:rPr>
          <w:rFonts w:ascii="Times New Roman" w:hAnsi="Times New Roman" w:cs="Times New Roman"/>
        </w:rPr>
        <w:t>burden for this population</w:t>
      </w:r>
      <w:r w:rsidR="00990EBB" w:rsidRPr="005F719F">
        <w:rPr>
          <w:rFonts w:ascii="Times New Roman" w:hAnsi="Times New Roman" w:cs="Times New Roman"/>
        </w:rPr>
        <w:t xml:space="preserve"> of students</w:t>
      </w:r>
      <w:r w:rsidR="009C4455" w:rsidRPr="005F719F">
        <w:rPr>
          <w:rFonts w:ascii="Times New Roman" w:hAnsi="Times New Roman" w:cs="Times New Roman"/>
        </w:rPr>
        <w:t xml:space="preserve">.  </w:t>
      </w:r>
    </w:p>
    <w:p w14:paraId="348667AC" w14:textId="307ED9CD" w:rsidR="00E81922" w:rsidRPr="005F719F" w:rsidRDefault="00F8728B" w:rsidP="008F14D9">
      <w:p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 xml:space="preserve">There were ultimately many barriers and challenges during the COVID-19 pandemic.  We are confident that </w:t>
      </w:r>
      <w:proofErr w:type="gramStart"/>
      <w:r w:rsidRPr="005F719F">
        <w:rPr>
          <w:rFonts w:ascii="Times New Roman" w:hAnsi="Times New Roman" w:cs="Times New Roman"/>
        </w:rPr>
        <w:t>had students been served</w:t>
      </w:r>
      <w:proofErr w:type="gramEnd"/>
      <w:r w:rsidRPr="005F719F">
        <w:rPr>
          <w:rFonts w:ascii="Times New Roman" w:hAnsi="Times New Roman" w:cs="Times New Roman"/>
        </w:rPr>
        <w:t xml:space="preserve"> in-person continuously, EFL and MSGs would be at or above where we were in previous program years.</w:t>
      </w:r>
      <w:r w:rsidR="00DA45DA" w:rsidRPr="005F719F">
        <w:rPr>
          <w:rFonts w:ascii="Times New Roman" w:hAnsi="Times New Roman" w:cs="Times New Roman"/>
        </w:rPr>
        <w:t xml:space="preserve"> </w:t>
      </w:r>
      <w:r w:rsidRPr="005F719F">
        <w:rPr>
          <w:rFonts w:ascii="Times New Roman" w:hAnsi="Times New Roman" w:cs="Times New Roman"/>
        </w:rPr>
        <w:t xml:space="preserve"> </w:t>
      </w:r>
      <w:r w:rsidR="00DF0ADE" w:rsidRPr="005F719F">
        <w:rPr>
          <w:rFonts w:ascii="Times New Roman" w:hAnsi="Times New Roman" w:cs="Times New Roman"/>
        </w:rPr>
        <w:t xml:space="preserve">Some smaller programs did not have any new reportable students after March 2020, while the larger programs continued services and increased </w:t>
      </w:r>
      <w:r w:rsidR="00AF10F1" w:rsidRPr="005F719F">
        <w:rPr>
          <w:rFonts w:ascii="Times New Roman" w:hAnsi="Times New Roman" w:cs="Times New Roman"/>
        </w:rPr>
        <w:t xml:space="preserve">overall </w:t>
      </w:r>
      <w:r w:rsidR="00DF0ADE" w:rsidRPr="005F719F">
        <w:rPr>
          <w:rFonts w:ascii="Times New Roman" w:hAnsi="Times New Roman" w:cs="Times New Roman"/>
        </w:rPr>
        <w:t>enrollment</w:t>
      </w:r>
      <w:r w:rsidR="003C7870" w:rsidRPr="005F719F">
        <w:rPr>
          <w:rFonts w:ascii="Times New Roman" w:hAnsi="Times New Roman" w:cs="Times New Roman"/>
        </w:rPr>
        <w:t xml:space="preserve"> but at a lower rate compared to previous years</w:t>
      </w:r>
      <w:r w:rsidR="00DF0ADE" w:rsidRPr="005F719F">
        <w:rPr>
          <w:rFonts w:ascii="Times New Roman" w:hAnsi="Times New Roman" w:cs="Times New Roman"/>
        </w:rPr>
        <w:t>.  We</w:t>
      </w:r>
      <w:r w:rsidR="00AF10F1" w:rsidRPr="005F719F">
        <w:rPr>
          <w:rFonts w:ascii="Times New Roman" w:hAnsi="Times New Roman" w:cs="Times New Roman"/>
        </w:rPr>
        <w:t xml:space="preserve"> a</w:t>
      </w:r>
      <w:r w:rsidR="00DF0ADE" w:rsidRPr="005F719F">
        <w:rPr>
          <w:rFonts w:ascii="Times New Roman" w:hAnsi="Times New Roman" w:cs="Times New Roman"/>
        </w:rPr>
        <w:t xml:space="preserve">re correlating continued </w:t>
      </w:r>
      <w:r w:rsidR="00AF10F1" w:rsidRPr="005F719F">
        <w:rPr>
          <w:rFonts w:ascii="Times New Roman" w:hAnsi="Times New Roman" w:cs="Times New Roman"/>
        </w:rPr>
        <w:t xml:space="preserve">service and increased </w:t>
      </w:r>
      <w:r w:rsidR="00DF0ADE" w:rsidRPr="005F719F">
        <w:rPr>
          <w:rFonts w:ascii="Times New Roman" w:hAnsi="Times New Roman" w:cs="Times New Roman"/>
        </w:rPr>
        <w:t xml:space="preserve">enrollment in </w:t>
      </w:r>
      <w:r w:rsidR="00AF10F1" w:rsidRPr="005F719F">
        <w:rPr>
          <w:rFonts w:ascii="Times New Roman" w:hAnsi="Times New Roman" w:cs="Times New Roman"/>
        </w:rPr>
        <w:t xml:space="preserve">those </w:t>
      </w:r>
      <w:r w:rsidR="00DF0ADE" w:rsidRPr="005F719F">
        <w:rPr>
          <w:rFonts w:ascii="Times New Roman" w:hAnsi="Times New Roman" w:cs="Times New Roman"/>
        </w:rPr>
        <w:t>larger programs due</w:t>
      </w:r>
      <w:r w:rsidR="00AF10F1" w:rsidRPr="005F719F">
        <w:rPr>
          <w:rFonts w:ascii="Times New Roman" w:hAnsi="Times New Roman" w:cs="Times New Roman"/>
        </w:rPr>
        <w:t xml:space="preserve"> to heartier infrastructure, as well as </w:t>
      </w:r>
      <w:r w:rsidR="00DF0ADE" w:rsidRPr="005F719F">
        <w:rPr>
          <w:rFonts w:ascii="Times New Roman" w:hAnsi="Times New Roman" w:cs="Times New Roman"/>
        </w:rPr>
        <w:t>more</w:t>
      </w:r>
      <w:r w:rsidR="00AF10F1" w:rsidRPr="005F719F">
        <w:rPr>
          <w:rFonts w:ascii="Times New Roman" w:hAnsi="Times New Roman" w:cs="Times New Roman"/>
        </w:rPr>
        <w:t xml:space="preserve"> staff and </w:t>
      </w:r>
      <w:r w:rsidR="00DF0ADE" w:rsidRPr="005F719F">
        <w:rPr>
          <w:rFonts w:ascii="Times New Roman" w:hAnsi="Times New Roman" w:cs="Times New Roman"/>
        </w:rPr>
        <w:t>developed resources.</w:t>
      </w:r>
      <w:r w:rsidR="00E81922" w:rsidRPr="005F719F">
        <w:rPr>
          <w:rFonts w:ascii="Times New Roman" w:hAnsi="Times New Roman" w:cs="Times New Roman"/>
        </w:rPr>
        <w:t xml:space="preserve"> </w:t>
      </w:r>
    </w:p>
    <w:p w14:paraId="0D766930" w14:textId="77777777" w:rsidR="008F14D9" w:rsidRPr="005F719F" w:rsidRDefault="008F14D9" w:rsidP="008F14D9">
      <w:pPr>
        <w:autoSpaceDE w:val="0"/>
        <w:autoSpaceDN w:val="0"/>
        <w:adjustRightInd w:val="0"/>
        <w:spacing w:after="0" w:line="240" w:lineRule="auto"/>
        <w:rPr>
          <w:rFonts w:ascii="Times New Roman" w:hAnsi="Times New Roman" w:cs="Times New Roman"/>
        </w:rPr>
      </w:pPr>
    </w:p>
    <w:tbl>
      <w:tblPr>
        <w:tblW w:w="9360" w:type="dxa"/>
        <w:tblCellMar>
          <w:left w:w="0" w:type="dxa"/>
          <w:right w:w="0" w:type="dxa"/>
        </w:tblCellMar>
        <w:tblLook w:val="04A0" w:firstRow="1" w:lastRow="0" w:firstColumn="1" w:lastColumn="0" w:noHBand="0" w:noVBand="1"/>
      </w:tblPr>
      <w:tblGrid>
        <w:gridCol w:w="1170"/>
        <w:gridCol w:w="1320"/>
        <w:gridCol w:w="1318"/>
        <w:gridCol w:w="1458"/>
        <w:gridCol w:w="1318"/>
        <w:gridCol w:w="1458"/>
        <w:gridCol w:w="1318"/>
      </w:tblGrid>
      <w:tr w:rsidR="00B34E61" w:rsidRPr="005F719F" w14:paraId="75A85C85" w14:textId="77777777" w:rsidTr="00B34E61">
        <w:trPr>
          <w:trHeight w:val="300"/>
        </w:trPr>
        <w:tc>
          <w:tcPr>
            <w:tcW w:w="1170" w:type="dxa"/>
            <w:shd w:val="clear" w:color="auto" w:fill="D6DCE4"/>
          </w:tcPr>
          <w:p w14:paraId="23440DF3" w14:textId="77777777" w:rsidR="00B34E61" w:rsidRPr="005F719F" w:rsidRDefault="00B34E61" w:rsidP="00B34E61">
            <w:pPr>
              <w:jc w:val="center"/>
              <w:rPr>
                <w:rFonts w:ascii="Times New Roman" w:hAnsi="Times New Roman" w:cs="Times New Roman"/>
                <w:color w:val="000000"/>
              </w:rPr>
            </w:pPr>
          </w:p>
        </w:tc>
        <w:tc>
          <w:tcPr>
            <w:tcW w:w="1320" w:type="dxa"/>
            <w:shd w:val="clear" w:color="auto" w:fill="D6DCE4"/>
            <w:noWrap/>
            <w:tcMar>
              <w:top w:w="0" w:type="dxa"/>
              <w:left w:w="108" w:type="dxa"/>
              <w:bottom w:w="0" w:type="dxa"/>
              <w:right w:w="108" w:type="dxa"/>
            </w:tcMar>
            <w:vAlign w:val="bottom"/>
            <w:hideMark/>
          </w:tcPr>
          <w:p w14:paraId="04D7DC4D" w14:textId="77777777" w:rsidR="00B34E61" w:rsidRPr="005F719F" w:rsidRDefault="00B34E61">
            <w:pPr>
              <w:jc w:val="right"/>
              <w:rPr>
                <w:rFonts w:ascii="Times New Roman" w:hAnsi="Times New Roman" w:cs="Times New Roman"/>
                <w:b/>
                <w:color w:val="000000"/>
              </w:rPr>
            </w:pPr>
            <w:r w:rsidRPr="005F719F">
              <w:rPr>
                <w:rFonts w:ascii="Times New Roman" w:hAnsi="Times New Roman" w:cs="Times New Roman"/>
                <w:b/>
                <w:color w:val="000000"/>
              </w:rPr>
              <w:t>3/29/2019</w:t>
            </w:r>
          </w:p>
        </w:tc>
        <w:tc>
          <w:tcPr>
            <w:tcW w:w="1318" w:type="dxa"/>
            <w:shd w:val="clear" w:color="auto" w:fill="FCE4D6"/>
            <w:noWrap/>
            <w:tcMar>
              <w:top w:w="0" w:type="dxa"/>
              <w:left w:w="108" w:type="dxa"/>
              <w:bottom w:w="0" w:type="dxa"/>
              <w:right w:w="108" w:type="dxa"/>
            </w:tcMar>
            <w:vAlign w:val="bottom"/>
            <w:hideMark/>
          </w:tcPr>
          <w:p w14:paraId="682B3236" w14:textId="77777777" w:rsidR="00B34E61" w:rsidRPr="005F719F" w:rsidRDefault="00B34E61">
            <w:pPr>
              <w:jc w:val="right"/>
              <w:rPr>
                <w:rFonts w:ascii="Times New Roman" w:hAnsi="Times New Roman" w:cs="Times New Roman"/>
                <w:b/>
                <w:color w:val="000000"/>
              </w:rPr>
            </w:pPr>
            <w:r w:rsidRPr="005F719F">
              <w:rPr>
                <w:rFonts w:ascii="Times New Roman" w:hAnsi="Times New Roman" w:cs="Times New Roman"/>
                <w:b/>
                <w:color w:val="000000"/>
              </w:rPr>
              <w:t>4/1/2020</w:t>
            </w:r>
          </w:p>
        </w:tc>
        <w:tc>
          <w:tcPr>
            <w:tcW w:w="1458" w:type="dxa"/>
            <w:shd w:val="clear" w:color="auto" w:fill="D6DCE4"/>
            <w:noWrap/>
            <w:tcMar>
              <w:top w:w="0" w:type="dxa"/>
              <w:left w:w="108" w:type="dxa"/>
              <w:bottom w:w="0" w:type="dxa"/>
              <w:right w:w="108" w:type="dxa"/>
            </w:tcMar>
            <w:vAlign w:val="bottom"/>
            <w:hideMark/>
          </w:tcPr>
          <w:p w14:paraId="5C324351" w14:textId="77777777" w:rsidR="00B34E61" w:rsidRPr="005F719F" w:rsidRDefault="00B34E61">
            <w:pPr>
              <w:jc w:val="right"/>
              <w:rPr>
                <w:rFonts w:ascii="Times New Roman" w:hAnsi="Times New Roman" w:cs="Times New Roman"/>
                <w:b/>
                <w:color w:val="000000"/>
              </w:rPr>
            </w:pPr>
            <w:r w:rsidRPr="005F719F">
              <w:rPr>
                <w:rFonts w:ascii="Times New Roman" w:hAnsi="Times New Roman" w:cs="Times New Roman"/>
                <w:b/>
                <w:color w:val="000000"/>
              </w:rPr>
              <w:t>5/31/2019</w:t>
            </w:r>
          </w:p>
        </w:tc>
        <w:tc>
          <w:tcPr>
            <w:tcW w:w="1318" w:type="dxa"/>
            <w:shd w:val="clear" w:color="auto" w:fill="FCE4D6"/>
            <w:noWrap/>
            <w:tcMar>
              <w:top w:w="0" w:type="dxa"/>
              <w:left w:w="108" w:type="dxa"/>
              <w:bottom w:w="0" w:type="dxa"/>
              <w:right w:w="108" w:type="dxa"/>
            </w:tcMar>
            <w:vAlign w:val="bottom"/>
            <w:hideMark/>
          </w:tcPr>
          <w:p w14:paraId="0F4D6461" w14:textId="77777777" w:rsidR="00B34E61" w:rsidRPr="005F719F" w:rsidRDefault="00B34E61">
            <w:pPr>
              <w:jc w:val="right"/>
              <w:rPr>
                <w:rFonts w:ascii="Times New Roman" w:hAnsi="Times New Roman" w:cs="Times New Roman"/>
                <w:b/>
                <w:color w:val="000000"/>
              </w:rPr>
            </w:pPr>
            <w:r w:rsidRPr="005F719F">
              <w:rPr>
                <w:rFonts w:ascii="Times New Roman" w:hAnsi="Times New Roman" w:cs="Times New Roman"/>
                <w:b/>
                <w:color w:val="000000"/>
              </w:rPr>
              <w:t>6/1/2020</w:t>
            </w:r>
          </w:p>
        </w:tc>
        <w:tc>
          <w:tcPr>
            <w:tcW w:w="1458" w:type="dxa"/>
            <w:shd w:val="clear" w:color="auto" w:fill="D6DCE4"/>
            <w:noWrap/>
            <w:tcMar>
              <w:top w:w="0" w:type="dxa"/>
              <w:left w:w="108" w:type="dxa"/>
              <w:bottom w:w="0" w:type="dxa"/>
              <w:right w:w="108" w:type="dxa"/>
            </w:tcMar>
            <w:vAlign w:val="bottom"/>
            <w:hideMark/>
          </w:tcPr>
          <w:p w14:paraId="27108A92" w14:textId="77777777" w:rsidR="00B34E61" w:rsidRPr="005F719F" w:rsidRDefault="00B34E61">
            <w:pPr>
              <w:jc w:val="right"/>
              <w:rPr>
                <w:rFonts w:ascii="Times New Roman" w:hAnsi="Times New Roman" w:cs="Times New Roman"/>
                <w:b/>
                <w:color w:val="000000"/>
              </w:rPr>
            </w:pPr>
            <w:r w:rsidRPr="005F719F">
              <w:rPr>
                <w:rFonts w:ascii="Times New Roman" w:hAnsi="Times New Roman" w:cs="Times New Roman"/>
                <w:b/>
                <w:color w:val="000000"/>
              </w:rPr>
              <w:t>6/30/2019</w:t>
            </w:r>
          </w:p>
        </w:tc>
        <w:tc>
          <w:tcPr>
            <w:tcW w:w="1318" w:type="dxa"/>
            <w:shd w:val="clear" w:color="auto" w:fill="FCE4D6"/>
            <w:noWrap/>
            <w:tcMar>
              <w:top w:w="0" w:type="dxa"/>
              <w:left w:w="108" w:type="dxa"/>
              <w:bottom w:w="0" w:type="dxa"/>
              <w:right w:w="108" w:type="dxa"/>
            </w:tcMar>
            <w:vAlign w:val="bottom"/>
            <w:hideMark/>
          </w:tcPr>
          <w:p w14:paraId="40A0D8C2" w14:textId="77777777" w:rsidR="00B34E61" w:rsidRPr="005F719F" w:rsidRDefault="00B34E61">
            <w:pPr>
              <w:jc w:val="right"/>
              <w:rPr>
                <w:rFonts w:ascii="Times New Roman" w:hAnsi="Times New Roman" w:cs="Times New Roman"/>
                <w:b/>
                <w:color w:val="000000"/>
              </w:rPr>
            </w:pPr>
            <w:r w:rsidRPr="005F719F">
              <w:rPr>
                <w:rFonts w:ascii="Times New Roman" w:hAnsi="Times New Roman" w:cs="Times New Roman"/>
                <w:b/>
                <w:color w:val="000000"/>
              </w:rPr>
              <w:t>6/30/2020</w:t>
            </w:r>
          </w:p>
        </w:tc>
      </w:tr>
      <w:tr w:rsidR="00B34E61" w:rsidRPr="005F719F" w14:paraId="412B58B3" w14:textId="77777777" w:rsidTr="00B34E61">
        <w:trPr>
          <w:trHeight w:val="68"/>
        </w:trPr>
        <w:tc>
          <w:tcPr>
            <w:tcW w:w="1170" w:type="dxa"/>
            <w:shd w:val="clear" w:color="auto" w:fill="D6DCE4"/>
          </w:tcPr>
          <w:p w14:paraId="56F2568C" w14:textId="77777777" w:rsidR="00B34E61" w:rsidRPr="005F719F" w:rsidRDefault="00B34E61">
            <w:pPr>
              <w:jc w:val="right"/>
              <w:rPr>
                <w:rFonts w:ascii="Times New Roman" w:hAnsi="Times New Roman" w:cs="Times New Roman"/>
                <w:color w:val="000000"/>
              </w:rPr>
            </w:pPr>
          </w:p>
        </w:tc>
        <w:tc>
          <w:tcPr>
            <w:tcW w:w="1320" w:type="dxa"/>
            <w:shd w:val="clear" w:color="auto" w:fill="D6DCE4"/>
            <w:noWrap/>
            <w:tcMar>
              <w:top w:w="0" w:type="dxa"/>
              <w:left w:w="108" w:type="dxa"/>
              <w:bottom w:w="0" w:type="dxa"/>
              <w:right w:w="108" w:type="dxa"/>
            </w:tcMar>
            <w:vAlign w:val="bottom"/>
          </w:tcPr>
          <w:p w14:paraId="29EF18FE" w14:textId="77777777" w:rsidR="00B34E61" w:rsidRPr="005F719F" w:rsidRDefault="00B34E61">
            <w:pPr>
              <w:jc w:val="right"/>
              <w:rPr>
                <w:rFonts w:ascii="Times New Roman" w:hAnsi="Times New Roman" w:cs="Times New Roman"/>
                <w:color w:val="000000"/>
              </w:rPr>
            </w:pPr>
          </w:p>
        </w:tc>
        <w:tc>
          <w:tcPr>
            <w:tcW w:w="1318" w:type="dxa"/>
            <w:shd w:val="clear" w:color="auto" w:fill="FCE4D6"/>
            <w:noWrap/>
            <w:tcMar>
              <w:top w:w="0" w:type="dxa"/>
              <w:left w:w="108" w:type="dxa"/>
              <w:bottom w:w="0" w:type="dxa"/>
              <w:right w:w="108" w:type="dxa"/>
            </w:tcMar>
            <w:vAlign w:val="bottom"/>
          </w:tcPr>
          <w:p w14:paraId="549EA3D6" w14:textId="77777777" w:rsidR="00B34E61" w:rsidRPr="005F719F" w:rsidRDefault="00B34E61">
            <w:pPr>
              <w:jc w:val="right"/>
              <w:rPr>
                <w:rFonts w:ascii="Times New Roman" w:hAnsi="Times New Roman" w:cs="Times New Roman"/>
                <w:color w:val="000000"/>
              </w:rPr>
            </w:pPr>
          </w:p>
        </w:tc>
        <w:tc>
          <w:tcPr>
            <w:tcW w:w="1458" w:type="dxa"/>
            <w:shd w:val="clear" w:color="auto" w:fill="D6DCE4"/>
            <w:noWrap/>
            <w:tcMar>
              <w:top w:w="0" w:type="dxa"/>
              <w:left w:w="108" w:type="dxa"/>
              <w:bottom w:w="0" w:type="dxa"/>
              <w:right w:w="108" w:type="dxa"/>
            </w:tcMar>
            <w:vAlign w:val="bottom"/>
          </w:tcPr>
          <w:p w14:paraId="6500213B" w14:textId="77777777" w:rsidR="00B34E61" w:rsidRPr="005F719F" w:rsidRDefault="00B34E61">
            <w:pPr>
              <w:jc w:val="right"/>
              <w:rPr>
                <w:rFonts w:ascii="Times New Roman" w:hAnsi="Times New Roman" w:cs="Times New Roman"/>
                <w:color w:val="000000"/>
              </w:rPr>
            </w:pPr>
          </w:p>
        </w:tc>
        <w:tc>
          <w:tcPr>
            <w:tcW w:w="1318" w:type="dxa"/>
            <w:shd w:val="clear" w:color="auto" w:fill="FCE4D6"/>
            <w:noWrap/>
            <w:tcMar>
              <w:top w:w="0" w:type="dxa"/>
              <w:left w:w="108" w:type="dxa"/>
              <w:bottom w:w="0" w:type="dxa"/>
              <w:right w:w="108" w:type="dxa"/>
            </w:tcMar>
            <w:vAlign w:val="bottom"/>
          </w:tcPr>
          <w:p w14:paraId="5107C221" w14:textId="77777777" w:rsidR="00B34E61" w:rsidRPr="005F719F" w:rsidRDefault="00B34E61">
            <w:pPr>
              <w:jc w:val="right"/>
              <w:rPr>
                <w:rFonts w:ascii="Times New Roman" w:hAnsi="Times New Roman" w:cs="Times New Roman"/>
                <w:color w:val="000000"/>
              </w:rPr>
            </w:pPr>
          </w:p>
        </w:tc>
        <w:tc>
          <w:tcPr>
            <w:tcW w:w="1458" w:type="dxa"/>
            <w:shd w:val="clear" w:color="auto" w:fill="D6DCE4"/>
            <w:noWrap/>
            <w:tcMar>
              <w:top w:w="0" w:type="dxa"/>
              <w:left w:w="108" w:type="dxa"/>
              <w:bottom w:w="0" w:type="dxa"/>
              <w:right w:w="108" w:type="dxa"/>
            </w:tcMar>
            <w:vAlign w:val="bottom"/>
          </w:tcPr>
          <w:p w14:paraId="31AF42D5" w14:textId="77777777" w:rsidR="00B34E61" w:rsidRPr="005F719F" w:rsidRDefault="00B34E61">
            <w:pPr>
              <w:jc w:val="right"/>
              <w:rPr>
                <w:rFonts w:ascii="Times New Roman" w:hAnsi="Times New Roman" w:cs="Times New Roman"/>
                <w:color w:val="000000"/>
              </w:rPr>
            </w:pPr>
          </w:p>
        </w:tc>
        <w:tc>
          <w:tcPr>
            <w:tcW w:w="1318" w:type="dxa"/>
            <w:shd w:val="clear" w:color="auto" w:fill="FCE4D6"/>
            <w:noWrap/>
            <w:tcMar>
              <w:top w:w="0" w:type="dxa"/>
              <w:left w:w="108" w:type="dxa"/>
              <w:bottom w:w="0" w:type="dxa"/>
              <w:right w:w="108" w:type="dxa"/>
            </w:tcMar>
            <w:vAlign w:val="bottom"/>
          </w:tcPr>
          <w:p w14:paraId="2BA3ACDD" w14:textId="77777777" w:rsidR="00B34E61" w:rsidRPr="005F719F" w:rsidRDefault="00B34E61">
            <w:pPr>
              <w:jc w:val="right"/>
              <w:rPr>
                <w:rFonts w:ascii="Times New Roman" w:hAnsi="Times New Roman" w:cs="Times New Roman"/>
                <w:color w:val="000000"/>
              </w:rPr>
            </w:pPr>
          </w:p>
        </w:tc>
      </w:tr>
      <w:tr w:rsidR="00B34E61" w:rsidRPr="005F719F" w14:paraId="7EA9428A" w14:textId="77777777" w:rsidTr="00B34E61">
        <w:trPr>
          <w:trHeight w:val="300"/>
        </w:trPr>
        <w:tc>
          <w:tcPr>
            <w:tcW w:w="1170" w:type="dxa"/>
            <w:shd w:val="clear" w:color="auto" w:fill="D6DCE4"/>
          </w:tcPr>
          <w:p w14:paraId="36F6B0A2" w14:textId="77777777" w:rsidR="00B34E61" w:rsidRPr="005F719F" w:rsidRDefault="00B34E61">
            <w:pPr>
              <w:jc w:val="right"/>
              <w:rPr>
                <w:rFonts w:ascii="Times New Roman" w:hAnsi="Times New Roman" w:cs="Times New Roman"/>
                <w:b/>
                <w:color w:val="000000"/>
              </w:rPr>
            </w:pPr>
            <w:r w:rsidRPr="005F719F">
              <w:rPr>
                <w:rFonts w:ascii="Times New Roman" w:hAnsi="Times New Roman" w:cs="Times New Roman"/>
                <w:b/>
                <w:color w:val="000000"/>
              </w:rPr>
              <w:t>Total enrolled</w:t>
            </w:r>
          </w:p>
        </w:tc>
        <w:tc>
          <w:tcPr>
            <w:tcW w:w="1320" w:type="dxa"/>
            <w:shd w:val="clear" w:color="auto" w:fill="D6DCE4"/>
            <w:noWrap/>
            <w:tcMar>
              <w:top w:w="0" w:type="dxa"/>
              <w:left w:w="108" w:type="dxa"/>
              <w:bottom w:w="0" w:type="dxa"/>
              <w:right w:w="108" w:type="dxa"/>
            </w:tcMar>
            <w:vAlign w:val="bottom"/>
            <w:hideMark/>
          </w:tcPr>
          <w:p w14:paraId="30E2F604"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1334</w:t>
            </w:r>
          </w:p>
        </w:tc>
        <w:tc>
          <w:tcPr>
            <w:tcW w:w="1318" w:type="dxa"/>
            <w:shd w:val="clear" w:color="auto" w:fill="FCE4D6"/>
            <w:noWrap/>
            <w:tcMar>
              <w:top w:w="0" w:type="dxa"/>
              <w:left w:w="108" w:type="dxa"/>
              <w:bottom w:w="0" w:type="dxa"/>
              <w:right w:w="108" w:type="dxa"/>
            </w:tcMar>
            <w:vAlign w:val="bottom"/>
            <w:hideMark/>
          </w:tcPr>
          <w:p w14:paraId="0E04D604"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1483</w:t>
            </w:r>
          </w:p>
        </w:tc>
        <w:tc>
          <w:tcPr>
            <w:tcW w:w="1458" w:type="dxa"/>
            <w:shd w:val="clear" w:color="auto" w:fill="D6DCE4"/>
            <w:noWrap/>
            <w:tcMar>
              <w:top w:w="0" w:type="dxa"/>
              <w:left w:w="108" w:type="dxa"/>
              <w:bottom w:w="0" w:type="dxa"/>
              <w:right w:w="108" w:type="dxa"/>
            </w:tcMar>
            <w:vAlign w:val="bottom"/>
            <w:hideMark/>
          </w:tcPr>
          <w:p w14:paraId="6A9313C5"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1561</w:t>
            </w:r>
          </w:p>
        </w:tc>
        <w:tc>
          <w:tcPr>
            <w:tcW w:w="1318" w:type="dxa"/>
            <w:shd w:val="clear" w:color="auto" w:fill="FCE4D6"/>
            <w:noWrap/>
            <w:tcMar>
              <w:top w:w="0" w:type="dxa"/>
              <w:left w:w="108" w:type="dxa"/>
              <w:bottom w:w="0" w:type="dxa"/>
              <w:right w:w="108" w:type="dxa"/>
            </w:tcMar>
            <w:vAlign w:val="bottom"/>
            <w:hideMark/>
          </w:tcPr>
          <w:p w14:paraId="276A4EE0"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1543</w:t>
            </w:r>
          </w:p>
        </w:tc>
        <w:tc>
          <w:tcPr>
            <w:tcW w:w="1458" w:type="dxa"/>
            <w:shd w:val="clear" w:color="auto" w:fill="D6DCE4"/>
            <w:noWrap/>
            <w:tcMar>
              <w:top w:w="0" w:type="dxa"/>
              <w:left w:w="108" w:type="dxa"/>
              <w:bottom w:w="0" w:type="dxa"/>
              <w:right w:w="108" w:type="dxa"/>
            </w:tcMar>
            <w:vAlign w:val="bottom"/>
            <w:hideMark/>
          </w:tcPr>
          <w:p w14:paraId="3460A6D7"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1601</w:t>
            </w:r>
          </w:p>
        </w:tc>
        <w:tc>
          <w:tcPr>
            <w:tcW w:w="1318" w:type="dxa"/>
            <w:shd w:val="clear" w:color="auto" w:fill="FCE4D6"/>
            <w:noWrap/>
            <w:tcMar>
              <w:top w:w="0" w:type="dxa"/>
              <w:left w:w="108" w:type="dxa"/>
              <w:bottom w:w="0" w:type="dxa"/>
              <w:right w:w="108" w:type="dxa"/>
            </w:tcMar>
            <w:vAlign w:val="bottom"/>
            <w:hideMark/>
          </w:tcPr>
          <w:p w14:paraId="7AED5A2C" w14:textId="77777777" w:rsidR="00B34E61" w:rsidRPr="005F719F" w:rsidRDefault="00B34E61" w:rsidP="00FD679F">
            <w:pPr>
              <w:jc w:val="right"/>
              <w:rPr>
                <w:rFonts w:ascii="Times New Roman" w:hAnsi="Times New Roman" w:cs="Times New Roman"/>
                <w:color w:val="000000"/>
              </w:rPr>
            </w:pPr>
            <w:r w:rsidRPr="005F719F">
              <w:rPr>
                <w:rFonts w:ascii="Times New Roman" w:hAnsi="Times New Roman" w:cs="Times New Roman"/>
                <w:color w:val="000000"/>
              </w:rPr>
              <w:t>1575</w:t>
            </w:r>
          </w:p>
        </w:tc>
      </w:tr>
      <w:tr w:rsidR="00B34E61" w:rsidRPr="005F719F" w14:paraId="18EBCA50" w14:textId="77777777" w:rsidTr="00B34E61">
        <w:trPr>
          <w:trHeight w:val="300"/>
        </w:trPr>
        <w:tc>
          <w:tcPr>
            <w:tcW w:w="1170" w:type="dxa"/>
            <w:shd w:val="clear" w:color="auto" w:fill="D6DCE4"/>
          </w:tcPr>
          <w:p w14:paraId="3E6AB260" w14:textId="77777777" w:rsidR="00B34E61" w:rsidRPr="005F719F" w:rsidRDefault="00B34E61">
            <w:pPr>
              <w:jc w:val="right"/>
              <w:rPr>
                <w:rFonts w:ascii="Times New Roman" w:hAnsi="Times New Roman" w:cs="Times New Roman"/>
                <w:b/>
                <w:color w:val="000000"/>
              </w:rPr>
            </w:pPr>
            <w:r w:rsidRPr="005F719F">
              <w:rPr>
                <w:rFonts w:ascii="Times New Roman" w:hAnsi="Times New Roman" w:cs="Times New Roman"/>
                <w:b/>
                <w:color w:val="000000"/>
              </w:rPr>
              <w:t>Attendance hours</w:t>
            </w:r>
          </w:p>
        </w:tc>
        <w:tc>
          <w:tcPr>
            <w:tcW w:w="1320" w:type="dxa"/>
            <w:shd w:val="clear" w:color="auto" w:fill="D6DCE4"/>
            <w:noWrap/>
            <w:tcMar>
              <w:top w:w="0" w:type="dxa"/>
              <w:left w:w="108" w:type="dxa"/>
              <w:bottom w:w="0" w:type="dxa"/>
              <w:right w:w="108" w:type="dxa"/>
            </w:tcMar>
            <w:vAlign w:val="bottom"/>
            <w:hideMark/>
          </w:tcPr>
          <w:p w14:paraId="1E49EBA9"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 xml:space="preserve"> 86716</w:t>
            </w:r>
          </w:p>
        </w:tc>
        <w:tc>
          <w:tcPr>
            <w:tcW w:w="1318" w:type="dxa"/>
            <w:shd w:val="clear" w:color="auto" w:fill="FCE4D6"/>
            <w:noWrap/>
            <w:tcMar>
              <w:top w:w="0" w:type="dxa"/>
              <w:left w:w="108" w:type="dxa"/>
              <w:bottom w:w="0" w:type="dxa"/>
              <w:right w:w="108" w:type="dxa"/>
            </w:tcMar>
            <w:vAlign w:val="bottom"/>
            <w:hideMark/>
          </w:tcPr>
          <w:p w14:paraId="14E2839F"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104033</w:t>
            </w:r>
          </w:p>
        </w:tc>
        <w:tc>
          <w:tcPr>
            <w:tcW w:w="1458" w:type="dxa"/>
            <w:shd w:val="clear" w:color="auto" w:fill="D6DCE4"/>
            <w:noWrap/>
            <w:tcMar>
              <w:top w:w="0" w:type="dxa"/>
              <w:left w:w="108" w:type="dxa"/>
              <w:bottom w:w="0" w:type="dxa"/>
              <w:right w:w="108" w:type="dxa"/>
            </w:tcMar>
            <w:vAlign w:val="bottom"/>
            <w:hideMark/>
          </w:tcPr>
          <w:p w14:paraId="50E01A57"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107651</w:t>
            </w:r>
          </w:p>
        </w:tc>
        <w:tc>
          <w:tcPr>
            <w:tcW w:w="1318" w:type="dxa"/>
            <w:shd w:val="clear" w:color="auto" w:fill="FCE4D6"/>
            <w:noWrap/>
            <w:tcMar>
              <w:top w:w="0" w:type="dxa"/>
              <w:left w:w="108" w:type="dxa"/>
              <w:bottom w:w="0" w:type="dxa"/>
              <w:right w:w="108" w:type="dxa"/>
            </w:tcMar>
            <w:vAlign w:val="bottom"/>
            <w:hideMark/>
          </w:tcPr>
          <w:p w14:paraId="405F628F"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117441</w:t>
            </w:r>
          </w:p>
        </w:tc>
        <w:tc>
          <w:tcPr>
            <w:tcW w:w="1458" w:type="dxa"/>
            <w:shd w:val="clear" w:color="auto" w:fill="D6DCE4"/>
            <w:noWrap/>
            <w:tcMar>
              <w:top w:w="0" w:type="dxa"/>
              <w:left w:w="108" w:type="dxa"/>
              <w:bottom w:w="0" w:type="dxa"/>
              <w:right w:w="108" w:type="dxa"/>
            </w:tcMar>
            <w:vAlign w:val="bottom"/>
            <w:hideMark/>
          </w:tcPr>
          <w:p w14:paraId="2654D175"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113189</w:t>
            </w:r>
          </w:p>
        </w:tc>
        <w:tc>
          <w:tcPr>
            <w:tcW w:w="1318" w:type="dxa"/>
            <w:shd w:val="clear" w:color="auto" w:fill="FCE4D6"/>
            <w:noWrap/>
            <w:tcMar>
              <w:top w:w="0" w:type="dxa"/>
              <w:left w:w="108" w:type="dxa"/>
              <w:bottom w:w="0" w:type="dxa"/>
              <w:right w:w="108" w:type="dxa"/>
            </w:tcMar>
            <w:vAlign w:val="bottom"/>
            <w:hideMark/>
          </w:tcPr>
          <w:p w14:paraId="1EF43040"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123119</w:t>
            </w:r>
          </w:p>
        </w:tc>
      </w:tr>
      <w:tr w:rsidR="00B34E61" w:rsidRPr="005F719F" w14:paraId="3BFCD95A" w14:textId="77777777" w:rsidTr="00B34E61">
        <w:trPr>
          <w:trHeight w:val="300"/>
        </w:trPr>
        <w:tc>
          <w:tcPr>
            <w:tcW w:w="1170" w:type="dxa"/>
            <w:shd w:val="clear" w:color="auto" w:fill="D6DCE4"/>
          </w:tcPr>
          <w:p w14:paraId="28BD2858" w14:textId="77777777" w:rsidR="00B34E61" w:rsidRPr="005F719F" w:rsidRDefault="00B34E61">
            <w:pPr>
              <w:jc w:val="right"/>
              <w:rPr>
                <w:rFonts w:ascii="Times New Roman" w:hAnsi="Times New Roman" w:cs="Times New Roman"/>
                <w:b/>
                <w:color w:val="000000"/>
              </w:rPr>
            </w:pPr>
            <w:r w:rsidRPr="005F719F">
              <w:rPr>
                <w:rFonts w:ascii="Times New Roman" w:hAnsi="Times New Roman" w:cs="Times New Roman"/>
                <w:b/>
                <w:color w:val="000000"/>
              </w:rPr>
              <w:t>EFL gains</w:t>
            </w:r>
          </w:p>
        </w:tc>
        <w:tc>
          <w:tcPr>
            <w:tcW w:w="1320" w:type="dxa"/>
            <w:shd w:val="clear" w:color="auto" w:fill="D6DCE4"/>
            <w:noWrap/>
            <w:tcMar>
              <w:top w:w="0" w:type="dxa"/>
              <w:left w:w="108" w:type="dxa"/>
              <w:bottom w:w="0" w:type="dxa"/>
              <w:right w:w="108" w:type="dxa"/>
            </w:tcMar>
            <w:vAlign w:val="bottom"/>
            <w:hideMark/>
          </w:tcPr>
          <w:p w14:paraId="7BC1842B"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348</w:t>
            </w:r>
          </w:p>
        </w:tc>
        <w:tc>
          <w:tcPr>
            <w:tcW w:w="1318" w:type="dxa"/>
            <w:shd w:val="clear" w:color="auto" w:fill="FCE4D6"/>
            <w:noWrap/>
            <w:tcMar>
              <w:top w:w="0" w:type="dxa"/>
              <w:left w:w="108" w:type="dxa"/>
              <w:bottom w:w="0" w:type="dxa"/>
              <w:right w:w="108" w:type="dxa"/>
            </w:tcMar>
            <w:vAlign w:val="bottom"/>
            <w:hideMark/>
          </w:tcPr>
          <w:p w14:paraId="49F85B68"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282</w:t>
            </w:r>
          </w:p>
        </w:tc>
        <w:tc>
          <w:tcPr>
            <w:tcW w:w="1458" w:type="dxa"/>
            <w:shd w:val="clear" w:color="auto" w:fill="D6DCE4"/>
            <w:noWrap/>
            <w:tcMar>
              <w:top w:w="0" w:type="dxa"/>
              <w:left w:w="108" w:type="dxa"/>
              <w:bottom w:w="0" w:type="dxa"/>
              <w:right w:w="108" w:type="dxa"/>
            </w:tcMar>
            <w:vAlign w:val="bottom"/>
            <w:hideMark/>
          </w:tcPr>
          <w:p w14:paraId="57D7934D"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445</w:t>
            </w:r>
          </w:p>
        </w:tc>
        <w:tc>
          <w:tcPr>
            <w:tcW w:w="1318" w:type="dxa"/>
            <w:shd w:val="clear" w:color="auto" w:fill="FCE4D6"/>
            <w:noWrap/>
            <w:tcMar>
              <w:top w:w="0" w:type="dxa"/>
              <w:left w:w="108" w:type="dxa"/>
              <w:bottom w:w="0" w:type="dxa"/>
              <w:right w:w="108" w:type="dxa"/>
            </w:tcMar>
            <w:vAlign w:val="bottom"/>
            <w:hideMark/>
          </w:tcPr>
          <w:p w14:paraId="043AC7BE"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321</w:t>
            </w:r>
          </w:p>
        </w:tc>
        <w:tc>
          <w:tcPr>
            <w:tcW w:w="1458" w:type="dxa"/>
            <w:shd w:val="clear" w:color="auto" w:fill="D6DCE4"/>
            <w:noWrap/>
            <w:tcMar>
              <w:top w:w="0" w:type="dxa"/>
              <w:left w:w="108" w:type="dxa"/>
              <w:bottom w:w="0" w:type="dxa"/>
              <w:right w:w="108" w:type="dxa"/>
            </w:tcMar>
            <w:vAlign w:val="bottom"/>
            <w:hideMark/>
          </w:tcPr>
          <w:p w14:paraId="5E0D8489"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473</w:t>
            </w:r>
          </w:p>
        </w:tc>
        <w:tc>
          <w:tcPr>
            <w:tcW w:w="1318" w:type="dxa"/>
            <w:shd w:val="clear" w:color="auto" w:fill="FCE4D6"/>
            <w:noWrap/>
            <w:tcMar>
              <w:top w:w="0" w:type="dxa"/>
              <w:left w:w="108" w:type="dxa"/>
              <w:bottom w:w="0" w:type="dxa"/>
              <w:right w:w="108" w:type="dxa"/>
            </w:tcMar>
            <w:vAlign w:val="bottom"/>
            <w:hideMark/>
          </w:tcPr>
          <w:p w14:paraId="47A264AB"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361</w:t>
            </w:r>
          </w:p>
        </w:tc>
      </w:tr>
      <w:tr w:rsidR="00B34E61" w:rsidRPr="005F719F" w14:paraId="19EA500E" w14:textId="77777777" w:rsidTr="00B34E61">
        <w:trPr>
          <w:trHeight w:val="300"/>
        </w:trPr>
        <w:tc>
          <w:tcPr>
            <w:tcW w:w="1170" w:type="dxa"/>
            <w:shd w:val="clear" w:color="auto" w:fill="D6DCE4"/>
          </w:tcPr>
          <w:p w14:paraId="6E2B1461" w14:textId="77777777" w:rsidR="00B34E61" w:rsidRPr="005F719F" w:rsidRDefault="00B34E61">
            <w:pPr>
              <w:jc w:val="right"/>
              <w:rPr>
                <w:rFonts w:ascii="Times New Roman" w:hAnsi="Times New Roman" w:cs="Times New Roman"/>
                <w:b/>
                <w:color w:val="000000"/>
              </w:rPr>
            </w:pPr>
            <w:r w:rsidRPr="005F719F">
              <w:rPr>
                <w:rFonts w:ascii="Times New Roman" w:hAnsi="Times New Roman" w:cs="Times New Roman"/>
                <w:b/>
                <w:color w:val="000000"/>
              </w:rPr>
              <w:t>HSE gains</w:t>
            </w:r>
          </w:p>
        </w:tc>
        <w:tc>
          <w:tcPr>
            <w:tcW w:w="1320" w:type="dxa"/>
            <w:shd w:val="clear" w:color="auto" w:fill="D6DCE4"/>
            <w:noWrap/>
            <w:tcMar>
              <w:top w:w="0" w:type="dxa"/>
              <w:left w:w="108" w:type="dxa"/>
              <w:bottom w:w="0" w:type="dxa"/>
              <w:right w:w="108" w:type="dxa"/>
            </w:tcMar>
            <w:vAlign w:val="bottom"/>
            <w:hideMark/>
          </w:tcPr>
          <w:p w14:paraId="05B9C068"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221</w:t>
            </w:r>
          </w:p>
        </w:tc>
        <w:tc>
          <w:tcPr>
            <w:tcW w:w="1318" w:type="dxa"/>
            <w:shd w:val="clear" w:color="auto" w:fill="FCE4D6"/>
            <w:noWrap/>
            <w:tcMar>
              <w:top w:w="0" w:type="dxa"/>
              <w:left w:w="108" w:type="dxa"/>
              <w:bottom w:w="0" w:type="dxa"/>
              <w:right w:w="108" w:type="dxa"/>
            </w:tcMar>
            <w:vAlign w:val="bottom"/>
            <w:hideMark/>
          </w:tcPr>
          <w:p w14:paraId="4217104D"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227</w:t>
            </w:r>
          </w:p>
        </w:tc>
        <w:tc>
          <w:tcPr>
            <w:tcW w:w="1458" w:type="dxa"/>
            <w:shd w:val="clear" w:color="auto" w:fill="D6DCE4"/>
            <w:noWrap/>
            <w:tcMar>
              <w:top w:w="0" w:type="dxa"/>
              <w:left w:w="108" w:type="dxa"/>
              <w:bottom w:w="0" w:type="dxa"/>
              <w:right w:w="108" w:type="dxa"/>
            </w:tcMar>
            <w:vAlign w:val="bottom"/>
            <w:hideMark/>
          </w:tcPr>
          <w:p w14:paraId="09D92E7F"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335</w:t>
            </w:r>
          </w:p>
        </w:tc>
        <w:tc>
          <w:tcPr>
            <w:tcW w:w="1318" w:type="dxa"/>
            <w:shd w:val="clear" w:color="auto" w:fill="FCE4D6"/>
            <w:noWrap/>
            <w:tcMar>
              <w:top w:w="0" w:type="dxa"/>
              <w:left w:w="108" w:type="dxa"/>
              <w:bottom w:w="0" w:type="dxa"/>
              <w:right w:w="108" w:type="dxa"/>
            </w:tcMar>
            <w:vAlign w:val="bottom"/>
            <w:hideMark/>
          </w:tcPr>
          <w:p w14:paraId="6BD96D6A"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243</w:t>
            </w:r>
          </w:p>
        </w:tc>
        <w:tc>
          <w:tcPr>
            <w:tcW w:w="1458" w:type="dxa"/>
            <w:shd w:val="clear" w:color="auto" w:fill="D6DCE4"/>
            <w:noWrap/>
            <w:tcMar>
              <w:top w:w="0" w:type="dxa"/>
              <w:left w:w="108" w:type="dxa"/>
              <w:bottom w:w="0" w:type="dxa"/>
              <w:right w:w="108" w:type="dxa"/>
            </w:tcMar>
            <w:vAlign w:val="bottom"/>
            <w:hideMark/>
          </w:tcPr>
          <w:p w14:paraId="0F476CF4"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391</w:t>
            </w:r>
          </w:p>
        </w:tc>
        <w:tc>
          <w:tcPr>
            <w:tcW w:w="1318" w:type="dxa"/>
            <w:shd w:val="clear" w:color="auto" w:fill="FCE4D6"/>
            <w:noWrap/>
            <w:tcMar>
              <w:top w:w="0" w:type="dxa"/>
              <w:left w:w="108" w:type="dxa"/>
              <w:bottom w:w="0" w:type="dxa"/>
              <w:right w:w="108" w:type="dxa"/>
            </w:tcMar>
            <w:vAlign w:val="bottom"/>
            <w:hideMark/>
          </w:tcPr>
          <w:p w14:paraId="422B806B"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289</w:t>
            </w:r>
          </w:p>
        </w:tc>
      </w:tr>
      <w:tr w:rsidR="00B34E61" w:rsidRPr="005F719F" w14:paraId="26A6E53A" w14:textId="77777777" w:rsidTr="00B34E61">
        <w:trPr>
          <w:trHeight w:val="300"/>
        </w:trPr>
        <w:tc>
          <w:tcPr>
            <w:tcW w:w="1170" w:type="dxa"/>
            <w:shd w:val="clear" w:color="auto" w:fill="D6DCE4"/>
          </w:tcPr>
          <w:p w14:paraId="4D0DF1FE" w14:textId="77777777" w:rsidR="00B34E61" w:rsidRPr="005F719F" w:rsidRDefault="00B34E61">
            <w:pPr>
              <w:jc w:val="right"/>
              <w:rPr>
                <w:rFonts w:ascii="Times New Roman" w:hAnsi="Times New Roman" w:cs="Times New Roman"/>
                <w:b/>
                <w:color w:val="000000"/>
              </w:rPr>
            </w:pPr>
            <w:r w:rsidRPr="005F719F">
              <w:rPr>
                <w:rFonts w:ascii="Times New Roman" w:hAnsi="Times New Roman" w:cs="Times New Roman"/>
                <w:b/>
                <w:color w:val="000000"/>
              </w:rPr>
              <w:t>Separated no MSG</w:t>
            </w:r>
          </w:p>
        </w:tc>
        <w:tc>
          <w:tcPr>
            <w:tcW w:w="1320" w:type="dxa"/>
            <w:shd w:val="clear" w:color="auto" w:fill="D6DCE4"/>
            <w:noWrap/>
            <w:tcMar>
              <w:top w:w="0" w:type="dxa"/>
              <w:left w:w="108" w:type="dxa"/>
              <w:bottom w:w="0" w:type="dxa"/>
              <w:right w:w="108" w:type="dxa"/>
            </w:tcMar>
            <w:vAlign w:val="bottom"/>
            <w:hideMark/>
          </w:tcPr>
          <w:p w14:paraId="2B096D00"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221</w:t>
            </w:r>
          </w:p>
        </w:tc>
        <w:tc>
          <w:tcPr>
            <w:tcW w:w="1318" w:type="dxa"/>
            <w:shd w:val="clear" w:color="auto" w:fill="FCE4D6"/>
            <w:noWrap/>
            <w:tcMar>
              <w:top w:w="0" w:type="dxa"/>
              <w:left w:w="108" w:type="dxa"/>
              <w:bottom w:w="0" w:type="dxa"/>
              <w:right w:w="108" w:type="dxa"/>
            </w:tcMar>
            <w:vAlign w:val="bottom"/>
            <w:hideMark/>
          </w:tcPr>
          <w:p w14:paraId="23A756AB"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304</w:t>
            </w:r>
          </w:p>
        </w:tc>
        <w:tc>
          <w:tcPr>
            <w:tcW w:w="1458" w:type="dxa"/>
            <w:shd w:val="clear" w:color="auto" w:fill="D6DCE4"/>
            <w:noWrap/>
            <w:tcMar>
              <w:top w:w="0" w:type="dxa"/>
              <w:left w:w="108" w:type="dxa"/>
              <w:bottom w:w="0" w:type="dxa"/>
              <w:right w:w="108" w:type="dxa"/>
            </w:tcMar>
            <w:vAlign w:val="bottom"/>
            <w:hideMark/>
          </w:tcPr>
          <w:p w14:paraId="65B4A467"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306</w:t>
            </w:r>
          </w:p>
        </w:tc>
        <w:tc>
          <w:tcPr>
            <w:tcW w:w="1318" w:type="dxa"/>
            <w:shd w:val="clear" w:color="auto" w:fill="FCE4D6"/>
            <w:noWrap/>
            <w:tcMar>
              <w:top w:w="0" w:type="dxa"/>
              <w:left w:w="108" w:type="dxa"/>
              <w:bottom w:w="0" w:type="dxa"/>
              <w:right w:w="108" w:type="dxa"/>
            </w:tcMar>
            <w:vAlign w:val="bottom"/>
            <w:hideMark/>
          </w:tcPr>
          <w:p w14:paraId="5E13EBCB"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552</w:t>
            </w:r>
          </w:p>
        </w:tc>
        <w:tc>
          <w:tcPr>
            <w:tcW w:w="1458" w:type="dxa"/>
            <w:shd w:val="clear" w:color="auto" w:fill="D6DCE4"/>
            <w:noWrap/>
            <w:tcMar>
              <w:top w:w="0" w:type="dxa"/>
              <w:left w:w="108" w:type="dxa"/>
              <w:bottom w:w="0" w:type="dxa"/>
              <w:right w:w="108" w:type="dxa"/>
            </w:tcMar>
            <w:vAlign w:val="bottom"/>
            <w:hideMark/>
          </w:tcPr>
          <w:p w14:paraId="3D49A58F"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737</w:t>
            </w:r>
          </w:p>
        </w:tc>
        <w:tc>
          <w:tcPr>
            <w:tcW w:w="1318" w:type="dxa"/>
            <w:shd w:val="clear" w:color="auto" w:fill="FCE4D6"/>
            <w:noWrap/>
            <w:tcMar>
              <w:top w:w="0" w:type="dxa"/>
              <w:left w:w="108" w:type="dxa"/>
              <w:bottom w:w="0" w:type="dxa"/>
              <w:right w:w="108" w:type="dxa"/>
            </w:tcMar>
            <w:vAlign w:val="bottom"/>
            <w:hideMark/>
          </w:tcPr>
          <w:p w14:paraId="4D613E7B"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589</w:t>
            </w:r>
          </w:p>
        </w:tc>
      </w:tr>
      <w:tr w:rsidR="00B34E61" w:rsidRPr="005F719F" w14:paraId="57BDB370" w14:textId="77777777" w:rsidTr="00B34E61">
        <w:trPr>
          <w:trHeight w:val="300"/>
        </w:trPr>
        <w:tc>
          <w:tcPr>
            <w:tcW w:w="1170" w:type="dxa"/>
            <w:shd w:val="clear" w:color="auto" w:fill="D6DCE4"/>
          </w:tcPr>
          <w:p w14:paraId="6BB4B52A" w14:textId="77777777" w:rsidR="00B34E61" w:rsidRPr="005F719F" w:rsidRDefault="00B34E61">
            <w:pPr>
              <w:jc w:val="right"/>
              <w:rPr>
                <w:rFonts w:ascii="Times New Roman" w:hAnsi="Times New Roman" w:cs="Times New Roman"/>
                <w:b/>
                <w:color w:val="000000"/>
              </w:rPr>
            </w:pPr>
            <w:r w:rsidRPr="005F719F">
              <w:rPr>
                <w:rFonts w:ascii="Times New Roman" w:hAnsi="Times New Roman" w:cs="Times New Roman"/>
                <w:b/>
                <w:color w:val="000000"/>
              </w:rPr>
              <w:t>% of POPS with MSG</w:t>
            </w:r>
          </w:p>
        </w:tc>
        <w:tc>
          <w:tcPr>
            <w:tcW w:w="1320" w:type="dxa"/>
            <w:shd w:val="clear" w:color="auto" w:fill="D6DCE4"/>
            <w:noWrap/>
            <w:tcMar>
              <w:top w:w="0" w:type="dxa"/>
              <w:left w:w="108" w:type="dxa"/>
              <w:bottom w:w="0" w:type="dxa"/>
              <w:right w:w="108" w:type="dxa"/>
            </w:tcMar>
            <w:vAlign w:val="bottom"/>
            <w:hideMark/>
          </w:tcPr>
          <w:p w14:paraId="0E96F6F6"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43%</w:t>
            </w:r>
          </w:p>
        </w:tc>
        <w:tc>
          <w:tcPr>
            <w:tcW w:w="1318" w:type="dxa"/>
            <w:shd w:val="clear" w:color="auto" w:fill="FCE4D6"/>
            <w:noWrap/>
            <w:tcMar>
              <w:top w:w="0" w:type="dxa"/>
              <w:left w:w="108" w:type="dxa"/>
              <w:bottom w:w="0" w:type="dxa"/>
              <w:right w:w="108" w:type="dxa"/>
            </w:tcMar>
            <w:vAlign w:val="bottom"/>
            <w:hideMark/>
          </w:tcPr>
          <w:p w14:paraId="508CE1A8"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34%</w:t>
            </w:r>
          </w:p>
        </w:tc>
        <w:tc>
          <w:tcPr>
            <w:tcW w:w="1458" w:type="dxa"/>
            <w:shd w:val="clear" w:color="auto" w:fill="D6DCE4"/>
            <w:noWrap/>
            <w:tcMar>
              <w:top w:w="0" w:type="dxa"/>
              <w:left w:w="108" w:type="dxa"/>
              <w:bottom w:w="0" w:type="dxa"/>
              <w:right w:w="108" w:type="dxa"/>
            </w:tcMar>
            <w:vAlign w:val="bottom"/>
            <w:hideMark/>
          </w:tcPr>
          <w:p w14:paraId="47B9BCE7"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50%</w:t>
            </w:r>
          </w:p>
        </w:tc>
        <w:tc>
          <w:tcPr>
            <w:tcW w:w="1318" w:type="dxa"/>
            <w:shd w:val="clear" w:color="auto" w:fill="FCE4D6"/>
            <w:noWrap/>
            <w:tcMar>
              <w:top w:w="0" w:type="dxa"/>
              <w:left w:w="108" w:type="dxa"/>
              <w:bottom w:w="0" w:type="dxa"/>
              <w:right w:w="108" w:type="dxa"/>
            </w:tcMar>
            <w:vAlign w:val="bottom"/>
            <w:hideMark/>
          </w:tcPr>
          <w:p w14:paraId="3B90BFB6"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36.40%</w:t>
            </w:r>
          </w:p>
        </w:tc>
        <w:tc>
          <w:tcPr>
            <w:tcW w:w="1458" w:type="dxa"/>
            <w:shd w:val="clear" w:color="auto" w:fill="D6DCE4"/>
            <w:noWrap/>
            <w:tcMar>
              <w:top w:w="0" w:type="dxa"/>
              <w:left w:w="108" w:type="dxa"/>
              <w:bottom w:w="0" w:type="dxa"/>
              <w:right w:w="108" w:type="dxa"/>
            </w:tcMar>
            <w:vAlign w:val="bottom"/>
            <w:hideMark/>
          </w:tcPr>
          <w:p w14:paraId="3B178222"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54%</w:t>
            </w:r>
          </w:p>
        </w:tc>
        <w:tc>
          <w:tcPr>
            <w:tcW w:w="1318" w:type="dxa"/>
            <w:shd w:val="clear" w:color="auto" w:fill="FCE4D6"/>
            <w:noWrap/>
            <w:tcMar>
              <w:top w:w="0" w:type="dxa"/>
              <w:left w:w="108" w:type="dxa"/>
              <w:bottom w:w="0" w:type="dxa"/>
              <w:right w:w="108" w:type="dxa"/>
            </w:tcMar>
            <w:vAlign w:val="bottom"/>
            <w:hideMark/>
          </w:tcPr>
          <w:p w14:paraId="0FE8241A" w14:textId="77777777" w:rsidR="00B34E61" w:rsidRPr="005F719F" w:rsidRDefault="00B34E61">
            <w:pPr>
              <w:jc w:val="right"/>
              <w:rPr>
                <w:rFonts w:ascii="Times New Roman" w:hAnsi="Times New Roman" w:cs="Times New Roman"/>
                <w:color w:val="000000"/>
              </w:rPr>
            </w:pPr>
            <w:r w:rsidRPr="005F719F">
              <w:rPr>
                <w:rFonts w:ascii="Times New Roman" w:hAnsi="Times New Roman" w:cs="Times New Roman"/>
                <w:color w:val="000000"/>
              </w:rPr>
              <w:t>41.20%</w:t>
            </w:r>
          </w:p>
        </w:tc>
      </w:tr>
    </w:tbl>
    <w:p w14:paraId="5C6D8AA8" w14:textId="77777777" w:rsidR="00F8728B" w:rsidRPr="005F719F" w:rsidRDefault="00F8728B" w:rsidP="009C4455">
      <w:pPr>
        <w:pStyle w:val="ListParagraph"/>
        <w:numPr>
          <w:ilvl w:val="0"/>
          <w:numId w:val="1"/>
        </w:num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2019 final enrollment count – 1601 students</w:t>
      </w:r>
    </w:p>
    <w:p w14:paraId="716D3DD9" w14:textId="63468F0C" w:rsidR="00F8728B" w:rsidRPr="005F719F" w:rsidRDefault="00F8728B" w:rsidP="009C4455">
      <w:pPr>
        <w:pStyle w:val="ListParagraph"/>
        <w:numPr>
          <w:ilvl w:val="0"/>
          <w:numId w:val="1"/>
        </w:num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2020 final enrollment count – 1575 students</w:t>
      </w:r>
    </w:p>
    <w:p w14:paraId="174BB4C2" w14:textId="77777777" w:rsidR="006C769E" w:rsidRPr="005F719F" w:rsidRDefault="006C769E" w:rsidP="006C769E">
      <w:pPr>
        <w:pStyle w:val="ListParagraph"/>
        <w:numPr>
          <w:ilvl w:val="0"/>
          <w:numId w:val="1"/>
        </w:num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2019 increased total enrollment from late March to end of program year – 267 people</w:t>
      </w:r>
    </w:p>
    <w:p w14:paraId="24EAA0D8" w14:textId="6290E2F8" w:rsidR="006C769E" w:rsidRPr="005F719F" w:rsidRDefault="006C769E" w:rsidP="006C769E">
      <w:pPr>
        <w:pStyle w:val="ListParagraph"/>
        <w:numPr>
          <w:ilvl w:val="0"/>
          <w:numId w:val="1"/>
        </w:num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2020 increased total enrollment from late March to end of program year – 92 people (175 less people enrolled in that time frame)</w:t>
      </w:r>
    </w:p>
    <w:p w14:paraId="06EAA07A" w14:textId="77777777" w:rsidR="00F8728B" w:rsidRPr="005F719F" w:rsidRDefault="00F8728B" w:rsidP="009C4455">
      <w:pPr>
        <w:pStyle w:val="ListParagraph"/>
        <w:numPr>
          <w:ilvl w:val="0"/>
          <w:numId w:val="1"/>
        </w:num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2019 attendance hours – 113,189</w:t>
      </w:r>
    </w:p>
    <w:p w14:paraId="721B187F" w14:textId="77777777" w:rsidR="00F8728B" w:rsidRPr="005F719F" w:rsidRDefault="00F8728B" w:rsidP="009C4455">
      <w:pPr>
        <w:pStyle w:val="ListParagraph"/>
        <w:numPr>
          <w:ilvl w:val="0"/>
          <w:numId w:val="1"/>
        </w:num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2020 attendance hours – 123,199 (approximately 10,000 additional instruction hours logged)</w:t>
      </w:r>
    </w:p>
    <w:p w14:paraId="26781D68" w14:textId="77777777" w:rsidR="009C4455" w:rsidRPr="005F719F" w:rsidRDefault="009C4455" w:rsidP="009C4455">
      <w:pPr>
        <w:pStyle w:val="ListParagraph"/>
        <w:numPr>
          <w:ilvl w:val="0"/>
          <w:numId w:val="1"/>
        </w:num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2019 attendance hours between late March to end of program year – 26,473 hours</w:t>
      </w:r>
    </w:p>
    <w:p w14:paraId="690CE3CA" w14:textId="77777777" w:rsidR="009C4455" w:rsidRPr="005F719F" w:rsidRDefault="009C4455" w:rsidP="009C4455">
      <w:pPr>
        <w:pStyle w:val="ListParagraph"/>
        <w:numPr>
          <w:ilvl w:val="0"/>
          <w:numId w:val="1"/>
        </w:num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 xml:space="preserve">2020 attendance hours between late March to end of </w:t>
      </w:r>
      <w:r w:rsidR="00D704B9" w:rsidRPr="005F719F">
        <w:rPr>
          <w:rFonts w:ascii="Times New Roman" w:hAnsi="Times New Roman" w:cs="Times New Roman"/>
        </w:rPr>
        <w:t>program year – 1</w:t>
      </w:r>
      <w:r w:rsidRPr="005F719F">
        <w:rPr>
          <w:rFonts w:ascii="Times New Roman" w:hAnsi="Times New Roman" w:cs="Times New Roman"/>
        </w:rPr>
        <w:t>9,086 hours</w:t>
      </w:r>
    </w:p>
    <w:p w14:paraId="2E8BA163" w14:textId="77777777" w:rsidR="009C4455" w:rsidRPr="005F719F" w:rsidRDefault="009C4455" w:rsidP="009C4455">
      <w:pPr>
        <w:pStyle w:val="ListParagraph"/>
        <w:numPr>
          <w:ilvl w:val="0"/>
          <w:numId w:val="1"/>
        </w:num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2019 increased number EFL gains from late March</w:t>
      </w:r>
      <w:r w:rsidR="00D704B9" w:rsidRPr="005F719F">
        <w:rPr>
          <w:rFonts w:ascii="Times New Roman" w:hAnsi="Times New Roman" w:cs="Times New Roman"/>
        </w:rPr>
        <w:t xml:space="preserve"> to end of program year – </w:t>
      </w:r>
      <w:r w:rsidRPr="005F719F">
        <w:rPr>
          <w:rFonts w:ascii="Times New Roman" w:hAnsi="Times New Roman" w:cs="Times New Roman"/>
        </w:rPr>
        <w:t>125</w:t>
      </w:r>
    </w:p>
    <w:p w14:paraId="3DBB271C" w14:textId="77777777" w:rsidR="009C4455" w:rsidRPr="005F719F" w:rsidRDefault="009C4455" w:rsidP="009C4455">
      <w:pPr>
        <w:pStyle w:val="ListParagraph"/>
        <w:numPr>
          <w:ilvl w:val="0"/>
          <w:numId w:val="1"/>
        </w:num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2020 increased number EFL gains f</w:t>
      </w:r>
      <w:r w:rsidR="00D704B9" w:rsidRPr="005F719F">
        <w:rPr>
          <w:rFonts w:ascii="Times New Roman" w:hAnsi="Times New Roman" w:cs="Times New Roman"/>
        </w:rPr>
        <w:t xml:space="preserve">rom late March to end of program year – </w:t>
      </w:r>
      <w:r w:rsidRPr="005F719F">
        <w:rPr>
          <w:rFonts w:ascii="Times New Roman" w:hAnsi="Times New Roman" w:cs="Times New Roman"/>
        </w:rPr>
        <w:t>79</w:t>
      </w:r>
    </w:p>
    <w:p w14:paraId="4FD83656" w14:textId="77777777" w:rsidR="009C4455" w:rsidRPr="005F719F" w:rsidRDefault="009C4455" w:rsidP="009C4455">
      <w:pPr>
        <w:pStyle w:val="ListParagraph"/>
        <w:numPr>
          <w:ilvl w:val="0"/>
          <w:numId w:val="1"/>
        </w:num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2019 increased the numbers of HSE gains f</w:t>
      </w:r>
      <w:r w:rsidR="00D704B9" w:rsidRPr="005F719F">
        <w:rPr>
          <w:rFonts w:ascii="Times New Roman" w:hAnsi="Times New Roman" w:cs="Times New Roman"/>
        </w:rPr>
        <w:t xml:space="preserve">rom late March to end of program year – </w:t>
      </w:r>
      <w:r w:rsidRPr="005F719F">
        <w:rPr>
          <w:rFonts w:ascii="Times New Roman" w:hAnsi="Times New Roman" w:cs="Times New Roman"/>
        </w:rPr>
        <w:t>170</w:t>
      </w:r>
    </w:p>
    <w:p w14:paraId="34A960ED" w14:textId="77777777" w:rsidR="009C4455" w:rsidRPr="005F719F" w:rsidRDefault="009C4455" w:rsidP="009C4455">
      <w:pPr>
        <w:pStyle w:val="ListParagraph"/>
        <w:numPr>
          <w:ilvl w:val="0"/>
          <w:numId w:val="1"/>
        </w:num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 xml:space="preserve">2020 increased the numbers of HSE gains from late March to end of </w:t>
      </w:r>
      <w:r w:rsidR="00D704B9" w:rsidRPr="005F719F">
        <w:rPr>
          <w:rFonts w:ascii="Times New Roman" w:hAnsi="Times New Roman" w:cs="Times New Roman"/>
        </w:rPr>
        <w:t xml:space="preserve">program year – </w:t>
      </w:r>
      <w:r w:rsidRPr="005F719F">
        <w:rPr>
          <w:rFonts w:ascii="Times New Roman" w:hAnsi="Times New Roman" w:cs="Times New Roman"/>
        </w:rPr>
        <w:t>62</w:t>
      </w:r>
    </w:p>
    <w:p w14:paraId="0E3CD5CC" w14:textId="77777777" w:rsidR="008F14D9" w:rsidRPr="005F719F" w:rsidRDefault="00F36FB5" w:rsidP="00BD3558">
      <w:pPr>
        <w:pStyle w:val="ListParagraph"/>
        <w:numPr>
          <w:ilvl w:val="0"/>
          <w:numId w:val="1"/>
        </w:num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2019 percentage of POPs</w:t>
      </w:r>
      <w:r w:rsidR="009C4455" w:rsidRPr="005F719F">
        <w:rPr>
          <w:rFonts w:ascii="Times New Roman" w:hAnsi="Times New Roman" w:cs="Times New Roman"/>
        </w:rPr>
        <w:t xml:space="preserve"> with MSG total chan</w:t>
      </w:r>
      <w:r w:rsidR="00D704B9" w:rsidRPr="005F719F">
        <w:rPr>
          <w:rFonts w:ascii="Times New Roman" w:hAnsi="Times New Roman" w:cs="Times New Roman"/>
        </w:rPr>
        <w:t>ge from late March to end of program year – incre</w:t>
      </w:r>
      <w:r w:rsidR="009C4455" w:rsidRPr="005F719F">
        <w:rPr>
          <w:rFonts w:ascii="Times New Roman" w:hAnsi="Times New Roman" w:cs="Times New Roman"/>
        </w:rPr>
        <w:t>ase of 11%</w:t>
      </w:r>
    </w:p>
    <w:p w14:paraId="2E2AD4D6" w14:textId="311859E1" w:rsidR="009C4455" w:rsidRPr="005F719F" w:rsidRDefault="009C4455" w:rsidP="00BD3558">
      <w:pPr>
        <w:pStyle w:val="ListParagraph"/>
        <w:numPr>
          <w:ilvl w:val="0"/>
          <w:numId w:val="1"/>
        </w:num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 xml:space="preserve">2020 </w:t>
      </w:r>
      <w:r w:rsidR="00F36FB5" w:rsidRPr="005F719F">
        <w:rPr>
          <w:rFonts w:ascii="Times New Roman" w:hAnsi="Times New Roman" w:cs="Times New Roman"/>
        </w:rPr>
        <w:t>percentage of POPs</w:t>
      </w:r>
      <w:r w:rsidRPr="005F719F">
        <w:rPr>
          <w:rFonts w:ascii="Times New Roman" w:hAnsi="Times New Roman" w:cs="Times New Roman"/>
        </w:rPr>
        <w:t xml:space="preserve"> with MSG total cha</w:t>
      </w:r>
      <w:r w:rsidR="00D704B9" w:rsidRPr="005F719F">
        <w:rPr>
          <w:rFonts w:ascii="Times New Roman" w:hAnsi="Times New Roman" w:cs="Times New Roman"/>
        </w:rPr>
        <w:t>nge from late March to end of program year –</w:t>
      </w:r>
      <w:r w:rsidRPr="005F719F">
        <w:rPr>
          <w:rFonts w:ascii="Times New Roman" w:hAnsi="Times New Roman" w:cs="Times New Roman"/>
        </w:rPr>
        <w:t>increase of 7%</w:t>
      </w:r>
    </w:p>
    <w:p w14:paraId="3C33DAD4" w14:textId="77777777" w:rsidR="009265B1" w:rsidRPr="005F719F" w:rsidRDefault="009265B1" w:rsidP="001D4BE9">
      <w:pPr>
        <w:autoSpaceDE w:val="0"/>
        <w:autoSpaceDN w:val="0"/>
        <w:adjustRightInd w:val="0"/>
        <w:spacing w:after="0" w:line="240" w:lineRule="auto"/>
        <w:rPr>
          <w:rFonts w:ascii="Times New Roman" w:hAnsi="Times New Roman" w:cs="Times New Roman"/>
        </w:rPr>
      </w:pPr>
    </w:p>
    <w:p w14:paraId="2C5EBCA0" w14:textId="77777777" w:rsidR="001D4BE9" w:rsidRPr="005F719F" w:rsidRDefault="001D4BE9" w:rsidP="001D4BE9">
      <w:pPr>
        <w:autoSpaceDE w:val="0"/>
        <w:autoSpaceDN w:val="0"/>
        <w:adjustRightInd w:val="0"/>
        <w:spacing w:after="0" w:line="240" w:lineRule="auto"/>
        <w:rPr>
          <w:rFonts w:ascii="Times New Roman" w:hAnsi="Times New Roman" w:cs="Times New Roman"/>
          <w:b/>
          <w:bCs/>
        </w:rPr>
      </w:pPr>
      <w:r w:rsidRPr="005F719F">
        <w:rPr>
          <w:rFonts w:ascii="Times New Roman" w:hAnsi="Times New Roman" w:cs="Times New Roman"/>
          <w:b/>
          <w:bCs/>
        </w:rPr>
        <w:lastRenderedPageBreak/>
        <w:t>3. Integration with One-stop Partners</w:t>
      </w:r>
    </w:p>
    <w:p w14:paraId="49771626" w14:textId="77777777" w:rsidR="00687473" w:rsidRPr="005F719F" w:rsidRDefault="00687473" w:rsidP="001D4BE9">
      <w:pPr>
        <w:autoSpaceDE w:val="0"/>
        <w:autoSpaceDN w:val="0"/>
        <w:adjustRightInd w:val="0"/>
        <w:spacing w:after="0" w:line="240" w:lineRule="auto"/>
        <w:rPr>
          <w:rFonts w:ascii="Times New Roman" w:hAnsi="Times New Roman" w:cs="Times New Roman"/>
          <w:b/>
          <w:bCs/>
        </w:rPr>
      </w:pPr>
    </w:p>
    <w:p w14:paraId="78998957" w14:textId="77777777" w:rsidR="001D4BE9" w:rsidRPr="005F719F" w:rsidRDefault="001D4BE9" w:rsidP="001D4BE9">
      <w:p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rPr>
        <w:t xml:space="preserve">Describe how the </w:t>
      </w:r>
      <w:r w:rsidR="00A22309" w:rsidRPr="005F719F">
        <w:rPr>
          <w:rFonts w:ascii="Times New Roman" w:hAnsi="Times New Roman" w:cs="Times New Roman"/>
          <w:b/>
        </w:rPr>
        <w:t>State</w:t>
      </w:r>
      <w:r w:rsidRPr="005F719F">
        <w:rPr>
          <w:rFonts w:ascii="Times New Roman" w:hAnsi="Times New Roman" w:cs="Times New Roman"/>
          <w:b/>
        </w:rPr>
        <w:t xml:space="preserve"> eligible agency, as the entity responsible for meeting one-stop</w:t>
      </w:r>
    </w:p>
    <w:p w14:paraId="3536D122" w14:textId="77777777" w:rsidR="001D4BE9" w:rsidRPr="005F719F" w:rsidRDefault="001D4BE9" w:rsidP="001D4BE9">
      <w:pPr>
        <w:autoSpaceDE w:val="0"/>
        <w:autoSpaceDN w:val="0"/>
        <w:adjustRightInd w:val="0"/>
        <w:spacing w:after="0" w:line="240" w:lineRule="auto"/>
        <w:rPr>
          <w:rFonts w:ascii="Times New Roman" w:hAnsi="Times New Roman" w:cs="Times New Roman"/>
          <w:color w:val="FF0000"/>
        </w:rPr>
      </w:pPr>
      <w:proofErr w:type="gramStart"/>
      <w:r w:rsidRPr="005F719F">
        <w:rPr>
          <w:rFonts w:ascii="Times New Roman" w:hAnsi="Times New Roman" w:cs="Times New Roman"/>
          <w:b/>
        </w:rPr>
        <w:t>requirements</w:t>
      </w:r>
      <w:proofErr w:type="gramEnd"/>
      <w:r w:rsidRPr="005F719F">
        <w:rPr>
          <w:rFonts w:ascii="Times New Roman" w:hAnsi="Times New Roman" w:cs="Times New Roman"/>
          <w:b/>
        </w:rPr>
        <w:t xml:space="preserve"> under 34 CFR part 463, subpart J, carries out or delegates its required one-</w:t>
      </w:r>
      <w:r w:rsidR="009231E9" w:rsidRPr="005F719F">
        <w:rPr>
          <w:rFonts w:ascii="Times New Roman" w:hAnsi="Times New Roman" w:cs="Times New Roman"/>
          <w:b/>
        </w:rPr>
        <w:t>stop roles</w:t>
      </w:r>
      <w:r w:rsidRPr="005F719F">
        <w:rPr>
          <w:rFonts w:ascii="Times New Roman" w:hAnsi="Times New Roman" w:cs="Times New Roman"/>
          <w:b/>
        </w:rPr>
        <w:t xml:space="preserve"> to eligible providers. Describe the applicable career services t</w:t>
      </w:r>
      <w:r w:rsidR="00EA67DB" w:rsidRPr="005F719F">
        <w:rPr>
          <w:rFonts w:ascii="Times New Roman" w:hAnsi="Times New Roman" w:cs="Times New Roman"/>
          <w:b/>
        </w:rPr>
        <w:t xml:space="preserve">hat </w:t>
      </w:r>
      <w:proofErr w:type="gramStart"/>
      <w:r w:rsidR="00EA67DB" w:rsidRPr="005F719F">
        <w:rPr>
          <w:rFonts w:ascii="Times New Roman" w:hAnsi="Times New Roman" w:cs="Times New Roman"/>
          <w:b/>
        </w:rPr>
        <w:t>are provided</w:t>
      </w:r>
      <w:proofErr w:type="gramEnd"/>
      <w:r w:rsidR="00EA67DB" w:rsidRPr="005F719F">
        <w:rPr>
          <w:rFonts w:ascii="Times New Roman" w:hAnsi="Times New Roman" w:cs="Times New Roman"/>
          <w:b/>
        </w:rPr>
        <w:t xml:space="preserve"> in the one-stop </w:t>
      </w:r>
      <w:r w:rsidRPr="005F719F">
        <w:rPr>
          <w:rFonts w:ascii="Times New Roman" w:hAnsi="Times New Roman" w:cs="Times New Roman"/>
          <w:b/>
        </w:rPr>
        <w:t xml:space="preserve">system. Describe how infrastructure costs </w:t>
      </w:r>
      <w:proofErr w:type="gramStart"/>
      <w:r w:rsidRPr="005F719F">
        <w:rPr>
          <w:rFonts w:ascii="Times New Roman" w:hAnsi="Times New Roman" w:cs="Times New Roman"/>
          <w:b/>
        </w:rPr>
        <w:t>are supported</w:t>
      </w:r>
      <w:proofErr w:type="gramEnd"/>
      <w:r w:rsidRPr="005F719F">
        <w:rPr>
          <w:rFonts w:ascii="Times New Roman" w:hAnsi="Times New Roman" w:cs="Times New Roman"/>
          <w:b/>
        </w:rPr>
        <w:t xml:space="preserve"> through </w:t>
      </w:r>
      <w:r w:rsidR="00A22309" w:rsidRPr="005F719F">
        <w:rPr>
          <w:rFonts w:ascii="Times New Roman" w:hAnsi="Times New Roman" w:cs="Times New Roman"/>
          <w:b/>
        </w:rPr>
        <w:t>State</w:t>
      </w:r>
      <w:r w:rsidRPr="005F719F">
        <w:rPr>
          <w:rFonts w:ascii="Times New Roman" w:hAnsi="Times New Roman" w:cs="Times New Roman"/>
          <w:b/>
        </w:rPr>
        <w:t xml:space="preserve"> and local options.</w:t>
      </w:r>
    </w:p>
    <w:p w14:paraId="1301C904" w14:textId="77777777" w:rsidR="00FA1A6E" w:rsidRPr="005F719F" w:rsidRDefault="00FA1A6E" w:rsidP="001D4BE9">
      <w:pPr>
        <w:autoSpaceDE w:val="0"/>
        <w:autoSpaceDN w:val="0"/>
        <w:adjustRightInd w:val="0"/>
        <w:spacing w:after="0" w:line="240" w:lineRule="auto"/>
        <w:rPr>
          <w:rFonts w:ascii="Times New Roman" w:hAnsi="Times New Roman" w:cs="Times New Roman"/>
          <w:b/>
        </w:rPr>
      </w:pPr>
    </w:p>
    <w:p w14:paraId="468952C1" w14:textId="77777777" w:rsidR="00FA1A6E" w:rsidRPr="005F719F" w:rsidRDefault="00FA1A6E" w:rsidP="00FA1A6E">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 xml:space="preserve">The Adult Education </w:t>
      </w:r>
      <w:r w:rsidR="0068450C" w:rsidRPr="005F719F">
        <w:rPr>
          <w:rFonts w:ascii="Times New Roman" w:hAnsi="Times New Roman" w:cs="Times New Roman"/>
        </w:rPr>
        <w:t xml:space="preserve">State </w:t>
      </w:r>
      <w:r w:rsidRPr="005F719F">
        <w:rPr>
          <w:rFonts w:ascii="Times New Roman" w:hAnsi="Times New Roman" w:cs="Times New Roman"/>
        </w:rPr>
        <w:t xml:space="preserve">Director is a member of the </w:t>
      </w:r>
      <w:r w:rsidR="00A22309" w:rsidRPr="005F719F">
        <w:rPr>
          <w:rFonts w:ascii="Times New Roman" w:hAnsi="Times New Roman" w:cs="Times New Roman"/>
        </w:rPr>
        <w:t>State</w:t>
      </w:r>
      <w:r w:rsidRPr="005F719F">
        <w:rPr>
          <w:rFonts w:ascii="Times New Roman" w:hAnsi="Times New Roman" w:cs="Times New Roman"/>
        </w:rPr>
        <w:t xml:space="preserve"> Workforce Innovation Board</w:t>
      </w:r>
      <w:r w:rsidR="00F7277B" w:rsidRPr="005F719F">
        <w:rPr>
          <w:rFonts w:ascii="Times New Roman" w:hAnsi="Times New Roman" w:cs="Times New Roman"/>
        </w:rPr>
        <w:t xml:space="preserve"> and serves on the WIOA Committee for this board</w:t>
      </w:r>
      <w:r w:rsidRPr="005F719F">
        <w:rPr>
          <w:rFonts w:ascii="Times New Roman" w:hAnsi="Times New Roman" w:cs="Times New Roman"/>
        </w:rPr>
        <w:t xml:space="preserve">. </w:t>
      </w:r>
      <w:r w:rsidR="00242961" w:rsidRPr="005F719F">
        <w:rPr>
          <w:rFonts w:ascii="Times New Roman" w:hAnsi="Times New Roman" w:cs="Times New Roman"/>
        </w:rPr>
        <w:t xml:space="preserve"> </w:t>
      </w:r>
      <w:r w:rsidRPr="005F719F">
        <w:rPr>
          <w:rFonts w:ascii="Times New Roman" w:hAnsi="Times New Roman" w:cs="Times New Roman"/>
        </w:rPr>
        <w:t xml:space="preserve">In this </w:t>
      </w:r>
      <w:r w:rsidR="009B0A2E" w:rsidRPr="005F719F">
        <w:rPr>
          <w:rFonts w:ascii="Times New Roman" w:hAnsi="Times New Roman" w:cs="Times New Roman"/>
        </w:rPr>
        <w:t>capacity,</w:t>
      </w:r>
      <w:r w:rsidRPr="005F719F">
        <w:rPr>
          <w:rFonts w:ascii="Times New Roman" w:hAnsi="Times New Roman" w:cs="Times New Roman"/>
        </w:rPr>
        <w:t xml:space="preserve"> the </w:t>
      </w:r>
      <w:r w:rsidR="00A22309" w:rsidRPr="005F719F">
        <w:rPr>
          <w:rFonts w:ascii="Times New Roman" w:hAnsi="Times New Roman" w:cs="Times New Roman"/>
        </w:rPr>
        <w:t>State</w:t>
      </w:r>
      <w:r w:rsidR="00687473" w:rsidRPr="005F719F">
        <w:rPr>
          <w:rFonts w:ascii="Times New Roman" w:hAnsi="Times New Roman" w:cs="Times New Roman"/>
        </w:rPr>
        <w:t xml:space="preserve"> D</w:t>
      </w:r>
      <w:r w:rsidRPr="005F719F">
        <w:rPr>
          <w:rFonts w:ascii="Times New Roman" w:hAnsi="Times New Roman" w:cs="Times New Roman"/>
        </w:rPr>
        <w:t xml:space="preserve">irector is directly involved in all one-stop </w:t>
      </w:r>
      <w:r w:rsidR="00BD1B14" w:rsidRPr="005F719F">
        <w:rPr>
          <w:rFonts w:ascii="Times New Roman" w:hAnsi="Times New Roman" w:cs="Times New Roman"/>
        </w:rPr>
        <w:t xml:space="preserve">discussions and </w:t>
      </w:r>
      <w:r w:rsidRPr="005F719F">
        <w:rPr>
          <w:rFonts w:ascii="Times New Roman" w:hAnsi="Times New Roman" w:cs="Times New Roman"/>
        </w:rPr>
        <w:t xml:space="preserve">decisions at the </w:t>
      </w:r>
      <w:r w:rsidR="00A22309" w:rsidRPr="005F719F">
        <w:rPr>
          <w:rFonts w:ascii="Times New Roman" w:hAnsi="Times New Roman" w:cs="Times New Roman"/>
        </w:rPr>
        <w:t>State</w:t>
      </w:r>
      <w:r w:rsidRPr="005F719F">
        <w:rPr>
          <w:rFonts w:ascii="Times New Roman" w:hAnsi="Times New Roman" w:cs="Times New Roman"/>
        </w:rPr>
        <w:t xml:space="preserve"> level. </w:t>
      </w:r>
      <w:r w:rsidR="009B0A2E" w:rsidRPr="005F719F">
        <w:rPr>
          <w:rFonts w:ascii="Times New Roman" w:hAnsi="Times New Roman" w:cs="Times New Roman"/>
        </w:rPr>
        <w:t xml:space="preserve"> </w:t>
      </w:r>
      <w:r w:rsidRPr="005F719F">
        <w:rPr>
          <w:rFonts w:ascii="Times New Roman" w:hAnsi="Times New Roman" w:cs="Times New Roman"/>
        </w:rPr>
        <w:t>This pr</w:t>
      </w:r>
      <w:r w:rsidR="00687473" w:rsidRPr="005F719F">
        <w:rPr>
          <w:rFonts w:ascii="Times New Roman" w:hAnsi="Times New Roman" w:cs="Times New Roman"/>
        </w:rPr>
        <w:t>ovides an opportunity to share</w:t>
      </w:r>
      <w:r w:rsidR="0068450C" w:rsidRPr="005F719F">
        <w:rPr>
          <w:rFonts w:ascii="Times New Roman" w:hAnsi="Times New Roman" w:cs="Times New Roman"/>
        </w:rPr>
        <w:t xml:space="preserve"> the perspective of adult e</w:t>
      </w:r>
      <w:r w:rsidRPr="005F719F">
        <w:rPr>
          <w:rFonts w:ascii="Times New Roman" w:hAnsi="Times New Roman" w:cs="Times New Roman"/>
        </w:rPr>
        <w:t>ducation in one-stop agenda topics</w:t>
      </w:r>
      <w:r w:rsidR="009B0A2E" w:rsidRPr="005F719F">
        <w:rPr>
          <w:rFonts w:ascii="Times New Roman" w:hAnsi="Times New Roman" w:cs="Times New Roman"/>
        </w:rPr>
        <w:t xml:space="preserve"> and action items</w:t>
      </w:r>
      <w:r w:rsidRPr="005F719F">
        <w:rPr>
          <w:rFonts w:ascii="Times New Roman" w:hAnsi="Times New Roman" w:cs="Times New Roman"/>
        </w:rPr>
        <w:t>.</w:t>
      </w:r>
      <w:r w:rsidR="00BD1B14" w:rsidRPr="005F719F">
        <w:rPr>
          <w:rFonts w:ascii="Times New Roman" w:hAnsi="Times New Roman" w:cs="Times New Roman"/>
        </w:rPr>
        <w:t xml:space="preserve">  Although the </w:t>
      </w:r>
      <w:r w:rsidR="00D371D4" w:rsidRPr="005F719F">
        <w:rPr>
          <w:rFonts w:ascii="Times New Roman" w:hAnsi="Times New Roman" w:cs="Times New Roman"/>
        </w:rPr>
        <w:t>COVID-19</w:t>
      </w:r>
      <w:r w:rsidR="00BD1B14" w:rsidRPr="005F719F">
        <w:rPr>
          <w:rFonts w:ascii="Times New Roman" w:hAnsi="Times New Roman" w:cs="Times New Roman"/>
        </w:rPr>
        <w:t xml:space="preserve"> pandemic </w:t>
      </w:r>
      <w:r w:rsidR="009B0A2E" w:rsidRPr="005F719F">
        <w:rPr>
          <w:rFonts w:ascii="Times New Roman" w:hAnsi="Times New Roman" w:cs="Times New Roman"/>
        </w:rPr>
        <w:t>affected</w:t>
      </w:r>
      <w:r w:rsidR="00BD1B14" w:rsidRPr="005F719F">
        <w:rPr>
          <w:rFonts w:ascii="Times New Roman" w:hAnsi="Times New Roman" w:cs="Times New Roman"/>
        </w:rPr>
        <w:t xml:space="preserve"> in-person events, this workforce board was able to continue meeting virtually. </w:t>
      </w:r>
    </w:p>
    <w:p w14:paraId="1D3887B6" w14:textId="77777777" w:rsidR="00FB7736" w:rsidRPr="005F719F" w:rsidRDefault="00FA1A6E" w:rsidP="001D4BE9">
      <w:p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b/>
          <w:color w:val="FF0000"/>
        </w:rPr>
        <w:tab/>
      </w:r>
    </w:p>
    <w:p w14:paraId="1CBB238A" w14:textId="2A2B1390" w:rsidR="00242961" w:rsidRPr="005F719F" w:rsidRDefault="00FB7736" w:rsidP="00242961">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 xml:space="preserve">The </w:t>
      </w:r>
      <w:r w:rsidR="00A22309" w:rsidRPr="005F719F">
        <w:rPr>
          <w:rFonts w:ascii="Times New Roman" w:hAnsi="Times New Roman" w:cs="Times New Roman"/>
        </w:rPr>
        <w:t>State</w:t>
      </w:r>
      <w:r w:rsidR="00687473" w:rsidRPr="005F719F">
        <w:rPr>
          <w:rFonts w:ascii="Times New Roman" w:hAnsi="Times New Roman" w:cs="Times New Roman"/>
        </w:rPr>
        <w:t xml:space="preserve"> continues to work</w:t>
      </w:r>
      <w:r w:rsidRPr="005F719F">
        <w:rPr>
          <w:rFonts w:ascii="Times New Roman" w:hAnsi="Times New Roman" w:cs="Times New Roman"/>
        </w:rPr>
        <w:t xml:space="preserve"> collaboratively with the other core partners to provide one-stop </w:t>
      </w:r>
      <w:r w:rsidR="007A70C5" w:rsidRPr="005F719F">
        <w:rPr>
          <w:rFonts w:ascii="Times New Roman" w:hAnsi="Times New Roman" w:cs="Times New Roman"/>
        </w:rPr>
        <w:t>s</w:t>
      </w:r>
      <w:r w:rsidRPr="005F719F">
        <w:rPr>
          <w:rFonts w:ascii="Times New Roman" w:hAnsi="Times New Roman" w:cs="Times New Roman"/>
        </w:rPr>
        <w:t xml:space="preserve">ervices </w:t>
      </w:r>
      <w:r w:rsidR="00A22309" w:rsidRPr="005F719F">
        <w:rPr>
          <w:rFonts w:ascii="Times New Roman" w:hAnsi="Times New Roman" w:cs="Times New Roman"/>
        </w:rPr>
        <w:t xml:space="preserve">in </w:t>
      </w:r>
      <w:r w:rsidRPr="005F719F">
        <w:rPr>
          <w:rFonts w:ascii="Times New Roman" w:hAnsi="Times New Roman" w:cs="Times New Roman"/>
        </w:rPr>
        <w:t>each of our 12 Montana Association of Count</w:t>
      </w:r>
      <w:r w:rsidR="00E31C48" w:rsidRPr="005F719F">
        <w:rPr>
          <w:rFonts w:ascii="Times New Roman" w:hAnsi="Times New Roman" w:cs="Times New Roman"/>
        </w:rPr>
        <w:t>y (</w:t>
      </w:r>
      <w:proofErr w:type="spellStart"/>
      <w:r w:rsidR="00E31C48" w:rsidRPr="005F719F">
        <w:rPr>
          <w:rFonts w:ascii="Times New Roman" w:hAnsi="Times New Roman" w:cs="Times New Roman"/>
        </w:rPr>
        <w:t>MACo</w:t>
      </w:r>
      <w:proofErr w:type="spellEnd"/>
      <w:r w:rsidR="00E31C48" w:rsidRPr="005F719F">
        <w:rPr>
          <w:rFonts w:ascii="Times New Roman" w:hAnsi="Times New Roman" w:cs="Times New Roman"/>
        </w:rPr>
        <w:t>) D</w:t>
      </w:r>
      <w:r w:rsidR="00237977" w:rsidRPr="005F719F">
        <w:rPr>
          <w:rFonts w:ascii="Times New Roman" w:hAnsi="Times New Roman" w:cs="Times New Roman"/>
        </w:rPr>
        <w:t xml:space="preserve">istricts.  </w:t>
      </w:r>
      <w:r w:rsidR="00687473" w:rsidRPr="005F719F">
        <w:rPr>
          <w:rFonts w:ascii="Times New Roman" w:hAnsi="Times New Roman" w:cs="Times New Roman"/>
        </w:rPr>
        <w:t>Through a variety of meetings</w:t>
      </w:r>
      <w:r w:rsidR="00A22309" w:rsidRPr="005F719F">
        <w:rPr>
          <w:rFonts w:ascii="Times New Roman" w:hAnsi="Times New Roman" w:cs="Times New Roman"/>
        </w:rPr>
        <w:t>, representatives</w:t>
      </w:r>
      <w:r w:rsidR="00873513" w:rsidRPr="005F719F">
        <w:rPr>
          <w:rFonts w:ascii="Times New Roman" w:hAnsi="Times New Roman" w:cs="Times New Roman"/>
        </w:rPr>
        <w:t xml:space="preserve"> from</w:t>
      </w:r>
      <w:r w:rsidRPr="005F719F">
        <w:rPr>
          <w:rFonts w:ascii="Times New Roman" w:hAnsi="Times New Roman" w:cs="Times New Roman"/>
        </w:rPr>
        <w:t xml:space="preserve"> each core partner</w:t>
      </w:r>
      <w:r w:rsidR="00873513" w:rsidRPr="005F719F">
        <w:rPr>
          <w:rFonts w:ascii="Times New Roman" w:hAnsi="Times New Roman" w:cs="Times New Roman"/>
        </w:rPr>
        <w:t xml:space="preserve"> agency</w:t>
      </w:r>
      <w:r w:rsidR="00687473" w:rsidRPr="005F719F">
        <w:rPr>
          <w:rFonts w:ascii="Times New Roman" w:hAnsi="Times New Roman" w:cs="Times New Roman"/>
        </w:rPr>
        <w:t xml:space="preserve"> continue to utilize </w:t>
      </w:r>
      <w:r w:rsidR="00F8728B" w:rsidRPr="005F719F">
        <w:rPr>
          <w:rFonts w:ascii="Times New Roman" w:hAnsi="Times New Roman" w:cs="Times New Roman"/>
        </w:rPr>
        <w:t xml:space="preserve">the </w:t>
      </w:r>
      <w:r w:rsidRPr="005F719F">
        <w:rPr>
          <w:rFonts w:ascii="Times New Roman" w:hAnsi="Times New Roman" w:cs="Times New Roman"/>
        </w:rPr>
        <w:t>W</w:t>
      </w:r>
      <w:r w:rsidR="00687473" w:rsidRPr="005F719F">
        <w:rPr>
          <w:rFonts w:ascii="Times New Roman" w:hAnsi="Times New Roman" w:cs="Times New Roman"/>
        </w:rPr>
        <w:t xml:space="preserve">IOA Collaborative Agreement previously developed </w:t>
      </w:r>
      <w:r w:rsidR="00F91780" w:rsidRPr="005F719F">
        <w:rPr>
          <w:rFonts w:ascii="Times New Roman" w:hAnsi="Times New Roman" w:cs="Times New Roman"/>
        </w:rPr>
        <w:t xml:space="preserve">that </w:t>
      </w:r>
      <w:r w:rsidR="003614F5" w:rsidRPr="005F719F">
        <w:rPr>
          <w:rFonts w:ascii="Times New Roman" w:hAnsi="Times New Roman" w:cs="Times New Roman"/>
        </w:rPr>
        <w:t xml:space="preserve">describes </w:t>
      </w:r>
      <w:r w:rsidRPr="005F719F">
        <w:rPr>
          <w:rFonts w:ascii="Times New Roman" w:hAnsi="Times New Roman" w:cs="Times New Roman"/>
        </w:rPr>
        <w:t>our overarching one-stop mission</w:t>
      </w:r>
      <w:r w:rsidR="00F8728B" w:rsidRPr="005F719F">
        <w:rPr>
          <w:rFonts w:ascii="Times New Roman" w:hAnsi="Times New Roman" w:cs="Times New Roman"/>
        </w:rPr>
        <w:t>. T</w:t>
      </w:r>
      <w:r w:rsidR="003614F5" w:rsidRPr="005F719F">
        <w:rPr>
          <w:rFonts w:ascii="Times New Roman" w:hAnsi="Times New Roman" w:cs="Times New Roman"/>
        </w:rPr>
        <w:t xml:space="preserve">he </w:t>
      </w:r>
      <w:r w:rsidR="00F8728B" w:rsidRPr="005F719F">
        <w:rPr>
          <w:rFonts w:ascii="Times New Roman" w:hAnsi="Times New Roman" w:cs="Times New Roman"/>
        </w:rPr>
        <w:t xml:space="preserve">agreement covers integrating core partnerships, </w:t>
      </w:r>
      <w:r w:rsidR="003614F5" w:rsidRPr="005F719F">
        <w:rPr>
          <w:rFonts w:ascii="Times New Roman" w:hAnsi="Times New Roman" w:cs="Times New Roman"/>
        </w:rPr>
        <w:t xml:space="preserve">a proposed service delivery model, the role of the community management team, and </w:t>
      </w:r>
      <w:r w:rsidR="00E31C48" w:rsidRPr="005F719F">
        <w:rPr>
          <w:rFonts w:ascii="Times New Roman" w:hAnsi="Times New Roman" w:cs="Times New Roman"/>
        </w:rPr>
        <w:t xml:space="preserve">outreach to employers. </w:t>
      </w:r>
      <w:r w:rsidR="00242961" w:rsidRPr="005F719F">
        <w:rPr>
          <w:rFonts w:ascii="Times New Roman" w:hAnsi="Times New Roman" w:cs="Times New Roman"/>
        </w:rPr>
        <w:t xml:space="preserve"> </w:t>
      </w:r>
      <w:r w:rsidR="00E31C48" w:rsidRPr="005F719F">
        <w:rPr>
          <w:rFonts w:ascii="Times New Roman" w:hAnsi="Times New Roman" w:cs="Times New Roman"/>
        </w:rPr>
        <w:t>The collaborative a</w:t>
      </w:r>
      <w:r w:rsidR="00197BB0" w:rsidRPr="005F719F">
        <w:rPr>
          <w:rFonts w:ascii="Times New Roman" w:hAnsi="Times New Roman" w:cs="Times New Roman"/>
        </w:rPr>
        <w:t xml:space="preserve">greement </w:t>
      </w:r>
      <w:proofErr w:type="gramStart"/>
      <w:r w:rsidR="00197BB0" w:rsidRPr="005F719F">
        <w:rPr>
          <w:rFonts w:ascii="Times New Roman" w:hAnsi="Times New Roman" w:cs="Times New Roman"/>
        </w:rPr>
        <w:t>has been sent</w:t>
      </w:r>
      <w:proofErr w:type="gramEnd"/>
      <w:r w:rsidR="00197BB0" w:rsidRPr="005F719F">
        <w:rPr>
          <w:rFonts w:ascii="Times New Roman" w:hAnsi="Times New Roman" w:cs="Times New Roman"/>
        </w:rPr>
        <w:t xml:space="preserve"> to core partn</w:t>
      </w:r>
      <w:r w:rsidR="00E31C48" w:rsidRPr="005F719F">
        <w:rPr>
          <w:rFonts w:ascii="Times New Roman" w:hAnsi="Times New Roman" w:cs="Times New Roman"/>
        </w:rPr>
        <w:t>er staff working in each MACo D</w:t>
      </w:r>
      <w:r w:rsidR="00197BB0" w:rsidRPr="005F719F">
        <w:rPr>
          <w:rFonts w:ascii="Times New Roman" w:hAnsi="Times New Roman" w:cs="Times New Roman"/>
        </w:rPr>
        <w:t xml:space="preserve">istrict to guide them in delivering one-stop services. </w:t>
      </w:r>
      <w:r w:rsidR="00242961" w:rsidRPr="005F719F">
        <w:rPr>
          <w:rFonts w:ascii="Times New Roman" w:hAnsi="Times New Roman" w:cs="Times New Roman"/>
        </w:rPr>
        <w:t xml:space="preserve"> </w:t>
      </w:r>
      <w:r w:rsidR="00197BB0" w:rsidRPr="005F719F">
        <w:rPr>
          <w:rFonts w:ascii="Times New Roman" w:hAnsi="Times New Roman" w:cs="Times New Roman"/>
        </w:rPr>
        <w:t>This agreeme</w:t>
      </w:r>
      <w:r w:rsidR="00687473" w:rsidRPr="005F719F">
        <w:rPr>
          <w:rFonts w:ascii="Times New Roman" w:hAnsi="Times New Roman" w:cs="Times New Roman"/>
        </w:rPr>
        <w:t xml:space="preserve">nt </w:t>
      </w:r>
      <w:r w:rsidR="00242961" w:rsidRPr="005F719F">
        <w:rPr>
          <w:rFonts w:ascii="Times New Roman" w:hAnsi="Times New Roman" w:cs="Times New Roman"/>
        </w:rPr>
        <w:t>is</w:t>
      </w:r>
      <w:r w:rsidR="00F8728B" w:rsidRPr="005F719F">
        <w:rPr>
          <w:rFonts w:ascii="Times New Roman" w:hAnsi="Times New Roman" w:cs="Times New Roman"/>
        </w:rPr>
        <w:t xml:space="preserve"> the foundation for </w:t>
      </w:r>
      <w:proofErr w:type="gramStart"/>
      <w:r w:rsidR="00F8728B" w:rsidRPr="005F719F">
        <w:rPr>
          <w:rFonts w:ascii="Times New Roman" w:hAnsi="Times New Roman" w:cs="Times New Roman"/>
        </w:rPr>
        <w:t xml:space="preserve">future core </w:t>
      </w:r>
      <w:r w:rsidR="00687473" w:rsidRPr="005F719F">
        <w:rPr>
          <w:rFonts w:ascii="Times New Roman" w:hAnsi="Times New Roman" w:cs="Times New Roman"/>
        </w:rPr>
        <w:t>partner meetings</w:t>
      </w:r>
      <w:proofErr w:type="gramEnd"/>
      <w:r w:rsidR="00687473" w:rsidRPr="005F719F">
        <w:rPr>
          <w:rFonts w:ascii="Times New Roman" w:hAnsi="Times New Roman" w:cs="Times New Roman"/>
        </w:rPr>
        <w:t xml:space="preserve"> and discussions of services.</w:t>
      </w:r>
      <w:r w:rsidR="00242961" w:rsidRPr="005F719F">
        <w:rPr>
          <w:rFonts w:ascii="Times New Roman" w:hAnsi="Times New Roman" w:cs="Times New Roman"/>
        </w:rPr>
        <w:t xml:space="preserve">  </w:t>
      </w:r>
      <w:proofErr w:type="gramStart"/>
      <w:r w:rsidR="00242961" w:rsidRPr="005F719F">
        <w:rPr>
          <w:rFonts w:ascii="Times New Roman" w:hAnsi="Times New Roman" w:cs="Times New Roman"/>
        </w:rPr>
        <w:t>Also</w:t>
      </w:r>
      <w:proofErr w:type="gramEnd"/>
      <w:r w:rsidR="00242961" w:rsidRPr="005F719F">
        <w:rPr>
          <w:rFonts w:ascii="Times New Roman" w:hAnsi="Times New Roman" w:cs="Times New Roman"/>
        </w:rPr>
        <w:t>, at the beginning of the 2017-2018 program year, an initial MOU regarding the infrastructure costs was initiated, drafted, and signed by core partner agencies.  Th</w:t>
      </w:r>
      <w:r w:rsidR="00237977" w:rsidRPr="005F719F">
        <w:rPr>
          <w:rFonts w:ascii="Times New Roman" w:hAnsi="Times New Roman" w:cs="Times New Roman"/>
        </w:rPr>
        <w:t>at</w:t>
      </w:r>
      <w:r w:rsidR="00242961" w:rsidRPr="005F719F">
        <w:rPr>
          <w:rFonts w:ascii="Times New Roman" w:hAnsi="Times New Roman" w:cs="Times New Roman"/>
        </w:rPr>
        <w:t xml:space="preserve"> MOU continues to be </w:t>
      </w:r>
      <w:proofErr w:type="gramStart"/>
      <w:r w:rsidR="00242961" w:rsidRPr="005F719F">
        <w:rPr>
          <w:rFonts w:ascii="Times New Roman" w:hAnsi="Times New Roman" w:cs="Times New Roman"/>
        </w:rPr>
        <w:t>utilized</w:t>
      </w:r>
      <w:proofErr w:type="gramEnd"/>
      <w:r w:rsidR="00242961" w:rsidRPr="005F719F">
        <w:rPr>
          <w:rFonts w:ascii="Times New Roman" w:hAnsi="Times New Roman" w:cs="Times New Roman"/>
        </w:rPr>
        <w:t xml:space="preserve">, evaluated, and renewed as necessary. </w:t>
      </w:r>
    </w:p>
    <w:p w14:paraId="524F377A" w14:textId="77777777" w:rsidR="00FB7736" w:rsidRPr="005F719F" w:rsidRDefault="00FB7736" w:rsidP="007A70C5">
      <w:pPr>
        <w:autoSpaceDE w:val="0"/>
        <w:autoSpaceDN w:val="0"/>
        <w:adjustRightInd w:val="0"/>
        <w:spacing w:after="0" w:line="240" w:lineRule="auto"/>
        <w:ind w:left="720"/>
        <w:rPr>
          <w:rFonts w:ascii="Times New Roman" w:hAnsi="Times New Roman" w:cs="Times New Roman"/>
        </w:rPr>
      </w:pPr>
    </w:p>
    <w:p w14:paraId="44103510" w14:textId="10DF1F98" w:rsidR="002A6249" w:rsidRPr="005F719F" w:rsidRDefault="00242961" w:rsidP="00FB7736">
      <w:pPr>
        <w:autoSpaceDE w:val="0"/>
        <w:autoSpaceDN w:val="0"/>
        <w:adjustRightInd w:val="0"/>
        <w:spacing w:after="0" w:line="240" w:lineRule="auto"/>
        <w:ind w:left="720"/>
        <w:rPr>
          <w:rFonts w:ascii="Times New Roman" w:hAnsi="Times New Roman" w:cs="Times New Roman"/>
          <w:color w:val="000000" w:themeColor="text1"/>
        </w:rPr>
      </w:pPr>
      <w:r w:rsidRPr="005F719F">
        <w:rPr>
          <w:rFonts w:ascii="Times New Roman" w:hAnsi="Times New Roman" w:cs="Times New Roman"/>
          <w:color w:val="000000" w:themeColor="text1"/>
        </w:rPr>
        <w:t xml:space="preserve">During </w:t>
      </w:r>
      <w:r w:rsidR="00197B93" w:rsidRPr="005F719F">
        <w:rPr>
          <w:rFonts w:ascii="Times New Roman" w:hAnsi="Times New Roman" w:cs="Times New Roman"/>
          <w:color w:val="000000" w:themeColor="text1"/>
        </w:rPr>
        <w:t xml:space="preserve">the </w:t>
      </w:r>
      <w:r w:rsidR="009B0A2E" w:rsidRPr="005F719F">
        <w:rPr>
          <w:rFonts w:ascii="Times New Roman" w:hAnsi="Times New Roman" w:cs="Times New Roman"/>
          <w:color w:val="000000" w:themeColor="text1"/>
        </w:rPr>
        <w:t xml:space="preserve">WIOA </w:t>
      </w:r>
      <w:r w:rsidR="00197B93" w:rsidRPr="005F719F">
        <w:rPr>
          <w:rFonts w:ascii="Times New Roman" w:hAnsi="Times New Roman" w:cs="Times New Roman"/>
          <w:color w:val="000000" w:themeColor="text1"/>
        </w:rPr>
        <w:t xml:space="preserve">Adult Education </w:t>
      </w:r>
      <w:r w:rsidR="002A6249" w:rsidRPr="005F719F">
        <w:rPr>
          <w:rFonts w:ascii="Times New Roman" w:hAnsi="Times New Roman" w:cs="Times New Roman"/>
          <w:color w:val="000000" w:themeColor="text1"/>
        </w:rPr>
        <w:t>RFP</w:t>
      </w:r>
      <w:r w:rsidR="00F055FE" w:rsidRPr="005F719F">
        <w:rPr>
          <w:rFonts w:ascii="Times New Roman" w:hAnsi="Times New Roman" w:cs="Times New Roman"/>
          <w:color w:val="000000" w:themeColor="text1"/>
        </w:rPr>
        <w:t xml:space="preserve"> Competition in </w:t>
      </w:r>
      <w:proofErr w:type="gramStart"/>
      <w:r w:rsidR="00F055FE" w:rsidRPr="005F719F">
        <w:rPr>
          <w:rFonts w:ascii="Times New Roman" w:hAnsi="Times New Roman" w:cs="Times New Roman"/>
          <w:color w:val="000000" w:themeColor="text1"/>
        </w:rPr>
        <w:t>S</w:t>
      </w:r>
      <w:r w:rsidR="00197B93" w:rsidRPr="005F719F">
        <w:rPr>
          <w:rFonts w:ascii="Times New Roman" w:hAnsi="Times New Roman" w:cs="Times New Roman"/>
          <w:color w:val="000000" w:themeColor="text1"/>
        </w:rPr>
        <w:t>pring</w:t>
      </w:r>
      <w:proofErr w:type="gramEnd"/>
      <w:r w:rsidR="00197B93" w:rsidRPr="005F719F">
        <w:rPr>
          <w:rFonts w:ascii="Times New Roman" w:hAnsi="Times New Roman" w:cs="Times New Roman"/>
          <w:color w:val="000000" w:themeColor="text1"/>
        </w:rPr>
        <w:t xml:space="preserve"> 2017, all eligible providers were</w:t>
      </w:r>
      <w:r w:rsidR="002A6249" w:rsidRPr="005F719F">
        <w:rPr>
          <w:rFonts w:ascii="Times New Roman" w:hAnsi="Times New Roman" w:cs="Times New Roman"/>
          <w:color w:val="000000" w:themeColor="text1"/>
        </w:rPr>
        <w:t xml:space="preserve"> required</w:t>
      </w:r>
      <w:r w:rsidR="00EE2AC3" w:rsidRPr="005F719F">
        <w:rPr>
          <w:rFonts w:ascii="Times New Roman" w:hAnsi="Times New Roman" w:cs="Times New Roman"/>
          <w:color w:val="000000" w:themeColor="text1"/>
        </w:rPr>
        <w:t xml:space="preserve"> to</w:t>
      </w:r>
      <w:r w:rsidR="002A6249" w:rsidRPr="005F719F">
        <w:rPr>
          <w:rFonts w:ascii="Times New Roman" w:hAnsi="Times New Roman" w:cs="Times New Roman"/>
          <w:color w:val="000000" w:themeColor="text1"/>
        </w:rPr>
        <w:t xml:space="preserve"> respond to specific que</w:t>
      </w:r>
      <w:r w:rsidR="00A536A0" w:rsidRPr="005F719F">
        <w:rPr>
          <w:rFonts w:ascii="Times New Roman" w:hAnsi="Times New Roman" w:cs="Times New Roman"/>
          <w:color w:val="000000" w:themeColor="text1"/>
        </w:rPr>
        <w:t>stions documenting how they would</w:t>
      </w:r>
      <w:r w:rsidR="002A6249" w:rsidRPr="005F719F">
        <w:rPr>
          <w:rFonts w:ascii="Times New Roman" w:hAnsi="Times New Roman" w:cs="Times New Roman"/>
          <w:color w:val="000000" w:themeColor="text1"/>
        </w:rPr>
        <w:t xml:space="preserve"> be responsible for meeting the one-stop requirements that the </w:t>
      </w:r>
      <w:r w:rsidR="00A22309" w:rsidRPr="005F719F">
        <w:rPr>
          <w:rFonts w:ascii="Times New Roman" w:hAnsi="Times New Roman" w:cs="Times New Roman"/>
          <w:color w:val="000000" w:themeColor="text1"/>
        </w:rPr>
        <w:t>State</w:t>
      </w:r>
      <w:r w:rsidR="00A536A0" w:rsidRPr="005F719F">
        <w:rPr>
          <w:rFonts w:ascii="Times New Roman" w:hAnsi="Times New Roman" w:cs="Times New Roman"/>
          <w:color w:val="000000" w:themeColor="text1"/>
        </w:rPr>
        <w:t xml:space="preserve"> would</w:t>
      </w:r>
      <w:r w:rsidR="002A6249" w:rsidRPr="005F719F">
        <w:rPr>
          <w:rFonts w:ascii="Times New Roman" w:hAnsi="Times New Roman" w:cs="Times New Roman"/>
          <w:color w:val="000000" w:themeColor="text1"/>
        </w:rPr>
        <w:t xml:space="preserve"> delegate to them.</w:t>
      </w:r>
      <w:r w:rsidR="00A536A0" w:rsidRPr="005F719F">
        <w:rPr>
          <w:rFonts w:ascii="Times New Roman" w:hAnsi="Times New Roman" w:cs="Times New Roman"/>
          <w:color w:val="000000" w:themeColor="text1"/>
        </w:rPr>
        <w:t xml:space="preserve"> </w:t>
      </w:r>
      <w:r w:rsidR="009B0A2E" w:rsidRPr="005F719F">
        <w:rPr>
          <w:rFonts w:ascii="Times New Roman" w:hAnsi="Times New Roman" w:cs="Times New Roman"/>
          <w:color w:val="000000" w:themeColor="text1"/>
        </w:rPr>
        <w:t xml:space="preserve"> </w:t>
      </w:r>
      <w:r w:rsidR="00A536A0" w:rsidRPr="005F719F">
        <w:rPr>
          <w:rFonts w:ascii="Times New Roman" w:hAnsi="Times New Roman" w:cs="Times New Roman"/>
          <w:color w:val="000000" w:themeColor="text1"/>
        </w:rPr>
        <w:t xml:space="preserve">The eligible providers were </w:t>
      </w:r>
      <w:r w:rsidR="00B64BB0" w:rsidRPr="005F719F">
        <w:rPr>
          <w:rFonts w:ascii="Times New Roman" w:hAnsi="Times New Roman" w:cs="Times New Roman"/>
          <w:color w:val="000000" w:themeColor="text1"/>
        </w:rPr>
        <w:t>req</w:t>
      </w:r>
      <w:r w:rsidR="00630FBE" w:rsidRPr="005F719F">
        <w:rPr>
          <w:rFonts w:ascii="Times New Roman" w:hAnsi="Times New Roman" w:cs="Times New Roman"/>
          <w:color w:val="000000" w:themeColor="text1"/>
        </w:rPr>
        <w:t>uired to provide basic, individual, and follow-up career services.</w:t>
      </w:r>
      <w:r w:rsidR="00A536A0" w:rsidRPr="005F719F">
        <w:rPr>
          <w:rFonts w:ascii="Times New Roman" w:hAnsi="Times New Roman" w:cs="Times New Roman"/>
          <w:color w:val="000000" w:themeColor="text1"/>
        </w:rPr>
        <w:t xml:space="preserve"> </w:t>
      </w:r>
      <w:r w:rsidR="009B0A2E" w:rsidRPr="005F719F">
        <w:rPr>
          <w:rFonts w:ascii="Times New Roman" w:hAnsi="Times New Roman" w:cs="Times New Roman"/>
          <w:color w:val="000000" w:themeColor="text1"/>
        </w:rPr>
        <w:t xml:space="preserve"> </w:t>
      </w:r>
      <w:r w:rsidR="00A536A0" w:rsidRPr="005F719F">
        <w:rPr>
          <w:rFonts w:ascii="Times New Roman" w:hAnsi="Times New Roman" w:cs="Times New Roman"/>
          <w:color w:val="000000" w:themeColor="text1"/>
        </w:rPr>
        <w:t xml:space="preserve">Basic services </w:t>
      </w:r>
      <w:r w:rsidR="00756449" w:rsidRPr="005F719F">
        <w:rPr>
          <w:rFonts w:ascii="Times New Roman" w:hAnsi="Times New Roman" w:cs="Times New Roman"/>
          <w:color w:val="000000" w:themeColor="text1"/>
        </w:rPr>
        <w:t xml:space="preserve">include </w:t>
      </w:r>
      <w:r w:rsidR="009B0A2E" w:rsidRPr="005F719F">
        <w:rPr>
          <w:rFonts w:ascii="Times New Roman" w:hAnsi="Times New Roman" w:cs="Times New Roman"/>
          <w:color w:val="000000" w:themeColor="text1"/>
        </w:rPr>
        <w:t xml:space="preserve">a </w:t>
      </w:r>
      <w:r w:rsidR="00756449" w:rsidRPr="005F719F">
        <w:rPr>
          <w:rFonts w:ascii="Times New Roman" w:hAnsi="Times New Roman" w:cs="Times New Roman"/>
          <w:color w:val="000000" w:themeColor="text1"/>
        </w:rPr>
        <w:t>wide range of services from assessment</w:t>
      </w:r>
      <w:r w:rsidR="00F8728B" w:rsidRPr="005F719F">
        <w:rPr>
          <w:rFonts w:ascii="Times New Roman" w:hAnsi="Times New Roman" w:cs="Times New Roman"/>
          <w:color w:val="000000" w:themeColor="text1"/>
        </w:rPr>
        <w:t xml:space="preserve"> to referrals to </w:t>
      </w:r>
      <w:r w:rsidR="006F269D" w:rsidRPr="005F719F">
        <w:rPr>
          <w:rFonts w:ascii="Times New Roman" w:hAnsi="Times New Roman" w:cs="Times New Roman"/>
          <w:color w:val="000000" w:themeColor="text1"/>
        </w:rPr>
        <w:t>other programs and</w:t>
      </w:r>
      <w:r w:rsidR="009B0A2E" w:rsidRPr="005F719F">
        <w:rPr>
          <w:rFonts w:ascii="Times New Roman" w:hAnsi="Times New Roman" w:cs="Times New Roman"/>
          <w:color w:val="000000" w:themeColor="text1"/>
        </w:rPr>
        <w:t xml:space="preserve"> community partners</w:t>
      </w:r>
      <w:r w:rsidR="00FF443A" w:rsidRPr="005F719F">
        <w:rPr>
          <w:rFonts w:ascii="Times New Roman" w:hAnsi="Times New Roman" w:cs="Times New Roman"/>
          <w:color w:val="000000" w:themeColor="text1"/>
        </w:rPr>
        <w:t xml:space="preserve">. </w:t>
      </w:r>
      <w:r w:rsidR="009B0A2E" w:rsidRPr="005F719F">
        <w:rPr>
          <w:rFonts w:ascii="Times New Roman" w:hAnsi="Times New Roman" w:cs="Times New Roman"/>
          <w:color w:val="000000" w:themeColor="text1"/>
        </w:rPr>
        <w:t xml:space="preserve"> </w:t>
      </w:r>
      <w:r w:rsidR="000E3E4C" w:rsidRPr="005F719F">
        <w:rPr>
          <w:rFonts w:ascii="Times New Roman" w:hAnsi="Times New Roman" w:cs="Times New Roman"/>
          <w:color w:val="000000" w:themeColor="text1"/>
        </w:rPr>
        <w:t>All</w:t>
      </w:r>
      <w:r w:rsidR="006F269D" w:rsidRPr="005F719F">
        <w:rPr>
          <w:rFonts w:ascii="Times New Roman" w:hAnsi="Times New Roman" w:cs="Times New Roman"/>
          <w:color w:val="000000" w:themeColor="text1"/>
        </w:rPr>
        <w:t xml:space="preserve"> </w:t>
      </w:r>
      <w:r w:rsidR="009B0A2E" w:rsidRPr="005F719F">
        <w:rPr>
          <w:rFonts w:ascii="Times New Roman" w:hAnsi="Times New Roman" w:cs="Times New Roman"/>
          <w:color w:val="000000" w:themeColor="text1"/>
        </w:rPr>
        <w:t>adult education</w:t>
      </w:r>
      <w:r w:rsidR="006F269D" w:rsidRPr="005F719F">
        <w:rPr>
          <w:rFonts w:ascii="Times New Roman" w:hAnsi="Times New Roman" w:cs="Times New Roman"/>
          <w:color w:val="000000" w:themeColor="text1"/>
        </w:rPr>
        <w:t xml:space="preserve"> teachers have completed activities on accessing and </w:t>
      </w:r>
      <w:proofErr w:type="gramStart"/>
      <w:r w:rsidR="006F269D" w:rsidRPr="005F719F">
        <w:rPr>
          <w:rFonts w:ascii="Times New Roman" w:hAnsi="Times New Roman" w:cs="Times New Roman"/>
          <w:color w:val="000000" w:themeColor="text1"/>
        </w:rPr>
        <w:t>unde</w:t>
      </w:r>
      <w:r w:rsidR="00F8728B" w:rsidRPr="005F719F">
        <w:rPr>
          <w:rFonts w:ascii="Times New Roman" w:hAnsi="Times New Roman" w:cs="Times New Roman"/>
          <w:color w:val="000000" w:themeColor="text1"/>
        </w:rPr>
        <w:t>rstanding labor market data</w:t>
      </w:r>
      <w:proofErr w:type="gramEnd"/>
      <w:r w:rsidR="00F8728B" w:rsidRPr="005F719F">
        <w:rPr>
          <w:rFonts w:ascii="Times New Roman" w:hAnsi="Times New Roman" w:cs="Times New Roman"/>
          <w:color w:val="000000" w:themeColor="text1"/>
        </w:rPr>
        <w:t xml:space="preserve">; </w:t>
      </w:r>
      <w:r w:rsidR="006F269D" w:rsidRPr="005F719F">
        <w:rPr>
          <w:rFonts w:ascii="Times New Roman" w:hAnsi="Times New Roman" w:cs="Times New Roman"/>
          <w:color w:val="000000" w:themeColor="text1"/>
        </w:rPr>
        <w:t>all teachers have a working knowledge of labor market data</w:t>
      </w:r>
      <w:r w:rsidR="004139EB" w:rsidRPr="005F719F">
        <w:rPr>
          <w:rFonts w:ascii="Times New Roman" w:hAnsi="Times New Roman" w:cs="Times New Roman"/>
          <w:color w:val="000000" w:themeColor="text1"/>
        </w:rPr>
        <w:t xml:space="preserve"> that will be essential for delivering the career</w:t>
      </w:r>
      <w:r w:rsidR="00282900" w:rsidRPr="005F719F">
        <w:rPr>
          <w:rFonts w:ascii="Times New Roman" w:hAnsi="Times New Roman" w:cs="Times New Roman"/>
          <w:color w:val="000000" w:themeColor="text1"/>
        </w:rPr>
        <w:t xml:space="preserve"> services. </w:t>
      </w:r>
      <w:r w:rsidR="009B0A2E" w:rsidRPr="005F719F">
        <w:rPr>
          <w:rFonts w:ascii="Times New Roman" w:hAnsi="Times New Roman" w:cs="Times New Roman"/>
          <w:color w:val="000000" w:themeColor="text1"/>
        </w:rPr>
        <w:t xml:space="preserve"> </w:t>
      </w:r>
      <w:r w:rsidR="00282900" w:rsidRPr="005F719F">
        <w:rPr>
          <w:rFonts w:ascii="Times New Roman" w:hAnsi="Times New Roman" w:cs="Times New Roman"/>
          <w:color w:val="000000" w:themeColor="text1"/>
        </w:rPr>
        <w:t xml:space="preserve">In our </w:t>
      </w:r>
      <w:r w:rsidR="00237977" w:rsidRPr="005F719F">
        <w:rPr>
          <w:rFonts w:ascii="Times New Roman" w:hAnsi="Times New Roman" w:cs="Times New Roman"/>
          <w:color w:val="000000" w:themeColor="text1"/>
        </w:rPr>
        <w:t xml:space="preserve">WIOA </w:t>
      </w:r>
      <w:r w:rsidR="00A22309" w:rsidRPr="005F719F">
        <w:rPr>
          <w:rFonts w:ascii="Times New Roman" w:hAnsi="Times New Roman" w:cs="Times New Roman"/>
          <w:color w:val="000000" w:themeColor="text1"/>
        </w:rPr>
        <w:t>State</w:t>
      </w:r>
      <w:r w:rsidR="00282900" w:rsidRPr="005F719F">
        <w:rPr>
          <w:rFonts w:ascii="Times New Roman" w:hAnsi="Times New Roman" w:cs="Times New Roman"/>
          <w:color w:val="000000" w:themeColor="text1"/>
        </w:rPr>
        <w:t xml:space="preserve"> Plan, all core partners committed to use the Montana Career Information System (MCIS) to provi</w:t>
      </w:r>
      <w:r w:rsidR="004139EB" w:rsidRPr="005F719F">
        <w:rPr>
          <w:rFonts w:ascii="Times New Roman" w:hAnsi="Times New Roman" w:cs="Times New Roman"/>
          <w:color w:val="000000" w:themeColor="text1"/>
        </w:rPr>
        <w:t xml:space="preserve">de </w:t>
      </w:r>
      <w:r w:rsidR="00F8728B" w:rsidRPr="005F719F">
        <w:rPr>
          <w:rFonts w:ascii="Times New Roman" w:hAnsi="Times New Roman" w:cs="Times New Roman"/>
          <w:color w:val="000000" w:themeColor="text1"/>
        </w:rPr>
        <w:t>individualized</w:t>
      </w:r>
      <w:r w:rsidR="004139EB" w:rsidRPr="005F719F">
        <w:rPr>
          <w:rFonts w:ascii="Times New Roman" w:hAnsi="Times New Roman" w:cs="Times New Roman"/>
          <w:color w:val="000000" w:themeColor="text1"/>
        </w:rPr>
        <w:t xml:space="preserve"> career services. </w:t>
      </w:r>
      <w:r w:rsidR="009B0A2E" w:rsidRPr="005F719F">
        <w:rPr>
          <w:rFonts w:ascii="Times New Roman" w:hAnsi="Times New Roman" w:cs="Times New Roman"/>
          <w:color w:val="000000" w:themeColor="text1"/>
        </w:rPr>
        <w:t xml:space="preserve"> </w:t>
      </w:r>
      <w:r w:rsidR="004139EB" w:rsidRPr="005F719F">
        <w:rPr>
          <w:rFonts w:ascii="Times New Roman" w:hAnsi="Times New Roman" w:cs="Times New Roman"/>
          <w:color w:val="000000" w:themeColor="text1"/>
        </w:rPr>
        <w:t>All WIOA c</w:t>
      </w:r>
      <w:r w:rsidR="00282900" w:rsidRPr="005F719F">
        <w:rPr>
          <w:rFonts w:ascii="Times New Roman" w:hAnsi="Times New Roman" w:cs="Times New Roman"/>
          <w:color w:val="000000" w:themeColor="text1"/>
        </w:rPr>
        <w:t xml:space="preserve">lients will set up a career portfolio that </w:t>
      </w:r>
      <w:proofErr w:type="gramStart"/>
      <w:r w:rsidR="00282900" w:rsidRPr="005F719F">
        <w:rPr>
          <w:rFonts w:ascii="Times New Roman" w:hAnsi="Times New Roman" w:cs="Times New Roman"/>
          <w:color w:val="000000" w:themeColor="text1"/>
        </w:rPr>
        <w:t>can be seamlessly transferred</w:t>
      </w:r>
      <w:proofErr w:type="gramEnd"/>
      <w:r w:rsidR="00282900" w:rsidRPr="005F719F">
        <w:rPr>
          <w:rFonts w:ascii="Times New Roman" w:hAnsi="Times New Roman" w:cs="Times New Roman"/>
          <w:color w:val="000000" w:themeColor="text1"/>
        </w:rPr>
        <w:t xml:space="preserve"> from one agency to another. </w:t>
      </w:r>
      <w:r w:rsidR="009B0A2E" w:rsidRPr="005F719F">
        <w:rPr>
          <w:rFonts w:ascii="Times New Roman" w:hAnsi="Times New Roman" w:cs="Times New Roman"/>
          <w:color w:val="000000" w:themeColor="text1"/>
        </w:rPr>
        <w:t xml:space="preserve"> </w:t>
      </w:r>
      <w:r w:rsidR="00282900" w:rsidRPr="005F719F">
        <w:rPr>
          <w:rFonts w:ascii="Times New Roman" w:hAnsi="Times New Roman" w:cs="Times New Roman"/>
          <w:color w:val="000000" w:themeColor="text1"/>
        </w:rPr>
        <w:t xml:space="preserve">The portfolio will </w:t>
      </w:r>
      <w:r w:rsidR="004139EB" w:rsidRPr="005F719F">
        <w:rPr>
          <w:rFonts w:ascii="Times New Roman" w:hAnsi="Times New Roman" w:cs="Times New Roman"/>
          <w:color w:val="000000" w:themeColor="text1"/>
        </w:rPr>
        <w:t xml:space="preserve">include </w:t>
      </w:r>
      <w:r w:rsidR="00282900" w:rsidRPr="005F719F">
        <w:rPr>
          <w:rFonts w:ascii="Times New Roman" w:hAnsi="Times New Roman" w:cs="Times New Roman"/>
          <w:color w:val="000000" w:themeColor="text1"/>
        </w:rPr>
        <w:t xml:space="preserve">skills inventories, specialized </w:t>
      </w:r>
      <w:r w:rsidR="00DC1E32" w:rsidRPr="005F719F">
        <w:rPr>
          <w:rFonts w:ascii="Times New Roman" w:hAnsi="Times New Roman" w:cs="Times New Roman"/>
          <w:color w:val="000000" w:themeColor="text1"/>
        </w:rPr>
        <w:t xml:space="preserve">career path </w:t>
      </w:r>
      <w:r w:rsidR="00282900" w:rsidRPr="005F719F">
        <w:rPr>
          <w:rFonts w:ascii="Times New Roman" w:hAnsi="Times New Roman" w:cs="Times New Roman"/>
          <w:color w:val="000000" w:themeColor="text1"/>
        </w:rPr>
        <w:t xml:space="preserve">assessments, </w:t>
      </w:r>
      <w:r w:rsidR="00D24B44" w:rsidRPr="005F719F">
        <w:rPr>
          <w:rFonts w:ascii="Times New Roman" w:hAnsi="Times New Roman" w:cs="Times New Roman"/>
          <w:color w:val="000000" w:themeColor="text1"/>
        </w:rPr>
        <w:t xml:space="preserve">and </w:t>
      </w:r>
      <w:r w:rsidR="00541F90" w:rsidRPr="005F719F">
        <w:rPr>
          <w:rFonts w:ascii="Times New Roman" w:hAnsi="Times New Roman" w:cs="Times New Roman"/>
          <w:color w:val="000000" w:themeColor="text1"/>
        </w:rPr>
        <w:t>short- and long-term</w:t>
      </w:r>
      <w:r w:rsidR="00282900" w:rsidRPr="005F719F">
        <w:rPr>
          <w:rFonts w:ascii="Times New Roman" w:hAnsi="Times New Roman" w:cs="Times New Roman"/>
          <w:color w:val="000000" w:themeColor="text1"/>
        </w:rPr>
        <w:t xml:space="preserve"> employment goals </w:t>
      </w:r>
      <w:r w:rsidR="004139EB" w:rsidRPr="005F719F">
        <w:rPr>
          <w:rFonts w:ascii="Times New Roman" w:hAnsi="Times New Roman" w:cs="Times New Roman"/>
          <w:color w:val="000000" w:themeColor="text1"/>
        </w:rPr>
        <w:t xml:space="preserve">that are relevant for </w:t>
      </w:r>
      <w:r w:rsidR="00D24B44" w:rsidRPr="005F719F">
        <w:rPr>
          <w:rFonts w:ascii="Times New Roman" w:hAnsi="Times New Roman" w:cs="Times New Roman"/>
          <w:color w:val="000000" w:themeColor="text1"/>
        </w:rPr>
        <w:t>the</w:t>
      </w:r>
      <w:r w:rsidR="00282900" w:rsidRPr="005F719F">
        <w:rPr>
          <w:rFonts w:ascii="Times New Roman" w:hAnsi="Times New Roman" w:cs="Times New Roman"/>
          <w:color w:val="000000" w:themeColor="text1"/>
        </w:rPr>
        <w:t xml:space="preserve"> </w:t>
      </w:r>
      <w:proofErr w:type="gramStart"/>
      <w:r w:rsidR="004139EB" w:rsidRPr="005F719F">
        <w:rPr>
          <w:rFonts w:ascii="Times New Roman" w:hAnsi="Times New Roman" w:cs="Times New Roman"/>
          <w:color w:val="000000" w:themeColor="text1"/>
        </w:rPr>
        <w:t>client’s</w:t>
      </w:r>
      <w:proofErr w:type="gramEnd"/>
      <w:r w:rsidR="004139EB" w:rsidRPr="005F719F">
        <w:rPr>
          <w:rFonts w:ascii="Times New Roman" w:hAnsi="Times New Roman" w:cs="Times New Roman"/>
          <w:color w:val="000000" w:themeColor="text1"/>
        </w:rPr>
        <w:t xml:space="preserve"> </w:t>
      </w:r>
      <w:r w:rsidR="00282900" w:rsidRPr="005F719F">
        <w:rPr>
          <w:rFonts w:ascii="Times New Roman" w:hAnsi="Times New Roman" w:cs="Times New Roman"/>
          <w:color w:val="000000" w:themeColor="text1"/>
        </w:rPr>
        <w:t xml:space="preserve">chosen career pathway. </w:t>
      </w:r>
      <w:r w:rsidR="009B0A2E" w:rsidRPr="005F719F">
        <w:rPr>
          <w:rFonts w:ascii="Times New Roman" w:hAnsi="Times New Roman" w:cs="Times New Roman"/>
          <w:color w:val="000000" w:themeColor="text1"/>
        </w:rPr>
        <w:t xml:space="preserve"> </w:t>
      </w:r>
      <w:r w:rsidR="00282900" w:rsidRPr="005F719F">
        <w:rPr>
          <w:rFonts w:ascii="Times New Roman" w:hAnsi="Times New Roman" w:cs="Times New Roman"/>
          <w:color w:val="000000" w:themeColor="text1"/>
        </w:rPr>
        <w:t xml:space="preserve">This </w:t>
      </w:r>
      <w:r w:rsidR="00DC1E32" w:rsidRPr="005F719F">
        <w:rPr>
          <w:rFonts w:ascii="Times New Roman" w:hAnsi="Times New Roman" w:cs="Times New Roman"/>
          <w:color w:val="000000" w:themeColor="text1"/>
        </w:rPr>
        <w:t>statewide</w:t>
      </w:r>
      <w:r w:rsidR="00282900" w:rsidRPr="005F719F">
        <w:rPr>
          <w:rFonts w:ascii="Times New Roman" w:hAnsi="Times New Roman" w:cs="Times New Roman"/>
          <w:color w:val="000000" w:themeColor="text1"/>
        </w:rPr>
        <w:t xml:space="preserve"> systemic approach to meeting individual career services will provide clients </w:t>
      </w:r>
      <w:r w:rsidR="00CC105B" w:rsidRPr="005F719F">
        <w:rPr>
          <w:rFonts w:ascii="Times New Roman" w:hAnsi="Times New Roman" w:cs="Times New Roman"/>
          <w:color w:val="000000" w:themeColor="text1"/>
        </w:rPr>
        <w:t xml:space="preserve">with streamlined </w:t>
      </w:r>
      <w:r w:rsidR="00282900" w:rsidRPr="005F719F">
        <w:rPr>
          <w:rFonts w:ascii="Times New Roman" w:hAnsi="Times New Roman" w:cs="Times New Roman"/>
          <w:color w:val="000000" w:themeColor="text1"/>
        </w:rPr>
        <w:t>career services with</w:t>
      </w:r>
      <w:r w:rsidR="00CC105B" w:rsidRPr="005F719F">
        <w:rPr>
          <w:rFonts w:ascii="Times New Roman" w:hAnsi="Times New Roman" w:cs="Times New Roman"/>
          <w:color w:val="000000" w:themeColor="text1"/>
        </w:rPr>
        <w:t xml:space="preserve"> no duplication of activities to be completed. </w:t>
      </w:r>
      <w:r w:rsidR="009B0A2E" w:rsidRPr="005F719F">
        <w:rPr>
          <w:rFonts w:ascii="Times New Roman" w:hAnsi="Times New Roman" w:cs="Times New Roman"/>
          <w:color w:val="000000" w:themeColor="text1"/>
        </w:rPr>
        <w:t xml:space="preserve"> </w:t>
      </w:r>
      <w:r w:rsidR="00CC105B" w:rsidRPr="005F719F">
        <w:rPr>
          <w:rFonts w:ascii="Times New Roman" w:hAnsi="Times New Roman" w:cs="Times New Roman"/>
          <w:color w:val="000000" w:themeColor="text1"/>
        </w:rPr>
        <w:t xml:space="preserve">Regardless of the core partner that begins the individual career services, the client can be assured </w:t>
      </w:r>
      <w:proofErr w:type="gramStart"/>
      <w:r w:rsidR="00CC105B" w:rsidRPr="005F719F">
        <w:rPr>
          <w:rFonts w:ascii="Times New Roman" w:hAnsi="Times New Roman" w:cs="Times New Roman"/>
          <w:color w:val="000000" w:themeColor="text1"/>
        </w:rPr>
        <w:t>that</w:t>
      </w:r>
      <w:proofErr w:type="gramEnd"/>
      <w:r w:rsidR="00CC105B" w:rsidRPr="005F719F">
        <w:rPr>
          <w:rFonts w:ascii="Times New Roman" w:hAnsi="Times New Roman" w:cs="Times New Roman"/>
          <w:color w:val="000000" w:themeColor="text1"/>
        </w:rPr>
        <w:t xml:space="preserve"> all planning and information will be readily available to all agencies who are p</w:t>
      </w:r>
      <w:r w:rsidRPr="005F719F">
        <w:rPr>
          <w:rFonts w:ascii="Times New Roman" w:hAnsi="Times New Roman" w:cs="Times New Roman"/>
          <w:color w:val="000000" w:themeColor="text1"/>
        </w:rPr>
        <w:t xml:space="preserve">roviding core partner services.  WIOA Title II Adult Education </w:t>
      </w:r>
      <w:r w:rsidR="004B71CB" w:rsidRPr="005F719F">
        <w:rPr>
          <w:rFonts w:ascii="Times New Roman" w:hAnsi="Times New Roman" w:cs="Times New Roman"/>
          <w:color w:val="000000" w:themeColor="text1"/>
        </w:rPr>
        <w:t>p</w:t>
      </w:r>
      <w:r w:rsidRPr="005F719F">
        <w:rPr>
          <w:rFonts w:ascii="Times New Roman" w:hAnsi="Times New Roman" w:cs="Times New Roman"/>
          <w:color w:val="000000" w:themeColor="text1"/>
        </w:rPr>
        <w:t>roviders meet with core partners</w:t>
      </w:r>
      <w:r w:rsidR="00441AB7" w:rsidRPr="005F719F">
        <w:rPr>
          <w:rFonts w:ascii="Times New Roman" w:hAnsi="Times New Roman" w:cs="Times New Roman"/>
          <w:color w:val="000000" w:themeColor="text1"/>
        </w:rPr>
        <w:t xml:space="preserve"> such as Job Service or Vocational Rehabilitation</w:t>
      </w:r>
      <w:r w:rsidR="00D330FF" w:rsidRPr="005F719F">
        <w:rPr>
          <w:rFonts w:ascii="Times New Roman" w:hAnsi="Times New Roman" w:cs="Times New Roman"/>
          <w:color w:val="000000" w:themeColor="text1"/>
        </w:rPr>
        <w:t xml:space="preserve">, as well as other community </w:t>
      </w:r>
      <w:r w:rsidR="00541F90" w:rsidRPr="005F719F">
        <w:rPr>
          <w:rFonts w:ascii="Times New Roman" w:hAnsi="Times New Roman" w:cs="Times New Roman"/>
          <w:color w:val="000000" w:themeColor="text1"/>
        </w:rPr>
        <w:t>partners</w:t>
      </w:r>
      <w:r w:rsidR="00D330FF" w:rsidRPr="005F719F">
        <w:rPr>
          <w:rFonts w:ascii="Times New Roman" w:hAnsi="Times New Roman" w:cs="Times New Roman"/>
          <w:color w:val="000000" w:themeColor="text1"/>
        </w:rPr>
        <w:t>,</w:t>
      </w:r>
      <w:r w:rsidRPr="005F719F">
        <w:rPr>
          <w:rFonts w:ascii="Times New Roman" w:hAnsi="Times New Roman" w:cs="Times New Roman"/>
          <w:color w:val="000000" w:themeColor="text1"/>
        </w:rPr>
        <w:t xml:space="preserve"> in their regional areas multiple times throughout the program year.</w:t>
      </w:r>
    </w:p>
    <w:p w14:paraId="06AB3EFE" w14:textId="298A5BAC" w:rsidR="008F14D9" w:rsidRPr="005F719F" w:rsidRDefault="008F14D9" w:rsidP="001D4BE9">
      <w:pPr>
        <w:autoSpaceDE w:val="0"/>
        <w:autoSpaceDN w:val="0"/>
        <w:adjustRightInd w:val="0"/>
        <w:spacing w:after="0" w:line="240" w:lineRule="auto"/>
        <w:rPr>
          <w:rFonts w:ascii="Times New Roman" w:hAnsi="Times New Roman" w:cs="Times New Roman"/>
          <w:b/>
          <w:bCs/>
        </w:rPr>
      </w:pPr>
      <w:bookmarkStart w:id="0" w:name="_GoBack"/>
      <w:bookmarkEnd w:id="0"/>
    </w:p>
    <w:p w14:paraId="2457AA30" w14:textId="77777777" w:rsidR="001D4BE9" w:rsidRPr="005F719F" w:rsidRDefault="001D4BE9" w:rsidP="001D4BE9">
      <w:p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bCs/>
        </w:rPr>
        <w:t xml:space="preserve">4. Integrated English Literacy and Civics Education (IELCE) Program </w:t>
      </w:r>
      <w:r w:rsidRPr="005F719F">
        <w:rPr>
          <w:rFonts w:ascii="Times New Roman" w:hAnsi="Times New Roman" w:cs="Times New Roman"/>
          <w:b/>
        </w:rPr>
        <w:t>(AEFLA Section</w:t>
      </w:r>
    </w:p>
    <w:p w14:paraId="5228C615" w14:textId="77777777" w:rsidR="007B2421" w:rsidRPr="005F719F" w:rsidRDefault="001D4BE9" w:rsidP="001D4BE9">
      <w:p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rPr>
        <w:t>243)</w:t>
      </w:r>
      <w:r w:rsidR="005025E0" w:rsidRPr="005F719F">
        <w:rPr>
          <w:rFonts w:ascii="Times New Roman" w:hAnsi="Times New Roman" w:cs="Times New Roman"/>
          <w:b/>
        </w:rPr>
        <w:t xml:space="preserve"> </w:t>
      </w:r>
    </w:p>
    <w:p w14:paraId="0143FAE2" w14:textId="77777777" w:rsidR="007B2421" w:rsidRPr="005F719F" w:rsidRDefault="007B2421" w:rsidP="001D4BE9">
      <w:pPr>
        <w:autoSpaceDE w:val="0"/>
        <w:autoSpaceDN w:val="0"/>
        <w:adjustRightInd w:val="0"/>
        <w:spacing w:after="0" w:line="240" w:lineRule="auto"/>
        <w:rPr>
          <w:rFonts w:ascii="Times New Roman" w:hAnsi="Times New Roman" w:cs="Times New Roman"/>
          <w:b/>
        </w:rPr>
      </w:pPr>
    </w:p>
    <w:p w14:paraId="27FC6F1E" w14:textId="77777777" w:rsidR="001D4BE9" w:rsidRPr="005F719F" w:rsidRDefault="001D4BE9" w:rsidP="001D4BE9">
      <w:p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rPr>
        <w:t xml:space="preserve">Describe how the </w:t>
      </w:r>
      <w:r w:rsidR="00A22309" w:rsidRPr="005F719F">
        <w:rPr>
          <w:rFonts w:ascii="Times New Roman" w:hAnsi="Times New Roman" w:cs="Times New Roman"/>
          <w:b/>
        </w:rPr>
        <w:t>State</w:t>
      </w:r>
      <w:r w:rsidRPr="005F719F">
        <w:rPr>
          <w:rFonts w:ascii="Times New Roman" w:hAnsi="Times New Roman" w:cs="Times New Roman"/>
          <w:b/>
        </w:rPr>
        <w:t xml:space="preserve"> is using funds under Section 243 to support the following activities</w:t>
      </w:r>
      <w:r w:rsidR="005025E0" w:rsidRPr="005F719F">
        <w:rPr>
          <w:rFonts w:ascii="Times New Roman" w:hAnsi="Times New Roman" w:cs="Times New Roman"/>
          <w:b/>
        </w:rPr>
        <w:t xml:space="preserve"> </w:t>
      </w:r>
      <w:r w:rsidRPr="005F719F">
        <w:rPr>
          <w:rFonts w:ascii="Times New Roman" w:hAnsi="Times New Roman" w:cs="Times New Roman"/>
          <w:b/>
        </w:rPr>
        <w:t>under the IELCE program</w:t>
      </w:r>
      <w:r w:rsidRPr="005F719F">
        <w:rPr>
          <w:rFonts w:ascii="Times New Roman" w:hAnsi="Times New Roman" w:cs="Times New Roman"/>
        </w:rPr>
        <w:t>:</w:t>
      </w:r>
    </w:p>
    <w:p w14:paraId="1A3FA286" w14:textId="77777777" w:rsidR="005025E0" w:rsidRPr="005F719F" w:rsidRDefault="005025E0" w:rsidP="001D4BE9">
      <w:pPr>
        <w:autoSpaceDE w:val="0"/>
        <w:autoSpaceDN w:val="0"/>
        <w:adjustRightInd w:val="0"/>
        <w:spacing w:after="0" w:line="240" w:lineRule="auto"/>
        <w:rPr>
          <w:rFonts w:ascii="Times New Roman" w:hAnsi="Times New Roman" w:cs="Times New Roman"/>
        </w:rPr>
      </w:pPr>
    </w:p>
    <w:p w14:paraId="164ABEBE" w14:textId="77777777" w:rsidR="001D4BE9" w:rsidRPr="005F719F" w:rsidRDefault="001D4BE9" w:rsidP="005025E0">
      <w:pPr>
        <w:pStyle w:val="ListParagraph"/>
        <w:numPr>
          <w:ilvl w:val="0"/>
          <w:numId w:val="1"/>
        </w:num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rPr>
        <w:t xml:space="preserve">Describe when your </w:t>
      </w:r>
      <w:r w:rsidR="00A22309" w:rsidRPr="005F719F">
        <w:rPr>
          <w:rFonts w:ascii="Times New Roman" w:hAnsi="Times New Roman" w:cs="Times New Roman"/>
          <w:b/>
        </w:rPr>
        <w:t>State</w:t>
      </w:r>
      <w:r w:rsidRPr="005F719F">
        <w:rPr>
          <w:rFonts w:ascii="Times New Roman" w:hAnsi="Times New Roman" w:cs="Times New Roman"/>
          <w:b/>
        </w:rPr>
        <w:t xml:space="preserve"> held a competition [the latest competition] for IELCE</w:t>
      </w:r>
    </w:p>
    <w:p w14:paraId="4C8448DD" w14:textId="77777777" w:rsidR="001D4BE9" w:rsidRPr="005F719F" w:rsidRDefault="001D4BE9" w:rsidP="00716606">
      <w:pPr>
        <w:autoSpaceDE w:val="0"/>
        <w:autoSpaceDN w:val="0"/>
        <w:adjustRightInd w:val="0"/>
        <w:spacing w:after="0" w:line="240" w:lineRule="auto"/>
        <w:ind w:firstLine="720"/>
        <w:rPr>
          <w:rFonts w:ascii="Times New Roman" w:hAnsi="Times New Roman" w:cs="Times New Roman"/>
          <w:b/>
        </w:rPr>
      </w:pPr>
      <w:proofErr w:type="gramStart"/>
      <w:r w:rsidRPr="005F719F">
        <w:rPr>
          <w:rFonts w:ascii="Times New Roman" w:hAnsi="Times New Roman" w:cs="Times New Roman"/>
          <w:b/>
        </w:rPr>
        <w:t>program</w:t>
      </w:r>
      <w:proofErr w:type="gramEnd"/>
      <w:r w:rsidRPr="005F719F">
        <w:rPr>
          <w:rFonts w:ascii="Times New Roman" w:hAnsi="Times New Roman" w:cs="Times New Roman"/>
          <w:b/>
        </w:rPr>
        <w:t xml:space="preserve"> funds and the number of grants awarded by your </w:t>
      </w:r>
      <w:r w:rsidR="00A22309" w:rsidRPr="005F719F">
        <w:rPr>
          <w:rFonts w:ascii="Times New Roman" w:hAnsi="Times New Roman" w:cs="Times New Roman"/>
          <w:b/>
        </w:rPr>
        <w:t>State</w:t>
      </w:r>
      <w:r w:rsidRPr="005F719F">
        <w:rPr>
          <w:rFonts w:ascii="Times New Roman" w:hAnsi="Times New Roman" w:cs="Times New Roman"/>
          <w:b/>
        </w:rPr>
        <w:t xml:space="preserve"> to support IELCE</w:t>
      </w:r>
    </w:p>
    <w:p w14:paraId="09EC3392" w14:textId="77777777" w:rsidR="001D4BE9" w:rsidRPr="005F719F" w:rsidRDefault="001D4BE9" w:rsidP="00716606">
      <w:pPr>
        <w:autoSpaceDE w:val="0"/>
        <w:autoSpaceDN w:val="0"/>
        <w:adjustRightInd w:val="0"/>
        <w:spacing w:after="0" w:line="240" w:lineRule="auto"/>
        <w:ind w:firstLine="720"/>
        <w:rPr>
          <w:rFonts w:ascii="Times New Roman" w:hAnsi="Times New Roman" w:cs="Times New Roman"/>
          <w:b/>
        </w:rPr>
      </w:pPr>
      <w:proofErr w:type="gramStart"/>
      <w:r w:rsidRPr="005F719F">
        <w:rPr>
          <w:rFonts w:ascii="Times New Roman" w:hAnsi="Times New Roman" w:cs="Times New Roman"/>
          <w:b/>
        </w:rPr>
        <w:t>programs</w:t>
      </w:r>
      <w:proofErr w:type="gramEnd"/>
      <w:r w:rsidRPr="005F719F">
        <w:rPr>
          <w:rFonts w:ascii="Times New Roman" w:hAnsi="Times New Roman" w:cs="Times New Roman"/>
          <w:b/>
        </w:rPr>
        <w:t>.</w:t>
      </w:r>
    </w:p>
    <w:p w14:paraId="45832BC6" w14:textId="77777777" w:rsidR="005025E0" w:rsidRPr="005F719F" w:rsidRDefault="005025E0" w:rsidP="005025E0">
      <w:pPr>
        <w:autoSpaceDE w:val="0"/>
        <w:autoSpaceDN w:val="0"/>
        <w:adjustRightInd w:val="0"/>
        <w:spacing w:after="0" w:line="240" w:lineRule="auto"/>
        <w:ind w:firstLine="360"/>
        <w:rPr>
          <w:rFonts w:ascii="Times New Roman" w:hAnsi="Times New Roman" w:cs="Times New Roman"/>
        </w:rPr>
      </w:pPr>
    </w:p>
    <w:p w14:paraId="54332C8F" w14:textId="173CFC47" w:rsidR="005025E0" w:rsidRPr="005F719F" w:rsidRDefault="009B0A2E" w:rsidP="00D24B44">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During the</w:t>
      </w:r>
      <w:r w:rsidR="00D83186" w:rsidRPr="005F719F">
        <w:rPr>
          <w:rFonts w:ascii="Times New Roman" w:hAnsi="Times New Roman" w:cs="Times New Roman"/>
        </w:rPr>
        <w:t xml:space="preserve"> Adult Education RFP Competition in </w:t>
      </w:r>
      <w:proofErr w:type="gramStart"/>
      <w:r w:rsidR="00D83186" w:rsidRPr="005F719F">
        <w:rPr>
          <w:rFonts w:ascii="Times New Roman" w:hAnsi="Times New Roman" w:cs="Times New Roman"/>
        </w:rPr>
        <w:t>S</w:t>
      </w:r>
      <w:r w:rsidR="00197B93" w:rsidRPr="005F719F">
        <w:rPr>
          <w:rFonts w:ascii="Times New Roman" w:hAnsi="Times New Roman" w:cs="Times New Roman"/>
        </w:rPr>
        <w:t>pring</w:t>
      </w:r>
      <w:proofErr w:type="gramEnd"/>
      <w:r w:rsidR="00197B93" w:rsidRPr="005F719F">
        <w:rPr>
          <w:rFonts w:ascii="Times New Roman" w:hAnsi="Times New Roman" w:cs="Times New Roman"/>
        </w:rPr>
        <w:t xml:space="preserve"> 2017 under WIOA, two provide</w:t>
      </w:r>
      <w:r w:rsidR="007D46DF" w:rsidRPr="005F719F">
        <w:rPr>
          <w:rFonts w:ascii="Times New Roman" w:hAnsi="Times New Roman" w:cs="Times New Roman"/>
        </w:rPr>
        <w:t>rs were awarded the IELCE funds for the 2017-2018 program year.</w:t>
      </w:r>
      <w:r w:rsidR="000E3E4C" w:rsidRPr="005F719F">
        <w:rPr>
          <w:rFonts w:ascii="Times New Roman" w:hAnsi="Times New Roman" w:cs="Times New Roman"/>
        </w:rPr>
        <w:t xml:space="preserve"> </w:t>
      </w:r>
      <w:r w:rsidR="00B21922" w:rsidRPr="005F719F">
        <w:rPr>
          <w:rFonts w:ascii="Times New Roman" w:hAnsi="Times New Roman" w:cs="Times New Roman"/>
        </w:rPr>
        <w:t xml:space="preserve"> </w:t>
      </w:r>
      <w:r w:rsidR="00D83186" w:rsidRPr="005F719F">
        <w:rPr>
          <w:rFonts w:ascii="Times New Roman" w:hAnsi="Times New Roman" w:cs="Times New Roman"/>
        </w:rPr>
        <w:t xml:space="preserve">Extension </w:t>
      </w:r>
      <w:r w:rsidR="004B71CB" w:rsidRPr="005F719F">
        <w:rPr>
          <w:rFonts w:ascii="Times New Roman" w:hAnsi="Times New Roman" w:cs="Times New Roman"/>
        </w:rPr>
        <w:t xml:space="preserve">plans </w:t>
      </w:r>
      <w:r w:rsidR="00D83186" w:rsidRPr="005F719F">
        <w:rPr>
          <w:rFonts w:ascii="Times New Roman" w:hAnsi="Times New Roman" w:cs="Times New Roman"/>
        </w:rPr>
        <w:t xml:space="preserve">were </w:t>
      </w:r>
      <w:r w:rsidR="00D002DA" w:rsidRPr="005F719F">
        <w:rPr>
          <w:rFonts w:ascii="Times New Roman" w:hAnsi="Times New Roman" w:cs="Times New Roman"/>
        </w:rPr>
        <w:t xml:space="preserve">required </w:t>
      </w:r>
      <w:r w:rsidR="000E3E4C" w:rsidRPr="005F719F">
        <w:rPr>
          <w:rFonts w:ascii="Times New Roman" w:hAnsi="Times New Roman" w:cs="Times New Roman"/>
        </w:rPr>
        <w:t xml:space="preserve">for subsequent years. </w:t>
      </w:r>
      <w:r w:rsidR="00B34E61" w:rsidRPr="005F719F">
        <w:rPr>
          <w:rFonts w:ascii="Times New Roman" w:hAnsi="Times New Roman" w:cs="Times New Roman"/>
        </w:rPr>
        <w:t xml:space="preserve"> </w:t>
      </w:r>
      <w:r w:rsidR="00BD1B14" w:rsidRPr="005F719F">
        <w:rPr>
          <w:rFonts w:ascii="Times New Roman" w:hAnsi="Times New Roman" w:cs="Times New Roman"/>
        </w:rPr>
        <w:t xml:space="preserve">Due to the </w:t>
      </w:r>
      <w:r w:rsidR="00D371D4" w:rsidRPr="005F719F">
        <w:rPr>
          <w:rFonts w:ascii="Times New Roman" w:hAnsi="Times New Roman" w:cs="Times New Roman"/>
        </w:rPr>
        <w:t>COVID-19</w:t>
      </w:r>
      <w:r w:rsidR="00BD1B14" w:rsidRPr="005F719F">
        <w:rPr>
          <w:rFonts w:ascii="Times New Roman" w:hAnsi="Times New Roman" w:cs="Times New Roman"/>
        </w:rPr>
        <w:t xml:space="preserve"> pandemic, related challenges</w:t>
      </w:r>
      <w:r w:rsidR="00B34E61" w:rsidRPr="005F719F">
        <w:rPr>
          <w:rFonts w:ascii="Times New Roman" w:hAnsi="Times New Roman" w:cs="Times New Roman"/>
        </w:rPr>
        <w:t xml:space="preserve"> as well as </w:t>
      </w:r>
      <w:r w:rsidR="00B21922" w:rsidRPr="005F719F">
        <w:rPr>
          <w:rFonts w:ascii="Times New Roman" w:hAnsi="Times New Roman" w:cs="Times New Roman"/>
        </w:rPr>
        <w:t xml:space="preserve">a </w:t>
      </w:r>
      <w:r w:rsidR="00B34E61" w:rsidRPr="005F719F">
        <w:rPr>
          <w:rFonts w:ascii="Times New Roman" w:hAnsi="Times New Roman" w:cs="Times New Roman"/>
        </w:rPr>
        <w:t>shift in service modalities and delivery</w:t>
      </w:r>
      <w:r w:rsidR="00BD1B14" w:rsidRPr="005F719F">
        <w:rPr>
          <w:rFonts w:ascii="Times New Roman" w:hAnsi="Times New Roman" w:cs="Times New Roman"/>
        </w:rPr>
        <w:t>, t</w:t>
      </w:r>
      <w:r w:rsidR="00A40AF7" w:rsidRPr="005F719F">
        <w:rPr>
          <w:rFonts w:ascii="Times New Roman" w:hAnsi="Times New Roman" w:cs="Times New Roman"/>
        </w:rPr>
        <w:t>he next</w:t>
      </w:r>
      <w:r w:rsidR="00BD1B14" w:rsidRPr="005F719F">
        <w:rPr>
          <w:rFonts w:ascii="Times New Roman" w:hAnsi="Times New Roman" w:cs="Times New Roman"/>
        </w:rPr>
        <w:t xml:space="preserve"> WIOA</w:t>
      </w:r>
      <w:r w:rsidR="00A40AF7" w:rsidRPr="005F719F">
        <w:rPr>
          <w:rFonts w:ascii="Times New Roman" w:hAnsi="Times New Roman" w:cs="Times New Roman"/>
        </w:rPr>
        <w:t xml:space="preserve"> </w:t>
      </w:r>
      <w:r w:rsidR="00D83186" w:rsidRPr="005F719F">
        <w:rPr>
          <w:rFonts w:ascii="Times New Roman" w:hAnsi="Times New Roman" w:cs="Times New Roman"/>
        </w:rPr>
        <w:t>Adult Education RFP C</w:t>
      </w:r>
      <w:r w:rsidR="00A40AF7" w:rsidRPr="005F719F">
        <w:rPr>
          <w:rFonts w:ascii="Times New Roman" w:hAnsi="Times New Roman" w:cs="Times New Roman"/>
        </w:rPr>
        <w:t>ompetit</w:t>
      </w:r>
      <w:r w:rsidR="00BD1B14" w:rsidRPr="005F719F">
        <w:rPr>
          <w:rFonts w:ascii="Times New Roman" w:hAnsi="Times New Roman" w:cs="Times New Roman"/>
        </w:rPr>
        <w:t xml:space="preserve">ion is scheduled for </w:t>
      </w:r>
      <w:proofErr w:type="gramStart"/>
      <w:r w:rsidR="00BD1B14" w:rsidRPr="005F719F">
        <w:rPr>
          <w:rFonts w:ascii="Times New Roman" w:hAnsi="Times New Roman" w:cs="Times New Roman"/>
        </w:rPr>
        <w:t>Spring</w:t>
      </w:r>
      <w:proofErr w:type="gramEnd"/>
      <w:r w:rsidR="00BD1B14" w:rsidRPr="005F719F">
        <w:rPr>
          <w:rFonts w:ascii="Times New Roman" w:hAnsi="Times New Roman" w:cs="Times New Roman"/>
        </w:rPr>
        <w:t xml:space="preserve"> 2022</w:t>
      </w:r>
      <w:r w:rsidR="00A40AF7" w:rsidRPr="005F719F">
        <w:rPr>
          <w:rFonts w:ascii="Times New Roman" w:hAnsi="Times New Roman" w:cs="Times New Roman"/>
        </w:rPr>
        <w:t>.</w:t>
      </w:r>
    </w:p>
    <w:p w14:paraId="4A415DCA" w14:textId="77777777" w:rsidR="005025E0" w:rsidRPr="005F719F" w:rsidRDefault="005025E0" w:rsidP="005025E0">
      <w:pPr>
        <w:autoSpaceDE w:val="0"/>
        <w:autoSpaceDN w:val="0"/>
        <w:adjustRightInd w:val="0"/>
        <w:spacing w:after="0" w:line="240" w:lineRule="auto"/>
        <w:ind w:left="360"/>
        <w:rPr>
          <w:rFonts w:ascii="Times New Roman" w:hAnsi="Times New Roman" w:cs="Times New Roman"/>
        </w:rPr>
      </w:pPr>
    </w:p>
    <w:p w14:paraId="48B7E12E" w14:textId="77777777" w:rsidR="001D4BE9" w:rsidRPr="005F719F" w:rsidRDefault="001D4BE9" w:rsidP="00716606">
      <w:pPr>
        <w:pStyle w:val="ListParagraph"/>
        <w:numPr>
          <w:ilvl w:val="0"/>
          <w:numId w:val="1"/>
        </w:num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rPr>
        <w:t xml:space="preserve">Describe your </w:t>
      </w:r>
      <w:r w:rsidR="00A22309" w:rsidRPr="005F719F">
        <w:rPr>
          <w:rFonts w:ascii="Times New Roman" w:hAnsi="Times New Roman" w:cs="Times New Roman"/>
          <w:b/>
        </w:rPr>
        <w:t>State</w:t>
      </w:r>
      <w:r w:rsidRPr="005F719F">
        <w:rPr>
          <w:rFonts w:ascii="Times New Roman" w:hAnsi="Times New Roman" w:cs="Times New Roman"/>
          <w:b/>
        </w:rPr>
        <w:t xml:space="preserve"> efforts in meeting the requirement to provide IELCE services in</w:t>
      </w:r>
    </w:p>
    <w:p w14:paraId="51467089" w14:textId="77777777" w:rsidR="001D4BE9" w:rsidRPr="005F719F" w:rsidRDefault="00276852" w:rsidP="00716606">
      <w:pPr>
        <w:autoSpaceDE w:val="0"/>
        <w:autoSpaceDN w:val="0"/>
        <w:adjustRightInd w:val="0"/>
        <w:spacing w:after="0" w:line="240" w:lineRule="auto"/>
        <w:ind w:firstLine="720"/>
        <w:rPr>
          <w:rFonts w:ascii="Times New Roman" w:hAnsi="Times New Roman" w:cs="Times New Roman"/>
        </w:rPr>
      </w:pPr>
      <w:proofErr w:type="gramStart"/>
      <w:r w:rsidRPr="005F719F">
        <w:rPr>
          <w:rFonts w:ascii="Times New Roman" w:hAnsi="Times New Roman" w:cs="Times New Roman"/>
          <w:b/>
        </w:rPr>
        <w:t>combination</w:t>
      </w:r>
      <w:proofErr w:type="gramEnd"/>
      <w:r w:rsidRPr="005F719F">
        <w:rPr>
          <w:rFonts w:ascii="Times New Roman" w:hAnsi="Times New Roman" w:cs="Times New Roman"/>
          <w:b/>
        </w:rPr>
        <w:t xml:space="preserve"> </w:t>
      </w:r>
      <w:r w:rsidR="001D4BE9" w:rsidRPr="005F719F">
        <w:rPr>
          <w:rFonts w:ascii="Times New Roman" w:hAnsi="Times New Roman" w:cs="Times New Roman"/>
          <w:b/>
        </w:rPr>
        <w:t>with integrated education and training activities</w:t>
      </w:r>
      <w:r w:rsidR="00D51880" w:rsidRPr="005F719F">
        <w:rPr>
          <w:rFonts w:ascii="Times New Roman" w:hAnsi="Times New Roman" w:cs="Times New Roman"/>
        </w:rPr>
        <w:t>.</w:t>
      </w:r>
    </w:p>
    <w:p w14:paraId="165814E9" w14:textId="77777777" w:rsidR="00276852" w:rsidRPr="005F719F" w:rsidRDefault="00276852" w:rsidP="00716606">
      <w:pPr>
        <w:autoSpaceDE w:val="0"/>
        <w:autoSpaceDN w:val="0"/>
        <w:adjustRightInd w:val="0"/>
        <w:spacing w:after="0" w:line="240" w:lineRule="auto"/>
        <w:ind w:firstLine="720"/>
        <w:rPr>
          <w:rFonts w:ascii="Times New Roman" w:hAnsi="Times New Roman" w:cs="Times New Roman"/>
        </w:rPr>
      </w:pPr>
    </w:p>
    <w:p w14:paraId="4C26D9A7" w14:textId="77777777" w:rsidR="00332909" w:rsidRPr="005F719F" w:rsidRDefault="00D330FF" w:rsidP="00D24B44">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To</w:t>
      </w:r>
      <w:r w:rsidR="00D24B44" w:rsidRPr="005F719F">
        <w:rPr>
          <w:rFonts w:ascii="Times New Roman" w:hAnsi="Times New Roman" w:cs="Times New Roman"/>
        </w:rPr>
        <w:t xml:space="preserve"> understand</w:t>
      </w:r>
      <w:r w:rsidR="00276852" w:rsidRPr="005F719F">
        <w:rPr>
          <w:rFonts w:ascii="Times New Roman" w:hAnsi="Times New Roman" w:cs="Times New Roman"/>
        </w:rPr>
        <w:t xml:space="preserve"> the IELCE requirement </w:t>
      </w:r>
      <w:r w:rsidR="00E37A89" w:rsidRPr="005F719F">
        <w:rPr>
          <w:rFonts w:ascii="Times New Roman" w:hAnsi="Times New Roman" w:cs="Times New Roman"/>
        </w:rPr>
        <w:t xml:space="preserve">and provide services </w:t>
      </w:r>
      <w:r w:rsidR="00276852" w:rsidRPr="005F719F">
        <w:rPr>
          <w:rFonts w:ascii="Times New Roman" w:hAnsi="Times New Roman" w:cs="Times New Roman"/>
        </w:rPr>
        <w:t xml:space="preserve">under WIOA, the </w:t>
      </w:r>
      <w:r w:rsidR="00A22309" w:rsidRPr="005F719F">
        <w:rPr>
          <w:rFonts w:ascii="Times New Roman" w:hAnsi="Times New Roman" w:cs="Times New Roman"/>
        </w:rPr>
        <w:t>State</w:t>
      </w:r>
      <w:r w:rsidR="00276852" w:rsidRPr="005F719F">
        <w:rPr>
          <w:rFonts w:ascii="Times New Roman" w:hAnsi="Times New Roman" w:cs="Times New Roman"/>
        </w:rPr>
        <w:t xml:space="preserve"> </w:t>
      </w:r>
      <w:r w:rsidR="00E37A89" w:rsidRPr="005F719F">
        <w:rPr>
          <w:rFonts w:ascii="Times New Roman" w:hAnsi="Times New Roman" w:cs="Times New Roman"/>
        </w:rPr>
        <w:t>was in continuous contact</w:t>
      </w:r>
      <w:r w:rsidR="00D51880" w:rsidRPr="005F719F">
        <w:rPr>
          <w:rFonts w:ascii="Times New Roman" w:hAnsi="Times New Roman" w:cs="Times New Roman"/>
        </w:rPr>
        <w:t xml:space="preserve"> with the two IELCE providers. </w:t>
      </w:r>
      <w:r w:rsidR="00B21922" w:rsidRPr="005F719F">
        <w:rPr>
          <w:rFonts w:ascii="Times New Roman" w:hAnsi="Times New Roman" w:cs="Times New Roman"/>
        </w:rPr>
        <w:t xml:space="preserve"> </w:t>
      </w:r>
      <w:r w:rsidR="00E37A89" w:rsidRPr="005F719F">
        <w:rPr>
          <w:rFonts w:ascii="Times New Roman" w:hAnsi="Times New Roman" w:cs="Times New Roman"/>
        </w:rPr>
        <w:t xml:space="preserve">The purpose was to </w:t>
      </w:r>
      <w:r w:rsidR="00AC6F5F" w:rsidRPr="005F719F">
        <w:rPr>
          <w:rFonts w:ascii="Times New Roman" w:hAnsi="Times New Roman" w:cs="Times New Roman"/>
        </w:rPr>
        <w:t xml:space="preserve">assist </w:t>
      </w:r>
      <w:r w:rsidR="00E37A89" w:rsidRPr="005F719F">
        <w:rPr>
          <w:rFonts w:ascii="Times New Roman" w:hAnsi="Times New Roman" w:cs="Times New Roman"/>
        </w:rPr>
        <w:t xml:space="preserve">those two local programs and </w:t>
      </w:r>
      <w:r w:rsidR="007C411D" w:rsidRPr="005F719F">
        <w:rPr>
          <w:rFonts w:ascii="Times New Roman" w:hAnsi="Times New Roman" w:cs="Times New Roman"/>
        </w:rPr>
        <w:t>ELL</w:t>
      </w:r>
      <w:r w:rsidR="00197B93" w:rsidRPr="005F719F">
        <w:rPr>
          <w:rFonts w:ascii="Times New Roman" w:hAnsi="Times New Roman" w:cs="Times New Roman"/>
        </w:rPr>
        <w:t xml:space="preserve"> teachers</w:t>
      </w:r>
      <w:r w:rsidR="00332909" w:rsidRPr="005F719F">
        <w:rPr>
          <w:rFonts w:ascii="Times New Roman" w:hAnsi="Times New Roman" w:cs="Times New Roman"/>
        </w:rPr>
        <w:t xml:space="preserve"> </w:t>
      </w:r>
      <w:r w:rsidR="00D24B44" w:rsidRPr="005F719F">
        <w:rPr>
          <w:rFonts w:ascii="Times New Roman" w:hAnsi="Times New Roman" w:cs="Times New Roman"/>
        </w:rPr>
        <w:t xml:space="preserve">in developing an </w:t>
      </w:r>
      <w:r w:rsidR="00332909" w:rsidRPr="005F719F">
        <w:rPr>
          <w:rFonts w:ascii="Times New Roman" w:hAnsi="Times New Roman" w:cs="Times New Roman"/>
        </w:rPr>
        <w:t>understan</w:t>
      </w:r>
      <w:r w:rsidR="00E37A89" w:rsidRPr="005F719F">
        <w:rPr>
          <w:rFonts w:ascii="Times New Roman" w:hAnsi="Times New Roman" w:cs="Times New Roman"/>
        </w:rPr>
        <w:t xml:space="preserve">ding of </w:t>
      </w:r>
      <w:r w:rsidR="00D24B44" w:rsidRPr="005F719F">
        <w:rPr>
          <w:rFonts w:ascii="Times New Roman" w:hAnsi="Times New Roman" w:cs="Times New Roman"/>
        </w:rPr>
        <w:t>how they could expand</w:t>
      </w:r>
      <w:r w:rsidR="00332909" w:rsidRPr="005F719F">
        <w:rPr>
          <w:rFonts w:ascii="Times New Roman" w:hAnsi="Times New Roman" w:cs="Times New Roman"/>
        </w:rPr>
        <w:t xml:space="preserve"> their exi</w:t>
      </w:r>
      <w:r w:rsidR="00D24B44" w:rsidRPr="005F719F">
        <w:rPr>
          <w:rFonts w:ascii="Times New Roman" w:hAnsi="Times New Roman" w:cs="Times New Roman"/>
        </w:rPr>
        <w:t>s</w:t>
      </w:r>
      <w:r w:rsidR="00332909" w:rsidRPr="005F719F">
        <w:rPr>
          <w:rFonts w:ascii="Times New Roman" w:hAnsi="Times New Roman" w:cs="Times New Roman"/>
        </w:rPr>
        <w:t xml:space="preserve">ting services to provide required IELCE services. </w:t>
      </w:r>
      <w:r w:rsidR="00B21922" w:rsidRPr="005F719F">
        <w:rPr>
          <w:rFonts w:ascii="Times New Roman" w:hAnsi="Times New Roman" w:cs="Times New Roman"/>
        </w:rPr>
        <w:t xml:space="preserve"> </w:t>
      </w:r>
      <w:r w:rsidR="00332909" w:rsidRPr="005F719F">
        <w:rPr>
          <w:rFonts w:ascii="Times New Roman" w:hAnsi="Times New Roman" w:cs="Times New Roman"/>
        </w:rPr>
        <w:t>The following modules</w:t>
      </w:r>
      <w:r w:rsidR="007C411D" w:rsidRPr="005F719F">
        <w:rPr>
          <w:rFonts w:ascii="Times New Roman" w:hAnsi="Times New Roman" w:cs="Times New Roman"/>
        </w:rPr>
        <w:t xml:space="preserve"> </w:t>
      </w:r>
      <w:proofErr w:type="gramStart"/>
      <w:r w:rsidR="007C411D" w:rsidRPr="005F719F">
        <w:rPr>
          <w:rFonts w:ascii="Times New Roman" w:hAnsi="Times New Roman" w:cs="Times New Roman"/>
        </w:rPr>
        <w:t>are utilized</w:t>
      </w:r>
      <w:proofErr w:type="gramEnd"/>
      <w:r w:rsidR="007C411D" w:rsidRPr="005F719F">
        <w:rPr>
          <w:rFonts w:ascii="Times New Roman" w:hAnsi="Times New Roman" w:cs="Times New Roman"/>
        </w:rPr>
        <w:t xml:space="preserve"> with ELL</w:t>
      </w:r>
      <w:r w:rsidR="00E37A89" w:rsidRPr="005F719F">
        <w:rPr>
          <w:rFonts w:ascii="Times New Roman" w:hAnsi="Times New Roman" w:cs="Times New Roman"/>
        </w:rPr>
        <w:t xml:space="preserve"> students: </w:t>
      </w:r>
      <w:r w:rsidR="00332909" w:rsidRPr="005F719F">
        <w:rPr>
          <w:rFonts w:ascii="Times New Roman" w:hAnsi="Times New Roman" w:cs="Times New Roman"/>
        </w:rPr>
        <w:t xml:space="preserve">Exploring MCIS, Student Skills Inventories and Interest Profiler, Exploring Occupations, </w:t>
      </w:r>
      <w:r w:rsidR="00D24B44" w:rsidRPr="005F719F">
        <w:rPr>
          <w:rFonts w:ascii="Times New Roman" w:hAnsi="Times New Roman" w:cs="Times New Roman"/>
        </w:rPr>
        <w:t xml:space="preserve">and </w:t>
      </w:r>
      <w:r w:rsidR="00332909" w:rsidRPr="005F719F">
        <w:rPr>
          <w:rFonts w:ascii="Times New Roman" w:hAnsi="Times New Roman" w:cs="Times New Roman"/>
        </w:rPr>
        <w:t>Rese</w:t>
      </w:r>
      <w:r w:rsidR="00A40AF7" w:rsidRPr="005F719F">
        <w:rPr>
          <w:rFonts w:ascii="Times New Roman" w:hAnsi="Times New Roman" w:cs="Times New Roman"/>
        </w:rPr>
        <w:t>arching Educati</w:t>
      </w:r>
      <w:r w:rsidR="000E3E4C" w:rsidRPr="005F719F">
        <w:rPr>
          <w:rFonts w:ascii="Times New Roman" w:hAnsi="Times New Roman" w:cs="Times New Roman"/>
        </w:rPr>
        <w:t xml:space="preserve">on and Training. </w:t>
      </w:r>
      <w:r w:rsidR="00B21922" w:rsidRPr="005F719F">
        <w:rPr>
          <w:rFonts w:ascii="Times New Roman" w:hAnsi="Times New Roman" w:cs="Times New Roman"/>
        </w:rPr>
        <w:t xml:space="preserve"> </w:t>
      </w:r>
      <w:r w:rsidR="00A40AF7" w:rsidRPr="005F719F">
        <w:rPr>
          <w:rFonts w:ascii="Times New Roman" w:hAnsi="Times New Roman" w:cs="Times New Roman"/>
        </w:rPr>
        <w:t xml:space="preserve">The two IELCE providers are </w:t>
      </w:r>
      <w:r w:rsidR="00B21922" w:rsidRPr="005F719F">
        <w:rPr>
          <w:rFonts w:ascii="Times New Roman" w:hAnsi="Times New Roman" w:cs="Times New Roman"/>
        </w:rPr>
        <w:t>among</w:t>
      </w:r>
      <w:r w:rsidR="00A40AF7" w:rsidRPr="005F719F">
        <w:rPr>
          <w:rFonts w:ascii="Times New Roman" w:hAnsi="Times New Roman" w:cs="Times New Roman"/>
        </w:rPr>
        <w:t xml:space="preserve"> our largest and m</w:t>
      </w:r>
      <w:r w:rsidR="001057DD" w:rsidRPr="005F719F">
        <w:rPr>
          <w:rFonts w:ascii="Times New Roman" w:hAnsi="Times New Roman" w:cs="Times New Roman"/>
        </w:rPr>
        <w:t>ost successful programs in the S</w:t>
      </w:r>
      <w:r w:rsidR="00A40AF7" w:rsidRPr="005F719F">
        <w:rPr>
          <w:rFonts w:ascii="Times New Roman" w:hAnsi="Times New Roman" w:cs="Times New Roman"/>
        </w:rPr>
        <w:t xml:space="preserve">tate.  Their personnel </w:t>
      </w:r>
      <w:r w:rsidRPr="005F719F">
        <w:rPr>
          <w:rFonts w:ascii="Times New Roman" w:hAnsi="Times New Roman" w:cs="Times New Roman"/>
        </w:rPr>
        <w:t>are</w:t>
      </w:r>
      <w:r w:rsidR="00A40AF7" w:rsidRPr="005F719F">
        <w:rPr>
          <w:rFonts w:ascii="Times New Roman" w:hAnsi="Times New Roman" w:cs="Times New Roman"/>
        </w:rPr>
        <w:t xml:space="preserve"> highly qualified and effective when working with this population of adult learners.</w:t>
      </w:r>
    </w:p>
    <w:p w14:paraId="0978BF8D" w14:textId="77777777" w:rsidR="00332909" w:rsidRPr="005F719F" w:rsidRDefault="00332909" w:rsidP="00332909">
      <w:pPr>
        <w:autoSpaceDE w:val="0"/>
        <w:autoSpaceDN w:val="0"/>
        <w:adjustRightInd w:val="0"/>
        <w:spacing w:after="0" w:line="240" w:lineRule="auto"/>
        <w:ind w:left="720"/>
        <w:rPr>
          <w:rFonts w:ascii="Times New Roman" w:hAnsi="Times New Roman" w:cs="Times New Roman"/>
        </w:rPr>
      </w:pPr>
    </w:p>
    <w:p w14:paraId="78593C91" w14:textId="73017367" w:rsidR="00197B93" w:rsidRPr="005F719F" w:rsidRDefault="00D50FE8" w:rsidP="00C25994">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Over the past p</w:t>
      </w:r>
      <w:r w:rsidR="00AC6F5F" w:rsidRPr="005F719F">
        <w:rPr>
          <w:rFonts w:ascii="Times New Roman" w:hAnsi="Times New Roman" w:cs="Times New Roman"/>
        </w:rPr>
        <w:t>rogram year, the EL</w:t>
      </w:r>
      <w:r w:rsidR="007C411D" w:rsidRPr="005F719F">
        <w:rPr>
          <w:rFonts w:ascii="Times New Roman" w:hAnsi="Times New Roman" w:cs="Times New Roman"/>
        </w:rPr>
        <w:t>L</w:t>
      </w:r>
      <w:r w:rsidRPr="005F719F">
        <w:rPr>
          <w:rFonts w:ascii="Times New Roman" w:hAnsi="Times New Roman" w:cs="Times New Roman"/>
        </w:rPr>
        <w:t xml:space="preserve"> teachers have been participants in all </w:t>
      </w:r>
      <w:r w:rsidR="00A22309" w:rsidRPr="005F719F">
        <w:rPr>
          <w:rFonts w:ascii="Times New Roman" w:hAnsi="Times New Roman" w:cs="Times New Roman"/>
        </w:rPr>
        <w:t>State</w:t>
      </w:r>
      <w:r w:rsidRPr="005F719F">
        <w:rPr>
          <w:rFonts w:ascii="Times New Roman" w:hAnsi="Times New Roman" w:cs="Times New Roman"/>
        </w:rPr>
        <w:t xml:space="preserve">-level workshops. </w:t>
      </w:r>
      <w:r w:rsidR="00B21922" w:rsidRPr="005F719F">
        <w:rPr>
          <w:rFonts w:ascii="Times New Roman" w:hAnsi="Times New Roman" w:cs="Times New Roman"/>
        </w:rPr>
        <w:t xml:space="preserve"> </w:t>
      </w:r>
      <w:r w:rsidRPr="005F719F">
        <w:rPr>
          <w:rFonts w:ascii="Times New Roman" w:hAnsi="Times New Roman" w:cs="Times New Roman"/>
        </w:rPr>
        <w:t>Their participation</w:t>
      </w:r>
      <w:r w:rsidR="00BE40A1" w:rsidRPr="005F719F">
        <w:rPr>
          <w:rFonts w:ascii="Times New Roman" w:hAnsi="Times New Roman" w:cs="Times New Roman"/>
        </w:rPr>
        <w:t xml:space="preserve"> allowed them to work with the </w:t>
      </w:r>
      <w:r w:rsidR="006C1A01" w:rsidRPr="005F719F">
        <w:rPr>
          <w:rFonts w:ascii="Times New Roman" w:hAnsi="Times New Roman" w:cs="Times New Roman"/>
        </w:rPr>
        <w:t>adult e</w:t>
      </w:r>
      <w:r w:rsidR="00BA795C" w:rsidRPr="005F719F">
        <w:rPr>
          <w:rFonts w:ascii="Times New Roman" w:hAnsi="Times New Roman" w:cs="Times New Roman"/>
        </w:rPr>
        <w:t xml:space="preserve">ducation </w:t>
      </w:r>
      <w:r w:rsidR="00D24B44" w:rsidRPr="005F719F">
        <w:rPr>
          <w:rFonts w:ascii="Times New Roman" w:hAnsi="Times New Roman" w:cs="Times New Roman"/>
        </w:rPr>
        <w:t>teachers in the creation</w:t>
      </w:r>
      <w:r w:rsidR="00BE40A1" w:rsidRPr="005F719F">
        <w:rPr>
          <w:rFonts w:ascii="Times New Roman" w:hAnsi="Times New Roman" w:cs="Times New Roman"/>
        </w:rPr>
        <w:t xml:space="preserve"> </w:t>
      </w:r>
      <w:r w:rsidR="00E37A89" w:rsidRPr="005F719F">
        <w:rPr>
          <w:rFonts w:ascii="Times New Roman" w:hAnsi="Times New Roman" w:cs="Times New Roman"/>
        </w:rPr>
        <w:t xml:space="preserve">of standards-based lesson plans and </w:t>
      </w:r>
      <w:r w:rsidR="000E3E4C" w:rsidRPr="005F719F">
        <w:rPr>
          <w:rFonts w:ascii="Times New Roman" w:hAnsi="Times New Roman" w:cs="Times New Roman"/>
        </w:rPr>
        <w:t xml:space="preserve">contextualized learning plans. </w:t>
      </w:r>
      <w:r w:rsidR="00B21922" w:rsidRPr="005F719F">
        <w:rPr>
          <w:rFonts w:ascii="Times New Roman" w:hAnsi="Times New Roman" w:cs="Times New Roman"/>
        </w:rPr>
        <w:t xml:space="preserve"> </w:t>
      </w:r>
      <w:r w:rsidR="00BE40A1" w:rsidRPr="005F719F">
        <w:rPr>
          <w:rFonts w:ascii="Times New Roman" w:hAnsi="Times New Roman" w:cs="Times New Roman"/>
        </w:rPr>
        <w:t xml:space="preserve">This </w:t>
      </w:r>
      <w:r w:rsidR="00541F90" w:rsidRPr="005F719F">
        <w:rPr>
          <w:rFonts w:ascii="Times New Roman" w:hAnsi="Times New Roman" w:cs="Times New Roman"/>
        </w:rPr>
        <w:t xml:space="preserve">participation </w:t>
      </w:r>
      <w:r w:rsidR="00BE40A1" w:rsidRPr="005F719F">
        <w:rPr>
          <w:rFonts w:ascii="Times New Roman" w:hAnsi="Times New Roman" w:cs="Times New Roman"/>
        </w:rPr>
        <w:t>provided them the opportunity to see the planning re</w:t>
      </w:r>
      <w:r w:rsidR="00D24B44" w:rsidRPr="005F719F">
        <w:rPr>
          <w:rFonts w:ascii="Times New Roman" w:hAnsi="Times New Roman" w:cs="Times New Roman"/>
        </w:rPr>
        <w:t xml:space="preserve">quired to prepare students for </w:t>
      </w:r>
      <w:r w:rsidR="00BE40A1" w:rsidRPr="005F719F">
        <w:rPr>
          <w:rFonts w:ascii="Times New Roman" w:hAnsi="Times New Roman" w:cs="Times New Roman"/>
        </w:rPr>
        <w:t>secondary credential attainment</w:t>
      </w:r>
      <w:r w:rsidR="00D24B44" w:rsidRPr="005F719F">
        <w:rPr>
          <w:rFonts w:ascii="Times New Roman" w:hAnsi="Times New Roman" w:cs="Times New Roman"/>
        </w:rPr>
        <w:t xml:space="preserve"> or transition to postsecondary </w:t>
      </w:r>
      <w:r w:rsidR="004E5218" w:rsidRPr="005F719F">
        <w:rPr>
          <w:rFonts w:ascii="Times New Roman" w:hAnsi="Times New Roman" w:cs="Times New Roman"/>
        </w:rPr>
        <w:t>education, training, and</w:t>
      </w:r>
      <w:r w:rsidR="00D51880" w:rsidRPr="005F719F">
        <w:rPr>
          <w:rFonts w:ascii="Times New Roman" w:hAnsi="Times New Roman" w:cs="Times New Roman"/>
        </w:rPr>
        <w:t xml:space="preserve"> </w:t>
      </w:r>
      <w:r w:rsidR="00BE40A1" w:rsidRPr="005F719F">
        <w:rPr>
          <w:rFonts w:ascii="Times New Roman" w:hAnsi="Times New Roman" w:cs="Times New Roman"/>
        </w:rPr>
        <w:t>employment.</w:t>
      </w:r>
    </w:p>
    <w:p w14:paraId="1275774C" w14:textId="77777777" w:rsidR="00C25994" w:rsidRPr="005F719F" w:rsidRDefault="00C25994" w:rsidP="00C25994">
      <w:pPr>
        <w:autoSpaceDE w:val="0"/>
        <w:autoSpaceDN w:val="0"/>
        <w:adjustRightInd w:val="0"/>
        <w:spacing w:after="0" w:line="240" w:lineRule="auto"/>
        <w:ind w:left="720"/>
        <w:rPr>
          <w:rFonts w:ascii="Times New Roman" w:hAnsi="Times New Roman" w:cs="Times New Roman"/>
        </w:rPr>
      </w:pPr>
    </w:p>
    <w:p w14:paraId="3F6E5263" w14:textId="1B78490A" w:rsidR="009963D7" w:rsidRPr="005F719F" w:rsidRDefault="00B34E61" w:rsidP="009963D7">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 xml:space="preserve">Due to the </w:t>
      </w:r>
      <w:r w:rsidR="00D371D4" w:rsidRPr="005F719F">
        <w:rPr>
          <w:rFonts w:ascii="Times New Roman" w:hAnsi="Times New Roman" w:cs="Times New Roman"/>
        </w:rPr>
        <w:t>COVID-19</w:t>
      </w:r>
      <w:r w:rsidRPr="005F719F">
        <w:rPr>
          <w:rFonts w:ascii="Times New Roman" w:hAnsi="Times New Roman" w:cs="Times New Roman"/>
        </w:rPr>
        <w:t xml:space="preserve"> pandemic, IELCE and IET </w:t>
      </w:r>
      <w:r w:rsidR="00B21922" w:rsidRPr="005F719F">
        <w:rPr>
          <w:rFonts w:ascii="Times New Roman" w:hAnsi="Times New Roman" w:cs="Times New Roman"/>
        </w:rPr>
        <w:t xml:space="preserve">programs </w:t>
      </w:r>
      <w:r w:rsidR="009963D7" w:rsidRPr="005F719F">
        <w:rPr>
          <w:rFonts w:ascii="Times New Roman" w:hAnsi="Times New Roman" w:cs="Times New Roman"/>
        </w:rPr>
        <w:t>experienced disruption</w:t>
      </w:r>
      <w:r w:rsidRPr="005F719F">
        <w:rPr>
          <w:rFonts w:ascii="Times New Roman" w:hAnsi="Times New Roman" w:cs="Times New Roman"/>
        </w:rPr>
        <w:t xml:space="preserve">.  One of the IELCE providers </w:t>
      </w:r>
      <w:r w:rsidR="00D330FF" w:rsidRPr="005F719F">
        <w:rPr>
          <w:rFonts w:ascii="Times New Roman" w:hAnsi="Times New Roman" w:cs="Times New Roman"/>
        </w:rPr>
        <w:t>ensured</w:t>
      </w:r>
      <w:r w:rsidR="009963D7" w:rsidRPr="005F719F">
        <w:rPr>
          <w:rFonts w:ascii="Times New Roman" w:hAnsi="Times New Roman" w:cs="Times New Roman"/>
        </w:rPr>
        <w:t xml:space="preserve"> their ELL students had access to technology and distance learning options by visiting their homes to help with initial setup.  Citi</w:t>
      </w:r>
      <w:r w:rsidR="00B21922" w:rsidRPr="005F719F">
        <w:rPr>
          <w:rFonts w:ascii="Times New Roman" w:hAnsi="Times New Roman" w:cs="Times New Roman"/>
        </w:rPr>
        <w:t xml:space="preserve">zenship classes were offered via </w:t>
      </w:r>
      <w:r w:rsidR="009963D7" w:rsidRPr="005F719F">
        <w:rPr>
          <w:rFonts w:ascii="Times New Roman" w:hAnsi="Times New Roman" w:cs="Times New Roman"/>
        </w:rPr>
        <w:t>a hybrid model so students could attend in-person</w:t>
      </w:r>
      <w:r w:rsidR="00237977" w:rsidRPr="005F719F">
        <w:rPr>
          <w:rFonts w:ascii="Times New Roman" w:hAnsi="Times New Roman" w:cs="Times New Roman"/>
        </w:rPr>
        <w:t xml:space="preserve"> or virtually</w:t>
      </w:r>
      <w:r w:rsidR="009963D7" w:rsidRPr="005F719F">
        <w:rPr>
          <w:rFonts w:ascii="Times New Roman" w:hAnsi="Times New Roman" w:cs="Times New Roman"/>
        </w:rPr>
        <w:t>.  Students</w:t>
      </w:r>
      <w:r w:rsidRPr="005F719F">
        <w:rPr>
          <w:rFonts w:ascii="Times New Roman" w:hAnsi="Times New Roman" w:cs="Times New Roman"/>
        </w:rPr>
        <w:t xml:space="preserve"> </w:t>
      </w:r>
      <w:r w:rsidR="009963D7" w:rsidRPr="005F719F">
        <w:rPr>
          <w:rFonts w:ascii="Times New Roman" w:hAnsi="Times New Roman" w:cs="Times New Roman"/>
        </w:rPr>
        <w:t xml:space="preserve">were able to </w:t>
      </w:r>
      <w:r w:rsidRPr="005F719F">
        <w:rPr>
          <w:rFonts w:ascii="Times New Roman" w:hAnsi="Times New Roman" w:cs="Times New Roman"/>
        </w:rPr>
        <w:t>complete an online Community Interpreter Training Certification program</w:t>
      </w:r>
      <w:r w:rsidR="009963D7" w:rsidRPr="005F719F">
        <w:rPr>
          <w:rFonts w:ascii="Times New Roman" w:hAnsi="Times New Roman" w:cs="Times New Roman"/>
        </w:rPr>
        <w:t xml:space="preserve"> as well</w:t>
      </w:r>
      <w:r w:rsidRPr="005F719F">
        <w:rPr>
          <w:rFonts w:ascii="Times New Roman" w:hAnsi="Times New Roman" w:cs="Times New Roman"/>
        </w:rPr>
        <w:t xml:space="preserve">.  These students engaged in this </w:t>
      </w:r>
      <w:r w:rsidR="00D330FF" w:rsidRPr="005F719F">
        <w:rPr>
          <w:rFonts w:ascii="Times New Roman" w:hAnsi="Times New Roman" w:cs="Times New Roman"/>
        </w:rPr>
        <w:t xml:space="preserve">specific </w:t>
      </w:r>
      <w:proofErr w:type="gramStart"/>
      <w:r w:rsidRPr="005F719F">
        <w:rPr>
          <w:rFonts w:ascii="Times New Roman" w:hAnsi="Times New Roman" w:cs="Times New Roman"/>
        </w:rPr>
        <w:t>training</w:t>
      </w:r>
      <w:r w:rsidR="00D330FF" w:rsidRPr="005F719F">
        <w:rPr>
          <w:rFonts w:ascii="Times New Roman" w:hAnsi="Times New Roman" w:cs="Times New Roman"/>
        </w:rPr>
        <w:t xml:space="preserve"> certification program in-person</w:t>
      </w:r>
      <w:proofErr w:type="gramEnd"/>
      <w:r w:rsidR="00D330FF" w:rsidRPr="005F719F">
        <w:rPr>
          <w:rFonts w:ascii="Times New Roman" w:hAnsi="Times New Roman" w:cs="Times New Roman"/>
        </w:rPr>
        <w:t xml:space="preserve"> or</w:t>
      </w:r>
      <w:r w:rsidRPr="005F719F">
        <w:rPr>
          <w:rFonts w:ascii="Times New Roman" w:hAnsi="Times New Roman" w:cs="Times New Roman"/>
        </w:rPr>
        <w:t xml:space="preserve"> virtually.  </w:t>
      </w:r>
    </w:p>
    <w:p w14:paraId="065B6727" w14:textId="77777777" w:rsidR="008F7FAB" w:rsidRPr="005F719F" w:rsidRDefault="008F7FAB" w:rsidP="009963D7">
      <w:pPr>
        <w:autoSpaceDE w:val="0"/>
        <w:autoSpaceDN w:val="0"/>
        <w:adjustRightInd w:val="0"/>
        <w:spacing w:after="0" w:line="240" w:lineRule="auto"/>
        <w:ind w:left="720"/>
        <w:rPr>
          <w:rFonts w:ascii="Times New Roman" w:hAnsi="Times New Roman" w:cs="Times New Roman"/>
        </w:rPr>
      </w:pPr>
    </w:p>
    <w:p w14:paraId="7B90E5B5" w14:textId="77777777" w:rsidR="009963D7" w:rsidRPr="005F719F" w:rsidRDefault="009963D7" w:rsidP="009963D7">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ELL instructors (</w:t>
      </w:r>
      <w:r w:rsidR="00C25994" w:rsidRPr="005F719F">
        <w:rPr>
          <w:rFonts w:ascii="Times New Roman" w:hAnsi="Times New Roman" w:cs="Times New Roman"/>
        </w:rPr>
        <w:t xml:space="preserve">in-person and virtual) </w:t>
      </w:r>
      <w:r w:rsidR="00D330FF" w:rsidRPr="005F719F">
        <w:rPr>
          <w:rFonts w:ascii="Times New Roman" w:hAnsi="Times New Roman" w:cs="Times New Roman"/>
        </w:rPr>
        <w:t>instructed students on the COVID-19 health and safety concerns in the following</w:t>
      </w:r>
      <w:r w:rsidRPr="005F719F">
        <w:rPr>
          <w:rFonts w:ascii="Times New Roman" w:hAnsi="Times New Roman" w:cs="Times New Roman"/>
        </w:rPr>
        <w:t xml:space="preserve"> ways: </w:t>
      </w:r>
    </w:p>
    <w:p w14:paraId="00C946D8" w14:textId="77777777" w:rsidR="009963D7" w:rsidRPr="005F719F" w:rsidRDefault="009963D7" w:rsidP="009963D7">
      <w:pPr>
        <w:numPr>
          <w:ilvl w:val="0"/>
          <w:numId w:val="5"/>
        </w:numPr>
        <w:tabs>
          <w:tab w:val="num" w:pos="720"/>
        </w:tabs>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Use of online resources such as New for You</w:t>
      </w:r>
      <w:r w:rsidR="00B21922" w:rsidRPr="005F719F">
        <w:rPr>
          <w:rFonts w:ascii="Times New Roman" w:hAnsi="Times New Roman" w:cs="Times New Roman"/>
        </w:rPr>
        <w:t xml:space="preserve"> or Essential Education</w:t>
      </w:r>
      <w:r w:rsidRPr="005F719F">
        <w:rPr>
          <w:rFonts w:ascii="Times New Roman" w:hAnsi="Times New Roman" w:cs="Times New Roman"/>
        </w:rPr>
        <w:t>, integrated into reading and language lessons</w:t>
      </w:r>
    </w:p>
    <w:p w14:paraId="44AF8A23" w14:textId="77777777" w:rsidR="009963D7" w:rsidRPr="005F719F" w:rsidRDefault="009963D7" w:rsidP="009963D7">
      <w:pPr>
        <w:numPr>
          <w:ilvl w:val="0"/>
          <w:numId w:val="5"/>
        </w:numPr>
        <w:tabs>
          <w:tab w:val="num" w:pos="720"/>
        </w:tabs>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 xml:space="preserve">Introduction of vocabulary related to the pandemic so students understand </w:t>
      </w:r>
      <w:r w:rsidR="00D330FF" w:rsidRPr="005F719F">
        <w:rPr>
          <w:rFonts w:ascii="Times New Roman" w:hAnsi="Times New Roman" w:cs="Times New Roman"/>
        </w:rPr>
        <w:t>the symptoms and where to seek medical treatment</w:t>
      </w:r>
    </w:p>
    <w:p w14:paraId="1D532700" w14:textId="77777777" w:rsidR="009963D7" w:rsidRPr="005F719F" w:rsidRDefault="00C25994" w:rsidP="009963D7">
      <w:pPr>
        <w:numPr>
          <w:ilvl w:val="0"/>
          <w:numId w:val="5"/>
        </w:numPr>
        <w:tabs>
          <w:tab w:val="num" w:pos="720"/>
        </w:tabs>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Guided</w:t>
      </w:r>
      <w:r w:rsidR="009963D7" w:rsidRPr="005F719F">
        <w:rPr>
          <w:rFonts w:ascii="Times New Roman" w:hAnsi="Times New Roman" w:cs="Times New Roman"/>
        </w:rPr>
        <w:t xml:space="preserve"> stu</w:t>
      </w:r>
      <w:r w:rsidR="00D330FF" w:rsidRPr="005F719F">
        <w:rPr>
          <w:rFonts w:ascii="Times New Roman" w:hAnsi="Times New Roman" w:cs="Times New Roman"/>
        </w:rPr>
        <w:t xml:space="preserve">dents to understand </w:t>
      </w:r>
      <w:r w:rsidRPr="005F719F">
        <w:rPr>
          <w:rFonts w:ascii="Times New Roman" w:hAnsi="Times New Roman" w:cs="Times New Roman"/>
        </w:rPr>
        <w:t xml:space="preserve">building protocols so they were </w:t>
      </w:r>
      <w:r w:rsidR="009963D7" w:rsidRPr="005F719F">
        <w:rPr>
          <w:rFonts w:ascii="Times New Roman" w:hAnsi="Times New Roman" w:cs="Times New Roman"/>
        </w:rPr>
        <w:t>able to answer questions related to their health</w:t>
      </w:r>
    </w:p>
    <w:p w14:paraId="1A0BF87A" w14:textId="77777777" w:rsidR="009963D7" w:rsidRPr="005F719F" w:rsidRDefault="009963D7" w:rsidP="009963D7">
      <w:pPr>
        <w:numPr>
          <w:ilvl w:val="0"/>
          <w:numId w:val="5"/>
        </w:numPr>
        <w:tabs>
          <w:tab w:val="num" w:pos="720"/>
        </w:tabs>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Use of measurements (yard stick, tape measure, etc.) to help students understand social distancing</w:t>
      </w:r>
    </w:p>
    <w:p w14:paraId="5848331D" w14:textId="77777777" w:rsidR="009963D7" w:rsidRPr="005F719F" w:rsidRDefault="009963D7" w:rsidP="009963D7">
      <w:pPr>
        <w:numPr>
          <w:ilvl w:val="0"/>
          <w:numId w:val="5"/>
        </w:numPr>
        <w:tabs>
          <w:tab w:val="num" w:pos="720"/>
        </w:tabs>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Referrals to partners for assistance with unemployment due to the pandemic</w:t>
      </w:r>
    </w:p>
    <w:p w14:paraId="64DDD4B9" w14:textId="77777777" w:rsidR="00B34E61" w:rsidRPr="005F719F" w:rsidRDefault="00C25994" w:rsidP="009963D7">
      <w:pPr>
        <w:numPr>
          <w:ilvl w:val="0"/>
          <w:numId w:val="5"/>
        </w:numPr>
        <w:autoSpaceDE w:val="0"/>
        <w:autoSpaceDN w:val="0"/>
        <w:adjustRightInd w:val="0"/>
        <w:spacing w:after="0" w:line="240" w:lineRule="auto"/>
        <w:rPr>
          <w:rFonts w:ascii="Times New Roman" w:hAnsi="Times New Roman" w:cs="Times New Roman"/>
        </w:rPr>
      </w:pPr>
      <w:r w:rsidRPr="005F719F">
        <w:rPr>
          <w:rFonts w:ascii="Times New Roman" w:hAnsi="Times New Roman" w:cs="Times New Roman"/>
        </w:rPr>
        <w:t xml:space="preserve">Provided </w:t>
      </w:r>
      <w:r w:rsidR="009963D7" w:rsidRPr="005F719F">
        <w:rPr>
          <w:rFonts w:ascii="Times New Roman" w:hAnsi="Times New Roman" w:cs="Times New Roman"/>
        </w:rPr>
        <w:t>limited number of Chromebooks for students to participate in virtual learning</w:t>
      </w:r>
    </w:p>
    <w:p w14:paraId="2D369A58" w14:textId="77777777" w:rsidR="00716606" w:rsidRPr="005F719F" w:rsidRDefault="00716606" w:rsidP="00716606">
      <w:pPr>
        <w:autoSpaceDE w:val="0"/>
        <w:autoSpaceDN w:val="0"/>
        <w:adjustRightInd w:val="0"/>
        <w:spacing w:after="0" w:line="240" w:lineRule="auto"/>
        <w:ind w:firstLine="720"/>
        <w:rPr>
          <w:rFonts w:ascii="Times New Roman" w:hAnsi="Times New Roman" w:cs="Times New Roman"/>
        </w:rPr>
      </w:pPr>
    </w:p>
    <w:p w14:paraId="22CBF358" w14:textId="77777777" w:rsidR="001D4BE9" w:rsidRPr="005F719F" w:rsidRDefault="001D4BE9" w:rsidP="001D4BE9">
      <w:pPr>
        <w:pStyle w:val="ListParagraph"/>
        <w:numPr>
          <w:ilvl w:val="0"/>
          <w:numId w:val="1"/>
        </w:num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rPr>
        <w:t xml:space="preserve">Describe how the </w:t>
      </w:r>
      <w:r w:rsidR="00A22309" w:rsidRPr="005F719F">
        <w:rPr>
          <w:rFonts w:ascii="Times New Roman" w:hAnsi="Times New Roman" w:cs="Times New Roman"/>
          <w:b/>
        </w:rPr>
        <w:t>State</w:t>
      </w:r>
      <w:r w:rsidRPr="005F719F">
        <w:rPr>
          <w:rFonts w:ascii="Times New Roman" w:hAnsi="Times New Roman" w:cs="Times New Roman"/>
          <w:b/>
        </w:rPr>
        <w:t xml:space="preserve"> is progressing towards program goals of preparing and placing</w:t>
      </w:r>
      <w:r w:rsidR="00FB4C01" w:rsidRPr="005F719F">
        <w:rPr>
          <w:rFonts w:ascii="Times New Roman" w:hAnsi="Times New Roman" w:cs="Times New Roman"/>
          <w:b/>
        </w:rPr>
        <w:t xml:space="preserve"> </w:t>
      </w:r>
      <w:r w:rsidRPr="005F719F">
        <w:rPr>
          <w:rFonts w:ascii="Times New Roman" w:hAnsi="Times New Roman" w:cs="Times New Roman"/>
          <w:b/>
        </w:rPr>
        <w:t>IELCE program participants in unsubsidized employment in in-demand industries and</w:t>
      </w:r>
      <w:r w:rsidR="00FB4C01" w:rsidRPr="005F719F">
        <w:rPr>
          <w:rFonts w:ascii="Times New Roman" w:hAnsi="Times New Roman" w:cs="Times New Roman"/>
          <w:b/>
        </w:rPr>
        <w:t xml:space="preserve"> </w:t>
      </w:r>
      <w:r w:rsidRPr="005F719F">
        <w:rPr>
          <w:rFonts w:ascii="Times New Roman" w:hAnsi="Times New Roman" w:cs="Times New Roman"/>
          <w:b/>
        </w:rPr>
        <w:lastRenderedPageBreak/>
        <w:t>occupations that lead to economic self-sufficiency as described in section 243(c)(1) and</w:t>
      </w:r>
      <w:r w:rsidR="00FB4C01" w:rsidRPr="005F719F">
        <w:rPr>
          <w:rFonts w:ascii="Times New Roman" w:hAnsi="Times New Roman" w:cs="Times New Roman"/>
          <w:b/>
        </w:rPr>
        <w:t xml:space="preserve"> </w:t>
      </w:r>
      <w:r w:rsidRPr="005F719F">
        <w:rPr>
          <w:rFonts w:ascii="Times New Roman" w:hAnsi="Times New Roman" w:cs="Times New Roman"/>
          <w:b/>
        </w:rPr>
        <w:t>discuss any performance results, challenges, and lessons learned from implementing</w:t>
      </w:r>
      <w:r w:rsidR="00D51880" w:rsidRPr="005F719F">
        <w:rPr>
          <w:rFonts w:ascii="Times New Roman" w:hAnsi="Times New Roman" w:cs="Times New Roman"/>
          <w:b/>
        </w:rPr>
        <w:t xml:space="preserve"> those program goals.</w:t>
      </w:r>
      <w:r w:rsidR="00FB4C01" w:rsidRPr="005F719F">
        <w:rPr>
          <w:rFonts w:ascii="Times New Roman" w:hAnsi="Times New Roman" w:cs="Times New Roman"/>
          <w:b/>
        </w:rPr>
        <w:t xml:space="preserve"> </w:t>
      </w:r>
    </w:p>
    <w:p w14:paraId="0543347D" w14:textId="77777777" w:rsidR="008510F5" w:rsidRPr="005F719F" w:rsidRDefault="008510F5" w:rsidP="008510F5">
      <w:pPr>
        <w:autoSpaceDE w:val="0"/>
        <w:autoSpaceDN w:val="0"/>
        <w:adjustRightInd w:val="0"/>
        <w:spacing w:after="0" w:line="240" w:lineRule="auto"/>
        <w:rPr>
          <w:rFonts w:ascii="Times New Roman" w:hAnsi="Times New Roman" w:cs="Times New Roman"/>
          <w:b/>
        </w:rPr>
      </w:pPr>
    </w:p>
    <w:p w14:paraId="7E4157C1" w14:textId="19A6E5AB" w:rsidR="008510F5" w:rsidRPr="005F719F" w:rsidRDefault="008510F5" w:rsidP="008510F5">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The</w:t>
      </w:r>
      <w:r w:rsidR="00AC6F5F" w:rsidRPr="005F719F">
        <w:rPr>
          <w:rFonts w:ascii="Times New Roman" w:hAnsi="Times New Roman" w:cs="Times New Roman"/>
        </w:rPr>
        <w:t xml:space="preserve"> </w:t>
      </w:r>
      <w:r w:rsidR="00A22309" w:rsidRPr="005F719F">
        <w:rPr>
          <w:rFonts w:ascii="Times New Roman" w:hAnsi="Times New Roman" w:cs="Times New Roman"/>
        </w:rPr>
        <w:t>State</w:t>
      </w:r>
      <w:r w:rsidR="00197B93" w:rsidRPr="005F719F">
        <w:rPr>
          <w:rFonts w:ascii="Times New Roman" w:hAnsi="Times New Roman" w:cs="Times New Roman"/>
        </w:rPr>
        <w:t xml:space="preserve"> previously</w:t>
      </w:r>
      <w:r w:rsidR="00943BA2" w:rsidRPr="005F719F">
        <w:rPr>
          <w:rFonts w:ascii="Times New Roman" w:hAnsi="Times New Roman" w:cs="Times New Roman"/>
        </w:rPr>
        <w:t xml:space="preserve"> sent an ELL</w:t>
      </w:r>
      <w:r w:rsidRPr="005F719F">
        <w:rPr>
          <w:rFonts w:ascii="Times New Roman" w:hAnsi="Times New Roman" w:cs="Times New Roman"/>
        </w:rPr>
        <w:t xml:space="preserve"> lead teacher to participate in a three day </w:t>
      </w:r>
      <w:r w:rsidR="00312EB1" w:rsidRPr="005F719F">
        <w:rPr>
          <w:rFonts w:ascii="Times New Roman" w:hAnsi="Times New Roman" w:cs="Times New Roman"/>
        </w:rPr>
        <w:t>Center for Applied Linguistics (</w:t>
      </w:r>
      <w:r w:rsidRPr="005F719F">
        <w:rPr>
          <w:rFonts w:ascii="Times New Roman" w:hAnsi="Times New Roman" w:cs="Times New Roman"/>
        </w:rPr>
        <w:t>CAL</w:t>
      </w:r>
      <w:r w:rsidR="00312EB1" w:rsidRPr="005F719F">
        <w:rPr>
          <w:rFonts w:ascii="Times New Roman" w:hAnsi="Times New Roman" w:cs="Times New Roman"/>
        </w:rPr>
        <w:t>)</w:t>
      </w:r>
      <w:r w:rsidRPr="005F719F">
        <w:rPr>
          <w:rFonts w:ascii="Times New Roman" w:hAnsi="Times New Roman" w:cs="Times New Roman"/>
        </w:rPr>
        <w:t xml:space="preserve"> training presented by Miriam Burt. </w:t>
      </w:r>
      <w:r w:rsidR="00B21922" w:rsidRPr="005F719F">
        <w:rPr>
          <w:rFonts w:ascii="Times New Roman" w:hAnsi="Times New Roman" w:cs="Times New Roman"/>
        </w:rPr>
        <w:t xml:space="preserve"> </w:t>
      </w:r>
      <w:r w:rsidRPr="005F719F">
        <w:rPr>
          <w:rFonts w:ascii="Times New Roman" w:hAnsi="Times New Roman" w:cs="Times New Roman"/>
        </w:rPr>
        <w:t xml:space="preserve">The teacher returned to Montana as a train-the-trainer to share </w:t>
      </w:r>
      <w:proofErr w:type="gramStart"/>
      <w:r w:rsidRPr="005F719F">
        <w:rPr>
          <w:rFonts w:ascii="Times New Roman" w:hAnsi="Times New Roman" w:cs="Times New Roman"/>
        </w:rPr>
        <w:t>cutting edge</w:t>
      </w:r>
      <w:proofErr w:type="gramEnd"/>
      <w:r w:rsidRPr="005F719F">
        <w:rPr>
          <w:rFonts w:ascii="Times New Roman" w:hAnsi="Times New Roman" w:cs="Times New Roman"/>
        </w:rPr>
        <w:t xml:space="preserve"> strategies on how to incorporate workforce strategies into the ESOL classroom. </w:t>
      </w:r>
      <w:r w:rsidR="00B21922" w:rsidRPr="005F719F">
        <w:rPr>
          <w:rFonts w:ascii="Times New Roman" w:hAnsi="Times New Roman" w:cs="Times New Roman"/>
        </w:rPr>
        <w:t xml:space="preserve"> </w:t>
      </w:r>
      <w:r w:rsidRPr="005F719F">
        <w:rPr>
          <w:rFonts w:ascii="Times New Roman" w:hAnsi="Times New Roman" w:cs="Times New Roman"/>
        </w:rPr>
        <w:t xml:space="preserve">The strategies </w:t>
      </w:r>
      <w:proofErr w:type="gramStart"/>
      <w:r w:rsidRPr="005F719F">
        <w:rPr>
          <w:rFonts w:ascii="Times New Roman" w:hAnsi="Times New Roman" w:cs="Times New Roman"/>
        </w:rPr>
        <w:t>were based</w:t>
      </w:r>
      <w:proofErr w:type="gramEnd"/>
      <w:r w:rsidRPr="005F719F">
        <w:rPr>
          <w:rFonts w:ascii="Times New Roman" w:hAnsi="Times New Roman" w:cs="Times New Roman"/>
        </w:rPr>
        <w:t xml:space="preserve"> on the </w:t>
      </w:r>
      <w:r w:rsidR="00D330FF" w:rsidRPr="005F719F">
        <w:rPr>
          <w:rFonts w:ascii="Times New Roman" w:hAnsi="Times New Roman" w:cs="Times New Roman"/>
        </w:rPr>
        <w:t>College and Career Readiness (</w:t>
      </w:r>
      <w:r w:rsidRPr="005F719F">
        <w:rPr>
          <w:rFonts w:ascii="Times New Roman" w:hAnsi="Times New Roman" w:cs="Times New Roman"/>
        </w:rPr>
        <w:t>CCR</w:t>
      </w:r>
      <w:r w:rsidR="00D330FF" w:rsidRPr="005F719F">
        <w:rPr>
          <w:rFonts w:ascii="Times New Roman" w:hAnsi="Times New Roman" w:cs="Times New Roman"/>
        </w:rPr>
        <w:t>)</w:t>
      </w:r>
      <w:r w:rsidRPr="005F719F">
        <w:rPr>
          <w:rFonts w:ascii="Times New Roman" w:hAnsi="Times New Roman" w:cs="Times New Roman"/>
        </w:rPr>
        <w:t xml:space="preserve"> standards with </w:t>
      </w:r>
      <w:r w:rsidR="008652BE" w:rsidRPr="005F719F">
        <w:rPr>
          <w:rFonts w:ascii="Times New Roman" w:hAnsi="Times New Roman" w:cs="Times New Roman"/>
        </w:rPr>
        <w:t>a focus on integration that connects</w:t>
      </w:r>
      <w:r w:rsidRPr="005F719F">
        <w:rPr>
          <w:rFonts w:ascii="Times New Roman" w:hAnsi="Times New Roman" w:cs="Times New Roman"/>
        </w:rPr>
        <w:t xml:space="preserve"> reading, writing, </w:t>
      </w:r>
      <w:r w:rsidR="008652BE" w:rsidRPr="005F719F">
        <w:rPr>
          <w:rFonts w:ascii="Times New Roman" w:hAnsi="Times New Roman" w:cs="Times New Roman"/>
        </w:rPr>
        <w:t xml:space="preserve">and </w:t>
      </w:r>
      <w:r w:rsidRPr="005F719F">
        <w:rPr>
          <w:rFonts w:ascii="Times New Roman" w:hAnsi="Times New Roman" w:cs="Times New Roman"/>
        </w:rPr>
        <w:t>vocabulary</w:t>
      </w:r>
      <w:r w:rsidR="00ED5AB3" w:rsidRPr="005F719F">
        <w:rPr>
          <w:rFonts w:ascii="Times New Roman" w:hAnsi="Times New Roman" w:cs="Times New Roman"/>
        </w:rPr>
        <w:t xml:space="preserve"> using workplace situations. Additionally, there was a focus on soft skills so students have a cultural basis for reading exercises and workplace information.</w:t>
      </w:r>
      <w:r w:rsidR="00A40AF7" w:rsidRPr="005F719F">
        <w:rPr>
          <w:rFonts w:ascii="Times New Roman" w:hAnsi="Times New Roman" w:cs="Times New Roman"/>
        </w:rPr>
        <w:t xml:space="preserve">  </w:t>
      </w:r>
    </w:p>
    <w:p w14:paraId="2BD077BB" w14:textId="77777777" w:rsidR="00A40AF7" w:rsidRPr="005F719F" w:rsidRDefault="00A40AF7" w:rsidP="008510F5">
      <w:pPr>
        <w:autoSpaceDE w:val="0"/>
        <w:autoSpaceDN w:val="0"/>
        <w:adjustRightInd w:val="0"/>
        <w:spacing w:after="0" w:line="240" w:lineRule="auto"/>
        <w:ind w:left="720"/>
        <w:rPr>
          <w:rFonts w:ascii="Times New Roman" w:hAnsi="Times New Roman" w:cs="Times New Roman"/>
        </w:rPr>
      </w:pPr>
    </w:p>
    <w:p w14:paraId="778E1B12" w14:textId="06D7A71E" w:rsidR="00A40AF7" w:rsidRPr="005F719F" w:rsidRDefault="00B21922" w:rsidP="00A40AF7">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That</w:t>
      </w:r>
      <w:r w:rsidR="00943BA2" w:rsidRPr="005F719F">
        <w:rPr>
          <w:rFonts w:ascii="Times New Roman" w:hAnsi="Times New Roman" w:cs="Times New Roman"/>
        </w:rPr>
        <w:t xml:space="preserve"> ELL</w:t>
      </w:r>
      <w:r w:rsidR="00A40AF7" w:rsidRPr="005F719F">
        <w:rPr>
          <w:rFonts w:ascii="Times New Roman" w:hAnsi="Times New Roman" w:cs="Times New Roman"/>
        </w:rPr>
        <w:t xml:space="preserve"> lead teacher remains a strong and reliable re</w:t>
      </w:r>
      <w:r w:rsidR="00943BA2" w:rsidRPr="005F719F">
        <w:rPr>
          <w:rFonts w:ascii="Times New Roman" w:hAnsi="Times New Roman" w:cs="Times New Roman"/>
        </w:rPr>
        <w:t>source for other ELL</w:t>
      </w:r>
      <w:r w:rsidR="00A40AF7" w:rsidRPr="005F719F">
        <w:rPr>
          <w:rFonts w:ascii="Times New Roman" w:hAnsi="Times New Roman" w:cs="Times New Roman"/>
        </w:rPr>
        <w:t xml:space="preserve"> teachers throughout</w:t>
      </w:r>
      <w:r w:rsidR="000E3E4C" w:rsidRPr="005F719F">
        <w:rPr>
          <w:rFonts w:ascii="Times New Roman" w:hAnsi="Times New Roman" w:cs="Times New Roman"/>
        </w:rPr>
        <w:t xml:space="preserve"> the State. </w:t>
      </w:r>
      <w:r w:rsidRPr="005F719F">
        <w:rPr>
          <w:rFonts w:ascii="Times New Roman" w:hAnsi="Times New Roman" w:cs="Times New Roman"/>
        </w:rPr>
        <w:t xml:space="preserve"> </w:t>
      </w:r>
      <w:r w:rsidR="00A40AF7" w:rsidRPr="005F719F">
        <w:rPr>
          <w:rFonts w:ascii="Times New Roman" w:hAnsi="Times New Roman" w:cs="Times New Roman"/>
        </w:rPr>
        <w:t>She also continues to serve as the lead trainer for Best Plus</w:t>
      </w:r>
      <w:r w:rsidR="00943BA2" w:rsidRPr="005F719F">
        <w:rPr>
          <w:rFonts w:ascii="Times New Roman" w:hAnsi="Times New Roman" w:cs="Times New Roman"/>
        </w:rPr>
        <w:t xml:space="preserve"> and other ELL</w:t>
      </w:r>
      <w:r w:rsidR="00A40AF7" w:rsidRPr="005F719F">
        <w:rPr>
          <w:rFonts w:ascii="Times New Roman" w:hAnsi="Times New Roman" w:cs="Times New Roman"/>
        </w:rPr>
        <w:t xml:space="preserve"> related trainings.</w:t>
      </w:r>
      <w:r w:rsidR="000E3E4C" w:rsidRPr="005F719F">
        <w:rPr>
          <w:rFonts w:ascii="Times New Roman" w:hAnsi="Times New Roman" w:cs="Times New Roman"/>
        </w:rPr>
        <w:t xml:space="preserve"> </w:t>
      </w:r>
      <w:r w:rsidRPr="005F719F">
        <w:rPr>
          <w:rFonts w:ascii="Times New Roman" w:hAnsi="Times New Roman" w:cs="Times New Roman"/>
        </w:rPr>
        <w:t xml:space="preserve"> </w:t>
      </w:r>
      <w:r w:rsidR="00237977" w:rsidRPr="005F719F">
        <w:rPr>
          <w:rFonts w:ascii="Times New Roman" w:hAnsi="Times New Roman" w:cs="Times New Roman"/>
        </w:rPr>
        <w:t>She provided a BEST</w:t>
      </w:r>
      <w:r w:rsidR="00A40AF7" w:rsidRPr="005F719F">
        <w:rPr>
          <w:rFonts w:ascii="Times New Roman" w:hAnsi="Times New Roman" w:cs="Times New Roman"/>
        </w:rPr>
        <w:t xml:space="preserve"> Plus </w:t>
      </w:r>
      <w:r w:rsidR="008F7FAB" w:rsidRPr="005F719F">
        <w:rPr>
          <w:rFonts w:ascii="Times New Roman" w:hAnsi="Times New Roman" w:cs="Times New Roman"/>
        </w:rPr>
        <w:t>training in August 2019</w:t>
      </w:r>
      <w:r w:rsidR="00A40AF7" w:rsidRPr="005F719F">
        <w:rPr>
          <w:rFonts w:ascii="Times New Roman" w:hAnsi="Times New Roman" w:cs="Times New Roman"/>
        </w:rPr>
        <w:t>.</w:t>
      </w:r>
      <w:r w:rsidRPr="005F719F">
        <w:rPr>
          <w:rFonts w:ascii="Times New Roman" w:hAnsi="Times New Roman" w:cs="Times New Roman"/>
        </w:rPr>
        <w:t xml:space="preserve">  In addition, she leads ELL work groups and supports ELL activities throughout the State.</w:t>
      </w:r>
    </w:p>
    <w:p w14:paraId="21B16F16" w14:textId="77777777" w:rsidR="00A40AF7" w:rsidRPr="005F719F" w:rsidRDefault="00A40AF7" w:rsidP="008F7FAB">
      <w:pPr>
        <w:autoSpaceDE w:val="0"/>
        <w:autoSpaceDN w:val="0"/>
        <w:adjustRightInd w:val="0"/>
        <w:spacing w:after="0" w:line="240" w:lineRule="auto"/>
        <w:rPr>
          <w:rFonts w:ascii="Times New Roman" w:hAnsi="Times New Roman" w:cs="Times New Roman"/>
        </w:rPr>
      </w:pPr>
    </w:p>
    <w:p w14:paraId="2EFF680C" w14:textId="77777777" w:rsidR="00A9314E" w:rsidRPr="005F719F" w:rsidRDefault="00B21922" w:rsidP="008F7FAB">
      <w:pPr>
        <w:ind w:left="720"/>
        <w:rPr>
          <w:rFonts w:ascii="Times New Roman" w:hAnsi="Times New Roman" w:cs="Times New Roman"/>
        </w:rPr>
      </w:pPr>
      <w:r w:rsidRPr="005F719F">
        <w:rPr>
          <w:rFonts w:ascii="Times New Roman" w:hAnsi="Times New Roman" w:cs="Times New Roman"/>
        </w:rPr>
        <w:t>During</w:t>
      </w:r>
      <w:r w:rsidR="008F7FAB" w:rsidRPr="005F719F">
        <w:rPr>
          <w:rFonts w:ascii="Times New Roman" w:hAnsi="Times New Roman" w:cs="Times New Roman"/>
        </w:rPr>
        <w:t xml:space="preserve"> the </w:t>
      </w:r>
      <w:r w:rsidR="00D371D4" w:rsidRPr="005F719F">
        <w:rPr>
          <w:rFonts w:ascii="Times New Roman" w:hAnsi="Times New Roman" w:cs="Times New Roman"/>
        </w:rPr>
        <w:t>COVID-19</w:t>
      </w:r>
      <w:r w:rsidR="008F7FAB" w:rsidRPr="005F719F">
        <w:rPr>
          <w:rFonts w:ascii="Times New Roman" w:hAnsi="Times New Roman" w:cs="Times New Roman"/>
        </w:rPr>
        <w:t xml:space="preserve"> pande</w:t>
      </w:r>
      <w:r w:rsidRPr="005F719F">
        <w:rPr>
          <w:rFonts w:ascii="Times New Roman" w:hAnsi="Times New Roman" w:cs="Times New Roman"/>
        </w:rPr>
        <w:t xml:space="preserve">mic, an IELCE provider </w:t>
      </w:r>
      <w:r w:rsidR="008F7FAB" w:rsidRPr="005F719F">
        <w:rPr>
          <w:rFonts w:ascii="Times New Roman" w:hAnsi="Times New Roman" w:cs="Times New Roman"/>
        </w:rPr>
        <w:t>collaborated with the Job Service/Pathways progr</w:t>
      </w:r>
      <w:r w:rsidR="00CC13E8" w:rsidRPr="005F719F">
        <w:rPr>
          <w:rFonts w:ascii="Times New Roman" w:hAnsi="Times New Roman" w:cs="Times New Roman"/>
        </w:rPr>
        <w:t>am, I</w:t>
      </w:r>
      <w:r w:rsidR="00955139" w:rsidRPr="005F719F">
        <w:rPr>
          <w:rFonts w:ascii="Times New Roman" w:hAnsi="Times New Roman" w:cs="Times New Roman"/>
        </w:rPr>
        <w:t xml:space="preserve">nternational </w:t>
      </w:r>
      <w:r w:rsidR="00CC13E8" w:rsidRPr="005F719F">
        <w:rPr>
          <w:rFonts w:ascii="Times New Roman" w:hAnsi="Times New Roman" w:cs="Times New Roman"/>
        </w:rPr>
        <w:t>R</w:t>
      </w:r>
      <w:r w:rsidR="00955139" w:rsidRPr="005F719F">
        <w:rPr>
          <w:rFonts w:ascii="Times New Roman" w:hAnsi="Times New Roman" w:cs="Times New Roman"/>
        </w:rPr>
        <w:t xml:space="preserve">escue </w:t>
      </w:r>
      <w:r w:rsidR="00CC13E8" w:rsidRPr="005F719F">
        <w:rPr>
          <w:rFonts w:ascii="Times New Roman" w:hAnsi="Times New Roman" w:cs="Times New Roman"/>
        </w:rPr>
        <w:t>C</w:t>
      </w:r>
      <w:r w:rsidR="00955139" w:rsidRPr="005F719F">
        <w:rPr>
          <w:rFonts w:ascii="Times New Roman" w:hAnsi="Times New Roman" w:cs="Times New Roman"/>
        </w:rPr>
        <w:t>ommittee (IRC)</w:t>
      </w:r>
      <w:r w:rsidR="00CC13E8" w:rsidRPr="005F719F">
        <w:rPr>
          <w:rFonts w:ascii="Times New Roman" w:hAnsi="Times New Roman" w:cs="Times New Roman"/>
        </w:rPr>
        <w:t xml:space="preserve"> and a childcare facility</w:t>
      </w:r>
      <w:r w:rsidR="008F7FAB" w:rsidRPr="005F719F">
        <w:rPr>
          <w:rFonts w:ascii="Times New Roman" w:hAnsi="Times New Roman" w:cs="Times New Roman"/>
        </w:rPr>
        <w:t xml:space="preserve"> to develop a training program that will begin in January 2021.  This program </w:t>
      </w:r>
      <w:proofErr w:type="gramStart"/>
      <w:r w:rsidR="008F7FAB" w:rsidRPr="005F719F">
        <w:rPr>
          <w:rFonts w:ascii="Times New Roman" w:hAnsi="Times New Roman" w:cs="Times New Roman"/>
        </w:rPr>
        <w:t xml:space="preserve">was </w:t>
      </w:r>
      <w:r w:rsidR="009A5421" w:rsidRPr="005F719F">
        <w:rPr>
          <w:rFonts w:ascii="Times New Roman" w:hAnsi="Times New Roman" w:cs="Times New Roman"/>
        </w:rPr>
        <w:t xml:space="preserve">specifically </w:t>
      </w:r>
      <w:r w:rsidR="008F7FAB" w:rsidRPr="005F719F">
        <w:rPr>
          <w:rFonts w:ascii="Times New Roman" w:hAnsi="Times New Roman" w:cs="Times New Roman"/>
        </w:rPr>
        <w:t>designed</w:t>
      </w:r>
      <w:proofErr w:type="gramEnd"/>
      <w:r w:rsidR="008F7FAB" w:rsidRPr="005F719F">
        <w:rPr>
          <w:rFonts w:ascii="Times New Roman" w:hAnsi="Times New Roman" w:cs="Times New Roman"/>
        </w:rPr>
        <w:t xml:space="preserve"> to teach ELL students the skills necessary to pass the certifications to work in a licensed childcare facility. </w:t>
      </w:r>
    </w:p>
    <w:p w14:paraId="17477206" w14:textId="77777777" w:rsidR="001D4BE9" w:rsidRPr="005F719F" w:rsidRDefault="001D4BE9" w:rsidP="007637FC">
      <w:pPr>
        <w:pStyle w:val="ListParagraph"/>
        <w:numPr>
          <w:ilvl w:val="0"/>
          <w:numId w:val="1"/>
        </w:num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rPr>
        <w:t xml:space="preserve">Describe how the </w:t>
      </w:r>
      <w:r w:rsidR="00A22309" w:rsidRPr="005F719F">
        <w:rPr>
          <w:rFonts w:ascii="Times New Roman" w:hAnsi="Times New Roman" w:cs="Times New Roman"/>
          <w:b/>
        </w:rPr>
        <w:t>State</w:t>
      </w:r>
      <w:r w:rsidRPr="005F719F">
        <w:rPr>
          <w:rFonts w:ascii="Times New Roman" w:hAnsi="Times New Roman" w:cs="Times New Roman"/>
          <w:b/>
        </w:rPr>
        <w:t xml:space="preserve"> is progressing towards program goals of ensuring that IELCE</w:t>
      </w:r>
      <w:r w:rsidR="00A9314E" w:rsidRPr="005F719F">
        <w:rPr>
          <w:rFonts w:ascii="Times New Roman" w:hAnsi="Times New Roman" w:cs="Times New Roman"/>
          <w:b/>
        </w:rPr>
        <w:t xml:space="preserve"> </w:t>
      </w:r>
      <w:r w:rsidRPr="005F719F">
        <w:rPr>
          <w:rFonts w:ascii="Times New Roman" w:hAnsi="Times New Roman" w:cs="Times New Roman"/>
          <w:b/>
        </w:rPr>
        <w:t>program activities are integrated with the local workforce development system and its</w:t>
      </w:r>
      <w:r w:rsidR="00A9314E" w:rsidRPr="005F719F">
        <w:rPr>
          <w:rFonts w:ascii="Times New Roman" w:hAnsi="Times New Roman" w:cs="Times New Roman"/>
          <w:b/>
        </w:rPr>
        <w:t xml:space="preserve"> </w:t>
      </w:r>
      <w:r w:rsidRPr="005F719F">
        <w:rPr>
          <w:rFonts w:ascii="Times New Roman" w:hAnsi="Times New Roman" w:cs="Times New Roman"/>
          <w:b/>
        </w:rPr>
        <w:t>functions as described in section 243(c)(2) and discuss any performance results,</w:t>
      </w:r>
      <w:r w:rsidR="00A9314E" w:rsidRPr="005F719F">
        <w:rPr>
          <w:rFonts w:ascii="Times New Roman" w:hAnsi="Times New Roman" w:cs="Times New Roman"/>
          <w:b/>
        </w:rPr>
        <w:t xml:space="preserve"> </w:t>
      </w:r>
      <w:r w:rsidRPr="005F719F">
        <w:rPr>
          <w:rFonts w:ascii="Times New Roman" w:hAnsi="Times New Roman" w:cs="Times New Roman"/>
          <w:b/>
        </w:rPr>
        <w:t>challenges, and lessons learned from implementing those program goals.</w:t>
      </w:r>
    </w:p>
    <w:p w14:paraId="2AEE059B" w14:textId="77777777" w:rsidR="00A9314E" w:rsidRPr="005F719F" w:rsidRDefault="00A9314E" w:rsidP="007637FC">
      <w:pPr>
        <w:autoSpaceDE w:val="0"/>
        <w:autoSpaceDN w:val="0"/>
        <w:adjustRightInd w:val="0"/>
        <w:spacing w:after="0" w:line="240" w:lineRule="auto"/>
        <w:ind w:left="720"/>
        <w:rPr>
          <w:rFonts w:ascii="Times New Roman" w:hAnsi="Times New Roman" w:cs="Times New Roman"/>
        </w:rPr>
      </w:pPr>
    </w:p>
    <w:p w14:paraId="0859D258" w14:textId="77777777" w:rsidR="00A9314E" w:rsidRPr="005F719F" w:rsidRDefault="008D138D" w:rsidP="00197B93">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MCIS</w:t>
      </w:r>
      <w:r w:rsidR="00086505" w:rsidRPr="005F719F">
        <w:rPr>
          <w:rFonts w:ascii="Times New Roman" w:hAnsi="Times New Roman" w:cs="Times New Roman"/>
        </w:rPr>
        <w:t xml:space="preserve">, which </w:t>
      </w:r>
      <w:r w:rsidR="00F37BCA" w:rsidRPr="005F719F">
        <w:rPr>
          <w:rFonts w:ascii="Times New Roman" w:hAnsi="Times New Roman" w:cs="Times New Roman"/>
        </w:rPr>
        <w:t>the ELL</w:t>
      </w:r>
      <w:r w:rsidR="00AC6F5F" w:rsidRPr="005F719F">
        <w:rPr>
          <w:rFonts w:ascii="Times New Roman" w:hAnsi="Times New Roman" w:cs="Times New Roman"/>
        </w:rPr>
        <w:t xml:space="preserve"> teachers </w:t>
      </w:r>
      <w:proofErr w:type="gramStart"/>
      <w:r w:rsidR="00AC6F5F" w:rsidRPr="005F719F">
        <w:rPr>
          <w:rFonts w:ascii="Times New Roman" w:hAnsi="Times New Roman" w:cs="Times New Roman"/>
        </w:rPr>
        <w:t>have been trained</w:t>
      </w:r>
      <w:proofErr w:type="gramEnd"/>
      <w:r w:rsidR="00AC6F5F" w:rsidRPr="005F719F">
        <w:rPr>
          <w:rFonts w:ascii="Times New Roman" w:hAnsi="Times New Roman" w:cs="Times New Roman"/>
        </w:rPr>
        <w:t xml:space="preserve"> to use with their students</w:t>
      </w:r>
      <w:r w:rsidR="00086505" w:rsidRPr="005F719F">
        <w:rPr>
          <w:rFonts w:ascii="Times New Roman" w:hAnsi="Times New Roman" w:cs="Times New Roman"/>
        </w:rPr>
        <w:t>,</w:t>
      </w:r>
      <w:r w:rsidR="00AC6F5F" w:rsidRPr="005F719F">
        <w:rPr>
          <w:rFonts w:ascii="Times New Roman" w:hAnsi="Times New Roman" w:cs="Times New Roman"/>
        </w:rPr>
        <w:t xml:space="preserve"> has all the current </w:t>
      </w:r>
      <w:r w:rsidR="00955139" w:rsidRPr="005F719F">
        <w:rPr>
          <w:rFonts w:ascii="Times New Roman" w:hAnsi="Times New Roman" w:cs="Times New Roman"/>
        </w:rPr>
        <w:t>Montana</w:t>
      </w:r>
      <w:r w:rsidR="00AC6F5F" w:rsidRPr="005F719F">
        <w:rPr>
          <w:rFonts w:ascii="Times New Roman" w:hAnsi="Times New Roman" w:cs="Times New Roman"/>
        </w:rPr>
        <w:t xml:space="preserve"> workforce information. </w:t>
      </w:r>
      <w:r w:rsidR="00CC13E8" w:rsidRPr="005F719F">
        <w:rPr>
          <w:rFonts w:ascii="Times New Roman" w:hAnsi="Times New Roman" w:cs="Times New Roman"/>
        </w:rPr>
        <w:t xml:space="preserve"> </w:t>
      </w:r>
      <w:r w:rsidR="00AC6F5F" w:rsidRPr="005F719F">
        <w:rPr>
          <w:rFonts w:ascii="Times New Roman" w:hAnsi="Times New Roman" w:cs="Times New Roman"/>
        </w:rPr>
        <w:t>This give</w:t>
      </w:r>
      <w:r w:rsidR="008652BE" w:rsidRPr="005F719F">
        <w:rPr>
          <w:rFonts w:ascii="Times New Roman" w:hAnsi="Times New Roman" w:cs="Times New Roman"/>
        </w:rPr>
        <w:t>s</w:t>
      </w:r>
      <w:r w:rsidR="00AC6F5F" w:rsidRPr="005F719F">
        <w:rPr>
          <w:rFonts w:ascii="Times New Roman" w:hAnsi="Times New Roman" w:cs="Times New Roman"/>
        </w:rPr>
        <w:t xml:space="preserve"> the teachers all labor market data and workforce information for the </w:t>
      </w:r>
      <w:r w:rsidR="00A22309" w:rsidRPr="005F719F">
        <w:rPr>
          <w:rFonts w:ascii="Times New Roman" w:hAnsi="Times New Roman" w:cs="Times New Roman"/>
        </w:rPr>
        <w:t>State</w:t>
      </w:r>
      <w:r w:rsidR="00AC6F5F" w:rsidRPr="005F719F">
        <w:rPr>
          <w:rFonts w:ascii="Times New Roman" w:hAnsi="Times New Roman" w:cs="Times New Roman"/>
        </w:rPr>
        <w:t xml:space="preserve">. </w:t>
      </w:r>
      <w:r w:rsidR="00CC13E8" w:rsidRPr="005F719F">
        <w:rPr>
          <w:rFonts w:ascii="Times New Roman" w:hAnsi="Times New Roman" w:cs="Times New Roman"/>
        </w:rPr>
        <w:t xml:space="preserve"> </w:t>
      </w:r>
      <w:r w:rsidR="00AC6F5F" w:rsidRPr="005F719F">
        <w:rPr>
          <w:rFonts w:ascii="Times New Roman" w:hAnsi="Times New Roman" w:cs="Times New Roman"/>
        </w:rPr>
        <w:t xml:space="preserve">The </w:t>
      </w:r>
      <w:r w:rsidR="00A22309" w:rsidRPr="005F719F">
        <w:rPr>
          <w:rFonts w:ascii="Times New Roman" w:hAnsi="Times New Roman" w:cs="Times New Roman"/>
        </w:rPr>
        <w:t>State</w:t>
      </w:r>
      <w:r w:rsidR="00AC6F5F" w:rsidRPr="005F719F">
        <w:rPr>
          <w:rFonts w:ascii="Times New Roman" w:hAnsi="Times New Roman" w:cs="Times New Roman"/>
        </w:rPr>
        <w:t xml:space="preserve"> </w:t>
      </w:r>
      <w:r w:rsidR="00197B93" w:rsidRPr="005F719F">
        <w:rPr>
          <w:rFonts w:ascii="Times New Roman" w:hAnsi="Times New Roman" w:cs="Times New Roman"/>
        </w:rPr>
        <w:t xml:space="preserve">previously </w:t>
      </w:r>
      <w:r w:rsidR="00AC6F5F" w:rsidRPr="005F719F">
        <w:rPr>
          <w:rFonts w:ascii="Times New Roman" w:hAnsi="Times New Roman" w:cs="Times New Roman"/>
        </w:rPr>
        <w:t xml:space="preserve">contracted with a lead teacher to build an adult/ELL student checklist within the MCIS system. </w:t>
      </w:r>
      <w:r w:rsidR="00CC13E8" w:rsidRPr="005F719F">
        <w:rPr>
          <w:rFonts w:ascii="Times New Roman" w:hAnsi="Times New Roman" w:cs="Times New Roman"/>
        </w:rPr>
        <w:t xml:space="preserve"> </w:t>
      </w:r>
      <w:r w:rsidR="00AC6F5F" w:rsidRPr="005F719F">
        <w:rPr>
          <w:rFonts w:ascii="Times New Roman" w:hAnsi="Times New Roman" w:cs="Times New Roman"/>
        </w:rPr>
        <w:t xml:space="preserve">Through this customization, the teachers </w:t>
      </w:r>
      <w:r w:rsidR="00955139" w:rsidRPr="005F719F">
        <w:rPr>
          <w:rFonts w:ascii="Times New Roman" w:hAnsi="Times New Roman" w:cs="Times New Roman"/>
        </w:rPr>
        <w:t>can</w:t>
      </w:r>
      <w:r w:rsidR="00AC6F5F" w:rsidRPr="005F719F">
        <w:rPr>
          <w:rFonts w:ascii="Times New Roman" w:hAnsi="Times New Roman" w:cs="Times New Roman"/>
        </w:rPr>
        <w:t xml:space="preserve"> integrate relevant workforce activities into their instructional practice.</w:t>
      </w:r>
    </w:p>
    <w:p w14:paraId="78E734EF" w14:textId="77777777" w:rsidR="008F7FAB" w:rsidRPr="005F719F" w:rsidRDefault="008F7FAB" w:rsidP="00197B93">
      <w:pPr>
        <w:autoSpaceDE w:val="0"/>
        <w:autoSpaceDN w:val="0"/>
        <w:adjustRightInd w:val="0"/>
        <w:spacing w:after="0" w:line="240" w:lineRule="auto"/>
        <w:ind w:left="720"/>
        <w:rPr>
          <w:rFonts w:ascii="Times New Roman" w:hAnsi="Times New Roman" w:cs="Times New Roman"/>
        </w:rPr>
      </w:pPr>
    </w:p>
    <w:p w14:paraId="58E6B327" w14:textId="5D82EB0B" w:rsidR="008F7FAB" w:rsidRPr="005F719F" w:rsidRDefault="008F7FAB" w:rsidP="009A5421">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 xml:space="preserve">In addition, during the </w:t>
      </w:r>
      <w:r w:rsidR="00D371D4" w:rsidRPr="005F719F">
        <w:rPr>
          <w:rFonts w:ascii="Times New Roman" w:hAnsi="Times New Roman" w:cs="Times New Roman"/>
        </w:rPr>
        <w:t>COVID-19</w:t>
      </w:r>
      <w:r w:rsidRPr="005F719F">
        <w:rPr>
          <w:rFonts w:ascii="Times New Roman" w:hAnsi="Times New Roman" w:cs="Times New Roman"/>
        </w:rPr>
        <w:t xml:space="preserve"> pandemic, one IELCE </w:t>
      </w:r>
      <w:r w:rsidR="00CC13E8" w:rsidRPr="005F719F">
        <w:rPr>
          <w:rFonts w:ascii="Times New Roman" w:hAnsi="Times New Roman" w:cs="Times New Roman"/>
        </w:rPr>
        <w:t>provider</w:t>
      </w:r>
      <w:r w:rsidRPr="005F719F">
        <w:rPr>
          <w:rFonts w:ascii="Times New Roman" w:hAnsi="Times New Roman" w:cs="Times New Roman"/>
        </w:rPr>
        <w:t xml:space="preserve"> developed and delivered a healthcare literacy program for ELL </w:t>
      </w:r>
      <w:r w:rsidR="00CC13E8" w:rsidRPr="005F719F">
        <w:rPr>
          <w:rFonts w:ascii="Times New Roman" w:hAnsi="Times New Roman" w:cs="Times New Roman"/>
        </w:rPr>
        <w:t xml:space="preserve">students </w:t>
      </w:r>
      <w:r w:rsidR="00BC7420" w:rsidRPr="005F719F">
        <w:rPr>
          <w:rFonts w:ascii="Times New Roman" w:hAnsi="Times New Roman" w:cs="Times New Roman"/>
        </w:rPr>
        <w:t xml:space="preserve">that </w:t>
      </w:r>
      <w:r w:rsidR="00CC13E8" w:rsidRPr="005F719F">
        <w:rPr>
          <w:rFonts w:ascii="Times New Roman" w:hAnsi="Times New Roman" w:cs="Times New Roman"/>
        </w:rPr>
        <w:t>also inc</w:t>
      </w:r>
      <w:r w:rsidR="00955139" w:rsidRPr="005F719F">
        <w:rPr>
          <w:rFonts w:ascii="Times New Roman" w:hAnsi="Times New Roman" w:cs="Times New Roman"/>
        </w:rPr>
        <w:t>luded CPR/First-Aid c</w:t>
      </w:r>
      <w:r w:rsidRPr="005F719F">
        <w:rPr>
          <w:rFonts w:ascii="Times New Roman" w:hAnsi="Times New Roman" w:cs="Times New Roman"/>
        </w:rPr>
        <w:t xml:space="preserve">ertification to prepare students for </w:t>
      </w:r>
      <w:r w:rsidR="008028B1" w:rsidRPr="005F719F">
        <w:rPr>
          <w:rFonts w:ascii="Times New Roman" w:hAnsi="Times New Roman" w:cs="Times New Roman"/>
        </w:rPr>
        <w:t>entry-level</w:t>
      </w:r>
      <w:r w:rsidRPr="005F719F">
        <w:rPr>
          <w:rFonts w:ascii="Times New Roman" w:hAnsi="Times New Roman" w:cs="Times New Roman"/>
        </w:rPr>
        <w:t xml:space="preserve"> employment in healthcare fields.  This was the result of a collaboration of IRC, Job Service and a residential </w:t>
      </w:r>
      <w:r w:rsidR="009A5421" w:rsidRPr="005F719F">
        <w:rPr>
          <w:rFonts w:ascii="Times New Roman" w:hAnsi="Times New Roman" w:cs="Times New Roman"/>
        </w:rPr>
        <w:t>long-term</w:t>
      </w:r>
      <w:r w:rsidR="00CC13E8" w:rsidRPr="005F719F">
        <w:rPr>
          <w:rFonts w:ascii="Times New Roman" w:hAnsi="Times New Roman" w:cs="Times New Roman"/>
        </w:rPr>
        <w:t xml:space="preserve"> care facility.  Ongoing p</w:t>
      </w:r>
      <w:r w:rsidR="009A5421" w:rsidRPr="005F719F">
        <w:rPr>
          <w:rFonts w:ascii="Times New Roman" w:hAnsi="Times New Roman" w:cs="Times New Roman"/>
        </w:rPr>
        <w:t>articipation in refugee e</w:t>
      </w:r>
      <w:r w:rsidRPr="005F719F">
        <w:rPr>
          <w:rFonts w:ascii="Times New Roman" w:hAnsi="Times New Roman" w:cs="Times New Roman"/>
        </w:rPr>
        <w:t>mployment meeting</w:t>
      </w:r>
      <w:r w:rsidR="009A5421" w:rsidRPr="005F719F">
        <w:rPr>
          <w:rFonts w:ascii="Times New Roman" w:hAnsi="Times New Roman" w:cs="Times New Roman"/>
        </w:rPr>
        <w:t xml:space="preserve">s helps the program </w:t>
      </w:r>
      <w:r w:rsidRPr="005F719F">
        <w:rPr>
          <w:rFonts w:ascii="Times New Roman" w:hAnsi="Times New Roman" w:cs="Times New Roman"/>
        </w:rPr>
        <w:t>stay connected with the needs of this population</w:t>
      </w:r>
      <w:r w:rsidR="009A5421" w:rsidRPr="005F719F">
        <w:rPr>
          <w:rFonts w:ascii="Times New Roman" w:hAnsi="Times New Roman" w:cs="Times New Roman"/>
        </w:rPr>
        <w:t xml:space="preserve"> in their community</w:t>
      </w:r>
      <w:r w:rsidRPr="005F719F">
        <w:rPr>
          <w:rFonts w:ascii="Times New Roman" w:hAnsi="Times New Roman" w:cs="Times New Roman"/>
        </w:rPr>
        <w:t>.</w:t>
      </w:r>
    </w:p>
    <w:p w14:paraId="2573C29A" w14:textId="77777777" w:rsidR="008F7FAB" w:rsidRPr="005F719F" w:rsidRDefault="008F7FAB" w:rsidP="008F7FAB">
      <w:pPr>
        <w:autoSpaceDE w:val="0"/>
        <w:autoSpaceDN w:val="0"/>
        <w:adjustRightInd w:val="0"/>
        <w:spacing w:after="0" w:line="240" w:lineRule="auto"/>
        <w:ind w:left="720"/>
        <w:rPr>
          <w:rFonts w:ascii="Times New Roman" w:hAnsi="Times New Roman" w:cs="Times New Roman"/>
        </w:rPr>
      </w:pPr>
      <w:r w:rsidRPr="005F719F">
        <w:rPr>
          <w:rFonts w:ascii="Times New Roman" w:hAnsi="Times New Roman" w:cs="Times New Roman"/>
        </w:rPr>
        <w:t> </w:t>
      </w:r>
    </w:p>
    <w:p w14:paraId="64FD42D8" w14:textId="77777777" w:rsidR="001D4BE9" w:rsidRPr="005F719F" w:rsidRDefault="00AC6F5F" w:rsidP="001D4BE9">
      <w:pPr>
        <w:autoSpaceDE w:val="0"/>
        <w:autoSpaceDN w:val="0"/>
        <w:adjustRightInd w:val="0"/>
        <w:spacing w:after="0" w:line="240" w:lineRule="auto"/>
        <w:rPr>
          <w:rFonts w:ascii="Times New Roman" w:hAnsi="Times New Roman" w:cs="Times New Roman"/>
          <w:b/>
          <w:bCs/>
        </w:rPr>
      </w:pPr>
      <w:r w:rsidRPr="005F719F">
        <w:rPr>
          <w:rFonts w:ascii="Times New Roman" w:hAnsi="Times New Roman" w:cs="Times New Roman"/>
          <w:b/>
          <w:bCs/>
        </w:rPr>
        <w:t xml:space="preserve">5. </w:t>
      </w:r>
      <w:r w:rsidR="001D4BE9" w:rsidRPr="005F719F">
        <w:rPr>
          <w:rFonts w:ascii="Times New Roman" w:hAnsi="Times New Roman" w:cs="Times New Roman"/>
          <w:b/>
          <w:bCs/>
        </w:rPr>
        <w:t>Adult Education Standards</w:t>
      </w:r>
    </w:p>
    <w:p w14:paraId="62FA3B72" w14:textId="77777777" w:rsidR="00197B93" w:rsidRPr="005F719F" w:rsidRDefault="00197B93" w:rsidP="001D4BE9">
      <w:pPr>
        <w:autoSpaceDE w:val="0"/>
        <w:autoSpaceDN w:val="0"/>
        <w:adjustRightInd w:val="0"/>
        <w:spacing w:after="0" w:line="240" w:lineRule="auto"/>
        <w:rPr>
          <w:rFonts w:ascii="Times New Roman" w:hAnsi="Times New Roman" w:cs="Times New Roman"/>
          <w:b/>
          <w:bCs/>
        </w:rPr>
      </w:pPr>
    </w:p>
    <w:p w14:paraId="34C78298" w14:textId="77777777" w:rsidR="001D4BE9" w:rsidRPr="005F719F" w:rsidRDefault="001D4BE9" w:rsidP="001D4BE9">
      <w:p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rPr>
        <w:t xml:space="preserve">If your </w:t>
      </w:r>
      <w:r w:rsidR="00A22309" w:rsidRPr="005F719F">
        <w:rPr>
          <w:rFonts w:ascii="Times New Roman" w:hAnsi="Times New Roman" w:cs="Times New Roman"/>
          <w:b/>
        </w:rPr>
        <w:t>State</w:t>
      </w:r>
      <w:r w:rsidRPr="005F719F">
        <w:rPr>
          <w:rFonts w:ascii="Times New Roman" w:hAnsi="Times New Roman" w:cs="Times New Roman"/>
          <w:b/>
        </w:rPr>
        <w:t xml:space="preserve"> has adopted new challenging K-12 standards under title I of the Elementary and</w:t>
      </w:r>
      <w:r w:rsidR="00AC6F5F" w:rsidRPr="005F719F">
        <w:rPr>
          <w:rFonts w:ascii="Times New Roman" w:hAnsi="Times New Roman" w:cs="Times New Roman"/>
          <w:b/>
        </w:rPr>
        <w:t xml:space="preserve"> </w:t>
      </w:r>
      <w:r w:rsidRPr="005F719F">
        <w:rPr>
          <w:rFonts w:ascii="Times New Roman" w:hAnsi="Times New Roman" w:cs="Times New Roman"/>
          <w:b/>
        </w:rPr>
        <w:t xml:space="preserve">Secondary Education Act of 1965, as amended, describe how your Adult Education content standards </w:t>
      </w:r>
      <w:proofErr w:type="gramStart"/>
      <w:r w:rsidRPr="005F719F">
        <w:rPr>
          <w:rFonts w:ascii="Times New Roman" w:hAnsi="Times New Roman" w:cs="Times New Roman"/>
          <w:b/>
        </w:rPr>
        <w:t>are aligned</w:t>
      </w:r>
      <w:proofErr w:type="gramEnd"/>
      <w:r w:rsidRPr="005F719F">
        <w:rPr>
          <w:rFonts w:ascii="Times New Roman" w:hAnsi="Times New Roman" w:cs="Times New Roman"/>
          <w:b/>
        </w:rPr>
        <w:t xml:space="preserve"> with those K-12 standards.</w:t>
      </w:r>
    </w:p>
    <w:p w14:paraId="64E9D68F" w14:textId="77777777" w:rsidR="00A467E0" w:rsidRPr="005F719F" w:rsidRDefault="00A467E0" w:rsidP="00A467E0">
      <w:pPr>
        <w:pStyle w:val="null1"/>
        <w:spacing w:before="0" w:beforeAutospacing="0" w:after="0" w:afterAutospacing="0"/>
        <w:ind w:left="720"/>
        <w:rPr>
          <w:rFonts w:ascii="Times New Roman" w:hAnsi="Times New Roman" w:cs="Times New Roman"/>
        </w:rPr>
      </w:pPr>
    </w:p>
    <w:p w14:paraId="79D927E1" w14:textId="63A03511" w:rsidR="00A467E0" w:rsidRPr="005F719F" w:rsidRDefault="00A467E0" w:rsidP="00A467E0">
      <w:pPr>
        <w:pStyle w:val="null1"/>
        <w:spacing w:before="0" w:beforeAutospacing="0" w:after="0" w:afterAutospacing="0"/>
        <w:ind w:left="720"/>
        <w:rPr>
          <w:rFonts w:ascii="Times New Roman" w:hAnsi="Times New Roman" w:cs="Times New Roman"/>
        </w:rPr>
      </w:pPr>
      <w:r w:rsidRPr="005F719F">
        <w:rPr>
          <w:rFonts w:ascii="Times New Roman" w:hAnsi="Times New Roman" w:cs="Times New Roman"/>
        </w:rPr>
        <w:t>The Montana Board of Public Education, upon recommendation from the Superintendent of Public Instruction, adopted the Montana Content Standards for English Language Arts/Literacy and Ma</w:t>
      </w:r>
      <w:r w:rsidR="00EB5EAF" w:rsidRPr="005F719F">
        <w:rPr>
          <w:rFonts w:ascii="Times New Roman" w:hAnsi="Times New Roman" w:cs="Times New Roman"/>
        </w:rPr>
        <w:t xml:space="preserve">thematics, on November 4, 2011.  </w:t>
      </w:r>
      <w:r w:rsidRPr="005F719F">
        <w:rPr>
          <w:rFonts w:ascii="Times New Roman" w:hAnsi="Times New Roman" w:cs="Times New Roman"/>
        </w:rPr>
        <w:t xml:space="preserve">These standards, along with Science standards adopted in 2016, ensure that secondary students have the knowledge and skills they need to succeed in the </w:t>
      </w:r>
      <w:r w:rsidRPr="005F719F">
        <w:rPr>
          <w:rFonts w:ascii="Times New Roman" w:hAnsi="Times New Roman" w:cs="Times New Roman"/>
        </w:rPr>
        <w:lastRenderedPageBreak/>
        <w:t>21</w:t>
      </w:r>
      <w:r w:rsidRPr="005F719F">
        <w:rPr>
          <w:rFonts w:ascii="Times New Roman" w:hAnsi="Times New Roman" w:cs="Times New Roman"/>
          <w:vertAlign w:val="superscript"/>
        </w:rPr>
        <w:t>st</w:t>
      </w:r>
      <w:r w:rsidRPr="005F719F">
        <w:rPr>
          <w:rFonts w:ascii="Times New Roman" w:hAnsi="Times New Roman" w:cs="Times New Roman"/>
        </w:rPr>
        <w:t xml:space="preserve"> century economy. </w:t>
      </w:r>
      <w:r w:rsidR="00EB5EAF" w:rsidRPr="005F719F">
        <w:rPr>
          <w:rFonts w:ascii="Times New Roman" w:hAnsi="Times New Roman" w:cs="Times New Roman"/>
        </w:rPr>
        <w:t xml:space="preserve"> </w:t>
      </w:r>
      <w:r w:rsidRPr="005F719F">
        <w:rPr>
          <w:rFonts w:ascii="Times New Roman" w:hAnsi="Times New Roman" w:cs="Times New Roman"/>
        </w:rPr>
        <w:t xml:space="preserve">Skills include problem-solving, critical thinking, communication, </w:t>
      </w:r>
      <w:r w:rsidR="00CC13E8" w:rsidRPr="005F719F">
        <w:rPr>
          <w:rFonts w:ascii="Times New Roman" w:hAnsi="Times New Roman" w:cs="Times New Roman"/>
        </w:rPr>
        <w:t>teamwork</w:t>
      </w:r>
      <w:r w:rsidRPr="005F719F">
        <w:rPr>
          <w:rFonts w:ascii="Times New Roman" w:hAnsi="Times New Roman" w:cs="Times New Roman"/>
        </w:rPr>
        <w:t>, research, and the use of technology.</w:t>
      </w:r>
    </w:p>
    <w:p w14:paraId="1ADBCD37" w14:textId="77777777" w:rsidR="00A467E0" w:rsidRPr="005F719F" w:rsidRDefault="00A467E0" w:rsidP="00A467E0">
      <w:pPr>
        <w:pStyle w:val="ListParagraph"/>
        <w:spacing w:after="0" w:line="240" w:lineRule="auto"/>
        <w:rPr>
          <w:rFonts w:ascii="Times New Roman" w:hAnsi="Times New Roman" w:cs="Times New Roman"/>
        </w:rPr>
      </w:pPr>
    </w:p>
    <w:p w14:paraId="7D5C6ECC" w14:textId="571F2C71" w:rsidR="00A467E0" w:rsidRPr="005F719F" w:rsidRDefault="00A467E0" w:rsidP="00A467E0">
      <w:pPr>
        <w:spacing w:after="0" w:line="240" w:lineRule="auto"/>
        <w:ind w:left="720"/>
        <w:rPr>
          <w:rFonts w:ascii="Times New Roman" w:hAnsi="Times New Roman" w:cs="Times New Roman"/>
        </w:rPr>
      </w:pPr>
      <w:r w:rsidRPr="005F719F">
        <w:rPr>
          <w:rFonts w:ascii="Times New Roman" w:hAnsi="Times New Roman" w:cs="Times New Roman"/>
        </w:rPr>
        <w:t xml:space="preserve">In February 2015, the Adult Education (AE) Unit at the Office of Public Instruction (OPI) adopted the College and Career Readiness (CCR) Standards for Adult Education. </w:t>
      </w:r>
      <w:r w:rsidR="00EB5EAF" w:rsidRPr="005F719F">
        <w:rPr>
          <w:rFonts w:ascii="Times New Roman" w:hAnsi="Times New Roman" w:cs="Times New Roman"/>
        </w:rPr>
        <w:t xml:space="preserve"> </w:t>
      </w:r>
      <w:r w:rsidRPr="005F719F">
        <w:rPr>
          <w:rFonts w:ascii="Times New Roman" w:hAnsi="Times New Roman" w:cs="Times New Roman"/>
        </w:rPr>
        <w:t xml:space="preserve">These standards identify the essential CCR components </w:t>
      </w:r>
      <w:proofErr w:type="gramStart"/>
      <w:r w:rsidRPr="005F719F">
        <w:rPr>
          <w:rFonts w:ascii="Times New Roman" w:hAnsi="Times New Roman" w:cs="Times New Roman"/>
        </w:rPr>
        <w:t>required to be incorporated</w:t>
      </w:r>
      <w:proofErr w:type="gramEnd"/>
      <w:r w:rsidRPr="005F719F">
        <w:rPr>
          <w:rFonts w:ascii="Times New Roman" w:hAnsi="Times New Roman" w:cs="Times New Roman"/>
        </w:rPr>
        <w:t xml:space="preserve"> into t</w:t>
      </w:r>
      <w:r w:rsidR="00EB5EAF" w:rsidRPr="005F719F">
        <w:rPr>
          <w:rFonts w:ascii="Times New Roman" w:hAnsi="Times New Roman" w:cs="Times New Roman"/>
        </w:rPr>
        <w:t xml:space="preserve">he adult education classroom.  </w:t>
      </w:r>
      <w:r w:rsidRPr="005F719F">
        <w:rPr>
          <w:rFonts w:ascii="Times New Roman" w:hAnsi="Times New Roman" w:cs="Times New Roman"/>
        </w:rPr>
        <w:t xml:space="preserve">By adopting these standards, Montana’s AE programs will have student expectations that are consistent with K-12 students. </w:t>
      </w:r>
      <w:r w:rsidR="00EB5EAF" w:rsidRPr="005F719F">
        <w:rPr>
          <w:rFonts w:ascii="Times New Roman" w:hAnsi="Times New Roman" w:cs="Times New Roman"/>
        </w:rPr>
        <w:t xml:space="preserve"> </w:t>
      </w:r>
      <w:r w:rsidRPr="005F719F">
        <w:rPr>
          <w:rFonts w:ascii="Times New Roman" w:hAnsi="Times New Roman" w:cs="Times New Roman"/>
        </w:rPr>
        <w:t>Additionally, AE programs will have access to K-12 tools and materials that support student learning.</w:t>
      </w:r>
    </w:p>
    <w:p w14:paraId="5E1394AC" w14:textId="77777777" w:rsidR="00A467E0" w:rsidRPr="005F719F" w:rsidRDefault="00A467E0" w:rsidP="00A467E0">
      <w:pPr>
        <w:spacing w:after="0" w:line="240" w:lineRule="auto"/>
        <w:ind w:left="720"/>
        <w:rPr>
          <w:rFonts w:ascii="Times New Roman" w:hAnsi="Times New Roman" w:cs="Times New Roman"/>
        </w:rPr>
      </w:pPr>
    </w:p>
    <w:p w14:paraId="303B8166" w14:textId="77777777" w:rsidR="001D4BE9" w:rsidRPr="005F719F" w:rsidRDefault="001D4BE9" w:rsidP="001D29D9">
      <w:pPr>
        <w:pStyle w:val="ListParagraph"/>
        <w:numPr>
          <w:ilvl w:val="0"/>
          <w:numId w:val="1"/>
        </w:numPr>
        <w:rPr>
          <w:rFonts w:ascii="Times New Roman" w:hAnsi="Times New Roman" w:cs="Times New Roman"/>
          <w:b/>
        </w:rPr>
      </w:pPr>
      <w:r w:rsidRPr="005F719F">
        <w:rPr>
          <w:rFonts w:ascii="Times New Roman" w:hAnsi="Times New Roman" w:cs="Times New Roman"/>
          <w:b/>
        </w:rPr>
        <w:t>Optional – Describe implementation efforts, challenges, and any lessons learned</w:t>
      </w:r>
    </w:p>
    <w:p w14:paraId="75DFE3A5" w14:textId="62B2D7C2" w:rsidR="001D29D9" w:rsidRPr="005F719F" w:rsidRDefault="008A52A6" w:rsidP="001D29D9">
      <w:pPr>
        <w:ind w:left="720"/>
        <w:rPr>
          <w:rFonts w:ascii="Times New Roman" w:hAnsi="Times New Roman" w:cs="Times New Roman"/>
        </w:rPr>
      </w:pPr>
      <w:r w:rsidRPr="005F719F">
        <w:rPr>
          <w:rFonts w:ascii="Times New Roman" w:hAnsi="Times New Roman" w:cs="Times New Roman"/>
        </w:rPr>
        <w:t xml:space="preserve">The </w:t>
      </w:r>
      <w:r w:rsidR="00A22309" w:rsidRPr="005F719F">
        <w:rPr>
          <w:rFonts w:ascii="Times New Roman" w:hAnsi="Times New Roman" w:cs="Times New Roman"/>
        </w:rPr>
        <w:t>State</w:t>
      </w:r>
      <w:r w:rsidR="00BB0568" w:rsidRPr="005F719F">
        <w:rPr>
          <w:rFonts w:ascii="Times New Roman" w:hAnsi="Times New Roman" w:cs="Times New Roman"/>
        </w:rPr>
        <w:t xml:space="preserve"> </w:t>
      </w:r>
      <w:r w:rsidR="00862BE3" w:rsidRPr="005F719F">
        <w:rPr>
          <w:rFonts w:ascii="Times New Roman" w:hAnsi="Times New Roman" w:cs="Times New Roman"/>
        </w:rPr>
        <w:t xml:space="preserve">previously </w:t>
      </w:r>
      <w:r w:rsidR="00BB0568" w:rsidRPr="005F719F">
        <w:rPr>
          <w:rFonts w:ascii="Times New Roman" w:hAnsi="Times New Roman" w:cs="Times New Roman"/>
        </w:rPr>
        <w:t>sent two adult education</w:t>
      </w:r>
      <w:r w:rsidRPr="005F719F">
        <w:rPr>
          <w:rFonts w:ascii="Times New Roman" w:hAnsi="Times New Roman" w:cs="Times New Roman"/>
        </w:rPr>
        <w:t xml:space="preserve"> lead teachers and </w:t>
      </w:r>
      <w:r w:rsidR="00A67122" w:rsidRPr="005F719F">
        <w:rPr>
          <w:rFonts w:ascii="Times New Roman" w:hAnsi="Times New Roman" w:cs="Times New Roman"/>
        </w:rPr>
        <w:t xml:space="preserve">a </w:t>
      </w:r>
      <w:r w:rsidRPr="005F719F">
        <w:rPr>
          <w:rFonts w:ascii="Times New Roman" w:hAnsi="Times New Roman" w:cs="Times New Roman"/>
        </w:rPr>
        <w:t xml:space="preserve">professional development coordinator </w:t>
      </w:r>
      <w:r w:rsidR="00710571" w:rsidRPr="005F719F">
        <w:rPr>
          <w:rFonts w:ascii="Times New Roman" w:hAnsi="Times New Roman" w:cs="Times New Roman"/>
        </w:rPr>
        <w:t>to the OCTAE 2016 CCR Standards Implementation In</w:t>
      </w:r>
      <w:r w:rsidR="00955139" w:rsidRPr="005F719F">
        <w:rPr>
          <w:rFonts w:ascii="Times New Roman" w:hAnsi="Times New Roman" w:cs="Times New Roman"/>
        </w:rPr>
        <w:t xml:space="preserve">stitute.  </w:t>
      </w:r>
      <w:r w:rsidR="00A67122" w:rsidRPr="005F719F">
        <w:rPr>
          <w:rFonts w:ascii="Times New Roman" w:hAnsi="Times New Roman" w:cs="Times New Roman"/>
        </w:rPr>
        <w:t>The team brought</w:t>
      </w:r>
      <w:r w:rsidR="00BB0568" w:rsidRPr="005F719F">
        <w:rPr>
          <w:rFonts w:ascii="Times New Roman" w:hAnsi="Times New Roman" w:cs="Times New Roman"/>
        </w:rPr>
        <w:t xml:space="preserve"> all the information back to adult education and </w:t>
      </w:r>
      <w:r w:rsidR="008D40C2" w:rsidRPr="005F719F">
        <w:rPr>
          <w:rFonts w:ascii="Times New Roman" w:hAnsi="Times New Roman" w:cs="Times New Roman"/>
        </w:rPr>
        <w:t>ELL</w:t>
      </w:r>
      <w:r w:rsidR="00A67122" w:rsidRPr="005F719F">
        <w:rPr>
          <w:rFonts w:ascii="Times New Roman" w:hAnsi="Times New Roman" w:cs="Times New Roman"/>
        </w:rPr>
        <w:t xml:space="preserve"> teachers by presenting a two-day Summer Institute that gave all participants the </w:t>
      </w:r>
      <w:r w:rsidR="00BB0568" w:rsidRPr="005F719F">
        <w:rPr>
          <w:rFonts w:ascii="Times New Roman" w:hAnsi="Times New Roman" w:cs="Times New Roman"/>
        </w:rPr>
        <w:t>occasion</w:t>
      </w:r>
      <w:r w:rsidR="00A67122" w:rsidRPr="005F719F">
        <w:rPr>
          <w:rFonts w:ascii="Times New Roman" w:hAnsi="Times New Roman" w:cs="Times New Roman"/>
        </w:rPr>
        <w:t xml:space="preserve"> to delve deeply into the standards to understand key advances in their content areas. </w:t>
      </w:r>
      <w:r w:rsidR="00862BE3" w:rsidRPr="005F719F">
        <w:rPr>
          <w:rFonts w:ascii="Times New Roman" w:hAnsi="Times New Roman" w:cs="Times New Roman"/>
        </w:rPr>
        <w:t>These individuals still serve as valuable resources for the other adult education teachers throughout the State.</w:t>
      </w:r>
      <w:r w:rsidR="0051491B" w:rsidRPr="005F719F">
        <w:rPr>
          <w:rFonts w:ascii="Times New Roman" w:hAnsi="Times New Roman" w:cs="Times New Roman"/>
        </w:rPr>
        <w:t xml:space="preserve"> </w:t>
      </w:r>
      <w:r w:rsidR="00BD1B14" w:rsidRPr="005F719F">
        <w:rPr>
          <w:rFonts w:ascii="Times New Roman" w:hAnsi="Times New Roman" w:cs="Times New Roman"/>
        </w:rPr>
        <w:t xml:space="preserve"> </w:t>
      </w:r>
      <w:r w:rsidR="009572A4" w:rsidRPr="005F719F">
        <w:rPr>
          <w:rFonts w:ascii="Times New Roman" w:hAnsi="Times New Roman" w:cs="Times New Roman"/>
        </w:rPr>
        <w:t>In fact, o</w:t>
      </w:r>
      <w:r w:rsidR="00A467E0" w:rsidRPr="005F719F">
        <w:rPr>
          <w:rFonts w:ascii="Times New Roman" w:hAnsi="Times New Roman" w:cs="Times New Roman"/>
        </w:rPr>
        <w:t>ne of these teachers worked diligently to create an online course for mathematic standards in adult education duri</w:t>
      </w:r>
      <w:r w:rsidR="00086505" w:rsidRPr="005F719F">
        <w:rPr>
          <w:rFonts w:ascii="Times New Roman" w:hAnsi="Times New Roman" w:cs="Times New Roman"/>
        </w:rPr>
        <w:t xml:space="preserve">ng the 2018-2019 program year. </w:t>
      </w:r>
      <w:r w:rsidR="00BD1B14" w:rsidRPr="005F719F">
        <w:rPr>
          <w:rFonts w:ascii="Times New Roman" w:hAnsi="Times New Roman" w:cs="Times New Roman"/>
        </w:rPr>
        <w:t xml:space="preserve"> </w:t>
      </w:r>
      <w:r w:rsidR="00A467E0" w:rsidRPr="005F719F">
        <w:rPr>
          <w:rFonts w:ascii="Times New Roman" w:hAnsi="Times New Roman" w:cs="Times New Roman"/>
        </w:rPr>
        <w:t>This online</w:t>
      </w:r>
      <w:r w:rsidR="00D002DA" w:rsidRPr="005F719F">
        <w:rPr>
          <w:rFonts w:ascii="Times New Roman" w:hAnsi="Times New Roman" w:cs="Times New Roman"/>
        </w:rPr>
        <w:t xml:space="preserve"> professional development</w:t>
      </w:r>
      <w:r w:rsidR="008F14D9" w:rsidRPr="005F719F">
        <w:rPr>
          <w:rFonts w:ascii="Times New Roman" w:hAnsi="Times New Roman" w:cs="Times New Roman"/>
        </w:rPr>
        <w:t xml:space="preserve"> course is</w:t>
      </w:r>
      <w:r w:rsidR="00A467E0" w:rsidRPr="005F719F">
        <w:rPr>
          <w:rFonts w:ascii="Times New Roman" w:hAnsi="Times New Roman" w:cs="Times New Roman"/>
        </w:rPr>
        <w:t xml:space="preserve"> availa</w:t>
      </w:r>
      <w:r w:rsidR="001057DD" w:rsidRPr="005F719F">
        <w:rPr>
          <w:rFonts w:ascii="Times New Roman" w:hAnsi="Times New Roman" w:cs="Times New Roman"/>
        </w:rPr>
        <w:t>ble for adult educators in our S</w:t>
      </w:r>
      <w:r w:rsidR="00A467E0" w:rsidRPr="005F719F">
        <w:rPr>
          <w:rFonts w:ascii="Times New Roman" w:hAnsi="Times New Roman" w:cs="Times New Roman"/>
        </w:rPr>
        <w:t>tate, free of charge.</w:t>
      </w:r>
      <w:r w:rsidR="00D002DA" w:rsidRPr="005F719F">
        <w:rPr>
          <w:rFonts w:ascii="Times New Roman" w:hAnsi="Times New Roman" w:cs="Times New Roman"/>
        </w:rPr>
        <w:t xml:space="preserve">  </w:t>
      </w:r>
      <w:r w:rsidR="00CC13E8" w:rsidRPr="005F719F">
        <w:rPr>
          <w:rFonts w:ascii="Times New Roman" w:hAnsi="Times New Roman" w:cs="Times New Roman"/>
        </w:rPr>
        <w:t>It is important to note that e</w:t>
      </w:r>
      <w:r w:rsidR="00D002DA" w:rsidRPr="005F719F">
        <w:rPr>
          <w:rFonts w:ascii="Times New Roman" w:hAnsi="Times New Roman" w:cs="Times New Roman"/>
        </w:rPr>
        <w:t>nrollment i</w:t>
      </w:r>
      <w:r w:rsidR="002D4F27" w:rsidRPr="005F719F">
        <w:rPr>
          <w:rFonts w:ascii="Times New Roman" w:hAnsi="Times New Roman" w:cs="Times New Roman"/>
        </w:rPr>
        <w:t>n</w:t>
      </w:r>
      <w:r w:rsidR="00D002DA" w:rsidRPr="005F719F">
        <w:rPr>
          <w:rFonts w:ascii="Times New Roman" w:hAnsi="Times New Roman" w:cs="Times New Roman"/>
        </w:rPr>
        <w:t xml:space="preserve"> online professional development courses increased with the </w:t>
      </w:r>
      <w:r w:rsidR="00D371D4" w:rsidRPr="005F719F">
        <w:rPr>
          <w:rFonts w:ascii="Times New Roman" w:hAnsi="Times New Roman" w:cs="Times New Roman"/>
        </w:rPr>
        <w:t>COVID-19</w:t>
      </w:r>
      <w:r w:rsidR="00D002DA" w:rsidRPr="005F719F">
        <w:rPr>
          <w:rFonts w:ascii="Times New Roman" w:hAnsi="Times New Roman" w:cs="Times New Roman"/>
        </w:rPr>
        <w:t xml:space="preserve"> pandemic.</w:t>
      </w:r>
    </w:p>
    <w:p w14:paraId="292D169F" w14:textId="77777777" w:rsidR="001D4BE9" w:rsidRPr="005F719F" w:rsidRDefault="001D4BE9" w:rsidP="001D4BE9">
      <w:pPr>
        <w:autoSpaceDE w:val="0"/>
        <w:autoSpaceDN w:val="0"/>
        <w:adjustRightInd w:val="0"/>
        <w:spacing w:after="0" w:line="240" w:lineRule="auto"/>
        <w:rPr>
          <w:rFonts w:ascii="Times New Roman" w:hAnsi="Times New Roman" w:cs="Times New Roman"/>
          <w:b/>
          <w:bCs/>
        </w:rPr>
      </w:pPr>
      <w:r w:rsidRPr="005F719F">
        <w:rPr>
          <w:rFonts w:ascii="Times New Roman" w:hAnsi="Times New Roman" w:cs="Times New Roman"/>
          <w:b/>
          <w:bCs/>
        </w:rPr>
        <w:t>6. Programs for Corrections Education and the Education of Other Institutionalized</w:t>
      </w:r>
    </w:p>
    <w:p w14:paraId="41C997F8" w14:textId="77777777" w:rsidR="007B2421" w:rsidRPr="005F719F" w:rsidRDefault="001D4BE9" w:rsidP="00F822BB">
      <w:p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bCs/>
        </w:rPr>
        <w:t xml:space="preserve">Individuals </w:t>
      </w:r>
      <w:r w:rsidRPr="005F719F">
        <w:rPr>
          <w:rFonts w:ascii="Times New Roman" w:hAnsi="Times New Roman" w:cs="Times New Roman"/>
          <w:b/>
        </w:rPr>
        <w:t>(AEFLA Section 225)</w:t>
      </w:r>
      <w:r w:rsidR="00F822BB" w:rsidRPr="005F719F">
        <w:rPr>
          <w:rFonts w:ascii="Times New Roman" w:hAnsi="Times New Roman" w:cs="Times New Roman"/>
          <w:b/>
        </w:rPr>
        <w:t xml:space="preserve"> </w:t>
      </w:r>
    </w:p>
    <w:p w14:paraId="6DD7E680" w14:textId="77777777" w:rsidR="007B2421" w:rsidRPr="005F719F" w:rsidRDefault="007B2421" w:rsidP="00F822BB">
      <w:pPr>
        <w:autoSpaceDE w:val="0"/>
        <w:autoSpaceDN w:val="0"/>
        <w:adjustRightInd w:val="0"/>
        <w:spacing w:after="0" w:line="240" w:lineRule="auto"/>
        <w:rPr>
          <w:rFonts w:ascii="Times New Roman" w:hAnsi="Times New Roman" w:cs="Times New Roman"/>
        </w:rPr>
      </w:pPr>
    </w:p>
    <w:p w14:paraId="0EB29B70" w14:textId="77777777" w:rsidR="001D4BE9" w:rsidRPr="005F719F" w:rsidRDefault="001D4BE9" w:rsidP="00F822BB">
      <w:pPr>
        <w:autoSpaceDE w:val="0"/>
        <w:autoSpaceDN w:val="0"/>
        <w:adjustRightInd w:val="0"/>
        <w:spacing w:after="0" w:line="240" w:lineRule="auto"/>
        <w:rPr>
          <w:rFonts w:ascii="Times New Roman" w:hAnsi="Times New Roman" w:cs="Times New Roman"/>
          <w:b/>
        </w:rPr>
      </w:pPr>
      <w:r w:rsidRPr="005F719F">
        <w:rPr>
          <w:rFonts w:ascii="Times New Roman" w:hAnsi="Times New Roman" w:cs="Times New Roman"/>
          <w:b/>
        </w:rPr>
        <w:t>What was the relative rate of recidivism for criminal offenders served? Please describe the</w:t>
      </w:r>
      <w:r w:rsidR="00F822BB" w:rsidRPr="005F719F">
        <w:rPr>
          <w:rFonts w:ascii="Times New Roman" w:hAnsi="Times New Roman" w:cs="Times New Roman"/>
        </w:rPr>
        <w:t xml:space="preserve"> </w:t>
      </w:r>
      <w:r w:rsidRPr="005F719F">
        <w:rPr>
          <w:rFonts w:ascii="Times New Roman" w:hAnsi="Times New Roman" w:cs="Times New Roman"/>
          <w:b/>
        </w:rPr>
        <w:t>methods and factors used in calculating the rate for this reporting period.</w:t>
      </w:r>
    </w:p>
    <w:p w14:paraId="7501D08E" w14:textId="77777777" w:rsidR="00BF264C" w:rsidRPr="005F719F" w:rsidRDefault="00BF264C" w:rsidP="00F822BB">
      <w:pPr>
        <w:autoSpaceDE w:val="0"/>
        <w:autoSpaceDN w:val="0"/>
        <w:adjustRightInd w:val="0"/>
        <w:spacing w:after="0" w:line="240" w:lineRule="auto"/>
        <w:rPr>
          <w:rFonts w:ascii="Times New Roman" w:hAnsi="Times New Roman" w:cs="Times New Roman"/>
          <w:b/>
        </w:rPr>
      </w:pPr>
    </w:p>
    <w:p w14:paraId="61AAD29E" w14:textId="77777777" w:rsidR="00BF264C" w:rsidRPr="005F719F" w:rsidRDefault="00BF264C" w:rsidP="00BF264C">
      <w:pPr>
        <w:ind w:left="720"/>
        <w:rPr>
          <w:rFonts w:ascii="Times New Roman" w:hAnsi="Times New Roman" w:cs="Times New Roman"/>
        </w:rPr>
      </w:pPr>
      <w:r w:rsidRPr="005F719F">
        <w:rPr>
          <w:rFonts w:ascii="Times New Roman" w:hAnsi="Times New Roman" w:cs="Times New Roman"/>
        </w:rPr>
        <w:t xml:space="preserve">The Montana Department of Corrections follows the Association of </w:t>
      </w:r>
      <w:r w:rsidR="00A22309" w:rsidRPr="005F719F">
        <w:rPr>
          <w:rFonts w:ascii="Times New Roman" w:hAnsi="Times New Roman" w:cs="Times New Roman"/>
        </w:rPr>
        <w:t>State</w:t>
      </w:r>
      <w:r w:rsidRPr="005F719F">
        <w:rPr>
          <w:rFonts w:ascii="Times New Roman" w:hAnsi="Times New Roman" w:cs="Times New Roman"/>
        </w:rPr>
        <w:t xml:space="preserve"> Correctional Administrator’s (ASCA) definition of recidivism.</w:t>
      </w:r>
    </w:p>
    <w:p w14:paraId="715EDB20" w14:textId="77777777" w:rsidR="00BF264C" w:rsidRPr="005F719F" w:rsidRDefault="00BF264C" w:rsidP="00BF264C">
      <w:pPr>
        <w:autoSpaceDE w:val="0"/>
        <w:autoSpaceDN w:val="0"/>
        <w:adjustRightInd w:val="0"/>
        <w:ind w:left="1440"/>
        <w:rPr>
          <w:rFonts w:ascii="Times New Roman" w:hAnsi="Times New Roman" w:cs="Times New Roman"/>
        </w:rPr>
      </w:pPr>
      <w:r w:rsidRPr="005F719F">
        <w:rPr>
          <w:rFonts w:ascii="Times New Roman" w:hAnsi="Times New Roman" w:cs="Times New Roman"/>
          <w:bCs/>
        </w:rPr>
        <w:t>Recidivism rate</w:t>
      </w:r>
      <w:r w:rsidRPr="005F719F">
        <w:rPr>
          <w:rFonts w:ascii="Times New Roman" w:hAnsi="Times New Roman" w:cs="Times New Roman"/>
          <w:b/>
          <w:bCs/>
        </w:rPr>
        <w:t xml:space="preserve"> </w:t>
      </w:r>
      <w:r w:rsidR="00BB0568" w:rsidRPr="005F719F">
        <w:rPr>
          <w:rFonts w:ascii="Times New Roman" w:hAnsi="Times New Roman" w:cs="Times New Roman"/>
        </w:rPr>
        <w:t>– t</w:t>
      </w:r>
      <w:r w:rsidRPr="005F719F">
        <w:rPr>
          <w:rFonts w:ascii="Times New Roman" w:hAnsi="Times New Roman" w:cs="Times New Roman"/>
        </w:rPr>
        <w:t xml:space="preserve">he rate </w:t>
      </w:r>
      <w:proofErr w:type="gramStart"/>
      <w:r w:rsidRPr="005F719F">
        <w:rPr>
          <w:rFonts w:ascii="Times New Roman" w:hAnsi="Times New Roman" w:cs="Times New Roman"/>
        </w:rPr>
        <w:t>at which adult offenders return to prison in Montana for any reason within three years of their release from prison</w:t>
      </w:r>
      <w:proofErr w:type="gramEnd"/>
      <w:r w:rsidRPr="005F719F">
        <w:rPr>
          <w:rFonts w:ascii="Times New Roman" w:hAnsi="Times New Roman" w:cs="Times New Roman"/>
        </w:rPr>
        <w:t>. Each release can have only one corresponding return.</w:t>
      </w:r>
    </w:p>
    <w:p w14:paraId="5F0951C2" w14:textId="77777777" w:rsidR="001D4BE9" w:rsidRPr="005F719F" w:rsidRDefault="00BF264C" w:rsidP="00BA795C">
      <w:pPr>
        <w:ind w:left="720"/>
        <w:rPr>
          <w:rFonts w:ascii="Times New Roman" w:hAnsi="Times New Roman" w:cs="Times New Roman"/>
        </w:rPr>
      </w:pPr>
      <w:r w:rsidRPr="005F719F">
        <w:rPr>
          <w:rFonts w:ascii="Times New Roman" w:hAnsi="Times New Roman" w:cs="Times New Roman"/>
        </w:rPr>
        <w:t xml:space="preserve">Given this definition, we </w:t>
      </w:r>
      <w:r w:rsidR="002C6164" w:rsidRPr="005F719F">
        <w:rPr>
          <w:rFonts w:ascii="Times New Roman" w:hAnsi="Times New Roman" w:cs="Times New Roman"/>
        </w:rPr>
        <w:t>would need to</w:t>
      </w:r>
      <w:r w:rsidRPr="005F719F">
        <w:rPr>
          <w:rFonts w:ascii="Times New Roman" w:hAnsi="Times New Roman" w:cs="Times New Roman"/>
        </w:rPr>
        <w:t xml:space="preserve"> wait three full years befo</w:t>
      </w:r>
      <w:r w:rsidR="002C6164" w:rsidRPr="005F719F">
        <w:rPr>
          <w:rFonts w:ascii="Times New Roman" w:hAnsi="Times New Roman" w:cs="Times New Roman"/>
        </w:rPr>
        <w:t xml:space="preserve">re we could </w:t>
      </w:r>
      <w:r w:rsidRPr="005F719F">
        <w:rPr>
          <w:rFonts w:ascii="Times New Roman" w:hAnsi="Times New Roman" w:cs="Times New Roman"/>
        </w:rPr>
        <w:t>calculate a re</w:t>
      </w:r>
      <w:r w:rsidR="00086505" w:rsidRPr="005F719F">
        <w:rPr>
          <w:rFonts w:ascii="Times New Roman" w:hAnsi="Times New Roman" w:cs="Times New Roman"/>
        </w:rPr>
        <w:t xml:space="preserve">cidivism rate. </w:t>
      </w:r>
      <w:r w:rsidR="006A10AC" w:rsidRPr="005F719F">
        <w:rPr>
          <w:rFonts w:ascii="Times New Roman" w:hAnsi="Times New Roman" w:cs="Times New Roman"/>
        </w:rPr>
        <w:t>With a 6/30/2020</w:t>
      </w:r>
      <w:r w:rsidRPr="005F719F">
        <w:rPr>
          <w:rFonts w:ascii="Times New Roman" w:hAnsi="Times New Roman" w:cs="Times New Roman"/>
        </w:rPr>
        <w:t xml:space="preserve"> end date, a recidivism rate for </w:t>
      </w:r>
      <w:proofErr w:type="gramStart"/>
      <w:r w:rsidRPr="005F719F">
        <w:rPr>
          <w:rFonts w:ascii="Times New Roman" w:hAnsi="Times New Roman" w:cs="Times New Roman"/>
        </w:rPr>
        <w:t xml:space="preserve">this group </w:t>
      </w:r>
      <w:r w:rsidR="00C6065E" w:rsidRPr="005F719F">
        <w:rPr>
          <w:rFonts w:ascii="Times New Roman" w:hAnsi="Times New Roman" w:cs="Times New Roman"/>
        </w:rPr>
        <w:t>participants</w:t>
      </w:r>
      <w:proofErr w:type="gramEnd"/>
      <w:r w:rsidR="00C6065E" w:rsidRPr="005F719F">
        <w:rPr>
          <w:rFonts w:ascii="Times New Roman" w:hAnsi="Times New Roman" w:cs="Times New Roman"/>
        </w:rPr>
        <w:t xml:space="preserve"> </w:t>
      </w:r>
      <w:r w:rsidRPr="005F719F">
        <w:rPr>
          <w:rFonts w:ascii="Times New Roman" w:hAnsi="Times New Roman" w:cs="Times New Roman"/>
        </w:rPr>
        <w:t>would not be</w:t>
      </w:r>
      <w:r w:rsidR="003062DB" w:rsidRPr="005F719F">
        <w:rPr>
          <w:rFonts w:ascii="Times New Roman" w:hAnsi="Times New Roman" w:cs="Times New Roman"/>
        </w:rPr>
        <w:t xml:space="preserve"> available until </w:t>
      </w:r>
      <w:r w:rsidR="002C6164" w:rsidRPr="005F719F">
        <w:rPr>
          <w:rFonts w:ascii="Times New Roman" w:hAnsi="Times New Roman" w:cs="Times New Roman"/>
        </w:rPr>
        <w:t xml:space="preserve">sometime </w:t>
      </w:r>
      <w:r w:rsidR="006A10AC" w:rsidRPr="005F719F">
        <w:rPr>
          <w:rFonts w:ascii="Times New Roman" w:hAnsi="Times New Roman" w:cs="Times New Roman"/>
        </w:rPr>
        <w:t>after 6/30/2023</w:t>
      </w:r>
      <w:r w:rsidRPr="005F719F">
        <w:rPr>
          <w:rFonts w:ascii="Times New Roman" w:hAnsi="Times New Roman" w:cs="Times New Roman"/>
        </w:rPr>
        <w:t>.</w:t>
      </w:r>
    </w:p>
    <w:p w14:paraId="0392787D" w14:textId="77777777" w:rsidR="003062DB" w:rsidRPr="005F719F" w:rsidRDefault="003062DB" w:rsidP="005F6E4B">
      <w:pPr>
        <w:ind w:left="720"/>
        <w:rPr>
          <w:rFonts w:ascii="Times New Roman" w:hAnsi="Times New Roman" w:cs="Times New Roman"/>
        </w:rPr>
      </w:pPr>
      <w:r w:rsidRPr="005F719F">
        <w:rPr>
          <w:rFonts w:ascii="Times New Roman" w:hAnsi="Times New Roman" w:cs="Times New Roman"/>
        </w:rPr>
        <w:t xml:space="preserve">Some general statistics provided by our Corrections </w:t>
      </w:r>
      <w:r w:rsidR="0000117D" w:rsidRPr="005F719F">
        <w:rPr>
          <w:rFonts w:ascii="Times New Roman" w:hAnsi="Times New Roman" w:cs="Times New Roman"/>
        </w:rPr>
        <w:t xml:space="preserve">WIOA Title II </w:t>
      </w:r>
      <w:r w:rsidRPr="005F719F">
        <w:rPr>
          <w:rFonts w:ascii="Times New Roman" w:hAnsi="Times New Roman" w:cs="Times New Roman"/>
        </w:rPr>
        <w:t>Program housed at the Montana State Prison:</w:t>
      </w:r>
    </w:p>
    <w:p w14:paraId="2525144D" w14:textId="77777777" w:rsidR="003062DB" w:rsidRPr="005F719F" w:rsidRDefault="003062DB" w:rsidP="003062DB">
      <w:pPr>
        <w:pStyle w:val="ListParagraph"/>
        <w:numPr>
          <w:ilvl w:val="1"/>
          <w:numId w:val="3"/>
        </w:numPr>
        <w:rPr>
          <w:rFonts w:ascii="Times New Roman" w:hAnsi="Times New Roman" w:cs="Times New Roman"/>
        </w:rPr>
      </w:pPr>
      <w:proofErr w:type="gramStart"/>
      <w:r w:rsidRPr="005F719F">
        <w:rPr>
          <w:rFonts w:ascii="Times New Roman" w:hAnsi="Times New Roman" w:cs="Times New Roman"/>
        </w:rPr>
        <w:t>65%</w:t>
      </w:r>
      <w:proofErr w:type="gramEnd"/>
      <w:r w:rsidRPr="005F719F">
        <w:rPr>
          <w:rFonts w:ascii="Times New Roman" w:hAnsi="Times New Roman" w:cs="Times New Roman"/>
        </w:rPr>
        <w:t xml:space="preserve"> of all inmates into Montana State Prison do not have a verified high school education. </w:t>
      </w:r>
    </w:p>
    <w:p w14:paraId="1A888CFD" w14:textId="77777777" w:rsidR="00D9318F" w:rsidRPr="005F719F" w:rsidRDefault="003062DB" w:rsidP="00D9318F">
      <w:pPr>
        <w:pStyle w:val="ListParagraph"/>
        <w:numPr>
          <w:ilvl w:val="1"/>
          <w:numId w:val="3"/>
        </w:numPr>
        <w:rPr>
          <w:rFonts w:ascii="Times New Roman" w:hAnsi="Times New Roman" w:cs="Times New Roman"/>
        </w:rPr>
      </w:pPr>
      <w:proofErr w:type="gramStart"/>
      <w:r w:rsidRPr="005F719F">
        <w:rPr>
          <w:rFonts w:ascii="Times New Roman" w:hAnsi="Times New Roman" w:cs="Times New Roman"/>
        </w:rPr>
        <w:t>78%</w:t>
      </w:r>
      <w:proofErr w:type="gramEnd"/>
      <w:r w:rsidRPr="005F719F">
        <w:rPr>
          <w:rFonts w:ascii="Times New Roman" w:hAnsi="Times New Roman" w:cs="Times New Roman"/>
        </w:rPr>
        <w:t xml:space="preserve"> of those incoming inmates complete the HiSET and move on to job, post-secondary education or training program inside the prison or in the</w:t>
      </w:r>
      <w:r w:rsidR="00D9318F" w:rsidRPr="005F719F">
        <w:rPr>
          <w:rFonts w:ascii="Times New Roman" w:hAnsi="Times New Roman" w:cs="Times New Roman"/>
        </w:rPr>
        <w:t xml:space="preserve"> community within 18-24 months.</w:t>
      </w:r>
    </w:p>
    <w:p w14:paraId="03959689" w14:textId="77777777" w:rsidR="00D9318F" w:rsidRPr="005F719F" w:rsidRDefault="00D9318F" w:rsidP="00D9318F">
      <w:pPr>
        <w:ind w:left="720"/>
        <w:rPr>
          <w:rFonts w:ascii="Times New Roman" w:hAnsi="Times New Roman" w:cs="Times New Roman"/>
        </w:rPr>
      </w:pPr>
      <w:r w:rsidRPr="005F719F">
        <w:rPr>
          <w:rFonts w:ascii="Times New Roman" w:hAnsi="Times New Roman" w:cs="Times New Roman"/>
        </w:rPr>
        <w:t>The most current recidivism rate available via the Montana Department of Corrections 2019 Biennial Report</w:t>
      </w:r>
      <w:r w:rsidR="00933981" w:rsidRPr="005F719F">
        <w:rPr>
          <w:rFonts w:ascii="Times New Roman" w:hAnsi="Times New Roman" w:cs="Times New Roman"/>
        </w:rPr>
        <w:t xml:space="preserve"> (most current report available)</w:t>
      </w:r>
      <w:r w:rsidRPr="005F719F">
        <w:rPr>
          <w:rFonts w:ascii="Times New Roman" w:hAnsi="Times New Roman" w:cs="Times New Roman"/>
        </w:rPr>
        <w:t>:</w:t>
      </w:r>
    </w:p>
    <w:p w14:paraId="1CBCCA55" w14:textId="77777777" w:rsidR="00D9318F" w:rsidRPr="005F719F" w:rsidRDefault="00D9318F" w:rsidP="00D9318F">
      <w:pPr>
        <w:pStyle w:val="ListParagraph"/>
        <w:numPr>
          <w:ilvl w:val="0"/>
          <w:numId w:val="4"/>
        </w:numPr>
        <w:rPr>
          <w:rFonts w:ascii="Times New Roman" w:hAnsi="Times New Roman" w:cs="Times New Roman"/>
        </w:rPr>
      </w:pPr>
      <w:r w:rsidRPr="005F719F">
        <w:rPr>
          <w:rFonts w:ascii="Times New Roman" w:hAnsi="Times New Roman" w:cs="Times New Roman"/>
        </w:rPr>
        <w:lastRenderedPageBreak/>
        <w:t>2015 – Male Three Year Prison Recidivism Rate</w:t>
      </w:r>
    </w:p>
    <w:p w14:paraId="11AADA13" w14:textId="77777777" w:rsidR="00D9318F" w:rsidRPr="005F719F" w:rsidRDefault="00D9318F" w:rsidP="00D9318F">
      <w:pPr>
        <w:pStyle w:val="ListParagraph"/>
        <w:numPr>
          <w:ilvl w:val="1"/>
          <w:numId w:val="4"/>
        </w:numPr>
        <w:rPr>
          <w:rFonts w:ascii="Times New Roman" w:hAnsi="Times New Roman" w:cs="Times New Roman"/>
        </w:rPr>
      </w:pPr>
      <w:r w:rsidRPr="005F719F">
        <w:rPr>
          <w:rFonts w:ascii="Times New Roman" w:hAnsi="Times New Roman" w:cs="Times New Roman"/>
        </w:rPr>
        <w:t>Total Recidivism Rate – 38.6%</w:t>
      </w:r>
    </w:p>
    <w:p w14:paraId="627CD168" w14:textId="77777777" w:rsidR="00D9318F" w:rsidRPr="005F719F" w:rsidRDefault="00D9318F" w:rsidP="00D9318F">
      <w:pPr>
        <w:pStyle w:val="ListParagraph"/>
        <w:numPr>
          <w:ilvl w:val="1"/>
          <w:numId w:val="4"/>
        </w:numPr>
        <w:rPr>
          <w:rFonts w:ascii="Times New Roman" w:hAnsi="Times New Roman" w:cs="Times New Roman"/>
        </w:rPr>
      </w:pPr>
      <w:r w:rsidRPr="005F719F">
        <w:rPr>
          <w:rFonts w:ascii="Times New Roman" w:hAnsi="Times New Roman" w:cs="Times New Roman"/>
        </w:rPr>
        <w:t>Violation – 33.7%</w:t>
      </w:r>
    </w:p>
    <w:p w14:paraId="697A800F" w14:textId="77777777" w:rsidR="00D9318F" w:rsidRPr="005F719F" w:rsidRDefault="00D9318F" w:rsidP="00D9318F">
      <w:pPr>
        <w:pStyle w:val="ListParagraph"/>
        <w:numPr>
          <w:ilvl w:val="1"/>
          <w:numId w:val="4"/>
        </w:numPr>
        <w:rPr>
          <w:rFonts w:ascii="Times New Roman" w:hAnsi="Times New Roman" w:cs="Times New Roman"/>
        </w:rPr>
      </w:pPr>
      <w:r w:rsidRPr="005F719F">
        <w:rPr>
          <w:rFonts w:ascii="Times New Roman" w:hAnsi="Times New Roman" w:cs="Times New Roman"/>
        </w:rPr>
        <w:t xml:space="preserve">New Crime – 4.9% </w:t>
      </w:r>
    </w:p>
    <w:p w14:paraId="1B8FB444" w14:textId="77777777" w:rsidR="00D9318F" w:rsidRPr="005F719F" w:rsidRDefault="00D9318F" w:rsidP="00D9318F">
      <w:pPr>
        <w:pStyle w:val="ListParagraph"/>
        <w:numPr>
          <w:ilvl w:val="0"/>
          <w:numId w:val="4"/>
        </w:numPr>
        <w:rPr>
          <w:rFonts w:ascii="Times New Roman" w:hAnsi="Times New Roman" w:cs="Times New Roman"/>
        </w:rPr>
      </w:pPr>
      <w:r w:rsidRPr="005F719F">
        <w:rPr>
          <w:rFonts w:ascii="Times New Roman" w:hAnsi="Times New Roman" w:cs="Times New Roman"/>
        </w:rPr>
        <w:t>2015 – Female Three Year Prison Recidivism Rate</w:t>
      </w:r>
    </w:p>
    <w:p w14:paraId="73034EFF" w14:textId="77777777" w:rsidR="00D9318F" w:rsidRPr="005F719F" w:rsidRDefault="00D9318F" w:rsidP="00D9318F">
      <w:pPr>
        <w:pStyle w:val="ListParagraph"/>
        <w:numPr>
          <w:ilvl w:val="1"/>
          <w:numId w:val="4"/>
        </w:numPr>
        <w:rPr>
          <w:rFonts w:ascii="Times New Roman" w:hAnsi="Times New Roman" w:cs="Times New Roman"/>
        </w:rPr>
      </w:pPr>
      <w:r w:rsidRPr="005F719F">
        <w:rPr>
          <w:rFonts w:ascii="Times New Roman" w:hAnsi="Times New Roman" w:cs="Times New Roman"/>
        </w:rPr>
        <w:t>Total Recidivism Rate – 24.4%</w:t>
      </w:r>
    </w:p>
    <w:p w14:paraId="60FA729D" w14:textId="77777777" w:rsidR="00D9318F" w:rsidRPr="005F719F" w:rsidRDefault="00D9318F" w:rsidP="00D9318F">
      <w:pPr>
        <w:pStyle w:val="ListParagraph"/>
        <w:numPr>
          <w:ilvl w:val="1"/>
          <w:numId w:val="4"/>
        </w:numPr>
        <w:rPr>
          <w:rFonts w:ascii="Times New Roman" w:hAnsi="Times New Roman" w:cs="Times New Roman"/>
        </w:rPr>
      </w:pPr>
      <w:r w:rsidRPr="005F719F">
        <w:rPr>
          <w:rFonts w:ascii="Times New Roman" w:hAnsi="Times New Roman" w:cs="Times New Roman"/>
        </w:rPr>
        <w:t>Violation – 21.9%</w:t>
      </w:r>
    </w:p>
    <w:p w14:paraId="030BD31F" w14:textId="77777777" w:rsidR="00D9318F" w:rsidRPr="005F719F" w:rsidRDefault="00D9318F" w:rsidP="00D9318F">
      <w:pPr>
        <w:pStyle w:val="ListParagraph"/>
        <w:numPr>
          <w:ilvl w:val="1"/>
          <w:numId w:val="4"/>
        </w:numPr>
        <w:rPr>
          <w:rFonts w:ascii="Times New Roman" w:hAnsi="Times New Roman" w:cs="Times New Roman"/>
        </w:rPr>
      </w:pPr>
      <w:r w:rsidRPr="005F719F">
        <w:rPr>
          <w:rFonts w:ascii="Times New Roman" w:hAnsi="Times New Roman" w:cs="Times New Roman"/>
        </w:rPr>
        <w:t xml:space="preserve">New Crime – 2.5% </w:t>
      </w:r>
    </w:p>
    <w:p w14:paraId="77AEF6D1" w14:textId="3E574AE8" w:rsidR="003062DB" w:rsidRPr="005F719F" w:rsidRDefault="00933981" w:rsidP="00BA795C">
      <w:pPr>
        <w:ind w:left="720"/>
        <w:rPr>
          <w:rFonts w:ascii="Times New Roman" w:hAnsi="Times New Roman" w:cs="Times New Roman"/>
        </w:rPr>
      </w:pPr>
      <w:r w:rsidRPr="005F719F">
        <w:rPr>
          <w:rFonts w:ascii="Times New Roman" w:hAnsi="Times New Roman" w:cs="Times New Roman"/>
        </w:rPr>
        <w:t xml:space="preserve">Due to the </w:t>
      </w:r>
      <w:r w:rsidR="00D371D4" w:rsidRPr="005F719F">
        <w:rPr>
          <w:rFonts w:ascii="Times New Roman" w:hAnsi="Times New Roman" w:cs="Times New Roman"/>
        </w:rPr>
        <w:t>COVID-19</w:t>
      </w:r>
      <w:r w:rsidRPr="005F719F">
        <w:rPr>
          <w:rFonts w:ascii="Times New Roman" w:hAnsi="Times New Roman" w:cs="Times New Roman"/>
        </w:rPr>
        <w:t xml:space="preserve"> pandemic, HiSET (high school equivalency testing in Montana) has been extremely limited in correctional facilities.  These facilities use primarily paper/pencil testing methods</w:t>
      </w:r>
      <w:r w:rsidR="00677109" w:rsidRPr="005F719F">
        <w:rPr>
          <w:rFonts w:ascii="Times New Roman" w:hAnsi="Times New Roman" w:cs="Times New Roman"/>
        </w:rPr>
        <w:t>,</w:t>
      </w:r>
      <w:r w:rsidRPr="005F719F">
        <w:rPr>
          <w:rFonts w:ascii="Times New Roman" w:hAnsi="Times New Roman" w:cs="Times New Roman"/>
        </w:rPr>
        <w:t xml:space="preserve"> and for some time the Educational Testing Service (ETS – HiSET) </w:t>
      </w:r>
      <w:r w:rsidR="00516598" w:rsidRPr="005F719F">
        <w:rPr>
          <w:rFonts w:ascii="Times New Roman" w:hAnsi="Times New Roman" w:cs="Times New Roman"/>
        </w:rPr>
        <w:t xml:space="preserve">was not accepting these paper forms </w:t>
      </w:r>
      <w:r w:rsidRPr="005F719F">
        <w:rPr>
          <w:rFonts w:ascii="Times New Roman" w:hAnsi="Times New Roman" w:cs="Times New Roman"/>
        </w:rPr>
        <w:t xml:space="preserve">for scoring.  </w:t>
      </w:r>
      <w:proofErr w:type="gramStart"/>
      <w:r w:rsidRPr="005F719F">
        <w:rPr>
          <w:rFonts w:ascii="Times New Roman" w:hAnsi="Times New Roman" w:cs="Times New Roman"/>
        </w:rPr>
        <w:t>Also</w:t>
      </w:r>
      <w:proofErr w:type="gramEnd"/>
      <w:r w:rsidRPr="005F719F">
        <w:rPr>
          <w:rFonts w:ascii="Times New Roman" w:hAnsi="Times New Roman" w:cs="Times New Roman"/>
        </w:rPr>
        <w:t>, correctional facilities have experienced complete</w:t>
      </w:r>
      <w:r w:rsidR="00516598" w:rsidRPr="005F719F">
        <w:rPr>
          <w:rFonts w:ascii="Times New Roman" w:hAnsi="Times New Roman" w:cs="Times New Roman"/>
        </w:rPr>
        <w:t xml:space="preserve"> lock</w:t>
      </w:r>
      <w:r w:rsidRPr="005F719F">
        <w:rPr>
          <w:rFonts w:ascii="Times New Roman" w:hAnsi="Times New Roman" w:cs="Times New Roman"/>
        </w:rPr>
        <w:t xml:space="preserve">downs due to the spread of </w:t>
      </w:r>
      <w:r w:rsidR="00E469FE" w:rsidRPr="005F719F">
        <w:rPr>
          <w:rFonts w:ascii="Times New Roman" w:hAnsi="Times New Roman" w:cs="Times New Roman"/>
        </w:rPr>
        <w:t>COVID-19</w:t>
      </w:r>
      <w:r w:rsidR="00F91780" w:rsidRPr="005F719F">
        <w:rPr>
          <w:rFonts w:ascii="Times New Roman" w:hAnsi="Times New Roman" w:cs="Times New Roman"/>
        </w:rPr>
        <w:t>,</w:t>
      </w:r>
      <w:r w:rsidRPr="005F719F">
        <w:rPr>
          <w:rFonts w:ascii="Times New Roman" w:hAnsi="Times New Roman" w:cs="Times New Roman"/>
        </w:rPr>
        <w:t xml:space="preserve"> which has impacted the programs greatly</w:t>
      </w:r>
      <w:r w:rsidR="00516598" w:rsidRPr="005F719F">
        <w:rPr>
          <w:rFonts w:ascii="Times New Roman" w:hAnsi="Times New Roman" w:cs="Times New Roman"/>
        </w:rPr>
        <w:t xml:space="preserve"> in terms of instruction and assessments</w:t>
      </w:r>
      <w:r w:rsidRPr="005F719F">
        <w:rPr>
          <w:rFonts w:ascii="Times New Roman" w:hAnsi="Times New Roman" w:cs="Times New Roman"/>
        </w:rPr>
        <w:t xml:space="preserve">.  Some correctional institutions have started to transition to tablets, distance learning platforms, and computer-based assessments when applicable.  </w:t>
      </w:r>
      <w:r w:rsidR="00D002DA" w:rsidRPr="005F719F">
        <w:rPr>
          <w:rFonts w:ascii="Times New Roman" w:hAnsi="Times New Roman" w:cs="Times New Roman"/>
        </w:rPr>
        <w:t xml:space="preserve">However, technology access in a correctional setting is limited for inmates even for educational purposes.  </w:t>
      </w:r>
      <w:r w:rsidRPr="005F719F">
        <w:rPr>
          <w:rFonts w:ascii="Times New Roman" w:hAnsi="Times New Roman" w:cs="Times New Roman"/>
        </w:rPr>
        <w:t xml:space="preserve">They </w:t>
      </w:r>
      <w:r w:rsidR="00516598" w:rsidRPr="005F719F">
        <w:rPr>
          <w:rFonts w:ascii="Times New Roman" w:hAnsi="Times New Roman" w:cs="Times New Roman"/>
        </w:rPr>
        <w:t xml:space="preserve">have continued their work </w:t>
      </w:r>
      <w:r w:rsidRPr="005F719F">
        <w:rPr>
          <w:rFonts w:ascii="Times New Roman" w:hAnsi="Times New Roman" w:cs="Times New Roman"/>
        </w:rPr>
        <w:t xml:space="preserve">with </w:t>
      </w:r>
      <w:r w:rsidRPr="005F719F">
        <w:rPr>
          <w:rFonts w:ascii="Times New Roman" w:eastAsia="Times New Roman" w:hAnsi="Times New Roman" w:cs="Times New Roman"/>
        </w:rPr>
        <w:t>re-entry coalitions, other educational institutions</w:t>
      </w:r>
      <w:r w:rsidR="00516598" w:rsidRPr="005F719F">
        <w:rPr>
          <w:rFonts w:ascii="Times New Roman" w:eastAsia="Times New Roman" w:hAnsi="Times New Roman" w:cs="Times New Roman"/>
        </w:rPr>
        <w:t xml:space="preserve">, and employers to help </w:t>
      </w:r>
      <w:r w:rsidRPr="005F719F">
        <w:rPr>
          <w:rFonts w:ascii="Times New Roman" w:eastAsia="Times New Roman" w:hAnsi="Times New Roman" w:cs="Times New Roman"/>
        </w:rPr>
        <w:t>inmate students make a successful tra</w:t>
      </w:r>
      <w:r w:rsidR="00516598" w:rsidRPr="005F719F">
        <w:rPr>
          <w:rFonts w:ascii="Times New Roman" w:eastAsia="Times New Roman" w:hAnsi="Times New Roman" w:cs="Times New Roman"/>
        </w:rPr>
        <w:t>nsition back into communities upon release.</w:t>
      </w:r>
      <w:r w:rsidRPr="005F719F">
        <w:rPr>
          <w:rFonts w:ascii="Times New Roman" w:eastAsia="Times New Roman" w:hAnsi="Times New Roman" w:cs="Times New Roman"/>
        </w:rPr>
        <w:t xml:space="preserve">  </w:t>
      </w:r>
    </w:p>
    <w:sectPr w:rsidR="003062DB" w:rsidRPr="005F719F">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421A" w16cex:dateUtc="2020-12-28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CC569C" w16cid:durableId="239442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E975C" w14:textId="77777777" w:rsidR="00FF2427" w:rsidRDefault="00FF2427" w:rsidP="00FF2427">
      <w:pPr>
        <w:spacing w:after="0" w:line="240" w:lineRule="auto"/>
      </w:pPr>
      <w:r>
        <w:separator/>
      </w:r>
    </w:p>
  </w:endnote>
  <w:endnote w:type="continuationSeparator" w:id="0">
    <w:p w14:paraId="3E151514" w14:textId="77777777" w:rsidR="00FF2427" w:rsidRDefault="00FF2427" w:rsidP="00FF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98372"/>
      <w:docPartObj>
        <w:docPartGallery w:val="Page Numbers (Bottom of Page)"/>
        <w:docPartUnique/>
      </w:docPartObj>
    </w:sdtPr>
    <w:sdtEndPr>
      <w:rPr>
        <w:noProof/>
      </w:rPr>
    </w:sdtEndPr>
    <w:sdtContent>
      <w:p w14:paraId="45815F2F" w14:textId="5E25AA0D" w:rsidR="00306CF6" w:rsidRDefault="00306CF6">
        <w:pPr>
          <w:pStyle w:val="Footer"/>
          <w:jc w:val="center"/>
        </w:pPr>
        <w:r>
          <w:fldChar w:fldCharType="begin"/>
        </w:r>
        <w:r>
          <w:instrText xml:space="preserve"> PAGE   \* MERGEFORMAT </w:instrText>
        </w:r>
        <w:r>
          <w:fldChar w:fldCharType="separate"/>
        </w:r>
        <w:r w:rsidR="00A72C1F">
          <w:rPr>
            <w:noProof/>
          </w:rPr>
          <w:t>10</w:t>
        </w:r>
        <w:r>
          <w:rPr>
            <w:noProof/>
          </w:rPr>
          <w:fldChar w:fldCharType="end"/>
        </w:r>
      </w:p>
    </w:sdtContent>
  </w:sdt>
  <w:p w14:paraId="0F2D794D" w14:textId="77777777" w:rsidR="00FF2427" w:rsidRDefault="00FF2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FB6BA" w14:textId="77777777" w:rsidR="00FF2427" w:rsidRDefault="00FF2427" w:rsidP="00FF2427">
      <w:pPr>
        <w:spacing w:after="0" w:line="240" w:lineRule="auto"/>
      </w:pPr>
      <w:r>
        <w:separator/>
      </w:r>
    </w:p>
  </w:footnote>
  <w:footnote w:type="continuationSeparator" w:id="0">
    <w:p w14:paraId="04241277" w14:textId="77777777" w:rsidR="00FF2427" w:rsidRDefault="00FF2427" w:rsidP="00FF2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5BF"/>
    <w:multiLevelType w:val="hybridMultilevel"/>
    <w:tmpl w:val="947E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6115"/>
    <w:multiLevelType w:val="hybridMultilevel"/>
    <w:tmpl w:val="67B887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0735C"/>
    <w:multiLevelType w:val="hybridMultilevel"/>
    <w:tmpl w:val="E7BE021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42D34ED2"/>
    <w:multiLevelType w:val="multilevel"/>
    <w:tmpl w:val="3A1211D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55E45B47"/>
    <w:multiLevelType w:val="hybridMultilevel"/>
    <w:tmpl w:val="9C40E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ED"/>
    <w:rsid w:val="0000117D"/>
    <w:rsid w:val="000102D3"/>
    <w:rsid w:val="00014C37"/>
    <w:rsid w:val="00031AA6"/>
    <w:rsid w:val="000328A8"/>
    <w:rsid w:val="00046609"/>
    <w:rsid w:val="00052D17"/>
    <w:rsid w:val="00072999"/>
    <w:rsid w:val="00077F5A"/>
    <w:rsid w:val="00086505"/>
    <w:rsid w:val="00095B68"/>
    <w:rsid w:val="000D316D"/>
    <w:rsid w:val="000E124C"/>
    <w:rsid w:val="000E2D65"/>
    <w:rsid w:val="000E3E4C"/>
    <w:rsid w:val="001057DD"/>
    <w:rsid w:val="00116897"/>
    <w:rsid w:val="00133B51"/>
    <w:rsid w:val="00140407"/>
    <w:rsid w:val="00154B59"/>
    <w:rsid w:val="001565E3"/>
    <w:rsid w:val="00173C56"/>
    <w:rsid w:val="00196AC9"/>
    <w:rsid w:val="00197B93"/>
    <w:rsid w:val="00197BB0"/>
    <w:rsid w:val="001A0BA4"/>
    <w:rsid w:val="001A73F4"/>
    <w:rsid w:val="001C55ED"/>
    <w:rsid w:val="001C7B2F"/>
    <w:rsid w:val="001D29D9"/>
    <w:rsid w:val="001D4BE9"/>
    <w:rsid w:val="001D7761"/>
    <w:rsid w:val="001F2C36"/>
    <w:rsid w:val="001F7022"/>
    <w:rsid w:val="002158F7"/>
    <w:rsid w:val="00220D0B"/>
    <w:rsid w:val="00237977"/>
    <w:rsid w:val="002410E4"/>
    <w:rsid w:val="00242961"/>
    <w:rsid w:val="002701CE"/>
    <w:rsid w:val="00276852"/>
    <w:rsid w:val="002803BE"/>
    <w:rsid w:val="00282900"/>
    <w:rsid w:val="002A2607"/>
    <w:rsid w:val="002A6249"/>
    <w:rsid w:val="002B2B3A"/>
    <w:rsid w:val="002C008D"/>
    <w:rsid w:val="002C6164"/>
    <w:rsid w:val="002D1E15"/>
    <w:rsid w:val="002D4F27"/>
    <w:rsid w:val="002F64F0"/>
    <w:rsid w:val="002F6947"/>
    <w:rsid w:val="003062DB"/>
    <w:rsid w:val="00306CF6"/>
    <w:rsid w:val="00312EB1"/>
    <w:rsid w:val="00315CAE"/>
    <w:rsid w:val="00316160"/>
    <w:rsid w:val="00332909"/>
    <w:rsid w:val="003337CC"/>
    <w:rsid w:val="003351E2"/>
    <w:rsid w:val="0033553E"/>
    <w:rsid w:val="00343432"/>
    <w:rsid w:val="00357406"/>
    <w:rsid w:val="003614F5"/>
    <w:rsid w:val="00377D66"/>
    <w:rsid w:val="00384367"/>
    <w:rsid w:val="00392E35"/>
    <w:rsid w:val="003A6D95"/>
    <w:rsid w:val="003B0517"/>
    <w:rsid w:val="003B7BF6"/>
    <w:rsid w:val="003C05C2"/>
    <w:rsid w:val="003C5A7B"/>
    <w:rsid w:val="003C7870"/>
    <w:rsid w:val="003E0C6C"/>
    <w:rsid w:val="003E377D"/>
    <w:rsid w:val="003F0BD4"/>
    <w:rsid w:val="003F47B9"/>
    <w:rsid w:val="00400A20"/>
    <w:rsid w:val="00402614"/>
    <w:rsid w:val="00407E04"/>
    <w:rsid w:val="00412BCC"/>
    <w:rsid w:val="004139EB"/>
    <w:rsid w:val="00424999"/>
    <w:rsid w:val="0042533F"/>
    <w:rsid w:val="004364AE"/>
    <w:rsid w:val="0043750F"/>
    <w:rsid w:val="00441AB7"/>
    <w:rsid w:val="0044459F"/>
    <w:rsid w:val="00450859"/>
    <w:rsid w:val="00464EA3"/>
    <w:rsid w:val="0047308D"/>
    <w:rsid w:val="00492E0C"/>
    <w:rsid w:val="0049626D"/>
    <w:rsid w:val="004A0384"/>
    <w:rsid w:val="004A05AC"/>
    <w:rsid w:val="004B71CB"/>
    <w:rsid w:val="004C75CE"/>
    <w:rsid w:val="004D541E"/>
    <w:rsid w:val="004E0B3E"/>
    <w:rsid w:val="004E5218"/>
    <w:rsid w:val="004F13A6"/>
    <w:rsid w:val="005025E0"/>
    <w:rsid w:val="0051491B"/>
    <w:rsid w:val="00514A82"/>
    <w:rsid w:val="00516598"/>
    <w:rsid w:val="0053072E"/>
    <w:rsid w:val="00531516"/>
    <w:rsid w:val="00531783"/>
    <w:rsid w:val="00533421"/>
    <w:rsid w:val="00535A53"/>
    <w:rsid w:val="00541F90"/>
    <w:rsid w:val="0055400B"/>
    <w:rsid w:val="0056250A"/>
    <w:rsid w:val="00567123"/>
    <w:rsid w:val="005A2445"/>
    <w:rsid w:val="005B1624"/>
    <w:rsid w:val="005B75E1"/>
    <w:rsid w:val="005C08D0"/>
    <w:rsid w:val="005C1822"/>
    <w:rsid w:val="005E6B16"/>
    <w:rsid w:val="005F6E4B"/>
    <w:rsid w:val="005F719F"/>
    <w:rsid w:val="005F74E2"/>
    <w:rsid w:val="006061EB"/>
    <w:rsid w:val="006127DA"/>
    <w:rsid w:val="0062011A"/>
    <w:rsid w:val="00623F88"/>
    <w:rsid w:val="00624F3F"/>
    <w:rsid w:val="00630FBE"/>
    <w:rsid w:val="0063583F"/>
    <w:rsid w:val="00642F5C"/>
    <w:rsid w:val="00665DA9"/>
    <w:rsid w:val="00672CD8"/>
    <w:rsid w:val="00672FD4"/>
    <w:rsid w:val="00675EE6"/>
    <w:rsid w:val="00677109"/>
    <w:rsid w:val="0068450C"/>
    <w:rsid w:val="00687473"/>
    <w:rsid w:val="00692CED"/>
    <w:rsid w:val="00693040"/>
    <w:rsid w:val="006A03C6"/>
    <w:rsid w:val="006A10AC"/>
    <w:rsid w:val="006B606F"/>
    <w:rsid w:val="006C1A01"/>
    <w:rsid w:val="006C769E"/>
    <w:rsid w:val="006F269D"/>
    <w:rsid w:val="007025DB"/>
    <w:rsid w:val="00702CC9"/>
    <w:rsid w:val="00710571"/>
    <w:rsid w:val="00716606"/>
    <w:rsid w:val="007243A4"/>
    <w:rsid w:val="0073125F"/>
    <w:rsid w:val="00741D8A"/>
    <w:rsid w:val="00743877"/>
    <w:rsid w:val="00756449"/>
    <w:rsid w:val="00756690"/>
    <w:rsid w:val="00762261"/>
    <w:rsid w:val="007637FC"/>
    <w:rsid w:val="007843B7"/>
    <w:rsid w:val="00786625"/>
    <w:rsid w:val="00787031"/>
    <w:rsid w:val="00792A8F"/>
    <w:rsid w:val="00797C01"/>
    <w:rsid w:val="007A01B4"/>
    <w:rsid w:val="007A32DD"/>
    <w:rsid w:val="007A70C5"/>
    <w:rsid w:val="007B2421"/>
    <w:rsid w:val="007C411D"/>
    <w:rsid w:val="007C4284"/>
    <w:rsid w:val="007D46DF"/>
    <w:rsid w:val="007E4258"/>
    <w:rsid w:val="007F0AED"/>
    <w:rsid w:val="007F3384"/>
    <w:rsid w:val="007F7FAC"/>
    <w:rsid w:val="008028B1"/>
    <w:rsid w:val="00826928"/>
    <w:rsid w:val="00833264"/>
    <w:rsid w:val="00833295"/>
    <w:rsid w:val="00840C7F"/>
    <w:rsid w:val="008417BC"/>
    <w:rsid w:val="008510F5"/>
    <w:rsid w:val="00852507"/>
    <w:rsid w:val="00862BE3"/>
    <w:rsid w:val="00864260"/>
    <w:rsid w:val="008652BE"/>
    <w:rsid w:val="0087210D"/>
    <w:rsid w:val="00873513"/>
    <w:rsid w:val="00875845"/>
    <w:rsid w:val="00876BF9"/>
    <w:rsid w:val="0089395C"/>
    <w:rsid w:val="008A52A6"/>
    <w:rsid w:val="008D138D"/>
    <w:rsid w:val="008D40C2"/>
    <w:rsid w:val="008D6F5D"/>
    <w:rsid w:val="008F14D9"/>
    <w:rsid w:val="008F340A"/>
    <w:rsid w:val="008F4997"/>
    <w:rsid w:val="008F7FAB"/>
    <w:rsid w:val="009013E2"/>
    <w:rsid w:val="00906B65"/>
    <w:rsid w:val="00906BEB"/>
    <w:rsid w:val="009231E9"/>
    <w:rsid w:val="00923C75"/>
    <w:rsid w:val="009265B1"/>
    <w:rsid w:val="00933981"/>
    <w:rsid w:val="00934176"/>
    <w:rsid w:val="00943BA2"/>
    <w:rsid w:val="00954F81"/>
    <w:rsid w:val="00955139"/>
    <w:rsid w:val="0095610D"/>
    <w:rsid w:val="009572A4"/>
    <w:rsid w:val="00962644"/>
    <w:rsid w:val="00974CCF"/>
    <w:rsid w:val="00983CF7"/>
    <w:rsid w:val="00984B96"/>
    <w:rsid w:val="00990EBB"/>
    <w:rsid w:val="009963D7"/>
    <w:rsid w:val="009A23EB"/>
    <w:rsid w:val="009A5421"/>
    <w:rsid w:val="009B0A2E"/>
    <w:rsid w:val="009B71C9"/>
    <w:rsid w:val="009C4455"/>
    <w:rsid w:val="009F7D15"/>
    <w:rsid w:val="00A22309"/>
    <w:rsid w:val="00A268B8"/>
    <w:rsid w:val="00A275A7"/>
    <w:rsid w:val="00A3573B"/>
    <w:rsid w:val="00A40AF7"/>
    <w:rsid w:val="00A467E0"/>
    <w:rsid w:val="00A512A3"/>
    <w:rsid w:val="00A536A0"/>
    <w:rsid w:val="00A54912"/>
    <w:rsid w:val="00A64B9D"/>
    <w:rsid w:val="00A64DBE"/>
    <w:rsid w:val="00A656B7"/>
    <w:rsid w:val="00A67122"/>
    <w:rsid w:val="00A72C1F"/>
    <w:rsid w:val="00A80C07"/>
    <w:rsid w:val="00A8720D"/>
    <w:rsid w:val="00A91DC9"/>
    <w:rsid w:val="00A9227B"/>
    <w:rsid w:val="00A9314E"/>
    <w:rsid w:val="00A93537"/>
    <w:rsid w:val="00A94055"/>
    <w:rsid w:val="00A95E08"/>
    <w:rsid w:val="00AA0E92"/>
    <w:rsid w:val="00AA1E36"/>
    <w:rsid w:val="00AA6EDE"/>
    <w:rsid w:val="00AB1B84"/>
    <w:rsid w:val="00AB2FA3"/>
    <w:rsid w:val="00AC6F5F"/>
    <w:rsid w:val="00AC7B1E"/>
    <w:rsid w:val="00AE3381"/>
    <w:rsid w:val="00AF10F1"/>
    <w:rsid w:val="00AF35B3"/>
    <w:rsid w:val="00AF4C78"/>
    <w:rsid w:val="00AF4E72"/>
    <w:rsid w:val="00AF6D09"/>
    <w:rsid w:val="00B0070F"/>
    <w:rsid w:val="00B01725"/>
    <w:rsid w:val="00B141F9"/>
    <w:rsid w:val="00B21922"/>
    <w:rsid w:val="00B23661"/>
    <w:rsid w:val="00B25F2F"/>
    <w:rsid w:val="00B34E61"/>
    <w:rsid w:val="00B357EF"/>
    <w:rsid w:val="00B40ACE"/>
    <w:rsid w:val="00B41F93"/>
    <w:rsid w:val="00B50EE2"/>
    <w:rsid w:val="00B56DC2"/>
    <w:rsid w:val="00B57698"/>
    <w:rsid w:val="00B64BB0"/>
    <w:rsid w:val="00B76EE4"/>
    <w:rsid w:val="00B935A1"/>
    <w:rsid w:val="00B94B22"/>
    <w:rsid w:val="00BA16D2"/>
    <w:rsid w:val="00BA4175"/>
    <w:rsid w:val="00BA7689"/>
    <w:rsid w:val="00BA795C"/>
    <w:rsid w:val="00BB0568"/>
    <w:rsid w:val="00BC6BEF"/>
    <w:rsid w:val="00BC7420"/>
    <w:rsid w:val="00BD09EC"/>
    <w:rsid w:val="00BD1B14"/>
    <w:rsid w:val="00BD585D"/>
    <w:rsid w:val="00BE40A1"/>
    <w:rsid w:val="00BF264C"/>
    <w:rsid w:val="00C251BD"/>
    <w:rsid w:val="00C25994"/>
    <w:rsid w:val="00C31AA5"/>
    <w:rsid w:val="00C432FC"/>
    <w:rsid w:val="00C4331A"/>
    <w:rsid w:val="00C536B9"/>
    <w:rsid w:val="00C6065E"/>
    <w:rsid w:val="00C81242"/>
    <w:rsid w:val="00C861F5"/>
    <w:rsid w:val="00CA23CF"/>
    <w:rsid w:val="00CA53A4"/>
    <w:rsid w:val="00CB4729"/>
    <w:rsid w:val="00CC105B"/>
    <w:rsid w:val="00CC13E8"/>
    <w:rsid w:val="00CF35E8"/>
    <w:rsid w:val="00D002DA"/>
    <w:rsid w:val="00D06F6E"/>
    <w:rsid w:val="00D149E7"/>
    <w:rsid w:val="00D24B44"/>
    <w:rsid w:val="00D330FF"/>
    <w:rsid w:val="00D371D4"/>
    <w:rsid w:val="00D37627"/>
    <w:rsid w:val="00D47B4E"/>
    <w:rsid w:val="00D50FE8"/>
    <w:rsid w:val="00D51880"/>
    <w:rsid w:val="00D631C0"/>
    <w:rsid w:val="00D704B9"/>
    <w:rsid w:val="00D80530"/>
    <w:rsid w:val="00D83186"/>
    <w:rsid w:val="00D85BA5"/>
    <w:rsid w:val="00D9318F"/>
    <w:rsid w:val="00DA45DA"/>
    <w:rsid w:val="00DA5436"/>
    <w:rsid w:val="00DB04EE"/>
    <w:rsid w:val="00DC1E32"/>
    <w:rsid w:val="00DC5EB8"/>
    <w:rsid w:val="00DE76F2"/>
    <w:rsid w:val="00DF0ADE"/>
    <w:rsid w:val="00E01441"/>
    <w:rsid w:val="00E05420"/>
    <w:rsid w:val="00E06F11"/>
    <w:rsid w:val="00E21A60"/>
    <w:rsid w:val="00E22319"/>
    <w:rsid w:val="00E31C48"/>
    <w:rsid w:val="00E36E1D"/>
    <w:rsid w:val="00E37A89"/>
    <w:rsid w:val="00E41373"/>
    <w:rsid w:val="00E44371"/>
    <w:rsid w:val="00E469FE"/>
    <w:rsid w:val="00E81922"/>
    <w:rsid w:val="00E823AD"/>
    <w:rsid w:val="00E8403A"/>
    <w:rsid w:val="00EA5A70"/>
    <w:rsid w:val="00EA67DB"/>
    <w:rsid w:val="00EB5EAF"/>
    <w:rsid w:val="00EC2C6B"/>
    <w:rsid w:val="00ED3003"/>
    <w:rsid w:val="00ED5AB3"/>
    <w:rsid w:val="00EE2AC3"/>
    <w:rsid w:val="00EF4264"/>
    <w:rsid w:val="00EF533F"/>
    <w:rsid w:val="00F00E92"/>
    <w:rsid w:val="00F055FE"/>
    <w:rsid w:val="00F17B84"/>
    <w:rsid w:val="00F23254"/>
    <w:rsid w:val="00F27F25"/>
    <w:rsid w:val="00F366FE"/>
    <w:rsid w:val="00F36FB5"/>
    <w:rsid w:val="00F37BCA"/>
    <w:rsid w:val="00F519AD"/>
    <w:rsid w:val="00F5769A"/>
    <w:rsid w:val="00F57F8C"/>
    <w:rsid w:val="00F659FA"/>
    <w:rsid w:val="00F7277B"/>
    <w:rsid w:val="00F74153"/>
    <w:rsid w:val="00F822BB"/>
    <w:rsid w:val="00F85B01"/>
    <w:rsid w:val="00F8728B"/>
    <w:rsid w:val="00F91780"/>
    <w:rsid w:val="00F917C3"/>
    <w:rsid w:val="00F94A43"/>
    <w:rsid w:val="00FA1A6E"/>
    <w:rsid w:val="00FA2B24"/>
    <w:rsid w:val="00FB3766"/>
    <w:rsid w:val="00FB4C01"/>
    <w:rsid w:val="00FB7736"/>
    <w:rsid w:val="00FD679F"/>
    <w:rsid w:val="00FF0E2F"/>
    <w:rsid w:val="00FF2427"/>
    <w:rsid w:val="00FF443A"/>
    <w:rsid w:val="00FF4966"/>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7858"/>
  <w15:chartTrackingRefBased/>
  <w15:docId w15:val="{3B7AC8CD-7A3E-403E-993A-E37DE7A5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BE9"/>
    <w:pPr>
      <w:ind w:left="720"/>
      <w:contextualSpacing/>
    </w:pPr>
  </w:style>
  <w:style w:type="paragraph" w:styleId="Header">
    <w:name w:val="header"/>
    <w:basedOn w:val="Normal"/>
    <w:link w:val="HeaderChar"/>
    <w:uiPriority w:val="99"/>
    <w:unhideWhenUsed/>
    <w:rsid w:val="00FF2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27"/>
  </w:style>
  <w:style w:type="paragraph" w:styleId="Footer">
    <w:name w:val="footer"/>
    <w:basedOn w:val="Normal"/>
    <w:link w:val="FooterChar"/>
    <w:uiPriority w:val="99"/>
    <w:unhideWhenUsed/>
    <w:rsid w:val="00FF2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27"/>
  </w:style>
  <w:style w:type="paragraph" w:styleId="NoSpacing">
    <w:name w:val="No Spacing"/>
    <w:uiPriority w:val="1"/>
    <w:qFormat/>
    <w:rsid w:val="004C75CE"/>
    <w:pPr>
      <w:spacing w:after="0" w:line="240" w:lineRule="auto"/>
    </w:pPr>
  </w:style>
  <w:style w:type="paragraph" w:customStyle="1" w:styleId="null1">
    <w:name w:val="null1"/>
    <w:basedOn w:val="Normal"/>
    <w:rsid w:val="00A467E0"/>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014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C37"/>
    <w:rPr>
      <w:rFonts w:ascii="Segoe UI" w:hAnsi="Segoe UI" w:cs="Segoe UI"/>
      <w:sz w:val="18"/>
      <w:szCs w:val="18"/>
    </w:rPr>
  </w:style>
  <w:style w:type="character" w:styleId="CommentReference">
    <w:name w:val="annotation reference"/>
    <w:basedOn w:val="DefaultParagraphFont"/>
    <w:uiPriority w:val="99"/>
    <w:semiHidden/>
    <w:unhideWhenUsed/>
    <w:rsid w:val="00133B51"/>
    <w:rPr>
      <w:sz w:val="16"/>
      <w:szCs w:val="16"/>
    </w:rPr>
  </w:style>
  <w:style w:type="paragraph" w:styleId="CommentText">
    <w:name w:val="annotation text"/>
    <w:basedOn w:val="Normal"/>
    <w:link w:val="CommentTextChar"/>
    <w:uiPriority w:val="99"/>
    <w:semiHidden/>
    <w:unhideWhenUsed/>
    <w:rsid w:val="00133B51"/>
    <w:pPr>
      <w:spacing w:line="240" w:lineRule="auto"/>
    </w:pPr>
    <w:rPr>
      <w:sz w:val="20"/>
      <w:szCs w:val="20"/>
    </w:rPr>
  </w:style>
  <w:style w:type="character" w:customStyle="1" w:styleId="CommentTextChar">
    <w:name w:val="Comment Text Char"/>
    <w:basedOn w:val="DefaultParagraphFont"/>
    <w:link w:val="CommentText"/>
    <w:uiPriority w:val="99"/>
    <w:semiHidden/>
    <w:rsid w:val="00133B51"/>
    <w:rPr>
      <w:sz w:val="20"/>
      <w:szCs w:val="20"/>
    </w:rPr>
  </w:style>
  <w:style w:type="paragraph" w:styleId="CommentSubject">
    <w:name w:val="annotation subject"/>
    <w:basedOn w:val="CommentText"/>
    <w:next w:val="CommentText"/>
    <w:link w:val="CommentSubjectChar"/>
    <w:uiPriority w:val="99"/>
    <w:semiHidden/>
    <w:unhideWhenUsed/>
    <w:rsid w:val="00133B51"/>
    <w:rPr>
      <w:b/>
      <w:bCs/>
    </w:rPr>
  </w:style>
  <w:style w:type="character" w:customStyle="1" w:styleId="CommentSubjectChar">
    <w:name w:val="Comment Subject Char"/>
    <w:basedOn w:val="CommentTextChar"/>
    <w:link w:val="CommentSubject"/>
    <w:uiPriority w:val="99"/>
    <w:semiHidden/>
    <w:rsid w:val="00133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4281">
      <w:bodyDiv w:val="1"/>
      <w:marLeft w:val="0"/>
      <w:marRight w:val="0"/>
      <w:marTop w:val="0"/>
      <w:marBottom w:val="0"/>
      <w:divBdr>
        <w:top w:val="none" w:sz="0" w:space="0" w:color="auto"/>
        <w:left w:val="none" w:sz="0" w:space="0" w:color="auto"/>
        <w:bottom w:val="none" w:sz="0" w:space="0" w:color="auto"/>
        <w:right w:val="none" w:sz="0" w:space="0" w:color="auto"/>
      </w:divBdr>
    </w:div>
    <w:div w:id="394939523">
      <w:bodyDiv w:val="1"/>
      <w:marLeft w:val="0"/>
      <w:marRight w:val="0"/>
      <w:marTop w:val="0"/>
      <w:marBottom w:val="0"/>
      <w:divBdr>
        <w:top w:val="none" w:sz="0" w:space="0" w:color="auto"/>
        <w:left w:val="none" w:sz="0" w:space="0" w:color="auto"/>
        <w:bottom w:val="none" w:sz="0" w:space="0" w:color="auto"/>
        <w:right w:val="none" w:sz="0" w:space="0" w:color="auto"/>
      </w:divBdr>
    </w:div>
    <w:div w:id="415980517">
      <w:bodyDiv w:val="1"/>
      <w:marLeft w:val="0"/>
      <w:marRight w:val="0"/>
      <w:marTop w:val="0"/>
      <w:marBottom w:val="0"/>
      <w:divBdr>
        <w:top w:val="none" w:sz="0" w:space="0" w:color="auto"/>
        <w:left w:val="none" w:sz="0" w:space="0" w:color="auto"/>
        <w:bottom w:val="none" w:sz="0" w:space="0" w:color="auto"/>
        <w:right w:val="none" w:sz="0" w:space="0" w:color="auto"/>
      </w:divBdr>
    </w:div>
    <w:div w:id="489292559">
      <w:bodyDiv w:val="1"/>
      <w:marLeft w:val="0"/>
      <w:marRight w:val="0"/>
      <w:marTop w:val="0"/>
      <w:marBottom w:val="0"/>
      <w:divBdr>
        <w:top w:val="none" w:sz="0" w:space="0" w:color="auto"/>
        <w:left w:val="none" w:sz="0" w:space="0" w:color="auto"/>
        <w:bottom w:val="none" w:sz="0" w:space="0" w:color="auto"/>
        <w:right w:val="none" w:sz="0" w:space="0" w:color="auto"/>
      </w:divBdr>
    </w:div>
    <w:div w:id="512884962">
      <w:bodyDiv w:val="1"/>
      <w:marLeft w:val="0"/>
      <w:marRight w:val="0"/>
      <w:marTop w:val="0"/>
      <w:marBottom w:val="0"/>
      <w:divBdr>
        <w:top w:val="none" w:sz="0" w:space="0" w:color="auto"/>
        <w:left w:val="none" w:sz="0" w:space="0" w:color="auto"/>
        <w:bottom w:val="none" w:sz="0" w:space="0" w:color="auto"/>
        <w:right w:val="none" w:sz="0" w:space="0" w:color="auto"/>
      </w:divBdr>
    </w:div>
    <w:div w:id="529218606">
      <w:bodyDiv w:val="1"/>
      <w:marLeft w:val="0"/>
      <w:marRight w:val="0"/>
      <w:marTop w:val="0"/>
      <w:marBottom w:val="0"/>
      <w:divBdr>
        <w:top w:val="none" w:sz="0" w:space="0" w:color="auto"/>
        <w:left w:val="none" w:sz="0" w:space="0" w:color="auto"/>
        <w:bottom w:val="none" w:sz="0" w:space="0" w:color="auto"/>
        <w:right w:val="none" w:sz="0" w:space="0" w:color="auto"/>
      </w:divBdr>
    </w:div>
    <w:div w:id="643386383">
      <w:bodyDiv w:val="1"/>
      <w:marLeft w:val="0"/>
      <w:marRight w:val="0"/>
      <w:marTop w:val="0"/>
      <w:marBottom w:val="0"/>
      <w:divBdr>
        <w:top w:val="none" w:sz="0" w:space="0" w:color="auto"/>
        <w:left w:val="none" w:sz="0" w:space="0" w:color="auto"/>
        <w:bottom w:val="none" w:sz="0" w:space="0" w:color="auto"/>
        <w:right w:val="none" w:sz="0" w:space="0" w:color="auto"/>
      </w:divBdr>
    </w:div>
    <w:div w:id="751396235">
      <w:bodyDiv w:val="1"/>
      <w:marLeft w:val="0"/>
      <w:marRight w:val="0"/>
      <w:marTop w:val="0"/>
      <w:marBottom w:val="0"/>
      <w:divBdr>
        <w:top w:val="none" w:sz="0" w:space="0" w:color="auto"/>
        <w:left w:val="none" w:sz="0" w:space="0" w:color="auto"/>
        <w:bottom w:val="none" w:sz="0" w:space="0" w:color="auto"/>
        <w:right w:val="none" w:sz="0" w:space="0" w:color="auto"/>
      </w:divBdr>
    </w:div>
    <w:div w:id="1283463042">
      <w:bodyDiv w:val="1"/>
      <w:marLeft w:val="0"/>
      <w:marRight w:val="0"/>
      <w:marTop w:val="0"/>
      <w:marBottom w:val="0"/>
      <w:divBdr>
        <w:top w:val="none" w:sz="0" w:space="0" w:color="auto"/>
        <w:left w:val="none" w:sz="0" w:space="0" w:color="auto"/>
        <w:bottom w:val="none" w:sz="0" w:space="0" w:color="auto"/>
        <w:right w:val="none" w:sz="0" w:space="0" w:color="auto"/>
      </w:divBdr>
    </w:div>
    <w:div w:id="1580746787">
      <w:bodyDiv w:val="1"/>
      <w:marLeft w:val="0"/>
      <w:marRight w:val="0"/>
      <w:marTop w:val="0"/>
      <w:marBottom w:val="0"/>
      <w:divBdr>
        <w:top w:val="none" w:sz="0" w:space="0" w:color="auto"/>
        <w:left w:val="none" w:sz="0" w:space="0" w:color="auto"/>
        <w:bottom w:val="none" w:sz="0" w:space="0" w:color="auto"/>
        <w:right w:val="none" w:sz="0" w:space="0" w:color="auto"/>
      </w:divBdr>
    </w:div>
    <w:div w:id="1765370736">
      <w:bodyDiv w:val="1"/>
      <w:marLeft w:val="0"/>
      <w:marRight w:val="0"/>
      <w:marTop w:val="0"/>
      <w:marBottom w:val="0"/>
      <w:divBdr>
        <w:top w:val="none" w:sz="0" w:space="0" w:color="auto"/>
        <w:left w:val="none" w:sz="0" w:space="0" w:color="auto"/>
        <w:bottom w:val="none" w:sz="0" w:space="0" w:color="auto"/>
        <w:right w:val="none" w:sz="0" w:space="0" w:color="auto"/>
      </w:divBdr>
    </w:div>
    <w:div w:id="1800762580">
      <w:bodyDiv w:val="1"/>
      <w:marLeft w:val="0"/>
      <w:marRight w:val="0"/>
      <w:marTop w:val="0"/>
      <w:marBottom w:val="0"/>
      <w:divBdr>
        <w:top w:val="none" w:sz="0" w:space="0" w:color="auto"/>
        <w:left w:val="none" w:sz="0" w:space="0" w:color="auto"/>
        <w:bottom w:val="none" w:sz="0" w:space="0" w:color="auto"/>
        <w:right w:val="none" w:sz="0" w:space="0" w:color="auto"/>
      </w:divBdr>
    </w:div>
    <w:div w:id="2077851031">
      <w:bodyDiv w:val="1"/>
      <w:marLeft w:val="0"/>
      <w:marRight w:val="0"/>
      <w:marTop w:val="0"/>
      <w:marBottom w:val="0"/>
      <w:divBdr>
        <w:top w:val="none" w:sz="0" w:space="0" w:color="auto"/>
        <w:left w:val="none" w:sz="0" w:space="0" w:color="auto"/>
        <w:bottom w:val="none" w:sz="0" w:space="0" w:color="auto"/>
        <w:right w:val="none" w:sz="0" w:space="0" w:color="auto"/>
      </w:divBdr>
    </w:div>
    <w:div w:id="2099669520">
      <w:bodyDiv w:val="1"/>
      <w:marLeft w:val="0"/>
      <w:marRight w:val="0"/>
      <w:marTop w:val="0"/>
      <w:marBottom w:val="0"/>
      <w:divBdr>
        <w:top w:val="none" w:sz="0" w:space="0" w:color="auto"/>
        <w:left w:val="none" w:sz="0" w:space="0" w:color="auto"/>
        <w:bottom w:val="none" w:sz="0" w:space="0" w:color="auto"/>
        <w:right w:val="none" w:sz="0" w:space="0" w:color="auto"/>
      </w:divBdr>
    </w:div>
    <w:div w:id="21387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FB6C-ECA7-4111-B9D6-86A743C1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4908</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Bokovoy, Kristen</dc:creator>
  <cp:keywords/>
  <dc:description/>
  <cp:lastModifiedBy>Madsen, Katie</cp:lastModifiedBy>
  <cp:revision>16</cp:revision>
  <cp:lastPrinted>2019-12-05T14:58:00Z</cp:lastPrinted>
  <dcterms:created xsi:type="dcterms:W3CDTF">2020-12-28T20:11:00Z</dcterms:created>
  <dcterms:modified xsi:type="dcterms:W3CDTF">2020-12-29T21:48:00Z</dcterms:modified>
</cp:coreProperties>
</file>