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43A03" w14:textId="2CF3E985" w:rsidR="0029778A" w:rsidRPr="00884451" w:rsidRDefault="248836E0" w:rsidP="248836E0">
      <w:pPr>
        <w:autoSpaceDE w:val="0"/>
        <w:autoSpaceDN w:val="0"/>
        <w:adjustRightInd w:val="0"/>
        <w:spacing w:after="0" w:line="240" w:lineRule="auto"/>
        <w:jc w:val="center"/>
        <w:rPr>
          <w:rFonts w:cs="Times New Roman"/>
          <w:b/>
          <w:bCs/>
          <w:caps/>
          <w:sz w:val="24"/>
          <w:szCs w:val="24"/>
        </w:rPr>
      </w:pPr>
      <w:r w:rsidRPr="248836E0">
        <w:rPr>
          <w:rFonts w:cs="Times New Roman"/>
          <w:b/>
          <w:bCs/>
          <w:caps/>
          <w:sz w:val="24"/>
          <w:szCs w:val="24"/>
        </w:rPr>
        <w:t>Rhode</w:t>
      </w:r>
      <w:r w:rsidR="00AB50DB">
        <w:rPr>
          <w:rFonts w:cs="Times New Roman"/>
          <w:b/>
          <w:bCs/>
          <w:caps/>
          <w:sz w:val="24"/>
          <w:szCs w:val="24"/>
        </w:rPr>
        <w:t xml:space="preserve"> Island Narrative Report 2018</w:t>
      </w:r>
      <w:r w:rsidRPr="248836E0">
        <w:rPr>
          <w:rFonts w:cs="Times New Roman"/>
          <w:b/>
          <w:bCs/>
          <w:caps/>
          <w:sz w:val="24"/>
          <w:szCs w:val="24"/>
        </w:rPr>
        <w:t>-1</w:t>
      </w:r>
      <w:r w:rsidR="00AB50DB">
        <w:rPr>
          <w:rFonts w:cs="Times New Roman"/>
          <w:b/>
          <w:bCs/>
          <w:caps/>
          <w:sz w:val="24"/>
          <w:szCs w:val="24"/>
        </w:rPr>
        <w:t>9</w:t>
      </w:r>
    </w:p>
    <w:p w14:paraId="4FB25DBB" w14:textId="77777777" w:rsidR="0029778A" w:rsidRDefault="0029778A" w:rsidP="000C6205">
      <w:pPr>
        <w:autoSpaceDE w:val="0"/>
        <w:autoSpaceDN w:val="0"/>
        <w:adjustRightInd w:val="0"/>
        <w:spacing w:after="0" w:line="240" w:lineRule="auto"/>
        <w:jc w:val="both"/>
        <w:rPr>
          <w:rFonts w:cs="Times New Roman"/>
          <w:b/>
          <w:bCs/>
        </w:rPr>
      </w:pPr>
    </w:p>
    <w:p w14:paraId="08C2A435" w14:textId="19F3B21D" w:rsidR="002E1022" w:rsidRPr="00684256" w:rsidRDefault="002E1022" w:rsidP="00390459">
      <w:pPr>
        <w:autoSpaceDE w:val="0"/>
        <w:autoSpaceDN w:val="0"/>
        <w:adjustRightInd w:val="0"/>
        <w:spacing w:after="0" w:line="240" w:lineRule="auto"/>
        <w:rPr>
          <w:rFonts w:cs="Times New Roman"/>
          <w:b/>
          <w:bCs/>
          <w:u w:val="single"/>
        </w:rPr>
      </w:pPr>
      <w:r w:rsidRPr="00684256">
        <w:rPr>
          <w:rFonts w:cs="Times New Roman"/>
          <w:b/>
          <w:bCs/>
          <w:u w:val="single"/>
        </w:rPr>
        <w:t>1</w:t>
      </w:r>
      <w:r w:rsidR="0029778A" w:rsidRPr="00684256">
        <w:rPr>
          <w:rFonts w:cs="Times New Roman"/>
          <w:b/>
          <w:bCs/>
          <w:u w:val="single"/>
        </w:rPr>
        <w:t>.</w:t>
      </w:r>
      <w:r w:rsidRPr="00684256">
        <w:rPr>
          <w:rFonts w:cs="Times New Roman"/>
          <w:b/>
          <w:bCs/>
          <w:u w:val="single"/>
        </w:rPr>
        <w:t xml:space="preserve"> State Leadership Funds</w:t>
      </w:r>
      <w:r w:rsidR="00884451">
        <w:rPr>
          <w:rFonts w:cs="Times New Roman"/>
          <w:b/>
          <w:bCs/>
          <w:u w:val="single"/>
        </w:rPr>
        <w:t xml:space="preserve"> (AEFLA Section 223)</w:t>
      </w:r>
    </w:p>
    <w:p w14:paraId="0ED983CD" w14:textId="770FFE8F" w:rsidR="008B7AE2" w:rsidRPr="001F51E4" w:rsidRDefault="008B7AE2" w:rsidP="001F51E4">
      <w:pPr>
        <w:autoSpaceDE w:val="0"/>
        <w:autoSpaceDN w:val="0"/>
        <w:adjustRightInd w:val="0"/>
        <w:spacing w:line="240" w:lineRule="auto"/>
        <w:jc w:val="both"/>
        <w:rPr>
          <w:rFonts w:eastAsia="Calibri"/>
          <w:i/>
        </w:rPr>
      </w:pPr>
      <w:r w:rsidRPr="001F51E4">
        <w:rPr>
          <w:rFonts w:eastAsia="Calibri"/>
          <w:i/>
        </w:rPr>
        <w:t>Describe how the State has used funds made available under section 223 (State Leadership activities) for each of the following required activities:</w:t>
      </w:r>
    </w:p>
    <w:p w14:paraId="7E388A20" w14:textId="55FBD35F" w:rsidR="00684256" w:rsidRPr="00390459" w:rsidRDefault="00684256" w:rsidP="00390459">
      <w:pPr>
        <w:pStyle w:val="ListParagraph"/>
        <w:numPr>
          <w:ilvl w:val="0"/>
          <w:numId w:val="9"/>
        </w:numPr>
        <w:autoSpaceDE w:val="0"/>
        <w:autoSpaceDN w:val="0"/>
        <w:adjustRightInd w:val="0"/>
        <w:spacing w:line="240" w:lineRule="auto"/>
        <w:jc w:val="both"/>
        <w:rPr>
          <w:rFonts w:eastAsia="Calibri"/>
          <w:i/>
        </w:rPr>
      </w:pPr>
      <w:r w:rsidRPr="00390459">
        <w:rPr>
          <w:rFonts w:eastAsia="Calibri"/>
          <w:i/>
        </w:rPr>
        <w:t>Alignment of</w:t>
      </w:r>
      <w:r w:rsidR="00B20C81" w:rsidRPr="00390459">
        <w:rPr>
          <w:rFonts w:eastAsia="Calibri"/>
          <w:i/>
        </w:rPr>
        <w:t xml:space="preserve"> adult educa</w:t>
      </w:r>
      <w:r w:rsidRPr="00390459">
        <w:rPr>
          <w:rFonts w:eastAsia="Calibri"/>
          <w:i/>
        </w:rPr>
        <w:t>tion and literacy activities with</w:t>
      </w:r>
      <w:r w:rsidR="00B20C81" w:rsidRPr="00390459">
        <w:rPr>
          <w:rFonts w:eastAsia="Calibri"/>
          <w:i/>
        </w:rPr>
        <w:t xml:space="preserve"> other </w:t>
      </w:r>
      <w:r w:rsidR="004D5E87" w:rsidRPr="00390459">
        <w:rPr>
          <w:rFonts w:eastAsia="Calibri"/>
          <w:i/>
        </w:rPr>
        <w:t>one-s</w:t>
      </w:r>
      <w:r w:rsidR="00B20C81" w:rsidRPr="00390459">
        <w:rPr>
          <w:rFonts w:eastAsia="Calibri"/>
          <w:i/>
        </w:rPr>
        <w:t>top required partne</w:t>
      </w:r>
      <w:r w:rsidR="00B031A7" w:rsidRPr="00390459">
        <w:rPr>
          <w:rFonts w:eastAsia="Calibri"/>
          <w:i/>
        </w:rPr>
        <w:t>rs</w:t>
      </w:r>
      <w:r w:rsidRPr="00390459">
        <w:rPr>
          <w:rFonts w:eastAsia="Calibri"/>
          <w:i/>
        </w:rPr>
        <w:t xml:space="preserve"> to implement the strategies in </w:t>
      </w:r>
      <w:r w:rsidR="00300375" w:rsidRPr="00390459">
        <w:rPr>
          <w:rFonts w:eastAsia="Calibri"/>
          <w:i/>
        </w:rPr>
        <w:t>the</w:t>
      </w:r>
      <w:r w:rsidR="00390459" w:rsidRPr="00390459">
        <w:rPr>
          <w:rFonts w:eastAsia="Calibri"/>
          <w:i/>
        </w:rPr>
        <w:t xml:space="preserve"> Unified or</w:t>
      </w:r>
      <w:r w:rsidRPr="00390459">
        <w:rPr>
          <w:rFonts w:eastAsia="Calibri"/>
          <w:i/>
        </w:rPr>
        <w:t xml:space="preserve"> </w:t>
      </w:r>
      <w:r w:rsidR="00390459" w:rsidRPr="00390459">
        <w:rPr>
          <w:rFonts w:eastAsia="Calibri"/>
          <w:i/>
        </w:rPr>
        <w:t xml:space="preserve">Combined </w:t>
      </w:r>
      <w:r w:rsidRPr="00390459">
        <w:rPr>
          <w:rFonts w:eastAsia="Calibri"/>
          <w:i/>
        </w:rPr>
        <w:t>State Plan</w:t>
      </w:r>
      <w:r w:rsidR="00390459" w:rsidRPr="00390459">
        <w:rPr>
          <w:rFonts w:eastAsia="Calibri"/>
          <w:i/>
        </w:rPr>
        <w:t xml:space="preserve"> as described in section 223(1)(a).</w:t>
      </w:r>
    </w:p>
    <w:p w14:paraId="142210E5" w14:textId="0C522A8A" w:rsidR="001221FB" w:rsidRDefault="248836E0" w:rsidP="248836E0">
      <w:pPr>
        <w:autoSpaceDE w:val="0"/>
        <w:autoSpaceDN w:val="0"/>
        <w:adjustRightInd w:val="0"/>
        <w:spacing w:line="240" w:lineRule="auto"/>
        <w:jc w:val="both"/>
        <w:rPr>
          <w:rFonts w:eastAsia="Calibri"/>
        </w:rPr>
      </w:pPr>
      <w:r w:rsidRPr="248836E0">
        <w:rPr>
          <w:rFonts w:eastAsia="Calibri"/>
        </w:rPr>
        <w:t xml:space="preserve">Adult Education state staff, whose salaries are partially paid with Section 223 State Leadership funds, attend the Rhode Island WIOA Interagency </w:t>
      </w:r>
      <w:r w:rsidR="003C45B3">
        <w:rPr>
          <w:rFonts w:eastAsia="Calibri"/>
        </w:rPr>
        <w:t>Workgroup which meets</w:t>
      </w:r>
      <w:r w:rsidRPr="248836E0">
        <w:rPr>
          <w:rFonts w:eastAsia="Calibri"/>
        </w:rPr>
        <w:t xml:space="preserve"> on a regular monthly basis to discuss the design and implementation of common assessments, intake forms, data sharing agreements, and general work </w:t>
      </w:r>
      <w:r w:rsidR="00222DB2">
        <w:rPr>
          <w:rFonts w:eastAsia="Calibri"/>
        </w:rPr>
        <w:t>surrounding</w:t>
      </w:r>
      <w:r w:rsidRPr="248836E0">
        <w:rPr>
          <w:rFonts w:eastAsia="Calibri"/>
        </w:rPr>
        <w:t xml:space="preserve"> the statewide implementation of WIOA.  This workgroup is chaired by a staff member of the Governor’s Workforce Board (GWB)</w:t>
      </w:r>
      <w:r w:rsidR="00885EE4">
        <w:rPr>
          <w:rFonts w:eastAsia="Calibri"/>
        </w:rPr>
        <w:t xml:space="preserve"> [aka. State Workforce Board under WIOA]</w:t>
      </w:r>
      <w:r w:rsidRPr="248836E0">
        <w:rPr>
          <w:rFonts w:eastAsia="Calibri"/>
        </w:rPr>
        <w:t xml:space="preserve"> and includes the adult education state director and staff, the </w:t>
      </w:r>
      <w:r w:rsidR="00885EE4">
        <w:rPr>
          <w:rFonts w:eastAsia="Calibri"/>
        </w:rPr>
        <w:t>e</w:t>
      </w:r>
      <w:r w:rsidRPr="248836E0">
        <w:rPr>
          <w:rFonts w:eastAsia="Calibri"/>
        </w:rPr>
        <w:t xml:space="preserve">xecutive </w:t>
      </w:r>
      <w:r w:rsidR="00885EE4">
        <w:rPr>
          <w:rFonts w:eastAsia="Calibri"/>
        </w:rPr>
        <w:t>d</w:t>
      </w:r>
      <w:r w:rsidRPr="248836E0">
        <w:rPr>
          <w:rFonts w:eastAsia="Calibri"/>
        </w:rPr>
        <w:t xml:space="preserve">irectors of the Local Workforce Development Boards (LWDB), and representatives from the Department of Labor and Training (DLT), the Department of Human Services (DHS) (including TANF, the Office of Rehabilitation Services, and SNAP), and the Department of Behavioral Healthcare, Developmental Disabilities and Hospitals (BHDDH).  </w:t>
      </w:r>
    </w:p>
    <w:p w14:paraId="21B3E364" w14:textId="50F39E9B" w:rsidR="00200636" w:rsidRDefault="00200636" w:rsidP="000C6205">
      <w:pPr>
        <w:autoSpaceDE w:val="0"/>
        <w:autoSpaceDN w:val="0"/>
        <w:adjustRightInd w:val="0"/>
        <w:spacing w:line="240" w:lineRule="auto"/>
        <w:jc w:val="both"/>
        <w:rPr>
          <w:rFonts w:eastAsia="Calibri"/>
        </w:rPr>
      </w:pPr>
      <w:r>
        <w:rPr>
          <w:rFonts w:eastAsia="Calibri"/>
        </w:rPr>
        <w:t xml:space="preserve">The </w:t>
      </w:r>
      <w:r w:rsidR="00A60CF6">
        <w:rPr>
          <w:rFonts w:eastAsia="Calibri"/>
        </w:rPr>
        <w:t xml:space="preserve">Adult Education state staff also participate in the </w:t>
      </w:r>
      <w:r w:rsidR="00390459">
        <w:rPr>
          <w:rFonts w:eastAsia="Calibri"/>
        </w:rPr>
        <w:t xml:space="preserve">RI </w:t>
      </w:r>
      <w:r>
        <w:rPr>
          <w:rFonts w:eastAsia="Calibri"/>
        </w:rPr>
        <w:t>Workforce Alliance</w:t>
      </w:r>
      <w:r w:rsidR="00A60CF6">
        <w:rPr>
          <w:rFonts w:eastAsia="Calibri"/>
        </w:rPr>
        <w:t xml:space="preserve"> which</w:t>
      </w:r>
      <w:r>
        <w:rPr>
          <w:rFonts w:eastAsia="Calibri"/>
        </w:rPr>
        <w:t xml:space="preserve"> is made up of </w:t>
      </w:r>
      <w:r w:rsidR="00A60CF6">
        <w:rPr>
          <w:rFonts w:eastAsia="Calibri"/>
        </w:rPr>
        <w:t>WIOA partners from GWB, LWDB, American Job Centers</w:t>
      </w:r>
      <w:r w:rsidR="00390459">
        <w:rPr>
          <w:rFonts w:eastAsia="Calibri"/>
        </w:rPr>
        <w:t xml:space="preserve"> and their Operators</w:t>
      </w:r>
      <w:r w:rsidR="00A60CF6">
        <w:rPr>
          <w:rFonts w:eastAsia="Calibri"/>
        </w:rPr>
        <w:t xml:space="preserve">, DLT and DHS. In addition, the Alliance consists of local </w:t>
      </w:r>
      <w:r>
        <w:rPr>
          <w:rFonts w:eastAsia="Calibri"/>
        </w:rPr>
        <w:t>adult education agency directors</w:t>
      </w:r>
      <w:r w:rsidR="00A60CF6">
        <w:rPr>
          <w:rFonts w:eastAsia="Calibri"/>
        </w:rPr>
        <w:t xml:space="preserve"> and interested</w:t>
      </w:r>
      <w:r w:rsidR="00300375">
        <w:rPr>
          <w:rFonts w:eastAsia="Calibri"/>
        </w:rPr>
        <w:t xml:space="preserve"> constituents from several other agencies</w:t>
      </w:r>
      <w:r w:rsidR="00454937">
        <w:rPr>
          <w:rFonts w:eastAsia="Calibri"/>
        </w:rPr>
        <w:t xml:space="preserve">, ranging from </w:t>
      </w:r>
      <w:r w:rsidR="00A60CF6">
        <w:rPr>
          <w:rFonts w:eastAsia="Calibri"/>
        </w:rPr>
        <w:t xml:space="preserve">College Unbound, the </w:t>
      </w:r>
      <w:r w:rsidR="00DB3AA7">
        <w:rPr>
          <w:rFonts w:eastAsia="Calibri"/>
        </w:rPr>
        <w:t>community college system, USDA,</w:t>
      </w:r>
      <w:r w:rsidR="00A60CF6">
        <w:rPr>
          <w:rFonts w:eastAsia="Calibri"/>
        </w:rPr>
        <w:t xml:space="preserve"> and the RI Food Bank</w:t>
      </w:r>
      <w:r>
        <w:rPr>
          <w:rFonts w:eastAsia="Calibri"/>
        </w:rPr>
        <w:t xml:space="preserve">. This group has been providing feedback on a statewide basis for several WIOA activities including the choice of the One-Stop Operator, the development of the two Local </w:t>
      </w:r>
      <w:r w:rsidR="00DB3AA7">
        <w:rPr>
          <w:rFonts w:eastAsia="Calibri"/>
        </w:rPr>
        <w:t>Plans, and a</w:t>
      </w:r>
      <w:r>
        <w:rPr>
          <w:rFonts w:eastAsia="Calibri"/>
        </w:rPr>
        <w:t xml:space="preserve"> Working Cities Challenge Grant</w:t>
      </w:r>
      <w:r w:rsidR="00BE7E3E">
        <w:rPr>
          <w:rFonts w:eastAsia="Calibri"/>
        </w:rPr>
        <w:t xml:space="preserve"> for the city of Providence</w:t>
      </w:r>
      <w:r>
        <w:rPr>
          <w:rFonts w:eastAsia="Calibri"/>
        </w:rPr>
        <w:t xml:space="preserve"> through the Federal Reserve Bank of Boston.</w:t>
      </w:r>
      <w:r w:rsidR="00885EE4">
        <w:rPr>
          <w:rFonts w:eastAsia="Calibri"/>
        </w:rPr>
        <w:t xml:space="preserve"> This grant established</w:t>
      </w:r>
      <w:r w:rsidR="00BE7E3E">
        <w:rPr>
          <w:rFonts w:eastAsia="Calibri"/>
        </w:rPr>
        <w:t xml:space="preserve"> four</w:t>
      </w:r>
      <w:r>
        <w:rPr>
          <w:rFonts w:eastAsia="Calibri"/>
        </w:rPr>
        <w:t xml:space="preserve"> </w:t>
      </w:r>
      <w:r w:rsidR="00BE7E3E">
        <w:rPr>
          <w:rFonts w:eastAsia="Calibri"/>
        </w:rPr>
        <w:t xml:space="preserve">One-Stop Community Connection Sites at adult education agencies to be staffed by One-Stop personnel at regular </w:t>
      </w:r>
      <w:r w:rsidR="00390459">
        <w:rPr>
          <w:rFonts w:eastAsia="Calibri"/>
        </w:rPr>
        <w:t>intervals.</w:t>
      </w:r>
    </w:p>
    <w:p w14:paraId="65171F73" w14:textId="1C0B75FC" w:rsidR="00A60CF6" w:rsidRDefault="248836E0" w:rsidP="248836E0">
      <w:pPr>
        <w:autoSpaceDE w:val="0"/>
        <w:autoSpaceDN w:val="0"/>
        <w:adjustRightInd w:val="0"/>
        <w:spacing w:line="240" w:lineRule="auto"/>
        <w:jc w:val="both"/>
        <w:rPr>
          <w:rFonts w:eastAsia="Calibri"/>
        </w:rPr>
      </w:pPr>
      <w:r w:rsidRPr="248836E0">
        <w:rPr>
          <w:rFonts w:eastAsia="Calibri"/>
        </w:rPr>
        <w:t>Real Jobs Rhode Island (RJRI), Governor Gina Raimondo’s primary economic and workforce initiative, has been highlighted in the Rhode Island WIOA State Plan. The Governor’s Workforce Board continued to fund RJRI grants that included the integration of adult education and literacy with ten ad</w:t>
      </w:r>
      <w:r w:rsidR="003C45B3">
        <w:rPr>
          <w:rFonts w:eastAsia="Calibri"/>
        </w:rPr>
        <w:t xml:space="preserve">ult education providers </w:t>
      </w:r>
      <w:r w:rsidRPr="248836E0">
        <w:rPr>
          <w:rFonts w:eastAsia="Calibri"/>
        </w:rPr>
        <w:t>for partnering with local businesses and industries to provide educational services related t</w:t>
      </w:r>
      <w:r w:rsidR="003C45B3">
        <w:rPr>
          <w:rFonts w:eastAsia="Calibri"/>
        </w:rPr>
        <w:t>o the industry-specific</w:t>
      </w:r>
      <w:r w:rsidRPr="248836E0">
        <w:rPr>
          <w:rFonts w:eastAsia="Calibri"/>
        </w:rPr>
        <w:t xml:space="preserve"> career pathways.  </w:t>
      </w:r>
      <w:r w:rsidR="00885EE4">
        <w:rPr>
          <w:rFonts w:eastAsia="Calibri"/>
        </w:rPr>
        <w:t>T</w:t>
      </w:r>
      <w:r w:rsidRPr="248836E0">
        <w:rPr>
          <w:rFonts w:eastAsia="Calibri"/>
        </w:rPr>
        <w:t xml:space="preserve">he Department of Labor and Training </w:t>
      </w:r>
      <w:r w:rsidR="00885EE4">
        <w:rPr>
          <w:rFonts w:eastAsia="Calibri"/>
        </w:rPr>
        <w:t>continues to expand this initiative with the</w:t>
      </w:r>
      <w:r w:rsidRPr="248836E0">
        <w:rPr>
          <w:rFonts w:eastAsia="Calibri"/>
        </w:rPr>
        <w:t xml:space="preserve"> </w:t>
      </w:r>
      <w:r w:rsidR="00885EE4" w:rsidRPr="248836E0">
        <w:rPr>
          <w:rFonts w:eastAsia="Calibri"/>
        </w:rPr>
        <w:t xml:space="preserve">Real Pathways Rhode Island </w:t>
      </w:r>
      <w:r w:rsidRPr="248836E0">
        <w:rPr>
          <w:rFonts w:eastAsia="Calibri"/>
        </w:rPr>
        <w:t>grant for training programs specifically for low-</w:t>
      </w:r>
      <w:r w:rsidR="00885EE4">
        <w:rPr>
          <w:rFonts w:eastAsia="Calibri"/>
        </w:rPr>
        <w:t>skilled residents</w:t>
      </w:r>
      <w:r w:rsidRPr="248836E0">
        <w:rPr>
          <w:rFonts w:eastAsia="Calibri"/>
        </w:rPr>
        <w:t xml:space="preserve">.  The purpose of Real Pathways is to promote and support partnerships between and among public, private, and nonprofit agencies, education and training providers and other providers as necessary within a specific geographic region or who focus on a similar population, such as veterans or English language learners.  Nine out of the 14 grants went to adult education providers who are focusing on building career pathways for their students in the fields of healthcare, hospitality, construction, manufacturing, and culinary arts.   </w:t>
      </w:r>
    </w:p>
    <w:p w14:paraId="6DE6BCCB" w14:textId="77777777" w:rsidR="00222DB2" w:rsidRDefault="00222DB2" w:rsidP="00222DB2">
      <w:pPr>
        <w:spacing w:line="240" w:lineRule="auto"/>
        <w:jc w:val="both"/>
        <w:rPr>
          <w:rFonts w:eastAsia="Times New Roman" w:cs="Times New Roman"/>
        </w:rPr>
      </w:pPr>
      <w:r>
        <w:rPr>
          <w:rFonts w:eastAsia="Times New Roman" w:cs="Times New Roman"/>
        </w:rPr>
        <w:t>RIDE provided fiscal assistance to the Providence Public Library’s adult education program to provide adult education services in the state’s two comprehensive One-Stop Centers.  The Library assigned teachers to classrooms within the One-Stops on a regular basis to serve One-Stop clients who needed basic academic skills, English as a second language instruction, and digital technology skills. This was a successful arrangement, with many of the clients improving their educational functioning levels and also becoming eligible for further training through the One-Stop system.</w:t>
      </w:r>
    </w:p>
    <w:p w14:paraId="32A3789F" w14:textId="5E8CF851" w:rsidR="00684256" w:rsidRPr="00390459" w:rsidRDefault="35E2BDFE" w:rsidP="00390459">
      <w:pPr>
        <w:pStyle w:val="ListParagraph"/>
        <w:numPr>
          <w:ilvl w:val="0"/>
          <w:numId w:val="8"/>
        </w:numPr>
        <w:autoSpaceDE w:val="0"/>
        <w:autoSpaceDN w:val="0"/>
        <w:adjustRightInd w:val="0"/>
        <w:spacing w:after="0" w:line="240" w:lineRule="auto"/>
        <w:jc w:val="both"/>
        <w:rPr>
          <w:rFonts w:eastAsia="Calibri"/>
          <w:i/>
          <w:iCs/>
        </w:rPr>
      </w:pPr>
      <w:r w:rsidRPr="00390459">
        <w:rPr>
          <w:rFonts w:eastAsia="Calibri"/>
          <w:i/>
          <w:iCs/>
        </w:rPr>
        <w:t>Establishment or operation of high-quality professional development programs.</w:t>
      </w:r>
    </w:p>
    <w:p w14:paraId="189F737F" w14:textId="77777777" w:rsidR="00684256" w:rsidRDefault="00684256" w:rsidP="0030648A">
      <w:pPr>
        <w:autoSpaceDE w:val="0"/>
        <w:autoSpaceDN w:val="0"/>
        <w:adjustRightInd w:val="0"/>
        <w:spacing w:after="0" w:line="240" w:lineRule="auto"/>
        <w:contextualSpacing/>
        <w:jc w:val="both"/>
        <w:rPr>
          <w:rFonts w:eastAsia="Calibri"/>
        </w:rPr>
      </w:pPr>
    </w:p>
    <w:p w14:paraId="3544E802" w14:textId="7C9A0310" w:rsidR="00F75833" w:rsidRDefault="00F75833" w:rsidP="00F75833">
      <w:pPr>
        <w:autoSpaceDE w:val="0"/>
        <w:autoSpaceDN w:val="0"/>
        <w:adjustRightInd w:val="0"/>
        <w:spacing w:after="0" w:line="240" w:lineRule="auto"/>
        <w:contextualSpacing/>
        <w:jc w:val="both"/>
        <w:rPr>
          <w:rFonts w:eastAsia="Calibri"/>
        </w:rPr>
      </w:pPr>
      <w:r w:rsidRPr="00C209B3">
        <w:rPr>
          <w:rFonts w:eastAsia="Calibri"/>
        </w:rPr>
        <w:t>RI</w:t>
      </w:r>
      <w:r>
        <w:rPr>
          <w:rFonts w:eastAsia="Calibri"/>
        </w:rPr>
        <w:t xml:space="preserve">DE </w:t>
      </w:r>
      <w:r w:rsidR="003C45B3">
        <w:rPr>
          <w:rFonts w:eastAsia="Calibri"/>
        </w:rPr>
        <w:t>funded the Community College of Rhode Island (CCRI)</w:t>
      </w:r>
      <w:r>
        <w:rPr>
          <w:rFonts w:eastAsia="Calibri"/>
        </w:rPr>
        <w:t xml:space="preserve"> in </w:t>
      </w:r>
      <w:r w:rsidR="00AB50DB">
        <w:rPr>
          <w:rFonts w:eastAsia="Calibri"/>
        </w:rPr>
        <w:t>2018-2019</w:t>
      </w:r>
      <w:r>
        <w:rPr>
          <w:rFonts w:eastAsia="Calibri"/>
        </w:rPr>
        <w:t xml:space="preserve"> to</w:t>
      </w:r>
      <w:r w:rsidR="003C45B3">
        <w:rPr>
          <w:rFonts w:eastAsia="Calibri"/>
        </w:rPr>
        <w:t xml:space="preserve"> hire a Director of Professional Development to</w:t>
      </w:r>
      <w:r>
        <w:rPr>
          <w:rFonts w:eastAsia="Calibri"/>
        </w:rPr>
        <w:t xml:space="preserve"> provide</w:t>
      </w:r>
      <w:r w:rsidRPr="00C209B3">
        <w:rPr>
          <w:rFonts w:eastAsia="Calibri"/>
        </w:rPr>
        <w:t xml:space="preserve"> a statewide system of professional development</w:t>
      </w:r>
      <w:r w:rsidR="009435C3">
        <w:rPr>
          <w:rFonts w:eastAsia="Calibri"/>
        </w:rPr>
        <w:t xml:space="preserve"> and technical assistance</w:t>
      </w:r>
      <w:r w:rsidRPr="00C209B3">
        <w:rPr>
          <w:rFonts w:eastAsia="Calibri"/>
        </w:rPr>
        <w:t xml:space="preserve"> to support local activities required under </w:t>
      </w:r>
      <w:r>
        <w:rPr>
          <w:rFonts w:eastAsia="Calibri"/>
        </w:rPr>
        <w:t>WIOA.  Priorities</w:t>
      </w:r>
      <w:r w:rsidRPr="00C209B3">
        <w:rPr>
          <w:rFonts w:eastAsia="Calibri"/>
        </w:rPr>
        <w:t xml:space="preserve"> </w:t>
      </w:r>
      <w:r>
        <w:rPr>
          <w:rFonts w:eastAsia="Calibri"/>
        </w:rPr>
        <w:t xml:space="preserve">continued to include a </w:t>
      </w:r>
      <w:r w:rsidRPr="00C209B3">
        <w:rPr>
          <w:rFonts w:eastAsia="Calibri"/>
        </w:rPr>
        <w:t xml:space="preserve">focus on </w:t>
      </w:r>
      <w:r>
        <w:rPr>
          <w:rFonts w:eastAsia="Calibri"/>
        </w:rPr>
        <w:t>essential components of reading instruction, NRS approved assessments,</w:t>
      </w:r>
      <w:r w:rsidR="00885EE4">
        <w:rPr>
          <w:rFonts w:eastAsia="Calibri"/>
        </w:rPr>
        <w:t xml:space="preserve"> planning for and implementing</w:t>
      </w:r>
      <w:r>
        <w:rPr>
          <w:rFonts w:eastAsia="Calibri"/>
        </w:rPr>
        <w:t xml:space="preserve"> </w:t>
      </w:r>
      <w:r w:rsidR="00885EE4">
        <w:rPr>
          <w:rFonts w:eastAsia="Calibri"/>
        </w:rPr>
        <w:t xml:space="preserve">I-BEST </w:t>
      </w:r>
      <w:r w:rsidR="00885EE4">
        <w:rPr>
          <w:rFonts w:eastAsia="Calibri"/>
        </w:rPr>
        <w:lastRenderedPageBreak/>
        <w:t>models,</w:t>
      </w:r>
      <w:r w:rsidRPr="00C209B3">
        <w:rPr>
          <w:rFonts w:eastAsia="Calibri"/>
        </w:rPr>
        <w:t xml:space="preserve"> </w:t>
      </w:r>
      <w:r>
        <w:rPr>
          <w:rFonts w:eastAsia="Calibri"/>
        </w:rPr>
        <w:t>and</w:t>
      </w:r>
      <w:r w:rsidRPr="00C209B3">
        <w:rPr>
          <w:rFonts w:eastAsia="Calibri"/>
        </w:rPr>
        <w:t xml:space="preserve"> shar</w:t>
      </w:r>
      <w:r>
        <w:rPr>
          <w:rFonts w:eastAsia="Calibri"/>
        </w:rPr>
        <w:t>ing</w:t>
      </w:r>
      <w:r w:rsidRPr="00C209B3">
        <w:rPr>
          <w:rFonts w:eastAsia="Calibri"/>
        </w:rPr>
        <w:t xml:space="preserve"> p</w:t>
      </w:r>
      <w:r>
        <w:rPr>
          <w:rFonts w:eastAsia="Calibri"/>
        </w:rPr>
        <w:t xml:space="preserve">romising practices and research-based models online.  In </w:t>
      </w:r>
      <w:r w:rsidR="00AB50DB">
        <w:rPr>
          <w:rFonts w:eastAsia="Calibri"/>
        </w:rPr>
        <w:t>2018-2019</w:t>
      </w:r>
      <w:r w:rsidR="003C45B3">
        <w:rPr>
          <w:rFonts w:eastAsia="Calibri"/>
        </w:rPr>
        <w:t>, the state</w:t>
      </w:r>
      <w:r>
        <w:rPr>
          <w:rFonts w:eastAsia="Calibri"/>
        </w:rPr>
        <w:t xml:space="preserve"> moved to a consultant-based PD delivery model, utilizing practitioners with local, national and international expertise in this delivery.  Building on the </w:t>
      </w:r>
      <w:r w:rsidR="00C317D3">
        <w:rPr>
          <w:rFonts w:eastAsia="Calibri"/>
        </w:rPr>
        <w:t>Professional Learning C</w:t>
      </w:r>
      <w:r>
        <w:rPr>
          <w:rFonts w:eastAsia="Calibri"/>
        </w:rPr>
        <w:t>ommunity (PLC) model that has proven effective for PD in</w:t>
      </w:r>
      <w:r w:rsidR="003C45B3">
        <w:rPr>
          <w:rFonts w:eastAsia="Calibri"/>
        </w:rPr>
        <w:t xml:space="preserve"> the state, the state</w:t>
      </w:r>
      <w:r>
        <w:rPr>
          <w:rFonts w:eastAsia="Calibri"/>
        </w:rPr>
        <w:t xml:space="preserve"> implemented additional PLCs to deepen and extend professional learning in ESOL, Reading and Proficiency-Based Teaching and Learning.  </w:t>
      </w:r>
    </w:p>
    <w:p w14:paraId="2F855ADC" w14:textId="77777777" w:rsidR="00F75833" w:rsidRDefault="00F75833" w:rsidP="00F75833">
      <w:pPr>
        <w:autoSpaceDE w:val="0"/>
        <w:autoSpaceDN w:val="0"/>
        <w:adjustRightInd w:val="0"/>
        <w:spacing w:after="0" w:line="240" w:lineRule="auto"/>
        <w:contextualSpacing/>
        <w:jc w:val="both"/>
        <w:rPr>
          <w:rFonts w:eastAsia="Calibri"/>
        </w:rPr>
      </w:pPr>
    </w:p>
    <w:p w14:paraId="32ADE58E" w14:textId="02041E2B" w:rsidR="0042424C" w:rsidRDefault="00DB3AA7" w:rsidP="00DF4BCC">
      <w:pPr>
        <w:spacing w:after="0" w:line="240" w:lineRule="auto"/>
        <w:jc w:val="both"/>
        <w:rPr>
          <w:rFonts w:cs="Calibri"/>
        </w:rPr>
      </w:pPr>
      <w:r w:rsidRPr="00B30D2E">
        <w:rPr>
          <w:rFonts w:cs="Calibri"/>
        </w:rPr>
        <w:t>One of the more promising tech</w:t>
      </w:r>
      <w:r w:rsidR="009435C3">
        <w:rPr>
          <w:rFonts w:cs="Calibri"/>
        </w:rPr>
        <w:t>nology</w:t>
      </w:r>
      <w:r w:rsidR="00FB0082">
        <w:rPr>
          <w:rFonts w:cs="Calibri"/>
        </w:rPr>
        <w:t xml:space="preserve"> PD initiatives to highlight</w:t>
      </w:r>
      <w:r w:rsidR="009435C3">
        <w:rPr>
          <w:rFonts w:cs="Calibri"/>
        </w:rPr>
        <w:t xml:space="preserve"> is the </w:t>
      </w:r>
      <w:r w:rsidRPr="00B30D2E">
        <w:rPr>
          <w:rFonts w:cs="Calibri-Italic"/>
          <w:iCs/>
        </w:rPr>
        <w:t>Learning Circle</w:t>
      </w:r>
      <w:r w:rsidR="00FB0082">
        <w:rPr>
          <w:rFonts w:cs="Calibri-Italic"/>
          <w:iCs/>
        </w:rPr>
        <w:t xml:space="preserve"> blended technology</w:t>
      </w:r>
      <w:r w:rsidRPr="00B30D2E">
        <w:rPr>
          <w:rFonts w:cs="Calibri-Italic"/>
          <w:iCs/>
        </w:rPr>
        <w:t xml:space="preserve"> model as a means for programs to serve wait listed students. </w:t>
      </w:r>
      <w:r>
        <w:rPr>
          <w:rFonts w:cs="Calibri"/>
        </w:rPr>
        <w:t>Through the Tech H</w:t>
      </w:r>
      <w:r w:rsidR="00FB0082">
        <w:rPr>
          <w:rFonts w:cs="Calibri"/>
        </w:rPr>
        <w:t>ub, practitioners have been</w:t>
      </w:r>
      <w:r w:rsidRPr="00B30D2E">
        <w:rPr>
          <w:rFonts w:cs="Calibri"/>
        </w:rPr>
        <w:t xml:space="preserve"> trained in the Learning Circle m</w:t>
      </w:r>
      <w:r w:rsidR="00FB0082">
        <w:rPr>
          <w:rFonts w:cs="Calibri"/>
        </w:rPr>
        <w:t>odel</w:t>
      </w:r>
      <w:r>
        <w:rPr>
          <w:rFonts w:cs="Calibri"/>
        </w:rPr>
        <w:t xml:space="preserve">. </w:t>
      </w:r>
      <w:r w:rsidR="00FB0082">
        <w:rPr>
          <w:rFonts w:cs="Calibri"/>
        </w:rPr>
        <w:t xml:space="preserve"> See next section about the Tech Hub. </w:t>
      </w:r>
    </w:p>
    <w:p w14:paraId="0E97125A" w14:textId="77777777" w:rsidR="00E074C1" w:rsidRDefault="00E074C1" w:rsidP="00E074C1">
      <w:pPr>
        <w:autoSpaceDE w:val="0"/>
        <w:autoSpaceDN w:val="0"/>
        <w:adjustRightInd w:val="0"/>
        <w:spacing w:after="0" w:line="240" w:lineRule="auto"/>
        <w:jc w:val="both"/>
        <w:rPr>
          <w:rFonts w:eastAsia="Times New Roman" w:cs="Times New Roman"/>
          <w:i/>
        </w:rPr>
      </w:pPr>
    </w:p>
    <w:p w14:paraId="7F26E1A1" w14:textId="398FCC5B" w:rsidR="00684256" w:rsidRPr="00390459" w:rsidRDefault="00684256" w:rsidP="00390459">
      <w:pPr>
        <w:pStyle w:val="ListParagraph"/>
        <w:numPr>
          <w:ilvl w:val="0"/>
          <w:numId w:val="8"/>
        </w:numPr>
        <w:spacing w:line="240" w:lineRule="auto"/>
        <w:jc w:val="both"/>
        <w:rPr>
          <w:rFonts w:eastAsia="Times New Roman" w:cs="Times New Roman"/>
          <w:i/>
        </w:rPr>
      </w:pPr>
      <w:r w:rsidRPr="00390459">
        <w:rPr>
          <w:rFonts w:eastAsia="Times New Roman" w:cs="Times New Roman"/>
          <w:i/>
        </w:rPr>
        <w:t xml:space="preserve">Provision of technical assistance to funded eligible providers </w:t>
      </w:r>
      <w:r w:rsidR="003A37E1" w:rsidRPr="00390459">
        <w:rPr>
          <w:rFonts w:eastAsia="Times New Roman" w:cs="Times New Roman"/>
          <w:i/>
        </w:rPr>
        <w:t xml:space="preserve"> </w:t>
      </w:r>
    </w:p>
    <w:p w14:paraId="505B873E" w14:textId="17C65195" w:rsidR="003A37E1" w:rsidRDefault="003A37E1" w:rsidP="000C6205">
      <w:pPr>
        <w:spacing w:line="240" w:lineRule="auto"/>
        <w:jc w:val="both"/>
        <w:rPr>
          <w:rFonts w:eastAsia="Times New Roman" w:cs="Times New Roman"/>
        </w:rPr>
      </w:pPr>
      <w:r>
        <w:rPr>
          <w:rFonts w:eastAsia="Times New Roman" w:cs="Times New Roman"/>
        </w:rPr>
        <w:t>RIDE</w:t>
      </w:r>
      <w:r w:rsidR="009B0F2F">
        <w:rPr>
          <w:rFonts w:eastAsia="Times New Roman" w:cs="Times New Roman"/>
        </w:rPr>
        <w:t>’s</w:t>
      </w:r>
      <w:r>
        <w:rPr>
          <w:rFonts w:eastAsia="Times New Roman" w:cs="Times New Roman"/>
        </w:rPr>
        <w:t xml:space="preserve"> Adult Education staff</w:t>
      </w:r>
      <w:r w:rsidRPr="003A37E1">
        <w:rPr>
          <w:rFonts w:eastAsia="Times New Roman" w:cs="Times New Roman"/>
        </w:rPr>
        <w:t xml:space="preserve"> facilitate</w:t>
      </w:r>
      <w:r>
        <w:rPr>
          <w:rFonts w:eastAsia="Times New Roman" w:cs="Times New Roman"/>
        </w:rPr>
        <w:t>d</w:t>
      </w:r>
      <w:r w:rsidR="003C45B3">
        <w:rPr>
          <w:rFonts w:eastAsia="Times New Roman" w:cs="Times New Roman"/>
        </w:rPr>
        <w:t xml:space="preserve"> four</w:t>
      </w:r>
      <w:r>
        <w:rPr>
          <w:rFonts w:eastAsia="Times New Roman" w:cs="Times New Roman"/>
        </w:rPr>
        <w:t xml:space="preserve"> </w:t>
      </w:r>
      <w:r w:rsidR="009B0F2F">
        <w:rPr>
          <w:rFonts w:eastAsia="Times New Roman" w:cs="Times New Roman"/>
        </w:rPr>
        <w:t>Leadership Institutes</w:t>
      </w:r>
      <w:r w:rsidR="003C45B3">
        <w:rPr>
          <w:rFonts w:eastAsia="Times New Roman" w:cs="Times New Roman"/>
        </w:rPr>
        <w:t xml:space="preserve"> in </w:t>
      </w:r>
      <w:r w:rsidR="006D06E3">
        <w:rPr>
          <w:rFonts w:eastAsia="Times New Roman" w:cs="Times New Roman"/>
        </w:rPr>
        <w:t>2018</w:t>
      </w:r>
      <w:r w:rsidR="003C45B3">
        <w:rPr>
          <w:rFonts w:eastAsia="Times New Roman" w:cs="Times New Roman"/>
        </w:rPr>
        <w:t>-2019</w:t>
      </w:r>
      <w:r w:rsidR="009B0F2F">
        <w:rPr>
          <w:rFonts w:eastAsia="Times New Roman" w:cs="Times New Roman"/>
        </w:rPr>
        <w:t>.</w:t>
      </w:r>
      <w:r w:rsidR="009435C3">
        <w:rPr>
          <w:rFonts w:eastAsia="Times New Roman" w:cs="Times New Roman"/>
        </w:rPr>
        <w:t xml:space="preserve"> </w:t>
      </w:r>
      <w:r w:rsidR="009B0F2F">
        <w:rPr>
          <w:rFonts w:eastAsia="Times New Roman" w:cs="Times New Roman"/>
        </w:rPr>
        <w:t xml:space="preserve"> P</w:t>
      </w:r>
      <w:r w:rsidR="006D06E3">
        <w:rPr>
          <w:rFonts w:eastAsia="Times New Roman" w:cs="Times New Roman"/>
        </w:rPr>
        <w:t>articipation wa</w:t>
      </w:r>
      <w:r w:rsidR="00FB0082">
        <w:rPr>
          <w:rFonts w:eastAsia="Times New Roman" w:cs="Times New Roman"/>
        </w:rPr>
        <w:t>s mandatory for</w:t>
      </w:r>
      <w:r>
        <w:rPr>
          <w:rFonts w:eastAsia="Times New Roman" w:cs="Times New Roman"/>
        </w:rPr>
        <w:t xml:space="preserve"> each RIDE-funded adult </w:t>
      </w:r>
      <w:r w:rsidR="009B0F2F">
        <w:rPr>
          <w:rFonts w:eastAsia="Times New Roman" w:cs="Times New Roman"/>
        </w:rPr>
        <w:t xml:space="preserve">education agency. </w:t>
      </w:r>
      <w:r>
        <w:rPr>
          <w:rFonts w:eastAsia="Times New Roman" w:cs="Times New Roman"/>
        </w:rPr>
        <w:t xml:space="preserve">The sessions </w:t>
      </w:r>
      <w:r w:rsidRPr="003A37E1">
        <w:rPr>
          <w:rFonts w:eastAsia="Times New Roman" w:cs="Times New Roman"/>
        </w:rPr>
        <w:t>feature</w:t>
      </w:r>
      <w:r>
        <w:rPr>
          <w:rFonts w:eastAsia="Times New Roman" w:cs="Times New Roman"/>
        </w:rPr>
        <w:t>d</w:t>
      </w:r>
      <w:r w:rsidRPr="003A37E1">
        <w:rPr>
          <w:rFonts w:eastAsia="Times New Roman" w:cs="Times New Roman"/>
        </w:rPr>
        <w:t xml:space="preserve"> panel discussions and presentations by local programs to highlight best and promising practices related to contextualized education, occupational skills tra</w:t>
      </w:r>
      <w:r w:rsidR="006D06E3">
        <w:rPr>
          <w:rFonts w:eastAsia="Times New Roman" w:cs="Times New Roman"/>
        </w:rPr>
        <w:t>ining, and other WIOA-based</w:t>
      </w:r>
      <w:r w:rsidRPr="003A37E1">
        <w:rPr>
          <w:rFonts w:eastAsia="Times New Roman" w:cs="Times New Roman"/>
        </w:rPr>
        <w:t xml:space="preserve"> activities. </w:t>
      </w:r>
      <w:r>
        <w:rPr>
          <w:rFonts w:eastAsia="Times New Roman" w:cs="Times New Roman"/>
        </w:rPr>
        <w:t>The sessions also included the most up-to-date information and guidance from OCTAE that was available at the time.</w:t>
      </w:r>
    </w:p>
    <w:p w14:paraId="708C3BAA" w14:textId="77BCD736" w:rsidR="006E2A7A" w:rsidRDefault="248836E0" w:rsidP="006E2A7A">
      <w:pPr>
        <w:spacing w:line="240" w:lineRule="auto"/>
        <w:jc w:val="both"/>
      </w:pPr>
      <w:r>
        <w:t xml:space="preserve">In </w:t>
      </w:r>
      <w:r w:rsidR="00AB50DB">
        <w:t>2018-2019</w:t>
      </w:r>
      <w:r>
        <w:t>, as a component of a statewide system, RIDE also funded the Rhode Islan</w:t>
      </w:r>
      <w:r w:rsidR="00FB0082">
        <w:t>d Adult Education Technology Hub</w:t>
      </w:r>
      <w:r>
        <w:t xml:space="preserve"> as a means of organizing and formalizing technology professional development and technical assistance activities that had been underway in adult education in the state for se</w:t>
      </w:r>
      <w:r w:rsidR="00FB0082">
        <w:t>veral years.  The Tech Hub</w:t>
      </w:r>
      <w:r w:rsidR="004934AA">
        <w:t xml:space="preserve"> successfully supported the continued use of the</w:t>
      </w:r>
      <w:r w:rsidR="00FB0082">
        <w:t xml:space="preserve"> RI AdultEd Domain and Google </w:t>
      </w:r>
      <w:r>
        <w:t xml:space="preserve">Suite Implementation, </w:t>
      </w:r>
      <w:r w:rsidR="004934AA">
        <w:t xml:space="preserve">created a more efficient method of communication for the adult education field, and delivered </w:t>
      </w:r>
      <w:r>
        <w:t xml:space="preserve">professional development </w:t>
      </w:r>
      <w:r w:rsidR="004934AA">
        <w:t>events to 118 attendees.</w:t>
      </w:r>
    </w:p>
    <w:p w14:paraId="60BC50C8" w14:textId="6210D0C1" w:rsidR="004934AA" w:rsidRDefault="00FB0082" w:rsidP="006E2A7A">
      <w:pPr>
        <w:spacing w:line="240" w:lineRule="auto"/>
        <w:jc w:val="both"/>
      </w:pPr>
      <w:r>
        <w:t>The Tech Hub activities</w:t>
      </w:r>
      <w:r w:rsidR="004934AA">
        <w:t xml:space="preserve"> in 2018-2019 were:</w:t>
      </w:r>
    </w:p>
    <w:p w14:paraId="6AE22E5A" w14:textId="7211F63A" w:rsidR="004934AA" w:rsidRPr="00FB0082" w:rsidRDefault="004934AA" w:rsidP="00FB0082">
      <w:pPr>
        <w:pStyle w:val="ListParagraph"/>
        <w:numPr>
          <w:ilvl w:val="0"/>
          <w:numId w:val="11"/>
        </w:numPr>
        <w:spacing w:line="240" w:lineRule="auto"/>
        <w:jc w:val="both"/>
        <w:rPr>
          <w:bCs/>
        </w:rPr>
      </w:pPr>
      <w:r w:rsidRPr="00FB0082">
        <w:rPr>
          <w:bCs/>
        </w:rPr>
        <w:t xml:space="preserve">Facilitate the continued implementation of the Google domain for adult education including oversight  of related workgroup and implementers.   </w:t>
      </w:r>
    </w:p>
    <w:p w14:paraId="2524101A" w14:textId="7DA42D9B" w:rsidR="004934AA" w:rsidRPr="00FB0082" w:rsidRDefault="004934AA" w:rsidP="00FB0082">
      <w:pPr>
        <w:pStyle w:val="ListParagraph"/>
        <w:numPr>
          <w:ilvl w:val="0"/>
          <w:numId w:val="11"/>
        </w:numPr>
        <w:spacing w:line="240" w:lineRule="auto"/>
        <w:jc w:val="both"/>
        <w:rPr>
          <w:bCs/>
        </w:rPr>
      </w:pPr>
      <w:r w:rsidRPr="00FB0082">
        <w:rPr>
          <w:bCs/>
        </w:rPr>
        <w:t xml:space="preserve">Develop and deliver programming on pedagogical best practices of distance and blended </w:t>
      </w:r>
      <w:r w:rsidR="00FB0082">
        <w:rPr>
          <w:bCs/>
        </w:rPr>
        <w:t>l</w:t>
      </w:r>
      <w:r w:rsidRPr="00FB0082">
        <w:rPr>
          <w:bCs/>
        </w:rPr>
        <w:t xml:space="preserve">earning  for adult education.   </w:t>
      </w:r>
    </w:p>
    <w:p w14:paraId="21F78F02" w14:textId="3AED02A8" w:rsidR="004934AA" w:rsidRPr="00FB0082" w:rsidRDefault="004934AA" w:rsidP="00FB0082">
      <w:pPr>
        <w:pStyle w:val="ListParagraph"/>
        <w:numPr>
          <w:ilvl w:val="0"/>
          <w:numId w:val="11"/>
        </w:numPr>
        <w:spacing w:line="240" w:lineRule="auto"/>
        <w:jc w:val="both"/>
        <w:rPr>
          <w:bCs/>
        </w:rPr>
      </w:pPr>
      <w:r w:rsidRPr="00FB0082">
        <w:rPr>
          <w:bCs/>
        </w:rPr>
        <w:t xml:space="preserve">Develop communication tools to keep adult education field aware of relevant initiatives and  resources.   </w:t>
      </w:r>
    </w:p>
    <w:p w14:paraId="4D54338A" w14:textId="60DD8495" w:rsidR="004934AA" w:rsidRPr="00FB0082" w:rsidRDefault="004934AA" w:rsidP="00FB0082">
      <w:pPr>
        <w:pStyle w:val="ListParagraph"/>
        <w:numPr>
          <w:ilvl w:val="0"/>
          <w:numId w:val="11"/>
        </w:numPr>
        <w:spacing w:line="240" w:lineRule="auto"/>
        <w:jc w:val="both"/>
        <w:rPr>
          <w:bCs/>
        </w:rPr>
      </w:pPr>
      <w:r w:rsidRPr="00FB0082">
        <w:rPr>
          <w:bCs/>
        </w:rPr>
        <w:t xml:space="preserve">Integrate all research, resources and best practices from all partnerships into all Technology Hub  efforts.   </w:t>
      </w:r>
    </w:p>
    <w:p w14:paraId="1934ED58" w14:textId="33C2519D" w:rsidR="004934AA" w:rsidRDefault="004934AA" w:rsidP="00FB0082">
      <w:pPr>
        <w:pStyle w:val="ListParagraph"/>
        <w:numPr>
          <w:ilvl w:val="0"/>
          <w:numId w:val="11"/>
        </w:numPr>
        <w:spacing w:line="240" w:lineRule="auto"/>
        <w:jc w:val="both"/>
        <w:rPr>
          <w:bCs/>
        </w:rPr>
      </w:pPr>
      <w:r w:rsidRPr="00FB0082">
        <w:rPr>
          <w:bCs/>
        </w:rPr>
        <w:t>Develop an Adult Education micro-credentialing system that can serve as a foundation for Adult  Education practitioner instructional technology competencies and student digital literacy  competencies. </w:t>
      </w:r>
    </w:p>
    <w:p w14:paraId="40C1B29A" w14:textId="77777777" w:rsidR="001F51E4" w:rsidRPr="00FB0082" w:rsidRDefault="001F51E4" w:rsidP="001F51E4">
      <w:pPr>
        <w:pStyle w:val="ListParagraph"/>
        <w:spacing w:line="240" w:lineRule="auto"/>
        <w:jc w:val="both"/>
        <w:rPr>
          <w:bCs/>
        </w:rPr>
      </w:pPr>
    </w:p>
    <w:p w14:paraId="3C52A091" w14:textId="69F56288" w:rsidR="00684256" w:rsidRPr="00390459" w:rsidRDefault="00684256" w:rsidP="00390459">
      <w:pPr>
        <w:pStyle w:val="ListParagraph"/>
        <w:numPr>
          <w:ilvl w:val="0"/>
          <w:numId w:val="8"/>
        </w:numPr>
        <w:spacing w:after="0" w:line="240" w:lineRule="auto"/>
        <w:jc w:val="both"/>
        <w:rPr>
          <w:rFonts w:eastAsia="Times New Roman" w:cs="Times New Roman"/>
          <w:i/>
        </w:rPr>
      </w:pPr>
      <w:r w:rsidRPr="00390459">
        <w:rPr>
          <w:rFonts w:eastAsia="Times New Roman" w:cs="Times New Roman"/>
          <w:i/>
        </w:rPr>
        <w:t>Monitoring and evaluation of the quality and improvement of adult education activities</w:t>
      </w:r>
    </w:p>
    <w:p w14:paraId="098723B4" w14:textId="77777777" w:rsidR="00684256" w:rsidRDefault="00684256" w:rsidP="000C6205">
      <w:pPr>
        <w:spacing w:after="0" w:line="240" w:lineRule="auto"/>
        <w:jc w:val="both"/>
        <w:rPr>
          <w:rFonts w:eastAsia="Times New Roman" w:cs="Times New Roman"/>
        </w:rPr>
      </w:pPr>
    </w:p>
    <w:p w14:paraId="598C01DB" w14:textId="67FDAA9C" w:rsidR="003A37E1" w:rsidRPr="003A37E1" w:rsidRDefault="003A37E1" w:rsidP="000C6205">
      <w:pPr>
        <w:spacing w:after="0" w:line="240" w:lineRule="auto"/>
        <w:jc w:val="both"/>
        <w:rPr>
          <w:rFonts w:eastAsia="Times New Roman" w:cs="Times New Roman"/>
        </w:rPr>
      </w:pPr>
      <w:r>
        <w:rPr>
          <w:rFonts w:eastAsia="Times New Roman" w:cs="Times New Roman"/>
        </w:rPr>
        <w:lastRenderedPageBreak/>
        <w:t xml:space="preserve">The adult education office </w:t>
      </w:r>
      <w:r w:rsidRPr="003A37E1">
        <w:rPr>
          <w:rFonts w:eastAsia="Times New Roman" w:cs="Times New Roman"/>
        </w:rPr>
        <w:t>conduct</w:t>
      </w:r>
      <w:r>
        <w:rPr>
          <w:rFonts w:eastAsia="Times New Roman" w:cs="Times New Roman"/>
        </w:rPr>
        <w:t>ed</w:t>
      </w:r>
      <w:r w:rsidRPr="003A37E1">
        <w:rPr>
          <w:rFonts w:eastAsia="Times New Roman" w:cs="Times New Roman"/>
        </w:rPr>
        <w:t xml:space="preserve"> both quarterly and annual local program evaluations, including desktop audits, using a comprehensive program assess</w:t>
      </w:r>
      <w:r w:rsidR="00C03F18">
        <w:rPr>
          <w:rFonts w:eastAsia="Times New Roman" w:cs="Times New Roman"/>
        </w:rPr>
        <w:t>ment tool. The state office</w:t>
      </w:r>
      <w:r w:rsidRPr="003A37E1">
        <w:rPr>
          <w:rFonts w:eastAsia="Times New Roman" w:cs="Times New Roman"/>
        </w:rPr>
        <w:t xml:space="preserve"> continue</w:t>
      </w:r>
      <w:r w:rsidR="00C03F18">
        <w:rPr>
          <w:rFonts w:eastAsia="Times New Roman" w:cs="Times New Roman"/>
        </w:rPr>
        <w:t>d</w:t>
      </w:r>
      <w:r w:rsidRPr="003A37E1">
        <w:rPr>
          <w:rFonts w:eastAsia="Times New Roman" w:cs="Times New Roman"/>
        </w:rPr>
        <w:t xml:space="preserve"> to train programs on using this tool for on-going self-evaluation purposes. </w:t>
      </w:r>
      <w:r w:rsidR="008A0ABA">
        <w:rPr>
          <w:rFonts w:eastAsia="Times New Roman" w:cs="Times New Roman"/>
        </w:rPr>
        <w:t>The perform</w:t>
      </w:r>
      <w:r w:rsidR="00C03F18">
        <w:rPr>
          <w:rFonts w:eastAsia="Times New Roman" w:cs="Times New Roman"/>
        </w:rPr>
        <w:t>ance criteria i</w:t>
      </w:r>
      <w:r w:rsidR="008A0ABA">
        <w:rPr>
          <w:rFonts w:eastAsia="Times New Roman" w:cs="Times New Roman"/>
        </w:rPr>
        <w:t>s constantly</w:t>
      </w:r>
      <w:r w:rsidRPr="003A37E1">
        <w:rPr>
          <w:rFonts w:eastAsia="Times New Roman" w:cs="Times New Roman"/>
        </w:rPr>
        <w:t xml:space="preserve"> evaluated on multiple measures, including EFL completions, high school credentials, transitions to postsecondary education and training, and entering and retaining employment.</w:t>
      </w:r>
    </w:p>
    <w:p w14:paraId="6B3012CF" w14:textId="77777777" w:rsidR="003A37E1" w:rsidRPr="003A37E1" w:rsidRDefault="003A37E1" w:rsidP="000C6205">
      <w:pPr>
        <w:spacing w:after="0" w:line="240" w:lineRule="auto"/>
        <w:jc w:val="both"/>
        <w:rPr>
          <w:rFonts w:eastAsia="Times New Roman" w:cs="Times New Roman"/>
        </w:rPr>
      </w:pPr>
    </w:p>
    <w:p w14:paraId="2E4E90C0" w14:textId="17FE60C2" w:rsidR="003A37E1" w:rsidRDefault="35E2BDFE" w:rsidP="35E2BDFE">
      <w:pPr>
        <w:spacing w:after="0" w:line="240" w:lineRule="auto"/>
        <w:jc w:val="both"/>
        <w:rPr>
          <w:rFonts w:eastAsia="Times New Roman" w:cs="Times New Roman"/>
        </w:rPr>
      </w:pPr>
      <w:r w:rsidRPr="35E2BDFE">
        <w:rPr>
          <w:rFonts w:eastAsia="Times New Roman" w:cs="Times New Roman"/>
        </w:rPr>
        <w:t xml:space="preserve">Using the referenced process and tools, the state office carefully and regularly monitored program performance on an annual basis. Programs that were at risk of meeting their targets or were failing to meet their targets were issued a warning by RIDE, were visited by state staff that reviewed in detail </w:t>
      </w:r>
      <w:r w:rsidR="006D06E3">
        <w:rPr>
          <w:rFonts w:eastAsia="Times New Roman" w:cs="Times New Roman"/>
        </w:rPr>
        <w:t>the performance assessment tool</w:t>
      </w:r>
      <w:r w:rsidR="004034C5">
        <w:rPr>
          <w:rFonts w:eastAsia="Times New Roman" w:cs="Times New Roman"/>
        </w:rPr>
        <w:t>,</w:t>
      </w:r>
      <w:r w:rsidR="006D06E3">
        <w:rPr>
          <w:rFonts w:eastAsia="Times New Roman" w:cs="Times New Roman"/>
        </w:rPr>
        <w:t xml:space="preserve"> </w:t>
      </w:r>
      <w:r w:rsidRPr="35E2BDFE">
        <w:rPr>
          <w:rFonts w:eastAsia="Times New Roman" w:cs="Times New Roman"/>
        </w:rPr>
        <w:t>and were required to implement a corrective action plan.</w:t>
      </w:r>
      <w:r w:rsidR="004034C5">
        <w:rPr>
          <w:rFonts w:eastAsia="Times New Roman" w:cs="Times New Roman"/>
        </w:rPr>
        <w:t xml:space="preserve"> One such intervention at the mid-year mark led to a significant improvement in the program’s final outcomes.  The program, which might have risked being de-funded, ended up meeting the state’s performance outcom</w:t>
      </w:r>
      <w:r w:rsidR="00FB0082">
        <w:rPr>
          <w:rFonts w:eastAsia="Times New Roman" w:cs="Times New Roman"/>
        </w:rPr>
        <w:t xml:space="preserve">e measures by the end of the program year. </w:t>
      </w:r>
    </w:p>
    <w:p w14:paraId="288309C4" w14:textId="59C5302D" w:rsidR="00DC1624" w:rsidRDefault="00DC1624" w:rsidP="000C6205">
      <w:pPr>
        <w:spacing w:after="0" w:line="240" w:lineRule="auto"/>
        <w:jc w:val="both"/>
        <w:rPr>
          <w:rFonts w:eastAsia="Times New Roman" w:cs="Times New Roman"/>
        </w:rPr>
      </w:pPr>
    </w:p>
    <w:p w14:paraId="7CD6240E" w14:textId="77777777" w:rsidR="00DC1624" w:rsidRDefault="00DC1624" w:rsidP="000C6205">
      <w:pPr>
        <w:spacing w:after="0" w:line="240" w:lineRule="auto"/>
        <w:jc w:val="both"/>
        <w:rPr>
          <w:rFonts w:eastAsia="Times New Roman" w:cs="Times New Roman"/>
        </w:rPr>
      </w:pPr>
    </w:p>
    <w:p w14:paraId="5C9DF2D4" w14:textId="11898C4C" w:rsidR="00C209B3" w:rsidRPr="00684256" w:rsidRDefault="00C209B3" w:rsidP="00630939">
      <w:pPr>
        <w:spacing w:after="0" w:line="240" w:lineRule="auto"/>
        <w:rPr>
          <w:rFonts w:eastAsia="Times New Roman" w:cs="Arial"/>
          <w:b/>
          <w:u w:val="single"/>
        </w:rPr>
      </w:pPr>
      <w:r w:rsidRPr="00684256">
        <w:rPr>
          <w:rFonts w:eastAsia="Times New Roman" w:cs="Arial"/>
          <w:b/>
          <w:u w:val="single"/>
        </w:rPr>
        <w:t>2. Performance Data Analysis</w:t>
      </w:r>
    </w:p>
    <w:p w14:paraId="1B4E71A5" w14:textId="3E4B97ED" w:rsidR="001454AC" w:rsidRPr="001454AC" w:rsidRDefault="001454AC" w:rsidP="000C6205">
      <w:pPr>
        <w:spacing w:after="0" w:line="240" w:lineRule="auto"/>
        <w:jc w:val="both"/>
        <w:rPr>
          <w:rFonts w:eastAsia="Times New Roman" w:cs="Arial"/>
          <w:i/>
        </w:rPr>
      </w:pPr>
      <w:r w:rsidRPr="001454AC">
        <w:rPr>
          <w:rFonts w:eastAsia="Times New Roman" w:cs="Arial"/>
          <w:i/>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75102BBF" w14:textId="77777777" w:rsidR="001454AC" w:rsidRDefault="001454AC" w:rsidP="000C6205">
      <w:pPr>
        <w:spacing w:after="0" w:line="240" w:lineRule="auto"/>
        <w:jc w:val="both"/>
        <w:rPr>
          <w:rFonts w:eastAsia="Times New Roman" w:cs="Arial"/>
        </w:rPr>
      </w:pPr>
    </w:p>
    <w:p w14:paraId="7B840B3A" w14:textId="26917EDD" w:rsidR="00C209B3" w:rsidRPr="00955F07" w:rsidRDefault="004034C5" w:rsidP="1669E222">
      <w:pPr>
        <w:spacing w:after="0" w:line="240" w:lineRule="auto"/>
        <w:jc w:val="both"/>
        <w:rPr>
          <w:rFonts w:eastAsia="Times New Roman" w:cs="Arial"/>
        </w:rPr>
      </w:pPr>
      <w:r>
        <w:rPr>
          <w:rFonts w:eastAsia="Times New Roman" w:cs="Arial"/>
        </w:rPr>
        <w:t>During program year 2018-2019</w:t>
      </w:r>
      <w:r w:rsidR="00630939">
        <w:rPr>
          <w:rFonts w:eastAsia="Times New Roman" w:cs="Arial"/>
        </w:rPr>
        <w:t>, the Rhode Island</w:t>
      </w:r>
      <w:r w:rsidR="1669E222" w:rsidRPr="1669E222">
        <w:rPr>
          <w:rFonts w:eastAsia="Times New Roman" w:cs="Arial"/>
        </w:rPr>
        <w:t xml:space="preserve"> Department of Education</w:t>
      </w:r>
      <w:r w:rsidR="00630939">
        <w:rPr>
          <w:rFonts w:eastAsia="Times New Roman" w:cs="Arial"/>
        </w:rPr>
        <w:t xml:space="preserve"> (RIDE)</w:t>
      </w:r>
      <w:r w:rsidR="1669E222" w:rsidRPr="1669E222">
        <w:rPr>
          <w:rFonts w:eastAsia="Times New Roman" w:cs="Arial"/>
        </w:rPr>
        <w:t xml:space="preserve"> </w:t>
      </w:r>
      <w:r>
        <w:rPr>
          <w:rFonts w:eastAsia="Times New Roman" w:cs="Arial"/>
        </w:rPr>
        <w:t>awarded 20 grants as a result of its RFP competition.  The RFP encouraged programs to form consortia and</w:t>
      </w:r>
      <w:r w:rsidR="1669E222" w:rsidRPr="1669E222">
        <w:rPr>
          <w:rFonts w:eastAsia="Times New Roman" w:cs="Arial"/>
        </w:rPr>
        <w:t xml:space="preserve"> </w:t>
      </w:r>
      <w:r>
        <w:rPr>
          <w:rFonts w:eastAsia="Times New Roman" w:cs="Arial"/>
        </w:rPr>
        <w:t xml:space="preserve">several </w:t>
      </w:r>
      <w:r w:rsidR="1669E222" w:rsidRPr="1669E222">
        <w:rPr>
          <w:rFonts w:eastAsia="Times New Roman" w:cs="Arial"/>
        </w:rPr>
        <w:t>agencies</w:t>
      </w:r>
      <w:r>
        <w:rPr>
          <w:rFonts w:eastAsia="Times New Roman" w:cs="Arial"/>
        </w:rPr>
        <w:t xml:space="preserve"> merged under one lead agency. In 2017-2018, RIDE funded </w:t>
      </w:r>
      <w:r w:rsidR="00630939">
        <w:rPr>
          <w:rFonts w:eastAsia="Times New Roman" w:cs="Arial"/>
        </w:rPr>
        <w:t xml:space="preserve">25 </w:t>
      </w:r>
      <w:r>
        <w:rPr>
          <w:rFonts w:eastAsia="Times New Roman" w:cs="Arial"/>
        </w:rPr>
        <w:t xml:space="preserve">agencies,, and </w:t>
      </w:r>
      <w:r w:rsidR="1669E222" w:rsidRPr="1669E222">
        <w:rPr>
          <w:rFonts w:eastAsia="Times New Roman" w:cs="Arial"/>
        </w:rPr>
        <w:t>32 in 2016-</w:t>
      </w:r>
      <w:r>
        <w:rPr>
          <w:rFonts w:eastAsia="Times New Roman" w:cs="Arial"/>
        </w:rPr>
        <w:t>2017.</w:t>
      </w:r>
      <w:r w:rsidR="1669E222" w:rsidRPr="1669E222">
        <w:rPr>
          <w:rFonts w:eastAsia="Times New Roman" w:cs="Arial"/>
        </w:rPr>
        <w:t xml:space="preserve"> These programs were fund</w:t>
      </w:r>
      <w:r>
        <w:rPr>
          <w:rFonts w:eastAsia="Times New Roman" w:cs="Arial"/>
        </w:rPr>
        <w:t>ed with a combination of WIOA</w:t>
      </w:r>
      <w:r w:rsidR="1669E222" w:rsidRPr="1669E222">
        <w:rPr>
          <w:rFonts w:eastAsia="Times New Roman" w:cs="Arial"/>
        </w:rPr>
        <w:t xml:space="preserve"> Adult Education and Family Literacy Act funds; state General Revenue funds</w:t>
      </w:r>
      <w:r>
        <w:rPr>
          <w:rFonts w:eastAsia="Times New Roman" w:cs="Arial"/>
        </w:rPr>
        <w:t>,</w:t>
      </w:r>
      <w:r w:rsidR="1669E222" w:rsidRPr="1669E222">
        <w:rPr>
          <w:rFonts w:eastAsia="Times New Roman" w:cs="Arial"/>
        </w:rPr>
        <w:t xml:space="preserve"> and </w:t>
      </w:r>
      <w:r>
        <w:rPr>
          <w:rFonts w:eastAsia="Times New Roman" w:cs="Arial"/>
        </w:rPr>
        <w:t xml:space="preserve">generous funding from the </w:t>
      </w:r>
      <w:r w:rsidR="1669E222" w:rsidRPr="1669E222">
        <w:rPr>
          <w:rFonts w:eastAsia="Times New Roman" w:cs="Arial"/>
        </w:rPr>
        <w:t>Governor’s Workforce Bo</w:t>
      </w:r>
      <w:r>
        <w:rPr>
          <w:rFonts w:eastAsia="Times New Roman" w:cs="Arial"/>
        </w:rPr>
        <w:t>ard’s Job Development funds. Programs were required to provide 20% in</w:t>
      </w:r>
      <w:r w:rsidR="1669E222" w:rsidRPr="1669E222">
        <w:rPr>
          <w:rFonts w:eastAsia="Times New Roman" w:cs="Arial"/>
        </w:rPr>
        <w:t xml:space="preserve"> local matching sources. These</w:t>
      </w:r>
      <w:r>
        <w:rPr>
          <w:rFonts w:eastAsia="Times New Roman" w:cs="Arial"/>
        </w:rPr>
        <w:t xml:space="preserve"> 20</w:t>
      </w:r>
      <w:r w:rsidR="1669E222" w:rsidRPr="1669E222">
        <w:rPr>
          <w:rFonts w:eastAsia="Times New Roman" w:cs="Arial"/>
        </w:rPr>
        <w:t xml:space="preserve"> agencies enrolled more than 6,000 individuals and </w:t>
      </w:r>
      <w:r w:rsidR="1669E222" w:rsidRPr="1669E222">
        <w:rPr>
          <w:rFonts w:eastAsia="Times New Roman" w:cs="Arial"/>
          <w:b/>
          <w:bCs/>
        </w:rPr>
        <w:t>served</w:t>
      </w:r>
      <w:r w:rsidR="1669E222" w:rsidRPr="1669E222">
        <w:rPr>
          <w:rFonts w:eastAsia="Times New Roman" w:cs="Arial"/>
        </w:rPr>
        <w:t xml:space="preserve"> </w:t>
      </w:r>
      <w:r>
        <w:rPr>
          <w:rFonts w:eastAsia="Times New Roman" w:cs="Arial"/>
          <w:b/>
          <w:bCs/>
        </w:rPr>
        <w:t>5,942</w:t>
      </w:r>
      <w:r w:rsidR="1669E222" w:rsidRPr="1669E222">
        <w:rPr>
          <w:rFonts w:eastAsia="Times New Roman" w:cs="Arial"/>
          <w:b/>
          <w:bCs/>
        </w:rPr>
        <w:t xml:space="preserve"> adult learners</w:t>
      </w:r>
      <w:r w:rsidR="1669E222" w:rsidRPr="1669E222">
        <w:rPr>
          <w:rFonts w:eastAsia="Times New Roman" w:cs="Arial"/>
        </w:rPr>
        <w:t xml:space="preserve"> with 12 or more hours of instruction, which i</w:t>
      </w:r>
      <w:r>
        <w:rPr>
          <w:rFonts w:eastAsia="Times New Roman" w:cs="Arial"/>
        </w:rPr>
        <w:t>s an increase in enrollment of 7.6 percent compared to 2017-2018</w:t>
      </w:r>
      <w:r w:rsidR="004E1538">
        <w:rPr>
          <w:rFonts w:eastAsia="Times New Roman" w:cs="Arial"/>
        </w:rPr>
        <w:t xml:space="preserve"> (5,520 students)</w:t>
      </w:r>
      <w:r w:rsidR="1669E222" w:rsidRPr="1669E222">
        <w:rPr>
          <w:rFonts w:eastAsia="Times New Roman" w:cs="Arial"/>
        </w:rPr>
        <w:t xml:space="preserve">.  With less federal and state funding statewide, our agencies were still able to serve more students with 12 or more hours than last year without a decrease in the percentage of students who made measurable skill gains. </w:t>
      </w:r>
    </w:p>
    <w:p w14:paraId="13AFAFD3" w14:textId="77777777" w:rsidR="00C209B3" w:rsidRPr="00955F07" w:rsidRDefault="00C209B3" w:rsidP="000C6205">
      <w:pPr>
        <w:spacing w:after="0" w:line="240" w:lineRule="auto"/>
        <w:jc w:val="both"/>
        <w:rPr>
          <w:rFonts w:eastAsia="Times New Roman" w:cs="Arial"/>
        </w:rPr>
      </w:pPr>
    </w:p>
    <w:p w14:paraId="4F568EB1" w14:textId="5D26D842" w:rsidR="00D5729E" w:rsidRDefault="00D5729E" w:rsidP="35E2BDFE">
      <w:pPr>
        <w:spacing w:after="0" w:line="240" w:lineRule="auto"/>
        <w:jc w:val="both"/>
        <w:rPr>
          <w:rFonts w:eastAsia="Times" w:cs="Arial"/>
        </w:rPr>
      </w:pPr>
      <w:r>
        <w:rPr>
          <w:rFonts w:eastAsia="Times" w:cs="Arial"/>
        </w:rPr>
        <w:t>In summary</w:t>
      </w:r>
      <w:r w:rsidR="004E1538">
        <w:rPr>
          <w:rFonts w:eastAsia="Times" w:cs="Arial"/>
        </w:rPr>
        <w:t xml:space="preserve">, </w:t>
      </w:r>
      <w:r>
        <w:rPr>
          <w:rFonts w:eastAsia="Times" w:cs="Arial"/>
        </w:rPr>
        <w:t xml:space="preserve">the </w:t>
      </w:r>
      <w:r w:rsidR="004E1538">
        <w:rPr>
          <w:rFonts w:eastAsia="Times" w:cs="Arial"/>
        </w:rPr>
        <w:t>participants attended</w:t>
      </w:r>
      <w:r>
        <w:rPr>
          <w:rFonts w:eastAsia="Times" w:cs="Arial"/>
        </w:rPr>
        <w:t xml:space="preserve"> an average of</w:t>
      </w:r>
      <w:r w:rsidR="004E1538">
        <w:rPr>
          <w:rFonts w:eastAsia="Times" w:cs="Arial"/>
        </w:rPr>
        <w:t xml:space="preserve"> 99</w:t>
      </w:r>
      <w:r w:rsidR="35E2BDFE" w:rsidRPr="35E2BDFE">
        <w:rPr>
          <w:rFonts w:eastAsia="Times" w:cs="Arial"/>
        </w:rPr>
        <w:t xml:space="preserve"> hours of instruction</w:t>
      </w:r>
      <w:r w:rsidR="00AE6075">
        <w:rPr>
          <w:rFonts w:eastAsia="Times" w:cs="Arial"/>
        </w:rPr>
        <w:t>,</w:t>
      </w:r>
      <w:r w:rsidR="35E2BDFE" w:rsidRPr="35E2BDFE">
        <w:rPr>
          <w:rFonts w:eastAsia="Times" w:cs="Arial"/>
        </w:rPr>
        <w:t xml:space="preserve"> </w:t>
      </w:r>
      <w:r w:rsidR="00AE6075">
        <w:rPr>
          <w:rFonts w:eastAsia="Times" w:cs="Arial"/>
        </w:rPr>
        <w:t xml:space="preserve">53% made Measurable Skill Gains, </w:t>
      </w:r>
      <w:r w:rsidR="00AE6075" w:rsidRPr="00AE6075">
        <w:rPr>
          <w:rFonts w:eastAsia="Times" w:cs="Arial"/>
        </w:rPr>
        <w:t>and</w:t>
      </w:r>
      <w:r>
        <w:rPr>
          <w:rFonts w:eastAsia="Times" w:cs="Arial"/>
        </w:rPr>
        <w:t xml:space="preserve"> (from Table 4B)</w:t>
      </w:r>
      <w:r w:rsidR="35E2BDFE" w:rsidRPr="00AE6075">
        <w:rPr>
          <w:rFonts w:eastAsia="Times" w:cs="Arial"/>
        </w:rPr>
        <w:t xml:space="preserve"> </w:t>
      </w:r>
      <w:r w:rsidR="004E1538" w:rsidRPr="00AE6075">
        <w:rPr>
          <w:rFonts w:eastAsia="Times" w:cs="Arial"/>
        </w:rPr>
        <w:t xml:space="preserve">66% of </w:t>
      </w:r>
      <w:r>
        <w:rPr>
          <w:rFonts w:eastAsia="Times" w:cs="Arial"/>
        </w:rPr>
        <w:t>those</w:t>
      </w:r>
      <w:r w:rsidR="35E2BDFE" w:rsidRPr="00AE6075">
        <w:rPr>
          <w:rFonts w:eastAsia="Times" w:cs="Arial"/>
        </w:rPr>
        <w:t xml:space="preserve"> who were</w:t>
      </w:r>
      <w:r>
        <w:rPr>
          <w:rFonts w:eastAsia="Times" w:cs="Arial"/>
        </w:rPr>
        <w:t xml:space="preserve"> both pre-tested and</w:t>
      </w:r>
      <w:r w:rsidR="35E2BDFE" w:rsidRPr="00AE6075">
        <w:rPr>
          <w:rFonts w:eastAsia="Times" w:cs="Arial"/>
        </w:rPr>
        <w:t xml:space="preserve"> post-tested made educational gains</w:t>
      </w:r>
      <w:r w:rsidR="00AE6075" w:rsidRPr="00AE6075">
        <w:rPr>
          <w:rFonts w:eastAsia="Times" w:cs="Arial"/>
        </w:rPr>
        <w:t xml:space="preserve"> </w:t>
      </w:r>
      <w:r w:rsidR="00AE6075" w:rsidRPr="35E2BDFE">
        <w:rPr>
          <w:rFonts w:eastAsia="Times" w:cs="Arial"/>
        </w:rPr>
        <w:t>(</w:t>
      </w:r>
      <w:r w:rsidR="00AE6075">
        <w:rPr>
          <w:rFonts w:eastAsia="Times" w:cs="Arial"/>
        </w:rPr>
        <w:t xml:space="preserve">a more detailed </w:t>
      </w:r>
      <w:r w:rsidR="00AE6075" w:rsidRPr="35E2BDFE">
        <w:rPr>
          <w:rFonts w:eastAsia="Times" w:cs="Arial"/>
        </w:rPr>
        <w:t>Table 4</w:t>
      </w:r>
      <w:r w:rsidR="00AE6075">
        <w:rPr>
          <w:rFonts w:eastAsia="Times" w:cs="Arial"/>
        </w:rPr>
        <w:t xml:space="preserve"> Analysis is below)</w:t>
      </w:r>
      <w:r w:rsidR="35E2BDFE" w:rsidRPr="00AE6075">
        <w:rPr>
          <w:rFonts w:eastAsia="Times" w:cs="Arial"/>
        </w:rPr>
        <w:t>.</w:t>
      </w:r>
      <w:r w:rsidR="35E2BDFE" w:rsidRPr="35E2BDFE">
        <w:rPr>
          <w:rFonts w:eastAsia="Times" w:cs="Arial"/>
        </w:rPr>
        <w:t xml:space="preserve"> </w:t>
      </w:r>
    </w:p>
    <w:p w14:paraId="115AA5C5" w14:textId="77777777" w:rsidR="00D5729E" w:rsidRDefault="00D5729E" w:rsidP="35E2BDFE">
      <w:pPr>
        <w:spacing w:after="0" w:line="240" w:lineRule="auto"/>
        <w:jc w:val="both"/>
        <w:rPr>
          <w:rFonts w:eastAsia="Times" w:cs="Arial"/>
        </w:rPr>
      </w:pPr>
    </w:p>
    <w:p w14:paraId="55F8FFF4" w14:textId="0CD63923" w:rsidR="00C209B3" w:rsidRPr="00955F07" w:rsidRDefault="35E2BDFE" w:rsidP="35E2BDFE">
      <w:pPr>
        <w:spacing w:after="0" w:line="240" w:lineRule="auto"/>
        <w:jc w:val="both"/>
        <w:rPr>
          <w:rFonts w:eastAsia="Times New Roman" w:cs="Arial"/>
        </w:rPr>
      </w:pPr>
      <w:r w:rsidRPr="35E2BDFE">
        <w:rPr>
          <w:rFonts w:eastAsia="Times" w:cs="Arial"/>
        </w:rPr>
        <w:t>T</w:t>
      </w:r>
      <w:r w:rsidRPr="35E2BDFE">
        <w:rPr>
          <w:rFonts w:eastAsia="Times New Roman" w:cs="Arial"/>
        </w:rPr>
        <w:t>he demand for adult education classes has not decreased and programs continue to have waiting lists of students, in particular for ESL classes.  The current waiting list sta</w:t>
      </w:r>
      <w:r w:rsidR="004E1538">
        <w:rPr>
          <w:rFonts w:eastAsia="Times New Roman" w:cs="Arial"/>
        </w:rPr>
        <w:t>tewide consists of more than 1,200 adults, equal to about 20</w:t>
      </w:r>
      <w:r w:rsidRPr="35E2BDFE">
        <w:rPr>
          <w:rFonts w:eastAsia="Times New Roman" w:cs="Arial"/>
        </w:rPr>
        <w:t>% of the total number of learners who were enrolled.</w:t>
      </w:r>
      <w:r w:rsidR="00AE6075" w:rsidRPr="00AE6075">
        <w:rPr>
          <w:rFonts w:eastAsia="Times" w:cs="Arial"/>
        </w:rPr>
        <w:t xml:space="preserve"> </w:t>
      </w:r>
      <w:r w:rsidR="00AE6075">
        <w:rPr>
          <w:rFonts w:eastAsia="Times" w:cs="Arial"/>
        </w:rPr>
        <w:t xml:space="preserve"> </w:t>
      </w:r>
    </w:p>
    <w:p w14:paraId="4C80065C" w14:textId="77777777" w:rsidR="00C209B3" w:rsidRPr="00955F07" w:rsidRDefault="00C209B3" w:rsidP="000C6205">
      <w:pPr>
        <w:spacing w:after="0" w:line="240" w:lineRule="auto"/>
        <w:jc w:val="both"/>
        <w:rPr>
          <w:rFonts w:eastAsia="Times New Roman" w:cs="Arial"/>
        </w:rPr>
      </w:pPr>
    </w:p>
    <w:p w14:paraId="6680E5A4" w14:textId="5974FF1D" w:rsidR="00C209B3" w:rsidRPr="00955F07" w:rsidRDefault="004E1538" w:rsidP="000C6205">
      <w:pPr>
        <w:spacing w:after="0" w:line="240" w:lineRule="auto"/>
        <w:jc w:val="both"/>
        <w:rPr>
          <w:rFonts w:eastAsia="Times New Roman" w:cs="Arial"/>
        </w:rPr>
      </w:pPr>
      <w:r>
        <w:rPr>
          <w:rFonts w:eastAsia="Times New Roman" w:cs="Arial"/>
        </w:rPr>
        <w:t>Of the 5,942</w:t>
      </w:r>
      <w:r w:rsidR="00C209B3" w:rsidRPr="00955F07">
        <w:rPr>
          <w:rFonts w:eastAsia="Times New Roman" w:cs="Arial"/>
        </w:rPr>
        <w:t xml:space="preserve"> adult learn</w:t>
      </w:r>
      <w:r w:rsidR="00250E36">
        <w:rPr>
          <w:rFonts w:eastAsia="Times New Roman" w:cs="Arial"/>
        </w:rPr>
        <w:t>ers enrolled in Rhod</w:t>
      </w:r>
      <w:r w:rsidR="007B6B26">
        <w:rPr>
          <w:rFonts w:eastAsia="Times New Roman" w:cs="Arial"/>
        </w:rPr>
        <w:t>e Island, 31</w:t>
      </w:r>
      <w:r w:rsidR="00C209B3" w:rsidRPr="00955F07">
        <w:rPr>
          <w:rFonts w:eastAsia="Times New Roman" w:cs="Arial"/>
        </w:rPr>
        <w:t xml:space="preserve">% were placed at entry in Adult Basic Education levels, 7% were placed in Adult Secondary Education levels, </w:t>
      </w:r>
      <w:r w:rsidR="00250E36">
        <w:rPr>
          <w:rFonts w:eastAsia="Times New Roman" w:cs="Arial"/>
        </w:rPr>
        <w:t xml:space="preserve">and </w:t>
      </w:r>
      <w:r w:rsidR="007B6B26">
        <w:rPr>
          <w:rFonts w:eastAsia="Times New Roman" w:cs="Arial"/>
        </w:rPr>
        <w:t>62</w:t>
      </w:r>
      <w:r w:rsidR="00C209B3" w:rsidRPr="00955F07">
        <w:rPr>
          <w:rFonts w:eastAsia="Times New Roman" w:cs="Arial"/>
        </w:rPr>
        <w:t>% in ESL levels – perc</w:t>
      </w:r>
      <w:r w:rsidR="00250E36">
        <w:rPr>
          <w:rFonts w:eastAsia="Times New Roman" w:cs="Arial"/>
        </w:rPr>
        <w:t>entages that ref</w:t>
      </w:r>
      <w:r w:rsidR="007B6B26">
        <w:rPr>
          <w:rFonts w:eastAsia="Times New Roman" w:cs="Arial"/>
        </w:rPr>
        <w:t>lect a two</w:t>
      </w:r>
      <w:r w:rsidR="00EE67BC">
        <w:rPr>
          <w:rFonts w:eastAsia="Times New Roman" w:cs="Arial"/>
        </w:rPr>
        <w:t xml:space="preserve"> percent decrease i</w:t>
      </w:r>
      <w:r w:rsidR="007B6B26">
        <w:rPr>
          <w:rFonts w:eastAsia="Times New Roman" w:cs="Arial"/>
        </w:rPr>
        <w:t>n ABE and a two</w:t>
      </w:r>
      <w:r w:rsidR="00EE67BC">
        <w:rPr>
          <w:rFonts w:eastAsia="Times New Roman" w:cs="Arial"/>
        </w:rPr>
        <w:t xml:space="preserve"> percent increase</w:t>
      </w:r>
      <w:r w:rsidR="00C209B3" w:rsidRPr="00955F07">
        <w:rPr>
          <w:rFonts w:eastAsia="Times New Roman" w:cs="Arial"/>
        </w:rPr>
        <w:t xml:space="preserve"> in the number of ESL learners served compared to</w:t>
      </w:r>
      <w:r w:rsidR="00C209B3" w:rsidRPr="00955F07">
        <w:rPr>
          <w:rFonts w:eastAsia="Times New Roman" w:cs="Arial"/>
          <w:b/>
        </w:rPr>
        <w:t xml:space="preserve"> </w:t>
      </w:r>
      <w:r w:rsidR="00C209B3" w:rsidRPr="00955F07">
        <w:rPr>
          <w:rFonts w:eastAsia="Times New Roman" w:cs="Arial"/>
        </w:rPr>
        <w:t>last year’s enrollment.</w:t>
      </w:r>
      <w:r w:rsidR="00EE67BC">
        <w:rPr>
          <w:rFonts w:eastAsia="Times New Roman" w:cs="Arial"/>
        </w:rPr>
        <w:t xml:space="preserve">  About 6% of ESL students were enrolled in Integrated English Literacy and Civics Education programming under Section 243 (Table 3</w:t>
      </w:r>
      <w:r w:rsidR="00630939">
        <w:rPr>
          <w:rFonts w:eastAsia="Times New Roman" w:cs="Arial"/>
        </w:rPr>
        <w:t xml:space="preserve"> Analysis is below</w:t>
      </w:r>
      <w:r w:rsidR="00EE67BC">
        <w:rPr>
          <w:rFonts w:eastAsia="Times New Roman" w:cs="Arial"/>
        </w:rPr>
        <w:t xml:space="preserve">). </w:t>
      </w:r>
    </w:p>
    <w:p w14:paraId="79F6A5D5" w14:textId="77777777" w:rsidR="00C209B3" w:rsidRPr="00955F07" w:rsidRDefault="00C209B3" w:rsidP="000C6205">
      <w:pPr>
        <w:spacing w:after="0" w:line="240" w:lineRule="auto"/>
        <w:jc w:val="both"/>
        <w:rPr>
          <w:rFonts w:eastAsia="Times New Roman" w:cs="Arial"/>
        </w:rPr>
      </w:pPr>
    </w:p>
    <w:p w14:paraId="0644D3BE" w14:textId="57AC4254" w:rsidR="00C209B3" w:rsidRPr="00955F07" w:rsidRDefault="5640D9F9" w:rsidP="5640D9F9">
      <w:pPr>
        <w:spacing w:after="0" w:line="240" w:lineRule="auto"/>
        <w:jc w:val="both"/>
        <w:rPr>
          <w:rFonts w:eastAsia="Times New Roman" w:cs="Arial"/>
        </w:rPr>
      </w:pPr>
      <w:r w:rsidRPr="5640D9F9">
        <w:rPr>
          <w:rFonts w:eastAsia="Times New Roman" w:cs="Arial"/>
        </w:rPr>
        <w:t xml:space="preserve">The </w:t>
      </w:r>
      <w:r w:rsidRPr="00D5729E">
        <w:rPr>
          <w:rFonts w:eastAsia="Times New Roman" w:cs="Arial"/>
          <w:b/>
        </w:rPr>
        <w:t>post-test rate cont</w:t>
      </w:r>
      <w:r w:rsidR="004E1538" w:rsidRPr="00D5729E">
        <w:rPr>
          <w:rFonts w:eastAsia="Times New Roman" w:cs="Arial"/>
          <w:b/>
        </w:rPr>
        <w:t>inues to remain high at 75</w:t>
      </w:r>
      <w:r w:rsidRPr="00D5729E">
        <w:rPr>
          <w:rFonts w:eastAsia="Times New Roman" w:cs="Arial"/>
          <w:b/>
        </w:rPr>
        <w:t>%</w:t>
      </w:r>
      <w:r w:rsidRPr="5640D9F9">
        <w:rPr>
          <w:rFonts w:eastAsia="Times New Roman" w:cs="Arial"/>
        </w:rPr>
        <w:t xml:space="preserve"> which has led to high completion rates overall. The state was focused on performa</w:t>
      </w:r>
      <w:r w:rsidR="007B6B26">
        <w:rPr>
          <w:rFonts w:eastAsia="Times New Roman" w:cs="Arial"/>
        </w:rPr>
        <w:t>nce, and the programs were aware that</w:t>
      </w:r>
      <w:r w:rsidRPr="5640D9F9">
        <w:rPr>
          <w:rFonts w:eastAsia="Times New Roman" w:cs="Arial"/>
        </w:rPr>
        <w:t xml:space="preserve"> demonstrated </w:t>
      </w:r>
      <w:r w:rsidR="007B6B26">
        <w:rPr>
          <w:rFonts w:eastAsia="Times New Roman" w:cs="Arial"/>
        </w:rPr>
        <w:t>effectiveness is an important</w:t>
      </w:r>
      <w:r w:rsidRPr="5640D9F9">
        <w:rPr>
          <w:rFonts w:eastAsia="Times New Roman" w:cs="Arial"/>
        </w:rPr>
        <w:t xml:space="preserve"> component of the </w:t>
      </w:r>
      <w:r w:rsidR="007B6B26">
        <w:rPr>
          <w:rFonts w:eastAsia="Times New Roman" w:cs="Arial"/>
        </w:rPr>
        <w:t xml:space="preserve">future </w:t>
      </w:r>
      <w:r w:rsidRPr="5640D9F9">
        <w:rPr>
          <w:rFonts w:eastAsia="Times New Roman" w:cs="Arial"/>
        </w:rPr>
        <w:t>RFP. This focus on performance has led to continuously high post-test rates and to the overall effectiveness and performance of local programs and the state.</w:t>
      </w:r>
    </w:p>
    <w:p w14:paraId="197BE124" w14:textId="77777777" w:rsidR="00C209B3" w:rsidRPr="00955F07" w:rsidRDefault="00C209B3" w:rsidP="5640D9F9">
      <w:pPr>
        <w:spacing w:after="0" w:line="240" w:lineRule="auto"/>
        <w:jc w:val="both"/>
        <w:rPr>
          <w:rFonts w:eastAsia="Times" w:cs="Arial"/>
        </w:rPr>
      </w:pPr>
    </w:p>
    <w:p w14:paraId="4078CFA3" w14:textId="7D3A2EDB" w:rsidR="00C209B3" w:rsidRPr="00D5729E" w:rsidRDefault="00D5729E" w:rsidP="000C6205">
      <w:pPr>
        <w:spacing w:after="0" w:line="240" w:lineRule="auto"/>
        <w:jc w:val="both"/>
        <w:rPr>
          <w:rFonts w:eastAsia="Times" w:cs="Arial"/>
          <w:u w:val="single"/>
        </w:rPr>
      </w:pPr>
      <w:r w:rsidRPr="00D5729E">
        <w:rPr>
          <w:rFonts w:eastAsia="Times" w:cs="Arial"/>
          <w:u w:val="single"/>
        </w:rPr>
        <w:t>NRS Table 4 Analysis:</w:t>
      </w:r>
    </w:p>
    <w:p w14:paraId="3D956201" w14:textId="6EBFE48A" w:rsidR="00C209B3" w:rsidRDefault="00555886" w:rsidP="000C6205">
      <w:pPr>
        <w:spacing w:after="0" w:line="240" w:lineRule="auto"/>
        <w:jc w:val="both"/>
        <w:rPr>
          <w:rFonts w:eastAsia="Times" w:cs="Arial"/>
        </w:rPr>
      </w:pPr>
      <w:r>
        <w:rPr>
          <w:rFonts w:eastAsia="Times" w:cs="Arial"/>
        </w:rPr>
        <w:t>Fifty-three</w:t>
      </w:r>
      <w:r w:rsidR="00185239">
        <w:rPr>
          <w:rFonts w:eastAsia="Times" w:cs="Arial"/>
        </w:rPr>
        <w:t xml:space="preserve"> percent (</w:t>
      </w:r>
      <w:r>
        <w:rPr>
          <w:rFonts w:eastAsia="Times" w:cs="Arial"/>
        </w:rPr>
        <w:t>53</w:t>
      </w:r>
      <w:r w:rsidR="00C209B3" w:rsidRPr="00955F07">
        <w:rPr>
          <w:rFonts w:eastAsia="Times" w:cs="Arial"/>
        </w:rPr>
        <w:t>%</w:t>
      </w:r>
      <w:r w:rsidR="00185239">
        <w:rPr>
          <w:rFonts w:eastAsia="Times" w:cs="Arial"/>
        </w:rPr>
        <w:t>)</w:t>
      </w:r>
      <w:r w:rsidR="00C209B3" w:rsidRPr="00955F07">
        <w:rPr>
          <w:rFonts w:eastAsia="Times" w:cs="Arial"/>
        </w:rPr>
        <w:t xml:space="preserve"> of all Rhode Island adult learners </w:t>
      </w:r>
      <w:r>
        <w:rPr>
          <w:rFonts w:eastAsia="Times" w:cs="Arial"/>
        </w:rPr>
        <w:t>served for 12 hours or more made M</w:t>
      </w:r>
      <w:r w:rsidR="007B6B26">
        <w:rPr>
          <w:rFonts w:eastAsia="Times" w:cs="Arial"/>
        </w:rPr>
        <w:t>easurable Skill Gains in 2018-2019</w:t>
      </w:r>
      <w:r w:rsidR="0068357D">
        <w:rPr>
          <w:rFonts w:eastAsia="Times" w:cs="Arial"/>
        </w:rPr>
        <w:t xml:space="preserve">, which is </w:t>
      </w:r>
      <w:r w:rsidR="007B6B26">
        <w:rPr>
          <w:rFonts w:eastAsia="Times" w:cs="Arial"/>
        </w:rPr>
        <w:t>equal to the performance of</w:t>
      </w:r>
      <w:r w:rsidR="00C209B3" w:rsidRPr="00955F07">
        <w:rPr>
          <w:rFonts w:eastAsia="Times" w:cs="Arial"/>
        </w:rPr>
        <w:t xml:space="preserve"> the previous year in </w:t>
      </w:r>
      <w:r>
        <w:rPr>
          <w:rFonts w:eastAsia="Times" w:cs="Arial"/>
        </w:rPr>
        <w:t>Rhode Island, and which is seven</w:t>
      </w:r>
      <w:r w:rsidR="00C209B3" w:rsidRPr="00955F07">
        <w:rPr>
          <w:rFonts w:eastAsia="Times" w:cs="Arial"/>
        </w:rPr>
        <w:t xml:space="preserve"> percentage points</w:t>
      </w:r>
      <w:r w:rsidR="0068357D">
        <w:rPr>
          <w:rFonts w:eastAsia="Times" w:cs="Arial"/>
        </w:rPr>
        <w:t xml:space="preserve"> higher than the</w:t>
      </w:r>
      <w:r w:rsidR="00C209B3" w:rsidRPr="00955F07">
        <w:rPr>
          <w:rFonts w:eastAsia="Times" w:cs="Arial"/>
        </w:rPr>
        <w:t xml:space="preserve"> natio</w:t>
      </w:r>
      <w:r w:rsidR="0068357D">
        <w:rPr>
          <w:rFonts w:eastAsia="Times" w:cs="Arial"/>
        </w:rPr>
        <w:t>nal average o</w:t>
      </w:r>
      <w:r>
        <w:rPr>
          <w:rFonts w:eastAsia="Times" w:cs="Arial"/>
        </w:rPr>
        <w:t>f 46% for 2017-</w:t>
      </w:r>
      <w:r w:rsidR="007B6B26">
        <w:rPr>
          <w:rFonts w:eastAsia="Times" w:cs="Arial"/>
        </w:rPr>
        <w:t>20</w:t>
      </w:r>
      <w:r>
        <w:rPr>
          <w:rFonts w:eastAsia="Times" w:cs="Arial"/>
        </w:rPr>
        <w:t>18</w:t>
      </w:r>
      <w:r w:rsidR="00C209B3" w:rsidRPr="00955F07">
        <w:rPr>
          <w:rFonts w:eastAsia="Times" w:cs="Arial"/>
        </w:rPr>
        <w:t xml:space="preserve">.  This should </w:t>
      </w:r>
      <w:r>
        <w:rPr>
          <w:rFonts w:eastAsia="Times" w:cs="Arial"/>
        </w:rPr>
        <w:t xml:space="preserve">again </w:t>
      </w:r>
      <w:r w:rsidR="00C209B3" w:rsidRPr="00955F07">
        <w:rPr>
          <w:rFonts w:eastAsia="Times" w:cs="Arial"/>
        </w:rPr>
        <w:t>rank Rhode Island in the highest performing quartile nationally, or close to it.</w:t>
      </w:r>
      <w:r w:rsidR="001C30B3">
        <w:rPr>
          <w:rFonts w:eastAsia="Times" w:cs="Arial"/>
        </w:rPr>
        <w:t xml:space="preserve"> </w:t>
      </w:r>
    </w:p>
    <w:p w14:paraId="26DD9782" w14:textId="77777777" w:rsidR="0068357D" w:rsidRDefault="0068357D" w:rsidP="000C6205">
      <w:pPr>
        <w:spacing w:after="0" w:line="240" w:lineRule="auto"/>
        <w:jc w:val="both"/>
        <w:rPr>
          <w:rFonts w:eastAsia="Times" w:cs="Arial"/>
        </w:rPr>
      </w:pPr>
    </w:p>
    <w:p w14:paraId="1E0A1338" w14:textId="21C06B1F" w:rsidR="0068357D" w:rsidRPr="00955F07" w:rsidRDefault="35E2BDFE" w:rsidP="35E2BDFE">
      <w:pPr>
        <w:spacing w:after="0" w:line="240" w:lineRule="auto"/>
        <w:jc w:val="both"/>
        <w:rPr>
          <w:rFonts w:eastAsia="Times" w:cs="Arial"/>
        </w:rPr>
      </w:pPr>
      <w:r w:rsidRPr="35E2BDFE">
        <w:rPr>
          <w:rFonts w:eastAsia="Times" w:cs="Arial"/>
        </w:rPr>
        <w:t>In Rhode Island, there were</w:t>
      </w:r>
      <w:r w:rsidR="007B6B26">
        <w:rPr>
          <w:rFonts w:eastAsia="Times" w:cs="Arial"/>
        </w:rPr>
        <w:t xml:space="preserve"> only 37</w:t>
      </w:r>
      <w:r w:rsidRPr="35E2BDFE">
        <w:rPr>
          <w:rFonts w:eastAsia="Times" w:cs="Arial"/>
        </w:rPr>
        <w:t xml:space="preserve"> students (less than one percent) with more than one Period of Participation (PoP).  On average, these students performed better than those in the first PoP, increasing the Measurable Skill Gains (MSG) by a fraction of a percent.</w:t>
      </w:r>
    </w:p>
    <w:p w14:paraId="03901FA4" w14:textId="77777777" w:rsidR="00C209B3" w:rsidRPr="00955F07" w:rsidRDefault="00C209B3" w:rsidP="000C6205">
      <w:pPr>
        <w:spacing w:after="0" w:line="240" w:lineRule="auto"/>
        <w:jc w:val="both"/>
        <w:rPr>
          <w:rFonts w:eastAsia="Times" w:cs="Arial"/>
        </w:rPr>
      </w:pPr>
    </w:p>
    <w:p w14:paraId="4B1A9751" w14:textId="6B066394" w:rsidR="00C209B3" w:rsidRPr="00C31D1B" w:rsidRDefault="00C31D1B" w:rsidP="001C30B3">
      <w:pPr>
        <w:spacing w:after="0" w:line="240" w:lineRule="auto"/>
        <w:rPr>
          <w:rFonts w:eastAsia="Times New Roman" w:cs="Arial"/>
        </w:rPr>
      </w:pPr>
      <w:r w:rsidRPr="00C31D1B">
        <w:rPr>
          <w:rFonts w:eastAsia="Times New Roman" w:cs="Arial"/>
        </w:rPr>
        <w:t>The table below presents</w:t>
      </w:r>
      <w:r w:rsidR="00F42193">
        <w:rPr>
          <w:rFonts w:eastAsia="Times New Roman" w:cs="Arial"/>
        </w:rPr>
        <w:t xml:space="preserve"> </w:t>
      </w:r>
      <w:r w:rsidR="00D5729E">
        <w:rPr>
          <w:rFonts w:eastAsia="Times New Roman" w:cs="Arial"/>
        </w:rPr>
        <w:t>the</w:t>
      </w:r>
      <w:r w:rsidRPr="00C31D1B">
        <w:rPr>
          <w:rFonts w:eastAsia="Times New Roman" w:cs="Arial"/>
        </w:rPr>
        <w:t xml:space="preserve"> Government Performance and Results Act</w:t>
      </w:r>
      <w:r>
        <w:rPr>
          <w:rFonts w:eastAsia="Times New Roman" w:cs="Arial"/>
        </w:rPr>
        <w:t xml:space="preserve"> (GPRA)</w:t>
      </w:r>
      <w:r w:rsidR="000D64D4" w:rsidRPr="00C31D1B">
        <w:rPr>
          <w:rFonts w:eastAsia="Times New Roman" w:cs="Arial"/>
        </w:rPr>
        <w:t xml:space="preserve"> </w:t>
      </w:r>
      <w:r w:rsidRPr="00C31D1B">
        <w:rPr>
          <w:rFonts w:eastAsia="Times New Roman" w:cs="Arial"/>
        </w:rPr>
        <w:t>targets</w:t>
      </w:r>
      <w:r>
        <w:rPr>
          <w:rFonts w:eastAsia="Times New Roman" w:cs="Arial"/>
        </w:rPr>
        <w:t xml:space="preserve"> for Adult Basic Education (ABE), Adult Secondary Education (ASE), and English as a Second Language (ESL);</w:t>
      </w:r>
      <w:r w:rsidR="00C209B3" w:rsidRPr="00C31D1B">
        <w:rPr>
          <w:rFonts w:eastAsia="Times New Roman" w:cs="Arial"/>
        </w:rPr>
        <w:t xml:space="preserve"> </w:t>
      </w:r>
      <w:r w:rsidRPr="00C31D1B">
        <w:rPr>
          <w:rFonts w:eastAsia="Times New Roman" w:cs="Arial"/>
        </w:rPr>
        <w:t>MSG target</w:t>
      </w:r>
      <w:r>
        <w:rPr>
          <w:rFonts w:eastAsia="Times New Roman" w:cs="Arial"/>
        </w:rPr>
        <w:t xml:space="preserve"> percentages and target number</w:t>
      </w:r>
      <w:r w:rsidRPr="00C31D1B">
        <w:rPr>
          <w:rFonts w:eastAsia="Times New Roman" w:cs="Arial"/>
        </w:rPr>
        <w:t>s</w:t>
      </w:r>
      <w:r>
        <w:rPr>
          <w:rFonts w:eastAsia="Times New Roman" w:cs="Arial"/>
        </w:rPr>
        <w:t>;</w:t>
      </w:r>
      <w:r w:rsidR="00C209B3" w:rsidRPr="00C31D1B">
        <w:rPr>
          <w:rFonts w:eastAsia="Times New Roman" w:cs="Arial"/>
        </w:rPr>
        <w:t xml:space="preserve"> and the a</w:t>
      </w:r>
      <w:r w:rsidR="0068357D" w:rsidRPr="00C31D1B">
        <w:rPr>
          <w:rFonts w:eastAsia="Times New Roman" w:cs="Arial"/>
        </w:rPr>
        <w:t>ctual</w:t>
      </w:r>
      <w:r>
        <w:rPr>
          <w:rFonts w:eastAsia="Times New Roman" w:cs="Arial"/>
        </w:rPr>
        <w:t xml:space="preserve"> Rhode Island</w:t>
      </w:r>
      <w:r w:rsidRPr="00C31D1B">
        <w:rPr>
          <w:rFonts w:eastAsia="Times New Roman" w:cs="Arial"/>
        </w:rPr>
        <w:t xml:space="preserve"> MSG </w:t>
      </w:r>
      <w:r w:rsidR="001C30B3">
        <w:rPr>
          <w:rFonts w:eastAsia="Times New Roman" w:cs="Arial"/>
        </w:rPr>
        <w:t xml:space="preserve">results (in yellow). </w:t>
      </w:r>
      <w:r w:rsidR="001C30B3" w:rsidRPr="001C30B3">
        <w:rPr>
          <w:rFonts w:eastAsia="Times" w:cs="Arial"/>
        </w:rPr>
        <w:t xml:space="preserve"> </w:t>
      </w:r>
      <w:r w:rsidR="001C30B3" w:rsidRPr="00D5729E">
        <w:rPr>
          <w:rFonts w:eastAsia="Times" w:cs="Arial"/>
          <w:b/>
        </w:rPr>
        <w:t xml:space="preserve">In summary, </w:t>
      </w:r>
      <w:r w:rsidR="00630939" w:rsidRPr="00D5729E">
        <w:rPr>
          <w:rFonts w:eastAsia="Times" w:cs="Arial"/>
          <w:b/>
        </w:rPr>
        <w:t>Rhode Island exceeded its state</w:t>
      </w:r>
      <w:r w:rsidR="001C30B3" w:rsidRPr="00D5729E">
        <w:rPr>
          <w:rFonts w:eastAsia="Times" w:cs="Arial"/>
          <w:b/>
        </w:rPr>
        <w:t xml:space="preserve"> targets and the GPRA targets for MSG in percentages and in numbers of enrollments.</w:t>
      </w:r>
    </w:p>
    <w:p w14:paraId="562BD5DE" w14:textId="77777777" w:rsidR="00C209B3" w:rsidRPr="00955F07" w:rsidRDefault="00C209B3" w:rsidP="000C6205">
      <w:pPr>
        <w:spacing w:after="0" w:line="240" w:lineRule="auto"/>
        <w:jc w:val="both"/>
        <w:rPr>
          <w:rFonts w:eastAsia="Times New Roman" w:cs="Arial"/>
          <w:b/>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31D1B" w14:paraId="17504973" w14:textId="77777777" w:rsidTr="006A44C3">
        <w:tc>
          <w:tcPr>
            <w:tcW w:w="1558" w:type="dxa"/>
          </w:tcPr>
          <w:p w14:paraId="6AB87E83" w14:textId="77777777" w:rsidR="00C31D1B" w:rsidRDefault="00C31D1B" w:rsidP="006A44C3"/>
        </w:tc>
        <w:tc>
          <w:tcPr>
            <w:tcW w:w="1558" w:type="dxa"/>
          </w:tcPr>
          <w:p w14:paraId="42DA51C3" w14:textId="77777777" w:rsidR="00C31D1B" w:rsidRPr="00556A10" w:rsidRDefault="00C31D1B" w:rsidP="006A44C3">
            <w:pPr>
              <w:jc w:val="center"/>
              <w:rPr>
                <w:b/>
              </w:rPr>
            </w:pPr>
            <w:r w:rsidRPr="00556A10">
              <w:rPr>
                <w:b/>
              </w:rPr>
              <w:t>GPRA Target</w:t>
            </w:r>
          </w:p>
        </w:tc>
        <w:tc>
          <w:tcPr>
            <w:tcW w:w="1558" w:type="dxa"/>
          </w:tcPr>
          <w:p w14:paraId="4C7F8E70" w14:textId="77777777" w:rsidR="00C31D1B" w:rsidRPr="00556A10" w:rsidRDefault="00C31D1B" w:rsidP="006A44C3">
            <w:pPr>
              <w:jc w:val="center"/>
              <w:rPr>
                <w:b/>
              </w:rPr>
            </w:pPr>
            <w:r w:rsidRPr="00556A10">
              <w:rPr>
                <w:b/>
              </w:rPr>
              <w:t>MSG Target %</w:t>
            </w:r>
          </w:p>
        </w:tc>
        <w:tc>
          <w:tcPr>
            <w:tcW w:w="1558" w:type="dxa"/>
          </w:tcPr>
          <w:p w14:paraId="54884E68" w14:textId="77777777" w:rsidR="00C31D1B" w:rsidRPr="00556A10" w:rsidRDefault="00C31D1B" w:rsidP="006A44C3">
            <w:pPr>
              <w:jc w:val="center"/>
              <w:rPr>
                <w:b/>
              </w:rPr>
            </w:pPr>
            <w:r w:rsidRPr="00556A10">
              <w:rPr>
                <w:b/>
              </w:rPr>
              <w:t>MSG Target #</w:t>
            </w:r>
          </w:p>
        </w:tc>
        <w:tc>
          <w:tcPr>
            <w:tcW w:w="1559" w:type="dxa"/>
            <w:shd w:val="clear" w:color="auto" w:fill="FFFF00"/>
          </w:tcPr>
          <w:p w14:paraId="0C34BEF5" w14:textId="77777777" w:rsidR="00C31D1B" w:rsidRPr="00556A10" w:rsidRDefault="00C31D1B" w:rsidP="006A44C3">
            <w:pPr>
              <w:jc w:val="center"/>
              <w:rPr>
                <w:b/>
              </w:rPr>
            </w:pPr>
            <w:r>
              <w:rPr>
                <w:b/>
              </w:rPr>
              <w:t>RI MSG %</w:t>
            </w:r>
          </w:p>
        </w:tc>
        <w:tc>
          <w:tcPr>
            <w:tcW w:w="1559" w:type="dxa"/>
            <w:shd w:val="clear" w:color="auto" w:fill="FFFF00"/>
          </w:tcPr>
          <w:p w14:paraId="5E8E61F1" w14:textId="77777777" w:rsidR="00C31D1B" w:rsidRPr="00556A10" w:rsidRDefault="00C31D1B" w:rsidP="006A44C3">
            <w:pPr>
              <w:jc w:val="center"/>
              <w:rPr>
                <w:b/>
              </w:rPr>
            </w:pPr>
            <w:r>
              <w:rPr>
                <w:b/>
              </w:rPr>
              <w:t>RI MSG #</w:t>
            </w:r>
          </w:p>
        </w:tc>
      </w:tr>
      <w:tr w:rsidR="00C31D1B" w14:paraId="1CB88DD6" w14:textId="77777777" w:rsidTr="006A44C3">
        <w:tc>
          <w:tcPr>
            <w:tcW w:w="1558" w:type="dxa"/>
          </w:tcPr>
          <w:p w14:paraId="7E1E6DA8" w14:textId="77777777" w:rsidR="00C31D1B" w:rsidRPr="00556A10" w:rsidRDefault="00C31D1B" w:rsidP="006A44C3">
            <w:pPr>
              <w:rPr>
                <w:b/>
              </w:rPr>
            </w:pPr>
            <w:r w:rsidRPr="00556A10">
              <w:rPr>
                <w:b/>
              </w:rPr>
              <w:t>ABE/ASE</w:t>
            </w:r>
          </w:p>
        </w:tc>
        <w:tc>
          <w:tcPr>
            <w:tcW w:w="1558" w:type="dxa"/>
          </w:tcPr>
          <w:p w14:paraId="7061BEAA" w14:textId="5D236F77" w:rsidR="00C31D1B" w:rsidRDefault="007B6B26" w:rsidP="006A44C3">
            <w:pPr>
              <w:jc w:val="center"/>
            </w:pPr>
            <w:r>
              <w:t>45</w:t>
            </w:r>
            <w:r w:rsidR="00C31D1B">
              <w:t>%</w:t>
            </w:r>
          </w:p>
        </w:tc>
        <w:tc>
          <w:tcPr>
            <w:tcW w:w="1558" w:type="dxa"/>
          </w:tcPr>
          <w:p w14:paraId="70DC6AAE" w14:textId="36016698" w:rsidR="00C31D1B" w:rsidRDefault="007B6B26" w:rsidP="006A44C3">
            <w:pPr>
              <w:jc w:val="center"/>
            </w:pPr>
            <w:r>
              <w:t>54</w:t>
            </w:r>
            <w:r w:rsidR="00C31D1B">
              <w:t>%</w:t>
            </w:r>
          </w:p>
        </w:tc>
        <w:tc>
          <w:tcPr>
            <w:tcW w:w="1558" w:type="dxa"/>
          </w:tcPr>
          <w:p w14:paraId="52F576D7" w14:textId="174F9AC4" w:rsidR="00C31D1B" w:rsidRDefault="00373C63" w:rsidP="006A44C3">
            <w:pPr>
              <w:jc w:val="center"/>
            </w:pPr>
            <w:r>
              <w:t>1,219</w:t>
            </w:r>
          </w:p>
        </w:tc>
        <w:tc>
          <w:tcPr>
            <w:tcW w:w="1559" w:type="dxa"/>
            <w:shd w:val="clear" w:color="auto" w:fill="FFFF00"/>
          </w:tcPr>
          <w:p w14:paraId="2DDD0A05" w14:textId="375BCF58" w:rsidR="00C31D1B" w:rsidRPr="00D5729E" w:rsidRDefault="00603BF2" w:rsidP="006A44C3">
            <w:pPr>
              <w:jc w:val="center"/>
              <w:rPr>
                <w:b/>
              </w:rPr>
            </w:pPr>
            <w:r w:rsidRPr="00D5729E">
              <w:rPr>
                <w:b/>
              </w:rPr>
              <w:t>56</w:t>
            </w:r>
            <w:r w:rsidR="00C31D1B" w:rsidRPr="00D5729E">
              <w:rPr>
                <w:b/>
              </w:rPr>
              <w:t>%</w:t>
            </w:r>
          </w:p>
        </w:tc>
        <w:tc>
          <w:tcPr>
            <w:tcW w:w="1559" w:type="dxa"/>
            <w:shd w:val="clear" w:color="auto" w:fill="FFFF00"/>
          </w:tcPr>
          <w:p w14:paraId="13D63B95" w14:textId="71252114" w:rsidR="00C31D1B" w:rsidRPr="00D5729E" w:rsidRDefault="00373C63" w:rsidP="006A44C3">
            <w:pPr>
              <w:jc w:val="center"/>
              <w:rPr>
                <w:b/>
              </w:rPr>
            </w:pPr>
            <w:r w:rsidRPr="00D5729E">
              <w:rPr>
                <w:b/>
              </w:rPr>
              <w:t>1,263</w:t>
            </w:r>
          </w:p>
        </w:tc>
      </w:tr>
      <w:tr w:rsidR="00C31D1B" w14:paraId="2DCADA99" w14:textId="77777777" w:rsidTr="006A44C3">
        <w:tc>
          <w:tcPr>
            <w:tcW w:w="1558" w:type="dxa"/>
          </w:tcPr>
          <w:p w14:paraId="6F2601E3" w14:textId="77777777" w:rsidR="00C31D1B" w:rsidRPr="00556A10" w:rsidRDefault="00C31D1B" w:rsidP="006A44C3">
            <w:pPr>
              <w:rPr>
                <w:b/>
              </w:rPr>
            </w:pPr>
            <w:r w:rsidRPr="00556A10">
              <w:rPr>
                <w:b/>
              </w:rPr>
              <w:t>ESL</w:t>
            </w:r>
          </w:p>
        </w:tc>
        <w:tc>
          <w:tcPr>
            <w:tcW w:w="1558" w:type="dxa"/>
          </w:tcPr>
          <w:p w14:paraId="202355AE" w14:textId="7E8D10D4" w:rsidR="00C31D1B" w:rsidRDefault="007B6B26" w:rsidP="006A44C3">
            <w:pPr>
              <w:jc w:val="center"/>
            </w:pPr>
            <w:r>
              <w:t>45</w:t>
            </w:r>
            <w:r w:rsidR="00C31D1B">
              <w:t>%</w:t>
            </w:r>
          </w:p>
        </w:tc>
        <w:tc>
          <w:tcPr>
            <w:tcW w:w="1558" w:type="dxa"/>
          </w:tcPr>
          <w:p w14:paraId="069AC390" w14:textId="4EC606E4" w:rsidR="00C31D1B" w:rsidRDefault="007B6B26" w:rsidP="006A44C3">
            <w:pPr>
              <w:jc w:val="center"/>
            </w:pPr>
            <w:r>
              <w:t>50</w:t>
            </w:r>
            <w:r w:rsidR="00C31D1B">
              <w:t>%</w:t>
            </w:r>
          </w:p>
        </w:tc>
        <w:tc>
          <w:tcPr>
            <w:tcW w:w="1558" w:type="dxa"/>
          </w:tcPr>
          <w:p w14:paraId="7A4D2C7F" w14:textId="73A113D1" w:rsidR="00C31D1B" w:rsidRDefault="00603BF2" w:rsidP="006A44C3">
            <w:pPr>
              <w:jc w:val="center"/>
            </w:pPr>
            <w:r>
              <w:t>1</w:t>
            </w:r>
            <w:r w:rsidR="00373C63">
              <w:t>,622</w:t>
            </w:r>
          </w:p>
        </w:tc>
        <w:tc>
          <w:tcPr>
            <w:tcW w:w="1559" w:type="dxa"/>
            <w:shd w:val="clear" w:color="auto" w:fill="FFFF00"/>
          </w:tcPr>
          <w:p w14:paraId="7DB10562" w14:textId="708F071F" w:rsidR="00C31D1B" w:rsidRPr="00D5729E" w:rsidRDefault="00373C63" w:rsidP="006A44C3">
            <w:pPr>
              <w:jc w:val="center"/>
              <w:rPr>
                <w:b/>
              </w:rPr>
            </w:pPr>
            <w:r w:rsidRPr="00D5729E">
              <w:rPr>
                <w:b/>
              </w:rPr>
              <w:t>52</w:t>
            </w:r>
            <w:r w:rsidR="00C31D1B" w:rsidRPr="00D5729E">
              <w:rPr>
                <w:b/>
              </w:rPr>
              <w:t>%</w:t>
            </w:r>
          </w:p>
        </w:tc>
        <w:tc>
          <w:tcPr>
            <w:tcW w:w="1559" w:type="dxa"/>
            <w:shd w:val="clear" w:color="auto" w:fill="FFFF00"/>
          </w:tcPr>
          <w:p w14:paraId="0B288D8C" w14:textId="5441D02D" w:rsidR="00C31D1B" w:rsidRPr="00D5729E" w:rsidRDefault="00C31D1B" w:rsidP="006A44C3">
            <w:pPr>
              <w:jc w:val="center"/>
              <w:rPr>
                <w:b/>
              </w:rPr>
            </w:pPr>
            <w:r w:rsidRPr="00D5729E">
              <w:rPr>
                <w:b/>
              </w:rPr>
              <w:t>1,</w:t>
            </w:r>
            <w:r w:rsidR="00373C63" w:rsidRPr="00D5729E">
              <w:rPr>
                <w:b/>
              </w:rPr>
              <w:t>935</w:t>
            </w:r>
          </w:p>
        </w:tc>
      </w:tr>
      <w:tr w:rsidR="00C31D1B" w14:paraId="518FDC88" w14:textId="77777777" w:rsidTr="006A44C3">
        <w:tc>
          <w:tcPr>
            <w:tcW w:w="1558" w:type="dxa"/>
          </w:tcPr>
          <w:p w14:paraId="5A30F5E6" w14:textId="77777777" w:rsidR="00C31D1B" w:rsidRPr="00556A10" w:rsidRDefault="00C31D1B" w:rsidP="006A44C3">
            <w:pPr>
              <w:rPr>
                <w:b/>
              </w:rPr>
            </w:pPr>
            <w:r w:rsidRPr="00556A10">
              <w:rPr>
                <w:b/>
              </w:rPr>
              <w:t>OVERALL MSG</w:t>
            </w:r>
          </w:p>
        </w:tc>
        <w:tc>
          <w:tcPr>
            <w:tcW w:w="1558" w:type="dxa"/>
          </w:tcPr>
          <w:p w14:paraId="23565BFD" w14:textId="77777777" w:rsidR="00C31D1B" w:rsidRDefault="00C31D1B" w:rsidP="006A44C3">
            <w:pPr>
              <w:jc w:val="center"/>
            </w:pPr>
            <w:r>
              <w:t>N/A</w:t>
            </w:r>
          </w:p>
        </w:tc>
        <w:tc>
          <w:tcPr>
            <w:tcW w:w="1558" w:type="dxa"/>
          </w:tcPr>
          <w:p w14:paraId="4313ADCF" w14:textId="371978A2" w:rsidR="00C31D1B" w:rsidRDefault="007B6B26" w:rsidP="006A44C3">
            <w:pPr>
              <w:jc w:val="center"/>
            </w:pPr>
            <w:r>
              <w:t>52</w:t>
            </w:r>
            <w:r w:rsidR="00C31D1B">
              <w:t>%</w:t>
            </w:r>
          </w:p>
        </w:tc>
        <w:tc>
          <w:tcPr>
            <w:tcW w:w="1558" w:type="dxa"/>
          </w:tcPr>
          <w:p w14:paraId="64FFC12D" w14:textId="2B11CD62" w:rsidR="00C31D1B" w:rsidRDefault="00373C63" w:rsidP="006A44C3">
            <w:pPr>
              <w:jc w:val="center"/>
            </w:pPr>
            <w:r>
              <w:t>2,840</w:t>
            </w:r>
          </w:p>
        </w:tc>
        <w:tc>
          <w:tcPr>
            <w:tcW w:w="1559" w:type="dxa"/>
            <w:shd w:val="clear" w:color="auto" w:fill="FFFF00"/>
          </w:tcPr>
          <w:p w14:paraId="42A2D987" w14:textId="38889E0A" w:rsidR="00C31D1B" w:rsidRPr="00D5729E" w:rsidRDefault="00603BF2" w:rsidP="006A44C3">
            <w:pPr>
              <w:jc w:val="center"/>
              <w:rPr>
                <w:b/>
              </w:rPr>
            </w:pPr>
            <w:r w:rsidRPr="00D5729E">
              <w:rPr>
                <w:b/>
              </w:rPr>
              <w:t>53</w:t>
            </w:r>
            <w:r w:rsidR="00C31D1B" w:rsidRPr="00D5729E">
              <w:rPr>
                <w:b/>
              </w:rPr>
              <w:t>%</w:t>
            </w:r>
          </w:p>
        </w:tc>
        <w:tc>
          <w:tcPr>
            <w:tcW w:w="1559" w:type="dxa"/>
            <w:shd w:val="clear" w:color="auto" w:fill="FFFF00"/>
          </w:tcPr>
          <w:p w14:paraId="7C7FE562" w14:textId="6E4F5521" w:rsidR="00C31D1B" w:rsidRPr="00D5729E" w:rsidRDefault="00373C63" w:rsidP="006A44C3">
            <w:pPr>
              <w:jc w:val="center"/>
              <w:rPr>
                <w:b/>
              </w:rPr>
            </w:pPr>
            <w:r w:rsidRPr="00D5729E">
              <w:rPr>
                <w:b/>
              </w:rPr>
              <w:t>3,198</w:t>
            </w:r>
          </w:p>
        </w:tc>
      </w:tr>
    </w:tbl>
    <w:p w14:paraId="170C3808" w14:textId="77777777" w:rsidR="00C209B3" w:rsidRPr="00955F07" w:rsidRDefault="00C209B3" w:rsidP="000C6205">
      <w:pPr>
        <w:spacing w:after="0" w:line="240" w:lineRule="auto"/>
        <w:jc w:val="both"/>
        <w:rPr>
          <w:rFonts w:eastAsia="Times New Roman" w:cs="Arial"/>
          <w:b/>
        </w:rPr>
      </w:pPr>
    </w:p>
    <w:p w14:paraId="4ACE5097" w14:textId="34AD5A23" w:rsidR="001C30B3" w:rsidRDefault="35E2BDFE" w:rsidP="35E2BDFE">
      <w:pPr>
        <w:spacing w:after="0" w:line="240" w:lineRule="auto"/>
        <w:jc w:val="both"/>
        <w:rPr>
          <w:rFonts w:eastAsia="Times New Roman" w:cs="Arial"/>
        </w:rPr>
      </w:pPr>
      <w:r w:rsidRPr="35E2BDFE">
        <w:rPr>
          <w:rFonts w:eastAsia="Times New Roman" w:cs="Arial"/>
        </w:rPr>
        <w:t>Rhode Island adult education programs are doing an excellent jo</w:t>
      </w:r>
      <w:r w:rsidR="00F42193">
        <w:rPr>
          <w:rFonts w:eastAsia="Times New Roman" w:cs="Arial"/>
        </w:rPr>
        <w:t>b of educating ou</w:t>
      </w:r>
      <w:r w:rsidR="00D04C3B">
        <w:rPr>
          <w:rFonts w:eastAsia="Times New Roman" w:cs="Arial"/>
        </w:rPr>
        <w:t>r adult</w:t>
      </w:r>
      <w:r w:rsidR="00F42193">
        <w:rPr>
          <w:rFonts w:eastAsia="Times New Roman" w:cs="Arial"/>
        </w:rPr>
        <w:t xml:space="preserve"> learners, and an additional</w:t>
      </w:r>
      <w:r w:rsidRPr="35E2BDFE">
        <w:rPr>
          <w:rFonts w:eastAsia="Times New Roman" w:cs="Arial"/>
        </w:rPr>
        <w:t xml:space="preserve"> factor contributing to the high MSG is also the new regulation that high school equivalency </w:t>
      </w:r>
      <w:r w:rsidR="00D04C3B">
        <w:rPr>
          <w:rFonts w:eastAsia="Times New Roman" w:cs="Arial"/>
        </w:rPr>
        <w:t xml:space="preserve">diplomas </w:t>
      </w:r>
      <w:r w:rsidRPr="35E2BDFE">
        <w:rPr>
          <w:rFonts w:eastAsia="Times New Roman" w:cs="Arial"/>
        </w:rPr>
        <w:t>and high school diplomas may count toward a Measurable Skill Gain in any educational functionin</w:t>
      </w:r>
      <w:r w:rsidR="00373C63">
        <w:rPr>
          <w:rFonts w:eastAsia="Times New Roman" w:cs="Arial"/>
        </w:rPr>
        <w:t>g level.  This accounted for 309</w:t>
      </w:r>
      <w:r w:rsidRPr="35E2BDFE">
        <w:rPr>
          <w:rFonts w:eastAsia="Times New Roman" w:cs="Arial"/>
        </w:rPr>
        <w:t xml:space="preserve"> MSGs </w:t>
      </w:r>
      <w:r w:rsidR="00F42193">
        <w:rPr>
          <w:rFonts w:eastAsia="Times New Roman" w:cs="Arial"/>
        </w:rPr>
        <w:t xml:space="preserve">in Rhode Island </w:t>
      </w:r>
      <w:r w:rsidR="00373C63">
        <w:rPr>
          <w:rFonts w:eastAsia="Times New Roman" w:cs="Arial"/>
        </w:rPr>
        <w:t>during 2018-2019</w:t>
      </w:r>
      <w:r w:rsidRPr="35E2BDFE">
        <w:rPr>
          <w:rFonts w:eastAsia="Times New Roman" w:cs="Arial"/>
        </w:rPr>
        <w:t xml:space="preserve">. </w:t>
      </w:r>
    </w:p>
    <w:p w14:paraId="67F687D8" w14:textId="77777777" w:rsidR="001C30B3" w:rsidRDefault="001C30B3" w:rsidP="000C6205">
      <w:pPr>
        <w:spacing w:after="0" w:line="240" w:lineRule="auto"/>
        <w:jc w:val="both"/>
        <w:rPr>
          <w:rFonts w:eastAsia="Times New Roman" w:cs="Arial"/>
        </w:rPr>
      </w:pPr>
    </w:p>
    <w:p w14:paraId="40464A9E" w14:textId="4B882C1C" w:rsidR="00194AD6" w:rsidRDefault="00C209B3" w:rsidP="000C6205">
      <w:pPr>
        <w:spacing w:after="0" w:line="240" w:lineRule="auto"/>
        <w:jc w:val="both"/>
        <w:rPr>
          <w:rFonts w:eastAsia="Times New Roman" w:cs="Arial"/>
        </w:rPr>
      </w:pPr>
      <w:r w:rsidRPr="00955F07">
        <w:rPr>
          <w:rFonts w:eastAsia="Times New Roman" w:cs="Arial"/>
        </w:rPr>
        <w:t xml:space="preserve">To continue the improvements made in overall program </w:t>
      </w:r>
      <w:r w:rsidR="00D5729E">
        <w:rPr>
          <w:rFonts w:eastAsia="Times New Roman" w:cs="Arial"/>
        </w:rPr>
        <w:t>effectiveness, Rhode Island will</w:t>
      </w:r>
      <w:r w:rsidRPr="00955F07">
        <w:rPr>
          <w:rFonts w:eastAsia="Times New Roman" w:cs="Arial"/>
        </w:rPr>
        <w:t xml:space="preserve"> conduct regular data audit reviews, quarterly desk reviews, annual performance reviews of local program performance, and targeted on-site monitoring focusing on compliance issues for high-risk programs identified through desk reviews. </w:t>
      </w:r>
      <w:r w:rsidR="0022700E">
        <w:rPr>
          <w:rFonts w:eastAsia="Times New Roman" w:cs="Arial"/>
        </w:rPr>
        <w:t xml:space="preserve"> </w:t>
      </w:r>
      <w:r w:rsidR="002543C6">
        <w:rPr>
          <w:rFonts w:eastAsia="Times New Roman" w:cs="Arial"/>
        </w:rPr>
        <w:t xml:space="preserve">In addition, RIDE will continue using performance as a factor in funding decisions. </w:t>
      </w:r>
    </w:p>
    <w:p w14:paraId="0A8D813B" w14:textId="77777777" w:rsidR="00194AD6" w:rsidRDefault="00194AD6" w:rsidP="000C6205">
      <w:pPr>
        <w:spacing w:after="0" w:line="240" w:lineRule="auto"/>
        <w:jc w:val="both"/>
        <w:rPr>
          <w:rFonts w:eastAsia="Times New Roman" w:cs="Arial"/>
        </w:rPr>
      </w:pPr>
    </w:p>
    <w:p w14:paraId="5B9973D0" w14:textId="1BAB107B" w:rsidR="002543C6" w:rsidRDefault="00003D9D" w:rsidP="000C6205">
      <w:pPr>
        <w:spacing w:after="0" w:line="240" w:lineRule="auto"/>
        <w:jc w:val="both"/>
        <w:rPr>
          <w:rFonts w:eastAsia="Times New Roman" w:cs="Arial"/>
        </w:rPr>
      </w:pPr>
      <w:r>
        <w:rPr>
          <w:rFonts w:eastAsia="Times New Roman" w:cs="Arial"/>
        </w:rPr>
        <w:t xml:space="preserve">Using data from 2018-2019, </w:t>
      </w:r>
      <w:r w:rsidR="002543C6">
        <w:rPr>
          <w:rFonts w:eastAsia="Times New Roman" w:cs="Arial"/>
        </w:rPr>
        <w:t>RIDE set three tiers of performance</w:t>
      </w:r>
      <w:r>
        <w:rPr>
          <w:rFonts w:eastAsia="Times New Roman" w:cs="Arial"/>
        </w:rPr>
        <w:t xml:space="preserve"> for future funding:</w:t>
      </w:r>
      <w:r w:rsidR="002543C6">
        <w:rPr>
          <w:rFonts w:eastAsia="Times New Roman" w:cs="Arial"/>
        </w:rPr>
        <w:t xml:space="preserve"> Tier 1 was for any program that exceeded the 52% target, Tier 2 was for any program that was between 41.6%</w:t>
      </w:r>
      <w:r w:rsidR="00033022">
        <w:rPr>
          <w:rFonts w:eastAsia="Times New Roman" w:cs="Arial"/>
        </w:rPr>
        <w:t xml:space="preserve"> (which equaled</w:t>
      </w:r>
      <w:r w:rsidR="002543C6">
        <w:rPr>
          <w:rFonts w:eastAsia="Times New Roman" w:cs="Arial"/>
        </w:rPr>
        <w:t xml:space="preserve"> 80% of the target</w:t>
      </w:r>
      <w:r w:rsidR="00033022">
        <w:rPr>
          <w:rFonts w:eastAsia="Times New Roman" w:cs="Arial"/>
        </w:rPr>
        <w:t xml:space="preserve"> percentage</w:t>
      </w:r>
      <w:r w:rsidR="002543C6">
        <w:rPr>
          <w:rFonts w:eastAsia="Times New Roman" w:cs="Arial"/>
        </w:rPr>
        <w:t xml:space="preserve">) and 52%, and Tier 3 was for any program that had performance below 41.6%.  This formula was used </w:t>
      </w:r>
      <w:r w:rsidR="0081409E">
        <w:rPr>
          <w:rFonts w:eastAsia="Times New Roman" w:cs="Arial"/>
        </w:rPr>
        <w:t xml:space="preserve">(1) </w:t>
      </w:r>
      <w:r w:rsidR="002543C6">
        <w:rPr>
          <w:rFonts w:eastAsia="Times New Roman" w:cs="Arial"/>
        </w:rPr>
        <w:t xml:space="preserve">to reward programs that exceeded the state target of 52%, </w:t>
      </w:r>
      <w:r w:rsidR="0081409E">
        <w:rPr>
          <w:rFonts w:eastAsia="Times New Roman" w:cs="Arial"/>
        </w:rPr>
        <w:t xml:space="preserve">(2) </w:t>
      </w:r>
      <w:r w:rsidR="002543C6">
        <w:rPr>
          <w:rFonts w:eastAsia="Times New Roman" w:cs="Arial"/>
        </w:rPr>
        <w:t xml:space="preserve">to level fund those that were at least 80% of the target, and </w:t>
      </w:r>
      <w:r w:rsidR="0081409E">
        <w:rPr>
          <w:rFonts w:eastAsia="Times New Roman" w:cs="Arial"/>
        </w:rPr>
        <w:t xml:space="preserve">(3) </w:t>
      </w:r>
      <w:r w:rsidR="002543C6">
        <w:rPr>
          <w:rFonts w:eastAsia="Times New Roman" w:cs="Arial"/>
        </w:rPr>
        <w:t xml:space="preserve">to reduce funding for programs below 80% of the target.  As it turned out, none of the programs was below 80% of the target during 2018-2019.  A clear understanding of the state’s targets and </w:t>
      </w:r>
      <w:r w:rsidR="00D23359">
        <w:rPr>
          <w:rFonts w:eastAsia="Times New Roman" w:cs="Arial"/>
        </w:rPr>
        <w:t xml:space="preserve">tying </w:t>
      </w:r>
      <w:r w:rsidR="002543C6">
        <w:rPr>
          <w:rFonts w:eastAsia="Times New Roman" w:cs="Arial"/>
        </w:rPr>
        <w:t>financial incentives</w:t>
      </w:r>
      <w:r w:rsidR="00D23359">
        <w:rPr>
          <w:rFonts w:eastAsia="Times New Roman" w:cs="Arial"/>
        </w:rPr>
        <w:t xml:space="preserve"> to performance</w:t>
      </w:r>
      <w:r w:rsidR="002543C6">
        <w:rPr>
          <w:rFonts w:eastAsia="Times New Roman" w:cs="Arial"/>
        </w:rPr>
        <w:t xml:space="preserve"> are a strong combination </w:t>
      </w:r>
      <w:r w:rsidR="00D23359">
        <w:rPr>
          <w:rFonts w:eastAsia="Times New Roman" w:cs="Arial"/>
        </w:rPr>
        <w:t>that</w:t>
      </w:r>
      <w:r w:rsidR="00CA1DCB">
        <w:rPr>
          <w:rFonts w:eastAsia="Times New Roman" w:cs="Arial"/>
        </w:rPr>
        <w:t xml:space="preserve"> have led to the state meeting and</w:t>
      </w:r>
      <w:r w:rsidR="002543C6">
        <w:rPr>
          <w:rFonts w:eastAsia="Times New Roman" w:cs="Arial"/>
        </w:rPr>
        <w:t xml:space="preserve"> exceeding its targets from year to year. </w:t>
      </w:r>
      <w:r w:rsidR="004C3663">
        <w:rPr>
          <w:rFonts w:eastAsia="Times New Roman" w:cs="Arial"/>
        </w:rPr>
        <w:t xml:space="preserve"> What is not yet clear is whether the state has reached its peak and has plateaued since this is the second year in a row that the state’s MSG has been 53% and this percentage is also the target for 2019-2020. </w:t>
      </w:r>
    </w:p>
    <w:p w14:paraId="112724CA" w14:textId="4E068B5B" w:rsidR="00973BCB" w:rsidRDefault="00973BCB" w:rsidP="000C6205">
      <w:pPr>
        <w:spacing w:after="0" w:line="240" w:lineRule="auto"/>
        <w:jc w:val="both"/>
        <w:rPr>
          <w:rFonts w:eastAsia="Times New Roman" w:cs="Arial"/>
          <w:bCs/>
          <w:color w:val="000000"/>
        </w:rPr>
      </w:pPr>
    </w:p>
    <w:p w14:paraId="15CC0FDF" w14:textId="3F73BBB3" w:rsidR="002612AB" w:rsidRPr="002612AB" w:rsidRDefault="00D5729E" w:rsidP="001F51E4">
      <w:pPr>
        <w:spacing w:line="240" w:lineRule="auto"/>
      </w:pPr>
      <w:r w:rsidRPr="00D5729E">
        <w:rPr>
          <w:u w:val="single"/>
        </w:rPr>
        <w:t>NRS Table 3 Analysis</w:t>
      </w:r>
      <w:r w:rsidR="002612AB" w:rsidRPr="001F51E4">
        <w:t>:</w:t>
      </w:r>
      <w:r w:rsidR="001F51E4" w:rsidRPr="001F51E4">
        <w:t xml:space="preserve">  </w:t>
      </w:r>
      <w:r w:rsidR="10022AE0">
        <w:t>Table 3 shows Integrated Education and Training (IET) participants at each educational level as well as</w:t>
      </w:r>
      <w:r w:rsidR="005868E2">
        <w:t xml:space="preserve"> the </w:t>
      </w:r>
      <w:r w:rsidR="00C26E3D">
        <w:t xml:space="preserve">Section 243 </w:t>
      </w:r>
      <w:r w:rsidR="005868E2">
        <w:t>funding for</w:t>
      </w:r>
      <w:r w:rsidR="10022AE0">
        <w:t xml:space="preserve"> Integrated English Literacy and Civics Education (IELCE) and its IET subset.  Rhode Island’s adult education programs </w:t>
      </w:r>
      <w:r w:rsidR="00FC4E8A">
        <w:t xml:space="preserve">have done a better job </w:t>
      </w:r>
      <w:r w:rsidR="10022AE0">
        <w:t>classify</w:t>
      </w:r>
      <w:r w:rsidR="00FC4E8A">
        <w:t>ing</w:t>
      </w:r>
      <w:r w:rsidR="002B430F">
        <w:t xml:space="preserve"> their learners into these</w:t>
      </w:r>
      <w:r w:rsidR="10022AE0">
        <w:t xml:space="preserve"> categories</w:t>
      </w:r>
      <w:r w:rsidR="00FC4E8A">
        <w:t xml:space="preserve"> over</w:t>
      </w:r>
      <w:r w:rsidR="004C3663">
        <w:t xml:space="preserve"> the</w:t>
      </w:r>
      <w:r w:rsidR="10022AE0">
        <w:t xml:space="preserve"> </w:t>
      </w:r>
      <w:r w:rsidR="00FC4E8A">
        <w:t>past three</w:t>
      </w:r>
      <w:r w:rsidR="004C3663">
        <w:t xml:space="preserve"> </w:t>
      </w:r>
      <w:r w:rsidR="10022AE0">
        <w:t>year</w:t>
      </w:r>
      <w:r w:rsidR="004C3663">
        <w:t>s</w:t>
      </w:r>
      <w:r w:rsidR="10022AE0">
        <w:t xml:space="preserve">.  Compared to the </w:t>
      </w:r>
      <w:r w:rsidR="004C3663">
        <w:t xml:space="preserve">two </w:t>
      </w:r>
      <w:r w:rsidR="10022AE0">
        <w:t>previous year</w:t>
      </w:r>
      <w:r w:rsidR="004C3663">
        <w:t>s</w:t>
      </w:r>
      <w:r w:rsidR="10022AE0">
        <w:t xml:space="preserve">, many more students </w:t>
      </w:r>
      <w:r w:rsidR="004C3663">
        <w:t>were identified as IET in 2018-2019</w:t>
      </w:r>
      <w:r w:rsidR="10022AE0">
        <w:t>, but we still believe we need to do a better job collecting and reporting</w:t>
      </w:r>
      <w:r w:rsidR="004C3663">
        <w:t xml:space="preserve"> this information.  We continue to train</w:t>
      </w:r>
      <w:r w:rsidR="10022AE0">
        <w:t xml:space="preserve"> programs on the elements of an IE</w:t>
      </w:r>
      <w:r w:rsidR="004C3663">
        <w:t>T program and IELCE programming</w:t>
      </w:r>
      <w:r w:rsidR="10022AE0">
        <w:t xml:space="preserve">. </w:t>
      </w:r>
      <w:r w:rsidR="004C3663">
        <w:t xml:space="preserve"> As a result of this better understanding and</w:t>
      </w:r>
      <w:r w:rsidR="00B515E8">
        <w:t xml:space="preserve"> improved</w:t>
      </w:r>
      <w:r w:rsidR="004C3663">
        <w:t xml:space="preserve"> data collection</w:t>
      </w:r>
      <w:r w:rsidR="00B515E8">
        <w:t xml:space="preserve"> and reporting</w:t>
      </w:r>
      <w:r w:rsidR="004C3663">
        <w:t>, t</w:t>
      </w:r>
      <w:r w:rsidR="10022AE0">
        <w:t xml:space="preserve">he number of participants </w:t>
      </w:r>
      <w:r w:rsidR="00B515E8">
        <w:t>in IET programs on Table 3</w:t>
      </w:r>
      <w:r w:rsidR="10022AE0">
        <w:t xml:space="preserve"> jumped</w:t>
      </w:r>
      <w:r w:rsidR="004C3663">
        <w:t xml:space="preserve"> in the last three years</w:t>
      </w:r>
      <w:r w:rsidR="10022AE0">
        <w:t xml:space="preserve"> from 191 learners in 2016-</w:t>
      </w:r>
      <w:r w:rsidR="004C3663">
        <w:t>20</w:t>
      </w:r>
      <w:r w:rsidR="10022AE0">
        <w:t>17</w:t>
      </w:r>
      <w:r w:rsidR="002C6D2C">
        <w:t>,</w:t>
      </w:r>
      <w:r w:rsidR="10022AE0">
        <w:t xml:space="preserve"> to 360 in 2017-</w:t>
      </w:r>
      <w:r w:rsidR="004C3663">
        <w:t>20</w:t>
      </w:r>
      <w:r w:rsidR="10022AE0">
        <w:t>18</w:t>
      </w:r>
      <w:r w:rsidR="004C3663">
        <w:t>, to 873 in 2018-2019</w:t>
      </w:r>
      <w:r w:rsidR="10022AE0">
        <w:t xml:space="preserve">. </w:t>
      </w:r>
    </w:p>
    <w:p w14:paraId="3343A84D" w14:textId="5E8141BE" w:rsidR="00E708A6" w:rsidRPr="00D5729E" w:rsidRDefault="00D5729E" w:rsidP="000C6205">
      <w:pPr>
        <w:autoSpaceDE w:val="0"/>
        <w:autoSpaceDN w:val="0"/>
        <w:adjustRightInd w:val="0"/>
        <w:spacing w:after="0" w:line="240" w:lineRule="auto"/>
        <w:jc w:val="both"/>
        <w:rPr>
          <w:rFonts w:cs="Times New Roman"/>
          <w:bCs/>
          <w:u w:val="single"/>
        </w:rPr>
      </w:pPr>
      <w:r w:rsidRPr="00D5729E">
        <w:rPr>
          <w:rFonts w:cs="Times New Roman"/>
          <w:bCs/>
          <w:u w:val="single"/>
        </w:rPr>
        <w:t xml:space="preserve">NRS </w:t>
      </w:r>
      <w:r w:rsidR="00A45DB3" w:rsidRPr="00D5729E">
        <w:rPr>
          <w:rFonts w:cs="Times New Roman"/>
          <w:bCs/>
          <w:u w:val="single"/>
        </w:rPr>
        <w:t>Table</w:t>
      </w:r>
      <w:r w:rsidRPr="00D5729E">
        <w:rPr>
          <w:rFonts w:cs="Times New Roman"/>
          <w:bCs/>
          <w:u w:val="single"/>
        </w:rPr>
        <w:t xml:space="preserve"> 5 Analysis</w:t>
      </w:r>
      <w:r w:rsidR="00A45DB3" w:rsidRPr="00D5729E">
        <w:rPr>
          <w:rFonts w:cs="Times New Roman"/>
          <w:bCs/>
          <w:u w:val="single"/>
        </w:rPr>
        <w:t>:</w:t>
      </w:r>
    </w:p>
    <w:p w14:paraId="094D15B2" w14:textId="0F79E16D" w:rsidR="00A45DB3" w:rsidRDefault="248836E0" w:rsidP="248836E0">
      <w:pPr>
        <w:autoSpaceDE w:val="0"/>
        <w:autoSpaceDN w:val="0"/>
        <w:adjustRightInd w:val="0"/>
        <w:spacing w:after="0" w:line="240" w:lineRule="auto"/>
        <w:jc w:val="both"/>
        <w:rPr>
          <w:rFonts w:cs="Times New Roman"/>
        </w:rPr>
      </w:pPr>
      <w:r w:rsidRPr="248836E0">
        <w:rPr>
          <w:rFonts w:cs="Times New Roman"/>
        </w:rPr>
        <w:t xml:space="preserve">Table 5 was completed for the first time </w:t>
      </w:r>
      <w:r w:rsidR="004C3663">
        <w:rPr>
          <w:rFonts w:cs="Times New Roman"/>
        </w:rPr>
        <w:t>with a full year’s data in 20</w:t>
      </w:r>
      <w:r w:rsidR="00AB50DB">
        <w:rPr>
          <w:rFonts w:cs="Times New Roman"/>
        </w:rPr>
        <w:t>18-2019</w:t>
      </w:r>
      <w:r w:rsidRPr="002E2887">
        <w:rPr>
          <w:rFonts w:cs="Times New Roman"/>
        </w:rPr>
        <w:t>.</w:t>
      </w:r>
      <w:r w:rsidRPr="002E2887">
        <w:rPr>
          <w:rFonts w:cs="Times New Roman"/>
          <w:bCs/>
        </w:rPr>
        <w:t xml:space="preserve">  </w:t>
      </w:r>
      <w:r w:rsidR="002E2887" w:rsidRPr="002E2887">
        <w:rPr>
          <w:rFonts w:cs="Times New Roman"/>
          <w:bCs/>
        </w:rPr>
        <w:t xml:space="preserve">The </w:t>
      </w:r>
      <w:r w:rsidR="00C375A2">
        <w:rPr>
          <w:rFonts w:cs="Times New Roman"/>
          <w:bCs/>
        </w:rPr>
        <w:t>major</w:t>
      </w:r>
      <w:r w:rsidR="002E2887" w:rsidRPr="002E2887">
        <w:rPr>
          <w:rFonts w:cs="Times New Roman"/>
          <w:bCs/>
        </w:rPr>
        <w:t xml:space="preserve"> issue the state is experiencing</w:t>
      </w:r>
      <w:r w:rsidR="000F59BC">
        <w:rPr>
          <w:rFonts w:cs="Times New Roman"/>
          <w:bCs/>
        </w:rPr>
        <w:t xml:space="preserve"> now</w:t>
      </w:r>
      <w:r w:rsidR="002E2887" w:rsidRPr="002E2887">
        <w:rPr>
          <w:rFonts w:cs="Times New Roman"/>
          <w:bCs/>
        </w:rPr>
        <w:t xml:space="preserve"> is</w:t>
      </w:r>
      <w:r w:rsidR="002E2887">
        <w:rPr>
          <w:rFonts w:cs="Times New Roman"/>
          <w:bCs/>
        </w:rPr>
        <w:t xml:space="preserve"> the </w:t>
      </w:r>
      <w:r w:rsidR="000F59BC">
        <w:rPr>
          <w:rFonts w:cs="Times New Roman"/>
        </w:rPr>
        <w:t>in</w:t>
      </w:r>
      <w:r w:rsidR="002E2887">
        <w:rPr>
          <w:rFonts w:cs="Times New Roman"/>
        </w:rPr>
        <w:t>ability to</w:t>
      </w:r>
      <w:r w:rsidRPr="002E2887">
        <w:rPr>
          <w:rFonts w:cs="Times New Roman"/>
        </w:rPr>
        <w:t xml:space="preserve"> data match </w:t>
      </w:r>
      <w:r w:rsidR="002E2887">
        <w:rPr>
          <w:rFonts w:cs="Times New Roman"/>
          <w:bCs/>
        </w:rPr>
        <w:t>adult education</w:t>
      </w:r>
      <w:r w:rsidR="002E2887" w:rsidRPr="002E2887">
        <w:rPr>
          <w:rFonts w:cs="Times New Roman"/>
          <w:bCs/>
        </w:rPr>
        <w:t xml:space="preserve"> </w:t>
      </w:r>
      <w:r w:rsidR="002E2887">
        <w:rPr>
          <w:rFonts w:cs="Times New Roman"/>
          <w:bCs/>
        </w:rPr>
        <w:t xml:space="preserve">students </w:t>
      </w:r>
      <w:r w:rsidRPr="002E2887">
        <w:rPr>
          <w:rFonts w:cs="Times New Roman"/>
        </w:rPr>
        <w:t>with the National Student</w:t>
      </w:r>
      <w:r w:rsidRPr="248836E0">
        <w:rPr>
          <w:rFonts w:cs="Times New Roman"/>
        </w:rPr>
        <w:t xml:space="preserve"> Clearinghouse</w:t>
      </w:r>
      <w:r w:rsidR="00BF2853">
        <w:rPr>
          <w:rFonts w:cs="Times New Roman"/>
        </w:rPr>
        <w:t xml:space="preserve"> (NSC)</w:t>
      </w:r>
      <w:r w:rsidRPr="248836E0">
        <w:rPr>
          <w:rFonts w:cs="Times New Roman"/>
        </w:rPr>
        <w:t xml:space="preserve"> f</w:t>
      </w:r>
      <w:r w:rsidR="002E2887">
        <w:rPr>
          <w:rFonts w:cs="Times New Roman"/>
        </w:rPr>
        <w:t>or postsecondary records</w:t>
      </w:r>
      <w:r w:rsidRPr="248836E0">
        <w:rPr>
          <w:rFonts w:cs="Times New Roman"/>
        </w:rPr>
        <w:t xml:space="preserve">. </w:t>
      </w:r>
      <w:r w:rsidR="002E2887">
        <w:rPr>
          <w:rFonts w:cs="Times New Roman"/>
        </w:rPr>
        <w:t xml:space="preserve"> We are also not convinced the data system is correctly tracking those students who are manually entered as achieving the goals affiliated with postsecondary education.</w:t>
      </w:r>
      <w:r w:rsidRPr="248836E0">
        <w:rPr>
          <w:rFonts w:cs="Times New Roman"/>
          <w:b/>
          <w:bCs/>
        </w:rPr>
        <w:t xml:space="preserve"> </w:t>
      </w:r>
      <w:r w:rsidRPr="248836E0">
        <w:rPr>
          <w:rFonts w:cs="Times New Roman"/>
        </w:rPr>
        <w:t>Therefore, the number of students with a Secondary School Credential enrolled in postsecondary education or training within o</w:t>
      </w:r>
      <w:r w:rsidR="00F265FF">
        <w:rPr>
          <w:rFonts w:cs="Times New Roman"/>
        </w:rPr>
        <w:t>ne year is very low</w:t>
      </w:r>
      <w:r w:rsidR="002E2887">
        <w:rPr>
          <w:rFonts w:cs="Times New Roman"/>
        </w:rPr>
        <w:t>,</w:t>
      </w:r>
      <w:r w:rsidR="00F265FF">
        <w:rPr>
          <w:rFonts w:cs="Times New Roman"/>
        </w:rPr>
        <w:t xml:space="preserve"> with only 50</w:t>
      </w:r>
      <w:r w:rsidRPr="248836E0">
        <w:rPr>
          <w:rFonts w:cs="Times New Roman"/>
        </w:rPr>
        <w:t xml:space="preserve"> ou</w:t>
      </w:r>
      <w:r w:rsidR="00F265FF">
        <w:rPr>
          <w:rFonts w:cs="Times New Roman"/>
        </w:rPr>
        <w:t>t of 279 (</w:t>
      </w:r>
      <w:r w:rsidR="00082EB9">
        <w:rPr>
          <w:rFonts w:cs="Times New Roman"/>
        </w:rPr>
        <w:t>16%)</w:t>
      </w:r>
      <w:r w:rsidRPr="248836E0">
        <w:rPr>
          <w:rFonts w:cs="Times New Roman"/>
        </w:rPr>
        <w:t>.</w:t>
      </w:r>
      <w:r w:rsidR="00082EB9">
        <w:rPr>
          <w:rFonts w:cs="Times New Roman"/>
        </w:rPr>
        <w:t xml:space="preserve">  The number of students who attained a postsecondary credential while enrolled or within one year of exit is almost non-existent at 1 out of 207. </w:t>
      </w:r>
      <w:r w:rsidR="00C07D41">
        <w:rPr>
          <w:rFonts w:cs="Times New Roman"/>
        </w:rPr>
        <w:t xml:space="preserve">  We believe that</w:t>
      </w:r>
      <w:r w:rsidR="00BF2853">
        <w:rPr>
          <w:rFonts w:cs="Times New Roman"/>
        </w:rPr>
        <w:t xml:space="preserve"> these</w:t>
      </w:r>
      <w:r w:rsidR="000F59BC">
        <w:rPr>
          <w:rFonts w:cs="Times New Roman"/>
        </w:rPr>
        <w:t xml:space="preserve"> number</w:t>
      </w:r>
      <w:r w:rsidR="00BF2853">
        <w:rPr>
          <w:rFonts w:cs="Times New Roman"/>
        </w:rPr>
        <w:t>s</w:t>
      </w:r>
      <w:r w:rsidR="000F59BC">
        <w:rPr>
          <w:rFonts w:cs="Times New Roman"/>
        </w:rPr>
        <w:t xml:space="preserve"> would</w:t>
      </w:r>
      <w:r w:rsidRPr="248836E0">
        <w:rPr>
          <w:rFonts w:cs="Times New Roman"/>
        </w:rPr>
        <w:t xml:space="preserve"> </w:t>
      </w:r>
      <w:r w:rsidR="00BF2853">
        <w:rPr>
          <w:rFonts w:cs="Times New Roman"/>
        </w:rPr>
        <w:t>definitely increase if</w:t>
      </w:r>
      <w:r w:rsidR="000F59BC">
        <w:rPr>
          <w:rFonts w:cs="Times New Roman"/>
        </w:rPr>
        <w:t xml:space="preserve"> the adult </w:t>
      </w:r>
      <w:r w:rsidR="00BF2853">
        <w:rPr>
          <w:rFonts w:cs="Times New Roman"/>
        </w:rPr>
        <w:t>education team could perform</w:t>
      </w:r>
      <w:r w:rsidR="000F59BC">
        <w:rPr>
          <w:rFonts w:cs="Times New Roman"/>
        </w:rPr>
        <w:t xml:space="preserve"> </w:t>
      </w:r>
      <w:r w:rsidR="00153129">
        <w:rPr>
          <w:rFonts w:cs="Times New Roman"/>
        </w:rPr>
        <w:t xml:space="preserve">the basic </w:t>
      </w:r>
      <w:r w:rsidR="000F59BC">
        <w:rPr>
          <w:rFonts w:cs="Times New Roman"/>
        </w:rPr>
        <w:t>data m</w:t>
      </w:r>
      <w:r w:rsidR="00153129">
        <w:rPr>
          <w:rFonts w:cs="Times New Roman"/>
        </w:rPr>
        <w:t>atching</w:t>
      </w:r>
      <w:r w:rsidR="000F59BC">
        <w:rPr>
          <w:rFonts w:cs="Times New Roman"/>
        </w:rPr>
        <w:t xml:space="preserve"> with NSC records.</w:t>
      </w:r>
    </w:p>
    <w:p w14:paraId="0E11CFFC" w14:textId="38DC9A19" w:rsidR="005751B8" w:rsidRDefault="005751B8" w:rsidP="248836E0">
      <w:pPr>
        <w:autoSpaceDE w:val="0"/>
        <w:autoSpaceDN w:val="0"/>
        <w:adjustRightInd w:val="0"/>
        <w:spacing w:after="0" w:line="240" w:lineRule="auto"/>
        <w:jc w:val="both"/>
        <w:rPr>
          <w:rFonts w:cs="Times New Roman"/>
        </w:rPr>
      </w:pPr>
    </w:p>
    <w:p w14:paraId="02108D53" w14:textId="28BC5525" w:rsidR="005751B8" w:rsidRDefault="005751B8" w:rsidP="248836E0">
      <w:pPr>
        <w:autoSpaceDE w:val="0"/>
        <w:autoSpaceDN w:val="0"/>
        <w:adjustRightInd w:val="0"/>
        <w:spacing w:after="0" w:line="240" w:lineRule="auto"/>
        <w:jc w:val="both"/>
        <w:rPr>
          <w:rFonts w:cs="Times New Roman"/>
        </w:rPr>
      </w:pPr>
      <w:r>
        <w:rPr>
          <w:rFonts w:cs="Times New Roman"/>
        </w:rPr>
        <w:t xml:space="preserve">Another possible issue the state is facing is whether the data from the previous year’s students are being accurately captured in Table 5 for those who obtained a secondary credential. We question whether those with the credential are being matched with the employment results or postsecondary results within one year of exit. This twelve month period is troublesome since it does not correspond with the two, or four, quarters related to employment goals for the other cohorts on Table 5. We also believe </w:t>
      </w:r>
      <w:r w:rsidR="0005216E">
        <w:rPr>
          <w:rFonts w:cs="Times New Roman"/>
        </w:rPr>
        <w:t xml:space="preserve">that </w:t>
      </w:r>
      <w:r>
        <w:rPr>
          <w:rFonts w:cs="Times New Roman"/>
        </w:rPr>
        <w:t xml:space="preserve">the instructions for these two rows on Table 5 are open to much interpretation.  </w:t>
      </w:r>
    </w:p>
    <w:p w14:paraId="124C678D" w14:textId="77777777" w:rsidR="00FB6D6C" w:rsidRDefault="00FB6D6C" w:rsidP="000C6205">
      <w:pPr>
        <w:autoSpaceDE w:val="0"/>
        <w:autoSpaceDN w:val="0"/>
        <w:adjustRightInd w:val="0"/>
        <w:spacing w:after="0" w:line="240" w:lineRule="auto"/>
        <w:jc w:val="both"/>
        <w:rPr>
          <w:rFonts w:cs="Times New Roman"/>
          <w:bCs/>
        </w:rPr>
      </w:pPr>
    </w:p>
    <w:p w14:paraId="7BD75D81" w14:textId="69E61AAF" w:rsidR="00E0516B" w:rsidRDefault="10022AE0" w:rsidP="10022AE0">
      <w:pPr>
        <w:autoSpaceDE w:val="0"/>
        <w:autoSpaceDN w:val="0"/>
        <w:adjustRightInd w:val="0"/>
        <w:spacing w:after="0" w:line="240" w:lineRule="auto"/>
        <w:jc w:val="both"/>
        <w:rPr>
          <w:rFonts w:cs="Times New Roman"/>
        </w:rPr>
      </w:pPr>
      <w:r w:rsidRPr="10022AE0">
        <w:rPr>
          <w:rFonts w:cs="Times New Roman"/>
        </w:rPr>
        <w:t xml:space="preserve">It is </w:t>
      </w:r>
      <w:r w:rsidR="000F59BC">
        <w:rPr>
          <w:rFonts w:cs="Times New Roman"/>
        </w:rPr>
        <w:t xml:space="preserve">again </w:t>
      </w:r>
      <w:r w:rsidRPr="10022AE0">
        <w:rPr>
          <w:rFonts w:cs="Times New Roman"/>
        </w:rPr>
        <w:t>interesting to attempt to compare the</w:t>
      </w:r>
      <w:r w:rsidR="00E0516B">
        <w:rPr>
          <w:rFonts w:cs="Times New Roman"/>
        </w:rPr>
        <w:t xml:space="preserve"> 2</w:t>
      </w:r>
      <w:r w:rsidR="00E0516B" w:rsidRPr="00E0516B">
        <w:rPr>
          <w:rFonts w:cs="Times New Roman"/>
          <w:vertAlign w:val="superscript"/>
        </w:rPr>
        <w:t>nd</w:t>
      </w:r>
      <w:r w:rsidR="00E0516B">
        <w:rPr>
          <w:rFonts w:cs="Times New Roman"/>
        </w:rPr>
        <w:t xml:space="preserve"> quarter after exit</w:t>
      </w:r>
      <w:r w:rsidRPr="10022AE0">
        <w:rPr>
          <w:rFonts w:cs="Times New Roman"/>
        </w:rPr>
        <w:t xml:space="preserve"> employment results on this year’s Table 5 wi</w:t>
      </w:r>
      <w:r w:rsidR="000F59BC">
        <w:rPr>
          <w:rFonts w:cs="Times New Roman"/>
        </w:rPr>
        <w:t>th the student records from 2017-2018</w:t>
      </w:r>
      <w:r w:rsidR="00E0516B">
        <w:rPr>
          <w:rFonts w:cs="Times New Roman"/>
        </w:rPr>
        <w:t>.  In 2017-2018</w:t>
      </w:r>
      <w:r w:rsidR="000F59BC">
        <w:rPr>
          <w:rFonts w:cs="Times New Roman"/>
        </w:rPr>
        <w:t xml:space="preserve"> approximately 45</w:t>
      </w:r>
      <w:r w:rsidR="000F59BC" w:rsidRPr="10022AE0">
        <w:rPr>
          <w:rFonts w:cs="Times New Roman"/>
        </w:rPr>
        <w:t xml:space="preserve">% </w:t>
      </w:r>
      <w:r w:rsidR="005751B8">
        <w:rPr>
          <w:rFonts w:cs="Times New Roman"/>
        </w:rPr>
        <w:t xml:space="preserve">of students at entry </w:t>
      </w:r>
      <w:r w:rsidRPr="10022AE0">
        <w:rPr>
          <w:rFonts w:cs="Times New Roman"/>
        </w:rPr>
        <w:t>self-identified as employed</w:t>
      </w:r>
      <w:r w:rsidR="00E0516B">
        <w:rPr>
          <w:rFonts w:cs="Times New Roman"/>
        </w:rPr>
        <w:t xml:space="preserve"> –</w:t>
      </w:r>
      <w:r w:rsidRPr="10022AE0">
        <w:rPr>
          <w:rFonts w:cs="Times New Roman"/>
        </w:rPr>
        <w:t xml:space="preserve"> </w:t>
      </w:r>
      <w:r w:rsidR="00E0516B">
        <w:rPr>
          <w:rFonts w:cs="Times New Roman"/>
        </w:rPr>
        <w:t>reflected on Table 6 –</w:t>
      </w:r>
      <w:r w:rsidRPr="10022AE0">
        <w:rPr>
          <w:rFonts w:cs="Times New Roman"/>
        </w:rPr>
        <w:t xml:space="preserve"> </w:t>
      </w:r>
      <w:r w:rsidR="000F59BC">
        <w:rPr>
          <w:rFonts w:cs="Times New Roman"/>
        </w:rPr>
        <w:t>yet only 23%</w:t>
      </w:r>
      <w:r w:rsidR="00E0516B">
        <w:rPr>
          <w:rFonts w:cs="Times New Roman"/>
        </w:rPr>
        <w:t xml:space="preserve"> of students</w:t>
      </w:r>
      <w:r w:rsidR="000F59BC">
        <w:rPr>
          <w:rFonts w:cs="Times New Roman"/>
        </w:rPr>
        <w:t xml:space="preserve"> were employed in the second quarter after exit on Table 5 from 2018-2019. </w:t>
      </w:r>
      <w:r w:rsidR="00E0516B">
        <w:rPr>
          <w:rFonts w:cs="Times New Roman"/>
        </w:rPr>
        <w:t>There are many possible factors, but two are: either we are missing a lot of social security numbers to match</w:t>
      </w:r>
      <w:r w:rsidR="00C67D04">
        <w:rPr>
          <w:rFonts w:cs="Times New Roman"/>
        </w:rPr>
        <w:t xml:space="preserve"> with UI data</w:t>
      </w:r>
      <w:r w:rsidR="00E0516B">
        <w:rPr>
          <w:rFonts w:cs="Times New Roman"/>
        </w:rPr>
        <w:t xml:space="preserve"> </w:t>
      </w:r>
      <w:r w:rsidR="00C67D04" w:rsidRPr="00C67D04">
        <w:rPr>
          <w:rFonts w:cs="Times New Roman"/>
          <w:u w:val="single"/>
        </w:rPr>
        <w:t>and/</w:t>
      </w:r>
      <w:r w:rsidR="00E0516B" w:rsidRPr="00C67D04">
        <w:rPr>
          <w:rFonts w:cs="Times New Roman"/>
          <w:u w:val="single"/>
        </w:rPr>
        <w:t>or</w:t>
      </w:r>
      <w:r w:rsidR="00E0516B">
        <w:rPr>
          <w:rFonts w:cs="Times New Roman"/>
        </w:rPr>
        <w:t xml:space="preserve"> many students are self-employed</w:t>
      </w:r>
      <w:r w:rsidR="00C67D04">
        <w:rPr>
          <w:rFonts w:cs="Times New Roman"/>
        </w:rPr>
        <w:t>,</w:t>
      </w:r>
      <w:r w:rsidR="00E0516B">
        <w:rPr>
          <w:rFonts w:cs="Times New Roman"/>
        </w:rPr>
        <w:t xml:space="preserve"> working under the table</w:t>
      </w:r>
      <w:r w:rsidR="00C67D04">
        <w:rPr>
          <w:rFonts w:cs="Times New Roman"/>
        </w:rPr>
        <w:t>, or working in Massachusetts</w:t>
      </w:r>
      <w:r w:rsidR="00E0516B">
        <w:rPr>
          <w:rFonts w:cs="Times New Roman"/>
        </w:rPr>
        <w:t xml:space="preserve">. </w:t>
      </w:r>
      <w:r w:rsidR="00C67D04">
        <w:rPr>
          <w:rFonts w:cs="Times New Roman"/>
        </w:rPr>
        <w:t xml:space="preserve"> The new State Wage Interchange System should help alleviate the issues with tracking the workers who cross state lines.</w:t>
      </w:r>
    </w:p>
    <w:p w14:paraId="1740751C" w14:textId="77777777" w:rsidR="00E0516B" w:rsidRDefault="00E0516B" w:rsidP="10022AE0">
      <w:pPr>
        <w:autoSpaceDE w:val="0"/>
        <w:autoSpaceDN w:val="0"/>
        <w:adjustRightInd w:val="0"/>
        <w:spacing w:after="0" w:line="240" w:lineRule="auto"/>
        <w:jc w:val="both"/>
        <w:rPr>
          <w:rFonts w:cs="Times New Roman"/>
        </w:rPr>
      </w:pPr>
    </w:p>
    <w:p w14:paraId="706E7917" w14:textId="6D50D72E" w:rsidR="00B30451" w:rsidRDefault="000F59BC" w:rsidP="10022AE0">
      <w:pPr>
        <w:autoSpaceDE w:val="0"/>
        <w:autoSpaceDN w:val="0"/>
        <w:adjustRightInd w:val="0"/>
        <w:spacing w:after="0" w:line="240" w:lineRule="auto"/>
        <w:jc w:val="both"/>
        <w:rPr>
          <w:rFonts w:cs="Times New Roman"/>
        </w:rPr>
      </w:pPr>
      <w:r>
        <w:rPr>
          <w:rFonts w:cs="Times New Roman"/>
        </w:rPr>
        <w:t>The</w:t>
      </w:r>
      <w:r w:rsidR="10022AE0" w:rsidRPr="10022AE0">
        <w:rPr>
          <w:rFonts w:cs="Times New Roman"/>
        </w:rPr>
        <w:t xml:space="preserve"> </w:t>
      </w:r>
      <w:r>
        <w:rPr>
          <w:rFonts w:cs="Times New Roman"/>
        </w:rPr>
        <w:t>m</w:t>
      </w:r>
      <w:r w:rsidR="10022AE0" w:rsidRPr="10022AE0">
        <w:rPr>
          <w:rFonts w:cs="Times New Roman"/>
        </w:rPr>
        <w:t>edian earnings in the second quarter after exit</w:t>
      </w:r>
      <w:r>
        <w:rPr>
          <w:rFonts w:cs="Times New Roman"/>
        </w:rPr>
        <w:t xml:space="preserve"> for those who</w:t>
      </w:r>
      <w:r w:rsidR="10022AE0" w:rsidRPr="10022AE0">
        <w:rPr>
          <w:rFonts w:cs="Times New Roman"/>
        </w:rPr>
        <w:t xml:space="preserve"> were</w:t>
      </w:r>
      <w:r>
        <w:rPr>
          <w:rFonts w:cs="Times New Roman"/>
        </w:rPr>
        <w:t xml:space="preserve"> employed was $4,371</w:t>
      </w:r>
      <w:r w:rsidR="10022AE0" w:rsidRPr="10022AE0">
        <w:rPr>
          <w:rFonts w:cs="Times New Roman"/>
        </w:rPr>
        <w:t xml:space="preserve">, which is </w:t>
      </w:r>
      <w:r>
        <w:rPr>
          <w:rFonts w:cs="Times New Roman"/>
        </w:rPr>
        <w:t>only $29 more than last year’s median earnings</w:t>
      </w:r>
      <w:r w:rsidR="10022AE0" w:rsidRPr="10022AE0">
        <w:rPr>
          <w:rFonts w:cs="Times New Roman"/>
        </w:rPr>
        <w:t xml:space="preserve">. </w:t>
      </w:r>
      <w:r>
        <w:rPr>
          <w:rFonts w:cs="Times New Roman"/>
        </w:rPr>
        <w:t xml:space="preserve"> This seems unbearably low and insuffi</w:t>
      </w:r>
      <w:r w:rsidR="00033022">
        <w:rPr>
          <w:rFonts w:cs="Times New Roman"/>
        </w:rPr>
        <w:t>cient as a family-sustaining wage</w:t>
      </w:r>
      <w:r>
        <w:rPr>
          <w:rFonts w:cs="Times New Roman"/>
        </w:rPr>
        <w:t xml:space="preserve">. </w:t>
      </w:r>
    </w:p>
    <w:p w14:paraId="35C3B712" w14:textId="2278B8FA" w:rsidR="005751B8" w:rsidRDefault="005751B8" w:rsidP="10022AE0">
      <w:pPr>
        <w:autoSpaceDE w:val="0"/>
        <w:autoSpaceDN w:val="0"/>
        <w:adjustRightInd w:val="0"/>
        <w:spacing w:after="0" w:line="240" w:lineRule="auto"/>
        <w:jc w:val="both"/>
        <w:rPr>
          <w:rFonts w:cs="Times New Roman"/>
        </w:rPr>
      </w:pPr>
    </w:p>
    <w:p w14:paraId="42E4BA09" w14:textId="7F3EEFC6" w:rsidR="005751B8" w:rsidRDefault="005751B8" w:rsidP="10022AE0">
      <w:pPr>
        <w:autoSpaceDE w:val="0"/>
        <w:autoSpaceDN w:val="0"/>
        <w:adjustRightInd w:val="0"/>
        <w:spacing w:after="0" w:line="240" w:lineRule="auto"/>
        <w:jc w:val="both"/>
        <w:rPr>
          <w:rFonts w:cs="Times New Roman"/>
        </w:rPr>
      </w:pPr>
      <w:r>
        <w:rPr>
          <w:rFonts w:cs="Times New Roman"/>
        </w:rPr>
        <w:t>Although the state has spe</w:t>
      </w:r>
      <w:r w:rsidR="00363833">
        <w:rPr>
          <w:rFonts w:cs="Times New Roman"/>
        </w:rPr>
        <w:t xml:space="preserve">nt considerable funds and professional development hours on </w:t>
      </w:r>
      <w:r>
        <w:rPr>
          <w:rFonts w:cs="Times New Roman"/>
        </w:rPr>
        <w:t>integrating technology into t</w:t>
      </w:r>
      <w:r w:rsidR="00363833">
        <w:rPr>
          <w:rFonts w:cs="Times New Roman"/>
        </w:rPr>
        <w:t>he adult education instruction, the</w:t>
      </w:r>
      <w:r>
        <w:rPr>
          <w:rFonts w:cs="Times New Roman"/>
        </w:rPr>
        <w:t xml:space="preserve"> Distance E</w:t>
      </w:r>
      <w:r w:rsidR="00363833">
        <w:rPr>
          <w:rFonts w:cs="Times New Roman"/>
        </w:rPr>
        <w:t xml:space="preserve">ducation tables </w:t>
      </w:r>
      <w:r w:rsidR="00EA1469">
        <w:rPr>
          <w:rFonts w:cs="Times New Roman"/>
        </w:rPr>
        <w:t xml:space="preserve">(4C and 5A) </w:t>
      </w:r>
      <w:r w:rsidR="00363833">
        <w:rPr>
          <w:rFonts w:cs="Times New Roman"/>
        </w:rPr>
        <w:t>are not reflecting those investments.</w:t>
      </w:r>
      <w:r w:rsidR="00C67D04">
        <w:rPr>
          <w:rFonts w:cs="Times New Roman"/>
        </w:rPr>
        <w:t xml:space="preserve">  We believe it is an issue with</w:t>
      </w:r>
      <w:r w:rsidR="00363833">
        <w:rPr>
          <w:rFonts w:cs="Times New Roman"/>
        </w:rPr>
        <w:t xml:space="preserve"> programs not identifying student attendance in distance education instruction within th</w:t>
      </w:r>
      <w:r w:rsidR="00C67D04">
        <w:rPr>
          <w:rFonts w:cs="Times New Roman"/>
        </w:rPr>
        <w:t>e data system</w:t>
      </w:r>
      <w:r w:rsidR="00363833">
        <w:rPr>
          <w:rFonts w:cs="Times New Roman"/>
        </w:rPr>
        <w:t xml:space="preserve">.  Professional development in this area of the data system is needed. </w:t>
      </w:r>
    </w:p>
    <w:p w14:paraId="5C5DA2ED" w14:textId="07AE4048" w:rsidR="00B30451" w:rsidRDefault="10022AE0" w:rsidP="10022AE0">
      <w:pPr>
        <w:autoSpaceDE w:val="0"/>
        <w:autoSpaceDN w:val="0"/>
        <w:adjustRightInd w:val="0"/>
        <w:spacing w:after="0" w:line="240" w:lineRule="auto"/>
        <w:jc w:val="both"/>
        <w:rPr>
          <w:rFonts w:cs="Times New Roman"/>
        </w:rPr>
      </w:pPr>
      <w:r w:rsidRPr="10022AE0">
        <w:rPr>
          <w:rFonts w:cs="Times New Roman"/>
        </w:rPr>
        <w:t xml:space="preserve"> </w:t>
      </w:r>
    </w:p>
    <w:p w14:paraId="459C54F5" w14:textId="77777777" w:rsidR="00C209B3" w:rsidRDefault="00E708A6" w:rsidP="00630939">
      <w:pPr>
        <w:autoSpaceDE w:val="0"/>
        <w:autoSpaceDN w:val="0"/>
        <w:adjustRightInd w:val="0"/>
        <w:spacing w:after="0" w:line="240" w:lineRule="auto"/>
        <w:rPr>
          <w:rFonts w:cs="Times New Roman"/>
          <w:b/>
          <w:bCs/>
        </w:rPr>
      </w:pPr>
      <w:r>
        <w:rPr>
          <w:rFonts w:cs="Times New Roman"/>
          <w:b/>
          <w:bCs/>
        </w:rPr>
        <w:t>3. Integration with One-S</w:t>
      </w:r>
      <w:r w:rsidR="00C209B3" w:rsidRPr="00955F07">
        <w:rPr>
          <w:rFonts w:cs="Times New Roman"/>
          <w:b/>
          <w:bCs/>
        </w:rPr>
        <w:t>top Partners</w:t>
      </w:r>
    </w:p>
    <w:p w14:paraId="197423AE" w14:textId="318B398E" w:rsidR="00E708A6" w:rsidRPr="001454AC" w:rsidRDefault="001454AC" w:rsidP="000C6205">
      <w:pPr>
        <w:autoSpaceDE w:val="0"/>
        <w:autoSpaceDN w:val="0"/>
        <w:adjustRightInd w:val="0"/>
        <w:spacing w:after="0" w:line="240" w:lineRule="auto"/>
        <w:jc w:val="both"/>
        <w:rPr>
          <w:rFonts w:cs="Times New Roman"/>
          <w:bCs/>
          <w:i/>
        </w:rPr>
      </w:pPr>
      <w:r w:rsidRPr="001454AC">
        <w:rPr>
          <w:rFonts w:cs="Times New Roman"/>
          <w:bCs/>
          <w:i/>
        </w:rPr>
        <w:t>Describe how the State</w:t>
      </w:r>
      <w:r>
        <w:rPr>
          <w:rFonts w:cs="Times New Roman"/>
          <w:bCs/>
          <w:i/>
        </w:rPr>
        <w:t xml:space="preserv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 </w:t>
      </w:r>
    </w:p>
    <w:p w14:paraId="09930100" w14:textId="77777777" w:rsidR="001454AC" w:rsidRPr="001454AC" w:rsidRDefault="001454AC" w:rsidP="000C6205">
      <w:pPr>
        <w:autoSpaceDE w:val="0"/>
        <w:autoSpaceDN w:val="0"/>
        <w:adjustRightInd w:val="0"/>
        <w:spacing w:after="0" w:line="240" w:lineRule="auto"/>
        <w:jc w:val="both"/>
        <w:rPr>
          <w:rFonts w:cs="Times New Roman"/>
          <w:bCs/>
          <w:i/>
        </w:rPr>
      </w:pPr>
    </w:p>
    <w:p w14:paraId="682044A7" w14:textId="7FDF9D5D" w:rsidR="00071557" w:rsidRDefault="3D20D3D6" w:rsidP="3D20D3D6">
      <w:pPr>
        <w:pStyle w:val="paragraph"/>
        <w:spacing w:before="0" w:beforeAutospacing="0" w:after="0" w:afterAutospacing="0"/>
        <w:jc w:val="both"/>
        <w:textAlignment w:val="baseline"/>
        <w:rPr>
          <w:rFonts w:ascii="Segoe UI" w:hAnsi="Segoe UI" w:cs="Segoe UI"/>
          <w:sz w:val="18"/>
          <w:szCs w:val="18"/>
        </w:rPr>
      </w:pPr>
      <w:r w:rsidRPr="3D20D3D6">
        <w:rPr>
          <w:rStyle w:val="normaltextrun"/>
          <w:rFonts w:ascii="Calibri" w:hAnsi="Calibri" w:cs="Segoe UI"/>
          <w:sz w:val="22"/>
          <w:szCs w:val="22"/>
        </w:rPr>
        <w:t>RIDE state staff are fully engaged partners on a state-wide WIOA Interagency Workgroup team.  The team is convened</w:t>
      </w:r>
      <w:r w:rsidRPr="3D20D3D6">
        <w:rPr>
          <w:rStyle w:val="normaltextrun"/>
          <w:sz w:val="22"/>
          <w:szCs w:val="22"/>
        </w:rPr>
        <w:t> </w:t>
      </w:r>
      <w:r w:rsidRPr="3D20D3D6">
        <w:rPr>
          <w:rStyle w:val="normaltextrun"/>
          <w:rFonts w:ascii="Calibri" w:hAnsi="Calibri" w:cs="Segoe UI"/>
          <w:sz w:val="22"/>
          <w:szCs w:val="22"/>
        </w:rPr>
        <w:t>for the purpose of establishing common goals and objectives, improving access to comprehensive services, and enhancing career services through the cooperation, collaboration, and coordination of efforts between the Rhode Island Department of Education, the Rhode Island Governor’s Workforce Board, Labor and Training, Health and Human Services, both Local Workforce Development</w:t>
      </w:r>
      <w:r w:rsidRPr="3D20D3D6">
        <w:rPr>
          <w:rStyle w:val="normaltextrun"/>
          <w:sz w:val="22"/>
          <w:szCs w:val="22"/>
        </w:rPr>
        <w:t> </w:t>
      </w:r>
      <w:r w:rsidRPr="3D20D3D6">
        <w:rPr>
          <w:rStyle w:val="normaltextrun"/>
          <w:rFonts w:ascii="Calibri" w:hAnsi="Calibri" w:cs="Segoe UI"/>
          <w:sz w:val="22"/>
          <w:szCs w:val="22"/>
        </w:rPr>
        <w:t>Boards and Rehabilitation Services, as detailed in Section 1</w:t>
      </w:r>
      <w:r w:rsidRPr="3D20D3D6">
        <w:rPr>
          <w:rStyle w:val="normaltextrun"/>
          <w:sz w:val="22"/>
          <w:szCs w:val="22"/>
        </w:rPr>
        <w:t>. </w:t>
      </w:r>
    </w:p>
    <w:p w14:paraId="38F697A8" w14:textId="77777777" w:rsidR="00071557" w:rsidRDefault="00071557" w:rsidP="0007155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724CB77" w14:textId="23EA79AB" w:rsidR="00071557" w:rsidRDefault="00071557" w:rsidP="00071557">
      <w:pPr>
        <w:pStyle w:val="paragraph"/>
        <w:spacing w:before="0" w:beforeAutospacing="0" w:after="0" w:afterAutospacing="0"/>
        <w:jc w:val="both"/>
        <w:textAlignment w:val="baseline"/>
        <w:rPr>
          <w:rStyle w:val="eop"/>
          <w:rFonts w:ascii="Calibri" w:hAnsi="Calibri" w:cs="Segoe UI"/>
          <w:sz w:val="22"/>
          <w:szCs w:val="22"/>
        </w:rPr>
      </w:pPr>
      <w:r>
        <w:rPr>
          <w:rStyle w:val="normaltextrun"/>
          <w:rFonts w:ascii="Calibri" w:hAnsi="Calibri" w:cs="Segoe UI"/>
          <w:sz w:val="22"/>
          <w:szCs w:val="22"/>
        </w:rPr>
        <w:t>There are two local workforce development areas within Rhode Island.  Adult education providers, supported with AEFLA funds from the RI Department of Education, cooperate closely with the One-Stop centers in the areas of Providence, West Warwick, and Woonsocket. RIDE has fully executed Memorandums of Understanding with both workforce development boards. The MOUs define the roles and responsibilities of each partner as mutually agreed by the parties for the operation of the one-stops as required under WIOA.</w:t>
      </w:r>
      <w:r>
        <w:rPr>
          <w:rStyle w:val="eop"/>
          <w:rFonts w:ascii="Calibri" w:hAnsi="Calibri" w:cs="Segoe UI"/>
          <w:sz w:val="22"/>
          <w:szCs w:val="22"/>
        </w:rPr>
        <w:t> </w:t>
      </w:r>
    </w:p>
    <w:p w14:paraId="754A4DFD" w14:textId="77777777" w:rsidR="00071557" w:rsidRDefault="00071557" w:rsidP="00071557">
      <w:pPr>
        <w:pStyle w:val="paragraph"/>
        <w:spacing w:before="0" w:beforeAutospacing="0" w:after="0" w:afterAutospacing="0"/>
        <w:jc w:val="both"/>
        <w:textAlignment w:val="baseline"/>
        <w:rPr>
          <w:rFonts w:ascii="Segoe UI" w:hAnsi="Segoe UI" w:cs="Segoe UI"/>
          <w:sz w:val="18"/>
          <w:szCs w:val="18"/>
        </w:rPr>
      </w:pPr>
    </w:p>
    <w:p w14:paraId="099E805B" w14:textId="792FF947" w:rsidR="00071557" w:rsidRDefault="00071557" w:rsidP="000715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The Providence and the West Warwick One-Stops have designated classrooms where a local adult education provider (Providence Public Library) supports a comprehensive “learning lab” to One-Stop clients. This technology-enabled learning opportunity allows clients from both locations to improve their basic academic skills of reading, writing, speaking, listening, digital literacy, math, and English as a second language.  Clients also receive education services from this provider in order to meet the minimum scores required to enter training programs funded by the One-Stop Centers.</w:t>
      </w:r>
      <w:r>
        <w:rPr>
          <w:rStyle w:val="eop"/>
          <w:rFonts w:ascii="Calibri" w:hAnsi="Calibri" w:cs="Segoe UI"/>
          <w:sz w:val="22"/>
          <w:szCs w:val="22"/>
        </w:rPr>
        <w:t> </w:t>
      </w:r>
    </w:p>
    <w:p w14:paraId="20AEDAA8" w14:textId="77777777" w:rsidR="00071557" w:rsidRDefault="00071557" w:rsidP="000715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6F073053" w14:textId="4FCFC754" w:rsidR="00071557" w:rsidRDefault="10022AE0" w:rsidP="10022AE0">
      <w:pPr>
        <w:pStyle w:val="paragraph"/>
        <w:spacing w:before="0" w:beforeAutospacing="0" w:after="0" w:afterAutospacing="0"/>
        <w:jc w:val="both"/>
        <w:textAlignment w:val="baseline"/>
        <w:rPr>
          <w:rStyle w:val="normaltextrun"/>
          <w:rFonts w:ascii="Calibri" w:hAnsi="Calibri" w:cs="Segoe UI"/>
          <w:sz w:val="22"/>
          <w:szCs w:val="22"/>
        </w:rPr>
      </w:pPr>
      <w:r w:rsidRPr="10022AE0">
        <w:rPr>
          <w:rStyle w:val="normaltextrun"/>
          <w:rFonts w:ascii="Calibri" w:hAnsi="Calibri" w:cs="Segoe UI"/>
          <w:sz w:val="22"/>
          <w:szCs w:val="22"/>
        </w:rPr>
        <w:t>The Woonsocket One-Stop is near several local adult education providers. Since there is no classroom space in the facility, the One-Stop often refers clients to the adult education providers to improve basic academic skills in order to increase their test scores to qualify for a training program, like the Providence model. One local program receives many clients seeking employment; and the other adult education provider collaborates by offering adult education classes for those with low literacy or low English language skills.   </w:t>
      </w:r>
    </w:p>
    <w:p w14:paraId="01D5E36E" w14:textId="77777777" w:rsidR="00071557" w:rsidRDefault="00071557" w:rsidP="000715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0582AF6F" w14:textId="1F71AA9B" w:rsidR="00071557" w:rsidRDefault="10022AE0" w:rsidP="10022AE0">
      <w:pPr>
        <w:pStyle w:val="paragraph"/>
        <w:spacing w:before="0" w:beforeAutospacing="0" w:after="0" w:afterAutospacing="0"/>
        <w:jc w:val="both"/>
        <w:textAlignment w:val="baseline"/>
        <w:rPr>
          <w:rStyle w:val="eop"/>
          <w:rFonts w:ascii="Calibri" w:hAnsi="Calibri" w:cs="Segoe UI"/>
          <w:sz w:val="22"/>
          <w:szCs w:val="22"/>
        </w:rPr>
      </w:pPr>
      <w:r w:rsidRPr="10022AE0">
        <w:rPr>
          <w:rStyle w:val="normaltextrun"/>
          <w:rFonts w:ascii="Calibri" w:hAnsi="Calibri" w:cs="Segoe UI"/>
          <w:sz w:val="22"/>
          <w:szCs w:val="22"/>
        </w:rPr>
        <w:t>Meetings were convened with local AE providers, RIDE staff, Local Workforce Development Board administrators, and personnel from the One-Stops to discuss ways that WIOA core program partners could align services. These meetings also provided the opportunity to review and approve the One-Stop infrastructure funding mechanism. </w:t>
      </w:r>
    </w:p>
    <w:p w14:paraId="61D91823" w14:textId="77777777" w:rsidR="00071557" w:rsidRDefault="00071557" w:rsidP="00071557">
      <w:pPr>
        <w:pStyle w:val="paragraph"/>
        <w:spacing w:before="0" w:beforeAutospacing="0" w:after="0" w:afterAutospacing="0"/>
        <w:jc w:val="both"/>
        <w:textAlignment w:val="baseline"/>
        <w:rPr>
          <w:rFonts w:ascii="Segoe UI" w:hAnsi="Segoe UI" w:cs="Segoe UI"/>
          <w:sz w:val="18"/>
          <w:szCs w:val="18"/>
        </w:rPr>
      </w:pPr>
    </w:p>
    <w:p w14:paraId="0190D8D9" w14:textId="36E9333F" w:rsidR="00071557" w:rsidRDefault="10022AE0" w:rsidP="10022AE0">
      <w:pPr>
        <w:pStyle w:val="paragraph"/>
        <w:spacing w:before="0" w:beforeAutospacing="0" w:after="0" w:afterAutospacing="0"/>
        <w:jc w:val="both"/>
        <w:textAlignment w:val="baseline"/>
        <w:rPr>
          <w:rStyle w:val="eop"/>
          <w:rFonts w:ascii="Calibri" w:hAnsi="Calibri" w:cs="Segoe UI"/>
          <w:sz w:val="22"/>
          <w:szCs w:val="22"/>
        </w:rPr>
      </w:pPr>
      <w:r w:rsidRPr="10022AE0">
        <w:rPr>
          <w:rStyle w:val="normaltextrun"/>
          <w:rFonts w:ascii="Calibri" w:hAnsi="Calibri" w:cs="Segoe UI"/>
          <w:sz w:val="22"/>
          <w:szCs w:val="22"/>
        </w:rPr>
        <w:t>Two local adult education provider representatives sit as members on the two local Workforce Development Boards and participate in ongoing plan development and implementation of WIOA. The work of the boards supports local program efforts on the development of career pathways that provide access to employment and training services for adult learners; and support for promoting an understanding in the field of the implementation of Integrated Education and Training models in partnership with employers. </w:t>
      </w:r>
    </w:p>
    <w:p w14:paraId="55F54E7A" w14:textId="67B91CF2" w:rsidR="00071557" w:rsidRDefault="00071557" w:rsidP="3D20D3D6">
      <w:pPr>
        <w:pStyle w:val="paragraph"/>
        <w:spacing w:before="0" w:beforeAutospacing="0" w:after="0" w:afterAutospacing="0"/>
        <w:jc w:val="both"/>
        <w:textAlignment w:val="baseline"/>
        <w:rPr>
          <w:rStyle w:val="eop"/>
          <w:rFonts w:ascii="Calibri" w:hAnsi="Calibri" w:cs="Segoe UI"/>
          <w:sz w:val="22"/>
          <w:szCs w:val="22"/>
        </w:rPr>
      </w:pPr>
    </w:p>
    <w:p w14:paraId="30C4059C" w14:textId="70C7C65F" w:rsidR="3D20D3D6" w:rsidRDefault="3D20D3D6" w:rsidP="00033022">
      <w:pPr>
        <w:spacing w:line="240" w:lineRule="auto"/>
        <w:rPr>
          <w:rFonts w:ascii="Calibri" w:eastAsia="Calibri" w:hAnsi="Calibri" w:cs="Calibri"/>
        </w:rPr>
      </w:pPr>
      <w:r w:rsidRPr="3D20D3D6">
        <w:rPr>
          <w:rFonts w:ascii="Calibri" w:eastAsia="Calibri" w:hAnsi="Calibri" w:cs="Calibri"/>
        </w:rPr>
        <w:t xml:space="preserve">Eligible agencies were required to detail, as part of their funding application, the process that would be used to plan for collaboration with One Stop Centers and workforce development programs and how they would prepare to align adult basic education programming with partners named in the Combined State Plan. Programs were required to develop a detailed plan to provide services, which would promote concurrent enrollment with Title I and other WIOA core programs and activities in order to meet the state performance targets and collect data to report on performance indicators.  </w:t>
      </w:r>
    </w:p>
    <w:p w14:paraId="1F1B4312" w14:textId="28742625" w:rsidR="3D20D3D6" w:rsidRDefault="3D20D3D6" w:rsidP="00033022">
      <w:pPr>
        <w:spacing w:line="240" w:lineRule="auto"/>
        <w:rPr>
          <w:rFonts w:ascii="Calibri" w:eastAsia="Calibri" w:hAnsi="Calibri" w:cs="Calibri"/>
        </w:rPr>
      </w:pPr>
      <w:r w:rsidRPr="3D20D3D6">
        <w:rPr>
          <w:rFonts w:ascii="Calibri" w:eastAsia="Calibri" w:hAnsi="Calibri" w:cs="Calibri"/>
        </w:rPr>
        <w:t xml:space="preserve">Local programs have continued enhancing and revising procedures and policies including intake, case management, and client referral and placement, to facilitate access to high-quality career services, education, and training supportive services for those with the greatest barriers to employment.  Programs are required to track progress in implementing strategies to address One Stop Center alignment with service delivery. This data will be used to help guide the state plan technical assistance and continuous quality improvement.  </w:t>
      </w:r>
    </w:p>
    <w:p w14:paraId="17DE5A03" w14:textId="07D7CE4F" w:rsidR="3D20D3D6" w:rsidRDefault="3D20D3D6" w:rsidP="00033022">
      <w:pPr>
        <w:spacing w:line="240" w:lineRule="auto"/>
        <w:rPr>
          <w:rFonts w:ascii="Calibri" w:eastAsia="Calibri" w:hAnsi="Calibri" w:cs="Calibri"/>
          <w:b/>
          <w:bCs/>
        </w:rPr>
      </w:pPr>
      <w:r w:rsidRPr="3D20D3D6">
        <w:rPr>
          <w:rFonts w:ascii="Calibri" w:eastAsia="Calibri" w:hAnsi="Calibri" w:cs="Calibri"/>
          <w:b/>
          <w:bCs/>
        </w:rPr>
        <w:t>WIOA State Plan</w:t>
      </w:r>
    </w:p>
    <w:p w14:paraId="44E189FB" w14:textId="41F86E3C" w:rsidR="3D20D3D6" w:rsidRDefault="3D20D3D6" w:rsidP="00033022">
      <w:pPr>
        <w:spacing w:line="240" w:lineRule="auto"/>
        <w:rPr>
          <w:rFonts w:ascii="Calibri" w:eastAsia="Calibri" w:hAnsi="Calibri" w:cs="Calibri"/>
        </w:rPr>
      </w:pPr>
      <w:r w:rsidRPr="3D20D3D6">
        <w:rPr>
          <w:rFonts w:ascii="Calibri" w:eastAsia="Calibri" w:hAnsi="Calibri" w:cs="Calibri"/>
        </w:rPr>
        <w:t>RIDE Adult Education staff worked closely with WIOA partner agencies and the Governor’s Workforce Board team to begin developing the 2020 WIOA state plan revisions. This included co-facilitation of an adult client stakeholder focus group feedback session to collect information from the field to inform the revised state plan.</w:t>
      </w:r>
    </w:p>
    <w:p w14:paraId="6B2F11B7" w14:textId="30665BCD" w:rsidR="3D20D3D6" w:rsidRDefault="3D20D3D6" w:rsidP="00033022">
      <w:pPr>
        <w:spacing w:line="240" w:lineRule="auto"/>
        <w:rPr>
          <w:b/>
          <w:bCs/>
        </w:rPr>
      </w:pPr>
      <w:r w:rsidRPr="3D20D3D6">
        <w:rPr>
          <w:b/>
          <w:bCs/>
        </w:rPr>
        <w:t xml:space="preserve"> State Wage Interchange System (SWIS)</w:t>
      </w:r>
    </w:p>
    <w:p w14:paraId="474AFA29" w14:textId="74FA86BF" w:rsidR="3D20D3D6" w:rsidRDefault="3D20D3D6" w:rsidP="00033022">
      <w:pPr>
        <w:spacing w:line="240" w:lineRule="auto"/>
      </w:pPr>
      <w:r>
        <w:t>In 2019, RIDE finalized legal agreements with the</w:t>
      </w:r>
      <w:r w:rsidR="003C1A21">
        <w:t xml:space="preserve"> RI</w:t>
      </w:r>
      <w:r>
        <w:t xml:space="preserve"> Department of Labor </w:t>
      </w:r>
      <w:r w:rsidR="003C1A21">
        <w:t xml:space="preserve">and Training </w:t>
      </w:r>
      <w:r>
        <w:t xml:space="preserve">to participate in the State Wage Interchange System (SWIS). This will be the new vehicle through which states can query wage and employment records from other states.  This will replace the existing Wage Record Interchange System (WRIS) to better address requirements for all partner agencies and programs under WIOA.  </w:t>
      </w:r>
    </w:p>
    <w:p w14:paraId="180EE099" w14:textId="1DAB1B74" w:rsidR="3D20D3D6" w:rsidRDefault="3D20D3D6" w:rsidP="00033022">
      <w:pPr>
        <w:spacing w:line="240" w:lineRule="auto"/>
        <w:rPr>
          <w:rFonts w:ascii="Calibri" w:eastAsia="Calibri" w:hAnsi="Calibri" w:cs="Calibri"/>
          <w:b/>
          <w:bCs/>
        </w:rPr>
      </w:pPr>
      <w:r w:rsidRPr="3D20D3D6">
        <w:rPr>
          <w:rFonts w:ascii="Calibri" w:eastAsia="Calibri" w:hAnsi="Calibri" w:cs="Calibri"/>
          <w:b/>
          <w:bCs/>
        </w:rPr>
        <w:t>WIOA Inter-agency Workgroup</w:t>
      </w:r>
    </w:p>
    <w:p w14:paraId="665485C4" w14:textId="3032CDA8" w:rsidR="3D20D3D6" w:rsidRDefault="3D20D3D6" w:rsidP="00033022">
      <w:pPr>
        <w:spacing w:line="240" w:lineRule="auto"/>
      </w:pPr>
      <w:r>
        <w:t xml:space="preserve">Rhode Island’s WIOA Inter-agency Workgroup team member agencies are currently engaged in creating stronger and renewed partnerships for program alignment including intake, case management, assessment and data system integration between partners to allow for more efficient access to high-quality services.  </w:t>
      </w:r>
    </w:p>
    <w:p w14:paraId="07A35BB6" w14:textId="6A824174" w:rsidR="3D20D3D6" w:rsidRDefault="3D20D3D6" w:rsidP="00033022">
      <w:pPr>
        <w:spacing w:line="240" w:lineRule="auto"/>
        <w:rPr>
          <w:rFonts w:ascii="Calibri" w:eastAsia="Calibri" w:hAnsi="Calibri" w:cs="Calibri"/>
          <w:b/>
          <w:bCs/>
        </w:rPr>
      </w:pPr>
      <w:r w:rsidRPr="3D20D3D6">
        <w:rPr>
          <w:rFonts w:ascii="Calibri" w:eastAsia="Calibri" w:hAnsi="Calibri" w:cs="Calibri"/>
          <w:b/>
          <w:bCs/>
        </w:rPr>
        <w:t>Adult Education Inter-Agency Core Team</w:t>
      </w:r>
    </w:p>
    <w:p w14:paraId="30F4BF84" w14:textId="494CF6A2" w:rsidR="3D20D3D6" w:rsidRDefault="3D20D3D6" w:rsidP="00033022">
      <w:pPr>
        <w:spacing w:line="240" w:lineRule="auto"/>
        <w:rPr>
          <w:highlight w:val="yellow"/>
        </w:rPr>
      </w:pPr>
      <w:r>
        <w:t>Stemming from a 2019 Senate Commis</w:t>
      </w:r>
      <w:r w:rsidR="00033022">
        <w:t>s</w:t>
      </w:r>
      <w:r>
        <w:t xml:space="preserve">ion report, an inter-agency advisory committee was formed to address all relevant cross-departmental issues and solutions relating to Adult Education needs and services, including providing guidance for developing the state’s plan on Adult Education. The team meets on a weekly basis and is comprised of representatives from </w:t>
      </w:r>
      <w:r w:rsidR="003C1A21">
        <w:t>the Governor’s office</w:t>
      </w:r>
      <w:r w:rsidR="003C1A21">
        <w:t>, the Governor’s Workforce Board, the Department of Human Services, the community college system,</w:t>
      </w:r>
      <w:r>
        <w:t xml:space="preserve"> and </w:t>
      </w:r>
      <w:r w:rsidR="003C1A21">
        <w:t>RIDE</w:t>
      </w:r>
      <w:r>
        <w:t>.</w:t>
      </w:r>
      <w:r w:rsidR="003C1A21">
        <w:t xml:space="preserve"> </w:t>
      </w:r>
    </w:p>
    <w:p w14:paraId="439863D4" w14:textId="77777777" w:rsidR="00071557" w:rsidRDefault="00071557" w:rsidP="00071557">
      <w:pPr>
        <w:pStyle w:val="paragraph"/>
        <w:spacing w:before="0" w:beforeAutospacing="0" w:after="0" w:afterAutospacing="0"/>
        <w:jc w:val="both"/>
        <w:textAlignment w:val="baseline"/>
        <w:rPr>
          <w:rStyle w:val="eop"/>
          <w:rFonts w:ascii="Calibri" w:hAnsi="Calibri" w:cs="Segoe UI"/>
          <w:sz w:val="22"/>
          <w:szCs w:val="22"/>
        </w:rPr>
      </w:pPr>
    </w:p>
    <w:p w14:paraId="1F5D2FED" w14:textId="6185CC0A" w:rsidR="00C209B3" w:rsidRDefault="00C209B3" w:rsidP="00071557">
      <w:pPr>
        <w:autoSpaceDE w:val="0"/>
        <w:autoSpaceDN w:val="0"/>
        <w:adjustRightInd w:val="0"/>
        <w:spacing w:after="0" w:line="240" w:lineRule="auto"/>
        <w:rPr>
          <w:rFonts w:cs="Times New Roman"/>
          <w:b/>
        </w:rPr>
      </w:pPr>
      <w:r w:rsidRPr="00955F07">
        <w:rPr>
          <w:rFonts w:cs="Times New Roman"/>
          <w:b/>
          <w:bCs/>
        </w:rPr>
        <w:t xml:space="preserve">4. Integrated English Literacy and Civics Education (IELCE) </w:t>
      </w:r>
      <w:r w:rsidRPr="00884451">
        <w:rPr>
          <w:rFonts w:cs="Times New Roman"/>
          <w:b/>
          <w:bCs/>
        </w:rPr>
        <w:t xml:space="preserve">Program </w:t>
      </w:r>
      <w:r w:rsidRPr="00884451">
        <w:rPr>
          <w:rFonts w:cs="Times New Roman"/>
          <w:b/>
        </w:rPr>
        <w:t>(AEFLA Section</w:t>
      </w:r>
      <w:r w:rsidR="0029778A" w:rsidRPr="00884451">
        <w:rPr>
          <w:rFonts w:cs="Times New Roman"/>
          <w:b/>
        </w:rPr>
        <w:t xml:space="preserve"> </w:t>
      </w:r>
      <w:r w:rsidRPr="00884451">
        <w:rPr>
          <w:rFonts w:cs="Times New Roman"/>
          <w:b/>
        </w:rPr>
        <w:t>243)</w:t>
      </w:r>
    </w:p>
    <w:p w14:paraId="550449E6" w14:textId="19F11079" w:rsidR="00C209B3" w:rsidRDefault="10022AE0" w:rsidP="000C6205">
      <w:pPr>
        <w:autoSpaceDE w:val="0"/>
        <w:autoSpaceDN w:val="0"/>
        <w:adjustRightInd w:val="0"/>
        <w:spacing w:after="0" w:line="240" w:lineRule="auto"/>
        <w:jc w:val="both"/>
        <w:rPr>
          <w:rFonts w:cs="Times New Roman"/>
          <w:i/>
          <w:iCs/>
        </w:rPr>
      </w:pPr>
      <w:r w:rsidRPr="10022AE0">
        <w:rPr>
          <w:rFonts w:cs="Times New Roman"/>
          <w:i/>
          <w:iCs/>
        </w:rPr>
        <w:t>Describe how the state is using funds under Section 243 to support the activities of the IELCE Program.</w:t>
      </w:r>
    </w:p>
    <w:p w14:paraId="266B712F" w14:textId="415AC2E3" w:rsidR="00E7135E" w:rsidRPr="00E7135E" w:rsidRDefault="00E7135E" w:rsidP="00E7135E">
      <w:pPr>
        <w:autoSpaceDE w:val="0"/>
        <w:autoSpaceDN w:val="0"/>
        <w:adjustRightInd w:val="0"/>
        <w:spacing w:after="0" w:line="240" w:lineRule="auto"/>
        <w:jc w:val="both"/>
        <w:rPr>
          <w:rFonts w:cs="Times New Roman"/>
          <w:i/>
        </w:rPr>
      </w:pPr>
    </w:p>
    <w:p w14:paraId="02E1DAFD" w14:textId="49983E32" w:rsid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sidRPr="00E7135E">
        <w:rPr>
          <w:rFonts w:asciiTheme="minorHAnsi" w:eastAsiaTheme="minorHAnsi" w:hAnsiTheme="minorHAnsi" w:cstheme="minorBidi"/>
          <w:sz w:val="22"/>
          <w:szCs w:val="22"/>
        </w:rPr>
        <w:t>Rhode Island conducted a comp</w:t>
      </w:r>
      <w:r w:rsidR="00220AFA">
        <w:rPr>
          <w:rFonts w:asciiTheme="minorHAnsi" w:eastAsiaTheme="minorHAnsi" w:hAnsiTheme="minorHAnsi" w:cstheme="minorBidi"/>
          <w:sz w:val="22"/>
          <w:szCs w:val="22"/>
        </w:rPr>
        <w:t>etition for IELCE funds in spring</w:t>
      </w:r>
      <w:r w:rsidRPr="00E7135E">
        <w:rPr>
          <w:rFonts w:asciiTheme="minorHAnsi" w:eastAsiaTheme="minorHAnsi" w:hAnsiTheme="minorHAnsi" w:cstheme="minorBidi"/>
          <w:sz w:val="22"/>
          <w:szCs w:val="22"/>
        </w:rPr>
        <w:t xml:space="preserve"> 2018 and awarded </w:t>
      </w:r>
      <w:r w:rsidRPr="00220AFA">
        <w:rPr>
          <w:rFonts w:asciiTheme="minorHAnsi" w:eastAsiaTheme="minorHAnsi" w:hAnsiTheme="minorHAnsi" w:cstheme="minorBidi"/>
          <w:b/>
          <w:sz w:val="22"/>
          <w:szCs w:val="22"/>
        </w:rPr>
        <w:t>four</w:t>
      </w:r>
      <w:r w:rsidRPr="00E7135E">
        <w:rPr>
          <w:rFonts w:asciiTheme="minorHAnsi" w:eastAsiaTheme="minorHAnsi" w:hAnsiTheme="minorHAnsi" w:cstheme="minorBidi"/>
          <w:sz w:val="22"/>
          <w:szCs w:val="22"/>
        </w:rPr>
        <w:t xml:space="preserve"> grant awards to adult education providers to support IELCE programs during the 2018-2019 year. </w:t>
      </w:r>
      <w:r w:rsidR="00ED1562">
        <w:rPr>
          <w:rFonts w:asciiTheme="minorHAnsi" w:eastAsiaTheme="minorHAnsi" w:hAnsiTheme="minorHAnsi" w:cstheme="minorBidi"/>
          <w:sz w:val="22"/>
          <w:szCs w:val="22"/>
        </w:rPr>
        <w:t xml:space="preserve"> This was the first year of a three-year grant award cycle. </w:t>
      </w:r>
    </w:p>
    <w:p w14:paraId="12BEC6D9" w14:textId="77777777" w:rsidR="00E7135E" w:rsidRP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p>
    <w:p w14:paraId="2840AD10" w14:textId="46A2CE0A" w:rsid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sidRPr="00E7135E">
        <w:rPr>
          <w:rFonts w:asciiTheme="minorHAnsi" w:eastAsiaTheme="minorHAnsi" w:hAnsiTheme="minorHAnsi" w:cstheme="minorBidi"/>
          <w:sz w:val="22"/>
          <w:szCs w:val="22"/>
        </w:rPr>
        <w:t>Using the Integrated English Literacy and Civics Education model, each of the programs developed partnerships aligned with specific career pathways.  As required by RIDE, these programs have incorporated related industry credentials into their programming.  These four IELCE-funded organizations have built on key industry sectors in Rhode Island, as well as rigorous academic components that either align or are embedded in their work training components. Additionally, many of these programs have institutionalized a full-service approach to IELCE programming, enabling them to offer additional supports for students, as well as opportunities for job-related experiences aligned with the given pathway.   </w:t>
      </w:r>
      <w:r w:rsidRPr="00636F0F">
        <w:rPr>
          <w:rFonts w:asciiTheme="minorHAnsi" w:eastAsiaTheme="minorHAnsi" w:hAnsiTheme="minorHAnsi" w:cstheme="minorBidi"/>
          <w:sz w:val="22"/>
          <w:szCs w:val="22"/>
        </w:rPr>
        <w:t xml:space="preserve">The following are highlights of the 2018-2019 fiscal year for the state’s IELCE-funded providers that </w:t>
      </w:r>
      <w:r w:rsidR="00633B60">
        <w:rPr>
          <w:rFonts w:asciiTheme="minorHAnsi" w:eastAsiaTheme="minorHAnsi" w:hAnsiTheme="minorHAnsi" w:cstheme="minorBidi"/>
          <w:sz w:val="22"/>
          <w:szCs w:val="22"/>
        </w:rPr>
        <w:t>detail these efforts more fully.</w:t>
      </w:r>
    </w:p>
    <w:p w14:paraId="3B8946AE" w14:textId="77777777" w:rsidR="00E7135E" w:rsidRP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p>
    <w:p w14:paraId="1C90FE20" w14:textId="684A9F31" w:rsid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sidRPr="00E7135E">
        <w:rPr>
          <w:rFonts w:asciiTheme="minorHAnsi" w:eastAsiaTheme="minorHAnsi" w:hAnsiTheme="minorHAnsi" w:cstheme="minorBidi"/>
          <w:b/>
          <w:sz w:val="22"/>
          <w:szCs w:val="22"/>
        </w:rPr>
        <w:t>Dorcas International Institute of Rhode Island (DIIRI)</w:t>
      </w:r>
      <w:r w:rsidRPr="00E7135E">
        <w:rPr>
          <w:rFonts w:asciiTheme="minorHAnsi" w:eastAsiaTheme="minorHAnsi" w:hAnsiTheme="minorHAnsi" w:cstheme="minorBidi"/>
          <w:sz w:val="22"/>
          <w:szCs w:val="22"/>
        </w:rPr>
        <w:t> developed multiple industry and training partnerships during 2018-2019</w:t>
      </w:r>
      <w:r w:rsidR="00220AFA">
        <w:rPr>
          <w:rFonts w:asciiTheme="minorHAnsi" w:eastAsiaTheme="minorHAnsi" w:hAnsiTheme="minorHAnsi" w:cstheme="minorBidi"/>
          <w:sz w:val="22"/>
          <w:szCs w:val="22"/>
        </w:rPr>
        <w:t xml:space="preserve">.  One multi-agency partnership </w:t>
      </w:r>
      <w:r w:rsidRPr="00E7135E">
        <w:rPr>
          <w:rFonts w:asciiTheme="minorHAnsi" w:eastAsiaTheme="minorHAnsi" w:hAnsiTheme="minorHAnsi" w:cstheme="minorBidi"/>
          <w:sz w:val="22"/>
          <w:szCs w:val="22"/>
        </w:rPr>
        <w:t>provided integrated education and</w:t>
      </w:r>
      <w:r w:rsidR="00220AFA">
        <w:rPr>
          <w:rFonts w:asciiTheme="minorHAnsi" w:eastAsiaTheme="minorHAnsi" w:hAnsiTheme="minorHAnsi" w:cstheme="minorBidi"/>
          <w:sz w:val="22"/>
          <w:szCs w:val="22"/>
        </w:rPr>
        <w:t xml:space="preserve"> training for the unemployed and </w:t>
      </w:r>
      <w:r w:rsidRPr="00E7135E">
        <w:rPr>
          <w:rFonts w:asciiTheme="minorHAnsi" w:eastAsiaTheme="minorHAnsi" w:hAnsiTheme="minorHAnsi" w:cstheme="minorBidi"/>
          <w:sz w:val="22"/>
          <w:szCs w:val="22"/>
        </w:rPr>
        <w:t xml:space="preserve">underemployed. This partnership with Taylor Farms served twenty-one </w:t>
      </w:r>
      <w:r w:rsidR="00220AFA">
        <w:rPr>
          <w:rFonts w:asciiTheme="minorHAnsi" w:eastAsiaTheme="minorHAnsi" w:hAnsiTheme="minorHAnsi" w:cstheme="minorBidi"/>
          <w:sz w:val="22"/>
          <w:szCs w:val="22"/>
        </w:rPr>
        <w:t>English language learners</w:t>
      </w:r>
      <w:r w:rsidRPr="00E7135E">
        <w:rPr>
          <w:rFonts w:asciiTheme="minorHAnsi" w:eastAsiaTheme="minorHAnsi" w:hAnsiTheme="minorHAnsi" w:cstheme="minorBidi"/>
          <w:sz w:val="22"/>
          <w:szCs w:val="22"/>
        </w:rPr>
        <w:t>, with eight of them receiving job of</w:t>
      </w:r>
      <w:r w:rsidR="003C1A21">
        <w:rPr>
          <w:rFonts w:asciiTheme="minorHAnsi" w:eastAsiaTheme="minorHAnsi" w:hAnsiTheme="minorHAnsi" w:cstheme="minorBidi"/>
          <w:sz w:val="22"/>
          <w:szCs w:val="22"/>
        </w:rPr>
        <w:t>fers. C</w:t>
      </w:r>
      <w:r w:rsidRPr="00E7135E">
        <w:rPr>
          <w:rFonts w:asciiTheme="minorHAnsi" w:eastAsiaTheme="minorHAnsi" w:hAnsiTheme="minorHAnsi" w:cstheme="minorBidi"/>
          <w:sz w:val="22"/>
          <w:szCs w:val="22"/>
        </w:rPr>
        <w:t>lasses were taught to help student</w:t>
      </w:r>
      <w:r w:rsidR="00220AFA">
        <w:rPr>
          <w:rFonts w:asciiTheme="minorHAnsi" w:eastAsiaTheme="minorHAnsi" w:hAnsiTheme="minorHAnsi" w:cstheme="minorBidi"/>
          <w:sz w:val="22"/>
          <w:szCs w:val="22"/>
        </w:rPr>
        <w:t>s</w:t>
      </w:r>
      <w:r w:rsidRPr="00E7135E">
        <w:rPr>
          <w:rFonts w:asciiTheme="minorHAnsi" w:eastAsiaTheme="minorHAnsi" w:hAnsiTheme="minorHAnsi" w:cstheme="minorBidi"/>
          <w:sz w:val="22"/>
          <w:szCs w:val="22"/>
        </w:rPr>
        <w:t xml:space="preserve"> increase their basic literacy skills in English, as well as to gain industry-specific language knowledge.  Successful completion of this training provided a pathway for employment at local businesses, as well as providing the option to take the ServSafe exam for additional credentials. </w:t>
      </w:r>
    </w:p>
    <w:p w14:paraId="3248429A" w14:textId="77777777" w:rsidR="00220AFA" w:rsidRDefault="00220AFA"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p>
    <w:p w14:paraId="5F1D5564" w14:textId="42F7245C" w:rsidR="00E7135E" w:rsidRPr="00E7135E" w:rsidRDefault="00220AFA"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sidRPr="00E7135E">
        <w:rPr>
          <w:rFonts w:asciiTheme="minorHAnsi" w:eastAsiaTheme="minorHAnsi" w:hAnsiTheme="minorHAnsi" w:cstheme="minorBidi"/>
          <w:sz w:val="22"/>
          <w:szCs w:val="22"/>
        </w:rPr>
        <w:t>Through a</w:t>
      </w:r>
      <w:r>
        <w:rPr>
          <w:rFonts w:asciiTheme="minorHAnsi" w:eastAsiaTheme="minorHAnsi" w:hAnsiTheme="minorHAnsi" w:cstheme="minorBidi"/>
          <w:sz w:val="22"/>
          <w:szCs w:val="22"/>
        </w:rPr>
        <w:t>nother</w:t>
      </w:r>
      <w:r w:rsidRPr="00E7135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multi-agency collaboration, workplace communication c</w:t>
      </w:r>
      <w:r w:rsidRPr="00E7135E">
        <w:rPr>
          <w:rFonts w:asciiTheme="minorHAnsi" w:eastAsiaTheme="minorHAnsi" w:hAnsiTheme="minorHAnsi" w:cstheme="minorBidi"/>
          <w:sz w:val="22"/>
          <w:szCs w:val="22"/>
        </w:rPr>
        <w:t>lasses </w:t>
      </w:r>
      <w:r>
        <w:rPr>
          <w:rFonts w:asciiTheme="minorHAnsi" w:eastAsiaTheme="minorHAnsi" w:hAnsiTheme="minorHAnsi" w:cstheme="minorBidi"/>
          <w:sz w:val="22"/>
          <w:szCs w:val="22"/>
        </w:rPr>
        <w:t xml:space="preserve">were provided to incumbent employees </w:t>
      </w:r>
      <w:r w:rsidRPr="00E7135E">
        <w:rPr>
          <w:rFonts w:asciiTheme="minorHAnsi" w:eastAsiaTheme="minorHAnsi" w:hAnsiTheme="minorHAnsi" w:cstheme="minorBidi"/>
          <w:sz w:val="22"/>
          <w:szCs w:val="22"/>
        </w:rPr>
        <w:t>at Landscape Creations of RI.  As a result, twenty</w:t>
      </w:r>
      <w:r>
        <w:rPr>
          <w:rFonts w:asciiTheme="minorHAnsi" w:eastAsiaTheme="minorHAnsi" w:hAnsiTheme="minorHAnsi" w:cstheme="minorBidi"/>
          <w:sz w:val="22"/>
          <w:szCs w:val="22"/>
        </w:rPr>
        <w:t>-three employees received</w:t>
      </w:r>
      <w:r w:rsidRPr="00E7135E">
        <w:rPr>
          <w:rFonts w:asciiTheme="minorHAnsi" w:eastAsiaTheme="minorHAnsi" w:hAnsiTheme="minorHAnsi" w:cstheme="minorBidi"/>
          <w:sz w:val="22"/>
          <w:szCs w:val="22"/>
        </w:rPr>
        <w:t xml:space="preserve"> this instruction.  Two levels of English </w:t>
      </w:r>
      <w:r>
        <w:rPr>
          <w:rFonts w:asciiTheme="minorHAnsi" w:eastAsiaTheme="minorHAnsi" w:hAnsiTheme="minorHAnsi" w:cstheme="minorBidi"/>
          <w:sz w:val="22"/>
          <w:szCs w:val="22"/>
        </w:rPr>
        <w:t xml:space="preserve">as a Second Language </w:t>
      </w:r>
      <w:r w:rsidRPr="00E7135E">
        <w:rPr>
          <w:rFonts w:asciiTheme="minorHAnsi" w:eastAsiaTheme="minorHAnsi" w:hAnsiTheme="minorHAnsi" w:cstheme="minorBidi"/>
          <w:sz w:val="22"/>
          <w:szCs w:val="22"/>
        </w:rPr>
        <w:t>classes were offered, with a contextualized curriculum using vocabulary and phrases specific to the landscaping industry.  </w:t>
      </w:r>
      <w:r>
        <w:rPr>
          <w:rFonts w:asciiTheme="minorHAnsi" w:eastAsiaTheme="minorHAnsi" w:hAnsiTheme="minorHAnsi" w:cstheme="minorBidi"/>
          <w:sz w:val="22"/>
          <w:szCs w:val="22"/>
        </w:rPr>
        <w:t>All of the participants received a bonus and one participant received a promotion as a result of the program.</w:t>
      </w:r>
    </w:p>
    <w:p w14:paraId="7C0C2FD7" w14:textId="77777777" w:rsidR="00220AFA" w:rsidRDefault="00220AFA"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p>
    <w:p w14:paraId="0171C5B4" w14:textId="6E5A12E7" w:rsid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sidRPr="00E7135E">
        <w:rPr>
          <w:rFonts w:asciiTheme="minorHAnsi" w:eastAsiaTheme="minorHAnsi" w:hAnsiTheme="minorHAnsi" w:cstheme="minorBidi"/>
          <w:sz w:val="22"/>
          <w:szCs w:val="22"/>
        </w:rPr>
        <w:t>Another major partnership, with the Rhode Island Builder’s Association (RIBA) enabled DIIRI to offer a Pathways to Construction class as a 15-week residential construction program for English Language Learners.  Working with RIBA has helped DIIRI to modify the House Builder’s Institute’s (HBI) Pre-Apprenticeship Certificate Training (PACT) for ELL students seeking careers in the building trades.  This training integrated contextualized, work-based learning with academic and vocational skills.  Three training cohorts, of fifteen students each, provided industry-related employment</w:t>
      </w:r>
      <w:r w:rsidR="00220AFA">
        <w:rPr>
          <w:rFonts w:asciiTheme="minorHAnsi" w:eastAsiaTheme="minorHAnsi" w:hAnsiTheme="minorHAnsi" w:cstheme="minorBidi"/>
          <w:sz w:val="22"/>
          <w:szCs w:val="22"/>
        </w:rPr>
        <w:t xml:space="preserve"> skills</w:t>
      </w:r>
      <w:r w:rsidRPr="00E7135E">
        <w:rPr>
          <w:rFonts w:asciiTheme="minorHAnsi" w:eastAsiaTheme="minorHAnsi" w:hAnsiTheme="minorHAnsi" w:cstheme="minorBidi"/>
          <w:sz w:val="22"/>
          <w:szCs w:val="22"/>
        </w:rPr>
        <w:t xml:space="preserve"> to these students, supported by RIBA’s connection to construction employers. This program can lead to apprenticeship positions along the Construction Trades pathway.  As a final result of this program, twelve students obtained employment in construction.  </w:t>
      </w:r>
    </w:p>
    <w:p w14:paraId="0F51BC46" w14:textId="77777777" w:rsidR="00E7135E" w:rsidRP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p>
    <w:p w14:paraId="0632F23B" w14:textId="72BD09CD" w:rsid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sidRPr="00E7135E">
        <w:rPr>
          <w:rFonts w:asciiTheme="minorHAnsi" w:eastAsiaTheme="minorHAnsi" w:hAnsiTheme="minorHAnsi" w:cstheme="minorBidi"/>
          <w:b/>
          <w:sz w:val="22"/>
          <w:szCs w:val="22"/>
        </w:rPr>
        <w:t>Genesis Center</w:t>
      </w:r>
      <w:r w:rsidRPr="00E7135E">
        <w:rPr>
          <w:rFonts w:asciiTheme="minorHAnsi" w:eastAsiaTheme="minorHAnsi" w:hAnsiTheme="minorHAnsi" w:cstheme="minorBidi"/>
          <w:sz w:val="22"/>
          <w:szCs w:val="22"/>
        </w:rPr>
        <w:t> training progra</w:t>
      </w:r>
      <w:r w:rsidR="00666B64">
        <w:rPr>
          <w:rFonts w:asciiTheme="minorHAnsi" w:eastAsiaTheme="minorHAnsi" w:hAnsiTheme="minorHAnsi" w:cstheme="minorBidi"/>
          <w:sz w:val="22"/>
          <w:szCs w:val="22"/>
        </w:rPr>
        <w:t>ms integrated contextualized English Language Acquisition</w:t>
      </w:r>
      <w:r w:rsidRPr="00E7135E">
        <w:rPr>
          <w:rFonts w:asciiTheme="minorHAnsi" w:eastAsiaTheme="minorHAnsi" w:hAnsiTheme="minorHAnsi" w:cstheme="minorBidi"/>
          <w:sz w:val="22"/>
          <w:szCs w:val="22"/>
        </w:rPr>
        <w:t>, occupational training, industry credential</w:t>
      </w:r>
      <w:r w:rsidR="00666B64">
        <w:rPr>
          <w:rFonts w:asciiTheme="minorHAnsi" w:eastAsiaTheme="minorHAnsi" w:hAnsiTheme="minorHAnsi" w:cstheme="minorBidi"/>
          <w:sz w:val="22"/>
          <w:szCs w:val="22"/>
        </w:rPr>
        <w:t>s and supportive services in their</w:t>
      </w:r>
      <w:r w:rsidRPr="00E7135E">
        <w:rPr>
          <w:rFonts w:asciiTheme="minorHAnsi" w:eastAsiaTheme="minorHAnsi" w:hAnsiTheme="minorHAnsi" w:cstheme="minorBidi"/>
          <w:sz w:val="22"/>
          <w:szCs w:val="22"/>
        </w:rPr>
        <w:t xml:space="preserve"> </w:t>
      </w:r>
      <w:r w:rsidR="005F462C">
        <w:rPr>
          <w:rFonts w:asciiTheme="minorHAnsi" w:eastAsiaTheme="minorHAnsi" w:hAnsiTheme="minorHAnsi" w:cstheme="minorBidi"/>
          <w:sz w:val="22"/>
          <w:szCs w:val="22"/>
        </w:rPr>
        <w:t>Pathways to E</w:t>
      </w:r>
      <w:r w:rsidRPr="00E7135E">
        <w:rPr>
          <w:rFonts w:asciiTheme="minorHAnsi" w:eastAsiaTheme="minorHAnsi" w:hAnsiTheme="minorHAnsi" w:cstheme="minorBidi"/>
          <w:sz w:val="22"/>
          <w:szCs w:val="22"/>
        </w:rPr>
        <w:t>mployment</w:t>
      </w:r>
      <w:r w:rsidR="00666B64">
        <w:rPr>
          <w:rFonts w:asciiTheme="minorHAnsi" w:eastAsiaTheme="minorHAnsi" w:hAnsiTheme="minorHAnsi" w:cstheme="minorBidi"/>
          <w:sz w:val="22"/>
          <w:szCs w:val="22"/>
        </w:rPr>
        <w:t xml:space="preserve"> program</w:t>
      </w:r>
      <w:r w:rsidRPr="00E7135E">
        <w:rPr>
          <w:rFonts w:asciiTheme="minorHAnsi" w:eastAsiaTheme="minorHAnsi" w:hAnsiTheme="minorHAnsi" w:cstheme="minorBidi"/>
          <w:sz w:val="22"/>
          <w:szCs w:val="22"/>
        </w:rPr>
        <w:t>.  These pathways included Healthcare, Culinary/Hospitality, Retail</w:t>
      </w:r>
      <w:r w:rsidR="005F462C">
        <w:rPr>
          <w:rFonts w:asciiTheme="minorHAnsi" w:eastAsiaTheme="minorHAnsi" w:hAnsiTheme="minorHAnsi" w:cstheme="minorBidi"/>
          <w:sz w:val="22"/>
          <w:szCs w:val="22"/>
        </w:rPr>
        <w:t>,</w:t>
      </w:r>
      <w:r w:rsidRPr="00E7135E">
        <w:rPr>
          <w:rFonts w:asciiTheme="minorHAnsi" w:eastAsiaTheme="minorHAnsi" w:hAnsiTheme="minorHAnsi" w:cstheme="minorBidi"/>
          <w:sz w:val="22"/>
          <w:szCs w:val="22"/>
        </w:rPr>
        <w:t xml:space="preserve"> and Early Childhood. Additi</w:t>
      </w:r>
      <w:r w:rsidR="00666B64">
        <w:rPr>
          <w:rFonts w:asciiTheme="minorHAnsi" w:eastAsiaTheme="minorHAnsi" w:hAnsiTheme="minorHAnsi" w:cstheme="minorBidi"/>
          <w:sz w:val="22"/>
          <w:szCs w:val="22"/>
        </w:rPr>
        <w:t>onally, their</w:t>
      </w:r>
      <w:r w:rsidRPr="00E7135E">
        <w:rPr>
          <w:rFonts w:asciiTheme="minorHAnsi" w:eastAsiaTheme="minorHAnsi" w:hAnsiTheme="minorHAnsi" w:cstheme="minorBidi"/>
          <w:sz w:val="22"/>
          <w:szCs w:val="22"/>
        </w:rPr>
        <w:t xml:space="preserve"> Medical Assistant training program received accreditation from the National Hea</w:t>
      </w:r>
      <w:r w:rsidR="00666B64">
        <w:rPr>
          <w:rFonts w:asciiTheme="minorHAnsi" w:eastAsiaTheme="minorHAnsi" w:hAnsiTheme="minorHAnsi" w:cstheme="minorBidi"/>
          <w:sz w:val="22"/>
          <w:szCs w:val="22"/>
        </w:rPr>
        <w:t>lthcare Association, enabling the Genesis Center to offer the</w:t>
      </w:r>
      <w:r w:rsidRPr="00E7135E">
        <w:rPr>
          <w:rFonts w:asciiTheme="minorHAnsi" w:eastAsiaTheme="minorHAnsi" w:hAnsiTheme="minorHAnsi" w:cstheme="minorBidi"/>
          <w:sz w:val="22"/>
          <w:szCs w:val="22"/>
        </w:rPr>
        <w:t xml:space="preserve"> C</w:t>
      </w:r>
      <w:r w:rsidR="00666B64">
        <w:rPr>
          <w:rFonts w:asciiTheme="minorHAnsi" w:eastAsiaTheme="minorHAnsi" w:hAnsiTheme="minorHAnsi" w:cstheme="minorBidi"/>
          <w:sz w:val="22"/>
          <w:szCs w:val="22"/>
        </w:rPr>
        <w:t>ertified Clinical Medical Assistant credential to</w:t>
      </w:r>
      <w:r w:rsidRPr="00E7135E">
        <w:rPr>
          <w:rFonts w:asciiTheme="minorHAnsi" w:eastAsiaTheme="minorHAnsi" w:hAnsiTheme="minorHAnsi" w:cstheme="minorBidi"/>
          <w:sz w:val="22"/>
          <w:szCs w:val="22"/>
        </w:rPr>
        <w:t xml:space="preserve"> program participants.  This national credential strengthens their resumes and is also portable between states. </w:t>
      </w:r>
    </w:p>
    <w:p w14:paraId="57E24E81" w14:textId="77777777" w:rsidR="00E7135E" w:rsidRP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p>
    <w:p w14:paraId="5CF03023" w14:textId="77777777" w:rsidR="00666B64" w:rsidRDefault="00666B64"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Genesis</w:t>
      </w:r>
      <w:r w:rsidR="00E7135E" w:rsidRPr="00E7135E">
        <w:rPr>
          <w:rFonts w:asciiTheme="minorHAnsi" w:eastAsiaTheme="minorHAnsi" w:hAnsiTheme="minorHAnsi" w:cstheme="minorBidi"/>
          <w:sz w:val="22"/>
          <w:szCs w:val="22"/>
        </w:rPr>
        <w:t xml:space="preserve"> programs are highly</w:t>
      </w:r>
      <w:r>
        <w:rPr>
          <w:rFonts w:asciiTheme="minorHAnsi" w:eastAsiaTheme="minorHAnsi" w:hAnsiTheme="minorHAnsi" w:cstheme="minorBidi"/>
          <w:sz w:val="22"/>
          <w:szCs w:val="22"/>
        </w:rPr>
        <w:t xml:space="preserve"> successful in preparing participants for unsubsidized employment in high-demand jobs, as evidenced by their</w:t>
      </w:r>
      <w:r w:rsidR="00E7135E" w:rsidRPr="00E7135E">
        <w:rPr>
          <w:rFonts w:asciiTheme="minorHAnsi" w:eastAsiaTheme="minorHAnsi" w:hAnsiTheme="minorHAnsi" w:cstheme="minorBidi"/>
          <w:sz w:val="22"/>
          <w:szCs w:val="22"/>
        </w:rPr>
        <w:t xml:space="preserve"> employment rate of 70-80%, when they complete program training.  Participants</w:t>
      </w:r>
      <w:r>
        <w:rPr>
          <w:rFonts w:asciiTheme="minorHAnsi" w:eastAsiaTheme="minorHAnsi" w:hAnsiTheme="minorHAnsi" w:cstheme="minorBidi"/>
          <w:sz w:val="22"/>
          <w:szCs w:val="22"/>
        </w:rPr>
        <w:t>’</w:t>
      </w:r>
      <w:r w:rsidR="00E7135E" w:rsidRPr="00E7135E">
        <w:rPr>
          <w:rFonts w:asciiTheme="minorHAnsi" w:eastAsiaTheme="minorHAnsi" w:hAnsiTheme="minorHAnsi" w:cstheme="minorBidi"/>
          <w:sz w:val="22"/>
          <w:szCs w:val="22"/>
        </w:rPr>
        <w:t xml:space="preserve"> starting wages have increased 11.7% between 2018 and 2019.  </w:t>
      </w:r>
    </w:p>
    <w:p w14:paraId="225EF1EB" w14:textId="77777777" w:rsidR="00666B64" w:rsidRDefault="00666B64"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p>
    <w:p w14:paraId="6B83780E" w14:textId="5BE1EAAE" w:rsid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sidRPr="00E7135E">
        <w:rPr>
          <w:rFonts w:asciiTheme="minorHAnsi" w:eastAsiaTheme="minorHAnsi" w:hAnsiTheme="minorHAnsi" w:cstheme="minorBidi"/>
          <w:sz w:val="22"/>
          <w:szCs w:val="22"/>
        </w:rPr>
        <w:t xml:space="preserve">Genesis Center </w:t>
      </w:r>
      <w:r w:rsidR="00666B64">
        <w:rPr>
          <w:rFonts w:asciiTheme="minorHAnsi" w:eastAsiaTheme="minorHAnsi" w:hAnsiTheme="minorHAnsi" w:cstheme="minorBidi"/>
          <w:sz w:val="22"/>
          <w:szCs w:val="22"/>
        </w:rPr>
        <w:t xml:space="preserve">also integrates its programs with the local workforce development system.  It </w:t>
      </w:r>
      <w:r w:rsidRPr="00E7135E">
        <w:rPr>
          <w:rFonts w:asciiTheme="minorHAnsi" w:eastAsiaTheme="minorHAnsi" w:hAnsiTheme="minorHAnsi" w:cstheme="minorBidi"/>
          <w:sz w:val="22"/>
          <w:szCs w:val="22"/>
        </w:rPr>
        <w:t>works w</w:t>
      </w:r>
      <w:r w:rsidR="005F462C">
        <w:rPr>
          <w:rFonts w:asciiTheme="minorHAnsi" w:eastAsiaTheme="minorHAnsi" w:hAnsiTheme="minorHAnsi" w:cstheme="minorBidi"/>
          <w:sz w:val="22"/>
          <w:szCs w:val="22"/>
        </w:rPr>
        <w:t>ith the RI Department of Labor and</w:t>
      </w:r>
      <w:r w:rsidRPr="00E7135E">
        <w:rPr>
          <w:rFonts w:asciiTheme="minorHAnsi" w:eastAsiaTheme="minorHAnsi" w:hAnsiTheme="minorHAnsi" w:cstheme="minorBidi"/>
          <w:sz w:val="22"/>
          <w:szCs w:val="22"/>
        </w:rPr>
        <w:t xml:space="preserve"> Training and the Governor’s Workforce </w:t>
      </w:r>
      <w:r w:rsidR="005F462C">
        <w:rPr>
          <w:rFonts w:asciiTheme="minorHAnsi" w:eastAsiaTheme="minorHAnsi" w:hAnsiTheme="minorHAnsi" w:cstheme="minorBidi"/>
          <w:sz w:val="22"/>
          <w:szCs w:val="22"/>
        </w:rPr>
        <w:t>Board</w:t>
      </w:r>
      <w:r w:rsidRPr="00E7135E">
        <w:rPr>
          <w:rFonts w:asciiTheme="minorHAnsi" w:eastAsiaTheme="minorHAnsi" w:hAnsiTheme="minorHAnsi" w:cstheme="minorBidi"/>
          <w:sz w:val="22"/>
          <w:szCs w:val="22"/>
        </w:rPr>
        <w:t xml:space="preserve"> throu</w:t>
      </w:r>
      <w:r w:rsidR="00666B64">
        <w:rPr>
          <w:rFonts w:asciiTheme="minorHAnsi" w:eastAsiaTheme="minorHAnsi" w:hAnsiTheme="minorHAnsi" w:cstheme="minorBidi"/>
          <w:sz w:val="22"/>
          <w:szCs w:val="22"/>
        </w:rPr>
        <w:t>gh their Real Pathways partnership.  They</w:t>
      </w:r>
      <w:r w:rsidRPr="00E7135E">
        <w:rPr>
          <w:rFonts w:asciiTheme="minorHAnsi" w:eastAsiaTheme="minorHAnsi" w:hAnsiTheme="minorHAnsi" w:cstheme="minorBidi"/>
          <w:sz w:val="22"/>
          <w:szCs w:val="22"/>
        </w:rPr>
        <w:t xml:space="preserve"> are also a partner under the Department of Labor and Training’s Real Jobs RI grant. In addition, the Local Workforce Development Board helps t</w:t>
      </w:r>
      <w:r w:rsidR="00666B64">
        <w:rPr>
          <w:rFonts w:asciiTheme="minorHAnsi" w:eastAsiaTheme="minorHAnsi" w:hAnsiTheme="minorHAnsi" w:cstheme="minorBidi"/>
          <w:sz w:val="22"/>
          <w:szCs w:val="22"/>
        </w:rPr>
        <w:t>o provide partial funding to the</w:t>
      </w:r>
      <w:r w:rsidRPr="00E7135E">
        <w:rPr>
          <w:rFonts w:asciiTheme="minorHAnsi" w:eastAsiaTheme="minorHAnsi" w:hAnsiTheme="minorHAnsi" w:cstheme="minorBidi"/>
          <w:sz w:val="22"/>
          <w:szCs w:val="22"/>
        </w:rPr>
        <w:t> IELCE programs, which are substantially more intensive and expensive than traditional adult education programming. </w:t>
      </w:r>
    </w:p>
    <w:p w14:paraId="4F8B9D2A" w14:textId="77777777" w:rsidR="00E7135E" w:rsidRP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p>
    <w:p w14:paraId="2DA19AE3" w14:textId="117B1073" w:rsidR="00E7135E" w:rsidRDefault="00666B64"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Genesis</w:t>
      </w:r>
      <w:r w:rsidR="00E7135E" w:rsidRPr="00E7135E">
        <w:rPr>
          <w:rFonts w:asciiTheme="minorHAnsi" w:eastAsiaTheme="minorHAnsi" w:hAnsiTheme="minorHAnsi" w:cstheme="minorBidi"/>
          <w:sz w:val="22"/>
          <w:szCs w:val="22"/>
        </w:rPr>
        <w:t xml:space="preserve"> also expanded to include a Pharmacy Technician Pr</w:t>
      </w:r>
      <w:r>
        <w:rPr>
          <w:rFonts w:asciiTheme="minorHAnsi" w:eastAsiaTheme="minorHAnsi" w:hAnsiTheme="minorHAnsi" w:cstheme="minorBidi"/>
          <w:sz w:val="22"/>
          <w:szCs w:val="22"/>
        </w:rPr>
        <w:t>e-Apprenticeship, as well as their</w:t>
      </w:r>
      <w:r w:rsidR="00E7135E" w:rsidRPr="00E7135E">
        <w:rPr>
          <w:rFonts w:asciiTheme="minorHAnsi" w:eastAsiaTheme="minorHAnsi" w:hAnsiTheme="minorHAnsi" w:cstheme="minorBidi"/>
          <w:sz w:val="22"/>
          <w:szCs w:val="22"/>
        </w:rPr>
        <w:t xml:space="preserve"> first </w:t>
      </w:r>
      <w:r>
        <w:rPr>
          <w:rFonts w:asciiTheme="minorHAnsi" w:eastAsiaTheme="minorHAnsi" w:hAnsiTheme="minorHAnsi" w:cstheme="minorBidi"/>
          <w:sz w:val="22"/>
          <w:szCs w:val="22"/>
        </w:rPr>
        <w:t>Certified Nurse Assistant training, that began in 2019.  In 2018-2019 they</w:t>
      </w:r>
      <w:r w:rsidR="00E7135E" w:rsidRPr="00E7135E">
        <w:rPr>
          <w:rFonts w:asciiTheme="minorHAnsi" w:eastAsiaTheme="minorHAnsi" w:hAnsiTheme="minorHAnsi" w:cstheme="minorBidi"/>
          <w:sz w:val="22"/>
          <w:szCs w:val="22"/>
        </w:rPr>
        <w:t xml:space="preserve"> served forty-five IELCE participants,</w:t>
      </w:r>
      <w:r>
        <w:rPr>
          <w:rFonts w:asciiTheme="minorHAnsi" w:eastAsiaTheme="minorHAnsi" w:hAnsiTheme="minorHAnsi" w:cstheme="minorBidi"/>
          <w:sz w:val="22"/>
          <w:szCs w:val="22"/>
        </w:rPr>
        <w:t xml:space="preserve"> with 46% of them completing an Educational Functioning Level</w:t>
      </w:r>
      <w:r w:rsidR="00E7135E" w:rsidRPr="00E7135E">
        <w:rPr>
          <w:rFonts w:asciiTheme="minorHAnsi" w:eastAsiaTheme="minorHAnsi" w:hAnsiTheme="minorHAnsi" w:cstheme="minorBidi"/>
          <w:sz w:val="22"/>
          <w:szCs w:val="22"/>
        </w:rPr>
        <w:t>. Twelve students gained new jobs, at an average starting hourly rate of $14.20. </w:t>
      </w:r>
      <w:r w:rsidR="005F462C">
        <w:rPr>
          <w:rFonts w:asciiTheme="minorHAnsi" w:eastAsiaTheme="minorHAnsi" w:hAnsiTheme="minorHAnsi" w:cstheme="minorBidi"/>
          <w:sz w:val="22"/>
          <w:szCs w:val="22"/>
        </w:rPr>
        <w:t xml:space="preserve"> </w:t>
      </w:r>
    </w:p>
    <w:p w14:paraId="3932D85B" w14:textId="77777777" w:rsidR="005F462C" w:rsidRPr="00E7135E" w:rsidRDefault="005F462C"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p>
    <w:p w14:paraId="2BBFBC3A" w14:textId="41568E67" w:rsidR="00E7135E" w:rsidRP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sidRPr="00E7135E">
        <w:rPr>
          <w:rFonts w:asciiTheme="minorHAnsi" w:eastAsiaTheme="minorHAnsi" w:hAnsiTheme="minorHAnsi" w:cstheme="minorBidi"/>
          <w:sz w:val="22"/>
          <w:szCs w:val="22"/>
        </w:rPr>
        <w:t>Future plans include continued work with postsecondary provid</w:t>
      </w:r>
      <w:r w:rsidR="00666B64">
        <w:rPr>
          <w:rFonts w:asciiTheme="minorHAnsi" w:eastAsiaTheme="minorHAnsi" w:hAnsiTheme="minorHAnsi" w:cstheme="minorBidi"/>
          <w:sz w:val="22"/>
          <w:szCs w:val="22"/>
        </w:rPr>
        <w:t>ers to develop and pilot RI-BEST</w:t>
      </w:r>
      <w:r w:rsidRPr="00E7135E">
        <w:rPr>
          <w:rFonts w:asciiTheme="minorHAnsi" w:eastAsiaTheme="minorHAnsi" w:hAnsiTheme="minorHAnsi" w:cstheme="minorBidi"/>
          <w:sz w:val="22"/>
          <w:szCs w:val="22"/>
        </w:rPr>
        <w:t xml:space="preserve"> programming that will bring additional industry credentials a</w:t>
      </w:r>
      <w:r w:rsidR="00666B64">
        <w:rPr>
          <w:rFonts w:asciiTheme="minorHAnsi" w:eastAsiaTheme="minorHAnsi" w:hAnsiTheme="minorHAnsi" w:cstheme="minorBidi"/>
          <w:sz w:val="22"/>
          <w:szCs w:val="22"/>
        </w:rPr>
        <w:t xml:space="preserve">nd postsecondary credits to </w:t>
      </w:r>
      <w:r w:rsidRPr="00E7135E">
        <w:rPr>
          <w:rFonts w:asciiTheme="minorHAnsi" w:eastAsiaTheme="minorHAnsi" w:hAnsiTheme="minorHAnsi" w:cstheme="minorBidi"/>
          <w:sz w:val="22"/>
          <w:szCs w:val="22"/>
        </w:rPr>
        <w:t>IELCE participants. </w:t>
      </w:r>
    </w:p>
    <w:p w14:paraId="75A4B4AA" w14:textId="77777777" w:rsidR="00E7135E" w:rsidRPr="00E7135E" w:rsidRDefault="00E7135E" w:rsidP="00E7135E">
      <w:pPr>
        <w:pStyle w:val="paragraph"/>
        <w:spacing w:before="0" w:beforeAutospacing="0" w:after="0" w:afterAutospacing="0"/>
        <w:jc w:val="both"/>
        <w:textAlignment w:val="baseline"/>
        <w:rPr>
          <w:rFonts w:asciiTheme="minorHAnsi" w:eastAsiaTheme="minorHAnsi" w:hAnsiTheme="minorHAnsi" w:cstheme="minorBidi"/>
          <w:sz w:val="22"/>
          <w:szCs w:val="22"/>
        </w:rPr>
      </w:pPr>
      <w:r w:rsidRPr="00E7135E">
        <w:rPr>
          <w:rFonts w:asciiTheme="minorHAnsi" w:eastAsiaTheme="minorHAnsi" w:hAnsiTheme="minorHAnsi" w:cstheme="minorBidi"/>
          <w:sz w:val="22"/>
          <w:szCs w:val="22"/>
        </w:rPr>
        <w:t> </w:t>
      </w:r>
    </w:p>
    <w:p w14:paraId="104AB9E8" w14:textId="37691FDF" w:rsidR="00244D4D" w:rsidRDefault="10022AE0" w:rsidP="10022AE0">
      <w:pPr>
        <w:pStyle w:val="Default"/>
        <w:spacing w:after="68"/>
        <w:jc w:val="both"/>
        <w:rPr>
          <w:rFonts w:asciiTheme="minorHAnsi" w:hAnsiTheme="minorHAnsi"/>
          <w:color w:val="000000" w:themeColor="text1"/>
          <w:sz w:val="22"/>
          <w:szCs w:val="22"/>
        </w:rPr>
      </w:pPr>
      <w:r w:rsidRPr="10022AE0">
        <w:rPr>
          <w:rFonts w:asciiTheme="minorHAnsi" w:hAnsiTheme="minorHAnsi"/>
          <w:b/>
          <w:bCs/>
          <w:color w:val="000000" w:themeColor="text1"/>
          <w:sz w:val="22"/>
          <w:szCs w:val="22"/>
        </w:rPr>
        <w:t>Newport Community Schools</w:t>
      </w:r>
      <w:r w:rsidR="003D421B">
        <w:rPr>
          <w:rFonts w:asciiTheme="minorHAnsi" w:hAnsiTheme="minorHAnsi"/>
          <w:color w:val="000000" w:themeColor="text1"/>
          <w:sz w:val="22"/>
          <w:szCs w:val="22"/>
        </w:rPr>
        <w:t xml:space="preserve"> </w:t>
      </w:r>
      <w:r w:rsidR="00633B60">
        <w:rPr>
          <w:rFonts w:asciiTheme="minorHAnsi" w:hAnsiTheme="minorHAnsi"/>
          <w:color w:val="000000" w:themeColor="text1"/>
          <w:sz w:val="22"/>
          <w:szCs w:val="22"/>
        </w:rPr>
        <w:t>(Aquidneck Island Adult Learning Center – AIALC)</w:t>
      </w:r>
    </w:p>
    <w:p w14:paraId="4A2F0C12" w14:textId="20CB82D9" w:rsidR="00633B60" w:rsidRDefault="00633B60" w:rsidP="00633B60">
      <w:pPr>
        <w:spacing w:after="0" w:line="240" w:lineRule="auto"/>
        <w:jc w:val="both"/>
      </w:pPr>
      <w:r w:rsidRPr="00633B60">
        <w:t xml:space="preserve">Healthcare is one of the four top </w:t>
      </w:r>
      <w:r>
        <w:t>high-demand</w:t>
      </w:r>
      <w:r w:rsidRPr="00633B60">
        <w:t xml:space="preserve">, high-growth industries in the state of Rhode Island. There is a very high demand on Aquidneck Island for Homemakers, Certified Nursing Assistants, and Med Techs. Since many of the English Language Learners at AIALC have worked in the health care field in their native countries and are looking for occupations that can lead to career pathways and secondary education credentials (i.e. becoming a nurse), the IET Healthcare program has become especially important to these students.  </w:t>
      </w:r>
    </w:p>
    <w:p w14:paraId="410A5B7B" w14:textId="77777777" w:rsidR="00633B60" w:rsidRPr="00633B60" w:rsidRDefault="00633B60" w:rsidP="00633B60">
      <w:pPr>
        <w:spacing w:after="0" w:line="240" w:lineRule="auto"/>
        <w:jc w:val="both"/>
      </w:pPr>
    </w:p>
    <w:p w14:paraId="09EEFA37" w14:textId="37CDB3C0" w:rsidR="00633B60" w:rsidRDefault="00633B60" w:rsidP="00633B60">
      <w:pPr>
        <w:spacing w:after="0" w:line="240" w:lineRule="auto"/>
        <w:jc w:val="both"/>
      </w:pPr>
      <w:r w:rsidRPr="00633B60">
        <w:t>Students in the C.N.A., Homemaker, and Teacher Assistant classes receive occupational skill training, on the job training through clinical experiences and job shadowing, and concurrently receive job readiness tr</w:t>
      </w:r>
      <w:r w:rsidR="005F462C">
        <w:t xml:space="preserve">aining and literacy activities, </w:t>
      </w:r>
      <w:r w:rsidRPr="00633B60">
        <w:t>including math and reading instruction</w:t>
      </w:r>
      <w:r>
        <w:t xml:space="preserve">.  </w:t>
      </w:r>
      <w:r w:rsidRPr="00633B60">
        <w:t>Feedback from employers has been very positive and our graduates are in demand—often receiving employment offers before graduation. The ESL</w:t>
      </w:r>
      <w:r w:rsidR="005F462C">
        <w:t xml:space="preserve"> curriculum is aligned with College and Career Readiness Standards</w:t>
      </w:r>
      <w:r w:rsidRPr="00633B60">
        <w:t xml:space="preserve"> and is contextualized to include work readiness components. Of the 40 ELLs who completed the IET C.N.A. and Homemaker classes last year, 35 became employed in that field and another 12 of the students went on to take the Med Tech course—which is the next step for C.N.A.’s, who often earn another $3--$5 per hour with this additional certification.    Fifteen students completed the IET Teacher Assistant course and all have become employed in local school districts on Aquidneck Island.  </w:t>
      </w:r>
    </w:p>
    <w:p w14:paraId="11327D4C" w14:textId="77777777" w:rsidR="00633B60" w:rsidRDefault="00633B60" w:rsidP="00633B60">
      <w:pPr>
        <w:spacing w:after="0" w:line="240" w:lineRule="auto"/>
        <w:jc w:val="both"/>
      </w:pPr>
    </w:p>
    <w:p w14:paraId="151304C2" w14:textId="5A3D475D" w:rsidR="00633B60" w:rsidRPr="00633B60" w:rsidRDefault="00633B60" w:rsidP="00633B60">
      <w:pPr>
        <w:spacing w:after="0" w:line="240" w:lineRule="auto"/>
        <w:jc w:val="both"/>
      </w:pPr>
      <w:r w:rsidRPr="00633B60">
        <w:t>Since the One-Stop on Aquidneck Island has been closed for many years, AIALC has developed and maintained tangible examples of constructive working relationships with next-step agencies and institutions such as employers, career centers, post-secondary education and job training partners, as demonstrated through both formal MOU partnerships and informal partnerships.  Newport Community School programs are also involved with the Federal Working Cities initiative.  This project focuses on community engagement, partnerships from all sectors (public and private education, non-profits, public and private business</w:t>
      </w:r>
      <w:r w:rsidR="005F462C">
        <w:t>es, faith-based, and political</w:t>
      </w:r>
      <w:r w:rsidRPr="00633B60">
        <w:t xml:space="preserve">) and Newport residents with the goal of developing programs which address residents’ identified needs.  </w:t>
      </w:r>
    </w:p>
    <w:p w14:paraId="15AA47BE" w14:textId="77777777" w:rsidR="00633B60" w:rsidRPr="00633B60" w:rsidRDefault="00633B60" w:rsidP="00633B60">
      <w:pPr>
        <w:spacing w:after="0" w:line="240" w:lineRule="auto"/>
        <w:jc w:val="both"/>
      </w:pPr>
    </w:p>
    <w:p w14:paraId="078B4084" w14:textId="32FB1C22" w:rsidR="00633B60" w:rsidRDefault="005F462C" w:rsidP="00633B60">
      <w:pPr>
        <w:spacing w:after="0" w:line="240" w:lineRule="auto"/>
        <w:jc w:val="both"/>
      </w:pPr>
      <w:r>
        <w:t xml:space="preserve">The </w:t>
      </w:r>
      <w:r w:rsidR="00633B60" w:rsidRPr="00633B60">
        <w:t>AIALC program often has ELLs who require wrap-around services in order to be successful in the acade</w:t>
      </w:r>
      <w:r>
        <w:t xml:space="preserve">mic courses and </w:t>
      </w:r>
      <w:r w:rsidR="00633B60" w:rsidRPr="00633B60">
        <w:t>job training programs.  AIALC is a member of the Newport County Adult Education Network of thirteen agencies that provide services in the ar</w:t>
      </w:r>
      <w:r>
        <w:t>ea and can offer various social and</w:t>
      </w:r>
      <w:r w:rsidR="00633B60" w:rsidRPr="00633B60">
        <w:t xml:space="preserve"> emotional supports – child care, rental assistance, personal financial </w:t>
      </w:r>
      <w:r>
        <w:t>management</w:t>
      </w:r>
      <w:r w:rsidR="00633B60" w:rsidRPr="00633B60">
        <w:t xml:space="preserve"> – to help ensure that a student has the resources and supports to remain in the program, complete the academic curriculum and internship</w:t>
      </w:r>
      <w:r>
        <w:t>,</w:t>
      </w:r>
      <w:r w:rsidR="00633B60" w:rsidRPr="00633B60">
        <w:t xml:space="preserve"> and become certified for employment.  </w:t>
      </w:r>
    </w:p>
    <w:p w14:paraId="22505D69" w14:textId="79DF11ED" w:rsidR="00633B60" w:rsidRDefault="00633B60" w:rsidP="00633B60">
      <w:pPr>
        <w:spacing w:after="0" w:line="240" w:lineRule="auto"/>
        <w:jc w:val="both"/>
      </w:pPr>
    </w:p>
    <w:p w14:paraId="1DD53054" w14:textId="1B6DC4C1" w:rsidR="00633B60" w:rsidRDefault="00633B60" w:rsidP="00633B60">
      <w:pPr>
        <w:pStyle w:val="paragraph"/>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b/>
          <w:sz w:val="22"/>
          <w:szCs w:val="22"/>
        </w:rPr>
        <w:t>Progreso Latino</w:t>
      </w:r>
      <w:r w:rsidRPr="00E7135E">
        <w:rPr>
          <w:rFonts w:asciiTheme="minorHAnsi" w:eastAsiaTheme="minorHAnsi" w:hAnsiTheme="minorHAnsi" w:cstheme="minorBidi"/>
          <w:sz w:val="22"/>
          <w:szCs w:val="22"/>
        </w:rPr>
        <w:t> partnered with Rhode Island College (RIC) to develop a pre-bridge program starting with their Medical Assistant Certificate class, as well as with Roger Williams University (RWU) Business Office Technology Certificate program.  Nineteen of twenty-two students completed the Medical Assistant and Business Office Technology classes.   During the first six months of the 2018-2019 fiscal year Progreso Latino and both postsecondary schools worked toge</w:t>
      </w:r>
      <w:r w:rsidR="008371DA">
        <w:rPr>
          <w:rFonts w:asciiTheme="minorHAnsi" w:eastAsiaTheme="minorHAnsi" w:hAnsiTheme="minorHAnsi" w:cstheme="minorBidi"/>
          <w:sz w:val="22"/>
          <w:szCs w:val="22"/>
        </w:rPr>
        <w:t>ther to develop the curricula</w:t>
      </w:r>
      <w:r w:rsidRPr="00E7135E">
        <w:rPr>
          <w:rFonts w:asciiTheme="minorHAnsi" w:eastAsiaTheme="minorHAnsi" w:hAnsiTheme="minorHAnsi" w:cstheme="minorBidi"/>
          <w:sz w:val="22"/>
          <w:szCs w:val="22"/>
        </w:rPr>
        <w:t xml:space="preserve"> and the synchronization of the classes to enable an easier transition from p</w:t>
      </w:r>
      <w:r w:rsidR="008371DA">
        <w:rPr>
          <w:rFonts w:asciiTheme="minorHAnsi" w:eastAsiaTheme="minorHAnsi" w:hAnsiTheme="minorHAnsi" w:cstheme="minorBidi"/>
          <w:sz w:val="22"/>
          <w:szCs w:val="22"/>
        </w:rPr>
        <w:t>re-bridge to the certificate tra</w:t>
      </w:r>
      <w:r w:rsidRPr="00E7135E">
        <w:rPr>
          <w:rFonts w:asciiTheme="minorHAnsi" w:eastAsiaTheme="minorHAnsi" w:hAnsiTheme="minorHAnsi" w:cstheme="minorBidi"/>
          <w:sz w:val="22"/>
          <w:szCs w:val="22"/>
        </w:rPr>
        <w:t>ining classes.   </w:t>
      </w:r>
    </w:p>
    <w:p w14:paraId="16ABC5FC" w14:textId="77777777" w:rsidR="00633B60" w:rsidRPr="00E7135E" w:rsidRDefault="00633B60" w:rsidP="00633B60">
      <w:pPr>
        <w:pStyle w:val="paragraph"/>
        <w:spacing w:before="0" w:beforeAutospacing="0" w:after="0" w:afterAutospacing="0"/>
        <w:jc w:val="both"/>
        <w:textAlignment w:val="baseline"/>
        <w:rPr>
          <w:rFonts w:asciiTheme="minorHAnsi" w:eastAsiaTheme="minorHAnsi" w:hAnsiTheme="minorHAnsi" w:cstheme="minorBidi"/>
          <w:sz w:val="22"/>
          <w:szCs w:val="22"/>
        </w:rPr>
      </w:pPr>
    </w:p>
    <w:p w14:paraId="56D70241" w14:textId="77777777" w:rsidR="00633B60" w:rsidRPr="00E7135E" w:rsidRDefault="00633B60" w:rsidP="00633B60">
      <w:pPr>
        <w:pStyle w:val="paragraph"/>
        <w:spacing w:before="0" w:beforeAutospacing="0" w:after="0" w:afterAutospacing="0"/>
        <w:jc w:val="both"/>
        <w:textAlignment w:val="baseline"/>
        <w:rPr>
          <w:rFonts w:asciiTheme="minorHAnsi" w:eastAsiaTheme="minorHAnsi" w:hAnsiTheme="minorHAnsi" w:cstheme="minorBidi"/>
          <w:sz w:val="22"/>
          <w:szCs w:val="22"/>
        </w:rPr>
      </w:pPr>
      <w:r w:rsidRPr="00E7135E">
        <w:rPr>
          <w:rFonts w:asciiTheme="minorHAnsi" w:eastAsiaTheme="minorHAnsi" w:hAnsiTheme="minorHAnsi" w:cstheme="minorBidi"/>
          <w:sz w:val="22"/>
          <w:szCs w:val="22"/>
        </w:rPr>
        <w:t>Progreso Latino also wanted to shape and maintain a strong recruitment and retention process for their students.  They offered ServSafe Food Manager Certification classes for hospitality workers, with fifty of fifty-two students obtaining this certification, resulting in new jobs or promotions for the workers.  Add</w:t>
      </w:r>
      <w:r>
        <w:rPr>
          <w:rFonts w:asciiTheme="minorHAnsi" w:eastAsiaTheme="minorHAnsi" w:hAnsiTheme="minorHAnsi" w:cstheme="minorBidi"/>
          <w:sz w:val="22"/>
          <w:szCs w:val="22"/>
        </w:rPr>
        <w:t>itionally, Progreso Latino</w:t>
      </w:r>
      <w:r w:rsidRPr="00E7135E">
        <w:rPr>
          <w:rFonts w:asciiTheme="minorHAnsi" w:eastAsiaTheme="minorHAnsi" w:hAnsiTheme="minorHAnsi" w:cstheme="minorBidi"/>
          <w:sz w:val="22"/>
          <w:szCs w:val="22"/>
        </w:rPr>
        <w:t xml:space="preserve"> partnered with other agencies to offer an industrial welding program that trains and employs ten to fifteen adults per year. </w:t>
      </w:r>
    </w:p>
    <w:p w14:paraId="3283CB4C" w14:textId="6B4908F5" w:rsidR="00633B60" w:rsidRPr="00633B60" w:rsidRDefault="00633B60" w:rsidP="00633B60">
      <w:pPr>
        <w:pStyle w:val="Default"/>
        <w:spacing w:after="68"/>
        <w:jc w:val="both"/>
        <w:rPr>
          <w:rFonts w:asciiTheme="minorHAnsi" w:hAnsiTheme="minorHAnsi"/>
          <w:color w:val="000000" w:themeColor="text1"/>
          <w:sz w:val="22"/>
          <w:szCs w:val="22"/>
        </w:rPr>
      </w:pPr>
    </w:p>
    <w:p w14:paraId="35C299B8" w14:textId="7185BBD5" w:rsidR="00C209B3" w:rsidRDefault="00C209B3" w:rsidP="00244D4D">
      <w:pPr>
        <w:autoSpaceDE w:val="0"/>
        <w:autoSpaceDN w:val="0"/>
        <w:adjustRightInd w:val="0"/>
        <w:spacing w:after="0" w:line="240" w:lineRule="auto"/>
        <w:rPr>
          <w:rFonts w:cs="Times New Roman"/>
          <w:b/>
          <w:bCs/>
        </w:rPr>
      </w:pPr>
      <w:r w:rsidRPr="00955F07">
        <w:rPr>
          <w:rFonts w:cs="Times New Roman"/>
          <w:b/>
          <w:bCs/>
        </w:rPr>
        <w:t>5. Adult Education Standards</w:t>
      </w:r>
    </w:p>
    <w:p w14:paraId="6D5FCE6C" w14:textId="77777777" w:rsidR="00033022" w:rsidRDefault="00033022" w:rsidP="00633B60">
      <w:pPr>
        <w:autoSpaceDE w:val="0"/>
        <w:autoSpaceDN w:val="0"/>
        <w:adjustRightInd w:val="0"/>
        <w:spacing w:after="0" w:line="240" w:lineRule="auto"/>
        <w:rPr>
          <w:rFonts w:cs="Times New Roman"/>
          <w:bCs/>
          <w:i/>
        </w:rPr>
      </w:pPr>
    </w:p>
    <w:p w14:paraId="058FEC55" w14:textId="2F1C57C4" w:rsidR="00C209B3" w:rsidRPr="00633B60" w:rsidRDefault="001454AC" w:rsidP="00633B60">
      <w:pPr>
        <w:autoSpaceDE w:val="0"/>
        <w:autoSpaceDN w:val="0"/>
        <w:adjustRightInd w:val="0"/>
        <w:spacing w:after="0" w:line="240" w:lineRule="auto"/>
        <w:rPr>
          <w:rFonts w:cs="Times New Roman"/>
          <w:bCs/>
          <w:i/>
        </w:rPr>
      </w:pPr>
      <w:r w:rsidRPr="001454AC">
        <w:rPr>
          <w:rFonts w:cs="Times New Roman"/>
          <w:bCs/>
          <w:i/>
        </w:rPr>
        <w:t>Describe how the Adult Education standards are aligned with the K-12 standards.</w:t>
      </w:r>
    </w:p>
    <w:p w14:paraId="01087E72" w14:textId="4670F490" w:rsidR="006156B4" w:rsidRDefault="008B6AD4" w:rsidP="00633B60">
      <w:pPr>
        <w:autoSpaceDE w:val="0"/>
        <w:autoSpaceDN w:val="0"/>
        <w:adjustRightInd w:val="0"/>
        <w:spacing w:line="240" w:lineRule="auto"/>
        <w:jc w:val="both"/>
        <w:rPr>
          <w:rFonts w:eastAsia="Calibri"/>
        </w:rPr>
      </w:pPr>
      <w:r w:rsidRPr="00C209B3">
        <w:t xml:space="preserve">In 2010, the Rhode Island Board of Education adopted </w:t>
      </w:r>
      <w:r>
        <w:t>the Common Core State</w:t>
      </w:r>
      <w:r w:rsidRPr="00C209B3">
        <w:t xml:space="preserve"> Standards (C</w:t>
      </w:r>
      <w:r>
        <w:t>C</w:t>
      </w:r>
      <w:r w:rsidRPr="00C209B3">
        <w:t xml:space="preserve">SS) for use in the K-12 system.  On January 13, 2014, the Board </w:t>
      </w:r>
      <w:r w:rsidR="005F462C">
        <w:t xml:space="preserve">of Education </w:t>
      </w:r>
      <w:r w:rsidRPr="00C209B3">
        <w:t>adopted the national College and Career Readiness Standards for Adult Education (CCRS) (a subset of the CCSS) to be used within Rhode Island’s adult education s</w:t>
      </w:r>
      <w:r w:rsidR="00220AFA">
        <w:t>ystem</w:t>
      </w:r>
      <w:r w:rsidRPr="00C209B3">
        <w:t xml:space="preserve"> in alignment with the RI K-12 system’s requirement to use the CCSS to align instruction.   </w:t>
      </w:r>
      <w:r w:rsidRPr="00C209B3">
        <w:rPr>
          <w:rFonts w:eastAsia="Calibri"/>
        </w:rPr>
        <w:t>Implementation efforts with the CCR stan</w:t>
      </w:r>
      <w:r w:rsidR="00220AFA">
        <w:rPr>
          <w:rFonts w:eastAsia="Calibri"/>
        </w:rPr>
        <w:t>dards continue annually</w:t>
      </w:r>
      <w:r w:rsidRPr="00C209B3">
        <w:rPr>
          <w:rFonts w:eastAsia="Calibri"/>
        </w:rPr>
        <w:t xml:space="preserve"> with program-based studies of curriculum alignment to the standards.  </w:t>
      </w:r>
    </w:p>
    <w:p w14:paraId="36A3FB18" w14:textId="77777777" w:rsidR="005F462C" w:rsidRDefault="005F462C" w:rsidP="3D20D3D6">
      <w:pPr>
        <w:autoSpaceDE w:val="0"/>
        <w:autoSpaceDN w:val="0"/>
        <w:adjustRightInd w:val="0"/>
        <w:spacing w:after="0" w:line="240" w:lineRule="auto"/>
        <w:rPr>
          <w:rFonts w:cs="Times New Roman"/>
          <w:b/>
          <w:bCs/>
        </w:rPr>
      </w:pPr>
    </w:p>
    <w:p w14:paraId="1D137E79" w14:textId="56DEA670" w:rsidR="003C2F16" w:rsidRPr="00244D4D" w:rsidRDefault="3D20D3D6" w:rsidP="3D20D3D6">
      <w:pPr>
        <w:autoSpaceDE w:val="0"/>
        <w:autoSpaceDN w:val="0"/>
        <w:adjustRightInd w:val="0"/>
        <w:spacing w:after="0" w:line="240" w:lineRule="auto"/>
        <w:rPr>
          <w:rFonts w:cs="Times New Roman"/>
          <w:b/>
          <w:bCs/>
        </w:rPr>
      </w:pPr>
      <w:r w:rsidRPr="3D20D3D6">
        <w:rPr>
          <w:rFonts w:cs="Times New Roman"/>
          <w:b/>
          <w:bCs/>
        </w:rPr>
        <w:t>6. Programs for Corrections Education and the Education of Other Institutionalized Individuals (AEFLA Section 225)</w:t>
      </w:r>
    </w:p>
    <w:p w14:paraId="7BB19EB1" w14:textId="50D70F44" w:rsidR="3D20D3D6" w:rsidRDefault="3D20D3D6" w:rsidP="3D20D3D6">
      <w:pPr>
        <w:spacing w:after="0" w:line="240" w:lineRule="auto"/>
        <w:rPr>
          <w:rFonts w:cs="Times New Roman"/>
          <w:b/>
          <w:bCs/>
        </w:rPr>
      </w:pPr>
      <w:bookmarkStart w:id="0" w:name="_GoBack"/>
      <w:bookmarkEnd w:id="0"/>
    </w:p>
    <w:p w14:paraId="766AE10D" w14:textId="77777777" w:rsidR="001B7AA5" w:rsidRDefault="3D20D3D6" w:rsidP="3D20D3D6">
      <w:pPr>
        <w:autoSpaceDE w:val="0"/>
        <w:autoSpaceDN w:val="0"/>
        <w:adjustRightInd w:val="0"/>
        <w:spacing w:after="0" w:line="240" w:lineRule="auto"/>
        <w:jc w:val="both"/>
        <w:rPr>
          <w:i/>
          <w:iCs/>
        </w:rPr>
      </w:pPr>
      <w:r w:rsidRPr="3D20D3D6">
        <w:rPr>
          <w:i/>
          <w:iCs/>
        </w:rPr>
        <w:t xml:space="preserve">What was the relative rate of recidivism for criminal offenders served? </w:t>
      </w:r>
    </w:p>
    <w:p w14:paraId="3ECF39EC" w14:textId="44F73F55" w:rsidR="009A3B5A" w:rsidRPr="001B7AA5" w:rsidRDefault="00087879" w:rsidP="3D20D3D6">
      <w:pPr>
        <w:autoSpaceDE w:val="0"/>
        <w:autoSpaceDN w:val="0"/>
        <w:adjustRightInd w:val="0"/>
        <w:spacing w:after="0" w:line="240" w:lineRule="auto"/>
        <w:jc w:val="both"/>
        <w:rPr>
          <w:rFonts w:eastAsiaTheme="minorEastAsia"/>
        </w:rPr>
      </w:pPr>
      <w:r>
        <w:t xml:space="preserve">In 2019, a new set of data will become available on a more current rate of recidivism. </w:t>
      </w:r>
      <w:r>
        <w:t>In the meantime, t</w:t>
      </w:r>
      <w:r w:rsidR="3D20D3D6" w:rsidRPr="3D20D3D6">
        <w:rPr>
          <w:rFonts w:eastAsiaTheme="minorEastAsia"/>
        </w:rPr>
        <w:t>h</w:t>
      </w:r>
      <w:r>
        <w:rPr>
          <w:rFonts w:eastAsiaTheme="minorEastAsia"/>
        </w:rPr>
        <w:t>e</w:t>
      </w:r>
      <w:r w:rsidR="3D20D3D6" w:rsidRPr="3D20D3D6">
        <w:rPr>
          <w:rFonts w:eastAsiaTheme="minorEastAsia"/>
        </w:rPr>
        <w:t xml:space="preserve"> </w:t>
      </w:r>
      <w:r>
        <w:rPr>
          <w:rFonts w:eastAsiaTheme="minorEastAsia"/>
        </w:rPr>
        <w:t>only data currently available (from 2016)</w:t>
      </w:r>
      <w:r w:rsidR="3D20D3D6" w:rsidRPr="3D20D3D6">
        <w:rPr>
          <w:rFonts w:eastAsiaTheme="minorEastAsia"/>
        </w:rPr>
        <w:t xml:space="preserve"> is based on released inmates who obtained a postsecondary Associates of Arts degree from the Community College of Rhode Island (CCRI). The data indicate that the vast majority of the college degree recipients (34 former inmates out of 43, or 79%) successfully reintegrated back into the community without any subsequent reoffending. Of the nine recidivists, seven offenders were recommitted within one year, while two offenders were recommitted within two years. Of the 43 total offenders released, 41 (about 95%) were released from Medium Security, while two offenders (about 5%) were released from the Women’s Facility. </w:t>
      </w:r>
    </w:p>
    <w:p w14:paraId="2EEDF1D2" w14:textId="77777777" w:rsidR="009A3B5A" w:rsidRPr="007A5E4B" w:rsidRDefault="009A3B5A" w:rsidP="009A3B5A">
      <w:pPr>
        <w:autoSpaceDE w:val="0"/>
        <w:autoSpaceDN w:val="0"/>
        <w:adjustRightInd w:val="0"/>
        <w:spacing w:after="0" w:line="240" w:lineRule="auto"/>
        <w:jc w:val="both"/>
      </w:pPr>
    </w:p>
    <w:p w14:paraId="050A5B79" w14:textId="29D31DD5" w:rsidR="3D20D3D6" w:rsidRDefault="3D20D3D6" w:rsidP="3D20D3D6">
      <w:pPr>
        <w:spacing w:after="0" w:line="240" w:lineRule="auto"/>
        <w:jc w:val="both"/>
        <w:rPr>
          <w:rFonts w:ascii="Calibri" w:eastAsia="Calibri" w:hAnsi="Calibri" w:cs="Calibri"/>
        </w:rPr>
      </w:pPr>
      <w:r>
        <w:t xml:space="preserve">The DOC provides transition services for up to 90 eligible inmates </w:t>
      </w:r>
      <w:r w:rsidR="00006616">
        <w:t xml:space="preserve">annually, </w:t>
      </w:r>
      <w:r>
        <w:t>within five years of release under WIOA guidelines. This model of transition service delivery focuse</w:t>
      </w:r>
      <w:r w:rsidR="00006616">
        <w:t>s</w:t>
      </w:r>
      <w:r>
        <w:t xml:space="preserve"> on preparing inmates to overcome some of the most difficult obstacles many face as they work on their individual plans to succeed post rele</w:t>
      </w:r>
      <w:r w:rsidR="00006616">
        <w:t>ase.  The focus</w:t>
      </w:r>
      <w:r>
        <w:t xml:space="preserve"> is to screen inmates for enrollment, goal setting, scheduling assistance, data management, and ongoing support for eligible inmates during and after incarceration. Additionally, the DOC, under contract with the state’s community college, provides on-site postsecondary counseling services for students enrolling in certificate based courses, courses leading to industry recognized credentials, </w:t>
      </w:r>
      <w:r w:rsidR="00087879">
        <w:t xml:space="preserve">and </w:t>
      </w:r>
      <w:r>
        <w:t xml:space="preserve">college prep for </w:t>
      </w:r>
      <w:r w:rsidR="00087879">
        <w:t xml:space="preserve">English and Math. </w:t>
      </w:r>
    </w:p>
    <w:p w14:paraId="4F4B3FDF" w14:textId="5F534C7A" w:rsidR="3D20D3D6" w:rsidRDefault="3D20D3D6" w:rsidP="3D20D3D6">
      <w:pPr>
        <w:spacing w:after="0" w:line="240" w:lineRule="auto"/>
        <w:jc w:val="both"/>
      </w:pPr>
    </w:p>
    <w:p w14:paraId="494E7C74" w14:textId="60704F35" w:rsidR="3D20D3D6" w:rsidRDefault="3D20D3D6" w:rsidP="001B7AA5">
      <w:pPr>
        <w:spacing w:line="240" w:lineRule="auto"/>
      </w:pPr>
      <w:r>
        <w:t xml:space="preserve">The eligible agency using funds provided under </w:t>
      </w:r>
      <w:r w:rsidR="00087879">
        <w:t xml:space="preserve">WIOA </w:t>
      </w:r>
      <w:r>
        <w:t xml:space="preserve">section 225 to carry out a program for criminal offenders within a correctional institution, must give priority to serving individuals who are likely to leave the correctional institution within five years of participation in the program.  </w:t>
      </w:r>
    </w:p>
    <w:p w14:paraId="2C9F96DB" w14:textId="6ADFE85D" w:rsidR="3D20D3D6" w:rsidRDefault="3D20D3D6" w:rsidP="3D20D3D6">
      <w:pPr>
        <w:spacing w:after="0" w:line="240" w:lineRule="auto"/>
        <w:jc w:val="both"/>
      </w:pPr>
    </w:p>
    <w:sectPr w:rsidR="3D20D3D6">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CA9E3" w14:textId="77777777" w:rsidR="008748FC" w:rsidRDefault="008748FC" w:rsidP="005B504C">
      <w:pPr>
        <w:spacing w:after="0" w:line="240" w:lineRule="auto"/>
      </w:pPr>
      <w:r>
        <w:separator/>
      </w:r>
    </w:p>
  </w:endnote>
  <w:endnote w:type="continuationSeparator" w:id="0">
    <w:p w14:paraId="7C0F61BE" w14:textId="77777777" w:rsidR="008748FC" w:rsidRDefault="008748FC" w:rsidP="005B504C">
      <w:pPr>
        <w:spacing w:after="0" w:line="240" w:lineRule="auto"/>
      </w:pPr>
      <w:r>
        <w:continuationSeparator/>
      </w:r>
    </w:p>
  </w:endnote>
  <w:endnote w:type="continuationNotice" w:id="1">
    <w:p w14:paraId="41CFAC33" w14:textId="77777777" w:rsidR="00E865ED" w:rsidRDefault="00E86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08531"/>
      <w:docPartObj>
        <w:docPartGallery w:val="Page Numbers (Bottom of Page)"/>
        <w:docPartUnique/>
      </w:docPartObj>
    </w:sdtPr>
    <w:sdtEndPr>
      <w:rPr>
        <w:noProof/>
      </w:rPr>
    </w:sdtEndPr>
    <w:sdtContent>
      <w:p w14:paraId="324F20E4" w14:textId="0921F95C" w:rsidR="005B504C" w:rsidRDefault="005B504C">
        <w:pPr>
          <w:pStyle w:val="Footer"/>
          <w:jc w:val="right"/>
        </w:pPr>
        <w:r>
          <w:fldChar w:fldCharType="begin"/>
        </w:r>
        <w:r>
          <w:instrText xml:space="preserve"> PAGE   \* MERGEFORMAT </w:instrText>
        </w:r>
        <w:r>
          <w:fldChar w:fldCharType="separate"/>
        </w:r>
        <w:r w:rsidR="00B2191C">
          <w:rPr>
            <w:noProof/>
          </w:rPr>
          <w:t>10</w:t>
        </w:r>
        <w:r>
          <w:rPr>
            <w:noProof/>
          </w:rPr>
          <w:fldChar w:fldCharType="end"/>
        </w:r>
      </w:p>
    </w:sdtContent>
  </w:sdt>
  <w:p w14:paraId="20AD9130" w14:textId="77777777" w:rsidR="005B504C" w:rsidRDefault="005B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B788" w14:textId="77777777" w:rsidR="008748FC" w:rsidRDefault="008748FC" w:rsidP="005B504C">
      <w:pPr>
        <w:spacing w:after="0" w:line="240" w:lineRule="auto"/>
      </w:pPr>
      <w:r>
        <w:separator/>
      </w:r>
    </w:p>
  </w:footnote>
  <w:footnote w:type="continuationSeparator" w:id="0">
    <w:p w14:paraId="0DC1CC93" w14:textId="77777777" w:rsidR="008748FC" w:rsidRDefault="008748FC" w:rsidP="005B504C">
      <w:pPr>
        <w:spacing w:after="0" w:line="240" w:lineRule="auto"/>
      </w:pPr>
      <w:r>
        <w:continuationSeparator/>
      </w:r>
    </w:p>
  </w:footnote>
  <w:footnote w:type="continuationNotice" w:id="1">
    <w:p w14:paraId="352A1085" w14:textId="77777777" w:rsidR="00E865ED" w:rsidRDefault="00E865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649"/>
    <w:multiLevelType w:val="hybridMultilevel"/>
    <w:tmpl w:val="9424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B04BD"/>
    <w:multiLevelType w:val="hybridMultilevel"/>
    <w:tmpl w:val="044AD9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36B6"/>
    <w:multiLevelType w:val="hybridMultilevel"/>
    <w:tmpl w:val="B97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73ACA"/>
    <w:multiLevelType w:val="hybridMultilevel"/>
    <w:tmpl w:val="332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C2509"/>
    <w:multiLevelType w:val="hybridMultilevel"/>
    <w:tmpl w:val="D5D4DD18"/>
    <w:lvl w:ilvl="0" w:tplc="79B81A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17F59"/>
    <w:multiLevelType w:val="hybridMultilevel"/>
    <w:tmpl w:val="9A006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8C4C22"/>
    <w:multiLevelType w:val="hybridMultilevel"/>
    <w:tmpl w:val="175A5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B05A1"/>
    <w:multiLevelType w:val="hybridMultilevel"/>
    <w:tmpl w:val="4EF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473EC8"/>
    <w:multiLevelType w:val="hybridMultilevel"/>
    <w:tmpl w:val="817C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57C9C"/>
    <w:multiLevelType w:val="hybridMultilevel"/>
    <w:tmpl w:val="B9463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C3A45FB"/>
    <w:multiLevelType w:val="hybridMultilevel"/>
    <w:tmpl w:val="3886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7"/>
  </w:num>
  <w:num w:numId="6">
    <w:abstractNumId w:val="5"/>
  </w:num>
  <w:num w:numId="7">
    <w:abstractNumId w:val="3"/>
  </w:num>
  <w:num w:numId="8">
    <w:abstractNumId w:val="10"/>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22"/>
    <w:rsid w:val="00003D9D"/>
    <w:rsid w:val="00004C16"/>
    <w:rsid w:val="00006616"/>
    <w:rsid w:val="00033022"/>
    <w:rsid w:val="00037FD2"/>
    <w:rsid w:val="0005216E"/>
    <w:rsid w:val="00056AD3"/>
    <w:rsid w:val="00057126"/>
    <w:rsid w:val="00062F8D"/>
    <w:rsid w:val="000678FC"/>
    <w:rsid w:val="00071557"/>
    <w:rsid w:val="0007792E"/>
    <w:rsid w:val="00082EB9"/>
    <w:rsid w:val="0008628F"/>
    <w:rsid w:val="00087879"/>
    <w:rsid w:val="000956C6"/>
    <w:rsid w:val="00097BC1"/>
    <w:rsid w:val="000C372F"/>
    <w:rsid w:val="000C6205"/>
    <w:rsid w:val="000D64D4"/>
    <w:rsid w:val="000F233D"/>
    <w:rsid w:val="000F59BC"/>
    <w:rsid w:val="001221FB"/>
    <w:rsid w:val="00142E11"/>
    <w:rsid w:val="001436CF"/>
    <w:rsid w:val="00145400"/>
    <w:rsid w:val="001454AC"/>
    <w:rsid w:val="001526E9"/>
    <w:rsid w:val="00153129"/>
    <w:rsid w:val="00156334"/>
    <w:rsid w:val="001673AF"/>
    <w:rsid w:val="00185239"/>
    <w:rsid w:val="00194AD6"/>
    <w:rsid w:val="001968E6"/>
    <w:rsid w:val="00196D0B"/>
    <w:rsid w:val="001A4CDD"/>
    <w:rsid w:val="001B061B"/>
    <w:rsid w:val="001B7AA5"/>
    <w:rsid w:val="001C30B3"/>
    <w:rsid w:val="001D1B43"/>
    <w:rsid w:val="001F51E4"/>
    <w:rsid w:val="00200636"/>
    <w:rsid w:val="00206236"/>
    <w:rsid w:val="00220AFA"/>
    <w:rsid w:val="00222DB2"/>
    <w:rsid w:val="00225364"/>
    <w:rsid w:val="0022700E"/>
    <w:rsid w:val="00241448"/>
    <w:rsid w:val="00244D4D"/>
    <w:rsid w:val="00250E36"/>
    <w:rsid w:val="002543C6"/>
    <w:rsid w:val="002612AB"/>
    <w:rsid w:val="00271660"/>
    <w:rsid w:val="0027651C"/>
    <w:rsid w:val="002770A1"/>
    <w:rsid w:val="00283B9E"/>
    <w:rsid w:val="00291791"/>
    <w:rsid w:val="00294F76"/>
    <w:rsid w:val="0029778A"/>
    <w:rsid w:val="002B430F"/>
    <w:rsid w:val="002C6D2C"/>
    <w:rsid w:val="002E1022"/>
    <w:rsid w:val="002E240F"/>
    <w:rsid w:val="002E2887"/>
    <w:rsid w:val="002E4694"/>
    <w:rsid w:val="002F6863"/>
    <w:rsid w:val="00300375"/>
    <w:rsid w:val="0030648A"/>
    <w:rsid w:val="00310896"/>
    <w:rsid w:val="0035313A"/>
    <w:rsid w:val="00363833"/>
    <w:rsid w:val="00373C63"/>
    <w:rsid w:val="003862E2"/>
    <w:rsid w:val="00390459"/>
    <w:rsid w:val="003925D6"/>
    <w:rsid w:val="003A37E1"/>
    <w:rsid w:val="003A3807"/>
    <w:rsid w:val="003A6C7A"/>
    <w:rsid w:val="003B07FF"/>
    <w:rsid w:val="003C1A21"/>
    <w:rsid w:val="003C2F16"/>
    <w:rsid w:val="003C45B3"/>
    <w:rsid w:val="003D421B"/>
    <w:rsid w:val="004034C5"/>
    <w:rsid w:val="00421AF7"/>
    <w:rsid w:val="00422110"/>
    <w:rsid w:val="0042424C"/>
    <w:rsid w:val="00440A5F"/>
    <w:rsid w:val="00454937"/>
    <w:rsid w:val="00461597"/>
    <w:rsid w:val="004934AA"/>
    <w:rsid w:val="004C3663"/>
    <w:rsid w:val="004D262B"/>
    <w:rsid w:val="004D5E87"/>
    <w:rsid w:val="004D78FF"/>
    <w:rsid w:val="004E1538"/>
    <w:rsid w:val="00513D2B"/>
    <w:rsid w:val="005220FD"/>
    <w:rsid w:val="00530226"/>
    <w:rsid w:val="00540BF1"/>
    <w:rsid w:val="00540C21"/>
    <w:rsid w:val="00555886"/>
    <w:rsid w:val="00562D06"/>
    <w:rsid w:val="00566EAC"/>
    <w:rsid w:val="005751B8"/>
    <w:rsid w:val="0058188F"/>
    <w:rsid w:val="00584F02"/>
    <w:rsid w:val="005868E2"/>
    <w:rsid w:val="00593905"/>
    <w:rsid w:val="005947FB"/>
    <w:rsid w:val="00597A46"/>
    <w:rsid w:val="00597B09"/>
    <w:rsid w:val="005B504C"/>
    <w:rsid w:val="005E6818"/>
    <w:rsid w:val="005F462C"/>
    <w:rsid w:val="00600F1D"/>
    <w:rsid w:val="00603BF2"/>
    <w:rsid w:val="00604F4B"/>
    <w:rsid w:val="006156B4"/>
    <w:rsid w:val="006237A0"/>
    <w:rsid w:val="00630939"/>
    <w:rsid w:val="00630994"/>
    <w:rsid w:val="00632508"/>
    <w:rsid w:val="00633B60"/>
    <w:rsid w:val="00636E92"/>
    <w:rsid w:val="00636F0F"/>
    <w:rsid w:val="0065488B"/>
    <w:rsid w:val="00665F0C"/>
    <w:rsid w:val="00666B64"/>
    <w:rsid w:val="0068357D"/>
    <w:rsid w:val="00683AA1"/>
    <w:rsid w:val="00684256"/>
    <w:rsid w:val="006B0B22"/>
    <w:rsid w:val="006D06E3"/>
    <w:rsid w:val="006E2A7A"/>
    <w:rsid w:val="006F3BEF"/>
    <w:rsid w:val="006F5DA0"/>
    <w:rsid w:val="00713AA6"/>
    <w:rsid w:val="00742663"/>
    <w:rsid w:val="0079297A"/>
    <w:rsid w:val="007B4EE9"/>
    <w:rsid w:val="007B6B26"/>
    <w:rsid w:val="007B7C09"/>
    <w:rsid w:val="007C545A"/>
    <w:rsid w:val="007D028B"/>
    <w:rsid w:val="007D2367"/>
    <w:rsid w:val="007E33F6"/>
    <w:rsid w:val="00806371"/>
    <w:rsid w:val="00811150"/>
    <w:rsid w:val="00811DFE"/>
    <w:rsid w:val="0081409E"/>
    <w:rsid w:val="00823D5C"/>
    <w:rsid w:val="00835AA5"/>
    <w:rsid w:val="008371DA"/>
    <w:rsid w:val="008537C3"/>
    <w:rsid w:val="00870EAC"/>
    <w:rsid w:val="008748FC"/>
    <w:rsid w:val="00884451"/>
    <w:rsid w:val="00885EE4"/>
    <w:rsid w:val="008A0ABA"/>
    <w:rsid w:val="008B6AD4"/>
    <w:rsid w:val="008B7AE2"/>
    <w:rsid w:val="008E74C5"/>
    <w:rsid w:val="009028E9"/>
    <w:rsid w:val="00914730"/>
    <w:rsid w:val="00917C31"/>
    <w:rsid w:val="00936EB3"/>
    <w:rsid w:val="009416A0"/>
    <w:rsid w:val="009435C3"/>
    <w:rsid w:val="00955420"/>
    <w:rsid w:val="00955F07"/>
    <w:rsid w:val="00964132"/>
    <w:rsid w:val="00972CD7"/>
    <w:rsid w:val="00973BCB"/>
    <w:rsid w:val="00982AE3"/>
    <w:rsid w:val="009A3B5A"/>
    <w:rsid w:val="009B0F2F"/>
    <w:rsid w:val="009C2B47"/>
    <w:rsid w:val="009D1DC0"/>
    <w:rsid w:val="009D6CA8"/>
    <w:rsid w:val="009E5A71"/>
    <w:rsid w:val="009F3491"/>
    <w:rsid w:val="00A151EC"/>
    <w:rsid w:val="00A45DB3"/>
    <w:rsid w:val="00A60CF6"/>
    <w:rsid w:val="00A648D9"/>
    <w:rsid w:val="00A7034B"/>
    <w:rsid w:val="00A843CD"/>
    <w:rsid w:val="00A908A8"/>
    <w:rsid w:val="00AB50DB"/>
    <w:rsid w:val="00AB6FCA"/>
    <w:rsid w:val="00AC50A6"/>
    <w:rsid w:val="00AD577B"/>
    <w:rsid w:val="00AE08AF"/>
    <w:rsid w:val="00AE6075"/>
    <w:rsid w:val="00B031A7"/>
    <w:rsid w:val="00B20C81"/>
    <w:rsid w:val="00B2191C"/>
    <w:rsid w:val="00B26DDC"/>
    <w:rsid w:val="00B30451"/>
    <w:rsid w:val="00B30EEA"/>
    <w:rsid w:val="00B515E8"/>
    <w:rsid w:val="00B53A40"/>
    <w:rsid w:val="00B66C75"/>
    <w:rsid w:val="00B87408"/>
    <w:rsid w:val="00BA0D69"/>
    <w:rsid w:val="00BA17F2"/>
    <w:rsid w:val="00BA7552"/>
    <w:rsid w:val="00BE29DD"/>
    <w:rsid w:val="00BE3C01"/>
    <w:rsid w:val="00BE7E3E"/>
    <w:rsid w:val="00BF2853"/>
    <w:rsid w:val="00C02567"/>
    <w:rsid w:val="00C02AFE"/>
    <w:rsid w:val="00C0329C"/>
    <w:rsid w:val="00C03F18"/>
    <w:rsid w:val="00C07D41"/>
    <w:rsid w:val="00C11E10"/>
    <w:rsid w:val="00C209B3"/>
    <w:rsid w:val="00C2299B"/>
    <w:rsid w:val="00C26E3D"/>
    <w:rsid w:val="00C27B7E"/>
    <w:rsid w:val="00C31210"/>
    <w:rsid w:val="00C317D3"/>
    <w:rsid w:val="00C31D1B"/>
    <w:rsid w:val="00C31E77"/>
    <w:rsid w:val="00C375A2"/>
    <w:rsid w:val="00C45480"/>
    <w:rsid w:val="00C6042E"/>
    <w:rsid w:val="00C67D04"/>
    <w:rsid w:val="00C82F20"/>
    <w:rsid w:val="00C9607A"/>
    <w:rsid w:val="00CA1DCB"/>
    <w:rsid w:val="00CC44D8"/>
    <w:rsid w:val="00CD6AE7"/>
    <w:rsid w:val="00CF5B1B"/>
    <w:rsid w:val="00D04C3B"/>
    <w:rsid w:val="00D23359"/>
    <w:rsid w:val="00D27AF5"/>
    <w:rsid w:val="00D30218"/>
    <w:rsid w:val="00D32579"/>
    <w:rsid w:val="00D4098F"/>
    <w:rsid w:val="00D42B93"/>
    <w:rsid w:val="00D450A1"/>
    <w:rsid w:val="00D5729E"/>
    <w:rsid w:val="00D67F28"/>
    <w:rsid w:val="00D76338"/>
    <w:rsid w:val="00D77A60"/>
    <w:rsid w:val="00D94006"/>
    <w:rsid w:val="00DB3AA7"/>
    <w:rsid w:val="00DC1624"/>
    <w:rsid w:val="00DF4BCC"/>
    <w:rsid w:val="00E0307E"/>
    <w:rsid w:val="00E0516B"/>
    <w:rsid w:val="00E074C1"/>
    <w:rsid w:val="00E40BB9"/>
    <w:rsid w:val="00E708A6"/>
    <w:rsid w:val="00E7135E"/>
    <w:rsid w:val="00E865ED"/>
    <w:rsid w:val="00E92DEF"/>
    <w:rsid w:val="00E92F09"/>
    <w:rsid w:val="00E951E2"/>
    <w:rsid w:val="00E969C2"/>
    <w:rsid w:val="00EA0129"/>
    <w:rsid w:val="00EA1469"/>
    <w:rsid w:val="00EA50AE"/>
    <w:rsid w:val="00EA5ADF"/>
    <w:rsid w:val="00EC4D74"/>
    <w:rsid w:val="00ED1562"/>
    <w:rsid w:val="00ED2DF4"/>
    <w:rsid w:val="00ED46E6"/>
    <w:rsid w:val="00EE05D4"/>
    <w:rsid w:val="00EE0D75"/>
    <w:rsid w:val="00EE67BC"/>
    <w:rsid w:val="00F16752"/>
    <w:rsid w:val="00F265FF"/>
    <w:rsid w:val="00F42193"/>
    <w:rsid w:val="00F47A44"/>
    <w:rsid w:val="00F57D16"/>
    <w:rsid w:val="00F60D97"/>
    <w:rsid w:val="00F73B3C"/>
    <w:rsid w:val="00F75833"/>
    <w:rsid w:val="00F93B0F"/>
    <w:rsid w:val="00FB0082"/>
    <w:rsid w:val="00FB6D6C"/>
    <w:rsid w:val="00FC4E8A"/>
    <w:rsid w:val="00FD6628"/>
    <w:rsid w:val="00FE032F"/>
    <w:rsid w:val="00FF5114"/>
    <w:rsid w:val="03B6F18F"/>
    <w:rsid w:val="04886923"/>
    <w:rsid w:val="10022AE0"/>
    <w:rsid w:val="130F4EAC"/>
    <w:rsid w:val="16696F8A"/>
    <w:rsid w:val="1669E222"/>
    <w:rsid w:val="248836E0"/>
    <w:rsid w:val="35E2BDFE"/>
    <w:rsid w:val="381F5F14"/>
    <w:rsid w:val="3BF2BEF4"/>
    <w:rsid w:val="3D20D3D6"/>
    <w:rsid w:val="43531FE8"/>
    <w:rsid w:val="46EE1F2A"/>
    <w:rsid w:val="50EEB22E"/>
    <w:rsid w:val="5640D9F9"/>
    <w:rsid w:val="726775DE"/>
    <w:rsid w:val="7669CFE1"/>
    <w:rsid w:val="7B731BCC"/>
    <w:rsid w:val="7DC2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9BF6"/>
  <w15:docId w15:val="{99FAD3C0-4053-46AD-92D0-30EFBB0B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rsid w:val="002E1022"/>
    <w:pPr>
      <w:tabs>
        <w:tab w:val="left" w:pos="240"/>
      </w:tabs>
      <w:autoSpaceDE w:val="0"/>
      <w:autoSpaceDN w:val="0"/>
      <w:spacing w:after="0" w:line="240" w:lineRule="auto"/>
      <w:ind w:left="240" w:hanging="240"/>
    </w:pPr>
    <w:rPr>
      <w:rFonts w:ascii="Times New Roman" w:eastAsia="Times New Roman" w:hAnsi="Times New Roman" w:cs="Times New Roman"/>
      <w:sz w:val="24"/>
      <w:szCs w:val="24"/>
    </w:rPr>
  </w:style>
  <w:style w:type="paragraph" w:styleId="BodyText">
    <w:name w:val="Body Text"/>
    <w:basedOn w:val="Normal"/>
    <w:link w:val="BodyTextChar"/>
    <w:rsid w:val="002E10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022"/>
    <w:rPr>
      <w:rFonts w:ascii="Times New Roman" w:eastAsia="Times New Roman" w:hAnsi="Times New Roman" w:cs="Times New Roman"/>
      <w:sz w:val="24"/>
      <w:szCs w:val="24"/>
    </w:rPr>
  </w:style>
  <w:style w:type="paragraph" w:customStyle="1" w:styleId="Default">
    <w:name w:val="Default"/>
    <w:rsid w:val="00B20C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20C81"/>
    <w:pPr>
      <w:ind w:left="720"/>
      <w:contextualSpacing/>
    </w:pPr>
  </w:style>
  <w:style w:type="character" w:styleId="Hyperlink">
    <w:name w:val="Hyperlink"/>
    <w:basedOn w:val="DefaultParagraphFont"/>
    <w:uiPriority w:val="99"/>
    <w:unhideWhenUsed/>
    <w:rsid w:val="00593905"/>
    <w:rPr>
      <w:color w:val="0000FF" w:themeColor="hyperlink"/>
      <w:u w:val="single"/>
    </w:rPr>
  </w:style>
  <w:style w:type="paragraph" w:styleId="BalloonText">
    <w:name w:val="Balloon Text"/>
    <w:basedOn w:val="Normal"/>
    <w:link w:val="BalloonTextChar"/>
    <w:uiPriority w:val="99"/>
    <w:semiHidden/>
    <w:unhideWhenUsed/>
    <w:rsid w:val="00C1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10"/>
    <w:rPr>
      <w:rFonts w:ascii="Tahoma" w:hAnsi="Tahoma" w:cs="Tahoma"/>
      <w:sz w:val="16"/>
      <w:szCs w:val="16"/>
    </w:rPr>
  </w:style>
  <w:style w:type="character" w:styleId="Strong">
    <w:name w:val="Strong"/>
    <w:basedOn w:val="DefaultParagraphFont"/>
    <w:uiPriority w:val="22"/>
    <w:qFormat/>
    <w:rsid w:val="00C209B3"/>
    <w:rPr>
      <w:b/>
      <w:bCs/>
    </w:rPr>
  </w:style>
  <w:style w:type="paragraph" w:styleId="NormalWeb">
    <w:name w:val="Normal (Web)"/>
    <w:basedOn w:val="Normal"/>
    <w:uiPriority w:val="99"/>
    <w:unhideWhenUsed/>
    <w:rsid w:val="00C209B3"/>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673AF"/>
    <w:rPr>
      <w:color w:val="800080" w:themeColor="followedHyperlink"/>
      <w:u w:val="single"/>
    </w:rPr>
  </w:style>
  <w:style w:type="paragraph" w:styleId="Header">
    <w:name w:val="header"/>
    <w:basedOn w:val="Normal"/>
    <w:link w:val="HeaderChar"/>
    <w:uiPriority w:val="99"/>
    <w:unhideWhenUsed/>
    <w:rsid w:val="005B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4C"/>
  </w:style>
  <w:style w:type="paragraph" w:styleId="Footer">
    <w:name w:val="footer"/>
    <w:basedOn w:val="Normal"/>
    <w:link w:val="FooterChar"/>
    <w:uiPriority w:val="99"/>
    <w:unhideWhenUsed/>
    <w:rsid w:val="005B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4C"/>
  </w:style>
  <w:style w:type="table" w:styleId="TableGrid">
    <w:name w:val="Table Grid"/>
    <w:basedOn w:val="TableNormal"/>
    <w:uiPriority w:val="39"/>
    <w:rsid w:val="00C3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1624"/>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paragraph">
    <w:name w:val="paragraph"/>
    <w:basedOn w:val="Normal"/>
    <w:rsid w:val="0007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557"/>
  </w:style>
  <w:style w:type="character" w:customStyle="1" w:styleId="eop">
    <w:name w:val="eop"/>
    <w:basedOn w:val="DefaultParagraphFont"/>
    <w:rsid w:val="00071557"/>
  </w:style>
  <w:style w:type="character" w:styleId="CommentReference">
    <w:name w:val="annotation reference"/>
    <w:basedOn w:val="DefaultParagraphFont"/>
    <w:uiPriority w:val="99"/>
    <w:semiHidden/>
    <w:unhideWhenUsed/>
    <w:rsid w:val="00597A46"/>
    <w:rPr>
      <w:sz w:val="16"/>
      <w:szCs w:val="16"/>
    </w:rPr>
  </w:style>
  <w:style w:type="paragraph" w:styleId="CommentText">
    <w:name w:val="annotation text"/>
    <w:basedOn w:val="Normal"/>
    <w:link w:val="CommentTextChar"/>
    <w:uiPriority w:val="99"/>
    <w:semiHidden/>
    <w:unhideWhenUsed/>
    <w:rsid w:val="00597A46"/>
    <w:pPr>
      <w:spacing w:line="240" w:lineRule="auto"/>
    </w:pPr>
    <w:rPr>
      <w:sz w:val="20"/>
      <w:szCs w:val="20"/>
    </w:rPr>
  </w:style>
  <w:style w:type="character" w:customStyle="1" w:styleId="CommentTextChar">
    <w:name w:val="Comment Text Char"/>
    <w:basedOn w:val="DefaultParagraphFont"/>
    <w:link w:val="CommentText"/>
    <w:uiPriority w:val="99"/>
    <w:semiHidden/>
    <w:rsid w:val="00597A46"/>
    <w:rPr>
      <w:sz w:val="20"/>
      <w:szCs w:val="20"/>
    </w:rPr>
  </w:style>
  <w:style w:type="paragraph" w:styleId="CommentSubject">
    <w:name w:val="annotation subject"/>
    <w:basedOn w:val="CommentText"/>
    <w:next w:val="CommentText"/>
    <w:link w:val="CommentSubjectChar"/>
    <w:uiPriority w:val="99"/>
    <w:semiHidden/>
    <w:unhideWhenUsed/>
    <w:rsid w:val="00597A46"/>
    <w:rPr>
      <w:b/>
      <w:bCs/>
    </w:rPr>
  </w:style>
  <w:style w:type="character" w:customStyle="1" w:styleId="CommentSubjectChar">
    <w:name w:val="Comment Subject Char"/>
    <w:basedOn w:val="CommentTextChar"/>
    <w:link w:val="CommentSubject"/>
    <w:uiPriority w:val="99"/>
    <w:semiHidden/>
    <w:rsid w:val="00597A46"/>
    <w:rPr>
      <w:b/>
      <w:bCs/>
      <w:sz w:val="20"/>
      <w:szCs w:val="20"/>
    </w:rPr>
  </w:style>
  <w:style w:type="character" w:customStyle="1" w:styleId="spellingerror">
    <w:name w:val="spellingerror"/>
    <w:basedOn w:val="DefaultParagraphFont"/>
    <w:rsid w:val="00E7135E"/>
  </w:style>
  <w:style w:type="character" w:customStyle="1" w:styleId="advancedproofingissue">
    <w:name w:val="advancedproofingissue"/>
    <w:basedOn w:val="DefaultParagraphFont"/>
    <w:rsid w:val="00E7135E"/>
  </w:style>
  <w:style w:type="character" w:customStyle="1" w:styleId="contextualspellingandgrammarerror">
    <w:name w:val="contextualspellingandgrammarerror"/>
    <w:basedOn w:val="DefaultParagraphFont"/>
    <w:rsid w:val="00E7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18817">
      <w:bodyDiv w:val="1"/>
      <w:marLeft w:val="0"/>
      <w:marRight w:val="0"/>
      <w:marTop w:val="0"/>
      <w:marBottom w:val="0"/>
      <w:divBdr>
        <w:top w:val="none" w:sz="0" w:space="0" w:color="auto"/>
        <w:left w:val="none" w:sz="0" w:space="0" w:color="auto"/>
        <w:bottom w:val="none" w:sz="0" w:space="0" w:color="auto"/>
        <w:right w:val="none" w:sz="0" w:space="0" w:color="auto"/>
      </w:divBdr>
      <w:divsChild>
        <w:div w:id="28383620">
          <w:marLeft w:val="0"/>
          <w:marRight w:val="0"/>
          <w:marTop w:val="0"/>
          <w:marBottom w:val="0"/>
          <w:divBdr>
            <w:top w:val="none" w:sz="0" w:space="0" w:color="auto"/>
            <w:left w:val="none" w:sz="0" w:space="0" w:color="auto"/>
            <w:bottom w:val="none" w:sz="0" w:space="0" w:color="auto"/>
            <w:right w:val="none" w:sz="0" w:space="0" w:color="auto"/>
          </w:divBdr>
        </w:div>
        <w:div w:id="1594822383">
          <w:marLeft w:val="0"/>
          <w:marRight w:val="0"/>
          <w:marTop w:val="0"/>
          <w:marBottom w:val="0"/>
          <w:divBdr>
            <w:top w:val="none" w:sz="0" w:space="0" w:color="auto"/>
            <w:left w:val="none" w:sz="0" w:space="0" w:color="auto"/>
            <w:bottom w:val="none" w:sz="0" w:space="0" w:color="auto"/>
            <w:right w:val="none" w:sz="0" w:space="0" w:color="auto"/>
          </w:divBdr>
        </w:div>
        <w:div w:id="2136872836">
          <w:marLeft w:val="0"/>
          <w:marRight w:val="0"/>
          <w:marTop w:val="0"/>
          <w:marBottom w:val="0"/>
          <w:divBdr>
            <w:top w:val="none" w:sz="0" w:space="0" w:color="auto"/>
            <w:left w:val="none" w:sz="0" w:space="0" w:color="auto"/>
            <w:bottom w:val="none" w:sz="0" w:space="0" w:color="auto"/>
            <w:right w:val="none" w:sz="0" w:space="0" w:color="auto"/>
          </w:divBdr>
        </w:div>
        <w:div w:id="910388965">
          <w:marLeft w:val="0"/>
          <w:marRight w:val="0"/>
          <w:marTop w:val="0"/>
          <w:marBottom w:val="0"/>
          <w:divBdr>
            <w:top w:val="none" w:sz="0" w:space="0" w:color="auto"/>
            <w:left w:val="none" w:sz="0" w:space="0" w:color="auto"/>
            <w:bottom w:val="none" w:sz="0" w:space="0" w:color="auto"/>
            <w:right w:val="none" w:sz="0" w:space="0" w:color="auto"/>
          </w:divBdr>
        </w:div>
        <w:div w:id="1859461948">
          <w:marLeft w:val="0"/>
          <w:marRight w:val="0"/>
          <w:marTop w:val="0"/>
          <w:marBottom w:val="0"/>
          <w:divBdr>
            <w:top w:val="none" w:sz="0" w:space="0" w:color="auto"/>
            <w:left w:val="none" w:sz="0" w:space="0" w:color="auto"/>
            <w:bottom w:val="none" w:sz="0" w:space="0" w:color="auto"/>
            <w:right w:val="none" w:sz="0" w:space="0" w:color="auto"/>
          </w:divBdr>
        </w:div>
        <w:div w:id="1007758194">
          <w:marLeft w:val="0"/>
          <w:marRight w:val="0"/>
          <w:marTop w:val="0"/>
          <w:marBottom w:val="0"/>
          <w:divBdr>
            <w:top w:val="none" w:sz="0" w:space="0" w:color="auto"/>
            <w:left w:val="none" w:sz="0" w:space="0" w:color="auto"/>
            <w:bottom w:val="none" w:sz="0" w:space="0" w:color="auto"/>
            <w:right w:val="none" w:sz="0" w:space="0" w:color="auto"/>
          </w:divBdr>
        </w:div>
        <w:div w:id="1348483813">
          <w:marLeft w:val="0"/>
          <w:marRight w:val="0"/>
          <w:marTop w:val="0"/>
          <w:marBottom w:val="0"/>
          <w:divBdr>
            <w:top w:val="none" w:sz="0" w:space="0" w:color="auto"/>
            <w:left w:val="none" w:sz="0" w:space="0" w:color="auto"/>
            <w:bottom w:val="none" w:sz="0" w:space="0" w:color="auto"/>
            <w:right w:val="none" w:sz="0" w:space="0" w:color="auto"/>
          </w:divBdr>
        </w:div>
        <w:div w:id="1913810028">
          <w:marLeft w:val="0"/>
          <w:marRight w:val="0"/>
          <w:marTop w:val="0"/>
          <w:marBottom w:val="0"/>
          <w:divBdr>
            <w:top w:val="none" w:sz="0" w:space="0" w:color="auto"/>
            <w:left w:val="none" w:sz="0" w:space="0" w:color="auto"/>
            <w:bottom w:val="none" w:sz="0" w:space="0" w:color="auto"/>
            <w:right w:val="none" w:sz="0" w:space="0" w:color="auto"/>
          </w:divBdr>
        </w:div>
        <w:div w:id="386876604">
          <w:marLeft w:val="0"/>
          <w:marRight w:val="0"/>
          <w:marTop w:val="0"/>
          <w:marBottom w:val="0"/>
          <w:divBdr>
            <w:top w:val="none" w:sz="0" w:space="0" w:color="auto"/>
            <w:left w:val="none" w:sz="0" w:space="0" w:color="auto"/>
            <w:bottom w:val="none" w:sz="0" w:space="0" w:color="auto"/>
            <w:right w:val="none" w:sz="0" w:space="0" w:color="auto"/>
          </w:divBdr>
        </w:div>
        <w:div w:id="2071878348">
          <w:marLeft w:val="0"/>
          <w:marRight w:val="0"/>
          <w:marTop w:val="0"/>
          <w:marBottom w:val="0"/>
          <w:divBdr>
            <w:top w:val="none" w:sz="0" w:space="0" w:color="auto"/>
            <w:left w:val="none" w:sz="0" w:space="0" w:color="auto"/>
            <w:bottom w:val="none" w:sz="0" w:space="0" w:color="auto"/>
            <w:right w:val="none" w:sz="0" w:space="0" w:color="auto"/>
          </w:divBdr>
        </w:div>
        <w:div w:id="1765498152">
          <w:marLeft w:val="0"/>
          <w:marRight w:val="0"/>
          <w:marTop w:val="0"/>
          <w:marBottom w:val="0"/>
          <w:divBdr>
            <w:top w:val="none" w:sz="0" w:space="0" w:color="auto"/>
            <w:left w:val="none" w:sz="0" w:space="0" w:color="auto"/>
            <w:bottom w:val="none" w:sz="0" w:space="0" w:color="auto"/>
            <w:right w:val="none" w:sz="0" w:space="0" w:color="auto"/>
          </w:divBdr>
        </w:div>
        <w:div w:id="1726178513">
          <w:marLeft w:val="0"/>
          <w:marRight w:val="0"/>
          <w:marTop w:val="0"/>
          <w:marBottom w:val="0"/>
          <w:divBdr>
            <w:top w:val="none" w:sz="0" w:space="0" w:color="auto"/>
            <w:left w:val="none" w:sz="0" w:space="0" w:color="auto"/>
            <w:bottom w:val="none" w:sz="0" w:space="0" w:color="auto"/>
            <w:right w:val="none" w:sz="0" w:space="0" w:color="auto"/>
          </w:divBdr>
        </w:div>
        <w:div w:id="1140269911">
          <w:marLeft w:val="0"/>
          <w:marRight w:val="0"/>
          <w:marTop w:val="0"/>
          <w:marBottom w:val="0"/>
          <w:divBdr>
            <w:top w:val="none" w:sz="0" w:space="0" w:color="auto"/>
            <w:left w:val="none" w:sz="0" w:space="0" w:color="auto"/>
            <w:bottom w:val="none" w:sz="0" w:space="0" w:color="auto"/>
            <w:right w:val="none" w:sz="0" w:space="0" w:color="auto"/>
          </w:divBdr>
        </w:div>
        <w:div w:id="1490555238">
          <w:marLeft w:val="0"/>
          <w:marRight w:val="0"/>
          <w:marTop w:val="0"/>
          <w:marBottom w:val="0"/>
          <w:divBdr>
            <w:top w:val="none" w:sz="0" w:space="0" w:color="auto"/>
            <w:left w:val="none" w:sz="0" w:space="0" w:color="auto"/>
            <w:bottom w:val="none" w:sz="0" w:space="0" w:color="auto"/>
            <w:right w:val="none" w:sz="0" w:space="0" w:color="auto"/>
          </w:divBdr>
        </w:div>
        <w:div w:id="2045212710">
          <w:marLeft w:val="0"/>
          <w:marRight w:val="0"/>
          <w:marTop w:val="0"/>
          <w:marBottom w:val="0"/>
          <w:divBdr>
            <w:top w:val="none" w:sz="0" w:space="0" w:color="auto"/>
            <w:left w:val="none" w:sz="0" w:space="0" w:color="auto"/>
            <w:bottom w:val="none" w:sz="0" w:space="0" w:color="auto"/>
            <w:right w:val="none" w:sz="0" w:space="0" w:color="auto"/>
          </w:divBdr>
        </w:div>
        <w:div w:id="147981243">
          <w:marLeft w:val="0"/>
          <w:marRight w:val="0"/>
          <w:marTop w:val="0"/>
          <w:marBottom w:val="0"/>
          <w:divBdr>
            <w:top w:val="none" w:sz="0" w:space="0" w:color="auto"/>
            <w:left w:val="none" w:sz="0" w:space="0" w:color="auto"/>
            <w:bottom w:val="none" w:sz="0" w:space="0" w:color="auto"/>
            <w:right w:val="none" w:sz="0" w:space="0" w:color="auto"/>
          </w:divBdr>
        </w:div>
        <w:div w:id="937175060">
          <w:marLeft w:val="0"/>
          <w:marRight w:val="0"/>
          <w:marTop w:val="0"/>
          <w:marBottom w:val="0"/>
          <w:divBdr>
            <w:top w:val="none" w:sz="0" w:space="0" w:color="auto"/>
            <w:left w:val="none" w:sz="0" w:space="0" w:color="auto"/>
            <w:bottom w:val="none" w:sz="0" w:space="0" w:color="auto"/>
            <w:right w:val="none" w:sz="0" w:space="0" w:color="auto"/>
          </w:divBdr>
        </w:div>
        <w:div w:id="443960029">
          <w:marLeft w:val="0"/>
          <w:marRight w:val="0"/>
          <w:marTop w:val="0"/>
          <w:marBottom w:val="0"/>
          <w:divBdr>
            <w:top w:val="none" w:sz="0" w:space="0" w:color="auto"/>
            <w:left w:val="none" w:sz="0" w:space="0" w:color="auto"/>
            <w:bottom w:val="none" w:sz="0" w:space="0" w:color="auto"/>
            <w:right w:val="none" w:sz="0" w:space="0" w:color="auto"/>
          </w:divBdr>
        </w:div>
      </w:divsChild>
    </w:div>
    <w:div w:id="369960047">
      <w:bodyDiv w:val="1"/>
      <w:marLeft w:val="0"/>
      <w:marRight w:val="0"/>
      <w:marTop w:val="0"/>
      <w:marBottom w:val="0"/>
      <w:divBdr>
        <w:top w:val="none" w:sz="0" w:space="0" w:color="auto"/>
        <w:left w:val="none" w:sz="0" w:space="0" w:color="auto"/>
        <w:bottom w:val="none" w:sz="0" w:space="0" w:color="auto"/>
        <w:right w:val="none" w:sz="0" w:space="0" w:color="auto"/>
      </w:divBdr>
      <w:divsChild>
        <w:div w:id="1677997576">
          <w:marLeft w:val="0"/>
          <w:marRight w:val="0"/>
          <w:marTop w:val="0"/>
          <w:marBottom w:val="0"/>
          <w:divBdr>
            <w:top w:val="none" w:sz="0" w:space="0" w:color="auto"/>
            <w:left w:val="none" w:sz="0" w:space="0" w:color="auto"/>
            <w:bottom w:val="none" w:sz="0" w:space="0" w:color="auto"/>
            <w:right w:val="none" w:sz="0" w:space="0" w:color="auto"/>
          </w:divBdr>
        </w:div>
        <w:div w:id="1563366064">
          <w:marLeft w:val="0"/>
          <w:marRight w:val="0"/>
          <w:marTop w:val="0"/>
          <w:marBottom w:val="0"/>
          <w:divBdr>
            <w:top w:val="none" w:sz="0" w:space="0" w:color="auto"/>
            <w:left w:val="none" w:sz="0" w:space="0" w:color="auto"/>
            <w:bottom w:val="none" w:sz="0" w:space="0" w:color="auto"/>
            <w:right w:val="none" w:sz="0" w:space="0" w:color="auto"/>
          </w:divBdr>
        </w:div>
        <w:div w:id="69036573">
          <w:marLeft w:val="0"/>
          <w:marRight w:val="0"/>
          <w:marTop w:val="0"/>
          <w:marBottom w:val="0"/>
          <w:divBdr>
            <w:top w:val="none" w:sz="0" w:space="0" w:color="auto"/>
            <w:left w:val="none" w:sz="0" w:space="0" w:color="auto"/>
            <w:bottom w:val="none" w:sz="0" w:space="0" w:color="auto"/>
            <w:right w:val="none" w:sz="0" w:space="0" w:color="auto"/>
          </w:divBdr>
        </w:div>
        <w:div w:id="2051297264">
          <w:marLeft w:val="0"/>
          <w:marRight w:val="0"/>
          <w:marTop w:val="0"/>
          <w:marBottom w:val="0"/>
          <w:divBdr>
            <w:top w:val="none" w:sz="0" w:space="0" w:color="auto"/>
            <w:left w:val="none" w:sz="0" w:space="0" w:color="auto"/>
            <w:bottom w:val="none" w:sz="0" w:space="0" w:color="auto"/>
            <w:right w:val="none" w:sz="0" w:space="0" w:color="auto"/>
          </w:divBdr>
        </w:div>
        <w:div w:id="1394935563">
          <w:marLeft w:val="0"/>
          <w:marRight w:val="0"/>
          <w:marTop w:val="0"/>
          <w:marBottom w:val="0"/>
          <w:divBdr>
            <w:top w:val="none" w:sz="0" w:space="0" w:color="auto"/>
            <w:left w:val="none" w:sz="0" w:space="0" w:color="auto"/>
            <w:bottom w:val="none" w:sz="0" w:space="0" w:color="auto"/>
            <w:right w:val="none" w:sz="0" w:space="0" w:color="auto"/>
          </w:divBdr>
        </w:div>
        <w:div w:id="1263143714">
          <w:marLeft w:val="0"/>
          <w:marRight w:val="0"/>
          <w:marTop w:val="0"/>
          <w:marBottom w:val="0"/>
          <w:divBdr>
            <w:top w:val="none" w:sz="0" w:space="0" w:color="auto"/>
            <w:left w:val="none" w:sz="0" w:space="0" w:color="auto"/>
            <w:bottom w:val="none" w:sz="0" w:space="0" w:color="auto"/>
            <w:right w:val="none" w:sz="0" w:space="0" w:color="auto"/>
          </w:divBdr>
        </w:div>
        <w:div w:id="541332520">
          <w:marLeft w:val="0"/>
          <w:marRight w:val="0"/>
          <w:marTop w:val="0"/>
          <w:marBottom w:val="0"/>
          <w:divBdr>
            <w:top w:val="none" w:sz="0" w:space="0" w:color="auto"/>
            <w:left w:val="none" w:sz="0" w:space="0" w:color="auto"/>
            <w:bottom w:val="none" w:sz="0" w:space="0" w:color="auto"/>
            <w:right w:val="none" w:sz="0" w:space="0" w:color="auto"/>
          </w:divBdr>
        </w:div>
        <w:div w:id="1307082157">
          <w:marLeft w:val="0"/>
          <w:marRight w:val="0"/>
          <w:marTop w:val="0"/>
          <w:marBottom w:val="0"/>
          <w:divBdr>
            <w:top w:val="none" w:sz="0" w:space="0" w:color="auto"/>
            <w:left w:val="none" w:sz="0" w:space="0" w:color="auto"/>
            <w:bottom w:val="none" w:sz="0" w:space="0" w:color="auto"/>
            <w:right w:val="none" w:sz="0" w:space="0" w:color="auto"/>
          </w:divBdr>
        </w:div>
        <w:div w:id="1959677858">
          <w:marLeft w:val="0"/>
          <w:marRight w:val="0"/>
          <w:marTop w:val="0"/>
          <w:marBottom w:val="0"/>
          <w:divBdr>
            <w:top w:val="none" w:sz="0" w:space="0" w:color="auto"/>
            <w:left w:val="none" w:sz="0" w:space="0" w:color="auto"/>
            <w:bottom w:val="none" w:sz="0" w:space="0" w:color="auto"/>
            <w:right w:val="none" w:sz="0" w:space="0" w:color="auto"/>
          </w:divBdr>
        </w:div>
        <w:div w:id="273288270">
          <w:marLeft w:val="0"/>
          <w:marRight w:val="0"/>
          <w:marTop w:val="0"/>
          <w:marBottom w:val="0"/>
          <w:divBdr>
            <w:top w:val="none" w:sz="0" w:space="0" w:color="auto"/>
            <w:left w:val="none" w:sz="0" w:space="0" w:color="auto"/>
            <w:bottom w:val="none" w:sz="0" w:space="0" w:color="auto"/>
            <w:right w:val="none" w:sz="0" w:space="0" w:color="auto"/>
          </w:divBdr>
        </w:div>
        <w:div w:id="690842142">
          <w:marLeft w:val="0"/>
          <w:marRight w:val="0"/>
          <w:marTop w:val="0"/>
          <w:marBottom w:val="0"/>
          <w:divBdr>
            <w:top w:val="none" w:sz="0" w:space="0" w:color="auto"/>
            <w:left w:val="none" w:sz="0" w:space="0" w:color="auto"/>
            <w:bottom w:val="none" w:sz="0" w:space="0" w:color="auto"/>
            <w:right w:val="none" w:sz="0" w:space="0" w:color="auto"/>
          </w:divBdr>
        </w:div>
        <w:div w:id="719935980">
          <w:marLeft w:val="0"/>
          <w:marRight w:val="0"/>
          <w:marTop w:val="0"/>
          <w:marBottom w:val="0"/>
          <w:divBdr>
            <w:top w:val="none" w:sz="0" w:space="0" w:color="auto"/>
            <w:left w:val="none" w:sz="0" w:space="0" w:color="auto"/>
            <w:bottom w:val="none" w:sz="0" w:space="0" w:color="auto"/>
            <w:right w:val="none" w:sz="0" w:space="0" w:color="auto"/>
          </w:divBdr>
        </w:div>
        <w:div w:id="1453478789">
          <w:marLeft w:val="0"/>
          <w:marRight w:val="0"/>
          <w:marTop w:val="0"/>
          <w:marBottom w:val="0"/>
          <w:divBdr>
            <w:top w:val="none" w:sz="0" w:space="0" w:color="auto"/>
            <w:left w:val="none" w:sz="0" w:space="0" w:color="auto"/>
            <w:bottom w:val="none" w:sz="0" w:space="0" w:color="auto"/>
            <w:right w:val="none" w:sz="0" w:space="0" w:color="auto"/>
          </w:divBdr>
        </w:div>
        <w:div w:id="593369328">
          <w:marLeft w:val="0"/>
          <w:marRight w:val="0"/>
          <w:marTop w:val="0"/>
          <w:marBottom w:val="0"/>
          <w:divBdr>
            <w:top w:val="none" w:sz="0" w:space="0" w:color="auto"/>
            <w:left w:val="none" w:sz="0" w:space="0" w:color="auto"/>
            <w:bottom w:val="none" w:sz="0" w:space="0" w:color="auto"/>
            <w:right w:val="none" w:sz="0" w:space="0" w:color="auto"/>
          </w:divBdr>
        </w:div>
        <w:div w:id="1266384872">
          <w:marLeft w:val="0"/>
          <w:marRight w:val="0"/>
          <w:marTop w:val="0"/>
          <w:marBottom w:val="0"/>
          <w:divBdr>
            <w:top w:val="none" w:sz="0" w:space="0" w:color="auto"/>
            <w:left w:val="none" w:sz="0" w:space="0" w:color="auto"/>
            <w:bottom w:val="none" w:sz="0" w:space="0" w:color="auto"/>
            <w:right w:val="none" w:sz="0" w:space="0" w:color="auto"/>
          </w:divBdr>
        </w:div>
      </w:divsChild>
    </w:div>
    <w:div w:id="1632785157">
      <w:bodyDiv w:val="1"/>
      <w:marLeft w:val="0"/>
      <w:marRight w:val="0"/>
      <w:marTop w:val="0"/>
      <w:marBottom w:val="0"/>
      <w:divBdr>
        <w:top w:val="none" w:sz="0" w:space="0" w:color="auto"/>
        <w:left w:val="none" w:sz="0" w:space="0" w:color="auto"/>
        <w:bottom w:val="none" w:sz="0" w:space="0" w:color="auto"/>
        <w:right w:val="none" w:sz="0" w:space="0" w:color="auto"/>
      </w:divBdr>
    </w:div>
    <w:div w:id="1694382089">
      <w:bodyDiv w:val="1"/>
      <w:marLeft w:val="0"/>
      <w:marRight w:val="0"/>
      <w:marTop w:val="0"/>
      <w:marBottom w:val="0"/>
      <w:divBdr>
        <w:top w:val="none" w:sz="0" w:space="0" w:color="auto"/>
        <w:left w:val="none" w:sz="0" w:space="0" w:color="auto"/>
        <w:bottom w:val="none" w:sz="0" w:space="0" w:color="auto"/>
        <w:right w:val="none" w:sz="0" w:space="0" w:color="auto"/>
      </w:divBdr>
    </w:div>
    <w:div w:id="2107186749">
      <w:bodyDiv w:val="1"/>
      <w:marLeft w:val="0"/>
      <w:marRight w:val="0"/>
      <w:marTop w:val="0"/>
      <w:marBottom w:val="0"/>
      <w:divBdr>
        <w:top w:val="none" w:sz="0" w:space="0" w:color="auto"/>
        <w:left w:val="none" w:sz="0" w:space="0" w:color="auto"/>
        <w:bottom w:val="none" w:sz="0" w:space="0" w:color="auto"/>
        <w:right w:val="none" w:sz="0" w:space="0" w:color="auto"/>
      </w:divBdr>
      <w:divsChild>
        <w:div w:id="1698046682">
          <w:marLeft w:val="0"/>
          <w:marRight w:val="0"/>
          <w:marTop w:val="0"/>
          <w:marBottom w:val="0"/>
          <w:divBdr>
            <w:top w:val="none" w:sz="0" w:space="0" w:color="auto"/>
            <w:left w:val="none" w:sz="0" w:space="0" w:color="auto"/>
            <w:bottom w:val="none" w:sz="0" w:space="0" w:color="auto"/>
            <w:right w:val="none" w:sz="0" w:space="0" w:color="auto"/>
          </w:divBdr>
        </w:div>
        <w:div w:id="428893081">
          <w:marLeft w:val="0"/>
          <w:marRight w:val="0"/>
          <w:marTop w:val="0"/>
          <w:marBottom w:val="0"/>
          <w:divBdr>
            <w:top w:val="none" w:sz="0" w:space="0" w:color="auto"/>
            <w:left w:val="none" w:sz="0" w:space="0" w:color="auto"/>
            <w:bottom w:val="none" w:sz="0" w:space="0" w:color="auto"/>
            <w:right w:val="none" w:sz="0" w:space="0" w:color="auto"/>
          </w:divBdr>
        </w:div>
        <w:div w:id="241988607">
          <w:marLeft w:val="0"/>
          <w:marRight w:val="0"/>
          <w:marTop w:val="0"/>
          <w:marBottom w:val="0"/>
          <w:divBdr>
            <w:top w:val="none" w:sz="0" w:space="0" w:color="auto"/>
            <w:left w:val="none" w:sz="0" w:space="0" w:color="auto"/>
            <w:bottom w:val="none" w:sz="0" w:space="0" w:color="auto"/>
            <w:right w:val="none" w:sz="0" w:space="0" w:color="auto"/>
          </w:divBdr>
        </w:div>
        <w:div w:id="966161943">
          <w:marLeft w:val="0"/>
          <w:marRight w:val="0"/>
          <w:marTop w:val="0"/>
          <w:marBottom w:val="0"/>
          <w:divBdr>
            <w:top w:val="none" w:sz="0" w:space="0" w:color="auto"/>
            <w:left w:val="none" w:sz="0" w:space="0" w:color="auto"/>
            <w:bottom w:val="none" w:sz="0" w:space="0" w:color="auto"/>
            <w:right w:val="none" w:sz="0" w:space="0" w:color="auto"/>
          </w:divBdr>
        </w:div>
        <w:div w:id="183060063">
          <w:marLeft w:val="0"/>
          <w:marRight w:val="0"/>
          <w:marTop w:val="0"/>
          <w:marBottom w:val="0"/>
          <w:divBdr>
            <w:top w:val="none" w:sz="0" w:space="0" w:color="auto"/>
            <w:left w:val="none" w:sz="0" w:space="0" w:color="auto"/>
            <w:bottom w:val="none" w:sz="0" w:space="0" w:color="auto"/>
            <w:right w:val="none" w:sz="0" w:space="0" w:color="auto"/>
          </w:divBdr>
        </w:div>
        <w:div w:id="977883767">
          <w:marLeft w:val="0"/>
          <w:marRight w:val="0"/>
          <w:marTop w:val="0"/>
          <w:marBottom w:val="0"/>
          <w:divBdr>
            <w:top w:val="none" w:sz="0" w:space="0" w:color="auto"/>
            <w:left w:val="none" w:sz="0" w:space="0" w:color="auto"/>
            <w:bottom w:val="none" w:sz="0" w:space="0" w:color="auto"/>
            <w:right w:val="none" w:sz="0" w:space="0" w:color="auto"/>
          </w:divBdr>
        </w:div>
        <w:div w:id="1175068902">
          <w:marLeft w:val="0"/>
          <w:marRight w:val="0"/>
          <w:marTop w:val="0"/>
          <w:marBottom w:val="0"/>
          <w:divBdr>
            <w:top w:val="none" w:sz="0" w:space="0" w:color="auto"/>
            <w:left w:val="none" w:sz="0" w:space="0" w:color="auto"/>
            <w:bottom w:val="none" w:sz="0" w:space="0" w:color="auto"/>
            <w:right w:val="none" w:sz="0" w:space="0" w:color="auto"/>
          </w:divBdr>
        </w:div>
        <w:div w:id="947156965">
          <w:marLeft w:val="0"/>
          <w:marRight w:val="0"/>
          <w:marTop w:val="0"/>
          <w:marBottom w:val="0"/>
          <w:divBdr>
            <w:top w:val="none" w:sz="0" w:space="0" w:color="auto"/>
            <w:left w:val="none" w:sz="0" w:space="0" w:color="auto"/>
            <w:bottom w:val="none" w:sz="0" w:space="0" w:color="auto"/>
            <w:right w:val="none" w:sz="0" w:space="0" w:color="auto"/>
          </w:divBdr>
        </w:div>
        <w:div w:id="121276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73b44615a33f4a1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2D19AB"/>
    <w:rsid w:val="002D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15" ma:contentTypeDescription="Create a new document." ma:contentTypeScope="" ma:versionID="ccdacf594f0b385bb90ecbcf3e4d251d">
  <xsd:schema xmlns:xsd="http://www.w3.org/2001/XMLSchema" xmlns:xs="http://www.w3.org/2001/XMLSchema" xmlns:p="http://schemas.microsoft.com/office/2006/metadata/properties" xmlns:ns2="fb4ce569-0273-4228-9157-33b14876d013" xmlns:ns3="4c65d37e-a55a-4bb0-b2b4-8d884d010927" targetNamespace="http://schemas.microsoft.com/office/2006/metadata/properties" ma:root="true" ma:fieldsID="c4b6d6db794f4ffe532728e697c617e9" ns2:_="" ns3:_="">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tsm xmlns="4c65d37e-a55a-4bb0-b2b4-8d884d010927" xsi:nil="true"/>
    <SharedWithUsers xmlns="fb4ce569-0273-4228-9157-33b14876d013">
      <UserInfo>
        <DisplayName>Labonte, Nancy</DisplayName>
        <AccountId>259</AccountId>
        <AccountType/>
      </UserInfo>
      <UserInfo>
        <DisplayName>Chouinard, Kim</DisplayName>
        <AccountId>263</AccountId>
        <AccountType/>
      </UserInfo>
      <UserInfo>
        <DisplayName>Anderle, Joyce</DisplayName>
        <AccountId>257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14FC-08CF-41F7-8BE7-33956870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B3530-396F-40F2-9226-6F789FADFE71}">
  <ds:schemaRefs>
    <ds:schemaRef ds:uri="http://schemas.microsoft.com/sharepoint/v3/contenttype/forms"/>
  </ds:schemaRefs>
</ds:datastoreItem>
</file>

<file path=customXml/itemProps3.xml><?xml version="1.0" encoding="utf-8"?>
<ds:datastoreItem xmlns:ds="http://schemas.openxmlformats.org/officeDocument/2006/customXml" ds:itemID="{400B1F90-B15B-4898-98BB-7DB6E442EC8B}">
  <ds:schemaRefs>
    <ds:schemaRef ds:uri="http://schemas.microsoft.com/office/2006/metadata/properties"/>
    <ds:schemaRef ds:uri="4c65d37e-a55a-4bb0-b2b4-8d884d01092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fb4ce569-0273-4228-9157-33b14876d013"/>
    <ds:schemaRef ds:uri="http://www.w3.org/XML/1998/namespace"/>
  </ds:schemaRefs>
</ds:datastoreItem>
</file>

<file path=customXml/itemProps4.xml><?xml version="1.0" encoding="utf-8"?>
<ds:datastoreItem xmlns:ds="http://schemas.openxmlformats.org/officeDocument/2006/customXml" ds:itemID="{8A154215-1284-4B8B-91C0-6634EF87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aepd</dc:creator>
  <cp:lastModifiedBy>Less, Philip</cp:lastModifiedBy>
  <cp:revision>2</cp:revision>
  <cp:lastPrinted>2019-12-17T18:52:00Z</cp:lastPrinted>
  <dcterms:created xsi:type="dcterms:W3CDTF">2019-12-17T19:27:00Z</dcterms:created>
  <dcterms:modified xsi:type="dcterms:W3CDTF">2019-12-17T19:27:00Z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ies>
</file>