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4809" w14:textId="6704CE92" w:rsidR="009C0129" w:rsidRPr="000F4950" w:rsidRDefault="001C381B" w:rsidP="00235FE2">
      <w:pPr>
        <w:rPr>
          <w:rFonts w:cstheme="minorHAnsi"/>
          <w:b/>
          <w:color w:val="FF0000"/>
          <w:u w:val="single"/>
        </w:rPr>
      </w:pPr>
      <w:bookmarkStart w:id="0" w:name="_GoBack"/>
      <w:bookmarkEnd w:id="0"/>
      <w:r w:rsidRPr="000F4950">
        <w:rPr>
          <w:rFonts w:cstheme="minorHAnsi"/>
          <w:b/>
          <w:u w:val="single"/>
        </w:rPr>
        <w:t>Massachusetts Narrative Report</w:t>
      </w:r>
      <w:r w:rsidR="000F4950" w:rsidRPr="000F4950">
        <w:rPr>
          <w:rFonts w:cstheme="minorHAnsi"/>
          <w:b/>
          <w:u w:val="single"/>
        </w:rPr>
        <w:t xml:space="preserve"> PY</w:t>
      </w:r>
      <w:r w:rsidRPr="000F4950">
        <w:rPr>
          <w:rFonts w:cstheme="minorHAnsi"/>
          <w:b/>
          <w:u w:val="single"/>
        </w:rPr>
        <w:t xml:space="preserve"> 201</w:t>
      </w:r>
      <w:r w:rsidR="00A03B5B" w:rsidRPr="000F4950">
        <w:rPr>
          <w:rFonts w:cstheme="minorHAnsi"/>
          <w:b/>
          <w:u w:val="single"/>
        </w:rPr>
        <w:t>8</w:t>
      </w:r>
      <w:r w:rsidRPr="000F4950">
        <w:rPr>
          <w:rFonts w:cstheme="minorHAnsi"/>
          <w:b/>
          <w:u w:val="single"/>
        </w:rPr>
        <w:t>-</w:t>
      </w:r>
      <w:r w:rsidR="000F4950" w:rsidRPr="000F4950">
        <w:rPr>
          <w:rFonts w:cstheme="minorHAnsi"/>
          <w:b/>
          <w:u w:val="single"/>
        </w:rPr>
        <w:t>20</w:t>
      </w:r>
      <w:r w:rsidRPr="000F4950">
        <w:rPr>
          <w:rFonts w:cstheme="minorHAnsi"/>
          <w:b/>
          <w:u w:val="single"/>
        </w:rPr>
        <w:t>1</w:t>
      </w:r>
      <w:r w:rsidR="00A03B5B" w:rsidRPr="000F4950">
        <w:rPr>
          <w:rFonts w:cstheme="minorHAnsi"/>
          <w:b/>
          <w:u w:val="single"/>
        </w:rPr>
        <w:t>9</w:t>
      </w:r>
    </w:p>
    <w:p w14:paraId="0345AE11" w14:textId="77777777" w:rsidR="00235FE2" w:rsidRPr="000F4950" w:rsidRDefault="00235FE2" w:rsidP="00235FE2">
      <w:pPr>
        <w:autoSpaceDE w:val="0"/>
        <w:autoSpaceDN w:val="0"/>
        <w:adjustRightInd w:val="0"/>
        <w:spacing w:after="0" w:line="240" w:lineRule="auto"/>
        <w:rPr>
          <w:rFonts w:cstheme="minorHAnsi"/>
          <w:i/>
        </w:rPr>
      </w:pPr>
      <w:r w:rsidRPr="000F4950">
        <w:rPr>
          <w:rFonts w:cstheme="minorHAnsi"/>
          <w:b/>
          <w:bCs/>
          <w:i/>
        </w:rPr>
        <w:t xml:space="preserve">1. State Leadership Funds </w:t>
      </w:r>
      <w:r w:rsidRPr="000F4950">
        <w:rPr>
          <w:rFonts w:cstheme="minorHAnsi"/>
          <w:i/>
        </w:rPr>
        <w:t>(AEFLA Section 223)</w:t>
      </w:r>
    </w:p>
    <w:p w14:paraId="23337DE5" w14:textId="77777777" w:rsidR="00235FE2" w:rsidRPr="000F4950" w:rsidRDefault="00235FE2" w:rsidP="00235FE2">
      <w:pPr>
        <w:autoSpaceDE w:val="0"/>
        <w:autoSpaceDN w:val="0"/>
        <w:adjustRightInd w:val="0"/>
        <w:spacing w:after="0" w:line="240" w:lineRule="auto"/>
        <w:rPr>
          <w:rFonts w:cstheme="minorHAnsi"/>
          <w:i/>
        </w:rPr>
      </w:pPr>
      <w:r w:rsidRPr="000F4950">
        <w:rPr>
          <w:rFonts w:cstheme="minorHAnsi"/>
          <w:i/>
        </w:rPr>
        <w:t>(a) Describe how the State has used funds made available under section 223 (State Leadership activities) for each the following required activities:</w:t>
      </w:r>
    </w:p>
    <w:p w14:paraId="09718B1F" w14:textId="77777777" w:rsidR="00705110" w:rsidRPr="000F4950" w:rsidRDefault="00705110" w:rsidP="00235FE2">
      <w:pPr>
        <w:autoSpaceDE w:val="0"/>
        <w:autoSpaceDN w:val="0"/>
        <w:adjustRightInd w:val="0"/>
        <w:spacing w:after="0" w:line="240" w:lineRule="auto"/>
        <w:rPr>
          <w:rFonts w:cstheme="minorHAnsi"/>
          <w:i/>
        </w:rPr>
      </w:pPr>
    </w:p>
    <w:p w14:paraId="63F2CEF8" w14:textId="77777777" w:rsidR="00235FE2" w:rsidRPr="000F4950" w:rsidRDefault="00235FE2" w:rsidP="00235FE2">
      <w:pPr>
        <w:pStyle w:val="ListParagraph"/>
        <w:numPr>
          <w:ilvl w:val="0"/>
          <w:numId w:val="1"/>
        </w:numPr>
        <w:autoSpaceDE w:val="0"/>
        <w:autoSpaceDN w:val="0"/>
        <w:adjustRightInd w:val="0"/>
        <w:spacing w:after="0" w:line="240" w:lineRule="auto"/>
        <w:rPr>
          <w:rFonts w:cstheme="minorHAnsi"/>
          <w:i/>
        </w:rPr>
      </w:pPr>
      <w:r w:rsidRPr="000F4950">
        <w:rPr>
          <w:rFonts w:cstheme="minorHAnsi"/>
          <w:i/>
        </w:rPr>
        <w:t>Alignment of adult education and literacy activities with other one-stop required partners to implement the strategies in the Unified or Combined State Plan as described in section 223(1)(a).</w:t>
      </w:r>
    </w:p>
    <w:p w14:paraId="74FAEE76" w14:textId="6CFA3A07" w:rsidR="00A673EF" w:rsidRPr="000F4950" w:rsidRDefault="009C0129"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The Adult and Community Learning Services (</w:t>
      </w:r>
      <w:r w:rsidR="00D509D2" w:rsidRPr="000F4950">
        <w:rPr>
          <w:rFonts w:cstheme="minorHAnsi"/>
        </w:rPr>
        <w:t>ACLS</w:t>
      </w:r>
      <w:r w:rsidRPr="000F4950">
        <w:rPr>
          <w:rFonts w:cstheme="minorHAnsi"/>
        </w:rPr>
        <w:t>) and the Massachusetts Department of Elementary and Secondary Education (DESE)</w:t>
      </w:r>
      <w:r w:rsidR="00D509D2" w:rsidRPr="000F4950">
        <w:rPr>
          <w:rFonts w:cstheme="minorHAnsi"/>
        </w:rPr>
        <w:t xml:space="preserve"> has a dedicated staff </w:t>
      </w:r>
      <w:r w:rsidR="008D488F" w:rsidRPr="000F4950">
        <w:rPr>
          <w:rFonts w:cstheme="minorHAnsi"/>
        </w:rPr>
        <w:t xml:space="preserve">person </w:t>
      </w:r>
      <w:r w:rsidR="00D509D2" w:rsidRPr="000F4950">
        <w:rPr>
          <w:rFonts w:cstheme="minorHAnsi"/>
        </w:rPr>
        <w:t>responsible for career pathways development in MA (see additional information under permissible activities)</w:t>
      </w:r>
      <w:r w:rsidR="00613E5C" w:rsidRPr="000F4950">
        <w:rPr>
          <w:rFonts w:cstheme="minorHAnsi"/>
        </w:rPr>
        <w:t>. This person</w:t>
      </w:r>
      <w:r w:rsidR="00D509D2" w:rsidRPr="000F4950">
        <w:rPr>
          <w:rFonts w:cstheme="minorHAnsi"/>
        </w:rPr>
        <w:t xml:space="preserve"> works closely with adult education outstationed staff in One-Stop Centers in all 16 local workforce areas and coordinates quarterly conference calls to support them. </w:t>
      </w:r>
    </w:p>
    <w:p w14:paraId="2D5D7292" w14:textId="14476FEA" w:rsidR="00D509D2" w:rsidRPr="000F4950" w:rsidRDefault="00A673EF">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Sixteen</w:t>
      </w:r>
      <w:r w:rsidR="00D509D2" w:rsidRPr="000F4950">
        <w:rPr>
          <w:rFonts w:cstheme="minorHAnsi"/>
        </w:rPr>
        <w:t xml:space="preserve"> programs across the 16 workforce local areas were selected to offer outstationing at the One-Stop Career Centers (co-location to facilitate two way referrals and shared customers). </w:t>
      </w:r>
      <w:r w:rsidRPr="000F4950">
        <w:rPr>
          <w:rFonts w:cstheme="minorHAnsi"/>
        </w:rPr>
        <w:t>Outstationed staff submitted mid and final outstationing reports to ACLS.</w:t>
      </w:r>
    </w:p>
    <w:p w14:paraId="75010CD3" w14:textId="77777777" w:rsidR="00D509D2" w:rsidRPr="000F4950" w:rsidRDefault="009C0129"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Information</w:t>
      </w:r>
      <w:r w:rsidR="00D509D2" w:rsidRPr="000F4950">
        <w:rPr>
          <w:rFonts w:cstheme="minorHAnsi"/>
        </w:rPr>
        <w:t xml:space="preserve"> on outstationing in MA can be found on ACLS </w:t>
      </w:r>
      <w:hyperlink r:id="rId8" w:history="1">
        <w:r w:rsidR="00D509D2" w:rsidRPr="000F4950">
          <w:rPr>
            <w:rStyle w:val="Hyperlink"/>
            <w:rFonts w:cstheme="minorHAnsi"/>
          </w:rPr>
          <w:t>website</w:t>
        </w:r>
      </w:hyperlink>
      <w:r w:rsidRPr="000F4950">
        <w:rPr>
          <w:rFonts w:cstheme="minorHAnsi"/>
        </w:rPr>
        <w:t>.</w:t>
      </w:r>
      <w:r w:rsidR="00D509D2" w:rsidRPr="000F4950">
        <w:rPr>
          <w:rFonts w:cstheme="minorHAnsi"/>
        </w:rPr>
        <w:t xml:space="preserve"> </w:t>
      </w:r>
    </w:p>
    <w:p w14:paraId="4455E6EC" w14:textId="4C94ACC3" w:rsidR="00D509D2" w:rsidRPr="000F4950" w:rsidRDefault="00283309"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Pr>
          <w:rFonts w:cstheme="minorHAnsi"/>
        </w:rPr>
        <w:t>The Massachusetts</w:t>
      </w:r>
      <w:r w:rsidR="00D509D2" w:rsidRPr="000F4950">
        <w:rPr>
          <w:rFonts w:cstheme="minorHAnsi"/>
        </w:rPr>
        <w:t xml:space="preserve"> state director participated in </w:t>
      </w:r>
      <w:r w:rsidR="00A673EF" w:rsidRPr="000F4950">
        <w:rPr>
          <w:rFonts w:cstheme="minorHAnsi"/>
        </w:rPr>
        <w:t>State Plan Advisory Committee</w:t>
      </w:r>
      <w:r w:rsidR="009C0129" w:rsidRPr="000F4950">
        <w:rPr>
          <w:rFonts w:cstheme="minorHAnsi"/>
        </w:rPr>
        <w:t xml:space="preserve"> that </w:t>
      </w:r>
      <w:r w:rsidR="00A673EF" w:rsidRPr="000F4950">
        <w:rPr>
          <w:rFonts w:cstheme="minorHAnsi"/>
        </w:rPr>
        <w:t xml:space="preserve">reviewed state plan task </w:t>
      </w:r>
      <w:r w:rsidR="009C0129" w:rsidRPr="000F4950">
        <w:rPr>
          <w:rFonts w:cstheme="minorHAnsi"/>
        </w:rPr>
        <w:t xml:space="preserve">and </w:t>
      </w:r>
      <w:r w:rsidR="00D509D2" w:rsidRPr="000F4950">
        <w:rPr>
          <w:rFonts w:cstheme="minorHAnsi"/>
        </w:rPr>
        <w:t>provide</w:t>
      </w:r>
      <w:r w:rsidR="009C0129" w:rsidRPr="000F4950">
        <w:rPr>
          <w:rFonts w:cstheme="minorHAnsi"/>
        </w:rPr>
        <w:t>d</w:t>
      </w:r>
      <w:r w:rsidR="00D509D2" w:rsidRPr="000F4950">
        <w:rPr>
          <w:rFonts w:cstheme="minorHAnsi"/>
        </w:rPr>
        <w:t xml:space="preserve"> guidance on WIOA implementation.</w:t>
      </w:r>
    </w:p>
    <w:p w14:paraId="2E88D7B5" w14:textId="77777777" w:rsidR="00D509D2" w:rsidRPr="000F4950" w:rsidRDefault="00D509D2" w:rsidP="00D509D2">
      <w:pPr>
        <w:pStyle w:val="ListParagraph"/>
        <w:autoSpaceDE w:val="0"/>
        <w:autoSpaceDN w:val="0"/>
        <w:adjustRightInd w:val="0"/>
        <w:spacing w:after="0" w:line="240" w:lineRule="auto"/>
        <w:ind w:left="360"/>
        <w:rPr>
          <w:rFonts w:cstheme="minorHAnsi"/>
          <w:i/>
        </w:rPr>
      </w:pPr>
    </w:p>
    <w:p w14:paraId="52C80AC7" w14:textId="77777777" w:rsidR="00D509D2" w:rsidRPr="000F4950" w:rsidRDefault="00235FE2" w:rsidP="00D509D2">
      <w:pPr>
        <w:pStyle w:val="ListParagraph"/>
        <w:numPr>
          <w:ilvl w:val="0"/>
          <w:numId w:val="1"/>
        </w:numPr>
        <w:autoSpaceDE w:val="0"/>
        <w:autoSpaceDN w:val="0"/>
        <w:adjustRightInd w:val="0"/>
        <w:spacing w:after="0" w:line="240" w:lineRule="auto"/>
        <w:rPr>
          <w:rFonts w:cstheme="minorHAnsi"/>
          <w:b/>
        </w:rPr>
      </w:pPr>
      <w:r w:rsidRPr="000F4950">
        <w:rPr>
          <w:rFonts w:cstheme="minorHAnsi"/>
          <w:i/>
        </w:rPr>
        <w:t>Establishment or operation of a high quality professional development programs as described in section 223(1)(b).</w:t>
      </w:r>
      <w:r w:rsidR="00D509D2" w:rsidRPr="000F4950">
        <w:rPr>
          <w:rFonts w:cstheme="minorHAnsi"/>
          <w:b/>
        </w:rPr>
        <w:t xml:space="preserve"> </w:t>
      </w:r>
    </w:p>
    <w:p w14:paraId="5F524DD5" w14:textId="739B69E5" w:rsidR="006F12E6" w:rsidRPr="000F4950" w:rsidRDefault="00D509D2"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Massachusetts supports a robust </w:t>
      </w:r>
      <w:r w:rsidR="006F5705" w:rsidRPr="000F4950">
        <w:rPr>
          <w:rFonts w:cstheme="minorHAnsi"/>
        </w:rPr>
        <w:t xml:space="preserve">adult education professional development (PD) </w:t>
      </w:r>
      <w:r w:rsidRPr="000F4950">
        <w:rPr>
          <w:rFonts w:cstheme="minorHAnsi"/>
        </w:rPr>
        <w:t>system</w:t>
      </w:r>
      <w:r w:rsidR="006F5705" w:rsidRPr="000F4950">
        <w:rPr>
          <w:rFonts w:cstheme="minorHAnsi"/>
        </w:rPr>
        <w:t xml:space="preserve">, known as </w:t>
      </w:r>
      <w:r w:rsidRPr="000F4950">
        <w:rPr>
          <w:rFonts w:cstheme="minorHAnsi"/>
        </w:rPr>
        <w:t>SABES</w:t>
      </w:r>
      <w:r w:rsidR="006F5705" w:rsidRPr="000F4950">
        <w:rPr>
          <w:rFonts w:cstheme="minorHAnsi"/>
        </w:rPr>
        <w:t>,</w:t>
      </w:r>
      <w:r w:rsidR="00BF667C" w:rsidRPr="000F4950">
        <w:rPr>
          <w:rFonts w:cstheme="minorHAnsi"/>
        </w:rPr>
        <w:t xml:space="preserve"> that</w:t>
      </w:r>
      <w:r w:rsidRPr="000F4950">
        <w:rPr>
          <w:rFonts w:cstheme="minorHAnsi"/>
        </w:rPr>
        <w:t xml:space="preserve"> provided adult education staff with high quality professional development (HQPD) in PY201</w:t>
      </w:r>
      <w:r w:rsidR="006F5705" w:rsidRPr="000F4950">
        <w:rPr>
          <w:rFonts w:cstheme="minorHAnsi"/>
        </w:rPr>
        <w:t>8</w:t>
      </w:r>
      <w:r w:rsidRPr="000F4950">
        <w:rPr>
          <w:rFonts w:cstheme="minorHAnsi"/>
        </w:rPr>
        <w:t>-1</w:t>
      </w:r>
      <w:r w:rsidR="006F5705" w:rsidRPr="000F4950">
        <w:rPr>
          <w:rFonts w:cstheme="minorHAnsi"/>
        </w:rPr>
        <w:t>9</w:t>
      </w:r>
      <w:r w:rsidR="00283309">
        <w:rPr>
          <w:rFonts w:cstheme="minorHAnsi"/>
        </w:rPr>
        <w:t>, the first year of a four</w:t>
      </w:r>
      <w:r w:rsidR="00B26F4F" w:rsidRPr="000F4950">
        <w:rPr>
          <w:rFonts w:cstheme="minorHAnsi"/>
        </w:rPr>
        <w:t>-year funding cycle</w:t>
      </w:r>
      <w:r w:rsidRPr="000F4950">
        <w:rPr>
          <w:rFonts w:cstheme="minorHAnsi"/>
        </w:rPr>
        <w:t xml:space="preserve">. </w:t>
      </w:r>
    </w:p>
    <w:p w14:paraId="7380C08A" w14:textId="77777777" w:rsidR="006F5705" w:rsidRPr="000F4950" w:rsidRDefault="00D509D2"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The </w:t>
      </w:r>
      <w:r w:rsidR="00905984" w:rsidRPr="000F4950">
        <w:rPr>
          <w:rFonts w:cstheme="minorHAnsi"/>
        </w:rPr>
        <w:t xml:space="preserve">PD </w:t>
      </w:r>
      <w:r w:rsidRPr="000F4950">
        <w:rPr>
          <w:rFonts w:cstheme="minorHAnsi"/>
        </w:rPr>
        <w:t>system</w:t>
      </w:r>
      <w:r w:rsidR="00905984" w:rsidRPr="000F4950">
        <w:rPr>
          <w:rFonts w:cstheme="minorHAnsi"/>
        </w:rPr>
        <w:t xml:space="preserve">, </w:t>
      </w:r>
      <w:r w:rsidRPr="000F4950">
        <w:rPr>
          <w:rFonts w:cstheme="minorHAnsi"/>
        </w:rPr>
        <w:t>funded through a combination of federal and state funds</w:t>
      </w:r>
      <w:r w:rsidR="00905984" w:rsidRPr="000F4950">
        <w:rPr>
          <w:rFonts w:cstheme="minorHAnsi"/>
        </w:rPr>
        <w:t>,</w:t>
      </w:r>
      <w:r w:rsidRPr="000F4950">
        <w:rPr>
          <w:rFonts w:cstheme="minorHAnsi"/>
        </w:rPr>
        <w:t xml:space="preserve"> consist</w:t>
      </w:r>
      <w:r w:rsidR="00905984" w:rsidRPr="000F4950">
        <w:rPr>
          <w:rFonts w:cstheme="minorHAnsi"/>
        </w:rPr>
        <w:t>s</w:t>
      </w:r>
      <w:r w:rsidRPr="000F4950">
        <w:rPr>
          <w:rFonts w:cstheme="minorHAnsi"/>
        </w:rPr>
        <w:t xml:space="preserve"> of </w:t>
      </w:r>
      <w:r w:rsidR="006F5705" w:rsidRPr="000F4950">
        <w:rPr>
          <w:rFonts w:cstheme="minorHAnsi"/>
        </w:rPr>
        <w:t>five</w:t>
      </w:r>
      <w:r w:rsidRPr="000F4950">
        <w:rPr>
          <w:rFonts w:cstheme="minorHAnsi"/>
        </w:rPr>
        <w:t xml:space="preserve"> </w:t>
      </w:r>
      <w:r w:rsidR="006F5705" w:rsidRPr="000F4950">
        <w:rPr>
          <w:rFonts w:cstheme="minorHAnsi"/>
        </w:rPr>
        <w:t xml:space="preserve">PD </w:t>
      </w:r>
      <w:r w:rsidRPr="000F4950">
        <w:rPr>
          <w:rFonts w:cstheme="minorHAnsi"/>
        </w:rPr>
        <w:t>centers</w:t>
      </w:r>
      <w:r w:rsidR="006F5705" w:rsidRPr="000F4950">
        <w:rPr>
          <w:rFonts w:cstheme="minorHAnsi"/>
        </w:rPr>
        <w:t>:</w:t>
      </w:r>
    </w:p>
    <w:p w14:paraId="2D675802" w14:textId="77777777" w:rsidR="005845B3" w:rsidRPr="000F4950" w:rsidRDefault="005845B3" w:rsidP="006F5705">
      <w:pPr>
        <w:pStyle w:val="ListParagraph"/>
        <w:numPr>
          <w:ilvl w:val="1"/>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Mathematics and Adult Numeracy </w:t>
      </w:r>
      <w:r w:rsidR="00476EE8" w:rsidRPr="000F4950">
        <w:rPr>
          <w:rFonts w:cstheme="minorHAnsi"/>
        </w:rPr>
        <w:t>C</w:t>
      </w:r>
      <w:r w:rsidR="006F5705" w:rsidRPr="000F4950">
        <w:rPr>
          <w:rFonts w:cstheme="minorHAnsi"/>
        </w:rPr>
        <w:t xml:space="preserve">urriculum &amp; </w:t>
      </w:r>
      <w:r w:rsidR="00476EE8" w:rsidRPr="000F4950">
        <w:rPr>
          <w:rFonts w:cstheme="minorHAnsi"/>
        </w:rPr>
        <w:t>I</w:t>
      </w:r>
      <w:r w:rsidR="006F5705" w:rsidRPr="000F4950">
        <w:rPr>
          <w:rFonts w:cstheme="minorHAnsi"/>
        </w:rPr>
        <w:t xml:space="preserve">nstruction PD </w:t>
      </w:r>
      <w:r w:rsidRPr="000F4950">
        <w:rPr>
          <w:rFonts w:cstheme="minorHAnsi"/>
        </w:rPr>
        <w:t>C</w:t>
      </w:r>
      <w:r w:rsidR="006F5705" w:rsidRPr="000F4950">
        <w:rPr>
          <w:rFonts w:cstheme="minorHAnsi"/>
        </w:rPr>
        <w:t>enter</w:t>
      </w:r>
    </w:p>
    <w:p w14:paraId="70A81187" w14:textId="77777777" w:rsidR="005845B3" w:rsidRPr="000F4950" w:rsidRDefault="005845B3" w:rsidP="006F5705">
      <w:pPr>
        <w:pStyle w:val="ListParagraph"/>
        <w:numPr>
          <w:ilvl w:val="1"/>
          <w:numId w:val="21"/>
        </w:numPr>
        <w:autoSpaceDE w:val="0"/>
        <w:autoSpaceDN w:val="0"/>
        <w:adjustRightInd w:val="0"/>
        <w:spacing w:before="100" w:beforeAutospacing="1" w:after="0" w:afterAutospacing="1" w:line="240" w:lineRule="auto"/>
        <w:rPr>
          <w:rFonts w:cstheme="minorHAnsi"/>
        </w:rPr>
      </w:pPr>
      <w:r w:rsidRPr="000F4950">
        <w:rPr>
          <w:rFonts w:cstheme="minorHAnsi"/>
        </w:rPr>
        <w:t>English Language Arts Curriculum &amp; Instruction PD Center</w:t>
      </w:r>
    </w:p>
    <w:p w14:paraId="7AB548D9" w14:textId="77777777" w:rsidR="006F5705" w:rsidRPr="000F4950" w:rsidRDefault="008771E8" w:rsidP="006F5705">
      <w:pPr>
        <w:pStyle w:val="ListParagraph"/>
        <w:numPr>
          <w:ilvl w:val="1"/>
          <w:numId w:val="21"/>
        </w:numPr>
        <w:autoSpaceDE w:val="0"/>
        <w:autoSpaceDN w:val="0"/>
        <w:adjustRightInd w:val="0"/>
        <w:spacing w:before="100" w:beforeAutospacing="1" w:after="0" w:afterAutospacing="1" w:line="240" w:lineRule="auto"/>
        <w:rPr>
          <w:rFonts w:cstheme="minorHAnsi"/>
        </w:rPr>
      </w:pPr>
      <w:hyperlink r:id="rId9" w:history="1">
        <w:r w:rsidR="00D509D2" w:rsidRPr="000F4950">
          <w:rPr>
            <w:rFonts w:cstheme="minorHAnsi"/>
          </w:rPr>
          <w:t>ESOL</w:t>
        </w:r>
      </w:hyperlink>
      <w:r w:rsidR="005845B3" w:rsidRPr="000F4950">
        <w:rPr>
          <w:rFonts w:cstheme="minorHAnsi"/>
        </w:rPr>
        <w:t xml:space="preserve"> Curriculum &amp; Instruction PD Center</w:t>
      </w:r>
    </w:p>
    <w:p w14:paraId="17B8A0C0" w14:textId="77777777" w:rsidR="005B7F27" w:rsidRPr="000F4950" w:rsidRDefault="006F5705" w:rsidP="006F5705">
      <w:pPr>
        <w:pStyle w:val="ListParagraph"/>
        <w:numPr>
          <w:ilvl w:val="1"/>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Program Support </w:t>
      </w:r>
      <w:r w:rsidR="00D509D2" w:rsidRPr="000F4950">
        <w:rPr>
          <w:rFonts w:cstheme="minorHAnsi"/>
        </w:rPr>
        <w:t xml:space="preserve">PD </w:t>
      </w:r>
      <w:r w:rsidR="005845B3" w:rsidRPr="000F4950">
        <w:rPr>
          <w:rFonts w:cstheme="minorHAnsi"/>
        </w:rPr>
        <w:t>C</w:t>
      </w:r>
      <w:r w:rsidR="00D509D2" w:rsidRPr="000F4950">
        <w:rPr>
          <w:rFonts w:cstheme="minorHAnsi"/>
        </w:rPr>
        <w:t xml:space="preserve">enter </w:t>
      </w:r>
      <w:r w:rsidR="005845B3" w:rsidRPr="000F4950">
        <w:rPr>
          <w:rFonts w:cstheme="minorHAnsi"/>
        </w:rPr>
        <w:t xml:space="preserve">focused on </w:t>
      </w:r>
      <w:r w:rsidRPr="000F4950">
        <w:rPr>
          <w:rFonts w:cstheme="minorHAnsi"/>
        </w:rPr>
        <w:t xml:space="preserve">such areas as </w:t>
      </w:r>
      <w:r w:rsidR="00D509D2" w:rsidRPr="000F4950">
        <w:rPr>
          <w:rFonts w:cstheme="minorHAnsi"/>
        </w:rPr>
        <w:t>educational leadership</w:t>
      </w:r>
      <w:r w:rsidRPr="000F4950">
        <w:rPr>
          <w:rFonts w:cstheme="minorHAnsi"/>
        </w:rPr>
        <w:t xml:space="preserve">, career pathways, digital literacy, advising, </w:t>
      </w:r>
      <w:r w:rsidR="00476EE8" w:rsidRPr="000F4950">
        <w:rPr>
          <w:rFonts w:cstheme="minorHAnsi"/>
        </w:rPr>
        <w:t>and professional licensure</w:t>
      </w:r>
    </w:p>
    <w:p w14:paraId="20FB993A" w14:textId="77777777" w:rsidR="005B7F27" w:rsidRPr="000F4950" w:rsidRDefault="005B7F27" w:rsidP="006F5705">
      <w:pPr>
        <w:pStyle w:val="ListParagraph"/>
        <w:numPr>
          <w:ilvl w:val="1"/>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PD System Communication Center </w:t>
      </w:r>
      <w:r w:rsidR="00287D8E" w:rsidRPr="000F4950">
        <w:rPr>
          <w:rFonts w:cstheme="minorHAnsi"/>
        </w:rPr>
        <w:t>responsible for</w:t>
      </w:r>
      <w:r w:rsidRPr="000F4950">
        <w:rPr>
          <w:rFonts w:cstheme="minorHAnsi"/>
        </w:rPr>
        <w:t xml:space="preserve"> the statewide SABES website, calendar, and registration system as well as promoting SABES PD and maximizing adult educator </w:t>
      </w:r>
      <w:r w:rsidR="00287D8E" w:rsidRPr="000F4950">
        <w:rPr>
          <w:rFonts w:cstheme="minorHAnsi"/>
        </w:rPr>
        <w:t>participation</w:t>
      </w:r>
      <w:r w:rsidRPr="000F4950">
        <w:rPr>
          <w:rFonts w:cstheme="minorHAnsi"/>
        </w:rPr>
        <w:t xml:space="preserve"> in SABES PD </w:t>
      </w:r>
    </w:p>
    <w:p w14:paraId="6F3217BD" w14:textId="77777777" w:rsidR="00D509D2" w:rsidRPr="000F4950" w:rsidRDefault="00905984"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In PY18-19, SABES </w:t>
      </w:r>
      <w:r w:rsidR="00D509D2" w:rsidRPr="000F4950">
        <w:rPr>
          <w:rFonts w:cstheme="minorHAnsi"/>
        </w:rPr>
        <w:t xml:space="preserve">PD centers provided a combination of online, face-to-face, and blended </w:t>
      </w:r>
      <w:r w:rsidRPr="000F4950">
        <w:rPr>
          <w:rFonts w:cstheme="minorHAnsi"/>
        </w:rPr>
        <w:t xml:space="preserve">PD </w:t>
      </w:r>
      <w:r w:rsidR="00D509D2" w:rsidRPr="000F4950">
        <w:rPr>
          <w:rFonts w:cstheme="minorHAnsi"/>
        </w:rPr>
        <w:t xml:space="preserve">offerings </w:t>
      </w:r>
      <w:r w:rsidRPr="000F4950">
        <w:rPr>
          <w:rFonts w:cstheme="minorHAnsi"/>
        </w:rPr>
        <w:t xml:space="preserve">and support </w:t>
      </w:r>
      <w:r w:rsidR="00D509D2" w:rsidRPr="000F4950">
        <w:rPr>
          <w:rFonts w:cstheme="minorHAnsi"/>
        </w:rPr>
        <w:t>that were designed for novice, proficient, and advanced practitioners.</w:t>
      </w:r>
      <w:r w:rsidR="00287D8E" w:rsidRPr="000F4950">
        <w:rPr>
          <w:rFonts w:cstheme="minorHAnsi"/>
        </w:rPr>
        <w:t xml:space="preserve"> Additionally, PD centers offer</w:t>
      </w:r>
      <w:r w:rsidRPr="000F4950">
        <w:rPr>
          <w:rFonts w:cstheme="minorHAnsi"/>
        </w:rPr>
        <w:t>ed</w:t>
      </w:r>
      <w:r w:rsidR="00287D8E" w:rsidRPr="000F4950">
        <w:rPr>
          <w:rFonts w:cstheme="minorHAnsi"/>
        </w:rPr>
        <w:t xml:space="preserve"> coaching and local provider-based PD that </w:t>
      </w:r>
      <w:r w:rsidRPr="000F4950">
        <w:rPr>
          <w:rFonts w:cstheme="minorHAnsi"/>
        </w:rPr>
        <w:t xml:space="preserve">were </w:t>
      </w:r>
      <w:r w:rsidR="00287D8E" w:rsidRPr="000F4950">
        <w:rPr>
          <w:rFonts w:cstheme="minorHAnsi"/>
        </w:rPr>
        <w:t>tailored</w:t>
      </w:r>
      <w:r w:rsidR="00D509D2" w:rsidRPr="000F4950">
        <w:rPr>
          <w:rFonts w:cstheme="minorHAnsi"/>
        </w:rPr>
        <w:t xml:space="preserve"> </w:t>
      </w:r>
      <w:r w:rsidRPr="000F4950">
        <w:rPr>
          <w:rFonts w:cstheme="minorHAnsi"/>
        </w:rPr>
        <w:t xml:space="preserve">to </w:t>
      </w:r>
      <w:r w:rsidR="00D509D2" w:rsidRPr="000F4950">
        <w:rPr>
          <w:rFonts w:cstheme="minorHAnsi"/>
        </w:rPr>
        <w:t>provider</w:t>
      </w:r>
      <w:r w:rsidRPr="000F4950">
        <w:rPr>
          <w:rFonts w:cstheme="minorHAnsi"/>
        </w:rPr>
        <w:t xml:space="preserve"> and practitioner need</w:t>
      </w:r>
      <w:r w:rsidR="00D509D2" w:rsidRPr="000F4950">
        <w:rPr>
          <w:rFonts w:cstheme="minorHAnsi"/>
        </w:rPr>
        <w:t xml:space="preserve">. All </w:t>
      </w:r>
      <w:r w:rsidRPr="000F4950">
        <w:rPr>
          <w:rFonts w:cstheme="minorHAnsi"/>
        </w:rPr>
        <w:t xml:space="preserve">PD </w:t>
      </w:r>
      <w:r w:rsidR="00D509D2" w:rsidRPr="000F4950">
        <w:rPr>
          <w:rFonts w:cstheme="minorHAnsi"/>
        </w:rPr>
        <w:t>offerings were guided by the needs of adult</w:t>
      </w:r>
      <w:r w:rsidR="006629A2" w:rsidRPr="000F4950">
        <w:rPr>
          <w:rFonts w:cstheme="minorHAnsi"/>
        </w:rPr>
        <w:t xml:space="preserve"> education </w:t>
      </w:r>
      <w:r w:rsidR="00D509D2" w:rsidRPr="000F4950">
        <w:rPr>
          <w:rFonts w:cstheme="minorHAnsi"/>
        </w:rPr>
        <w:t>learners.</w:t>
      </w:r>
    </w:p>
    <w:p w14:paraId="6FC5AD69" w14:textId="77777777" w:rsidR="00B26F4F" w:rsidRPr="000F4950" w:rsidRDefault="00D509D2"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ACLS has a dedicated staff person </w:t>
      </w:r>
      <w:r w:rsidR="006F12E6" w:rsidRPr="000F4950">
        <w:rPr>
          <w:rFonts w:cstheme="minorHAnsi"/>
        </w:rPr>
        <w:t xml:space="preserve">who is </w:t>
      </w:r>
      <w:r w:rsidRPr="000F4950">
        <w:rPr>
          <w:rFonts w:cstheme="minorHAnsi"/>
        </w:rPr>
        <w:t>responsible for oversight of the</w:t>
      </w:r>
      <w:r w:rsidR="006F12E6" w:rsidRPr="000F4950">
        <w:rPr>
          <w:rFonts w:cstheme="minorHAnsi"/>
        </w:rPr>
        <w:t xml:space="preserve"> state’s PD</w:t>
      </w:r>
      <w:r w:rsidRPr="000F4950">
        <w:rPr>
          <w:rFonts w:cstheme="minorHAnsi"/>
        </w:rPr>
        <w:t xml:space="preserve"> system </w:t>
      </w:r>
      <w:r w:rsidR="006F12E6" w:rsidRPr="000F4950">
        <w:rPr>
          <w:rFonts w:cstheme="minorHAnsi"/>
        </w:rPr>
        <w:t xml:space="preserve">and </w:t>
      </w:r>
      <w:r w:rsidR="00AB395A" w:rsidRPr="000F4950">
        <w:rPr>
          <w:rFonts w:cstheme="minorHAnsi"/>
        </w:rPr>
        <w:t>who regularly met</w:t>
      </w:r>
      <w:r w:rsidRPr="000F4950">
        <w:rPr>
          <w:rFonts w:cstheme="minorHAnsi"/>
        </w:rPr>
        <w:t xml:space="preserve"> with PD Center staff to provide support</w:t>
      </w:r>
      <w:r w:rsidR="006F12E6" w:rsidRPr="000F4950">
        <w:rPr>
          <w:rFonts w:cstheme="minorHAnsi"/>
        </w:rPr>
        <w:t xml:space="preserve"> and </w:t>
      </w:r>
      <w:r w:rsidRPr="000F4950">
        <w:rPr>
          <w:rFonts w:cstheme="minorHAnsi"/>
        </w:rPr>
        <w:t xml:space="preserve">guidance and </w:t>
      </w:r>
      <w:r w:rsidR="006F12E6" w:rsidRPr="000F4950">
        <w:rPr>
          <w:rFonts w:cstheme="minorHAnsi"/>
        </w:rPr>
        <w:t xml:space="preserve">to </w:t>
      </w:r>
      <w:r w:rsidRPr="000F4950">
        <w:rPr>
          <w:rFonts w:cstheme="minorHAnsi"/>
        </w:rPr>
        <w:t xml:space="preserve">ensure alignment between our office priorities and PD system offerings.  In addition, </w:t>
      </w:r>
      <w:r w:rsidR="00905984" w:rsidRPr="000F4950">
        <w:rPr>
          <w:rFonts w:cstheme="minorHAnsi"/>
        </w:rPr>
        <w:t>two</w:t>
      </w:r>
      <w:r w:rsidR="006F12E6" w:rsidRPr="000F4950">
        <w:rPr>
          <w:rFonts w:cstheme="minorHAnsi"/>
        </w:rPr>
        <w:t xml:space="preserve"> </w:t>
      </w:r>
      <w:r w:rsidRPr="000F4950">
        <w:rPr>
          <w:rFonts w:cstheme="minorHAnsi"/>
        </w:rPr>
        <w:t xml:space="preserve">ACLS program specialists and </w:t>
      </w:r>
      <w:r w:rsidR="00905984" w:rsidRPr="000F4950">
        <w:rPr>
          <w:rFonts w:cstheme="minorHAnsi"/>
        </w:rPr>
        <w:t xml:space="preserve">one ACLS </w:t>
      </w:r>
      <w:r w:rsidRPr="000F4950">
        <w:rPr>
          <w:rFonts w:cstheme="minorHAnsi"/>
        </w:rPr>
        <w:t xml:space="preserve">program developer </w:t>
      </w:r>
      <w:r w:rsidR="006F12E6" w:rsidRPr="000F4950">
        <w:rPr>
          <w:rFonts w:cstheme="minorHAnsi"/>
        </w:rPr>
        <w:t>were</w:t>
      </w:r>
      <w:r w:rsidRPr="000F4950">
        <w:rPr>
          <w:rFonts w:cstheme="minorHAnsi"/>
        </w:rPr>
        <w:t xml:space="preserve"> assigned as liaisons to </w:t>
      </w:r>
      <w:r w:rsidR="00905984" w:rsidRPr="000F4950">
        <w:rPr>
          <w:rFonts w:cstheme="minorHAnsi"/>
        </w:rPr>
        <w:t xml:space="preserve">specific </w:t>
      </w:r>
      <w:r w:rsidR="006F12E6" w:rsidRPr="000F4950">
        <w:rPr>
          <w:rFonts w:cstheme="minorHAnsi"/>
        </w:rPr>
        <w:t>areas of PD center work.</w:t>
      </w:r>
    </w:p>
    <w:p w14:paraId="0D9A89D0" w14:textId="2C3A5D98" w:rsidR="00D509D2" w:rsidRPr="000F4950" w:rsidRDefault="00B26F4F" w:rsidP="00B26F4F">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t xml:space="preserve">Information about the </w:t>
      </w:r>
      <w:r w:rsidR="00287D8E" w:rsidRPr="000F4950">
        <w:rPr>
          <w:rFonts w:cstheme="minorHAnsi"/>
        </w:rPr>
        <w:t xml:space="preserve">SABES PD </w:t>
      </w:r>
      <w:r w:rsidRPr="000F4950">
        <w:rPr>
          <w:rFonts w:cstheme="minorHAnsi"/>
        </w:rPr>
        <w:t xml:space="preserve">system can be </w:t>
      </w:r>
      <w:r w:rsidR="00287D8E" w:rsidRPr="000F4950">
        <w:rPr>
          <w:rFonts w:cstheme="minorHAnsi"/>
        </w:rPr>
        <w:t xml:space="preserve">found </w:t>
      </w:r>
      <w:r w:rsidRPr="000F4950">
        <w:rPr>
          <w:rFonts w:cstheme="minorHAnsi"/>
        </w:rPr>
        <w:t xml:space="preserve">on the </w:t>
      </w:r>
      <w:hyperlink r:id="rId10" w:history="1">
        <w:r w:rsidRPr="000F4950">
          <w:rPr>
            <w:rStyle w:val="Hyperlink"/>
            <w:rFonts w:cstheme="minorHAnsi"/>
          </w:rPr>
          <w:t>SABES website.</w:t>
        </w:r>
      </w:hyperlink>
    </w:p>
    <w:p w14:paraId="7CA59CFE" w14:textId="77777777" w:rsidR="00D509D2" w:rsidRPr="000F4950" w:rsidRDefault="00D509D2" w:rsidP="00D509D2">
      <w:pPr>
        <w:pStyle w:val="ListParagraph"/>
        <w:autoSpaceDE w:val="0"/>
        <w:autoSpaceDN w:val="0"/>
        <w:adjustRightInd w:val="0"/>
        <w:spacing w:after="0" w:line="240" w:lineRule="auto"/>
        <w:ind w:left="360"/>
        <w:rPr>
          <w:rFonts w:cstheme="minorHAnsi"/>
        </w:rPr>
      </w:pPr>
    </w:p>
    <w:p w14:paraId="7884B175" w14:textId="77777777" w:rsidR="00D509D2" w:rsidRPr="000F4950" w:rsidRDefault="00235FE2" w:rsidP="00D509D2">
      <w:pPr>
        <w:pStyle w:val="ListParagraph"/>
        <w:numPr>
          <w:ilvl w:val="0"/>
          <w:numId w:val="24"/>
        </w:numPr>
        <w:spacing w:after="160" w:line="259" w:lineRule="auto"/>
        <w:rPr>
          <w:rFonts w:cstheme="minorHAnsi"/>
          <w:b/>
        </w:rPr>
      </w:pPr>
      <w:r w:rsidRPr="000F4950">
        <w:rPr>
          <w:rFonts w:cstheme="minorHAnsi"/>
          <w:i/>
        </w:rPr>
        <w:t>Provision of technical assistance to funded eligible providers as described in section 223(1)(c).</w:t>
      </w:r>
      <w:r w:rsidR="00D509D2" w:rsidRPr="000F4950">
        <w:rPr>
          <w:rFonts w:cstheme="minorHAnsi"/>
          <w:b/>
        </w:rPr>
        <w:t xml:space="preserve"> </w:t>
      </w:r>
    </w:p>
    <w:p w14:paraId="1598D902" w14:textId="77777777" w:rsidR="00D509D2" w:rsidRPr="000F4950" w:rsidRDefault="00D509D2" w:rsidP="00BF667C">
      <w:pPr>
        <w:pStyle w:val="ListParagraph"/>
        <w:numPr>
          <w:ilvl w:val="0"/>
          <w:numId w:val="21"/>
        </w:numPr>
        <w:autoSpaceDE w:val="0"/>
        <w:autoSpaceDN w:val="0"/>
        <w:adjustRightInd w:val="0"/>
        <w:spacing w:before="100" w:beforeAutospacing="1" w:after="0" w:afterAutospacing="1" w:line="240" w:lineRule="auto"/>
        <w:rPr>
          <w:rFonts w:cstheme="minorHAnsi"/>
        </w:rPr>
      </w:pPr>
      <w:r w:rsidRPr="000F4950">
        <w:rPr>
          <w:rFonts w:cstheme="minorHAnsi"/>
        </w:rPr>
        <w:lastRenderedPageBreak/>
        <w:t>A combination of state and federal leadership funds were used to fund AC</w:t>
      </w:r>
      <w:r w:rsidR="00AB395A" w:rsidRPr="000F4950">
        <w:rPr>
          <w:rFonts w:cstheme="minorHAnsi"/>
        </w:rPr>
        <w:t xml:space="preserve">LS Program Specialists who had </w:t>
      </w:r>
      <w:r w:rsidRPr="000F4950">
        <w:rPr>
          <w:rFonts w:cstheme="minorHAnsi"/>
        </w:rPr>
        <w:t>a caseload of programs and offer</w:t>
      </w:r>
      <w:r w:rsidR="00AB395A" w:rsidRPr="000F4950">
        <w:rPr>
          <w:rFonts w:cstheme="minorHAnsi"/>
        </w:rPr>
        <w:t>ed</w:t>
      </w:r>
      <w:r w:rsidRPr="000F4950">
        <w:rPr>
          <w:rFonts w:cstheme="minorHAnsi"/>
        </w:rPr>
        <w:t xml:space="preserve"> technical assistance and monitor programs in a variety of forms and venues: </w:t>
      </w:r>
    </w:p>
    <w:p w14:paraId="23C9CCD0" w14:textId="77777777" w:rsidR="00D509D2" w:rsidRPr="000F4950" w:rsidRDefault="00D509D2" w:rsidP="00BF667C">
      <w:pPr>
        <w:pStyle w:val="NoSpacing"/>
        <w:numPr>
          <w:ilvl w:val="1"/>
          <w:numId w:val="27"/>
        </w:numPr>
        <w:rPr>
          <w:rFonts w:cstheme="minorHAnsi"/>
        </w:rPr>
      </w:pPr>
      <w:r w:rsidRPr="000F4950">
        <w:rPr>
          <w:rFonts w:cstheme="minorHAnsi"/>
        </w:rPr>
        <w:t xml:space="preserve">ACLS sent out </w:t>
      </w:r>
      <w:hyperlink r:id="rId11" w:history="1">
        <w:r w:rsidRPr="000F4950">
          <w:rPr>
            <w:rFonts w:cstheme="minorHAnsi"/>
          </w:rPr>
          <w:t>monthly mailings</w:t>
        </w:r>
      </w:hyperlink>
      <w:r w:rsidRPr="000F4950">
        <w:rPr>
          <w:rFonts w:cstheme="minorHAnsi"/>
        </w:rPr>
        <w:t xml:space="preserve"> that included resources, updates, and information on a range of topics including curriculum, instruction, assessment career pathways, and HQPD. </w:t>
      </w:r>
    </w:p>
    <w:p w14:paraId="0FC30C0D" w14:textId="02975246" w:rsidR="00A673EF" w:rsidRPr="000F4950" w:rsidRDefault="00D509D2" w:rsidP="00BF667C">
      <w:pPr>
        <w:pStyle w:val="ListParagraph"/>
        <w:numPr>
          <w:ilvl w:val="1"/>
          <w:numId w:val="27"/>
        </w:numPr>
        <w:spacing w:before="100" w:beforeAutospacing="1" w:after="100" w:afterAutospacing="1"/>
        <w:rPr>
          <w:rFonts w:cstheme="minorHAnsi"/>
        </w:rPr>
      </w:pPr>
      <w:r w:rsidRPr="000F4950">
        <w:rPr>
          <w:rFonts w:cstheme="minorHAnsi"/>
        </w:rPr>
        <w:t xml:space="preserve">Desk reviews conducted by Program Specialists to monitor program data. </w:t>
      </w:r>
    </w:p>
    <w:p w14:paraId="48B202F3" w14:textId="480E4391" w:rsidR="00D509D2" w:rsidRPr="000F4950" w:rsidRDefault="00D509D2" w:rsidP="00BF667C">
      <w:pPr>
        <w:pStyle w:val="ListParagraph"/>
        <w:numPr>
          <w:ilvl w:val="1"/>
          <w:numId w:val="27"/>
        </w:numPr>
        <w:spacing w:before="100" w:beforeAutospacing="1" w:after="100" w:afterAutospacing="1"/>
        <w:rPr>
          <w:rFonts w:cstheme="minorHAnsi"/>
        </w:rPr>
      </w:pPr>
      <w:r w:rsidRPr="000F4950">
        <w:rPr>
          <w:rFonts w:cstheme="minorHAnsi"/>
        </w:rPr>
        <w:t>ACLS staff provide</w:t>
      </w:r>
      <w:r w:rsidR="00A673EF" w:rsidRPr="000F4950">
        <w:rPr>
          <w:rFonts w:cstheme="minorHAnsi"/>
        </w:rPr>
        <w:t>d</w:t>
      </w:r>
      <w:r w:rsidRPr="000F4950">
        <w:rPr>
          <w:rFonts w:cstheme="minorHAnsi"/>
        </w:rPr>
        <w:t xml:space="preserve"> technical assistance </w:t>
      </w:r>
      <w:r w:rsidR="00AB395A" w:rsidRPr="000F4950">
        <w:rPr>
          <w:rFonts w:cstheme="minorHAnsi"/>
        </w:rPr>
        <w:t>in PY1</w:t>
      </w:r>
      <w:r w:rsidR="00A673EF" w:rsidRPr="000F4950">
        <w:rPr>
          <w:rFonts w:cstheme="minorHAnsi"/>
        </w:rPr>
        <w:t>8</w:t>
      </w:r>
      <w:r w:rsidR="00AB395A" w:rsidRPr="000F4950">
        <w:rPr>
          <w:rFonts w:cstheme="minorHAnsi"/>
        </w:rPr>
        <w:t>-1</w:t>
      </w:r>
      <w:r w:rsidR="00A673EF" w:rsidRPr="000F4950">
        <w:rPr>
          <w:rFonts w:cstheme="minorHAnsi"/>
        </w:rPr>
        <w:t>9</w:t>
      </w:r>
      <w:r w:rsidR="00AB395A" w:rsidRPr="000F4950">
        <w:rPr>
          <w:rFonts w:cstheme="minorHAnsi"/>
        </w:rPr>
        <w:t xml:space="preserve">, </w:t>
      </w:r>
      <w:r w:rsidR="00A673EF" w:rsidRPr="000F4950">
        <w:rPr>
          <w:rFonts w:cstheme="minorHAnsi"/>
        </w:rPr>
        <w:t>to address</w:t>
      </w:r>
      <w:r w:rsidRPr="000F4950">
        <w:rPr>
          <w:rFonts w:cstheme="minorHAnsi"/>
        </w:rPr>
        <w:t xml:space="preserve"> </w:t>
      </w:r>
      <w:r w:rsidR="00B3468E" w:rsidRPr="000F4950">
        <w:rPr>
          <w:rFonts w:cstheme="minorHAnsi"/>
        </w:rPr>
        <w:t>arears for improvement</w:t>
      </w:r>
      <w:r w:rsidRPr="000F4950">
        <w:rPr>
          <w:rFonts w:cstheme="minorHAnsi"/>
        </w:rPr>
        <w:t>/concerns identified</w:t>
      </w:r>
      <w:r w:rsidR="00B3468E" w:rsidRPr="000F4950">
        <w:rPr>
          <w:rFonts w:cstheme="minorHAnsi"/>
        </w:rPr>
        <w:t xml:space="preserve"> by program leadership and program specialist, collaboratively</w:t>
      </w:r>
      <w:r w:rsidRPr="000F4950">
        <w:rPr>
          <w:rFonts w:cstheme="minorHAnsi"/>
        </w:rPr>
        <w:t xml:space="preserve">. </w:t>
      </w:r>
    </w:p>
    <w:p w14:paraId="7027EEE7" w14:textId="77777777" w:rsidR="00D509D2" w:rsidRPr="000F4950" w:rsidRDefault="00D509D2" w:rsidP="007824D8">
      <w:pPr>
        <w:pStyle w:val="NoSpacing"/>
        <w:numPr>
          <w:ilvl w:val="1"/>
          <w:numId w:val="27"/>
        </w:numPr>
        <w:rPr>
          <w:rFonts w:cstheme="minorHAnsi"/>
        </w:rPr>
      </w:pPr>
      <w:r w:rsidRPr="000F4950">
        <w:rPr>
          <w:rFonts w:cstheme="minorHAnsi"/>
        </w:rPr>
        <w:t xml:space="preserve">ACLS Program Specialists conducted phone orientations for new directors. </w:t>
      </w:r>
    </w:p>
    <w:p w14:paraId="286340B3" w14:textId="0DC8958B" w:rsidR="004A2534" w:rsidRPr="000F4950" w:rsidRDefault="00D509D2" w:rsidP="00613E5C">
      <w:pPr>
        <w:pStyle w:val="ListParagraph"/>
        <w:autoSpaceDE w:val="0"/>
        <w:autoSpaceDN w:val="0"/>
        <w:adjustRightInd w:val="0"/>
        <w:spacing w:before="100" w:beforeAutospacing="1" w:after="0" w:afterAutospacing="1" w:line="240" w:lineRule="auto"/>
        <w:rPr>
          <w:rFonts w:cstheme="minorHAnsi"/>
        </w:rPr>
      </w:pPr>
      <w:r w:rsidRPr="000F4950">
        <w:rPr>
          <w:rFonts w:cstheme="minorHAnsi"/>
        </w:rPr>
        <w:t>ACLS has a dedicated cu</w:t>
      </w:r>
      <w:r w:rsidR="00AB395A" w:rsidRPr="000F4950">
        <w:rPr>
          <w:rFonts w:cstheme="minorHAnsi"/>
        </w:rPr>
        <w:t>rriculum specialist who supported</w:t>
      </w:r>
      <w:r w:rsidRPr="000F4950">
        <w:rPr>
          <w:rFonts w:cstheme="minorHAnsi"/>
        </w:rPr>
        <w:t xml:space="preserve"> the PD con</w:t>
      </w:r>
      <w:r w:rsidR="00AB395A" w:rsidRPr="000F4950">
        <w:rPr>
          <w:rFonts w:cstheme="minorHAnsi"/>
        </w:rPr>
        <w:t>tent centers and provided</w:t>
      </w:r>
      <w:r w:rsidRPr="000F4950">
        <w:rPr>
          <w:rFonts w:cstheme="minorHAnsi"/>
        </w:rPr>
        <w:t xml:space="preserve"> curriculum guidance to program</w:t>
      </w:r>
      <w:r w:rsidR="00AB395A" w:rsidRPr="000F4950">
        <w:rPr>
          <w:rFonts w:cstheme="minorHAnsi"/>
        </w:rPr>
        <w:t>s. Information and resources were</w:t>
      </w:r>
      <w:r w:rsidRPr="000F4950">
        <w:rPr>
          <w:rFonts w:cstheme="minorHAnsi"/>
        </w:rPr>
        <w:t xml:space="preserve"> shared through our </w:t>
      </w:r>
      <w:hyperlink r:id="rId12" w:history="1">
        <w:r w:rsidRPr="000F4950">
          <w:rPr>
            <w:rStyle w:val="Hyperlink"/>
            <w:rFonts w:cstheme="minorHAnsi"/>
          </w:rPr>
          <w:t>website</w:t>
        </w:r>
      </w:hyperlink>
      <w:r w:rsidRPr="000F4950">
        <w:rPr>
          <w:rFonts w:cstheme="minorHAnsi"/>
          <w:color w:val="FF0000"/>
        </w:rPr>
        <w:t xml:space="preserve"> </w:t>
      </w:r>
      <w:r w:rsidR="00AB395A" w:rsidRPr="000F4950">
        <w:rPr>
          <w:rFonts w:cstheme="minorHAnsi"/>
        </w:rPr>
        <w:t xml:space="preserve">and </w:t>
      </w:r>
      <w:r w:rsidRPr="000F4950">
        <w:rPr>
          <w:rFonts w:cstheme="minorHAnsi"/>
        </w:rPr>
        <w:t xml:space="preserve">updates in monthly mailings. The curriculum specialist was involved in overseeing and supporting the </w:t>
      </w:r>
      <w:r w:rsidR="008557F3" w:rsidRPr="000F4950">
        <w:rPr>
          <w:rFonts w:cstheme="minorHAnsi"/>
        </w:rPr>
        <w:t xml:space="preserve">development and release of the new </w:t>
      </w:r>
      <w:hyperlink r:id="rId13" w:history="1">
        <w:r w:rsidR="008557F3" w:rsidRPr="000F4950">
          <w:rPr>
            <w:rStyle w:val="Hyperlink"/>
            <w:rFonts w:cstheme="minorHAnsi"/>
          </w:rPr>
          <w:t>Massachusetts English Language Proficiency Standards (MA ELPS)</w:t>
        </w:r>
      </w:hyperlink>
      <w:r w:rsidR="008557F3" w:rsidRPr="000F4950">
        <w:rPr>
          <w:rFonts w:cstheme="minorHAnsi"/>
        </w:rPr>
        <w:t xml:space="preserve"> and the </w:t>
      </w:r>
      <w:hyperlink r:id="rId14" w:history="1">
        <w:r w:rsidR="006E0CC6" w:rsidRPr="000F4950">
          <w:rPr>
            <w:rStyle w:val="Hyperlink"/>
            <w:rFonts w:cstheme="minorHAnsi"/>
          </w:rPr>
          <w:t>Massachusetts English Language Arts</w:t>
        </w:r>
        <w:r w:rsidR="008557F3" w:rsidRPr="000F4950">
          <w:rPr>
            <w:rStyle w:val="Hyperlink"/>
            <w:rFonts w:cstheme="minorHAnsi"/>
          </w:rPr>
          <w:t xml:space="preserve"> and Mathematics Proficiency </w:t>
        </w:r>
        <w:r w:rsidR="006E0CC6" w:rsidRPr="000F4950">
          <w:rPr>
            <w:rStyle w:val="Hyperlink"/>
            <w:rFonts w:cstheme="minorHAnsi"/>
          </w:rPr>
          <w:t>Guides</w:t>
        </w:r>
      </w:hyperlink>
      <w:r w:rsidR="006E0CC6" w:rsidRPr="000F4950">
        <w:rPr>
          <w:rFonts w:cstheme="minorHAnsi"/>
        </w:rPr>
        <w:t xml:space="preserve">, tools designed to help teachers engage in the work of improving teacher practice. The proficiency guides are based on the </w:t>
      </w:r>
      <w:hyperlink r:id="rId15" w:history="1">
        <w:r w:rsidR="006E0CC6" w:rsidRPr="000F4950">
          <w:rPr>
            <w:rStyle w:val="Hyperlink"/>
            <w:rFonts w:cstheme="minorHAnsi"/>
          </w:rPr>
          <w:t>Massachusetts Professional Standards for Teachers of Adult Education</w:t>
        </w:r>
      </w:hyperlink>
      <w:r w:rsidR="006E0CC6" w:rsidRPr="000F4950">
        <w:rPr>
          <w:rFonts w:cstheme="minorHAnsi"/>
        </w:rPr>
        <w:t xml:space="preserve"> and contain essential concepts teachers need to know and observable teacher and student behaviors. </w:t>
      </w:r>
    </w:p>
    <w:p w14:paraId="02B5E8E6" w14:textId="77777777" w:rsidR="004A2534" w:rsidRPr="000F4950" w:rsidRDefault="004A2534" w:rsidP="00613E5C">
      <w:pPr>
        <w:pStyle w:val="ListParagraph"/>
        <w:autoSpaceDE w:val="0"/>
        <w:autoSpaceDN w:val="0"/>
        <w:adjustRightInd w:val="0"/>
        <w:spacing w:before="100" w:beforeAutospacing="1" w:line="240" w:lineRule="auto"/>
        <w:rPr>
          <w:rFonts w:cstheme="minorHAnsi"/>
        </w:rPr>
      </w:pPr>
    </w:p>
    <w:p w14:paraId="17B4792D" w14:textId="7274295D" w:rsidR="00D509D2" w:rsidRPr="000F4950" w:rsidRDefault="00D509D2" w:rsidP="00613E5C">
      <w:pPr>
        <w:pStyle w:val="ListParagraph"/>
        <w:numPr>
          <w:ilvl w:val="0"/>
          <w:numId w:val="21"/>
        </w:numPr>
        <w:autoSpaceDE w:val="0"/>
        <w:autoSpaceDN w:val="0"/>
        <w:adjustRightInd w:val="0"/>
        <w:spacing w:before="100" w:beforeAutospacing="1" w:line="240" w:lineRule="auto"/>
        <w:rPr>
          <w:rFonts w:cstheme="minorHAnsi"/>
        </w:rPr>
      </w:pPr>
      <w:r w:rsidRPr="000F4950">
        <w:rPr>
          <w:rFonts w:cstheme="minorHAnsi"/>
        </w:rPr>
        <w:t xml:space="preserve">The annual </w:t>
      </w:r>
      <w:hyperlink r:id="rId16" w:history="1">
        <w:r w:rsidR="00F3724F" w:rsidRPr="000F4950">
          <w:rPr>
            <w:rStyle w:val="Hyperlink"/>
            <w:rFonts w:cstheme="minorHAnsi"/>
          </w:rPr>
          <w:t>Directors’ Meeting</w:t>
        </w:r>
      </w:hyperlink>
      <w:r w:rsidR="00283309">
        <w:rPr>
          <w:rFonts w:cstheme="minorHAnsi"/>
        </w:rPr>
        <w:t>,</w:t>
      </w:r>
      <w:r w:rsidR="00F3724F" w:rsidRPr="000F4950">
        <w:rPr>
          <w:rFonts w:cstheme="minorHAnsi"/>
        </w:rPr>
        <w:t xml:space="preserve"> </w:t>
      </w:r>
      <w:r w:rsidRPr="000F4950">
        <w:rPr>
          <w:rFonts w:cstheme="minorHAnsi"/>
        </w:rPr>
        <w:t>held on May 2</w:t>
      </w:r>
      <w:r w:rsidR="00B3468E" w:rsidRPr="000F4950">
        <w:rPr>
          <w:rFonts w:cstheme="minorHAnsi"/>
        </w:rPr>
        <w:t>2</w:t>
      </w:r>
      <w:r w:rsidRPr="000F4950">
        <w:rPr>
          <w:rFonts w:cstheme="minorHAnsi"/>
        </w:rPr>
        <w:t xml:space="preserve">, </w:t>
      </w:r>
      <w:r w:rsidR="008D488F" w:rsidRPr="000F4950">
        <w:rPr>
          <w:rFonts w:cstheme="minorHAnsi"/>
        </w:rPr>
        <w:t>201</w:t>
      </w:r>
      <w:r w:rsidR="00B3468E" w:rsidRPr="000F4950">
        <w:rPr>
          <w:rFonts w:cstheme="minorHAnsi"/>
        </w:rPr>
        <w:t>9</w:t>
      </w:r>
      <w:r w:rsidR="00283309">
        <w:rPr>
          <w:rFonts w:cstheme="minorHAnsi"/>
        </w:rPr>
        <w:t>,</w:t>
      </w:r>
      <w:r w:rsidR="008D488F" w:rsidRPr="000F4950">
        <w:rPr>
          <w:rFonts w:cstheme="minorHAnsi"/>
        </w:rPr>
        <w:t xml:space="preserve"> was</w:t>
      </w:r>
      <w:r w:rsidR="007E6387" w:rsidRPr="000F4950">
        <w:rPr>
          <w:rFonts w:cstheme="minorHAnsi"/>
        </w:rPr>
        <w:t xml:space="preserve"> </w:t>
      </w:r>
      <w:r w:rsidRPr="000F4950">
        <w:rPr>
          <w:rFonts w:cstheme="minorHAnsi"/>
        </w:rPr>
        <w:t xml:space="preserve">used </w:t>
      </w:r>
      <w:r w:rsidR="00F3724F" w:rsidRPr="000F4950">
        <w:rPr>
          <w:rFonts w:cstheme="minorHAnsi"/>
        </w:rPr>
        <w:t>deepen</w:t>
      </w:r>
      <w:r w:rsidRPr="000F4950">
        <w:rPr>
          <w:rFonts w:cstheme="minorHAnsi"/>
        </w:rPr>
        <w:t xml:space="preserve"> </w:t>
      </w:r>
      <w:r w:rsidR="00F3724F" w:rsidRPr="000F4950">
        <w:rPr>
          <w:rFonts w:cstheme="minorHAnsi"/>
        </w:rPr>
        <w:t xml:space="preserve">capacity for our </w:t>
      </w:r>
      <w:r w:rsidRPr="000F4950">
        <w:rPr>
          <w:rFonts w:cstheme="minorHAnsi"/>
        </w:rPr>
        <w:t xml:space="preserve">adult education system for programs that were awarded funding for the </w:t>
      </w:r>
      <w:r w:rsidR="00BB6B7A" w:rsidRPr="000F4950">
        <w:rPr>
          <w:rFonts w:cstheme="minorHAnsi"/>
        </w:rPr>
        <w:t>FY19-22</w:t>
      </w:r>
      <w:r w:rsidR="00BB6B7A">
        <w:rPr>
          <w:rFonts w:cstheme="minorHAnsi"/>
        </w:rPr>
        <w:t xml:space="preserve"> </w:t>
      </w:r>
      <w:r w:rsidRPr="000F4950">
        <w:rPr>
          <w:rFonts w:cstheme="minorHAnsi"/>
        </w:rPr>
        <w:t xml:space="preserve">funding cycle. Massachusetts state staff presented on a broad range of important subjects: </w:t>
      </w:r>
      <w:r w:rsidR="00CF78CC" w:rsidRPr="000F4950">
        <w:rPr>
          <w:rFonts w:eastAsia="Times New Roman" w:cstheme="minorHAnsi"/>
          <w:bCs/>
        </w:rPr>
        <w:t xml:space="preserve">serving adult learners and business customers, </w:t>
      </w:r>
      <w:r w:rsidR="00CF78CC" w:rsidRPr="000F4950">
        <w:rPr>
          <w:rFonts w:cstheme="minorHAnsi"/>
        </w:rPr>
        <w:t xml:space="preserve">the </w:t>
      </w:r>
      <w:r w:rsidR="00CF78CC" w:rsidRPr="000F4950">
        <w:rPr>
          <w:rFonts w:eastAsia="Times New Roman" w:cstheme="minorHAnsi"/>
          <w:i/>
        </w:rPr>
        <w:t>Adult Education Accountability System</w:t>
      </w:r>
      <w:r w:rsidR="00CF78CC" w:rsidRPr="000F4950">
        <w:rPr>
          <w:rFonts w:cstheme="minorHAnsi"/>
        </w:rPr>
        <w:t>, data analysis, learning disabilities and workforce preparation and employability skills.</w:t>
      </w:r>
    </w:p>
    <w:p w14:paraId="019980FB" w14:textId="77777777" w:rsidR="00235FE2" w:rsidRPr="000F4950" w:rsidRDefault="001D18C8" w:rsidP="00D509D2">
      <w:pPr>
        <w:pStyle w:val="ListParagraph"/>
        <w:autoSpaceDE w:val="0"/>
        <w:autoSpaceDN w:val="0"/>
        <w:adjustRightInd w:val="0"/>
        <w:spacing w:before="100" w:beforeAutospacing="1" w:after="0" w:afterAutospacing="1" w:line="240" w:lineRule="auto"/>
        <w:ind w:left="1080"/>
        <w:rPr>
          <w:rFonts w:cstheme="minorHAnsi"/>
        </w:rPr>
      </w:pPr>
      <w:r w:rsidRPr="000F4950">
        <w:rPr>
          <w:rFonts w:cstheme="minorHAnsi"/>
        </w:rPr>
        <w:t xml:space="preserve"> </w:t>
      </w:r>
    </w:p>
    <w:p w14:paraId="78F5C830" w14:textId="77777777" w:rsidR="00D509D2" w:rsidRPr="000F4950" w:rsidRDefault="00235FE2" w:rsidP="00D509D2">
      <w:pPr>
        <w:pStyle w:val="ListParagraph"/>
        <w:numPr>
          <w:ilvl w:val="0"/>
          <w:numId w:val="23"/>
        </w:numPr>
        <w:spacing w:after="160" w:line="259" w:lineRule="auto"/>
        <w:rPr>
          <w:rFonts w:cstheme="minorHAnsi"/>
          <w:b/>
        </w:rPr>
      </w:pPr>
      <w:r w:rsidRPr="000F4950">
        <w:rPr>
          <w:rFonts w:cstheme="minorHAnsi"/>
          <w:i/>
        </w:rPr>
        <w:t>Monitoring and evaluation of the quality and improvement of adult education activities as described in section 223(1)(d).</w:t>
      </w:r>
      <w:r w:rsidR="00D509D2" w:rsidRPr="000F4950">
        <w:rPr>
          <w:rFonts w:cstheme="minorHAnsi"/>
          <w:i/>
        </w:rPr>
        <w:t xml:space="preserve"> </w:t>
      </w:r>
    </w:p>
    <w:p w14:paraId="080DE3AF" w14:textId="451362B6" w:rsidR="004261CB" w:rsidRPr="000F4950" w:rsidRDefault="004261CB" w:rsidP="004261CB">
      <w:pPr>
        <w:pStyle w:val="ListParagraph"/>
        <w:numPr>
          <w:ilvl w:val="0"/>
          <w:numId w:val="12"/>
        </w:numPr>
        <w:rPr>
          <w:rFonts w:cstheme="minorHAnsi"/>
        </w:rPr>
      </w:pPr>
      <w:r w:rsidRPr="000F4950">
        <w:rPr>
          <w:rFonts w:cstheme="minorHAnsi"/>
        </w:rPr>
        <w:t xml:space="preserve">In PY18-19, ACLS conducted 24 program quality reviews evaluating programs against four Indicators of Program Quality.  Each program received a rating of either </w:t>
      </w:r>
      <w:r w:rsidRPr="000F4950">
        <w:rPr>
          <w:rFonts w:cstheme="minorHAnsi"/>
          <w:i/>
        </w:rPr>
        <w:t xml:space="preserve">Limited Evidence, Developing, Proficient, </w:t>
      </w:r>
      <w:r w:rsidRPr="000F4950">
        <w:rPr>
          <w:rFonts w:cstheme="minorHAnsi"/>
        </w:rPr>
        <w:t xml:space="preserve">or </w:t>
      </w:r>
      <w:r w:rsidRPr="000F4950">
        <w:rPr>
          <w:rFonts w:cstheme="minorHAnsi"/>
          <w:i/>
        </w:rPr>
        <w:t>Exemplary</w:t>
      </w:r>
      <w:r w:rsidRPr="000F4950">
        <w:rPr>
          <w:rFonts w:cstheme="minorHAnsi"/>
        </w:rPr>
        <w:t xml:space="preserve"> for each of the indicators reviewed.  In addition, ACLS program specialists conducted </w:t>
      </w:r>
      <w:r w:rsidR="00996D85" w:rsidRPr="000F4950">
        <w:rPr>
          <w:rFonts w:cstheme="minorHAnsi"/>
        </w:rPr>
        <w:t>6</w:t>
      </w:r>
      <w:r w:rsidR="00BD69D6" w:rsidRPr="000F4950">
        <w:rPr>
          <w:rFonts w:cstheme="minorHAnsi"/>
        </w:rPr>
        <w:t>5</w:t>
      </w:r>
      <w:r w:rsidRPr="000F4950">
        <w:rPr>
          <w:rFonts w:cstheme="minorHAnsi"/>
        </w:rPr>
        <w:t xml:space="preserve"> site visits of programs across the state.  The purpose for these visits is to learn more about each particular program and to offer technical assistance as needed.  </w:t>
      </w:r>
    </w:p>
    <w:p w14:paraId="32577BF2" w14:textId="331E4D8E" w:rsidR="00D509D2" w:rsidRPr="000F4950" w:rsidRDefault="00550974">
      <w:pPr>
        <w:pStyle w:val="ListParagraph"/>
        <w:numPr>
          <w:ilvl w:val="0"/>
          <w:numId w:val="12"/>
        </w:numPr>
        <w:rPr>
          <w:rFonts w:cstheme="minorHAnsi"/>
        </w:rPr>
      </w:pPr>
      <w:r w:rsidRPr="000F4950">
        <w:rPr>
          <w:rFonts w:cstheme="minorHAnsi"/>
        </w:rPr>
        <w:t xml:space="preserve">Using </w:t>
      </w:r>
      <w:r w:rsidR="00143221" w:rsidRPr="000F4950">
        <w:rPr>
          <w:rFonts w:cstheme="minorHAnsi"/>
        </w:rPr>
        <w:t xml:space="preserve">ACLS’ risk </w:t>
      </w:r>
      <w:r w:rsidR="00BB6B7A" w:rsidRPr="000F4950">
        <w:rPr>
          <w:rFonts w:cstheme="minorHAnsi"/>
        </w:rPr>
        <w:t>analysis, which ranked all providers by exposure, the DESE Audit and Compliance unit</w:t>
      </w:r>
      <w:r w:rsidRPr="000F4950">
        <w:rPr>
          <w:rFonts w:cstheme="minorHAnsi"/>
        </w:rPr>
        <w:t xml:space="preserve"> identified and conducted fiscal reviews of </w:t>
      </w:r>
      <w:r w:rsidR="00143221" w:rsidRPr="000F4950">
        <w:rPr>
          <w:rFonts w:cstheme="minorHAnsi"/>
        </w:rPr>
        <w:t>eight</w:t>
      </w:r>
      <w:r w:rsidRPr="000F4950">
        <w:rPr>
          <w:rFonts w:cstheme="minorHAnsi"/>
        </w:rPr>
        <w:t xml:space="preserve"> grantees in PY1</w:t>
      </w:r>
      <w:r w:rsidR="004A2534" w:rsidRPr="000F4950">
        <w:rPr>
          <w:rFonts w:cstheme="minorHAnsi"/>
        </w:rPr>
        <w:t>8</w:t>
      </w:r>
      <w:r w:rsidRPr="000F4950">
        <w:rPr>
          <w:rFonts w:cstheme="minorHAnsi"/>
        </w:rPr>
        <w:t>-19. These onsite audits included technical assistance.</w:t>
      </w:r>
    </w:p>
    <w:p w14:paraId="24194477" w14:textId="77777777" w:rsidR="00D509D2" w:rsidRPr="000F4950" w:rsidRDefault="00D509D2" w:rsidP="00D509D2">
      <w:pPr>
        <w:pStyle w:val="ListParagraph"/>
        <w:autoSpaceDE w:val="0"/>
        <w:autoSpaceDN w:val="0"/>
        <w:adjustRightInd w:val="0"/>
        <w:spacing w:after="0" w:line="240" w:lineRule="auto"/>
        <w:ind w:left="360"/>
        <w:rPr>
          <w:rFonts w:cstheme="minorHAnsi"/>
          <w:i/>
        </w:rPr>
      </w:pPr>
    </w:p>
    <w:p w14:paraId="78644D7D" w14:textId="77777777" w:rsidR="00235FE2" w:rsidRPr="000F4950" w:rsidRDefault="006D3E46" w:rsidP="00235FE2">
      <w:pPr>
        <w:autoSpaceDE w:val="0"/>
        <w:autoSpaceDN w:val="0"/>
        <w:adjustRightInd w:val="0"/>
        <w:spacing w:after="0" w:line="240" w:lineRule="auto"/>
        <w:rPr>
          <w:rFonts w:cstheme="minorHAnsi"/>
          <w:i/>
        </w:rPr>
      </w:pPr>
      <w:r w:rsidRPr="000F4950">
        <w:rPr>
          <w:rFonts w:cstheme="minorHAnsi"/>
          <w:i/>
        </w:rPr>
        <w:t xml:space="preserve"> </w:t>
      </w:r>
      <w:r w:rsidR="00235FE2" w:rsidRPr="000F4950">
        <w:rPr>
          <w:rFonts w:cstheme="minorHAnsi"/>
          <w:i/>
        </w:rPr>
        <w:t>(b) As applicable, describe how the State has used funds for additional permissible activities described in section 223(a)(2).</w:t>
      </w:r>
    </w:p>
    <w:p w14:paraId="3AFDA075" w14:textId="77777777" w:rsidR="006D4DDC" w:rsidRPr="000F4950" w:rsidRDefault="006D4DDC" w:rsidP="006D4DDC">
      <w:pPr>
        <w:pStyle w:val="ListParagraph"/>
        <w:numPr>
          <w:ilvl w:val="0"/>
          <w:numId w:val="1"/>
        </w:numPr>
        <w:autoSpaceDE w:val="0"/>
        <w:autoSpaceDN w:val="0"/>
        <w:adjustRightInd w:val="0"/>
        <w:spacing w:before="100" w:beforeAutospacing="1" w:after="0" w:afterAutospacing="1" w:line="240" w:lineRule="auto"/>
        <w:rPr>
          <w:rFonts w:cstheme="minorHAnsi"/>
        </w:rPr>
      </w:pPr>
      <w:r w:rsidRPr="000F4950">
        <w:rPr>
          <w:rFonts w:cstheme="minorHAnsi"/>
        </w:rPr>
        <w:t xml:space="preserve">(D) Developing content and models for integrated education and training and career pathways. H. R. 803—192 </w:t>
      </w:r>
    </w:p>
    <w:p w14:paraId="2F017FA6" w14:textId="77777777" w:rsidR="006D4DDC" w:rsidRPr="000F4950" w:rsidRDefault="006D4DDC" w:rsidP="006D4DDC">
      <w:pPr>
        <w:pStyle w:val="ListParagraph"/>
        <w:numPr>
          <w:ilvl w:val="0"/>
          <w:numId w:val="12"/>
        </w:numPr>
        <w:rPr>
          <w:rFonts w:cstheme="minorHAnsi"/>
        </w:rPr>
      </w:pPr>
      <w:r w:rsidRPr="000F4950">
        <w:rPr>
          <w:rFonts w:cstheme="minorHAnsi"/>
        </w:rPr>
        <w:lastRenderedPageBreak/>
        <w:t xml:space="preserve">ACLS has a dedicated ACLS staff person to guide and support programs in the development and implementation of integrated education and training and career pathways: </w:t>
      </w:r>
    </w:p>
    <w:p w14:paraId="678AC04B" w14:textId="77777777" w:rsidR="006D4DDC" w:rsidRPr="000F4950" w:rsidRDefault="006D4DDC" w:rsidP="006D4DDC">
      <w:pPr>
        <w:pStyle w:val="NoSpacing"/>
        <w:numPr>
          <w:ilvl w:val="1"/>
          <w:numId w:val="27"/>
        </w:numPr>
        <w:rPr>
          <w:rFonts w:cstheme="minorHAnsi"/>
        </w:rPr>
      </w:pPr>
      <w:r w:rsidRPr="000F4950">
        <w:rPr>
          <w:rFonts w:cstheme="minorHAnsi"/>
        </w:rPr>
        <w:t xml:space="preserve">The release of FY19-22 competitive Request for Proposals included an IET and IELCE service option to fund IET and IELCE services in all 16 local workforce areas. The results from this competitive RFP were announced in May 2018. </w:t>
      </w:r>
    </w:p>
    <w:p w14:paraId="50FFF7E7" w14:textId="77777777" w:rsidR="006D4DDC" w:rsidRPr="000F4950" w:rsidRDefault="006D4DDC" w:rsidP="006D4DDC">
      <w:pPr>
        <w:pStyle w:val="NoSpacing"/>
        <w:numPr>
          <w:ilvl w:val="1"/>
          <w:numId w:val="27"/>
        </w:numPr>
        <w:rPr>
          <w:rFonts w:cstheme="minorHAnsi"/>
        </w:rPr>
      </w:pPr>
      <w:r w:rsidRPr="000F4950">
        <w:rPr>
          <w:rFonts w:cstheme="minorHAnsi"/>
        </w:rPr>
        <w:t xml:space="preserve">Information on current IET and IELCE programing can be found on </w:t>
      </w:r>
      <w:hyperlink r:id="rId17" w:history="1">
        <w:r w:rsidRPr="000F4950">
          <w:rPr>
            <w:rFonts w:cstheme="minorHAnsi"/>
          </w:rPr>
          <w:t>ACLS Career Pathways webpage</w:t>
        </w:r>
      </w:hyperlink>
      <w:r w:rsidRPr="000F4950">
        <w:rPr>
          <w:rFonts w:cstheme="minorHAnsi"/>
        </w:rPr>
        <w:t xml:space="preserve"> including content specific to IET and IELCE models, IET/IELCE guidelines, and information and guidance about industry-recognized credentials.</w:t>
      </w:r>
    </w:p>
    <w:p w14:paraId="06D64006" w14:textId="77777777" w:rsidR="006D4DDC" w:rsidRPr="000F4950" w:rsidRDefault="006D4DDC" w:rsidP="006D4DDC">
      <w:pPr>
        <w:pStyle w:val="NoSpacing"/>
        <w:numPr>
          <w:ilvl w:val="1"/>
          <w:numId w:val="27"/>
        </w:numPr>
        <w:rPr>
          <w:rFonts w:cstheme="minorHAnsi"/>
        </w:rPr>
      </w:pPr>
      <w:r w:rsidRPr="000F4950">
        <w:rPr>
          <w:rFonts w:cstheme="minorHAnsi"/>
        </w:rPr>
        <w:t>Information in monthly mailings related to career pathway development including IET/IELCE models.</w:t>
      </w:r>
    </w:p>
    <w:p w14:paraId="6462D741" w14:textId="7DF71E95" w:rsidR="006D4DDC" w:rsidRPr="000F4950" w:rsidRDefault="006D4DDC" w:rsidP="006D4DDC">
      <w:pPr>
        <w:pStyle w:val="NoSpacing"/>
        <w:numPr>
          <w:ilvl w:val="1"/>
          <w:numId w:val="27"/>
        </w:numPr>
        <w:rPr>
          <w:rFonts w:cstheme="minorHAnsi"/>
        </w:rPr>
      </w:pPr>
      <w:r w:rsidRPr="000F4950">
        <w:rPr>
          <w:rFonts w:cstheme="minorHAnsi"/>
        </w:rPr>
        <w:t>In September 2018, ACLS released a competitive IET/IELCE RFP in attempt to secure providers in local workforce areas that did not have such programming.  In June 2019, ACLS released a</w:t>
      </w:r>
      <w:r w:rsidR="00283309">
        <w:rPr>
          <w:rFonts w:cstheme="minorHAnsi"/>
        </w:rPr>
        <w:t>nother</w:t>
      </w:r>
      <w:r w:rsidRPr="000F4950">
        <w:rPr>
          <w:rFonts w:cstheme="minorHAnsi"/>
        </w:rPr>
        <w:t xml:space="preserve"> competitive IET/IELCE RFP.  The intent of the RFP was to expand the eligibility requirements, including allowing agencies that did not have or never have had an AE grant, for IET/IELCE programming and increase the number of providers with a special emphasis on local workforce areas that did not currently have such programming.  The result of these two RFPs was the addition of seven new providers, including one new to the system, in four local workforce areas where there currently was not any IET/IELCE programming.   By the end of FY 2020, Massachusetts will have one or more IET/IELCE programs in 15 of its 16 local workforce areas.</w:t>
      </w:r>
    </w:p>
    <w:p w14:paraId="3EE8D7D8" w14:textId="77777777" w:rsidR="00BF667C" w:rsidRPr="000F4950" w:rsidRDefault="00BF667C" w:rsidP="00BF667C">
      <w:pPr>
        <w:autoSpaceDE w:val="0"/>
        <w:autoSpaceDN w:val="0"/>
        <w:adjustRightInd w:val="0"/>
        <w:spacing w:after="0" w:line="240" w:lineRule="auto"/>
        <w:rPr>
          <w:rFonts w:cstheme="minorHAnsi"/>
        </w:rPr>
      </w:pPr>
    </w:p>
    <w:p w14:paraId="05AD3D48" w14:textId="77777777" w:rsidR="00BF667C" w:rsidRPr="000F4950" w:rsidRDefault="00BF667C" w:rsidP="00BF667C">
      <w:pPr>
        <w:pStyle w:val="ListParagraph"/>
        <w:numPr>
          <w:ilvl w:val="0"/>
          <w:numId w:val="1"/>
        </w:numPr>
        <w:autoSpaceDE w:val="0"/>
        <w:autoSpaceDN w:val="0"/>
        <w:adjustRightInd w:val="0"/>
        <w:spacing w:after="0" w:line="240" w:lineRule="auto"/>
        <w:rPr>
          <w:rFonts w:cstheme="minorHAnsi"/>
        </w:rPr>
      </w:pPr>
      <w:r w:rsidRPr="000F4950">
        <w:rPr>
          <w:rFonts w:cstheme="minorHAnsi"/>
        </w:rPr>
        <w:t xml:space="preserve">(E) The provision of assistance to eligible providers in developing and implementing programs that achieve the objectives of this title and in measuring the progress of those programs in achieving such objectives, including meeting the State adjusted levels of performance described in section 116(b)(3). </w:t>
      </w:r>
    </w:p>
    <w:p w14:paraId="6214B564" w14:textId="0F640338" w:rsidR="00BF667C" w:rsidRPr="000F4950" w:rsidRDefault="00BF667C" w:rsidP="00BF667C">
      <w:pPr>
        <w:pStyle w:val="ListParagraph"/>
        <w:numPr>
          <w:ilvl w:val="0"/>
          <w:numId w:val="12"/>
        </w:numPr>
        <w:rPr>
          <w:rFonts w:cstheme="minorHAnsi"/>
        </w:rPr>
      </w:pPr>
      <w:r w:rsidRPr="000F4950">
        <w:rPr>
          <w:rFonts w:cstheme="minorHAnsi"/>
        </w:rPr>
        <w:t xml:space="preserve">Information on state MSG was shared with programs and posted on ACLS website. </w:t>
      </w:r>
      <w:r w:rsidR="004E35B4" w:rsidRPr="000F4950">
        <w:rPr>
          <w:rFonts w:cstheme="minorHAnsi"/>
        </w:rPr>
        <w:t>In PY18-19, ACLS assigned weighted targets to local providers and indicated that incentive funds would be awarded to grantees with the highest performance relative to targets.</w:t>
      </w:r>
    </w:p>
    <w:p w14:paraId="4F7FAD0C" w14:textId="77777777" w:rsidR="00BF667C" w:rsidRPr="000F4950" w:rsidRDefault="007824D8" w:rsidP="00BF667C">
      <w:pPr>
        <w:pStyle w:val="ListParagraph"/>
        <w:numPr>
          <w:ilvl w:val="0"/>
          <w:numId w:val="12"/>
        </w:numPr>
        <w:rPr>
          <w:rFonts w:cstheme="minorHAnsi"/>
        </w:rPr>
      </w:pPr>
      <w:r w:rsidRPr="000F4950">
        <w:rPr>
          <w:rFonts w:cstheme="minorHAnsi"/>
        </w:rPr>
        <w:t>Program data review and technical assistance</w:t>
      </w:r>
      <w:r w:rsidR="00BF667C" w:rsidRPr="000F4950">
        <w:rPr>
          <w:rFonts w:cstheme="minorHAnsi"/>
        </w:rPr>
        <w:t xml:space="preserve"> are part of desk reviews and site visits conducted by ACLS staff. </w:t>
      </w:r>
    </w:p>
    <w:p w14:paraId="701E7887" w14:textId="77777777" w:rsidR="00BF667C" w:rsidRPr="000F4950" w:rsidRDefault="00BF667C" w:rsidP="00BF667C">
      <w:pPr>
        <w:pStyle w:val="ListParagraph"/>
        <w:numPr>
          <w:ilvl w:val="0"/>
          <w:numId w:val="1"/>
        </w:numPr>
        <w:autoSpaceDE w:val="0"/>
        <w:autoSpaceDN w:val="0"/>
        <w:adjustRightInd w:val="0"/>
        <w:spacing w:after="0" w:line="240" w:lineRule="auto"/>
        <w:rPr>
          <w:rFonts w:cstheme="minorHAnsi"/>
          <w:i/>
        </w:rPr>
      </w:pPr>
      <w:r w:rsidRPr="000F4950">
        <w:rPr>
          <w:rFonts w:cstheme="minorHAnsi"/>
        </w:rPr>
        <w:t xml:space="preserve">(H) Activities to promote workplace adult education and literacy activities. </w:t>
      </w:r>
    </w:p>
    <w:p w14:paraId="5C02C4B5" w14:textId="77777777" w:rsidR="00BF667C" w:rsidRPr="000F4950" w:rsidRDefault="00BF667C" w:rsidP="00BF667C">
      <w:pPr>
        <w:pStyle w:val="ListParagraph"/>
        <w:numPr>
          <w:ilvl w:val="0"/>
          <w:numId w:val="12"/>
        </w:numPr>
        <w:rPr>
          <w:rFonts w:cstheme="minorHAnsi"/>
        </w:rPr>
      </w:pPr>
      <w:r w:rsidRPr="000F4950">
        <w:rPr>
          <w:rFonts w:cstheme="minorHAnsi"/>
        </w:rPr>
        <w:t xml:space="preserve">ACLS staff provides support and technical assistance to workplace education programs as well as promotes workplace education and literacy activities through a two-phase RFP and workshops.  </w:t>
      </w:r>
    </w:p>
    <w:p w14:paraId="714142B8" w14:textId="77777777" w:rsidR="00BF667C" w:rsidRPr="000F4950" w:rsidRDefault="00BF667C" w:rsidP="00BF667C">
      <w:pPr>
        <w:pStyle w:val="ListParagraph"/>
        <w:numPr>
          <w:ilvl w:val="0"/>
          <w:numId w:val="12"/>
        </w:numPr>
        <w:rPr>
          <w:rFonts w:cstheme="minorHAnsi"/>
        </w:rPr>
      </w:pPr>
      <w:r w:rsidRPr="000F4950">
        <w:rPr>
          <w:rFonts w:cstheme="minorHAnsi"/>
        </w:rPr>
        <w:t xml:space="preserve">An open and competitive RFP for workplace education was conducted in PY18-19. </w:t>
      </w:r>
    </w:p>
    <w:p w14:paraId="6FA98D6B" w14:textId="77777777" w:rsidR="00BF667C" w:rsidRPr="000F4950" w:rsidRDefault="00BF667C" w:rsidP="00BF667C">
      <w:pPr>
        <w:pStyle w:val="ListParagraph"/>
        <w:numPr>
          <w:ilvl w:val="0"/>
          <w:numId w:val="1"/>
        </w:numPr>
        <w:autoSpaceDE w:val="0"/>
        <w:autoSpaceDN w:val="0"/>
        <w:adjustRightInd w:val="0"/>
        <w:spacing w:after="0" w:line="240" w:lineRule="auto"/>
        <w:rPr>
          <w:rFonts w:cstheme="minorHAnsi"/>
          <w:i/>
        </w:rPr>
      </w:pPr>
      <w:r w:rsidRPr="000F4950">
        <w:rPr>
          <w:rFonts w:cstheme="minorHAnsi"/>
        </w:rPr>
        <w:t xml:space="preserve">(J) Developing and piloting of strategies for improving teacher quality and retention. </w:t>
      </w:r>
    </w:p>
    <w:p w14:paraId="56A33662" w14:textId="77777777" w:rsidR="00BF667C" w:rsidRPr="000F4950" w:rsidRDefault="003B76F4" w:rsidP="00BF667C">
      <w:pPr>
        <w:pStyle w:val="ListParagraph"/>
        <w:numPr>
          <w:ilvl w:val="0"/>
          <w:numId w:val="12"/>
        </w:numPr>
        <w:rPr>
          <w:rFonts w:cstheme="minorHAnsi"/>
        </w:rPr>
      </w:pPr>
      <w:r w:rsidRPr="000F4950">
        <w:rPr>
          <w:rFonts w:cstheme="minorHAnsi"/>
        </w:rPr>
        <w:t>PY18-19</w:t>
      </w:r>
      <w:r w:rsidR="00BF667C" w:rsidRPr="000F4950">
        <w:rPr>
          <w:rFonts w:cstheme="minorHAnsi"/>
        </w:rPr>
        <w:t xml:space="preserve"> work continued to build resources to support programs in building the capacity of teachers to ensure high-quality standards-based instruction and improve student outcomes </w:t>
      </w:r>
    </w:p>
    <w:p w14:paraId="4E6A38D3" w14:textId="77777777" w:rsidR="00BF667C" w:rsidRPr="000F4950" w:rsidRDefault="00BF667C" w:rsidP="008557F3">
      <w:pPr>
        <w:pStyle w:val="ListParagraph"/>
        <w:numPr>
          <w:ilvl w:val="0"/>
          <w:numId w:val="12"/>
        </w:numPr>
        <w:rPr>
          <w:rFonts w:cstheme="minorHAnsi"/>
        </w:rPr>
      </w:pPr>
      <w:r w:rsidRPr="000F4950">
        <w:rPr>
          <w:rFonts w:cstheme="minorHAnsi"/>
        </w:rPr>
        <w:t xml:space="preserve">Educator Growth and Evaluation System (EGE) grounded in the professional standards was incorporated into the FY19-22 Professional Development Request for Proposals. Massachusetts continues to support programs in a meaningful teacher evaluation process that identifies teacher professional development needs and offers high quality professional development trainings. The EGE is currently supported by the SABES three content professional development centers (ESOL, ELA, and Math) and Program Support PD Center. </w:t>
      </w:r>
      <w:r w:rsidR="003B76F4" w:rsidRPr="000F4950">
        <w:rPr>
          <w:rFonts w:cstheme="minorHAnsi"/>
        </w:rPr>
        <w:t xml:space="preserve">Each of the six EGE stages </w:t>
      </w:r>
      <w:r w:rsidR="008557F3" w:rsidRPr="000F4950">
        <w:rPr>
          <w:rFonts w:cstheme="minorHAnsi"/>
        </w:rPr>
        <w:t xml:space="preserve">(program planning, self-assessment, goal setting and PD planning, PD planning implementation, </w:t>
      </w:r>
      <w:r w:rsidR="008557F3" w:rsidRPr="000F4950">
        <w:rPr>
          <w:rFonts w:cstheme="minorHAnsi"/>
        </w:rPr>
        <w:lastRenderedPageBreak/>
        <w:t xml:space="preserve">formative assessment, summative reflection) </w:t>
      </w:r>
      <w:r w:rsidR="003B76F4" w:rsidRPr="000F4950">
        <w:rPr>
          <w:rFonts w:cstheme="minorHAnsi"/>
        </w:rPr>
        <w:t xml:space="preserve">is supported by an online PD. To date, the first two modules have been released with a high success rate of practitioners’ participation. </w:t>
      </w:r>
    </w:p>
    <w:p w14:paraId="5C12CDB8" w14:textId="4D9872DF" w:rsidR="00BF667C" w:rsidRPr="000F4950" w:rsidRDefault="00BF667C" w:rsidP="00BF667C">
      <w:pPr>
        <w:pStyle w:val="ListParagraph"/>
        <w:numPr>
          <w:ilvl w:val="0"/>
          <w:numId w:val="12"/>
        </w:numPr>
        <w:rPr>
          <w:rFonts w:cstheme="minorHAnsi"/>
        </w:rPr>
      </w:pPr>
      <w:r w:rsidRPr="000F4950">
        <w:rPr>
          <w:rFonts w:cstheme="minorHAnsi"/>
        </w:rPr>
        <w:t xml:space="preserve">Using state funds ACLS contracted with The Technical Education Research Centers, Inc. (TERC) to develop a </w:t>
      </w:r>
      <w:hyperlink r:id="rId18" w:history="1">
        <w:r w:rsidRPr="000F4950">
          <w:rPr>
            <w:rStyle w:val="Hyperlink"/>
            <w:rFonts w:cstheme="minorHAnsi"/>
          </w:rPr>
          <w:t>Curriculum for Adult Learning Math (CALM)</w:t>
        </w:r>
      </w:hyperlink>
      <w:r w:rsidR="00BB6B7A" w:rsidRPr="000F4950">
        <w:rPr>
          <w:rFonts w:cstheme="minorHAnsi"/>
        </w:rPr>
        <w:t>, which</w:t>
      </w:r>
      <w:r w:rsidRPr="000F4950">
        <w:rPr>
          <w:rFonts w:cstheme="minorHAnsi"/>
        </w:rPr>
        <w:t xml:space="preserve"> </w:t>
      </w:r>
      <w:r w:rsidR="003B76F4" w:rsidRPr="000F4950">
        <w:rPr>
          <w:rFonts w:cstheme="minorHAnsi"/>
        </w:rPr>
        <w:t>was implemented</w:t>
      </w:r>
      <w:r w:rsidRPr="000F4950">
        <w:rPr>
          <w:rFonts w:cstheme="minorHAnsi"/>
        </w:rPr>
        <w:t xml:space="preserve"> in PY18-19. CALM is a coherent curriculum that covers strategically selected standards from the CCRSAE Level B (to ensure a strong foundation in number and operation sense) through Level D, and will prepare students for earning a high school equivalency credential and lay the foundation for college and career readiness. </w:t>
      </w:r>
    </w:p>
    <w:p w14:paraId="586AE83B" w14:textId="77777777" w:rsidR="00B3463B" w:rsidRPr="000F4950" w:rsidRDefault="00B3463B" w:rsidP="00235FE2">
      <w:pPr>
        <w:autoSpaceDE w:val="0"/>
        <w:autoSpaceDN w:val="0"/>
        <w:adjustRightInd w:val="0"/>
        <w:spacing w:after="0" w:line="240" w:lineRule="auto"/>
        <w:rPr>
          <w:rFonts w:cstheme="minorHAnsi"/>
          <w:i/>
        </w:rPr>
      </w:pPr>
    </w:p>
    <w:p w14:paraId="185BF7DA" w14:textId="77777777" w:rsidR="00235FE2" w:rsidRPr="000F4950" w:rsidRDefault="00235FE2" w:rsidP="00235FE2">
      <w:pPr>
        <w:autoSpaceDE w:val="0"/>
        <w:autoSpaceDN w:val="0"/>
        <w:adjustRightInd w:val="0"/>
        <w:spacing w:after="0" w:line="240" w:lineRule="auto"/>
        <w:rPr>
          <w:rFonts w:cstheme="minorHAnsi"/>
          <w:b/>
          <w:bCs/>
          <w:i/>
        </w:rPr>
      </w:pPr>
      <w:r w:rsidRPr="000F4950">
        <w:rPr>
          <w:rFonts w:cstheme="minorHAnsi"/>
          <w:b/>
          <w:bCs/>
          <w:i/>
        </w:rPr>
        <w:t>2. Performance Data Analysis</w:t>
      </w:r>
    </w:p>
    <w:p w14:paraId="1B402690" w14:textId="77777777" w:rsidR="00235FE2" w:rsidRPr="000F4950" w:rsidRDefault="00235FE2" w:rsidP="00235FE2">
      <w:pPr>
        <w:autoSpaceDE w:val="0"/>
        <w:autoSpaceDN w:val="0"/>
        <w:adjustRightInd w:val="0"/>
        <w:spacing w:after="0" w:line="240" w:lineRule="auto"/>
        <w:rPr>
          <w:rFonts w:cstheme="minorHAnsi"/>
          <w:i/>
        </w:rPr>
      </w:pPr>
      <w:r w:rsidRPr="000F4950">
        <w:rPr>
          <w:rFonts w:cstheme="minorHAnsi"/>
          <w:i/>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071416EA" w14:textId="77777777" w:rsidR="00235FE2" w:rsidRPr="000F4950" w:rsidRDefault="00235FE2" w:rsidP="00235FE2">
      <w:pPr>
        <w:autoSpaceDE w:val="0"/>
        <w:autoSpaceDN w:val="0"/>
        <w:adjustRightInd w:val="0"/>
        <w:spacing w:after="0" w:line="240" w:lineRule="auto"/>
        <w:rPr>
          <w:rFonts w:cstheme="minorHAnsi"/>
        </w:rPr>
      </w:pPr>
    </w:p>
    <w:p w14:paraId="28BFD61E" w14:textId="77777777" w:rsidR="006D4DDC" w:rsidRPr="000F4950" w:rsidRDefault="006D4DDC" w:rsidP="006D4DDC">
      <w:pPr>
        <w:autoSpaceDE w:val="0"/>
        <w:autoSpaceDN w:val="0"/>
        <w:adjustRightInd w:val="0"/>
        <w:spacing w:after="0" w:line="240" w:lineRule="auto"/>
        <w:rPr>
          <w:rFonts w:cstheme="minorHAnsi"/>
        </w:rPr>
      </w:pPr>
      <w:r w:rsidRPr="000F4950">
        <w:rPr>
          <w:rFonts w:cstheme="minorHAnsi"/>
        </w:rPr>
        <w:t xml:space="preserve">The PY2018 Percentage of Periods of Participation with Measurable Skills Gain (Table 4, column K) was 46.75%, which exceeded the OCTAE assigned negotiated target of 43%.  </w:t>
      </w:r>
    </w:p>
    <w:p w14:paraId="6285FED5" w14:textId="77777777" w:rsidR="006D4DDC" w:rsidRPr="000F4950" w:rsidRDefault="006D4DDC" w:rsidP="006D4DDC">
      <w:pPr>
        <w:autoSpaceDE w:val="0"/>
        <w:autoSpaceDN w:val="0"/>
        <w:adjustRightInd w:val="0"/>
        <w:spacing w:after="0" w:line="240" w:lineRule="auto"/>
        <w:rPr>
          <w:rFonts w:cstheme="minorHAnsi"/>
        </w:rPr>
      </w:pPr>
    </w:p>
    <w:p w14:paraId="498E2B96" w14:textId="77777777" w:rsidR="006D4DDC" w:rsidRPr="000F4950" w:rsidRDefault="006D4DDC" w:rsidP="006D4DDC">
      <w:pPr>
        <w:autoSpaceDE w:val="0"/>
        <w:autoSpaceDN w:val="0"/>
        <w:adjustRightInd w:val="0"/>
        <w:spacing w:after="0" w:line="240" w:lineRule="auto"/>
        <w:rPr>
          <w:rFonts w:cstheme="minorHAnsi"/>
        </w:rPr>
      </w:pPr>
      <w:r w:rsidRPr="000F4950">
        <w:rPr>
          <w:rFonts w:cstheme="minorHAnsi"/>
        </w:rPr>
        <w:t>We have identified four factors that contributed to improved performance:</w:t>
      </w:r>
    </w:p>
    <w:p w14:paraId="6E2AFD25" w14:textId="77777777" w:rsidR="006D4DDC" w:rsidRPr="000F4950" w:rsidRDefault="006D4DDC" w:rsidP="006D4DDC">
      <w:pPr>
        <w:pStyle w:val="ListParagraph"/>
        <w:numPr>
          <w:ilvl w:val="0"/>
          <w:numId w:val="1"/>
        </w:numPr>
        <w:autoSpaceDE w:val="0"/>
        <w:autoSpaceDN w:val="0"/>
        <w:adjustRightInd w:val="0"/>
        <w:spacing w:after="0" w:line="240" w:lineRule="auto"/>
        <w:rPr>
          <w:rFonts w:cstheme="minorHAnsi"/>
        </w:rPr>
      </w:pPr>
      <w:r w:rsidRPr="000F4950">
        <w:rPr>
          <w:rFonts w:cstheme="minorHAnsi"/>
        </w:rPr>
        <w:t>This was the first year of funding cycle. Several of our system’s lowest performing providers did not succeed in the competition which resulted in improved MSG.</w:t>
      </w:r>
    </w:p>
    <w:p w14:paraId="023E649D" w14:textId="0ADC3F4F" w:rsidR="006D4DDC" w:rsidRPr="000F4950" w:rsidRDefault="006D4DDC" w:rsidP="006D4DDC">
      <w:pPr>
        <w:pStyle w:val="ListParagraph"/>
        <w:numPr>
          <w:ilvl w:val="0"/>
          <w:numId w:val="1"/>
        </w:numPr>
        <w:autoSpaceDE w:val="0"/>
        <w:autoSpaceDN w:val="0"/>
        <w:adjustRightInd w:val="0"/>
        <w:spacing w:after="0" w:line="240" w:lineRule="auto"/>
        <w:rPr>
          <w:rFonts w:cstheme="minorHAnsi"/>
        </w:rPr>
      </w:pPr>
      <w:r w:rsidRPr="000F4950">
        <w:rPr>
          <w:rFonts w:cstheme="minorHAnsi"/>
        </w:rPr>
        <w:t xml:space="preserve">MA funds the Primary Instruction by Volunteers (PIV) grant with state funds and did not include these students in our report or in our state match. While PIV is an important component of the MA adult education system, </w:t>
      </w:r>
      <w:r w:rsidR="00B91F35" w:rsidRPr="000F4950">
        <w:rPr>
          <w:rFonts w:cstheme="minorHAnsi"/>
        </w:rPr>
        <w:t>the service model does not</w:t>
      </w:r>
      <w:r w:rsidR="002D5C1B" w:rsidRPr="000F4950">
        <w:rPr>
          <w:rFonts w:cstheme="minorHAnsi"/>
        </w:rPr>
        <w:t xml:space="preserve"> fully</w:t>
      </w:r>
      <w:r w:rsidR="00B91F35" w:rsidRPr="000F4950">
        <w:rPr>
          <w:rFonts w:cstheme="minorHAnsi"/>
        </w:rPr>
        <w:t xml:space="preserve"> align with WIOA </w:t>
      </w:r>
      <w:r w:rsidR="002D5C1B" w:rsidRPr="000F4950">
        <w:rPr>
          <w:rFonts w:cstheme="minorHAnsi"/>
        </w:rPr>
        <w:t>priorities and NRS requirements</w:t>
      </w:r>
      <w:r w:rsidRPr="000F4950">
        <w:rPr>
          <w:rFonts w:cstheme="minorHAnsi"/>
        </w:rPr>
        <w:t xml:space="preserve">. </w:t>
      </w:r>
    </w:p>
    <w:p w14:paraId="2EA68B5E" w14:textId="305B978E" w:rsidR="006D4DDC" w:rsidRPr="000F4950" w:rsidRDefault="006D4DDC" w:rsidP="006D4DDC">
      <w:pPr>
        <w:pStyle w:val="ListParagraph"/>
        <w:numPr>
          <w:ilvl w:val="0"/>
          <w:numId w:val="1"/>
        </w:numPr>
        <w:autoSpaceDE w:val="0"/>
        <w:autoSpaceDN w:val="0"/>
        <w:adjustRightInd w:val="0"/>
        <w:spacing w:after="0" w:line="240" w:lineRule="auto"/>
        <w:rPr>
          <w:rFonts w:cstheme="minorHAnsi"/>
        </w:rPr>
      </w:pPr>
      <w:r w:rsidRPr="000F4950">
        <w:rPr>
          <w:rFonts w:cstheme="minorHAnsi"/>
        </w:rPr>
        <w:t xml:space="preserve">Leading up the system competition, the state office actively promoted student outcomes, especially MSG and reinforced this emphasis in the RFP. In </w:t>
      </w:r>
      <w:r w:rsidR="004E35B4" w:rsidRPr="000F4950">
        <w:rPr>
          <w:rFonts w:cstheme="minorHAnsi"/>
        </w:rPr>
        <w:t>PY18-</w:t>
      </w:r>
      <w:r w:rsidRPr="000F4950">
        <w:rPr>
          <w:rFonts w:cstheme="minorHAnsi"/>
        </w:rPr>
        <w:t xml:space="preserve">19, ACLS assigned weighted targets to local providers and indicated that, for the first time ever, incentive funds would be awarded to grantees with the highest performance relative to targets. </w:t>
      </w:r>
      <w:r w:rsidR="002D5C1B" w:rsidRPr="000F4950">
        <w:rPr>
          <w:rFonts w:cstheme="minorHAnsi"/>
        </w:rPr>
        <w:t>L</w:t>
      </w:r>
      <w:r w:rsidRPr="000F4950">
        <w:rPr>
          <w:rFonts w:cstheme="minorHAnsi"/>
        </w:rPr>
        <w:t>ocal program directors reported that they were increasingly aware of their students’ outcomes and were more diligent about post-testing.</w:t>
      </w:r>
    </w:p>
    <w:p w14:paraId="463D4EB2" w14:textId="77777777" w:rsidR="006D4DDC" w:rsidRPr="000F4950" w:rsidRDefault="006D4DDC" w:rsidP="006D4DDC">
      <w:pPr>
        <w:pStyle w:val="ListParagraph"/>
        <w:numPr>
          <w:ilvl w:val="0"/>
          <w:numId w:val="1"/>
        </w:numPr>
        <w:autoSpaceDE w:val="0"/>
        <w:autoSpaceDN w:val="0"/>
        <w:adjustRightInd w:val="0"/>
        <w:spacing w:after="0" w:line="240" w:lineRule="auto"/>
        <w:rPr>
          <w:rFonts w:cstheme="minorHAnsi"/>
        </w:rPr>
      </w:pPr>
      <w:r w:rsidRPr="000F4950">
        <w:rPr>
          <w:rFonts w:cstheme="minorHAnsi"/>
        </w:rPr>
        <w:t xml:space="preserve">Improved persistence and posttest rates contributed to MA MSG improvement over the previous program year. </w:t>
      </w:r>
    </w:p>
    <w:p w14:paraId="3900E053" w14:textId="77777777" w:rsidR="006D4DDC" w:rsidRPr="000F4950" w:rsidRDefault="006D4DDC" w:rsidP="006D4DDC">
      <w:pPr>
        <w:pStyle w:val="ListParagraph"/>
        <w:autoSpaceDE w:val="0"/>
        <w:autoSpaceDN w:val="0"/>
        <w:adjustRightInd w:val="0"/>
        <w:spacing w:after="0" w:line="240" w:lineRule="auto"/>
        <w:ind w:left="360"/>
        <w:rPr>
          <w:rFonts w:cstheme="minorHAnsi"/>
        </w:rPr>
      </w:pPr>
    </w:p>
    <w:tbl>
      <w:tblPr>
        <w:tblStyle w:val="TableGrid"/>
        <w:tblW w:w="0" w:type="auto"/>
        <w:tblInd w:w="360" w:type="dxa"/>
        <w:tblLook w:val="04A0" w:firstRow="1" w:lastRow="0" w:firstColumn="1" w:lastColumn="0" w:noHBand="0" w:noVBand="1"/>
      </w:tblPr>
      <w:tblGrid>
        <w:gridCol w:w="2996"/>
        <w:gridCol w:w="1498"/>
        <w:gridCol w:w="1499"/>
        <w:gridCol w:w="1498"/>
        <w:gridCol w:w="1499"/>
      </w:tblGrid>
      <w:tr w:rsidR="006D4DDC" w:rsidRPr="000F4950" w14:paraId="3D6B22D5" w14:textId="77777777" w:rsidTr="00150523">
        <w:tc>
          <w:tcPr>
            <w:tcW w:w="2996" w:type="dxa"/>
          </w:tcPr>
          <w:p w14:paraId="71AAABF0" w14:textId="77777777" w:rsidR="006D4DDC" w:rsidRPr="000F4950" w:rsidRDefault="006D4DDC" w:rsidP="00150523">
            <w:pPr>
              <w:pStyle w:val="ListParagraph"/>
              <w:autoSpaceDE w:val="0"/>
              <w:autoSpaceDN w:val="0"/>
              <w:adjustRightInd w:val="0"/>
              <w:spacing w:after="0" w:line="240" w:lineRule="auto"/>
              <w:ind w:left="0"/>
              <w:rPr>
                <w:rFonts w:asciiTheme="minorHAnsi" w:hAnsiTheme="minorHAnsi" w:cstheme="minorHAnsi"/>
                <w:sz w:val="22"/>
                <w:szCs w:val="22"/>
              </w:rPr>
            </w:pPr>
          </w:p>
        </w:tc>
        <w:tc>
          <w:tcPr>
            <w:tcW w:w="2997" w:type="dxa"/>
            <w:gridSpan w:val="2"/>
          </w:tcPr>
          <w:p w14:paraId="3B930395"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PY17-18</w:t>
            </w:r>
          </w:p>
        </w:tc>
        <w:tc>
          <w:tcPr>
            <w:tcW w:w="2997" w:type="dxa"/>
            <w:gridSpan w:val="2"/>
          </w:tcPr>
          <w:p w14:paraId="11FD4C77"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PY18-19</w:t>
            </w:r>
          </w:p>
        </w:tc>
      </w:tr>
      <w:tr w:rsidR="006D4DDC" w:rsidRPr="000F4950" w14:paraId="021EEA10" w14:textId="77777777" w:rsidTr="00150523">
        <w:tc>
          <w:tcPr>
            <w:tcW w:w="2996" w:type="dxa"/>
          </w:tcPr>
          <w:p w14:paraId="522428A8" w14:textId="77777777" w:rsidR="006D4DDC" w:rsidRPr="000F4950" w:rsidRDefault="006D4DDC" w:rsidP="00150523">
            <w:pPr>
              <w:pStyle w:val="ListParagraph"/>
              <w:autoSpaceDE w:val="0"/>
              <w:autoSpaceDN w:val="0"/>
              <w:adjustRightInd w:val="0"/>
              <w:spacing w:after="0" w:line="240" w:lineRule="auto"/>
              <w:ind w:left="0"/>
              <w:rPr>
                <w:rFonts w:asciiTheme="minorHAnsi" w:hAnsiTheme="minorHAnsi" w:cstheme="minorHAnsi"/>
                <w:sz w:val="22"/>
                <w:szCs w:val="22"/>
              </w:rPr>
            </w:pPr>
          </w:p>
        </w:tc>
        <w:tc>
          <w:tcPr>
            <w:tcW w:w="1498" w:type="dxa"/>
          </w:tcPr>
          <w:p w14:paraId="5038A8B8"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ABE</w:t>
            </w:r>
          </w:p>
        </w:tc>
        <w:tc>
          <w:tcPr>
            <w:tcW w:w="1499" w:type="dxa"/>
          </w:tcPr>
          <w:p w14:paraId="28AD8611"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ESOL</w:t>
            </w:r>
          </w:p>
        </w:tc>
        <w:tc>
          <w:tcPr>
            <w:tcW w:w="1498" w:type="dxa"/>
          </w:tcPr>
          <w:p w14:paraId="23FD113F"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ABE</w:t>
            </w:r>
          </w:p>
        </w:tc>
        <w:tc>
          <w:tcPr>
            <w:tcW w:w="1499" w:type="dxa"/>
          </w:tcPr>
          <w:p w14:paraId="3E8B53E9"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ESOL</w:t>
            </w:r>
          </w:p>
        </w:tc>
      </w:tr>
      <w:tr w:rsidR="006D4DDC" w:rsidRPr="000F4950" w14:paraId="7CDF02DE" w14:textId="77777777" w:rsidTr="00150523">
        <w:tc>
          <w:tcPr>
            <w:tcW w:w="2996" w:type="dxa"/>
          </w:tcPr>
          <w:p w14:paraId="7706282C" w14:textId="77777777" w:rsidR="006D4DDC" w:rsidRPr="000F4950" w:rsidRDefault="006D4DDC" w:rsidP="00150523">
            <w:pPr>
              <w:pStyle w:val="ListParagraph"/>
              <w:autoSpaceDE w:val="0"/>
              <w:autoSpaceDN w:val="0"/>
              <w:adjustRightInd w:val="0"/>
              <w:spacing w:after="0" w:line="240" w:lineRule="auto"/>
              <w:ind w:left="0"/>
              <w:rPr>
                <w:rFonts w:asciiTheme="minorHAnsi" w:hAnsiTheme="minorHAnsi" w:cstheme="minorHAnsi"/>
                <w:sz w:val="22"/>
                <w:szCs w:val="22"/>
              </w:rPr>
            </w:pPr>
            <w:r w:rsidRPr="000F4950">
              <w:rPr>
                <w:rFonts w:asciiTheme="minorHAnsi" w:hAnsiTheme="minorHAnsi" w:cstheme="minorHAnsi"/>
                <w:sz w:val="22"/>
                <w:szCs w:val="22"/>
              </w:rPr>
              <w:t>Average attended hours</w:t>
            </w:r>
          </w:p>
        </w:tc>
        <w:tc>
          <w:tcPr>
            <w:tcW w:w="1498" w:type="dxa"/>
          </w:tcPr>
          <w:p w14:paraId="42402150"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116 hrs.</w:t>
            </w:r>
          </w:p>
        </w:tc>
        <w:tc>
          <w:tcPr>
            <w:tcW w:w="1499" w:type="dxa"/>
          </w:tcPr>
          <w:p w14:paraId="314AD840"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145 hrs.</w:t>
            </w:r>
          </w:p>
        </w:tc>
        <w:tc>
          <w:tcPr>
            <w:tcW w:w="1498" w:type="dxa"/>
          </w:tcPr>
          <w:p w14:paraId="1F56CF17"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123 hrs.</w:t>
            </w:r>
          </w:p>
        </w:tc>
        <w:tc>
          <w:tcPr>
            <w:tcW w:w="1499" w:type="dxa"/>
          </w:tcPr>
          <w:p w14:paraId="605375E7"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151 hrs.</w:t>
            </w:r>
          </w:p>
        </w:tc>
      </w:tr>
      <w:tr w:rsidR="006D4DDC" w:rsidRPr="000F4950" w14:paraId="4B131F69" w14:textId="77777777" w:rsidTr="00150523">
        <w:tc>
          <w:tcPr>
            <w:tcW w:w="2996" w:type="dxa"/>
          </w:tcPr>
          <w:p w14:paraId="127E0AB1" w14:textId="77777777" w:rsidR="006D4DDC" w:rsidRPr="000F4950" w:rsidRDefault="006D4DDC" w:rsidP="00150523">
            <w:pPr>
              <w:pStyle w:val="ListParagraph"/>
              <w:autoSpaceDE w:val="0"/>
              <w:autoSpaceDN w:val="0"/>
              <w:adjustRightInd w:val="0"/>
              <w:spacing w:after="0" w:line="240" w:lineRule="auto"/>
              <w:ind w:left="0"/>
              <w:rPr>
                <w:rFonts w:asciiTheme="minorHAnsi" w:hAnsiTheme="minorHAnsi" w:cstheme="minorHAnsi"/>
                <w:sz w:val="22"/>
                <w:szCs w:val="22"/>
              </w:rPr>
            </w:pPr>
            <w:r w:rsidRPr="000F4950">
              <w:rPr>
                <w:rFonts w:asciiTheme="minorHAnsi" w:hAnsiTheme="minorHAnsi" w:cstheme="minorHAnsi"/>
                <w:sz w:val="22"/>
                <w:szCs w:val="22"/>
              </w:rPr>
              <w:t>Posttest Rate</w:t>
            </w:r>
          </w:p>
        </w:tc>
        <w:tc>
          <w:tcPr>
            <w:tcW w:w="1498" w:type="dxa"/>
          </w:tcPr>
          <w:p w14:paraId="086CEE83"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59%</w:t>
            </w:r>
          </w:p>
        </w:tc>
        <w:tc>
          <w:tcPr>
            <w:tcW w:w="1499" w:type="dxa"/>
          </w:tcPr>
          <w:p w14:paraId="5606D2A2"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75%</w:t>
            </w:r>
          </w:p>
        </w:tc>
        <w:tc>
          <w:tcPr>
            <w:tcW w:w="1498" w:type="dxa"/>
          </w:tcPr>
          <w:p w14:paraId="5ECB6FC9"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60%</w:t>
            </w:r>
          </w:p>
        </w:tc>
        <w:tc>
          <w:tcPr>
            <w:tcW w:w="1499" w:type="dxa"/>
          </w:tcPr>
          <w:p w14:paraId="3D8C512E"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77%</w:t>
            </w:r>
          </w:p>
        </w:tc>
      </w:tr>
      <w:tr w:rsidR="006D4DDC" w:rsidRPr="000F4950" w14:paraId="2D343FFF" w14:textId="77777777" w:rsidTr="00150523">
        <w:tc>
          <w:tcPr>
            <w:tcW w:w="2996" w:type="dxa"/>
          </w:tcPr>
          <w:p w14:paraId="37A8E6D9" w14:textId="77777777" w:rsidR="006D4DDC" w:rsidRPr="000F4950" w:rsidRDefault="006D4DDC" w:rsidP="00150523">
            <w:pPr>
              <w:pStyle w:val="ListParagraph"/>
              <w:autoSpaceDE w:val="0"/>
              <w:autoSpaceDN w:val="0"/>
              <w:adjustRightInd w:val="0"/>
              <w:spacing w:after="0" w:line="240" w:lineRule="auto"/>
              <w:ind w:left="0"/>
              <w:rPr>
                <w:rFonts w:asciiTheme="minorHAnsi" w:hAnsiTheme="minorHAnsi" w:cstheme="minorHAnsi"/>
                <w:sz w:val="22"/>
                <w:szCs w:val="22"/>
              </w:rPr>
            </w:pPr>
            <w:r w:rsidRPr="000F4950">
              <w:rPr>
                <w:rFonts w:asciiTheme="minorHAnsi" w:hAnsiTheme="minorHAnsi" w:cstheme="minorHAnsi"/>
                <w:sz w:val="22"/>
                <w:szCs w:val="22"/>
              </w:rPr>
              <w:t>M</w:t>
            </w:r>
            <w:r w:rsidR="00850207" w:rsidRPr="000F4950">
              <w:rPr>
                <w:rFonts w:asciiTheme="minorHAnsi" w:hAnsiTheme="minorHAnsi" w:cstheme="minorHAnsi"/>
                <w:sz w:val="22"/>
                <w:szCs w:val="22"/>
              </w:rPr>
              <w:t xml:space="preserve">easurable </w:t>
            </w:r>
            <w:r w:rsidRPr="000F4950">
              <w:rPr>
                <w:rFonts w:asciiTheme="minorHAnsi" w:hAnsiTheme="minorHAnsi" w:cstheme="minorHAnsi"/>
                <w:sz w:val="22"/>
                <w:szCs w:val="22"/>
              </w:rPr>
              <w:t>S</w:t>
            </w:r>
            <w:r w:rsidR="00850207" w:rsidRPr="000F4950">
              <w:rPr>
                <w:rFonts w:asciiTheme="minorHAnsi" w:hAnsiTheme="minorHAnsi" w:cstheme="minorHAnsi"/>
                <w:sz w:val="22"/>
                <w:szCs w:val="22"/>
              </w:rPr>
              <w:t xml:space="preserve">kills </w:t>
            </w:r>
            <w:r w:rsidRPr="000F4950">
              <w:rPr>
                <w:rFonts w:asciiTheme="minorHAnsi" w:hAnsiTheme="minorHAnsi" w:cstheme="minorHAnsi"/>
                <w:sz w:val="22"/>
                <w:szCs w:val="22"/>
              </w:rPr>
              <w:t>G</w:t>
            </w:r>
            <w:r w:rsidR="00850207" w:rsidRPr="000F4950">
              <w:rPr>
                <w:rFonts w:asciiTheme="minorHAnsi" w:hAnsiTheme="minorHAnsi" w:cstheme="minorHAnsi"/>
                <w:sz w:val="22"/>
                <w:szCs w:val="22"/>
              </w:rPr>
              <w:t>ain</w:t>
            </w:r>
          </w:p>
        </w:tc>
        <w:tc>
          <w:tcPr>
            <w:tcW w:w="1498" w:type="dxa"/>
          </w:tcPr>
          <w:p w14:paraId="65ACD54B"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33%</w:t>
            </w:r>
          </w:p>
        </w:tc>
        <w:tc>
          <w:tcPr>
            <w:tcW w:w="1499" w:type="dxa"/>
          </w:tcPr>
          <w:p w14:paraId="327F7C82"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51%</w:t>
            </w:r>
          </w:p>
        </w:tc>
        <w:tc>
          <w:tcPr>
            <w:tcW w:w="1498" w:type="dxa"/>
          </w:tcPr>
          <w:p w14:paraId="5FD84E08"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37%</w:t>
            </w:r>
          </w:p>
        </w:tc>
        <w:tc>
          <w:tcPr>
            <w:tcW w:w="1499" w:type="dxa"/>
          </w:tcPr>
          <w:p w14:paraId="08367BB3" w14:textId="77777777" w:rsidR="006D4DDC" w:rsidRPr="000F4950" w:rsidRDefault="006D4DDC" w:rsidP="00150523">
            <w:pPr>
              <w:pStyle w:val="ListParagraph"/>
              <w:autoSpaceDE w:val="0"/>
              <w:autoSpaceDN w:val="0"/>
              <w:adjustRightInd w:val="0"/>
              <w:spacing w:after="0" w:line="240" w:lineRule="auto"/>
              <w:ind w:left="0"/>
              <w:jc w:val="center"/>
              <w:rPr>
                <w:rFonts w:asciiTheme="minorHAnsi" w:hAnsiTheme="minorHAnsi" w:cstheme="minorHAnsi"/>
                <w:sz w:val="22"/>
                <w:szCs w:val="22"/>
              </w:rPr>
            </w:pPr>
            <w:r w:rsidRPr="000F4950">
              <w:rPr>
                <w:rFonts w:asciiTheme="minorHAnsi" w:hAnsiTheme="minorHAnsi" w:cstheme="minorHAnsi"/>
                <w:sz w:val="22"/>
                <w:szCs w:val="22"/>
              </w:rPr>
              <w:t>51%</w:t>
            </w:r>
          </w:p>
        </w:tc>
      </w:tr>
    </w:tbl>
    <w:p w14:paraId="4887D56E" w14:textId="77777777" w:rsidR="006D4DDC" w:rsidRPr="000F4950" w:rsidRDefault="006D4DDC" w:rsidP="006D4DDC">
      <w:pPr>
        <w:pStyle w:val="ListParagraph"/>
        <w:autoSpaceDE w:val="0"/>
        <w:autoSpaceDN w:val="0"/>
        <w:adjustRightInd w:val="0"/>
        <w:spacing w:after="0" w:line="240" w:lineRule="auto"/>
        <w:ind w:left="360"/>
        <w:rPr>
          <w:rFonts w:cstheme="minorHAnsi"/>
        </w:rPr>
      </w:pPr>
    </w:p>
    <w:p w14:paraId="1E13B4DB" w14:textId="0C5D3C48" w:rsidR="006D4DDC" w:rsidRPr="000F4950" w:rsidRDefault="006D4DDC" w:rsidP="006D4DDC">
      <w:pPr>
        <w:autoSpaceDE w:val="0"/>
        <w:autoSpaceDN w:val="0"/>
        <w:adjustRightInd w:val="0"/>
        <w:spacing w:after="0" w:line="240" w:lineRule="auto"/>
        <w:rPr>
          <w:rFonts w:cstheme="minorHAnsi"/>
        </w:rPr>
      </w:pPr>
      <w:r w:rsidRPr="000F4950">
        <w:rPr>
          <w:rFonts w:cstheme="minorHAnsi"/>
        </w:rPr>
        <w:t>While attended hours and posttest rates improve</w:t>
      </w:r>
      <w:r w:rsidR="00283309">
        <w:rPr>
          <w:rFonts w:cstheme="minorHAnsi"/>
        </w:rPr>
        <w:t>d</w:t>
      </w:r>
      <w:r w:rsidRPr="000F4950">
        <w:rPr>
          <w:rFonts w:cstheme="minorHAnsi"/>
        </w:rPr>
        <w:t xml:space="preserve"> from PY17 to PY18, we aim to improve both with professional development and program quality reviews that focus on curriculum and instruction.</w:t>
      </w:r>
    </w:p>
    <w:p w14:paraId="750DEB81" w14:textId="77777777" w:rsidR="006D4DDC" w:rsidRPr="000F4950" w:rsidRDefault="006D4DDC" w:rsidP="006D4DDC">
      <w:pPr>
        <w:autoSpaceDE w:val="0"/>
        <w:autoSpaceDN w:val="0"/>
        <w:adjustRightInd w:val="0"/>
        <w:spacing w:after="0" w:line="240" w:lineRule="auto"/>
        <w:rPr>
          <w:rFonts w:cstheme="minorHAnsi"/>
        </w:rPr>
      </w:pPr>
    </w:p>
    <w:p w14:paraId="3210ABAD" w14:textId="77777777" w:rsidR="006D4DDC" w:rsidRPr="000F4950" w:rsidRDefault="006D4DDC" w:rsidP="006D4DDC">
      <w:pPr>
        <w:autoSpaceDE w:val="0"/>
        <w:autoSpaceDN w:val="0"/>
        <w:adjustRightInd w:val="0"/>
        <w:spacing w:after="0" w:line="240" w:lineRule="auto"/>
        <w:rPr>
          <w:rFonts w:cstheme="minorHAnsi"/>
        </w:rPr>
      </w:pPr>
      <w:r w:rsidRPr="000F4950">
        <w:rPr>
          <w:rFonts w:cstheme="minorHAnsi"/>
        </w:rPr>
        <w:t xml:space="preserve">A review of Tables 5 and 6 and the SPR clearly indicate that Massachusetts needs to improve our follow up. </w:t>
      </w:r>
    </w:p>
    <w:p w14:paraId="4496D068" w14:textId="77777777" w:rsidR="006D4DDC" w:rsidRPr="000F4950" w:rsidRDefault="006D4DDC" w:rsidP="006D4DDC">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116"/>
        <w:gridCol w:w="2078"/>
        <w:gridCol w:w="1039"/>
        <w:gridCol w:w="1039"/>
        <w:gridCol w:w="2078"/>
      </w:tblGrid>
      <w:tr w:rsidR="006D4DDC" w:rsidRPr="000F4950" w14:paraId="29E99F97" w14:textId="77777777" w:rsidTr="00150523">
        <w:tc>
          <w:tcPr>
            <w:tcW w:w="3116" w:type="dxa"/>
            <w:tcBorders>
              <w:bottom w:val="nil"/>
            </w:tcBorders>
          </w:tcPr>
          <w:p w14:paraId="68C60756"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lastRenderedPageBreak/>
              <w:t>Table 6 Employed at Intake</w:t>
            </w:r>
          </w:p>
        </w:tc>
        <w:tc>
          <w:tcPr>
            <w:tcW w:w="2078" w:type="dxa"/>
          </w:tcPr>
          <w:p w14:paraId="10145B1E"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t>PY16-17</w:t>
            </w:r>
          </w:p>
        </w:tc>
        <w:tc>
          <w:tcPr>
            <w:tcW w:w="2078" w:type="dxa"/>
            <w:gridSpan w:val="2"/>
          </w:tcPr>
          <w:p w14:paraId="77F83E73"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t>PY17-18</w:t>
            </w:r>
          </w:p>
        </w:tc>
        <w:tc>
          <w:tcPr>
            <w:tcW w:w="2078" w:type="dxa"/>
          </w:tcPr>
          <w:p w14:paraId="0980B698"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t>PY18-19</w:t>
            </w:r>
          </w:p>
        </w:tc>
      </w:tr>
      <w:tr w:rsidR="006D4DDC" w:rsidRPr="000F4950" w14:paraId="39EF8D7C" w14:textId="77777777" w:rsidTr="00150523">
        <w:tc>
          <w:tcPr>
            <w:tcW w:w="3116" w:type="dxa"/>
            <w:tcBorders>
              <w:bottom w:val="single" w:sz="4" w:space="0" w:color="auto"/>
            </w:tcBorders>
          </w:tcPr>
          <w:p w14:paraId="029C2A71" w14:textId="77777777" w:rsidR="006D4DDC" w:rsidRPr="000F4950" w:rsidRDefault="006D4DDC" w:rsidP="00150523">
            <w:pPr>
              <w:autoSpaceDE w:val="0"/>
              <w:autoSpaceDN w:val="0"/>
              <w:adjustRightInd w:val="0"/>
              <w:rPr>
                <w:rFonts w:asciiTheme="minorHAnsi" w:hAnsiTheme="minorHAnsi" w:cstheme="minorHAnsi"/>
                <w:sz w:val="22"/>
                <w:szCs w:val="22"/>
              </w:rPr>
            </w:pPr>
          </w:p>
        </w:tc>
        <w:tc>
          <w:tcPr>
            <w:tcW w:w="2078" w:type="dxa"/>
            <w:tcBorders>
              <w:bottom w:val="single" w:sz="4" w:space="0" w:color="auto"/>
            </w:tcBorders>
          </w:tcPr>
          <w:p w14:paraId="3C14E893"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t>51%</w:t>
            </w:r>
          </w:p>
        </w:tc>
        <w:tc>
          <w:tcPr>
            <w:tcW w:w="2078" w:type="dxa"/>
            <w:gridSpan w:val="2"/>
            <w:tcBorders>
              <w:bottom w:val="single" w:sz="4" w:space="0" w:color="auto"/>
            </w:tcBorders>
          </w:tcPr>
          <w:p w14:paraId="092B19BD"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t>52%</w:t>
            </w:r>
          </w:p>
        </w:tc>
        <w:tc>
          <w:tcPr>
            <w:tcW w:w="2078" w:type="dxa"/>
            <w:tcBorders>
              <w:bottom w:val="single" w:sz="4" w:space="0" w:color="auto"/>
            </w:tcBorders>
          </w:tcPr>
          <w:p w14:paraId="558712F8"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rPr>
              <w:t>55%</w:t>
            </w:r>
          </w:p>
        </w:tc>
      </w:tr>
      <w:tr w:rsidR="006D4DDC" w:rsidRPr="000F4950" w14:paraId="616A4DD3" w14:textId="77777777" w:rsidTr="00150523">
        <w:tc>
          <w:tcPr>
            <w:tcW w:w="3116" w:type="dxa"/>
            <w:tcBorders>
              <w:left w:val="nil"/>
              <w:bottom w:val="nil"/>
              <w:right w:val="nil"/>
            </w:tcBorders>
          </w:tcPr>
          <w:p w14:paraId="36139C46" w14:textId="77777777" w:rsidR="006D4DDC" w:rsidRPr="000F4950" w:rsidRDefault="006D4DDC" w:rsidP="00150523">
            <w:pPr>
              <w:autoSpaceDE w:val="0"/>
              <w:autoSpaceDN w:val="0"/>
              <w:adjustRightInd w:val="0"/>
              <w:rPr>
                <w:rFonts w:asciiTheme="minorHAnsi" w:hAnsiTheme="minorHAnsi" w:cstheme="minorHAnsi"/>
                <w:sz w:val="22"/>
                <w:szCs w:val="22"/>
              </w:rPr>
            </w:pPr>
          </w:p>
        </w:tc>
        <w:tc>
          <w:tcPr>
            <w:tcW w:w="2078" w:type="dxa"/>
            <w:tcBorders>
              <w:left w:val="nil"/>
              <w:right w:val="nil"/>
            </w:tcBorders>
          </w:tcPr>
          <w:p w14:paraId="295EF52F" w14:textId="77777777" w:rsidR="006D4DDC" w:rsidRPr="000F4950" w:rsidRDefault="006D4DDC" w:rsidP="00150523">
            <w:pPr>
              <w:autoSpaceDE w:val="0"/>
              <w:autoSpaceDN w:val="0"/>
              <w:adjustRightInd w:val="0"/>
              <w:rPr>
                <w:rFonts w:asciiTheme="minorHAnsi" w:hAnsiTheme="minorHAnsi" w:cstheme="minorHAnsi"/>
                <w:sz w:val="22"/>
                <w:szCs w:val="22"/>
              </w:rPr>
            </w:pPr>
          </w:p>
        </w:tc>
        <w:tc>
          <w:tcPr>
            <w:tcW w:w="2078" w:type="dxa"/>
            <w:gridSpan w:val="2"/>
            <w:tcBorders>
              <w:left w:val="nil"/>
              <w:right w:val="nil"/>
            </w:tcBorders>
          </w:tcPr>
          <w:p w14:paraId="3AF0D80D" w14:textId="77777777" w:rsidR="006D4DDC" w:rsidRPr="000F4950" w:rsidRDefault="006D4DDC" w:rsidP="00150523">
            <w:pPr>
              <w:autoSpaceDE w:val="0"/>
              <w:autoSpaceDN w:val="0"/>
              <w:adjustRightInd w:val="0"/>
              <w:rPr>
                <w:rFonts w:asciiTheme="minorHAnsi" w:hAnsiTheme="minorHAnsi" w:cstheme="minorHAnsi"/>
                <w:sz w:val="22"/>
                <w:szCs w:val="22"/>
              </w:rPr>
            </w:pPr>
          </w:p>
        </w:tc>
        <w:tc>
          <w:tcPr>
            <w:tcW w:w="2078" w:type="dxa"/>
            <w:tcBorders>
              <w:left w:val="nil"/>
              <w:right w:val="nil"/>
            </w:tcBorders>
          </w:tcPr>
          <w:p w14:paraId="449D4B9B" w14:textId="77777777" w:rsidR="006D4DDC" w:rsidRPr="000F4950" w:rsidRDefault="006D4DDC" w:rsidP="00150523">
            <w:pPr>
              <w:autoSpaceDE w:val="0"/>
              <w:autoSpaceDN w:val="0"/>
              <w:adjustRightInd w:val="0"/>
              <w:rPr>
                <w:rFonts w:asciiTheme="minorHAnsi" w:hAnsiTheme="minorHAnsi" w:cstheme="minorHAnsi"/>
                <w:sz w:val="22"/>
                <w:szCs w:val="22"/>
              </w:rPr>
            </w:pPr>
          </w:p>
        </w:tc>
      </w:tr>
      <w:tr w:rsidR="006D4DDC" w:rsidRPr="000F4950" w14:paraId="20BABF86" w14:textId="77777777" w:rsidTr="00150523">
        <w:tc>
          <w:tcPr>
            <w:tcW w:w="3116" w:type="dxa"/>
            <w:tcBorders>
              <w:bottom w:val="nil"/>
            </w:tcBorders>
          </w:tcPr>
          <w:p w14:paraId="463893A9"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sz w:val="22"/>
                <w:szCs w:val="22"/>
                <w:shd w:val="clear" w:color="auto" w:fill="FFFFFF"/>
              </w:rPr>
              <w:t>Employment Rate (Q2)</w:t>
            </w:r>
          </w:p>
        </w:tc>
        <w:tc>
          <w:tcPr>
            <w:tcW w:w="3117" w:type="dxa"/>
            <w:gridSpan w:val="2"/>
          </w:tcPr>
          <w:p w14:paraId="0385857A" w14:textId="77777777" w:rsidR="006D4DDC" w:rsidRPr="000F4950" w:rsidRDefault="006D4DDC" w:rsidP="00150523">
            <w:pPr>
              <w:autoSpaceDE w:val="0"/>
              <w:autoSpaceDN w:val="0"/>
              <w:adjustRightInd w:val="0"/>
              <w:rPr>
                <w:rFonts w:asciiTheme="minorHAnsi" w:hAnsiTheme="minorHAnsi" w:cstheme="minorHAnsi"/>
                <w:bCs/>
                <w:color w:val="000000"/>
                <w:sz w:val="22"/>
                <w:szCs w:val="22"/>
                <w:shd w:val="clear" w:color="auto" w:fill="FFFFFF"/>
              </w:rPr>
            </w:pPr>
            <w:r w:rsidRPr="000F4950">
              <w:rPr>
                <w:rFonts w:asciiTheme="minorHAnsi" w:hAnsiTheme="minorHAnsi" w:cstheme="minorHAnsi"/>
                <w:bCs/>
                <w:color w:val="000000"/>
                <w:sz w:val="22"/>
                <w:szCs w:val="22"/>
                <w:shd w:val="clear" w:color="auto" w:fill="FFFFFF"/>
              </w:rPr>
              <w:t>(Cohort Period: 07/01/2016 - 06/30/2017)</w:t>
            </w:r>
          </w:p>
        </w:tc>
        <w:tc>
          <w:tcPr>
            <w:tcW w:w="3117" w:type="dxa"/>
            <w:gridSpan w:val="2"/>
          </w:tcPr>
          <w:p w14:paraId="345E4CF2"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bCs/>
                <w:color w:val="000000"/>
                <w:sz w:val="22"/>
                <w:szCs w:val="22"/>
                <w:shd w:val="clear" w:color="auto" w:fill="FFFFFF"/>
              </w:rPr>
              <w:t>(Cohort Period: 07/01/2017 - 06/30/2018)</w:t>
            </w:r>
          </w:p>
        </w:tc>
      </w:tr>
      <w:tr w:rsidR="006D4DDC" w:rsidRPr="000F4950" w14:paraId="5393C87A" w14:textId="77777777" w:rsidTr="00150523">
        <w:tc>
          <w:tcPr>
            <w:tcW w:w="3116" w:type="dxa"/>
            <w:tcBorders>
              <w:top w:val="nil"/>
              <w:bottom w:val="single" w:sz="4" w:space="0" w:color="auto"/>
            </w:tcBorders>
          </w:tcPr>
          <w:p w14:paraId="375248D4" w14:textId="77777777" w:rsidR="006D4DDC" w:rsidRPr="000F4950" w:rsidRDefault="006D4DDC" w:rsidP="00150523">
            <w:pPr>
              <w:pStyle w:val="NoSpacing"/>
              <w:rPr>
                <w:rFonts w:asciiTheme="minorHAnsi" w:hAnsiTheme="minorHAnsi" w:cstheme="minorHAnsi"/>
                <w:sz w:val="22"/>
                <w:szCs w:val="22"/>
              </w:rPr>
            </w:pPr>
          </w:p>
        </w:tc>
        <w:tc>
          <w:tcPr>
            <w:tcW w:w="3117" w:type="dxa"/>
            <w:gridSpan w:val="2"/>
          </w:tcPr>
          <w:p w14:paraId="6AC0BBFD" w14:textId="77777777" w:rsidR="006D4DDC" w:rsidRPr="000F4950" w:rsidRDefault="006D4DDC" w:rsidP="00150523">
            <w:pPr>
              <w:autoSpaceDE w:val="0"/>
              <w:autoSpaceDN w:val="0"/>
              <w:adjustRightInd w:val="0"/>
              <w:rPr>
                <w:rFonts w:asciiTheme="minorHAnsi" w:hAnsiTheme="minorHAnsi" w:cstheme="minorHAnsi"/>
                <w:bCs/>
                <w:color w:val="000000"/>
                <w:sz w:val="22"/>
                <w:szCs w:val="22"/>
                <w:shd w:val="clear" w:color="auto" w:fill="FFFFFF"/>
              </w:rPr>
            </w:pPr>
            <w:r w:rsidRPr="000F4950">
              <w:rPr>
                <w:rFonts w:asciiTheme="minorHAnsi" w:hAnsiTheme="minorHAnsi" w:cstheme="minorHAnsi"/>
                <w:bCs/>
                <w:color w:val="000000"/>
                <w:sz w:val="22"/>
                <w:szCs w:val="22"/>
                <w:shd w:val="clear" w:color="auto" w:fill="FFFFFF"/>
              </w:rPr>
              <w:t>37.41%</w:t>
            </w:r>
          </w:p>
        </w:tc>
        <w:tc>
          <w:tcPr>
            <w:tcW w:w="3117" w:type="dxa"/>
            <w:gridSpan w:val="2"/>
          </w:tcPr>
          <w:p w14:paraId="7EF8C3FB" w14:textId="77777777" w:rsidR="006D4DDC" w:rsidRPr="000F4950" w:rsidRDefault="006D4DDC" w:rsidP="00150523">
            <w:pPr>
              <w:pStyle w:val="NoSpacing"/>
              <w:rPr>
                <w:rFonts w:asciiTheme="minorHAnsi" w:hAnsiTheme="minorHAnsi" w:cstheme="minorHAnsi"/>
                <w:color w:val="1B1B1B"/>
                <w:sz w:val="22"/>
                <w:szCs w:val="22"/>
              </w:rPr>
            </w:pPr>
            <w:r w:rsidRPr="000F4950">
              <w:rPr>
                <w:rFonts w:asciiTheme="minorHAnsi" w:hAnsiTheme="minorHAnsi" w:cstheme="minorHAnsi"/>
                <w:color w:val="1B1B1B"/>
                <w:sz w:val="22"/>
                <w:szCs w:val="22"/>
              </w:rPr>
              <w:t>41.05%</w:t>
            </w:r>
          </w:p>
          <w:p w14:paraId="288363AE" w14:textId="77777777" w:rsidR="006D4DDC" w:rsidRPr="000F4950" w:rsidRDefault="006D4DDC" w:rsidP="00150523">
            <w:pPr>
              <w:pStyle w:val="NoSpacing"/>
              <w:rPr>
                <w:rFonts w:asciiTheme="minorHAnsi" w:hAnsiTheme="minorHAnsi" w:cstheme="minorHAnsi"/>
                <w:sz w:val="22"/>
                <w:szCs w:val="22"/>
              </w:rPr>
            </w:pPr>
          </w:p>
        </w:tc>
      </w:tr>
      <w:tr w:rsidR="006D4DDC" w:rsidRPr="000F4950" w14:paraId="15BD2086" w14:textId="77777777" w:rsidTr="00150523">
        <w:tc>
          <w:tcPr>
            <w:tcW w:w="3116" w:type="dxa"/>
            <w:tcBorders>
              <w:bottom w:val="nil"/>
            </w:tcBorders>
          </w:tcPr>
          <w:p w14:paraId="677EC7FC" w14:textId="77777777" w:rsidR="006D4DDC" w:rsidRPr="000F4950" w:rsidRDefault="006D4DDC" w:rsidP="00150523">
            <w:pPr>
              <w:autoSpaceDE w:val="0"/>
              <w:autoSpaceDN w:val="0"/>
              <w:adjustRightInd w:val="0"/>
              <w:rPr>
                <w:rFonts w:asciiTheme="minorHAnsi" w:hAnsiTheme="minorHAnsi" w:cstheme="minorHAnsi"/>
                <w:bCs/>
                <w:color w:val="000000"/>
                <w:sz w:val="22"/>
                <w:szCs w:val="22"/>
                <w:shd w:val="clear" w:color="auto" w:fill="FFFFFF"/>
              </w:rPr>
            </w:pPr>
            <w:r w:rsidRPr="000F4950">
              <w:rPr>
                <w:rFonts w:asciiTheme="minorHAnsi" w:hAnsiTheme="minorHAnsi" w:cstheme="minorHAnsi"/>
                <w:bCs/>
                <w:color w:val="000000"/>
                <w:sz w:val="22"/>
                <w:szCs w:val="22"/>
                <w:shd w:val="clear" w:color="auto" w:fill="FFFFFF"/>
              </w:rPr>
              <w:t>Employment Rate (Q4)</w:t>
            </w:r>
          </w:p>
        </w:tc>
        <w:tc>
          <w:tcPr>
            <w:tcW w:w="3117" w:type="dxa"/>
            <w:gridSpan w:val="2"/>
          </w:tcPr>
          <w:p w14:paraId="05CAFC52" w14:textId="77777777" w:rsidR="006D4DDC" w:rsidRPr="000F4950" w:rsidRDefault="006D4DDC" w:rsidP="00150523">
            <w:pPr>
              <w:autoSpaceDE w:val="0"/>
              <w:autoSpaceDN w:val="0"/>
              <w:adjustRightInd w:val="0"/>
              <w:rPr>
                <w:rFonts w:asciiTheme="minorHAnsi" w:hAnsiTheme="minorHAnsi" w:cstheme="minorHAnsi"/>
                <w:bCs/>
                <w:color w:val="000000"/>
                <w:sz w:val="22"/>
                <w:szCs w:val="22"/>
                <w:shd w:val="clear" w:color="auto" w:fill="FFFFFF"/>
              </w:rPr>
            </w:pPr>
            <w:r w:rsidRPr="000F4950">
              <w:rPr>
                <w:rFonts w:asciiTheme="minorHAnsi" w:hAnsiTheme="minorHAnsi" w:cstheme="minorHAnsi"/>
                <w:bCs/>
                <w:color w:val="000000"/>
                <w:sz w:val="22"/>
                <w:szCs w:val="22"/>
                <w:shd w:val="clear" w:color="auto" w:fill="FFFFFF"/>
              </w:rPr>
              <w:t>(Cohort Period: 07/01/2016 - 12/31/2016)</w:t>
            </w:r>
          </w:p>
        </w:tc>
        <w:tc>
          <w:tcPr>
            <w:tcW w:w="3117" w:type="dxa"/>
            <w:gridSpan w:val="2"/>
          </w:tcPr>
          <w:p w14:paraId="573E8D3C"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bCs/>
                <w:color w:val="000000"/>
                <w:sz w:val="22"/>
                <w:szCs w:val="22"/>
                <w:shd w:val="clear" w:color="auto" w:fill="FFFFFF"/>
              </w:rPr>
              <w:t>(Cohort Period: 01/01/2017 - 12/31/2017)</w:t>
            </w:r>
          </w:p>
        </w:tc>
      </w:tr>
      <w:tr w:rsidR="006D4DDC" w:rsidRPr="000F4950" w14:paraId="7C157812" w14:textId="77777777" w:rsidTr="00150523">
        <w:tc>
          <w:tcPr>
            <w:tcW w:w="3116" w:type="dxa"/>
            <w:tcBorders>
              <w:top w:val="nil"/>
            </w:tcBorders>
          </w:tcPr>
          <w:p w14:paraId="13957379" w14:textId="77777777" w:rsidR="006D4DDC" w:rsidRPr="000F4950" w:rsidRDefault="006D4DDC" w:rsidP="00150523">
            <w:pPr>
              <w:autoSpaceDE w:val="0"/>
              <w:autoSpaceDN w:val="0"/>
              <w:adjustRightInd w:val="0"/>
              <w:rPr>
                <w:rFonts w:asciiTheme="minorHAnsi" w:hAnsiTheme="minorHAnsi" w:cstheme="minorHAnsi"/>
                <w:sz w:val="22"/>
                <w:szCs w:val="22"/>
              </w:rPr>
            </w:pPr>
          </w:p>
        </w:tc>
        <w:tc>
          <w:tcPr>
            <w:tcW w:w="3117" w:type="dxa"/>
            <w:gridSpan w:val="2"/>
          </w:tcPr>
          <w:p w14:paraId="677BA4AC" w14:textId="77777777" w:rsidR="006D4DDC" w:rsidRPr="000F4950" w:rsidRDefault="006D4DDC" w:rsidP="00150523">
            <w:pPr>
              <w:autoSpaceDE w:val="0"/>
              <w:autoSpaceDN w:val="0"/>
              <w:adjustRightInd w:val="0"/>
              <w:rPr>
                <w:rFonts w:asciiTheme="minorHAnsi" w:hAnsiTheme="minorHAnsi" w:cstheme="minorHAnsi"/>
                <w:bCs/>
                <w:color w:val="000000"/>
                <w:sz w:val="22"/>
                <w:szCs w:val="22"/>
                <w:shd w:val="clear" w:color="auto" w:fill="FFFFFF"/>
              </w:rPr>
            </w:pPr>
            <w:r w:rsidRPr="000F4950">
              <w:rPr>
                <w:rFonts w:asciiTheme="minorHAnsi" w:hAnsiTheme="minorHAnsi" w:cstheme="minorHAnsi"/>
                <w:bCs/>
                <w:color w:val="000000"/>
                <w:sz w:val="22"/>
                <w:szCs w:val="22"/>
                <w:shd w:val="clear" w:color="auto" w:fill="FFFFFF"/>
              </w:rPr>
              <w:t>38.37%</w:t>
            </w:r>
          </w:p>
          <w:p w14:paraId="0D6951C6" w14:textId="77777777" w:rsidR="006D4DDC" w:rsidRPr="000F4950" w:rsidRDefault="006D4DDC" w:rsidP="00150523">
            <w:pPr>
              <w:autoSpaceDE w:val="0"/>
              <w:autoSpaceDN w:val="0"/>
              <w:adjustRightInd w:val="0"/>
              <w:rPr>
                <w:rFonts w:asciiTheme="minorHAnsi" w:hAnsiTheme="minorHAnsi" w:cstheme="minorHAnsi"/>
                <w:bCs/>
                <w:color w:val="000000"/>
                <w:sz w:val="22"/>
                <w:szCs w:val="22"/>
                <w:shd w:val="clear" w:color="auto" w:fill="FFFFFF"/>
              </w:rPr>
            </w:pPr>
          </w:p>
        </w:tc>
        <w:tc>
          <w:tcPr>
            <w:tcW w:w="3117" w:type="dxa"/>
            <w:gridSpan w:val="2"/>
          </w:tcPr>
          <w:p w14:paraId="1C72D300" w14:textId="77777777" w:rsidR="006D4DDC" w:rsidRPr="000F4950" w:rsidRDefault="006D4DDC" w:rsidP="00150523">
            <w:pPr>
              <w:autoSpaceDE w:val="0"/>
              <w:autoSpaceDN w:val="0"/>
              <w:adjustRightInd w:val="0"/>
              <w:rPr>
                <w:rFonts w:asciiTheme="minorHAnsi" w:hAnsiTheme="minorHAnsi" w:cstheme="minorHAnsi"/>
                <w:sz w:val="22"/>
                <w:szCs w:val="22"/>
              </w:rPr>
            </w:pPr>
            <w:r w:rsidRPr="000F4950">
              <w:rPr>
                <w:rFonts w:asciiTheme="minorHAnsi" w:hAnsiTheme="minorHAnsi" w:cstheme="minorHAnsi"/>
                <w:color w:val="1B1B1B"/>
                <w:sz w:val="22"/>
                <w:szCs w:val="22"/>
                <w:shd w:val="clear" w:color="auto" w:fill="FFFFFF"/>
              </w:rPr>
              <w:t>41.85%</w:t>
            </w:r>
          </w:p>
        </w:tc>
      </w:tr>
      <w:tr w:rsidR="006D4DDC" w:rsidRPr="000F4950" w14:paraId="4C73528A" w14:textId="77777777" w:rsidTr="00150523">
        <w:tc>
          <w:tcPr>
            <w:tcW w:w="3116" w:type="dxa"/>
          </w:tcPr>
          <w:p w14:paraId="5EAC38E8" w14:textId="77777777" w:rsidR="006D4DDC" w:rsidRPr="000F4950" w:rsidRDefault="006D4DDC" w:rsidP="00150523">
            <w:pPr>
              <w:pStyle w:val="NoSpacing"/>
              <w:rPr>
                <w:rFonts w:asciiTheme="minorHAnsi" w:hAnsiTheme="minorHAnsi" w:cstheme="minorHAnsi"/>
                <w:sz w:val="22"/>
                <w:szCs w:val="22"/>
              </w:rPr>
            </w:pPr>
            <w:r w:rsidRPr="000F4950">
              <w:rPr>
                <w:rFonts w:asciiTheme="minorHAnsi" w:hAnsiTheme="minorHAnsi" w:cstheme="minorHAnsi"/>
                <w:sz w:val="22"/>
                <w:szCs w:val="22"/>
                <w:shd w:val="clear" w:color="auto" w:fill="FFFFFF"/>
              </w:rPr>
              <w:t>Credential Rate</w:t>
            </w:r>
          </w:p>
        </w:tc>
        <w:tc>
          <w:tcPr>
            <w:tcW w:w="3117" w:type="dxa"/>
            <w:gridSpan w:val="2"/>
          </w:tcPr>
          <w:p w14:paraId="10100B8E" w14:textId="77777777" w:rsidR="006D4DDC" w:rsidRPr="000F4950" w:rsidRDefault="006D4DDC" w:rsidP="00150523">
            <w:pPr>
              <w:pStyle w:val="NoSpacing"/>
              <w:rPr>
                <w:rFonts w:asciiTheme="minorHAnsi" w:hAnsiTheme="minorHAnsi" w:cstheme="minorHAnsi"/>
                <w:sz w:val="22"/>
                <w:szCs w:val="22"/>
              </w:rPr>
            </w:pPr>
            <w:r w:rsidRPr="000F4950">
              <w:rPr>
                <w:rFonts w:asciiTheme="minorHAnsi" w:hAnsiTheme="minorHAnsi" w:cstheme="minorHAnsi"/>
                <w:sz w:val="22"/>
                <w:szCs w:val="22"/>
              </w:rPr>
              <w:t>20.99%</w:t>
            </w:r>
          </w:p>
          <w:p w14:paraId="5297EFF2" w14:textId="77777777" w:rsidR="006D4DDC" w:rsidRPr="000F4950" w:rsidRDefault="006D4DDC" w:rsidP="00150523">
            <w:pPr>
              <w:pStyle w:val="NoSpacing"/>
              <w:rPr>
                <w:rFonts w:asciiTheme="minorHAnsi" w:hAnsiTheme="minorHAnsi" w:cstheme="minorHAnsi"/>
                <w:sz w:val="22"/>
                <w:szCs w:val="22"/>
              </w:rPr>
            </w:pPr>
          </w:p>
        </w:tc>
        <w:tc>
          <w:tcPr>
            <w:tcW w:w="3117" w:type="dxa"/>
            <w:gridSpan w:val="2"/>
          </w:tcPr>
          <w:p w14:paraId="29DCFAF2" w14:textId="77777777" w:rsidR="006D4DDC" w:rsidRPr="000F4950" w:rsidRDefault="006D4DDC" w:rsidP="00150523">
            <w:pPr>
              <w:pStyle w:val="NoSpacing"/>
              <w:rPr>
                <w:rFonts w:asciiTheme="minorHAnsi" w:hAnsiTheme="minorHAnsi" w:cstheme="minorHAnsi"/>
                <w:color w:val="1B1B1B"/>
                <w:sz w:val="22"/>
                <w:szCs w:val="22"/>
              </w:rPr>
            </w:pPr>
            <w:r w:rsidRPr="000F4950">
              <w:rPr>
                <w:rFonts w:asciiTheme="minorHAnsi" w:hAnsiTheme="minorHAnsi" w:cstheme="minorHAnsi"/>
                <w:color w:val="1B1B1B"/>
                <w:sz w:val="22"/>
                <w:szCs w:val="22"/>
              </w:rPr>
              <w:t>21.23%</w:t>
            </w:r>
          </w:p>
          <w:p w14:paraId="1D93DC33" w14:textId="77777777" w:rsidR="006D4DDC" w:rsidRPr="000F4950" w:rsidRDefault="006D4DDC" w:rsidP="00150523">
            <w:pPr>
              <w:pStyle w:val="NoSpacing"/>
              <w:rPr>
                <w:rFonts w:asciiTheme="minorHAnsi" w:hAnsiTheme="minorHAnsi" w:cstheme="minorHAnsi"/>
                <w:sz w:val="22"/>
                <w:szCs w:val="22"/>
              </w:rPr>
            </w:pPr>
          </w:p>
        </w:tc>
      </w:tr>
    </w:tbl>
    <w:p w14:paraId="7F3252F1" w14:textId="77777777" w:rsidR="006D4DDC" w:rsidRPr="000F4950" w:rsidRDefault="006D4DDC" w:rsidP="006D4DDC">
      <w:pPr>
        <w:autoSpaceDE w:val="0"/>
        <w:autoSpaceDN w:val="0"/>
        <w:adjustRightInd w:val="0"/>
        <w:spacing w:after="0" w:line="240" w:lineRule="auto"/>
        <w:rPr>
          <w:rFonts w:cstheme="minorHAnsi"/>
        </w:rPr>
      </w:pPr>
    </w:p>
    <w:p w14:paraId="48A4ED73" w14:textId="015932F5" w:rsidR="006D4DDC" w:rsidRPr="000F4950" w:rsidRDefault="002D5C1B" w:rsidP="006D4DDC">
      <w:pPr>
        <w:autoSpaceDE w:val="0"/>
        <w:autoSpaceDN w:val="0"/>
        <w:adjustRightInd w:val="0"/>
        <w:spacing w:after="0" w:line="240" w:lineRule="auto"/>
        <w:rPr>
          <w:rFonts w:cstheme="minorHAnsi"/>
        </w:rPr>
      </w:pPr>
      <w:r w:rsidRPr="000F4950">
        <w:rPr>
          <w:rFonts w:cstheme="minorHAnsi"/>
        </w:rPr>
        <w:t>We believe</w:t>
      </w:r>
      <w:r w:rsidR="006D4DDC" w:rsidRPr="000F4950">
        <w:rPr>
          <w:rFonts w:cstheme="minorHAnsi"/>
        </w:rPr>
        <w:t xml:space="preserve"> that a larger percentage of exited students</w:t>
      </w:r>
      <w:r w:rsidR="00283309">
        <w:rPr>
          <w:rFonts w:cstheme="minorHAnsi"/>
        </w:rPr>
        <w:t xml:space="preserve"> are</w:t>
      </w:r>
      <w:r w:rsidR="006D4DDC" w:rsidRPr="000F4950">
        <w:rPr>
          <w:rFonts w:cstheme="minorHAnsi"/>
        </w:rPr>
        <w:t xml:space="preserve"> working</w:t>
      </w:r>
      <w:r w:rsidRPr="000F4950">
        <w:rPr>
          <w:rFonts w:cstheme="minorHAnsi"/>
        </w:rPr>
        <w:t xml:space="preserve"> and that</w:t>
      </w:r>
      <w:r w:rsidR="006D4DDC" w:rsidRPr="000F4950">
        <w:rPr>
          <w:rFonts w:cstheme="minorHAnsi"/>
        </w:rPr>
        <w:t xml:space="preserve"> we are likely undercounting credentials attained. For</w:t>
      </w:r>
      <w:r w:rsidR="00283309">
        <w:rPr>
          <w:rFonts w:cstheme="minorHAnsi"/>
        </w:rPr>
        <w:t xml:space="preserve"> the</w:t>
      </w:r>
      <w:r w:rsidR="006D4DDC" w:rsidRPr="000F4950">
        <w:rPr>
          <w:rFonts w:cstheme="minorHAnsi"/>
        </w:rPr>
        <w:t xml:space="preserve"> most recent cohort period (7/1/16-12/31/16), 561 MA participants attained their high school equivalency. However, we could only report only 432</w:t>
      </w:r>
      <w:r w:rsidR="00283309">
        <w:rPr>
          <w:rFonts w:cstheme="minorHAnsi"/>
        </w:rPr>
        <w:t xml:space="preserve"> (</w:t>
      </w:r>
      <w:r w:rsidR="006D4DDC" w:rsidRPr="000F4950">
        <w:rPr>
          <w:rFonts w:cstheme="minorHAnsi"/>
        </w:rPr>
        <w:t>7</w:t>
      </w:r>
      <w:r w:rsidRPr="000F4950">
        <w:rPr>
          <w:rFonts w:cstheme="minorHAnsi"/>
        </w:rPr>
        <w:t>7</w:t>
      </w:r>
      <w:r w:rsidR="006D4DDC" w:rsidRPr="000F4950">
        <w:rPr>
          <w:rFonts w:cstheme="minorHAnsi"/>
        </w:rPr>
        <w:t>%</w:t>
      </w:r>
      <w:r w:rsidR="00283309">
        <w:rPr>
          <w:rFonts w:cstheme="minorHAnsi"/>
        </w:rPr>
        <w:t>)</w:t>
      </w:r>
      <w:r w:rsidR="006D4DDC" w:rsidRPr="000F4950">
        <w:rPr>
          <w:rFonts w:cstheme="minorHAnsi"/>
        </w:rPr>
        <w:t xml:space="preserve"> because 138 did not have evidence of employment or post-secondary enrollment.</w:t>
      </w:r>
    </w:p>
    <w:p w14:paraId="7A361F07" w14:textId="77777777" w:rsidR="006D4DDC" w:rsidRPr="000F4950" w:rsidRDefault="006D4DDC" w:rsidP="006D4DDC">
      <w:pPr>
        <w:autoSpaceDE w:val="0"/>
        <w:autoSpaceDN w:val="0"/>
        <w:adjustRightInd w:val="0"/>
        <w:spacing w:after="0" w:line="240" w:lineRule="auto"/>
        <w:rPr>
          <w:rFonts w:cstheme="minorHAnsi"/>
        </w:rPr>
      </w:pPr>
    </w:p>
    <w:p w14:paraId="09514FF9" w14:textId="77777777" w:rsidR="006D4DDC" w:rsidRPr="000F4950" w:rsidRDefault="006D4DDC" w:rsidP="006D4DDC">
      <w:pPr>
        <w:autoSpaceDE w:val="0"/>
        <w:autoSpaceDN w:val="0"/>
        <w:adjustRightInd w:val="0"/>
        <w:spacing w:after="0" w:line="240" w:lineRule="auto"/>
        <w:rPr>
          <w:rFonts w:cstheme="minorHAnsi"/>
        </w:rPr>
      </w:pPr>
      <w:r w:rsidRPr="000F4950">
        <w:rPr>
          <w:rFonts w:cstheme="minorHAnsi"/>
        </w:rPr>
        <w:t xml:space="preserve">For the last three reporting years, 57% of Massachusetts adult education participants provided social security numbers. ACLS requires that local providers survey all exited students and recommend prioritizing those who did not provide an SSN. </w:t>
      </w:r>
    </w:p>
    <w:p w14:paraId="0F75C3D3" w14:textId="77777777" w:rsidR="006D4DDC" w:rsidRPr="000F4950" w:rsidRDefault="006D4DDC" w:rsidP="006D4DDC">
      <w:pPr>
        <w:autoSpaceDE w:val="0"/>
        <w:autoSpaceDN w:val="0"/>
        <w:adjustRightInd w:val="0"/>
        <w:spacing w:after="0" w:line="240" w:lineRule="auto"/>
        <w:rPr>
          <w:rFonts w:cstheme="minorHAnsi"/>
        </w:rPr>
      </w:pPr>
    </w:p>
    <w:p w14:paraId="33E62A41" w14:textId="2C6EC0C0" w:rsidR="006D4DDC" w:rsidRPr="000F4950" w:rsidRDefault="006D4DDC" w:rsidP="006D4DDC">
      <w:pPr>
        <w:autoSpaceDE w:val="0"/>
        <w:autoSpaceDN w:val="0"/>
        <w:adjustRightInd w:val="0"/>
        <w:spacing w:after="0" w:line="240" w:lineRule="auto"/>
        <w:rPr>
          <w:rFonts w:cstheme="minorHAnsi"/>
        </w:rPr>
      </w:pPr>
      <w:r w:rsidRPr="000F4950">
        <w:rPr>
          <w:rFonts w:cstheme="minorHAnsi"/>
        </w:rPr>
        <w:t>As of the start of PY19-20, ACLS has implemented the following policies and procedures</w:t>
      </w:r>
      <w:r w:rsidR="000F4950" w:rsidRPr="000F4950">
        <w:rPr>
          <w:rFonts w:cstheme="minorHAnsi"/>
        </w:rPr>
        <w:t xml:space="preserve"> improve data collection and entry quality and improve performance</w:t>
      </w:r>
      <w:r w:rsidRPr="000F4950">
        <w:rPr>
          <w:rFonts w:cstheme="minorHAnsi"/>
        </w:rPr>
        <w:t>:</w:t>
      </w:r>
    </w:p>
    <w:p w14:paraId="1FEFC6B9" w14:textId="77777777" w:rsidR="006D4DDC" w:rsidRPr="000F4950" w:rsidRDefault="006D4DDC" w:rsidP="006D4DDC">
      <w:pPr>
        <w:pStyle w:val="ListParagraph"/>
        <w:numPr>
          <w:ilvl w:val="0"/>
          <w:numId w:val="40"/>
        </w:numPr>
        <w:autoSpaceDE w:val="0"/>
        <w:autoSpaceDN w:val="0"/>
        <w:adjustRightInd w:val="0"/>
        <w:spacing w:after="0" w:line="240" w:lineRule="auto"/>
        <w:rPr>
          <w:rFonts w:cstheme="minorHAnsi"/>
        </w:rPr>
      </w:pPr>
      <w:r w:rsidRPr="000F4950">
        <w:rPr>
          <w:rFonts w:cstheme="minorHAnsi"/>
        </w:rPr>
        <w:t xml:space="preserve">As part of annual grant renewal process, grantees must complete a data quality checklist modeled after the NRS checklist. The DQC items include social security number effort and post-exit survey process and staffing. </w:t>
      </w:r>
    </w:p>
    <w:p w14:paraId="4CA76925" w14:textId="77777777" w:rsidR="006D4DDC" w:rsidRPr="000F4950" w:rsidRDefault="006D4DDC" w:rsidP="006D4DDC">
      <w:pPr>
        <w:pStyle w:val="ListParagraph"/>
        <w:numPr>
          <w:ilvl w:val="0"/>
          <w:numId w:val="40"/>
        </w:numPr>
        <w:autoSpaceDE w:val="0"/>
        <w:autoSpaceDN w:val="0"/>
        <w:adjustRightInd w:val="0"/>
        <w:spacing w:after="0" w:line="240" w:lineRule="auto"/>
        <w:rPr>
          <w:rFonts w:cstheme="minorHAnsi"/>
        </w:rPr>
      </w:pPr>
      <w:r w:rsidRPr="000F4950">
        <w:rPr>
          <w:rFonts w:cstheme="minorHAnsi"/>
        </w:rPr>
        <w:t>Five times per year, grantees will submit a desk review that includes an analysis of employment rates for the available quarters.</w:t>
      </w:r>
    </w:p>
    <w:p w14:paraId="4D798449" w14:textId="77777777" w:rsidR="006D4DDC" w:rsidRPr="000F4950" w:rsidRDefault="006D4DDC" w:rsidP="006D4DDC">
      <w:pPr>
        <w:pStyle w:val="ListParagraph"/>
        <w:numPr>
          <w:ilvl w:val="0"/>
          <w:numId w:val="40"/>
        </w:numPr>
        <w:autoSpaceDE w:val="0"/>
        <w:autoSpaceDN w:val="0"/>
        <w:adjustRightInd w:val="0"/>
        <w:spacing w:after="0" w:line="240" w:lineRule="auto"/>
        <w:rPr>
          <w:rFonts w:cstheme="minorHAnsi"/>
        </w:rPr>
      </w:pPr>
      <w:r w:rsidRPr="000F4950">
        <w:rPr>
          <w:rFonts w:cstheme="minorHAnsi"/>
        </w:rPr>
        <w:t>ACLS will have at least one webinar focused on the post exit indicators and data collection requirements.</w:t>
      </w:r>
    </w:p>
    <w:p w14:paraId="49D4C82D" w14:textId="56047FE0" w:rsidR="006D4DDC" w:rsidRPr="000F4950" w:rsidRDefault="006D4DDC" w:rsidP="006D4DDC">
      <w:pPr>
        <w:pStyle w:val="ListParagraph"/>
        <w:numPr>
          <w:ilvl w:val="0"/>
          <w:numId w:val="40"/>
        </w:numPr>
        <w:autoSpaceDE w:val="0"/>
        <w:autoSpaceDN w:val="0"/>
        <w:adjustRightInd w:val="0"/>
        <w:spacing w:after="0" w:line="240" w:lineRule="auto"/>
        <w:rPr>
          <w:rFonts w:cstheme="minorHAnsi"/>
        </w:rPr>
      </w:pPr>
      <w:r w:rsidRPr="000F4950">
        <w:rPr>
          <w:rFonts w:cstheme="minorHAnsi"/>
        </w:rPr>
        <w:t>ACLS and MIS provider, LiteracyPro Systems (LPS)</w:t>
      </w:r>
      <w:r w:rsidR="00283309">
        <w:rPr>
          <w:rFonts w:cstheme="minorHAnsi"/>
        </w:rPr>
        <w:t>,</w:t>
      </w:r>
      <w:r w:rsidRPr="000F4950">
        <w:rPr>
          <w:rFonts w:cstheme="minorHAnsi"/>
        </w:rPr>
        <w:t xml:space="preserve"> conduct two webinars on IET credential reporting requirements and process.</w:t>
      </w:r>
    </w:p>
    <w:p w14:paraId="03103028" w14:textId="77777777" w:rsidR="006D4DDC" w:rsidRPr="000F4950" w:rsidRDefault="006D4DDC" w:rsidP="006D4DDC">
      <w:pPr>
        <w:pStyle w:val="ListParagraph"/>
        <w:numPr>
          <w:ilvl w:val="0"/>
          <w:numId w:val="40"/>
        </w:numPr>
        <w:autoSpaceDE w:val="0"/>
        <w:autoSpaceDN w:val="0"/>
        <w:adjustRightInd w:val="0"/>
        <w:spacing w:after="0" w:line="240" w:lineRule="auto"/>
        <w:rPr>
          <w:rFonts w:cstheme="minorHAnsi"/>
        </w:rPr>
      </w:pPr>
      <w:r w:rsidRPr="000F4950">
        <w:rPr>
          <w:rFonts w:cstheme="minorHAnsi"/>
        </w:rPr>
        <w:t>LPS will conduct additional training on data system reports that support survey.</w:t>
      </w:r>
    </w:p>
    <w:p w14:paraId="1F141ECA" w14:textId="77777777" w:rsidR="006D4DDC" w:rsidRPr="000F4950" w:rsidRDefault="006D4DDC" w:rsidP="006D4DDC">
      <w:pPr>
        <w:autoSpaceDE w:val="0"/>
        <w:autoSpaceDN w:val="0"/>
        <w:adjustRightInd w:val="0"/>
        <w:spacing w:after="0" w:line="240" w:lineRule="auto"/>
        <w:rPr>
          <w:rFonts w:cstheme="minorHAnsi"/>
        </w:rPr>
      </w:pPr>
    </w:p>
    <w:p w14:paraId="61EDDDF6" w14:textId="77777777" w:rsidR="00C7693F" w:rsidRPr="000F4950" w:rsidRDefault="00C7693F" w:rsidP="00C7693F">
      <w:pPr>
        <w:autoSpaceDE w:val="0"/>
        <w:autoSpaceDN w:val="0"/>
        <w:adjustRightInd w:val="0"/>
        <w:spacing w:after="0" w:line="240" w:lineRule="auto"/>
        <w:rPr>
          <w:rFonts w:cstheme="minorHAnsi"/>
        </w:rPr>
      </w:pPr>
    </w:p>
    <w:p w14:paraId="7D690825" w14:textId="77777777" w:rsidR="00C7693F" w:rsidRPr="000F4950" w:rsidRDefault="00C7693F" w:rsidP="00C7693F">
      <w:pPr>
        <w:autoSpaceDE w:val="0"/>
        <w:autoSpaceDN w:val="0"/>
        <w:adjustRightInd w:val="0"/>
        <w:spacing w:after="0" w:line="240" w:lineRule="auto"/>
        <w:rPr>
          <w:rFonts w:cstheme="minorHAnsi"/>
          <w:b/>
          <w:bCs/>
          <w:i/>
        </w:rPr>
      </w:pPr>
      <w:r w:rsidRPr="000F4950">
        <w:rPr>
          <w:rFonts w:cstheme="minorHAnsi"/>
          <w:b/>
          <w:bCs/>
          <w:i/>
        </w:rPr>
        <w:t>3. Integration with One-stop Partners</w:t>
      </w:r>
    </w:p>
    <w:p w14:paraId="416A7538" w14:textId="77777777" w:rsidR="00C7693F" w:rsidRPr="000F4950" w:rsidRDefault="00C7693F" w:rsidP="00C7693F">
      <w:pPr>
        <w:autoSpaceDE w:val="0"/>
        <w:autoSpaceDN w:val="0"/>
        <w:adjustRightInd w:val="0"/>
        <w:spacing w:after="0" w:line="240" w:lineRule="auto"/>
        <w:rPr>
          <w:rFonts w:cstheme="minorHAnsi"/>
          <w:i/>
        </w:rPr>
      </w:pPr>
      <w:r w:rsidRPr="000F4950">
        <w:rPr>
          <w:rFonts w:cstheme="minorHAnsi"/>
          <w:i/>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2C1FAFE6" w14:textId="77777777" w:rsidR="00C7693F" w:rsidRPr="000F4950" w:rsidRDefault="00C7693F" w:rsidP="00C7693F">
      <w:pPr>
        <w:autoSpaceDE w:val="0"/>
        <w:autoSpaceDN w:val="0"/>
        <w:adjustRightInd w:val="0"/>
        <w:spacing w:after="0" w:line="240" w:lineRule="auto"/>
        <w:rPr>
          <w:rFonts w:cstheme="minorHAnsi"/>
        </w:rPr>
      </w:pPr>
    </w:p>
    <w:p w14:paraId="56ABDA21" w14:textId="77777777" w:rsidR="00C7693F" w:rsidRPr="000F4950" w:rsidRDefault="00C7693F" w:rsidP="00C7693F">
      <w:pPr>
        <w:autoSpaceDE w:val="0"/>
        <w:autoSpaceDN w:val="0"/>
        <w:adjustRightInd w:val="0"/>
        <w:spacing w:after="0" w:line="240" w:lineRule="auto"/>
        <w:contextualSpacing/>
        <w:rPr>
          <w:rFonts w:cstheme="minorHAnsi"/>
        </w:rPr>
      </w:pPr>
      <w:r w:rsidRPr="000F4950">
        <w:rPr>
          <w:rFonts w:cstheme="minorHAnsi"/>
        </w:rPr>
        <w:t xml:space="preserve">ACLS included $285,300 for outstationing services in all 16 local workforce areas in its FY 2019 Open and Competitive Request for Proposals for Community Adult Learning Centers and Adult Education in Correctional Institutions.  The purpose of outstationing is to help eligible individuals access adult education and career center services by assisting MassHire Career Center staff with intake, assessments, </w:t>
      </w:r>
      <w:r w:rsidRPr="000F4950">
        <w:rPr>
          <w:rFonts w:cstheme="minorHAnsi"/>
        </w:rPr>
        <w:lastRenderedPageBreak/>
        <w:t xml:space="preserve">and referrals.  The adult education staff person, or outstationed coordinator, acts as a liaison between AE programs in the local workforce area and the career center.  They may also plan and supervise AE class field trips to career centers and make presentations about career center services to students in AE classes.  In PY18-19, ACLS convened the state’s outstationing coordinators each quarter to share information, clarify policy, and problem-solve.  Additional information about the ACLS outstationing policy and a contact list of outstationed staff can be found </w:t>
      </w:r>
      <w:hyperlink r:id="rId19" w:history="1">
        <w:r w:rsidRPr="000F4950">
          <w:rPr>
            <w:rFonts w:cstheme="minorHAnsi"/>
            <w:color w:val="0563C1" w:themeColor="hyperlink"/>
            <w:u w:val="single"/>
          </w:rPr>
          <w:t>here</w:t>
        </w:r>
      </w:hyperlink>
      <w:r w:rsidRPr="000F4950">
        <w:rPr>
          <w:rFonts w:cstheme="minorHAnsi"/>
        </w:rPr>
        <w:t xml:space="preserve">. </w:t>
      </w:r>
    </w:p>
    <w:p w14:paraId="19DBFA15" w14:textId="77777777" w:rsidR="00C7693F" w:rsidRPr="000F4950" w:rsidRDefault="00C7693F" w:rsidP="00C7693F">
      <w:pPr>
        <w:autoSpaceDE w:val="0"/>
        <w:autoSpaceDN w:val="0"/>
        <w:adjustRightInd w:val="0"/>
        <w:spacing w:after="0" w:line="240" w:lineRule="auto"/>
        <w:ind w:left="360"/>
        <w:contextualSpacing/>
        <w:rPr>
          <w:rFonts w:cstheme="minorHAnsi"/>
        </w:rPr>
      </w:pPr>
    </w:p>
    <w:p w14:paraId="2715C628" w14:textId="77777777" w:rsidR="00C7693F" w:rsidRPr="000F4950" w:rsidRDefault="00C7693F" w:rsidP="00C7693F">
      <w:pPr>
        <w:autoSpaceDE w:val="0"/>
        <w:autoSpaceDN w:val="0"/>
        <w:adjustRightInd w:val="0"/>
        <w:spacing w:after="0" w:line="240" w:lineRule="auto"/>
        <w:contextualSpacing/>
        <w:rPr>
          <w:rFonts w:cstheme="minorHAnsi"/>
        </w:rPr>
      </w:pPr>
      <w:r w:rsidRPr="000F4950">
        <w:rPr>
          <w:rFonts w:cstheme="minorHAnsi"/>
        </w:rPr>
        <w:t xml:space="preserve">Massachusetts has executed an ISA with the MassHire Department of Career Services to fund infrastructure cost in the amount of $150,000 and used a formula based on number of students served to determine the amounts for each local workforce area.  </w:t>
      </w:r>
    </w:p>
    <w:p w14:paraId="095FADCC" w14:textId="77777777" w:rsidR="00C7693F" w:rsidRPr="000F4950" w:rsidRDefault="00C7693F" w:rsidP="00C7693F">
      <w:pPr>
        <w:autoSpaceDE w:val="0"/>
        <w:autoSpaceDN w:val="0"/>
        <w:adjustRightInd w:val="0"/>
        <w:spacing w:after="0" w:line="240" w:lineRule="auto"/>
        <w:rPr>
          <w:rFonts w:cstheme="minorHAnsi"/>
        </w:rPr>
      </w:pPr>
    </w:p>
    <w:p w14:paraId="369B269A" w14:textId="77777777" w:rsidR="00C7693F" w:rsidRPr="000F4950" w:rsidRDefault="00C7693F" w:rsidP="00C7693F">
      <w:pPr>
        <w:autoSpaceDE w:val="0"/>
        <w:autoSpaceDN w:val="0"/>
        <w:adjustRightInd w:val="0"/>
        <w:spacing w:after="0" w:line="240" w:lineRule="auto"/>
        <w:rPr>
          <w:rFonts w:cstheme="minorHAnsi"/>
        </w:rPr>
      </w:pPr>
    </w:p>
    <w:p w14:paraId="7924C453" w14:textId="77777777" w:rsidR="00C7693F" w:rsidRPr="000F4950" w:rsidRDefault="00C7693F" w:rsidP="00C7693F">
      <w:pPr>
        <w:autoSpaceDE w:val="0"/>
        <w:autoSpaceDN w:val="0"/>
        <w:adjustRightInd w:val="0"/>
        <w:spacing w:after="0" w:line="240" w:lineRule="auto"/>
        <w:rPr>
          <w:rFonts w:cstheme="minorHAnsi"/>
          <w:i/>
        </w:rPr>
      </w:pPr>
      <w:r w:rsidRPr="000F4950">
        <w:rPr>
          <w:rFonts w:cstheme="minorHAnsi"/>
          <w:b/>
          <w:bCs/>
          <w:i/>
        </w:rPr>
        <w:t xml:space="preserve">4. Integrated English Literacy and Civics Education (IELCE) Program </w:t>
      </w:r>
      <w:r w:rsidRPr="000F4950">
        <w:rPr>
          <w:rFonts w:cstheme="minorHAnsi"/>
          <w:i/>
        </w:rPr>
        <w:t>(AEFLA Section 243)</w:t>
      </w:r>
    </w:p>
    <w:p w14:paraId="128C90F4" w14:textId="77777777" w:rsidR="00C7693F" w:rsidRPr="000F4950" w:rsidRDefault="00C7693F" w:rsidP="00C7693F">
      <w:pPr>
        <w:autoSpaceDE w:val="0"/>
        <w:autoSpaceDN w:val="0"/>
        <w:adjustRightInd w:val="0"/>
        <w:spacing w:after="0" w:line="240" w:lineRule="auto"/>
        <w:rPr>
          <w:rFonts w:cstheme="minorHAnsi"/>
          <w:i/>
        </w:rPr>
      </w:pPr>
      <w:r w:rsidRPr="000F4950">
        <w:rPr>
          <w:rFonts w:cstheme="minorHAnsi"/>
          <w:i/>
        </w:rPr>
        <w:t>Describe how the state is using funds under Section 243 to support the following activities under the IELCE program:</w:t>
      </w:r>
    </w:p>
    <w:p w14:paraId="35A18A3A" w14:textId="77777777" w:rsidR="00C7693F" w:rsidRPr="000F4950" w:rsidRDefault="00C7693F" w:rsidP="00C7693F">
      <w:pPr>
        <w:numPr>
          <w:ilvl w:val="0"/>
          <w:numId w:val="16"/>
        </w:numPr>
        <w:autoSpaceDE w:val="0"/>
        <w:autoSpaceDN w:val="0"/>
        <w:adjustRightInd w:val="0"/>
        <w:spacing w:after="0" w:line="240" w:lineRule="auto"/>
        <w:contextualSpacing/>
        <w:rPr>
          <w:rFonts w:cstheme="minorHAnsi"/>
          <w:i/>
        </w:rPr>
      </w:pPr>
      <w:r w:rsidRPr="000F4950">
        <w:rPr>
          <w:rFonts w:cstheme="minorHAnsi"/>
          <w:i/>
        </w:rPr>
        <w:t>Describe when your State held a competition [the latest competition] for IELCE program funds and the number of grants awarded by your State to support IELCE programs.</w:t>
      </w:r>
    </w:p>
    <w:p w14:paraId="1140A5A5" w14:textId="77777777" w:rsidR="00C7693F" w:rsidRPr="000F4950" w:rsidRDefault="00C7693F" w:rsidP="00C7693F">
      <w:pPr>
        <w:autoSpaceDE w:val="0"/>
        <w:autoSpaceDN w:val="0"/>
        <w:adjustRightInd w:val="0"/>
        <w:spacing w:after="0" w:line="240" w:lineRule="auto"/>
        <w:ind w:left="360"/>
        <w:rPr>
          <w:rFonts w:cstheme="minorHAnsi"/>
        </w:rPr>
      </w:pPr>
    </w:p>
    <w:p w14:paraId="781F64DC" w14:textId="77777777" w:rsidR="00C7693F" w:rsidRPr="000F4950" w:rsidRDefault="00C7693F" w:rsidP="00C7693F">
      <w:pPr>
        <w:autoSpaceDE w:val="0"/>
        <w:autoSpaceDN w:val="0"/>
        <w:adjustRightInd w:val="0"/>
        <w:spacing w:after="0" w:line="240" w:lineRule="auto"/>
        <w:ind w:left="360"/>
        <w:rPr>
          <w:rFonts w:cstheme="minorHAnsi"/>
        </w:rPr>
      </w:pPr>
      <w:r w:rsidRPr="000F4950">
        <w:rPr>
          <w:rFonts w:cstheme="minorHAnsi"/>
        </w:rPr>
        <w:t>In PY17-18, Massachusetts included IET/IELCE in its Open and Competitive Request for Proposals for Community Adult Learning Centers and Adult Education in Correctional Institutions.  19 grants (12 IELCE, 7 IET) were awarded in the spring of 2018.</w:t>
      </w:r>
    </w:p>
    <w:p w14:paraId="676D356B" w14:textId="77777777" w:rsidR="00C7693F" w:rsidRPr="000F4950" w:rsidRDefault="00C7693F" w:rsidP="00C7693F">
      <w:pPr>
        <w:autoSpaceDE w:val="0"/>
        <w:autoSpaceDN w:val="0"/>
        <w:adjustRightInd w:val="0"/>
        <w:spacing w:after="0" w:line="240" w:lineRule="auto"/>
        <w:ind w:left="360"/>
        <w:rPr>
          <w:rFonts w:cstheme="minorHAnsi"/>
        </w:rPr>
      </w:pPr>
    </w:p>
    <w:p w14:paraId="63A7407B" w14:textId="4FFCF310" w:rsidR="00C7693F" w:rsidRPr="000F4950" w:rsidRDefault="00C7693F" w:rsidP="00C7693F">
      <w:pPr>
        <w:autoSpaceDE w:val="0"/>
        <w:autoSpaceDN w:val="0"/>
        <w:adjustRightInd w:val="0"/>
        <w:spacing w:after="0" w:line="240" w:lineRule="auto"/>
        <w:ind w:left="360"/>
        <w:rPr>
          <w:rFonts w:cstheme="minorHAnsi"/>
          <w:i/>
        </w:rPr>
      </w:pPr>
      <w:r w:rsidRPr="000F4950">
        <w:rPr>
          <w:rFonts w:cstheme="minorHAnsi"/>
        </w:rPr>
        <w:t xml:space="preserve">In PY18-19, posted </w:t>
      </w:r>
      <w:r w:rsidR="00283309">
        <w:rPr>
          <w:rFonts w:cstheme="minorHAnsi"/>
        </w:rPr>
        <w:t xml:space="preserve">two </w:t>
      </w:r>
      <w:r w:rsidRPr="000F4950">
        <w:rPr>
          <w:rFonts w:cstheme="minorHAnsi"/>
        </w:rPr>
        <w:t>open and competitive IET and IELCE requests for proposals with the goal of funding at least one model in each workforce area. Six additional grants were awarded. There is at least one IET or IECLE in 15 of the 16 areas. Currently there are 25 IET/IELCE grants (14 IELCE, 11 IET</w:t>
      </w:r>
      <w:r w:rsidR="008E208A" w:rsidRPr="000F4950">
        <w:rPr>
          <w:rFonts w:cstheme="minorHAnsi"/>
        </w:rPr>
        <w:t>) in</w:t>
      </w:r>
      <w:r w:rsidRPr="000F4950">
        <w:rPr>
          <w:rFonts w:cstheme="minorHAnsi"/>
        </w:rPr>
        <w:t xml:space="preserve"> Massachusetts.</w:t>
      </w:r>
    </w:p>
    <w:p w14:paraId="22619D21" w14:textId="77777777" w:rsidR="00C7693F" w:rsidRPr="000F4950" w:rsidRDefault="00C7693F" w:rsidP="00C7693F">
      <w:pPr>
        <w:autoSpaceDE w:val="0"/>
        <w:autoSpaceDN w:val="0"/>
        <w:adjustRightInd w:val="0"/>
        <w:spacing w:after="0" w:line="240" w:lineRule="auto"/>
        <w:ind w:left="360"/>
        <w:rPr>
          <w:rFonts w:cstheme="minorHAnsi"/>
          <w:i/>
        </w:rPr>
      </w:pPr>
      <w:r w:rsidRPr="000F4950">
        <w:rPr>
          <w:rFonts w:cstheme="minorHAnsi"/>
          <w:i/>
        </w:rPr>
        <w:t xml:space="preserve">  </w:t>
      </w:r>
    </w:p>
    <w:p w14:paraId="15D5CACA" w14:textId="77777777" w:rsidR="00C7693F" w:rsidRPr="000F4950" w:rsidRDefault="00C7693F" w:rsidP="00C7693F">
      <w:pPr>
        <w:numPr>
          <w:ilvl w:val="0"/>
          <w:numId w:val="16"/>
        </w:numPr>
        <w:spacing w:after="200" w:line="276" w:lineRule="auto"/>
        <w:contextualSpacing/>
        <w:rPr>
          <w:rFonts w:cstheme="minorHAnsi"/>
          <w:i/>
        </w:rPr>
      </w:pPr>
      <w:r w:rsidRPr="000F4950">
        <w:rPr>
          <w:rFonts w:cstheme="minorHAnsi"/>
          <w:i/>
        </w:rPr>
        <w:t>Describe your State efforts in meeting the requirement to provide IELCE services in combination with integrated education and training activities;</w:t>
      </w:r>
    </w:p>
    <w:p w14:paraId="45D16C04" w14:textId="77777777" w:rsidR="00C7693F" w:rsidRPr="000F4950" w:rsidRDefault="00C7693F" w:rsidP="00C7693F">
      <w:pPr>
        <w:spacing w:after="200" w:line="276" w:lineRule="auto"/>
        <w:ind w:left="360"/>
        <w:contextualSpacing/>
        <w:rPr>
          <w:rFonts w:cstheme="minorHAnsi"/>
          <w:i/>
        </w:rPr>
      </w:pPr>
    </w:p>
    <w:p w14:paraId="0E29BDFB" w14:textId="14F8C7E1" w:rsidR="00C7693F" w:rsidRPr="000F4950" w:rsidRDefault="008E208A" w:rsidP="00C7693F">
      <w:pPr>
        <w:spacing w:after="200" w:line="276" w:lineRule="auto"/>
        <w:ind w:left="360"/>
        <w:contextualSpacing/>
        <w:rPr>
          <w:rFonts w:cstheme="minorHAnsi"/>
        </w:rPr>
      </w:pPr>
      <w:r>
        <w:rPr>
          <w:rFonts w:cstheme="minorHAnsi"/>
        </w:rPr>
        <w:t xml:space="preserve">All fourteen </w:t>
      </w:r>
      <w:r w:rsidR="00C7693F" w:rsidRPr="000F4950">
        <w:rPr>
          <w:rFonts w:cstheme="minorHAnsi"/>
        </w:rPr>
        <w:t xml:space="preserve">current Massachusetts IELCE programs include an integrated education and training (IET) component.  Including an IET is a requirement for funding.  Of our current programs, three partner with one of the state’s career/ vocational technical education (CVTE) schools for the workforce training component.   Four grantees contract with a training provider and seven contract with a community college.  More information on the programs can be found on our website at: </w:t>
      </w:r>
      <w:hyperlink r:id="rId20" w:history="1">
        <w:r w:rsidR="00C7693F" w:rsidRPr="000F4950">
          <w:rPr>
            <w:rFonts w:cstheme="minorHAnsi"/>
            <w:color w:val="0563C1" w:themeColor="hyperlink"/>
            <w:u w:val="single"/>
          </w:rPr>
          <w:t>http://www.doe.mass.edu/acls/acp/?section=training</w:t>
        </w:r>
      </w:hyperlink>
      <w:r w:rsidR="00C7693F" w:rsidRPr="000F4950">
        <w:rPr>
          <w:rFonts w:cstheme="minorHAnsi"/>
        </w:rPr>
        <w:t xml:space="preserve">.   </w:t>
      </w:r>
    </w:p>
    <w:p w14:paraId="726A0891" w14:textId="77777777" w:rsidR="00C7693F" w:rsidRPr="000F4950" w:rsidRDefault="00C7693F" w:rsidP="00C7693F">
      <w:pPr>
        <w:autoSpaceDE w:val="0"/>
        <w:autoSpaceDN w:val="0"/>
        <w:adjustRightInd w:val="0"/>
        <w:spacing w:after="0" w:line="240" w:lineRule="auto"/>
        <w:ind w:left="360"/>
        <w:contextualSpacing/>
        <w:rPr>
          <w:rFonts w:cstheme="minorHAnsi"/>
        </w:rPr>
      </w:pPr>
    </w:p>
    <w:p w14:paraId="68D7A054" w14:textId="77777777" w:rsidR="00C7693F" w:rsidRPr="000F4950" w:rsidRDefault="00C7693F" w:rsidP="00C7693F">
      <w:pPr>
        <w:numPr>
          <w:ilvl w:val="0"/>
          <w:numId w:val="16"/>
        </w:numPr>
        <w:spacing w:after="200" w:line="276" w:lineRule="auto"/>
        <w:contextualSpacing/>
        <w:rPr>
          <w:rFonts w:cstheme="minorHAnsi"/>
          <w:i/>
        </w:rPr>
      </w:pPr>
      <w:r w:rsidRPr="000F4950">
        <w:rPr>
          <w:rFonts w:cstheme="minorHAnsi"/>
          <w:i/>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w:t>
      </w:r>
    </w:p>
    <w:p w14:paraId="332EA7E2" w14:textId="77777777" w:rsidR="00C7693F" w:rsidRPr="000F4950" w:rsidRDefault="00C7693F" w:rsidP="00C7693F">
      <w:pPr>
        <w:spacing w:after="200" w:line="276" w:lineRule="auto"/>
        <w:ind w:left="360"/>
        <w:contextualSpacing/>
        <w:rPr>
          <w:rFonts w:cstheme="minorHAnsi"/>
        </w:rPr>
      </w:pPr>
      <w:r w:rsidRPr="000F4950">
        <w:rPr>
          <w:rFonts w:cstheme="minorHAnsi"/>
        </w:rPr>
        <w:t xml:space="preserve">Preparing students for unsubsidized employment in local high-demand industries is a requirement for Massachusetts IELCE funding.  In addition, students must earn one or more industry-recognized credentials.  </w:t>
      </w:r>
    </w:p>
    <w:p w14:paraId="1FEB5C20" w14:textId="77777777" w:rsidR="00C7693F" w:rsidRPr="000F4950" w:rsidRDefault="00C7693F" w:rsidP="00C7693F">
      <w:pPr>
        <w:spacing w:after="200" w:line="276" w:lineRule="auto"/>
        <w:ind w:left="360"/>
        <w:contextualSpacing/>
        <w:rPr>
          <w:rFonts w:cstheme="minorHAnsi"/>
        </w:rPr>
      </w:pPr>
    </w:p>
    <w:p w14:paraId="2339F4FE" w14:textId="77777777" w:rsidR="00C7693F" w:rsidRPr="000F4950" w:rsidRDefault="00C7693F" w:rsidP="00C7693F">
      <w:pPr>
        <w:spacing w:after="200" w:line="276" w:lineRule="auto"/>
        <w:ind w:left="360"/>
        <w:contextualSpacing/>
        <w:rPr>
          <w:rFonts w:cstheme="minorHAnsi"/>
        </w:rPr>
      </w:pPr>
      <w:r w:rsidRPr="000F4950">
        <w:rPr>
          <w:rFonts w:cstheme="minorHAnsi"/>
        </w:rPr>
        <w:lastRenderedPageBreak/>
        <w:t>Our pro</w:t>
      </w:r>
      <w:r w:rsidR="00B91F35" w:rsidRPr="000F4950">
        <w:rPr>
          <w:rFonts w:cstheme="minorHAnsi"/>
        </w:rPr>
        <w:t>vider</w:t>
      </w:r>
      <w:r w:rsidRPr="000F4950">
        <w:rPr>
          <w:rFonts w:cstheme="minorHAnsi"/>
        </w:rPr>
        <w:t xml:space="preserve">s report positive working relationships with their MassHire Workforce Boards and CVTE schools.  The workforce boards continue to help connecting adult education programs with employers, CVTE schools, and training providers.  The workforce boards are also instrumental in identifying local emerging industries that offer self/family-sustaining employment.  The CVTE schools continue to be pleased to expand their programming to include adult students, some of whom are parents of children attending school during the day.         </w:t>
      </w:r>
    </w:p>
    <w:p w14:paraId="0178850D" w14:textId="77777777" w:rsidR="00C7693F" w:rsidRPr="000F4950" w:rsidRDefault="00C7693F" w:rsidP="00C7693F">
      <w:pPr>
        <w:autoSpaceDE w:val="0"/>
        <w:autoSpaceDN w:val="0"/>
        <w:adjustRightInd w:val="0"/>
        <w:spacing w:after="0" w:line="240" w:lineRule="auto"/>
        <w:ind w:left="360"/>
        <w:contextualSpacing/>
        <w:rPr>
          <w:rFonts w:cstheme="minorHAnsi"/>
        </w:rPr>
      </w:pPr>
    </w:p>
    <w:p w14:paraId="0794EFDC" w14:textId="6633D2A5" w:rsidR="00C7693F" w:rsidRPr="000F4950" w:rsidRDefault="00C7693F" w:rsidP="00C7693F">
      <w:pPr>
        <w:numPr>
          <w:ilvl w:val="0"/>
          <w:numId w:val="16"/>
        </w:numPr>
        <w:autoSpaceDE w:val="0"/>
        <w:autoSpaceDN w:val="0"/>
        <w:adjustRightInd w:val="0"/>
        <w:spacing w:after="0" w:line="240" w:lineRule="auto"/>
        <w:contextualSpacing/>
        <w:rPr>
          <w:rFonts w:cstheme="minorHAnsi"/>
          <w:i/>
        </w:rPr>
      </w:pPr>
      <w:r w:rsidRPr="000F4950">
        <w:rPr>
          <w:rFonts w:cstheme="minorHAnsi"/>
          <w:i/>
        </w:rPr>
        <w:t xml:space="preserve">Describe how the State is progressing towards program goals of ensuring that IELCE program activities are integrated with the local workforce development system and </w:t>
      </w:r>
      <w:r w:rsidR="008E208A">
        <w:rPr>
          <w:rFonts w:cstheme="minorHAnsi"/>
          <w:i/>
        </w:rPr>
        <w:t xml:space="preserve">its </w:t>
      </w:r>
      <w:r w:rsidRPr="000F4950">
        <w:rPr>
          <w:rFonts w:cstheme="minorHAnsi"/>
          <w:i/>
        </w:rPr>
        <w:t xml:space="preserve">functions as described in section 243(c)(2) and discuss any performance results, challenges, and lessons learned from implementing those program goals. </w:t>
      </w:r>
    </w:p>
    <w:p w14:paraId="77C27DDF" w14:textId="77777777" w:rsidR="00C7693F" w:rsidRPr="000F4950" w:rsidRDefault="00C7693F" w:rsidP="00C7693F">
      <w:pPr>
        <w:autoSpaceDE w:val="0"/>
        <w:autoSpaceDN w:val="0"/>
        <w:adjustRightInd w:val="0"/>
        <w:spacing w:after="0" w:line="240" w:lineRule="auto"/>
        <w:ind w:left="360"/>
        <w:contextualSpacing/>
        <w:rPr>
          <w:rFonts w:cstheme="minorHAnsi"/>
          <w:i/>
        </w:rPr>
      </w:pPr>
    </w:p>
    <w:p w14:paraId="7B63CD21" w14:textId="77777777" w:rsidR="00C7693F" w:rsidRPr="000F4950" w:rsidRDefault="00C7693F" w:rsidP="00C7693F">
      <w:pPr>
        <w:autoSpaceDE w:val="0"/>
        <w:autoSpaceDN w:val="0"/>
        <w:adjustRightInd w:val="0"/>
        <w:spacing w:after="0" w:line="240" w:lineRule="auto"/>
        <w:ind w:left="360"/>
        <w:contextualSpacing/>
        <w:rPr>
          <w:rFonts w:cstheme="minorHAnsi"/>
        </w:rPr>
      </w:pPr>
      <w:r w:rsidRPr="000F4950">
        <w:rPr>
          <w:rFonts w:cstheme="minorHAnsi"/>
        </w:rPr>
        <w:t xml:space="preserve">MassHire Workforce Board staff were represented on all 16 its FY 2019 Open and Competitive Request for Proposals for Community Adult Learning Centers and Adult Education in Correctional Institutions reading teams.  ACLS staff continue to present on IELCE programming at state and local workforce system meetings and conferences.  </w:t>
      </w:r>
    </w:p>
    <w:p w14:paraId="3EC16FFD" w14:textId="77777777" w:rsidR="006D4DDC" w:rsidRPr="000F4950" w:rsidRDefault="006D4DDC" w:rsidP="00235FE2">
      <w:pPr>
        <w:autoSpaceDE w:val="0"/>
        <w:autoSpaceDN w:val="0"/>
        <w:adjustRightInd w:val="0"/>
        <w:spacing w:after="0" w:line="240" w:lineRule="auto"/>
        <w:rPr>
          <w:rFonts w:cstheme="minorHAnsi"/>
        </w:rPr>
      </w:pPr>
    </w:p>
    <w:p w14:paraId="1DF20046" w14:textId="77777777" w:rsidR="00235FE2" w:rsidRPr="000F4950" w:rsidRDefault="00235FE2" w:rsidP="00235FE2">
      <w:pPr>
        <w:autoSpaceDE w:val="0"/>
        <w:autoSpaceDN w:val="0"/>
        <w:adjustRightInd w:val="0"/>
        <w:spacing w:after="0" w:line="240" w:lineRule="auto"/>
        <w:rPr>
          <w:rFonts w:cstheme="minorHAnsi"/>
        </w:rPr>
      </w:pPr>
    </w:p>
    <w:p w14:paraId="68013C38" w14:textId="77777777" w:rsidR="005C320B" w:rsidRPr="000F4950" w:rsidRDefault="005C320B" w:rsidP="00235FE2">
      <w:pPr>
        <w:autoSpaceDE w:val="0"/>
        <w:autoSpaceDN w:val="0"/>
        <w:adjustRightInd w:val="0"/>
        <w:spacing w:after="0" w:line="240" w:lineRule="auto"/>
        <w:rPr>
          <w:rFonts w:cstheme="minorHAnsi"/>
        </w:rPr>
      </w:pPr>
    </w:p>
    <w:p w14:paraId="1270126E" w14:textId="77777777" w:rsidR="008B0172" w:rsidRPr="000F4950" w:rsidRDefault="008B0172" w:rsidP="008B0172">
      <w:pPr>
        <w:autoSpaceDE w:val="0"/>
        <w:autoSpaceDN w:val="0"/>
        <w:adjustRightInd w:val="0"/>
        <w:spacing w:after="0" w:line="240" w:lineRule="auto"/>
        <w:rPr>
          <w:rFonts w:cstheme="minorHAnsi"/>
          <w:bCs/>
          <w:i/>
        </w:rPr>
      </w:pPr>
      <w:r w:rsidRPr="000F4950">
        <w:rPr>
          <w:rFonts w:cstheme="minorHAnsi"/>
          <w:b/>
          <w:bCs/>
          <w:i/>
        </w:rPr>
        <w:t xml:space="preserve">5. Adult Education Standards </w:t>
      </w:r>
    </w:p>
    <w:p w14:paraId="707FB085" w14:textId="77777777" w:rsidR="008B0172" w:rsidRPr="000F4950" w:rsidRDefault="008B0172" w:rsidP="008B0172">
      <w:pPr>
        <w:autoSpaceDE w:val="0"/>
        <w:autoSpaceDN w:val="0"/>
        <w:adjustRightInd w:val="0"/>
        <w:spacing w:after="0" w:line="240" w:lineRule="auto"/>
        <w:rPr>
          <w:rFonts w:cstheme="minorHAnsi"/>
          <w:i/>
        </w:rPr>
      </w:pPr>
      <w:r w:rsidRPr="000F4950">
        <w:rPr>
          <w:rFonts w:cstheme="minorHAnsi"/>
          <w:i/>
        </w:rPr>
        <w:t xml:space="preserve">If your State has adopted new challenging K-12 standards under title I of the Elementary and Secondary Education Act of 1965, as amended, describe how your Adult Education content standards are aligned with those K-12 standards. </w:t>
      </w:r>
    </w:p>
    <w:p w14:paraId="6DA3BEBF" w14:textId="77777777" w:rsidR="008B0172" w:rsidRPr="000F4950" w:rsidRDefault="008B0172" w:rsidP="008B0172">
      <w:pPr>
        <w:autoSpaceDE w:val="0"/>
        <w:autoSpaceDN w:val="0"/>
        <w:spacing w:after="0"/>
        <w:rPr>
          <w:rFonts w:cstheme="minorHAnsi"/>
        </w:rPr>
      </w:pPr>
    </w:p>
    <w:p w14:paraId="3DD99CE6" w14:textId="39109DA8" w:rsidR="008B0172" w:rsidRPr="000F4950" w:rsidRDefault="008B0172" w:rsidP="008B0172">
      <w:pPr>
        <w:autoSpaceDE w:val="0"/>
        <w:autoSpaceDN w:val="0"/>
        <w:spacing w:after="0"/>
        <w:rPr>
          <w:rFonts w:cstheme="minorHAnsi"/>
        </w:rPr>
      </w:pPr>
      <w:r w:rsidRPr="000F4950">
        <w:rPr>
          <w:rFonts w:cstheme="minorHAnsi"/>
        </w:rPr>
        <w:t xml:space="preserve">Strong alignment to the </w:t>
      </w:r>
      <w:r w:rsidRPr="000F4950">
        <w:rPr>
          <w:rFonts w:cstheme="minorHAnsi"/>
          <w:i/>
          <w:iCs/>
        </w:rPr>
        <w:t xml:space="preserve">College and Career Readiness Standards for Adult Education </w:t>
      </w:r>
      <w:r w:rsidRPr="000F4950">
        <w:rPr>
          <w:rFonts w:cstheme="minorHAnsi"/>
        </w:rPr>
        <w:t>(</w:t>
      </w:r>
      <w:hyperlink r:id="rId21" w:tgtFrame="_blank" w:tooltip="External Link" w:history="1">
        <w:r w:rsidRPr="000F4950">
          <w:rPr>
            <w:rStyle w:val="Hyperlink"/>
            <w:rFonts w:cstheme="minorHAnsi"/>
            <w:i/>
            <w:iCs/>
            <w:color w:val="0066CC"/>
          </w:rPr>
          <w:t>CCRSAE</w:t>
        </w:r>
      </w:hyperlink>
      <w:r w:rsidRPr="000F4950">
        <w:rPr>
          <w:rFonts w:cstheme="minorHAnsi"/>
        </w:rPr>
        <w:t xml:space="preserve">) </w:t>
      </w:r>
      <w:r w:rsidR="00202D65" w:rsidRPr="000F4950">
        <w:rPr>
          <w:rFonts w:cstheme="minorHAnsi"/>
        </w:rPr>
        <w:t xml:space="preserve">and the </w:t>
      </w:r>
      <w:r w:rsidR="00202D65" w:rsidRPr="000F4950">
        <w:rPr>
          <w:rFonts w:cstheme="minorHAnsi"/>
          <w:i/>
        </w:rPr>
        <w:t>Massachusetts English Language Proficiency Standards (MA ELPS)</w:t>
      </w:r>
      <w:r w:rsidR="00202D65" w:rsidRPr="000F4950">
        <w:rPr>
          <w:rFonts w:cstheme="minorHAnsi"/>
        </w:rPr>
        <w:t xml:space="preserve"> </w:t>
      </w:r>
      <w:r w:rsidRPr="000F4950">
        <w:rPr>
          <w:rFonts w:cstheme="minorHAnsi"/>
        </w:rPr>
        <w:t xml:space="preserve">is the foundation of ACLS’ vision for funding quality adult education. ACLS has </w:t>
      </w:r>
      <w:r w:rsidR="000E4D73" w:rsidRPr="000F4950">
        <w:rPr>
          <w:rFonts w:cstheme="minorHAnsi"/>
        </w:rPr>
        <w:t xml:space="preserve">required that providers align with </w:t>
      </w:r>
      <w:r w:rsidRPr="000F4950">
        <w:rPr>
          <w:rFonts w:cstheme="minorHAnsi"/>
        </w:rPr>
        <w:t xml:space="preserve">the </w:t>
      </w:r>
      <w:r w:rsidRPr="000F4950">
        <w:rPr>
          <w:rFonts w:cstheme="minorHAnsi"/>
          <w:i/>
          <w:iCs/>
        </w:rPr>
        <w:t>CCRSAE</w:t>
      </w:r>
      <w:r w:rsidRPr="000F4950">
        <w:rPr>
          <w:rFonts w:cstheme="minorHAnsi"/>
        </w:rPr>
        <w:t xml:space="preserve"> since their release in 2013. The Massachusetts Department of Elementary and Secondary Education </w:t>
      </w:r>
      <w:hyperlink r:id="rId22" w:history="1">
        <w:r w:rsidRPr="000F4950">
          <w:rPr>
            <w:rStyle w:val="Hyperlink"/>
            <w:rFonts w:cstheme="minorHAnsi"/>
          </w:rPr>
          <w:t>slightly revised</w:t>
        </w:r>
      </w:hyperlink>
      <w:r w:rsidRPr="000F4950">
        <w:rPr>
          <w:rFonts w:cstheme="minorHAnsi"/>
        </w:rPr>
        <w:t xml:space="preserve"> the state’s K-12 standards in 2017, but the </w:t>
      </w:r>
      <w:r w:rsidR="000E4D73" w:rsidRPr="000F4950">
        <w:rPr>
          <w:rFonts w:cstheme="minorHAnsi"/>
        </w:rPr>
        <w:t xml:space="preserve">DESE </w:t>
      </w:r>
      <w:r w:rsidRPr="000F4950">
        <w:rPr>
          <w:rFonts w:cstheme="minorHAnsi"/>
        </w:rPr>
        <w:t>standards</w:t>
      </w:r>
      <w:r w:rsidR="000E4D73" w:rsidRPr="000F4950">
        <w:rPr>
          <w:rFonts w:cstheme="minorHAnsi"/>
        </w:rPr>
        <w:t xml:space="preserve"> remain closely aligned </w:t>
      </w:r>
      <w:r w:rsidRPr="000F4950">
        <w:rPr>
          <w:rFonts w:cstheme="minorHAnsi"/>
        </w:rPr>
        <w:t xml:space="preserve">to the Common Core State Standards and to the </w:t>
      </w:r>
      <w:r w:rsidRPr="000F4950">
        <w:rPr>
          <w:rFonts w:cstheme="minorHAnsi"/>
          <w:i/>
        </w:rPr>
        <w:t>CCRSAE</w:t>
      </w:r>
      <w:r w:rsidRPr="000F4950">
        <w:rPr>
          <w:rFonts w:cstheme="minorHAnsi"/>
        </w:rPr>
        <w:t xml:space="preserve">. </w:t>
      </w:r>
    </w:p>
    <w:p w14:paraId="6064F29A" w14:textId="77777777" w:rsidR="008B0172" w:rsidRPr="000F4950" w:rsidRDefault="008B0172" w:rsidP="008B0172">
      <w:pPr>
        <w:autoSpaceDE w:val="0"/>
        <w:autoSpaceDN w:val="0"/>
        <w:spacing w:after="0"/>
        <w:rPr>
          <w:rFonts w:cstheme="minorHAnsi"/>
        </w:rPr>
      </w:pPr>
    </w:p>
    <w:p w14:paraId="1BBBEFFD" w14:textId="50DD53AB" w:rsidR="008B0172" w:rsidRPr="000F4950" w:rsidRDefault="008B0172" w:rsidP="008B0172">
      <w:pPr>
        <w:autoSpaceDE w:val="0"/>
        <w:autoSpaceDN w:val="0"/>
        <w:spacing w:after="0"/>
        <w:rPr>
          <w:rFonts w:cstheme="minorHAnsi"/>
          <w:color w:val="000000"/>
        </w:rPr>
      </w:pPr>
      <w:r w:rsidRPr="000F4950">
        <w:rPr>
          <w:rFonts w:cstheme="minorHAnsi"/>
        </w:rPr>
        <w:t xml:space="preserve">To </w:t>
      </w:r>
      <w:r w:rsidR="000A5285" w:rsidRPr="000F4950">
        <w:rPr>
          <w:rFonts w:cstheme="minorHAnsi"/>
        </w:rPr>
        <w:t>ensure</w:t>
      </w:r>
      <w:r w:rsidRPr="000F4950">
        <w:rPr>
          <w:rFonts w:cstheme="minorHAnsi"/>
        </w:rPr>
        <w:t xml:space="preserve"> instructional rigor, Massachusetts’ policies require programs offering ABE instruction to </w:t>
      </w:r>
      <w:r w:rsidRPr="000F4950">
        <w:rPr>
          <w:rFonts w:cstheme="minorHAnsi"/>
          <w:color w:val="000000"/>
        </w:rPr>
        <w:t xml:space="preserve">use curriculum aligned to the </w:t>
      </w:r>
      <w:r w:rsidRPr="000F4950">
        <w:rPr>
          <w:rFonts w:cstheme="minorHAnsi"/>
          <w:i/>
        </w:rPr>
        <w:t>CCRSAE</w:t>
      </w:r>
      <w:r w:rsidRPr="000F4950">
        <w:rPr>
          <w:rFonts w:cstheme="minorHAnsi"/>
          <w:color w:val="000000"/>
        </w:rPr>
        <w:t xml:space="preserve">. ABE curriculum and instruction are required to reflect the instructional shifts and </w:t>
      </w:r>
      <w:r w:rsidR="000A5285" w:rsidRPr="000F4950">
        <w:rPr>
          <w:rFonts w:cstheme="minorHAnsi"/>
          <w:color w:val="000000"/>
        </w:rPr>
        <w:t>to</w:t>
      </w:r>
      <w:r w:rsidRPr="000F4950">
        <w:rPr>
          <w:rFonts w:cstheme="minorHAnsi"/>
          <w:color w:val="000000"/>
        </w:rPr>
        <w:t xml:space="preserve"> align </w:t>
      </w:r>
      <w:r w:rsidR="000A5285" w:rsidRPr="000F4950">
        <w:rPr>
          <w:rFonts w:cstheme="minorHAnsi"/>
          <w:color w:val="000000"/>
        </w:rPr>
        <w:t xml:space="preserve">fully </w:t>
      </w:r>
      <w:r w:rsidRPr="000F4950">
        <w:rPr>
          <w:rFonts w:cstheme="minorHAnsi"/>
          <w:color w:val="000000"/>
        </w:rPr>
        <w:t xml:space="preserve">with the </w:t>
      </w:r>
      <w:r w:rsidRPr="000F4950">
        <w:rPr>
          <w:rFonts w:cstheme="minorHAnsi"/>
          <w:i/>
        </w:rPr>
        <w:t>CCRSAE</w:t>
      </w:r>
      <w:r w:rsidRPr="000F4950">
        <w:rPr>
          <w:rFonts w:cstheme="minorHAnsi"/>
          <w:color w:val="000000"/>
        </w:rPr>
        <w:t xml:space="preserve"> levels A through D–E. </w:t>
      </w:r>
    </w:p>
    <w:p w14:paraId="13F281EC" w14:textId="77777777" w:rsidR="008B0172" w:rsidRPr="000F4950" w:rsidRDefault="008B0172" w:rsidP="008B0172">
      <w:pPr>
        <w:autoSpaceDE w:val="0"/>
        <w:autoSpaceDN w:val="0"/>
        <w:spacing w:after="0"/>
        <w:rPr>
          <w:rFonts w:cstheme="minorHAnsi"/>
          <w:color w:val="000000"/>
        </w:rPr>
      </w:pPr>
    </w:p>
    <w:p w14:paraId="596EF960" w14:textId="77777777" w:rsidR="008B0172" w:rsidRPr="000F4950" w:rsidRDefault="008B0172" w:rsidP="008B0172">
      <w:pPr>
        <w:autoSpaceDE w:val="0"/>
        <w:autoSpaceDN w:val="0"/>
        <w:spacing w:after="0"/>
        <w:rPr>
          <w:rFonts w:cstheme="minorHAnsi"/>
        </w:rPr>
      </w:pPr>
      <w:r w:rsidRPr="000F4950">
        <w:rPr>
          <w:rFonts w:cstheme="minorHAnsi"/>
          <w:color w:val="000000"/>
        </w:rPr>
        <w:t xml:space="preserve">ACLS also recognized that the 2005 </w:t>
      </w:r>
      <w:r w:rsidRPr="000F4950">
        <w:rPr>
          <w:rFonts w:cstheme="minorHAnsi"/>
          <w:i/>
          <w:color w:val="000000"/>
        </w:rPr>
        <w:t>Massachusetts Curriculum Framework Standards for ESOL</w:t>
      </w:r>
      <w:r w:rsidR="00202D65" w:rsidRPr="000F4950">
        <w:rPr>
          <w:rFonts w:cstheme="minorHAnsi"/>
          <w:color w:val="000000"/>
        </w:rPr>
        <w:t xml:space="preserve"> needed revision and </w:t>
      </w:r>
      <w:r w:rsidRPr="000F4950">
        <w:rPr>
          <w:rFonts w:cstheme="minorHAnsi"/>
        </w:rPr>
        <w:t>contracted with World Education</w:t>
      </w:r>
      <w:r w:rsidR="003E3ADF" w:rsidRPr="000F4950">
        <w:rPr>
          <w:rFonts w:cstheme="minorHAnsi"/>
        </w:rPr>
        <w:t>, Inc.</w:t>
      </w:r>
      <w:r w:rsidRPr="000F4950">
        <w:rPr>
          <w:rFonts w:cstheme="minorHAnsi"/>
        </w:rPr>
        <w:t xml:space="preserve"> to produce a revised set of Massachusetts adult ESOL standards and benchmarks that would integrate both the </w:t>
      </w:r>
      <w:r w:rsidRPr="000F4950">
        <w:rPr>
          <w:rFonts w:cstheme="minorHAnsi"/>
          <w:i/>
        </w:rPr>
        <w:t>CCRSAE</w:t>
      </w:r>
      <w:r w:rsidRPr="000F4950">
        <w:rPr>
          <w:rFonts w:cstheme="minorHAnsi"/>
        </w:rPr>
        <w:t xml:space="preserve"> and the </w:t>
      </w:r>
      <w:r w:rsidRPr="000F4950">
        <w:rPr>
          <w:rFonts w:cstheme="minorHAnsi"/>
          <w:i/>
        </w:rPr>
        <w:t>English Language Proficiency Standards for Adult Education</w:t>
      </w:r>
      <w:r w:rsidR="00202D65" w:rsidRPr="000F4950">
        <w:rPr>
          <w:rFonts w:cstheme="minorHAnsi"/>
        </w:rPr>
        <w:t xml:space="preserve">. ACLS </w:t>
      </w:r>
      <w:r w:rsidRPr="000F4950">
        <w:rPr>
          <w:rFonts w:cstheme="minorHAnsi"/>
        </w:rPr>
        <w:t>release</w:t>
      </w:r>
      <w:r w:rsidR="00202D65" w:rsidRPr="000F4950">
        <w:rPr>
          <w:rFonts w:cstheme="minorHAnsi"/>
        </w:rPr>
        <w:t>d</w:t>
      </w:r>
      <w:r w:rsidRPr="000F4950">
        <w:rPr>
          <w:rFonts w:cstheme="minorHAnsi"/>
        </w:rPr>
        <w:t xml:space="preserve"> the revised standards, the </w:t>
      </w:r>
      <w:hyperlink r:id="rId23" w:history="1">
        <w:r w:rsidRPr="000F4950">
          <w:rPr>
            <w:rStyle w:val="Hyperlink"/>
            <w:rFonts w:cstheme="minorHAnsi"/>
            <w:i/>
          </w:rPr>
          <w:t>Massachusetts English Language Proficiency Standards for Adult Education</w:t>
        </w:r>
        <w:r w:rsidR="003E3ADF" w:rsidRPr="000F4950">
          <w:rPr>
            <w:rStyle w:val="Hyperlink"/>
            <w:rFonts w:cstheme="minorHAnsi"/>
            <w:i/>
          </w:rPr>
          <w:t xml:space="preserve"> (MA ELPS)</w:t>
        </w:r>
      </w:hyperlink>
      <w:r w:rsidR="00202D65" w:rsidRPr="000F4950">
        <w:rPr>
          <w:rFonts w:cstheme="minorHAnsi"/>
        </w:rPr>
        <w:t xml:space="preserve">, in March </w:t>
      </w:r>
      <w:r w:rsidRPr="000F4950">
        <w:rPr>
          <w:rFonts w:cstheme="minorHAnsi"/>
        </w:rPr>
        <w:t xml:space="preserve">2019. </w:t>
      </w:r>
      <w:r w:rsidR="00202D65" w:rsidRPr="000F4950">
        <w:rPr>
          <w:rFonts w:cstheme="minorHAnsi"/>
        </w:rPr>
        <w:t xml:space="preserve">The SABES ESOL Curriculum and Instruction Center </w:t>
      </w:r>
      <w:r w:rsidR="003E3ADF" w:rsidRPr="000F4950">
        <w:rPr>
          <w:rFonts w:cstheme="minorHAnsi"/>
        </w:rPr>
        <w:t xml:space="preserve">has since </w:t>
      </w:r>
      <w:r w:rsidR="00202D65" w:rsidRPr="000F4950">
        <w:rPr>
          <w:rFonts w:cstheme="minorHAnsi"/>
        </w:rPr>
        <w:t xml:space="preserve">provided trainings to train ESOL practitioners in the implementation of these standards in the adult ESOL classroom. </w:t>
      </w:r>
      <w:r w:rsidRPr="000F4950">
        <w:rPr>
          <w:rFonts w:cstheme="minorHAnsi"/>
        </w:rPr>
        <w:t xml:space="preserve">For more information, see the specific </w:t>
      </w:r>
      <w:hyperlink r:id="rId24" w:history="1">
        <w:r w:rsidRPr="000F4950">
          <w:rPr>
            <w:rStyle w:val="Hyperlink"/>
            <w:rFonts w:cstheme="minorHAnsi"/>
          </w:rPr>
          <w:t>curriculum and instruction policies</w:t>
        </w:r>
      </w:hyperlink>
      <w:r w:rsidRPr="000F4950">
        <w:rPr>
          <w:rFonts w:cstheme="minorHAnsi"/>
        </w:rPr>
        <w:t xml:space="preserve">. </w:t>
      </w:r>
    </w:p>
    <w:p w14:paraId="1161AC06" w14:textId="77777777" w:rsidR="008B0172" w:rsidRPr="000F4950" w:rsidRDefault="008B0172" w:rsidP="008B0172">
      <w:pPr>
        <w:spacing w:after="0"/>
        <w:rPr>
          <w:rFonts w:cstheme="minorHAnsi"/>
        </w:rPr>
      </w:pPr>
    </w:p>
    <w:p w14:paraId="6B1114FB" w14:textId="77777777" w:rsidR="008B0172" w:rsidRPr="000F4950" w:rsidRDefault="008B0172" w:rsidP="008B0172">
      <w:pPr>
        <w:pStyle w:val="NoSpacing"/>
        <w:rPr>
          <w:rFonts w:cstheme="minorHAnsi"/>
        </w:rPr>
      </w:pPr>
      <w:r w:rsidRPr="000F4950">
        <w:rPr>
          <w:rFonts w:cstheme="minorHAnsi"/>
          <w:i/>
        </w:rPr>
        <w:t>(Optional) Implementation Efforts</w:t>
      </w:r>
      <w:r w:rsidRPr="000F4950">
        <w:rPr>
          <w:rFonts w:cstheme="minorHAnsi"/>
        </w:rPr>
        <w:t xml:space="preserve">: </w:t>
      </w:r>
    </w:p>
    <w:p w14:paraId="095EC0DF" w14:textId="55DFA89A" w:rsidR="008B0172" w:rsidRPr="000F4950" w:rsidRDefault="00736371" w:rsidP="008B0172">
      <w:pPr>
        <w:pStyle w:val="NoSpacing"/>
        <w:rPr>
          <w:rFonts w:cstheme="minorHAnsi"/>
        </w:rPr>
      </w:pPr>
      <w:r w:rsidRPr="000F4950">
        <w:rPr>
          <w:rFonts w:cstheme="minorHAnsi"/>
        </w:rPr>
        <w:lastRenderedPageBreak/>
        <w:t>In PY18-19</w:t>
      </w:r>
      <w:r w:rsidR="008B0172" w:rsidRPr="000F4950">
        <w:rPr>
          <w:rFonts w:cstheme="minorHAnsi"/>
        </w:rPr>
        <w:t xml:space="preserve">, ACLS continued to refine the </w:t>
      </w:r>
      <w:hyperlink r:id="rId25" w:history="1">
        <w:r w:rsidR="008B0172" w:rsidRPr="000F4950">
          <w:rPr>
            <w:rStyle w:val="Hyperlink"/>
            <w:rFonts w:cstheme="minorHAnsi"/>
            <w:i/>
          </w:rPr>
          <w:t>Massachusetts Adult Education Educator Growth and Evaluation (EGE) System</w:t>
        </w:r>
      </w:hyperlink>
      <w:r w:rsidR="008B0172" w:rsidRPr="000F4950">
        <w:rPr>
          <w:rFonts w:cstheme="minorHAnsi"/>
        </w:rPr>
        <w:t xml:space="preserve">, which emphasizes </w:t>
      </w:r>
      <w:r w:rsidR="008B0172" w:rsidRPr="000F4950">
        <w:rPr>
          <w:rFonts w:cstheme="minorHAnsi"/>
          <w:i/>
        </w:rPr>
        <w:t>CCRSAE</w:t>
      </w:r>
      <w:r w:rsidR="003E3ADF" w:rsidRPr="000F4950">
        <w:rPr>
          <w:rFonts w:cstheme="minorHAnsi"/>
          <w:i/>
        </w:rPr>
        <w:t>/MA ELPS</w:t>
      </w:r>
      <w:r w:rsidR="008B0172" w:rsidRPr="000F4950">
        <w:rPr>
          <w:rFonts w:cstheme="minorHAnsi"/>
        </w:rPr>
        <w:t xml:space="preserve">-aligned curriculum and instruction.  </w:t>
      </w:r>
      <w:r w:rsidR="003E3ADF" w:rsidRPr="000F4950">
        <w:rPr>
          <w:rFonts w:cstheme="minorHAnsi"/>
        </w:rPr>
        <w:t xml:space="preserve">The SABES Program Support Center took over the implementation of </w:t>
      </w:r>
      <w:r w:rsidR="008B0172" w:rsidRPr="000F4950">
        <w:rPr>
          <w:rFonts w:cstheme="minorHAnsi"/>
        </w:rPr>
        <w:t>the EGE system</w:t>
      </w:r>
      <w:r w:rsidR="003E3ADF" w:rsidRPr="000F4950">
        <w:rPr>
          <w:rFonts w:cstheme="minorHAnsi"/>
        </w:rPr>
        <w:t>. The EGE System is</w:t>
      </w:r>
      <w:r w:rsidR="008B0172" w:rsidRPr="000F4950">
        <w:rPr>
          <w:rFonts w:cstheme="minorHAnsi"/>
        </w:rPr>
        <w:t xml:space="preserve"> enhanced by </w:t>
      </w:r>
      <w:hyperlink r:id="rId26" w:history="1">
        <w:r w:rsidR="008B0172" w:rsidRPr="000F4950">
          <w:rPr>
            <w:rStyle w:val="Hyperlink"/>
            <w:rFonts w:cstheme="minorHAnsi"/>
          </w:rPr>
          <w:t>Proficiency Guides for Math and English Language Arts (ELA)</w:t>
        </w:r>
      </w:hyperlink>
      <w:r w:rsidR="008B0172" w:rsidRPr="000F4950">
        <w:rPr>
          <w:rFonts w:cstheme="minorHAnsi"/>
        </w:rPr>
        <w:t xml:space="preserve"> </w:t>
      </w:r>
      <w:r w:rsidRPr="000F4950">
        <w:rPr>
          <w:rFonts w:cstheme="minorHAnsi"/>
        </w:rPr>
        <w:t>which were completed in PY 18-19</w:t>
      </w:r>
      <w:r w:rsidR="008B0172" w:rsidRPr="000F4950">
        <w:rPr>
          <w:rFonts w:cstheme="minorHAnsi"/>
        </w:rPr>
        <w:t>. The</w:t>
      </w:r>
      <w:r w:rsidRPr="000F4950">
        <w:rPr>
          <w:rFonts w:cstheme="minorHAnsi"/>
        </w:rPr>
        <w:t>se</w:t>
      </w:r>
      <w:r w:rsidR="008B0172" w:rsidRPr="000F4950">
        <w:rPr>
          <w:rFonts w:cstheme="minorHAnsi"/>
        </w:rPr>
        <w:t xml:space="preserve"> Profic</w:t>
      </w:r>
      <w:r w:rsidR="003E3ADF" w:rsidRPr="000F4950">
        <w:rPr>
          <w:rFonts w:cstheme="minorHAnsi"/>
        </w:rPr>
        <w:t xml:space="preserve">iency Guides </w:t>
      </w:r>
      <w:r w:rsidR="008B0172" w:rsidRPr="000F4950">
        <w:rPr>
          <w:rFonts w:cstheme="minorHAnsi"/>
        </w:rPr>
        <w:t xml:space="preserve">identify the knowledge and skills needed to be an effective teacher in these content areas, including specific language around the knowledge, skills, and classroom practices needed for </w:t>
      </w:r>
      <w:r w:rsidR="008B0172" w:rsidRPr="000F4950">
        <w:rPr>
          <w:rFonts w:cstheme="minorHAnsi"/>
          <w:i/>
        </w:rPr>
        <w:t>CCRSAE</w:t>
      </w:r>
      <w:r w:rsidR="008B0172" w:rsidRPr="000F4950">
        <w:rPr>
          <w:rFonts w:cstheme="minorHAnsi"/>
        </w:rPr>
        <w:t xml:space="preserve">-aligned curriculum and instruction. </w:t>
      </w:r>
      <w:r w:rsidR="008B0172" w:rsidRPr="000F4950">
        <w:rPr>
          <w:rFonts w:cstheme="minorHAnsi"/>
          <w:i/>
        </w:rPr>
        <w:t>Note</w:t>
      </w:r>
      <w:r w:rsidR="008B0172" w:rsidRPr="000F4950">
        <w:rPr>
          <w:rFonts w:cstheme="minorHAnsi"/>
        </w:rPr>
        <w:t xml:space="preserve">: The 2014 </w:t>
      </w:r>
      <w:r w:rsidR="003E3ADF" w:rsidRPr="000F4950">
        <w:rPr>
          <w:rFonts w:cstheme="minorHAnsi"/>
          <w:i/>
        </w:rPr>
        <w:t>Massachusetts Professional Standards for Teachers of Adult Speakers of Other Languages</w:t>
      </w:r>
      <w:r w:rsidR="003E3ADF" w:rsidRPr="000F4950">
        <w:rPr>
          <w:rFonts w:cstheme="minorHAnsi"/>
        </w:rPr>
        <w:t xml:space="preserve"> will be revised and </w:t>
      </w:r>
      <w:r w:rsidR="008B0172" w:rsidRPr="000F4950">
        <w:rPr>
          <w:rFonts w:cstheme="minorHAnsi"/>
        </w:rPr>
        <w:t>will be released</w:t>
      </w:r>
      <w:r w:rsidR="003E3ADF" w:rsidRPr="000F4950">
        <w:rPr>
          <w:rFonts w:cstheme="minorHAnsi"/>
        </w:rPr>
        <w:t xml:space="preserve"> by end of program year 19-20</w:t>
      </w:r>
      <w:r w:rsidR="008B0172" w:rsidRPr="000F4950">
        <w:rPr>
          <w:rFonts w:cstheme="minorHAnsi"/>
        </w:rPr>
        <w:t>.</w:t>
      </w:r>
    </w:p>
    <w:p w14:paraId="1319DCD8" w14:textId="77777777" w:rsidR="000A5285" w:rsidRPr="000F4950" w:rsidRDefault="000A5285" w:rsidP="008B0172">
      <w:pPr>
        <w:pStyle w:val="NoSpacing"/>
        <w:rPr>
          <w:rFonts w:cstheme="minorHAnsi"/>
        </w:rPr>
      </w:pPr>
    </w:p>
    <w:p w14:paraId="6239F5ED" w14:textId="4FB3305F" w:rsidR="000A5285" w:rsidRPr="000F4950" w:rsidRDefault="000A5285" w:rsidP="000A5285">
      <w:pPr>
        <w:pStyle w:val="NoSpacing"/>
        <w:rPr>
          <w:rFonts w:cstheme="minorHAnsi"/>
        </w:rPr>
      </w:pPr>
      <w:r w:rsidRPr="000F4950">
        <w:rPr>
          <w:rFonts w:cstheme="minorHAnsi"/>
        </w:rPr>
        <w:t xml:space="preserve">ACLS contracted TERC to expand the Curriculum for Adults Learning Math (CALM) and: 1. Create a set of frequently asked questions about CALM lessons with additional guidance for teachers in coping with challenges such as open enrollment when using CALM; 2. Introduce Singapore strips, number lines, variables much earlier in the CALM so there are more opportunities to practice using them in many different types of problems and build crosswalks across the CALM units based on major themes of functions, geometry and data; 3. Add differentiated instruction strategies in the CALM lessons; and, 4. Review the </w:t>
      </w:r>
      <w:hyperlink r:id="rId27" w:history="1">
        <w:r w:rsidRPr="000F4950">
          <w:rPr>
            <w:rStyle w:val="Hyperlink"/>
            <w:rFonts w:cstheme="minorHAnsi"/>
          </w:rPr>
          <w:t>ESE CURATE (</w:t>
        </w:r>
        <w:r w:rsidRPr="000F4950">
          <w:rPr>
            <w:rStyle w:val="Hyperlink"/>
            <w:rFonts w:cstheme="minorHAnsi"/>
            <w:i/>
          </w:rPr>
          <w:t>CU</w:t>
        </w:r>
        <w:r w:rsidRPr="000F4950">
          <w:rPr>
            <w:rStyle w:val="Hyperlink"/>
            <w:rFonts w:cstheme="minorHAnsi"/>
          </w:rPr>
          <w:t xml:space="preserve">rriculum </w:t>
        </w:r>
        <w:r w:rsidRPr="000F4950">
          <w:rPr>
            <w:rStyle w:val="Hyperlink"/>
            <w:rFonts w:cstheme="minorHAnsi"/>
            <w:i/>
          </w:rPr>
          <w:t>RA</w:t>
        </w:r>
        <w:r w:rsidRPr="000F4950">
          <w:rPr>
            <w:rStyle w:val="Hyperlink"/>
            <w:rFonts w:cstheme="minorHAnsi"/>
          </w:rPr>
          <w:t xml:space="preserve">tings by </w:t>
        </w:r>
        <w:r w:rsidRPr="000F4950">
          <w:rPr>
            <w:rStyle w:val="Hyperlink"/>
            <w:rFonts w:cstheme="minorHAnsi"/>
            <w:i/>
          </w:rPr>
          <w:t>TE</w:t>
        </w:r>
        <w:r w:rsidRPr="000F4950">
          <w:rPr>
            <w:rStyle w:val="Hyperlink"/>
            <w:rFonts w:cstheme="minorHAnsi"/>
          </w:rPr>
          <w:t>achers)</w:t>
        </w:r>
      </w:hyperlink>
      <w:r w:rsidRPr="000F4950">
        <w:rPr>
          <w:rFonts w:cstheme="minorHAnsi"/>
        </w:rPr>
        <w:t xml:space="preserve"> process to evaluate the best EdTech tools to support CALM instruction. </w:t>
      </w:r>
    </w:p>
    <w:p w14:paraId="649C6C6C" w14:textId="77777777" w:rsidR="008B0172" w:rsidRPr="000F4950" w:rsidRDefault="008B0172" w:rsidP="008B0172">
      <w:pPr>
        <w:pStyle w:val="NoSpacing"/>
        <w:rPr>
          <w:rFonts w:cstheme="minorHAnsi"/>
        </w:rPr>
      </w:pPr>
    </w:p>
    <w:p w14:paraId="5FF85794" w14:textId="28539B08" w:rsidR="00742390" w:rsidRPr="000F4950" w:rsidRDefault="003E3ADF" w:rsidP="00457B7E">
      <w:pPr>
        <w:autoSpaceDE w:val="0"/>
        <w:autoSpaceDN w:val="0"/>
        <w:adjustRightInd w:val="0"/>
        <w:spacing w:after="0" w:line="240" w:lineRule="auto"/>
        <w:rPr>
          <w:rFonts w:cstheme="minorHAnsi"/>
        </w:rPr>
      </w:pPr>
      <w:r w:rsidRPr="000F4950">
        <w:rPr>
          <w:rFonts w:cstheme="minorHAnsi"/>
        </w:rPr>
        <w:t>PY18-19</w:t>
      </w:r>
      <w:r w:rsidR="008B0172" w:rsidRPr="000F4950">
        <w:rPr>
          <w:rFonts w:cstheme="minorHAnsi"/>
        </w:rPr>
        <w:t xml:space="preserve"> professional development (PD) focused on </w:t>
      </w:r>
      <w:r w:rsidR="008B0172" w:rsidRPr="000F4950">
        <w:rPr>
          <w:rFonts w:cstheme="minorHAnsi"/>
          <w:i/>
        </w:rPr>
        <w:t>CCRSAE</w:t>
      </w:r>
      <w:r w:rsidR="00D3370E" w:rsidRPr="000F4950">
        <w:rPr>
          <w:rFonts w:cstheme="minorHAnsi"/>
          <w:i/>
        </w:rPr>
        <w:t xml:space="preserve"> </w:t>
      </w:r>
      <w:r w:rsidR="00D3370E" w:rsidRPr="000F4950">
        <w:rPr>
          <w:rFonts w:cstheme="minorHAnsi"/>
        </w:rPr>
        <w:t>and, to some extent,</w:t>
      </w:r>
      <w:r w:rsidR="00D3370E" w:rsidRPr="000F4950">
        <w:rPr>
          <w:rFonts w:cstheme="minorHAnsi"/>
          <w:i/>
        </w:rPr>
        <w:t xml:space="preserve"> MA ELPS</w:t>
      </w:r>
      <w:r w:rsidR="008B0172" w:rsidRPr="000F4950">
        <w:rPr>
          <w:rFonts w:cstheme="minorHAnsi"/>
        </w:rPr>
        <w:t>-alig</w:t>
      </w:r>
      <w:r w:rsidR="00BF36AE" w:rsidRPr="000F4950">
        <w:rPr>
          <w:rFonts w:cstheme="minorHAnsi"/>
        </w:rPr>
        <w:t>ned curriculum and in</w:t>
      </w:r>
      <w:r w:rsidR="00D3370E" w:rsidRPr="000F4950">
        <w:rPr>
          <w:rFonts w:cstheme="minorHAnsi"/>
        </w:rPr>
        <w:t xml:space="preserve">struction. </w:t>
      </w:r>
      <w:r w:rsidR="008B0172" w:rsidRPr="000F4950">
        <w:rPr>
          <w:rFonts w:cstheme="minorHAnsi"/>
        </w:rPr>
        <w:t>SABES provided written and face-to-face feedback on program curriculum, scope and sequence, and instructional unit submissions for programs that requested review</w:t>
      </w:r>
      <w:r w:rsidR="000E4D73" w:rsidRPr="000F4950">
        <w:rPr>
          <w:rFonts w:cstheme="minorHAnsi"/>
        </w:rPr>
        <w:t>s</w:t>
      </w:r>
      <w:r w:rsidR="008B0172" w:rsidRPr="000F4950">
        <w:rPr>
          <w:rFonts w:cstheme="minorHAnsi"/>
        </w:rPr>
        <w:t xml:space="preserve">. </w:t>
      </w:r>
    </w:p>
    <w:p w14:paraId="5544BBA1" w14:textId="77777777" w:rsidR="00742390" w:rsidRPr="000F4950" w:rsidRDefault="00736371" w:rsidP="00742390">
      <w:pPr>
        <w:pStyle w:val="xmsonormal"/>
        <w:spacing w:before="0" w:beforeAutospacing="0" w:after="0" w:afterAutospacing="0"/>
        <w:rPr>
          <w:rFonts w:asciiTheme="minorHAnsi" w:hAnsiTheme="minorHAnsi" w:cstheme="minorHAnsi"/>
          <w:bCs/>
          <w:color w:val="000000"/>
          <w:sz w:val="22"/>
          <w:szCs w:val="22"/>
        </w:rPr>
      </w:pPr>
      <w:r w:rsidRPr="000F4950">
        <w:rPr>
          <w:rFonts w:asciiTheme="minorHAnsi" w:hAnsiTheme="minorHAnsi" w:cstheme="minorHAnsi"/>
          <w:sz w:val="22"/>
          <w:szCs w:val="22"/>
        </w:rPr>
        <w:t>ELA PD offerings focused on EBRI full sequence trainings and expanding on</w:t>
      </w:r>
      <w:r w:rsidR="00457B7E" w:rsidRPr="000F4950">
        <w:rPr>
          <w:rFonts w:asciiTheme="minorHAnsi" w:hAnsiTheme="minorHAnsi" w:cstheme="minorHAnsi"/>
          <w:sz w:val="22"/>
          <w:szCs w:val="22"/>
        </w:rPr>
        <w:t xml:space="preserve">line trainings, math PD focused on understanding what aspects of CALM (e.g. curriculum, orientation, monthly support/PD, director support, program culture) support changes in teacher practice and </w:t>
      </w:r>
      <w:r w:rsidR="00457B7E" w:rsidRPr="000F4950">
        <w:rPr>
          <w:rFonts w:asciiTheme="minorHAnsi" w:hAnsiTheme="minorHAnsi" w:cstheme="minorHAnsi"/>
          <w:iCs/>
          <w:sz w:val="22"/>
          <w:szCs w:val="22"/>
        </w:rPr>
        <w:t>how teachers integrate math into their classroom practice</w:t>
      </w:r>
      <w:r w:rsidR="00742390" w:rsidRPr="000F4950">
        <w:rPr>
          <w:rFonts w:asciiTheme="minorHAnsi" w:hAnsiTheme="minorHAnsi" w:cstheme="minorHAnsi"/>
          <w:iCs/>
          <w:sz w:val="22"/>
          <w:szCs w:val="22"/>
        </w:rPr>
        <w:t xml:space="preserve">, and lastly, ESOL PD focused on </w:t>
      </w:r>
      <w:r w:rsidR="00742390" w:rsidRPr="000F4950">
        <w:rPr>
          <w:rFonts w:asciiTheme="minorHAnsi" w:hAnsiTheme="minorHAnsi" w:cstheme="minorHAnsi"/>
          <w:bCs/>
          <w:color w:val="000000"/>
          <w:sz w:val="22"/>
          <w:szCs w:val="22"/>
        </w:rPr>
        <w:t>supporting  teachers working with special English learning (EL) student populations and responding effectively to program requests for specific and program-based PD.</w:t>
      </w:r>
    </w:p>
    <w:p w14:paraId="48DEFAC9" w14:textId="77777777" w:rsidR="00D3370E" w:rsidRPr="000F4950" w:rsidRDefault="00D3370E" w:rsidP="008B0172">
      <w:pPr>
        <w:pStyle w:val="NoSpacing"/>
        <w:rPr>
          <w:rFonts w:cstheme="minorHAnsi"/>
        </w:rPr>
      </w:pPr>
    </w:p>
    <w:p w14:paraId="2982697D" w14:textId="77777777" w:rsidR="008B0172" w:rsidRPr="000F4950" w:rsidRDefault="008B0172" w:rsidP="008B0172">
      <w:pPr>
        <w:pStyle w:val="NoSpacing"/>
        <w:rPr>
          <w:rFonts w:cstheme="minorHAnsi"/>
        </w:rPr>
      </w:pPr>
      <w:r w:rsidRPr="000F4950">
        <w:rPr>
          <w:rFonts w:cstheme="minorHAnsi"/>
        </w:rPr>
        <w:t xml:space="preserve">Examples of </w:t>
      </w:r>
      <w:r w:rsidR="00457B7E" w:rsidRPr="000F4950">
        <w:rPr>
          <w:rFonts w:cstheme="minorHAnsi"/>
        </w:rPr>
        <w:t>PY18-19</w:t>
      </w:r>
      <w:r w:rsidRPr="000F4950">
        <w:rPr>
          <w:rFonts w:cstheme="minorHAnsi"/>
        </w:rPr>
        <w:t xml:space="preserve"> SABES professional development on standards-aligned curriculum development and instruction include:</w:t>
      </w:r>
    </w:p>
    <w:p w14:paraId="0B159D41" w14:textId="77777777" w:rsidR="008B0172" w:rsidRPr="000F4950" w:rsidRDefault="008771E8" w:rsidP="008B0172">
      <w:pPr>
        <w:pStyle w:val="NoSpacing"/>
        <w:rPr>
          <w:rFonts w:cstheme="minorHAnsi"/>
        </w:rPr>
      </w:pPr>
      <w:hyperlink r:id="rId28" w:history="1">
        <w:r w:rsidR="008B0172" w:rsidRPr="000F4950">
          <w:rPr>
            <w:rStyle w:val="Hyperlink"/>
            <w:rFonts w:cstheme="minorHAnsi"/>
          </w:rPr>
          <w:t>English Language Arts</w:t>
        </w:r>
      </w:hyperlink>
      <w:r w:rsidR="008B0172" w:rsidRPr="000F4950">
        <w:rPr>
          <w:rFonts w:cstheme="minorHAnsi"/>
        </w:rPr>
        <w:t>:</w:t>
      </w:r>
    </w:p>
    <w:p w14:paraId="573E8CF8" w14:textId="77777777" w:rsidR="008B0172" w:rsidRPr="000F4950" w:rsidRDefault="00736371" w:rsidP="00736371">
      <w:pPr>
        <w:pStyle w:val="ListParagraph"/>
        <w:numPr>
          <w:ilvl w:val="0"/>
          <w:numId w:val="30"/>
        </w:numPr>
        <w:spacing w:after="0" w:line="240" w:lineRule="auto"/>
        <w:rPr>
          <w:rFonts w:cstheme="minorHAnsi"/>
        </w:rPr>
      </w:pPr>
      <w:r w:rsidRPr="000F4950">
        <w:rPr>
          <w:rFonts w:cstheme="minorHAnsi"/>
          <w:i/>
        </w:rPr>
        <w:t>Questioning for Deeper Learning</w:t>
      </w:r>
    </w:p>
    <w:p w14:paraId="15B2F571"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i/>
        </w:rPr>
        <w:t>Engaging and Supporting English Language Learners in ABE Classes</w:t>
      </w:r>
    </w:p>
    <w:p w14:paraId="0D7EA062"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rPr>
        <w:t>CCRSAE</w:t>
      </w:r>
      <w:r w:rsidRPr="000F4950">
        <w:rPr>
          <w:rFonts w:cstheme="minorHAnsi"/>
          <w:i/>
        </w:rPr>
        <w:t>: Critical Friends for ELA</w:t>
      </w:r>
    </w:p>
    <w:p w14:paraId="4DDB8925"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rPr>
        <w:t>CCRSAE</w:t>
      </w:r>
      <w:r w:rsidRPr="000F4950">
        <w:rPr>
          <w:rFonts w:cstheme="minorHAnsi"/>
          <w:i/>
        </w:rPr>
        <w:t>: Building Speaking and Listening Skills in the ABE Classroom</w:t>
      </w:r>
    </w:p>
    <w:p w14:paraId="7A293D75"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rPr>
        <w:t>Curriculum</w:t>
      </w:r>
      <w:r w:rsidRPr="000F4950">
        <w:rPr>
          <w:rFonts w:cstheme="minorHAnsi"/>
          <w:i/>
        </w:rPr>
        <w:t>: Purposeful Planning: Organizing Units for Student Understanding</w:t>
      </w:r>
      <w:r w:rsidRPr="000F4950">
        <w:rPr>
          <w:rFonts w:cstheme="minorHAnsi"/>
        </w:rPr>
        <w:t xml:space="preserve"> (with Math)</w:t>
      </w:r>
    </w:p>
    <w:p w14:paraId="1B27BCB9"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rPr>
        <w:t>EBRI</w:t>
      </w:r>
      <w:r w:rsidRPr="000F4950">
        <w:rPr>
          <w:rFonts w:cstheme="minorHAnsi"/>
          <w:i/>
        </w:rPr>
        <w:t>: Teaching Advanced Readers (for GLE 9–12)</w:t>
      </w:r>
    </w:p>
    <w:p w14:paraId="5E7FCB90"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rPr>
        <w:t>LD</w:t>
      </w:r>
      <w:r w:rsidRPr="000F4950">
        <w:rPr>
          <w:rFonts w:cstheme="minorHAnsi"/>
          <w:i/>
        </w:rPr>
        <w:t>: Responding to the Needs of All Adult Learners for Literacy Instruction</w:t>
      </w:r>
    </w:p>
    <w:p w14:paraId="67B142A7"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i/>
        </w:rPr>
        <w:t>Training of Trainers: The Professional Adult Educator</w:t>
      </w:r>
    </w:p>
    <w:p w14:paraId="1656FDBA" w14:textId="77777777" w:rsidR="00736371" w:rsidRPr="000F4950" w:rsidRDefault="00736371" w:rsidP="00736371">
      <w:pPr>
        <w:pStyle w:val="ListParagraph"/>
        <w:numPr>
          <w:ilvl w:val="0"/>
          <w:numId w:val="30"/>
        </w:numPr>
        <w:spacing w:after="0" w:line="240" w:lineRule="auto"/>
        <w:rPr>
          <w:rFonts w:cstheme="minorHAnsi"/>
        </w:rPr>
      </w:pPr>
      <w:r w:rsidRPr="000F4950">
        <w:rPr>
          <w:rFonts w:cstheme="minorHAnsi"/>
          <w:i/>
        </w:rPr>
        <w:t>How Do You Know That They Know? Formative Assessment for Reading and Writing</w:t>
      </w:r>
    </w:p>
    <w:p w14:paraId="059C7F8F" w14:textId="77777777" w:rsidR="008B0172" w:rsidRPr="000F4950" w:rsidRDefault="008771E8" w:rsidP="008B0172">
      <w:pPr>
        <w:pStyle w:val="NoSpacing"/>
        <w:rPr>
          <w:rFonts w:cstheme="minorHAnsi"/>
        </w:rPr>
      </w:pPr>
      <w:hyperlink r:id="rId29" w:history="1">
        <w:r w:rsidR="008B0172" w:rsidRPr="000F4950">
          <w:rPr>
            <w:rStyle w:val="Hyperlink"/>
            <w:rFonts w:cstheme="minorHAnsi"/>
          </w:rPr>
          <w:t>Mathematics and Adult Numeracy</w:t>
        </w:r>
      </w:hyperlink>
      <w:r w:rsidR="008B0172" w:rsidRPr="000F4950">
        <w:rPr>
          <w:rFonts w:cstheme="minorHAnsi"/>
        </w:rPr>
        <w:t>:</w:t>
      </w:r>
    </w:p>
    <w:p w14:paraId="5FD64F70" w14:textId="77777777" w:rsidR="008B0172" w:rsidRPr="000F4950" w:rsidRDefault="00457B7E" w:rsidP="00457B7E">
      <w:pPr>
        <w:pStyle w:val="ListParagraph"/>
        <w:numPr>
          <w:ilvl w:val="0"/>
          <w:numId w:val="31"/>
        </w:numPr>
        <w:spacing w:after="0" w:line="240" w:lineRule="auto"/>
        <w:rPr>
          <w:rFonts w:cstheme="minorHAnsi"/>
          <w:i/>
        </w:rPr>
      </w:pPr>
      <w:r w:rsidRPr="000F4950">
        <w:rPr>
          <w:rFonts w:cstheme="minorHAnsi"/>
          <w:i/>
        </w:rPr>
        <w:t>CALM Orientations</w:t>
      </w:r>
    </w:p>
    <w:p w14:paraId="3BB26842" w14:textId="77777777" w:rsidR="00457B7E" w:rsidRPr="000F4950" w:rsidRDefault="00457B7E" w:rsidP="00457B7E">
      <w:pPr>
        <w:pStyle w:val="ListParagraph"/>
        <w:numPr>
          <w:ilvl w:val="0"/>
          <w:numId w:val="31"/>
        </w:numPr>
        <w:spacing w:after="0" w:line="240" w:lineRule="auto"/>
        <w:rPr>
          <w:rFonts w:cstheme="minorHAnsi"/>
          <w:i/>
        </w:rPr>
      </w:pPr>
      <w:r w:rsidRPr="000F4950">
        <w:rPr>
          <w:rFonts w:cstheme="minorHAnsi"/>
          <w:i/>
        </w:rPr>
        <w:t>CALM Monthly face-to-face regional meetings</w:t>
      </w:r>
    </w:p>
    <w:p w14:paraId="46568D62" w14:textId="77777777" w:rsidR="00457B7E" w:rsidRPr="000F4950" w:rsidRDefault="00457B7E" w:rsidP="00457B7E">
      <w:pPr>
        <w:pStyle w:val="ListParagraph"/>
        <w:numPr>
          <w:ilvl w:val="0"/>
          <w:numId w:val="31"/>
        </w:numPr>
        <w:spacing w:after="0" w:line="240" w:lineRule="auto"/>
        <w:rPr>
          <w:rFonts w:cstheme="minorHAnsi"/>
          <w:i/>
        </w:rPr>
      </w:pPr>
      <w:r w:rsidRPr="000F4950">
        <w:rPr>
          <w:rFonts w:cstheme="minorHAnsi"/>
          <w:i/>
        </w:rPr>
        <w:t>Supporting CALM teachers through Google virtual groups</w:t>
      </w:r>
    </w:p>
    <w:p w14:paraId="017AC78A" w14:textId="77777777" w:rsidR="00457B7E" w:rsidRPr="000F4950" w:rsidRDefault="00457B7E" w:rsidP="00457B7E">
      <w:pPr>
        <w:pStyle w:val="ListParagraph"/>
        <w:numPr>
          <w:ilvl w:val="0"/>
          <w:numId w:val="31"/>
        </w:numPr>
        <w:spacing w:after="0" w:line="240" w:lineRule="auto"/>
        <w:rPr>
          <w:rFonts w:cstheme="minorHAnsi"/>
          <w:i/>
        </w:rPr>
      </w:pPr>
      <w:r w:rsidRPr="000F4950">
        <w:rPr>
          <w:rFonts w:cstheme="minorHAnsi"/>
          <w:i/>
          <w:iCs/>
        </w:rPr>
        <w:t>11 Units on Integrating Math into ESOL Units and 9 PD offerings supporting the implementation of these units</w:t>
      </w:r>
    </w:p>
    <w:p w14:paraId="5E45B1ED" w14:textId="77777777" w:rsidR="00457B7E" w:rsidRPr="000F4950" w:rsidRDefault="00457B7E" w:rsidP="00457B7E">
      <w:pPr>
        <w:pStyle w:val="ListParagraph"/>
        <w:numPr>
          <w:ilvl w:val="0"/>
          <w:numId w:val="31"/>
        </w:numPr>
        <w:spacing w:after="0" w:line="240" w:lineRule="auto"/>
        <w:rPr>
          <w:rFonts w:cstheme="minorHAnsi"/>
          <w:i/>
        </w:rPr>
      </w:pPr>
      <w:r w:rsidRPr="000F4950">
        <w:rPr>
          <w:rFonts w:cstheme="minorHAnsi"/>
          <w:i/>
        </w:rPr>
        <w:t>Using Visuals to Develop Conceptual Understanding</w:t>
      </w:r>
    </w:p>
    <w:p w14:paraId="32C7C52A" w14:textId="77777777" w:rsidR="00457B7E" w:rsidRPr="000F4950" w:rsidRDefault="00457B7E" w:rsidP="00457B7E">
      <w:pPr>
        <w:pStyle w:val="ListParagraph"/>
        <w:numPr>
          <w:ilvl w:val="0"/>
          <w:numId w:val="31"/>
        </w:numPr>
        <w:spacing w:after="0" w:line="240" w:lineRule="auto"/>
        <w:rPr>
          <w:rFonts w:cstheme="minorHAnsi"/>
          <w:i/>
        </w:rPr>
      </w:pPr>
      <w:r w:rsidRPr="000F4950">
        <w:rPr>
          <w:rFonts w:cstheme="minorHAnsi"/>
          <w:i/>
          <w:iCs/>
        </w:rPr>
        <w:lastRenderedPageBreak/>
        <w:t>Making Sense of Fractions</w:t>
      </w:r>
    </w:p>
    <w:p w14:paraId="34E3A90F" w14:textId="77777777" w:rsidR="00742390" w:rsidRPr="000F4950" w:rsidRDefault="00457B7E" w:rsidP="00742390">
      <w:pPr>
        <w:pStyle w:val="ListParagraph"/>
        <w:numPr>
          <w:ilvl w:val="0"/>
          <w:numId w:val="31"/>
        </w:numPr>
        <w:spacing w:after="0" w:line="240" w:lineRule="auto"/>
        <w:rPr>
          <w:rFonts w:cstheme="minorHAnsi"/>
          <w:i/>
        </w:rPr>
      </w:pPr>
      <w:r w:rsidRPr="000F4950">
        <w:rPr>
          <w:rFonts w:cstheme="minorHAnsi"/>
          <w:i/>
          <w:iCs/>
        </w:rPr>
        <w:t>Making Sense of Proportional Reasoning</w:t>
      </w:r>
    </w:p>
    <w:p w14:paraId="1CD98542" w14:textId="77777777" w:rsidR="00742390" w:rsidRPr="000F4950" w:rsidRDefault="00742390" w:rsidP="00742390">
      <w:pPr>
        <w:pStyle w:val="ListParagraph"/>
        <w:numPr>
          <w:ilvl w:val="0"/>
          <w:numId w:val="31"/>
        </w:numPr>
        <w:spacing w:after="0" w:line="240" w:lineRule="auto"/>
        <w:rPr>
          <w:rFonts w:cstheme="minorHAnsi"/>
          <w:i/>
        </w:rPr>
      </w:pPr>
      <w:r w:rsidRPr="000F4950">
        <w:rPr>
          <w:rFonts w:cstheme="minorHAnsi"/>
          <w:i/>
          <w:iCs/>
        </w:rPr>
        <w:t>Formative Assessment Strategies for Math</w:t>
      </w:r>
    </w:p>
    <w:p w14:paraId="499FCECF" w14:textId="066317BE" w:rsidR="00742390" w:rsidRPr="000F4950" w:rsidRDefault="00742390" w:rsidP="000F4950">
      <w:pPr>
        <w:pStyle w:val="ListParagraph"/>
        <w:numPr>
          <w:ilvl w:val="0"/>
          <w:numId w:val="31"/>
        </w:numPr>
        <w:spacing w:after="0" w:line="240" w:lineRule="auto"/>
        <w:rPr>
          <w:rFonts w:cstheme="minorHAnsi"/>
          <w:i/>
        </w:rPr>
      </w:pPr>
      <w:r w:rsidRPr="000F4950">
        <w:rPr>
          <w:rFonts w:cstheme="minorHAnsi"/>
          <w:i/>
          <w:iCs/>
        </w:rPr>
        <w:t>Questioning Techniques in the Math Classroom</w:t>
      </w:r>
    </w:p>
    <w:p w14:paraId="76626C6D" w14:textId="77777777" w:rsidR="008B0172" w:rsidRPr="000F4950" w:rsidRDefault="008771E8" w:rsidP="008B0172">
      <w:pPr>
        <w:pStyle w:val="NoSpacing"/>
        <w:rPr>
          <w:rFonts w:cstheme="minorHAnsi"/>
        </w:rPr>
      </w:pPr>
      <w:hyperlink r:id="rId30" w:history="1">
        <w:r w:rsidR="008B0172" w:rsidRPr="000F4950">
          <w:rPr>
            <w:rStyle w:val="Hyperlink"/>
            <w:rFonts w:cstheme="minorHAnsi"/>
          </w:rPr>
          <w:t>English for Speakers of Other Languages</w:t>
        </w:r>
      </w:hyperlink>
      <w:r w:rsidR="008B0172" w:rsidRPr="000F4950">
        <w:rPr>
          <w:rFonts w:cstheme="minorHAnsi"/>
        </w:rPr>
        <w:t>:</w:t>
      </w:r>
    </w:p>
    <w:p w14:paraId="38E685D0"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bCs/>
          <w:color w:val="000000"/>
          <w:sz w:val="22"/>
          <w:szCs w:val="22"/>
        </w:rPr>
      </w:pPr>
      <w:r w:rsidRPr="000F4950">
        <w:rPr>
          <w:rFonts w:asciiTheme="minorHAnsi" w:hAnsiTheme="minorHAnsi" w:cstheme="minorHAnsi"/>
          <w:bCs/>
          <w:i/>
          <w:color w:val="000000"/>
          <w:sz w:val="22"/>
          <w:szCs w:val="22"/>
        </w:rPr>
        <w:t>English learners with low literacy skills</w:t>
      </w:r>
      <w:r w:rsidRPr="000F4950">
        <w:rPr>
          <w:rFonts w:asciiTheme="minorHAnsi" w:hAnsiTheme="minorHAnsi" w:cstheme="minorHAnsi"/>
          <w:bCs/>
          <w:color w:val="000000"/>
          <w:sz w:val="22"/>
          <w:szCs w:val="22"/>
        </w:rPr>
        <w:t xml:space="preserve">: </w:t>
      </w:r>
      <w:r w:rsidRPr="000F4950">
        <w:rPr>
          <w:rFonts w:asciiTheme="minorHAnsi" w:hAnsiTheme="minorHAnsi" w:cstheme="minorHAnsi"/>
          <w:bCs/>
          <w:i/>
          <w:color w:val="000000"/>
          <w:sz w:val="22"/>
          <w:szCs w:val="22"/>
        </w:rPr>
        <w:t xml:space="preserve">Introduction to Teaching Basic Literacy to ELs </w:t>
      </w:r>
      <w:r w:rsidRPr="000F4950">
        <w:rPr>
          <w:rFonts w:asciiTheme="minorHAnsi" w:hAnsiTheme="minorHAnsi" w:cstheme="minorHAnsi"/>
          <w:bCs/>
          <w:color w:val="000000"/>
          <w:sz w:val="22"/>
          <w:szCs w:val="22"/>
        </w:rPr>
        <w:t xml:space="preserve">(blended) and </w:t>
      </w:r>
      <w:r w:rsidRPr="000F4950">
        <w:rPr>
          <w:rFonts w:asciiTheme="minorHAnsi" w:hAnsiTheme="minorHAnsi" w:cstheme="minorHAnsi"/>
          <w:bCs/>
          <w:i/>
          <w:color w:val="000000"/>
          <w:sz w:val="22"/>
          <w:szCs w:val="22"/>
        </w:rPr>
        <w:t>Teaching Basic Literacy to ELs</w:t>
      </w:r>
      <w:r w:rsidRPr="000F4950">
        <w:rPr>
          <w:rFonts w:asciiTheme="minorHAnsi" w:hAnsiTheme="minorHAnsi" w:cstheme="minorHAnsi"/>
          <w:bCs/>
          <w:color w:val="000000"/>
          <w:sz w:val="22"/>
          <w:szCs w:val="22"/>
        </w:rPr>
        <w:t xml:space="preserve"> (f2f study circle)</w:t>
      </w:r>
    </w:p>
    <w:p w14:paraId="7EA84BE8"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bCs/>
          <w:color w:val="000000"/>
          <w:sz w:val="22"/>
          <w:szCs w:val="22"/>
        </w:rPr>
      </w:pPr>
      <w:r w:rsidRPr="000F4950">
        <w:rPr>
          <w:rFonts w:asciiTheme="minorHAnsi" w:hAnsiTheme="minorHAnsi" w:cstheme="minorHAnsi"/>
          <w:bCs/>
          <w:i/>
          <w:color w:val="000000"/>
          <w:sz w:val="22"/>
          <w:szCs w:val="22"/>
        </w:rPr>
        <w:t>ESOL for Parents and Caregivers</w:t>
      </w:r>
    </w:p>
    <w:p w14:paraId="19751133"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bCs/>
          <w:color w:val="000000"/>
          <w:sz w:val="22"/>
          <w:szCs w:val="22"/>
        </w:rPr>
      </w:pPr>
      <w:r w:rsidRPr="000F4950">
        <w:rPr>
          <w:rFonts w:asciiTheme="minorHAnsi" w:hAnsiTheme="minorHAnsi" w:cstheme="minorHAnsi"/>
          <w:bCs/>
          <w:i/>
          <w:color w:val="000000"/>
          <w:sz w:val="22"/>
          <w:szCs w:val="22"/>
        </w:rPr>
        <w:t>Engaging and Supporting ELs in Adult Education Classes</w:t>
      </w:r>
    </w:p>
    <w:p w14:paraId="3B218634"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bCs/>
          <w:sz w:val="22"/>
          <w:szCs w:val="22"/>
        </w:rPr>
      </w:pPr>
      <w:r w:rsidRPr="000F4950">
        <w:rPr>
          <w:rFonts w:asciiTheme="minorHAnsi" w:hAnsiTheme="minorHAnsi" w:cstheme="minorHAnsi"/>
          <w:bCs/>
          <w:i/>
          <w:sz w:val="22"/>
          <w:szCs w:val="22"/>
        </w:rPr>
        <w:t>Learning Disabilities, Difficulties, and Differences: Designing ESOL Instruction to Meet Learners’ Diverse Needs</w:t>
      </w:r>
    </w:p>
    <w:p w14:paraId="102646F8"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bCs/>
          <w:sz w:val="22"/>
          <w:szCs w:val="22"/>
        </w:rPr>
      </w:pPr>
      <w:r w:rsidRPr="000F4950">
        <w:rPr>
          <w:rFonts w:asciiTheme="minorHAnsi" w:hAnsiTheme="minorHAnsi" w:cstheme="minorHAnsi"/>
          <w:bCs/>
          <w:i/>
          <w:sz w:val="22"/>
          <w:szCs w:val="22"/>
        </w:rPr>
        <w:t>Addressing the Needs of High Skilled Immigrants and Refugees</w:t>
      </w:r>
    </w:p>
    <w:p w14:paraId="277D55E9" w14:textId="77777777" w:rsidR="008B0172" w:rsidRPr="000F4950" w:rsidRDefault="009B31D6" w:rsidP="009B31D6">
      <w:pPr>
        <w:pStyle w:val="xmsonormal"/>
        <w:numPr>
          <w:ilvl w:val="0"/>
          <w:numId w:val="35"/>
        </w:numPr>
        <w:spacing w:before="0" w:beforeAutospacing="0" w:after="0" w:afterAutospacing="0"/>
        <w:rPr>
          <w:rFonts w:asciiTheme="minorHAnsi" w:hAnsiTheme="minorHAnsi" w:cstheme="minorHAnsi"/>
          <w:sz w:val="22"/>
          <w:szCs w:val="22"/>
        </w:rPr>
      </w:pPr>
      <w:r w:rsidRPr="000F4950">
        <w:rPr>
          <w:rFonts w:asciiTheme="minorHAnsi" w:hAnsiTheme="minorHAnsi" w:cstheme="minorHAnsi"/>
          <w:bCs/>
          <w:i/>
          <w:sz w:val="22"/>
          <w:szCs w:val="22"/>
        </w:rPr>
        <w:t>Trauma-informed Instruction</w:t>
      </w:r>
    </w:p>
    <w:p w14:paraId="0E559FDE"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i/>
          <w:sz w:val="22"/>
          <w:szCs w:val="22"/>
        </w:rPr>
      </w:pPr>
      <w:r w:rsidRPr="000F4950">
        <w:rPr>
          <w:rFonts w:asciiTheme="minorHAnsi" w:hAnsiTheme="minorHAnsi" w:cstheme="minorHAnsi"/>
          <w:i/>
          <w:sz w:val="22"/>
          <w:szCs w:val="22"/>
        </w:rPr>
        <w:t>Second Language Acquisition and the Brain</w:t>
      </w:r>
    </w:p>
    <w:p w14:paraId="05E2C16C"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i/>
          <w:sz w:val="22"/>
          <w:szCs w:val="22"/>
        </w:rPr>
      </w:pPr>
      <w:r w:rsidRPr="000F4950">
        <w:rPr>
          <w:rFonts w:asciiTheme="minorHAnsi" w:hAnsiTheme="minorHAnsi" w:cstheme="minorHAnsi"/>
          <w:bCs/>
          <w:i/>
          <w:sz w:val="22"/>
          <w:szCs w:val="22"/>
        </w:rPr>
        <w:t>ESOL for Parents and Caregivers</w:t>
      </w:r>
    </w:p>
    <w:p w14:paraId="6723016E" w14:textId="77777777" w:rsidR="009B31D6" w:rsidRPr="000F4950" w:rsidRDefault="009B31D6" w:rsidP="009B31D6">
      <w:pPr>
        <w:pStyle w:val="xmsonormal"/>
        <w:numPr>
          <w:ilvl w:val="0"/>
          <w:numId w:val="35"/>
        </w:numPr>
        <w:spacing w:before="0" w:beforeAutospacing="0" w:after="0" w:afterAutospacing="0"/>
        <w:rPr>
          <w:rFonts w:asciiTheme="minorHAnsi" w:hAnsiTheme="minorHAnsi" w:cstheme="minorHAnsi"/>
          <w:i/>
          <w:sz w:val="22"/>
          <w:szCs w:val="22"/>
        </w:rPr>
      </w:pPr>
      <w:r w:rsidRPr="000F4950">
        <w:rPr>
          <w:rFonts w:asciiTheme="minorHAnsi" w:hAnsiTheme="minorHAnsi" w:cstheme="minorHAnsi"/>
          <w:bCs/>
          <w:i/>
          <w:sz w:val="22"/>
          <w:szCs w:val="22"/>
        </w:rPr>
        <w:t>Career Exploration and Planning for ELs</w:t>
      </w:r>
      <w:r w:rsidRPr="000F4950">
        <w:rPr>
          <w:rFonts w:asciiTheme="minorHAnsi" w:hAnsiTheme="minorHAnsi" w:cstheme="minorHAnsi"/>
          <w:bCs/>
          <w:sz w:val="22"/>
          <w:szCs w:val="22"/>
        </w:rPr>
        <w:t xml:space="preserve">, </w:t>
      </w:r>
      <w:r w:rsidRPr="000F4950">
        <w:rPr>
          <w:rFonts w:asciiTheme="minorHAnsi" w:hAnsiTheme="minorHAnsi" w:cstheme="minorHAnsi"/>
          <w:bCs/>
          <w:i/>
          <w:sz w:val="22"/>
          <w:szCs w:val="22"/>
        </w:rPr>
        <w:t>Employment Options for All</w:t>
      </w:r>
      <w:r w:rsidRPr="000F4950">
        <w:rPr>
          <w:rFonts w:asciiTheme="minorHAnsi" w:hAnsiTheme="minorHAnsi" w:cstheme="minorHAnsi"/>
          <w:bCs/>
          <w:sz w:val="22"/>
          <w:szCs w:val="22"/>
        </w:rPr>
        <w:t xml:space="preserve">, </w:t>
      </w:r>
      <w:r w:rsidRPr="000F4950">
        <w:rPr>
          <w:rFonts w:asciiTheme="minorHAnsi" w:hAnsiTheme="minorHAnsi" w:cstheme="minorHAnsi"/>
          <w:bCs/>
          <w:i/>
          <w:sz w:val="22"/>
          <w:szCs w:val="22"/>
        </w:rPr>
        <w:t>English for Entrepreneurship</w:t>
      </w:r>
    </w:p>
    <w:p w14:paraId="44FAD7D1" w14:textId="77777777" w:rsidR="009B31D6" w:rsidRPr="000F4950" w:rsidRDefault="009B31D6" w:rsidP="009B31D6">
      <w:pPr>
        <w:pStyle w:val="xmsonormal"/>
        <w:numPr>
          <w:ilvl w:val="0"/>
          <w:numId w:val="38"/>
        </w:numPr>
        <w:spacing w:before="0" w:beforeAutospacing="0" w:after="0" w:afterAutospacing="0"/>
        <w:rPr>
          <w:rFonts w:asciiTheme="minorHAnsi" w:hAnsiTheme="minorHAnsi" w:cstheme="minorHAnsi"/>
          <w:bCs/>
          <w:color w:val="000000"/>
          <w:sz w:val="22"/>
          <w:szCs w:val="22"/>
        </w:rPr>
      </w:pPr>
      <w:r w:rsidRPr="000F4950">
        <w:rPr>
          <w:rFonts w:asciiTheme="minorHAnsi" w:hAnsiTheme="minorHAnsi" w:cstheme="minorHAnsi"/>
          <w:bCs/>
          <w:i/>
          <w:color w:val="000000"/>
          <w:sz w:val="22"/>
          <w:szCs w:val="22"/>
        </w:rPr>
        <w:t>Unit Planning Using Backward Design</w:t>
      </w:r>
    </w:p>
    <w:p w14:paraId="66363441" w14:textId="77777777" w:rsidR="009B31D6" w:rsidRPr="000F4950" w:rsidRDefault="009B31D6" w:rsidP="00742F03">
      <w:pPr>
        <w:pStyle w:val="ListParagraph"/>
        <w:numPr>
          <w:ilvl w:val="0"/>
          <w:numId w:val="38"/>
        </w:numPr>
        <w:spacing w:after="160" w:line="259" w:lineRule="auto"/>
        <w:rPr>
          <w:rFonts w:cstheme="minorHAnsi"/>
          <w:bCs/>
          <w:color w:val="000000"/>
        </w:rPr>
      </w:pPr>
      <w:r w:rsidRPr="000F4950">
        <w:rPr>
          <w:rFonts w:cstheme="minorHAnsi"/>
          <w:bCs/>
          <w:i/>
          <w:color w:val="000000"/>
        </w:rPr>
        <w:t>Formative Assessment in the ESOL Classroom</w:t>
      </w:r>
    </w:p>
    <w:p w14:paraId="487F9ED1" w14:textId="77777777" w:rsidR="009B31D6" w:rsidRPr="000F4950" w:rsidRDefault="009B31D6" w:rsidP="00431210">
      <w:pPr>
        <w:pStyle w:val="ListParagraph"/>
        <w:numPr>
          <w:ilvl w:val="0"/>
          <w:numId w:val="38"/>
        </w:numPr>
        <w:spacing w:after="0" w:line="259" w:lineRule="auto"/>
        <w:rPr>
          <w:rFonts w:cstheme="minorHAnsi"/>
          <w:bCs/>
          <w:color w:val="000000"/>
        </w:rPr>
      </w:pPr>
      <w:r w:rsidRPr="000F4950">
        <w:rPr>
          <w:rFonts w:cstheme="minorHAnsi"/>
          <w:bCs/>
          <w:i/>
          <w:color w:val="000000"/>
        </w:rPr>
        <w:t>College and Care</w:t>
      </w:r>
      <w:r w:rsidR="00A713EA" w:rsidRPr="000F4950">
        <w:rPr>
          <w:rFonts w:cstheme="minorHAnsi"/>
          <w:bCs/>
          <w:i/>
          <w:color w:val="000000"/>
        </w:rPr>
        <w:t>er Readiness for Beginning ESOL</w:t>
      </w:r>
    </w:p>
    <w:p w14:paraId="62FCA5C5" w14:textId="77777777" w:rsidR="00A713EA" w:rsidRPr="000F4950" w:rsidRDefault="00A713EA" w:rsidP="00431210">
      <w:pPr>
        <w:pStyle w:val="ListParagraph"/>
        <w:numPr>
          <w:ilvl w:val="0"/>
          <w:numId w:val="38"/>
        </w:numPr>
        <w:spacing w:after="0" w:line="259" w:lineRule="auto"/>
        <w:rPr>
          <w:rFonts w:cstheme="minorHAnsi"/>
          <w:bCs/>
          <w:color w:val="000000"/>
        </w:rPr>
      </w:pPr>
      <w:r w:rsidRPr="000F4950">
        <w:rPr>
          <w:rFonts w:cstheme="minorHAnsi"/>
          <w:bCs/>
          <w:i/>
          <w:color w:val="000000"/>
        </w:rPr>
        <w:t>Workshops to support the MA ESOL Professional Standards</w:t>
      </w:r>
    </w:p>
    <w:p w14:paraId="11705B59" w14:textId="77777777" w:rsidR="007B6284" w:rsidRPr="000F4950" w:rsidRDefault="007B6284" w:rsidP="00431210">
      <w:pPr>
        <w:pStyle w:val="ListParagraph"/>
        <w:numPr>
          <w:ilvl w:val="0"/>
          <w:numId w:val="38"/>
        </w:numPr>
        <w:spacing w:after="0" w:line="259" w:lineRule="auto"/>
        <w:rPr>
          <w:rFonts w:cstheme="minorHAnsi"/>
          <w:bCs/>
          <w:color w:val="000000"/>
        </w:rPr>
      </w:pPr>
      <w:r w:rsidRPr="000F4950">
        <w:rPr>
          <w:rFonts w:cstheme="minorHAnsi"/>
          <w:bCs/>
          <w:i/>
          <w:color w:val="000000"/>
        </w:rPr>
        <w:t>Workshops to support the new MA ELPS</w:t>
      </w:r>
    </w:p>
    <w:p w14:paraId="5C20DA91" w14:textId="77777777" w:rsidR="008B0172" w:rsidRPr="000F4950" w:rsidRDefault="008B0172" w:rsidP="008B0172">
      <w:pPr>
        <w:spacing w:after="0"/>
        <w:rPr>
          <w:rFonts w:cstheme="minorHAnsi"/>
        </w:rPr>
      </w:pPr>
      <w:r w:rsidRPr="000F4950">
        <w:rPr>
          <w:rFonts w:cstheme="minorHAnsi"/>
        </w:rPr>
        <w:t xml:space="preserve">See the </w:t>
      </w:r>
      <w:hyperlink r:id="rId31" w:history="1">
        <w:r w:rsidRPr="000F4950">
          <w:rPr>
            <w:rStyle w:val="Hyperlink"/>
            <w:rFonts w:cstheme="minorHAnsi"/>
          </w:rPr>
          <w:t>SABES calendar</w:t>
        </w:r>
      </w:hyperlink>
      <w:r w:rsidRPr="000F4950">
        <w:rPr>
          <w:rFonts w:cstheme="minorHAnsi"/>
        </w:rPr>
        <w:t xml:space="preserve"> of PD for more information.</w:t>
      </w:r>
    </w:p>
    <w:p w14:paraId="736DCB3C" w14:textId="77777777" w:rsidR="008B0172" w:rsidRPr="000F4950" w:rsidRDefault="008B0172" w:rsidP="008B0172">
      <w:pPr>
        <w:pStyle w:val="NoSpacing"/>
        <w:rPr>
          <w:rFonts w:cstheme="minorHAnsi"/>
          <w:color w:val="00B0F0"/>
        </w:rPr>
      </w:pPr>
    </w:p>
    <w:p w14:paraId="5664EDB3" w14:textId="77777777" w:rsidR="008B0172" w:rsidRPr="000F4950" w:rsidRDefault="008B0172" w:rsidP="008B0172">
      <w:pPr>
        <w:pStyle w:val="NoSpacing"/>
        <w:rPr>
          <w:rFonts w:cstheme="minorHAnsi"/>
        </w:rPr>
      </w:pPr>
      <w:r w:rsidRPr="000F4950">
        <w:rPr>
          <w:rFonts w:cstheme="minorHAnsi"/>
          <w:i/>
        </w:rPr>
        <w:t>Challenges</w:t>
      </w:r>
      <w:r w:rsidRPr="000F4950">
        <w:rPr>
          <w:rFonts w:cstheme="minorHAnsi"/>
        </w:rPr>
        <w:t xml:space="preserve">: </w:t>
      </w:r>
    </w:p>
    <w:p w14:paraId="78FFD8D2" w14:textId="77777777" w:rsidR="008B0172" w:rsidRPr="000F4950" w:rsidRDefault="008B0172" w:rsidP="008B0172">
      <w:pPr>
        <w:pStyle w:val="NoSpacing"/>
        <w:rPr>
          <w:rFonts w:cstheme="minorHAnsi"/>
        </w:rPr>
      </w:pPr>
      <w:r w:rsidRPr="000F4950">
        <w:rPr>
          <w:rFonts w:cstheme="minorHAnsi"/>
        </w:rPr>
        <w:t xml:space="preserve">It is proving difficult to help all teachers realize that implementing the rigorous </w:t>
      </w:r>
      <w:r w:rsidRPr="000F4950">
        <w:rPr>
          <w:rFonts w:cstheme="minorHAnsi"/>
          <w:i/>
        </w:rPr>
        <w:t>CCRSAE</w:t>
      </w:r>
      <w:r w:rsidR="009F18CC" w:rsidRPr="000F4950">
        <w:rPr>
          <w:rFonts w:cstheme="minorHAnsi"/>
        </w:rPr>
        <w:t xml:space="preserve">/MA ELPS </w:t>
      </w:r>
      <w:r w:rsidRPr="000F4950">
        <w:rPr>
          <w:rFonts w:cstheme="minorHAnsi"/>
        </w:rPr>
        <w:t xml:space="preserve">requires them to participate in high quality professional development. Some strategies, however, have been successful: </w:t>
      </w:r>
    </w:p>
    <w:p w14:paraId="0A2DE69B" w14:textId="77777777" w:rsidR="008B0172" w:rsidRPr="000F4950" w:rsidRDefault="008B0172" w:rsidP="008B0172">
      <w:pPr>
        <w:pStyle w:val="NoSpacing"/>
        <w:numPr>
          <w:ilvl w:val="0"/>
          <w:numId w:val="18"/>
        </w:numPr>
        <w:rPr>
          <w:rFonts w:cstheme="minorHAnsi"/>
        </w:rPr>
      </w:pPr>
      <w:r w:rsidRPr="000F4950">
        <w:rPr>
          <w:rFonts w:cstheme="minorHAnsi"/>
        </w:rPr>
        <w:t xml:space="preserve">ACLS </w:t>
      </w:r>
      <w:r w:rsidR="009F18CC" w:rsidRPr="000F4950">
        <w:rPr>
          <w:rFonts w:cstheme="minorHAnsi"/>
        </w:rPr>
        <w:t xml:space="preserve">continues to </w:t>
      </w:r>
      <w:r w:rsidRPr="000F4950">
        <w:rPr>
          <w:rFonts w:cstheme="minorHAnsi"/>
        </w:rPr>
        <w:t xml:space="preserve">impresses upon ABE and ESOL program directors the importance of understanding the </w:t>
      </w:r>
      <w:r w:rsidR="009F18CC" w:rsidRPr="000F4950">
        <w:rPr>
          <w:rFonts w:cstheme="minorHAnsi"/>
          <w:i/>
        </w:rPr>
        <w:t>CCRSAE/MA ELPS</w:t>
      </w:r>
      <w:r w:rsidRPr="000F4950">
        <w:rPr>
          <w:rFonts w:cstheme="minorHAnsi"/>
        </w:rPr>
        <w:t xml:space="preserve"> to be able to model teacher expectations regarding aligning to the </w:t>
      </w:r>
      <w:r w:rsidRPr="000F4950">
        <w:rPr>
          <w:rFonts w:cstheme="minorHAnsi"/>
          <w:i/>
        </w:rPr>
        <w:t>CCRSAE</w:t>
      </w:r>
      <w:r w:rsidR="009F18CC" w:rsidRPr="000F4950">
        <w:rPr>
          <w:rFonts w:cstheme="minorHAnsi"/>
          <w:i/>
        </w:rPr>
        <w:t>/MA ELPS</w:t>
      </w:r>
    </w:p>
    <w:p w14:paraId="1DF47498" w14:textId="77777777" w:rsidR="008B0172" w:rsidRPr="000F4950" w:rsidRDefault="008B0172" w:rsidP="008B0172">
      <w:pPr>
        <w:pStyle w:val="NoSpacing"/>
        <w:numPr>
          <w:ilvl w:val="0"/>
          <w:numId w:val="18"/>
        </w:numPr>
        <w:rPr>
          <w:rFonts w:cstheme="minorHAnsi"/>
        </w:rPr>
      </w:pPr>
      <w:r w:rsidRPr="000F4950">
        <w:rPr>
          <w:rFonts w:cstheme="minorHAnsi"/>
        </w:rPr>
        <w:t xml:space="preserve">SABES has shortened the length of individual PD offerings and bundled them into connected learning modules which resulted in increased teacher participation. </w:t>
      </w:r>
    </w:p>
    <w:p w14:paraId="4629AC1B" w14:textId="77777777" w:rsidR="009F18CC" w:rsidRPr="000F4950" w:rsidRDefault="009F18CC" w:rsidP="008B0172">
      <w:pPr>
        <w:pStyle w:val="NoSpacing"/>
        <w:numPr>
          <w:ilvl w:val="0"/>
          <w:numId w:val="18"/>
        </w:numPr>
        <w:rPr>
          <w:rFonts w:cstheme="minorHAnsi"/>
        </w:rPr>
      </w:pPr>
      <w:r w:rsidRPr="000F4950">
        <w:rPr>
          <w:rFonts w:cstheme="minorHAnsi"/>
        </w:rPr>
        <w:t xml:space="preserve">The SABES ELA, ESOL and Math Curriculum and Instruction Centers have collaborated to support the increasing numbers of non-native English speakers in ABE classes. </w:t>
      </w:r>
    </w:p>
    <w:p w14:paraId="47BC6D30" w14:textId="77777777" w:rsidR="008B0172" w:rsidRPr="000F4950" w:rsidRDefault="008B0172" w:rsidP="008B0172">
      <w:pPr>
        <w:pStyle w:val="NoSpacing"/>
        <w:numPr>
          <w:ilvl w:val="0"/>
          <w:numId w:val="18"/>
        </w:numPr>
        <w:rPr>
          <w:rFonts w:cstheme="minorHAnsi"/>
        </w:rPr>
      </w:pPr>
      <w:r w:rsidRPr="000F4950">
        <w:rPr>
          <w:rFonts w:cstheme="minorHAnsi"/>
        </w:rPr>
        <w:t xml:space="preserve">The SABES Math and English language arts PD Centers have instituted practitioner blogs that allow teachers another effective way to understand how to use the </w:t>
      </w:r>
      <w:r w:rsidRPr="000F4950">
        <w:rPr>
          <w:rFonts w:cstheme="minorHAnsi"/>
          <w:i/>
        </w:rPr>
        <w:t>CCRSAE</w:t>
      </w:r>
      <w:r w:rsidRPr="000F4950">
        <w:rPr>
          <w:rFonts w:cstheme="minorHAnsi"/>
        </w:rPr>
        <w:t xml:space="preserve"> in their teaching. </w:t>
      </w:r>
    </w:p>
    <w:p w14:paraId="22B59B10" w14:textId="77777777" w:rsidR="008B0172" w:rsidRPr="000F4950" w:rsidRDefault="008B0172" w:rsidP="008B0172">
      <w:pPr>
        <w:pStyle w:val="NoSpacing"/>
        <w:rPr>
          <w:rFonts w:cstheme="minorHAnsi"/>
        </w:rPr>
      </w:pPr>
    </w:p>
    <w:p w14:paraId="2C0A7960" w14:textId="77777777" w:rsidR="008B0172" w:rsidRPr="000F4950" w:rsidRDefault="008B0172" w:rsidP="008B0172">
      <w:pPr>
        <w:pStyle w:val="NoSpacing"/>
        <w:rPr>
          <w:rFonts w:cstheme="minorHAnsi"/>
        </w:rPr>
      </w:pPr>
      <w:r w:rsidRPr="000F4950">
        <w:rPr>
          <w:rFonts w:cstheme="minorHAnsi"/>
          <w:i/>
        </w:rPr>
        <w:t>Lessons Learned</w:t>
      </w:r>
      <w:r w:rsidRPr="000F4950">
        <w:rPr>
          <w:rFonts w:cstheme="minorHAnsi"/>
        </w:rPr>
        <w:t xml:space="preserve">: </w:t>
      </w:r>
    </w:p>
    <w:p w14:paraId="28DF1312" w14:textId="77777777" w:rsidR="008B0172" w:rsidRPr="000F4950" w:rsidRDefault="008B0172" w:rsidP="008B0172">
      <w:pPr>
        <w:pStyle w:val="ListParagraph"/>
        <w:numPr>
          <w:ilvl w:val="0"/>
          <w:numId w:val="3"/>
        </w:numPr>
        <w:spacing w:after="0" w:line="240" w:lineRule="auto"/>
        <w:contextualSpacing w:val="0"/>
        <w:rPr>
          <w:rFonts w:cstheme="minorHAnsi"/>
        </w:rPr>
      </w:pPr>
      <w:r w:rsidRPr="000F4950">
        <w:rPr>
          <w:rFonts w:cstheme="minorHAnsi"/>
        </w:rPr>
        <w:t>Long term professional development helps to improve teacher effectiveness and solidify positive changes in behavior. The Curriculum for Adults Learning Math (CALM), for example, encourages attendance at monthly implementation meetings where educators can discuss how teaching of current instructional units can improve, and learn from others and the PD staff.</w:t>
      </w:r>
    </w:p>
    <w:p w14:paraId="10EB600D" w14:textId="0CA9A55D" w:rsidR="008B0172" w:rsidRPr="000F4950" w:rsidRDefault="008B0172" w:rsidP="008B0172">
      <w:pPr>
        <w:pStyle w:val="ListParagraph"/>
        <w:numPr>
          <w:ilvl w:val="0"/>
          <w:numId w:val="3"/>
        </w:numPr>
        <w:spacing w:after="0" w:line="240" w:lineRule="auto"/>
        <w:contextualSpacing w:val="0"/>
        <w:rPr>
          <w:rFonts w:cstheme="minorHAnsi"/>
        </w:rPr>
      </w:pPr>
      <w:r w:rsidRPr="000F4950">
        <w:rPr>
          <w:rFonts w:cstheme="minorHAnsi"/>
        </w:rPr>
        <w:t xml:space="preserve">Effective teaching—both an art and a science—takes time to master. Long-term effort and often, a change in the teacher’s mindset, is necessary for teacher improvement. Research </w:t>
      </w:r>
      <w:r w:rsidR="00143221" w:rsidRPr="000F4950">
        <w:rPr>
          <w:rFonts w:cstheme="minorHAnsi"/>
        </w:rPr>
        <w:t>supports</w:t>
      </w:r>
      <w:r w:rsidRPr="000F4950">
        <w:rPr>
          <w:rFonts w:cstheme="minorHAnsi"/>
        </w:rPr>
        <w:t xml:space="preserve"> conventional wisdom that students learn more in classrooms where tasks consistently encourage high-level student thinking and reasoning, and least in classrooms where the tasks are routinely procedural in nature. More rigorous tasks such as asking students to explain their answers, focusing </w:t>
      </w:r>
      <w:r w:rsidRPr="000F4950">
        <w:rPr>
          <w:rFonts w:cstheme="minorHAnsi"/>
        </w:rPr>
        <w:lastRenderedPageBreak/>
        <w:t>on student understanding rather than answer-getting, and developing skills in conceptual thinking and productive struggle, are the most difficult for teachers to implement well.</w:t>
      </w:r>
      <w:r w:rsidRPr="000F4950">
        <w:rPr>
          <w:rStyle w:val="FootnoteReference"/>
          <w:rFonts w:cstheme="minorHAnsi"/>
        </w:rPr>
        <w:footnoteReference w:id="1"/>
      </w:r>
      <w:r w:rsidRPr="000F4950">
        <w:rPr>
          <w:rFonts w:cstheme="minorHAnsi"/>
        </w:rPr>
        <w:t xml:space="preserve"> When teachers are unsure of their ability to implement higher-level teaching practices, instruction often reverts to less demanding student tasks.</w:t>
      </w:r>
      <w:r w:rsidRPr="000F4950">
        <w:rPr>
          <w:rStyle w:val="FootnoteReference"/>
          <w:rFonts w:cstheme="minorHAnsi"/>
        </w:rPr>
        <w:footnoteReference w:id="2"/>
      </w:r>
      <w:r w:rsidRPr="000F4950">
        <w:rPr>
          <w:rFonts w:cstheme="minorHAnsi"/>
        </w:rPr>
        <w:t xml:space="preserve"> Therefore, expectations around positive teacher change for adopting challenging teaching practices such as those outlined in the </w:t>
      </w:r>
      <w:r w:rsidRPr="000F4950">
        <w:rPr>
          <w:rFonts w:cstheme="minorHAnsi"/>
          <w:i/>
        </w:rPr>
        <w:t>CCRSAE</w:t>
      </w:r>
      <w:r w:rsidRPr="000F4950">
        <w:rPr>
          <w:rFonts w:cstheme="minorHAnsi"/>
        </w:rPr>
        <w:t xml:space="preserve"> need to include a variety of supports (e.g., from directors, state leadership, professional developers, and from their teacher colleagues) to be realized. State leadership and professional developers understand this, but we must do a better job of ensuring that program staff acknowledge and plan for this as well.</w:t>
      </w:r>
    </w:p>
    <w:p w14:paraId="30D08347" w14:textId="77777777" w:rsidR="008B0172" w:rsidRPr="000F4950" w:rsidRDefault="009F18CC" w:rsidP="008B0172">
      <w:pPr>
        <w:pStyle w:val="ListParagraph"/>
        <w:numPr>
          <w:ilvl w:val="0"/>
          <w:numId w:val="3"/>
        </w:numPr>
        <w:spacing w:after="0" w:line="240" w:lineRule="auto"/>
        <w:contextualSpacing w:val="0"/>
        <w:rPr>
          <w:rFonts w:cstheme="minorHAnsi"/>
        </w:rPr>
      </w:pPr>
      <w:r w:rsidRPr="000F4950">
        <w:rPr>
          <w:rFonts w:cstheme="minorHAnsi"/>
        </w:rPr>
        <w:t xml:space="preserve">The twenty-six </w:t>
      </w:r>
      <w:r w:rsidR="008B0172" w:rsidRPr="000F4950">
        <w:rPr>
          <w:rFonts w:cstheme="minorHAnsi"/>
        </w:rPr>
        <w:t>Program Qualit</w:t>
      </w:r>
      <w:r w:rsidRPr="000F4950">
        <w:rPr>
          <w:rFonts w:cstheme="minorHAnsi"/>
        </w:rPr>
        <w:t xml:space="preserve">y Reviews and site visits at an additional seventy programs conducted in PY 18-19 on the new monitoring and site visit model piloted in PY17-18 ended with a </w:t>
      </w:r>
      <w:hyperlink r:id="rId32" w:history="1">
        <w:r w:rsidRPr="000F4950">
          <w:rPr>
            <w:rStyle w:val="Hyperlink"/>
            <w:rFonts w:cstheme="minorHAnsi"/>
          </w:rPr>
          <w:t>summative report</w:t>
        </w:r>
      </w:hyperlink>
      <w:r w:rsidRPr="000F4950">
        <w:rPr>
          <w:rFonts w:cstheme="minorHAnsi"/>
        </w:rPr>
        <w:t xml:space="preserve"> that outlines best practices and identifies areas of need in terms of curriculum, instruction and assessment, thus further emphasizing to MA adult education providers the importance of standards-aligned curriculum and instruction to increase students’ outcomes and support them I their next steps. </w:t>
      </w:r>
    </w:p>
    <w:p w14:paraId="4A49093E" w14:textId="77777777" w:rsidR="008B0172" w:rsidRPr="000F4950" w:rsidRDefault="008B0172" w:rsidP="00235FE2">
      <w:pPr>
        <w:autoSpaceDE w:val="0"/>
        <w:autoSpaceDN w:val="0"/>
        <w:adjustRightInd w:val="0"/>
        <w:spacing w:after="0" w:line="240" w:lineRule="auto"/>
        <w:rPr>
          <w:rFonts w:cstheme="minorHAnsi"/>
        </w:rPr>
      </w:pPr>
    </w:p>
    <w:p w14:paraId="6EF4702E" w14:textId="77777777" w:rsidR="00705110" w:rsidRPr="000F4950" w:rsidRDefault="00705110" w:rsidP="00235FE2">
      <w:pPr>
        <w:autoSpaceDE w:val="0"/>
        <w:autoSpaceDN w:val="0"/>
        <w:adjustRightInd w:val="0"/>
        <w:spacing w:after="0" w:line="240" w:lineRule="auto"/>
        <w:rPr>
          <w:rFonts w:cstheme="minorHAnsi"/>
        </w:rPr>
      </w:pPr>
    </w:p>
    <w:p w14:paraId="32807AB1" w14:textId="77777777" w:rsidR="00235FE2" w:rsidRPr="000F4950" w:rsidRDefault="00235FE2" w:rsidP="00235FE2">
      <w:pPr>
        <w:autoSpaceDE w:val="0"/>
        <w:autoSpaceDN w:val="0"/>
        <w:adjustRightInd w:val="0"/>
        <w:spacing w:after="0" w:line="240" w:lineRule="auto"/>
        <w:rPr>
          <w:rFonts w:cstheme="minorHAnsi"/>
          <w:i/>
        </w:rPr>
      </w:pPr>
      <w:r w:rsidRPr="000F4950">
        <w:rPr>
          <w:rFonts w:cstheme="minorHAnsi"/>
          <w:b/>
          <w:bCs/>
          <w:i/>
        </w:rPr>
        <w:t xml:space="preserve">6. Programs for Corrections Education and the Education of Other Institutionalized Individuals </w:t>
      </w:r>
      <w:r w:rsidRPr="000F4950">
        <w:rPr>
          <w:rFonts w:cstheme="minorHAnsi"/>
          <w:i/>
        </w:rPr>
        <w:t>(AEFLA Section 225)</w:t>
      </w:r>
    </w:p>
    <w:p w14:paraId="05EF9406" w14:textId="77777777" w:rsidR="00235FE2" w:rsidRPr="000F4950" w:rsidRDefault="00235FE2" w:rsidP="00235FE2">
      <w:pPr>
        <w:autoSpaceDE w:val="0"/>
        <w:autoSpaceDN w:val="0"/>
        <w:adjustRightInd w:val="0"/>
        <w:spacing w:after="0" w:line="240" w:lineRule="auto"/>
        <w:rPr>
          <w:rFonts w:cstheme="minorHAnsi"/>
          <w:i/>
        </w:rPr>
      </w:pPr>
      <w:r w:rsidRPr="000F4950">
        <w:rPr>
          <w:rFonts w:cstheme="minorHAnsi"/>
          <w:i/>
        </w:rPr>
        <w:t>What was the relative rate of recidivism for criminal offenders served? Please describe the methods and factors used in calculating the rate for this reporting period.</w:t>
      </w:r>
    </w:p>
    <w:p w14:paraId="530E54BD" w14:textId="77777777" w:rsidR="007D31ED" w:rsidRPr="000F4950" w:rsidRDefault="007D31ED" w:rsidP="007D31ED">
      <w:pPr>
        <w:autoSpaceDE w:val="0"/>
        <w:autoSpaceDN w:val="0"/>
        <w:adjustRightInd w:val="0"/>
        <w:spacing w:after="0" w:line="240" w:lineRule="auto"/>
        <w:rPr>
          <w:rFonts w:cstheme="minorHAnsi"/>
        </w:rPr>
      </w:pPr>
    </w:p>
    <w:p w14:paraId="67D5B717" w14:textId="6339A352" w:rsidR="000E4D73" w:rsidRPr="000F4950" w:rsidRDefault="000E4D73" w:rsidP="000E4D73">
      <w:pPr>
        <w:rPr>
          <w:rFonts w:cstheme="minorHAnsi"/>
        </w:rPr>
      </w:pPr>
      <w:r w:rsidRPr="000F4950">
        <w:rPr>
          <w:rFonts w:cstheme="minorHAnsi"/>
        </w:rPr>
        <w:t xml:space="preserve">Massachusetts’ ability to calculate the relative rate of recidivism for PY18-19 continues to be impeded by the lack of a statewide data system in corrections. The responsibility for such a system rests solely with the Massachusetts Executive Office of Public Safety and Security (EOPSS). At present, ACLS is limited to the trend data found in </w:t>
      </w:r>
      <w:hyperlink r:id="rId33" w:history="1">
        <w:r w:rsidRPr="000F4950">
          <w:rPr>
            <w:rStyle w:val="Hyperlink"/>
            <w:rFonts w:cstheme="minorHAnsi"/>
            <w:color w:val="0000FF"/>
          </w:rPr>
          <w:t>https://www.mass.gov/files/documents/2018/09/28/PrisonPopTrends_2017_Final.pdf</w:t>
        </w:r>
      </w:hyperlink>
      <w:r w:rsidRPr="000F4950">
        <w:rPr>
          <w:rFonts w:cstheme="minorHAnsi"/>
        </w:rPr>
        <w:t xml:space="preserve">. The Massachusetts Sheriffs’ Association, which assists Massachusetts’ fourteen (14) County Houses of Correction (CHOCs) with administrative and operational activities is still unable to provide comprehensive inmate and recidivism data at this time. ACLS currently funds five prisons and six CHOCs to provide </w:t>
      </w:r>
      <w:r w:rsidR="00722760" w:rsidRPr="000F4950">
        <w:rPr>
          <w:rFonts w:cstheme="minorHAnsi"/>
        </w:rPr>
        <w:t>adult education</w:t>
      </w:r>
      <w:r w:rsidRPr="000F4950">
        <w:rPr>
          <w:rFonts w:cstheme="minorHAnsi"/>
        </w:rPr>
        <w:t xml:space="preserve"> activities. Massachusetts will not be able to provide recidivism rates until the CHOCs develop their capacity. </w:t>
      </w:r>
    </w:p>
    <w:p w14:paraId="7716EFAB" w14:textId="60C81F13" w:rsidR="007D31ED" w:rsidRPr="000F4950" w:rsidRDefault="007D31ED" w:rsidP="000E4D73">
      <w:pPr>
        <w:rPr>
          <w:rFonts w:cstheme="minorHAnsi"/>
        </w:rPr>
      </w:pPr>
    </w:p>
    <w:sectPr w:rsidR="007D31ED" w:rsidRPr="000F4950" w:rsidSect="001C0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787B6" w14:textId="77777777" w:rsidR="00A67D52" w:rsidRDefault="00A67D52" w:rsidP="00235FE2">
      <w:pPr>
        <w:spacing w:after="0" w:line="240" w:lineRule="auto"/>
      </w:pPr>
      <w:r>
        <w:separator/>
      </w:r>
    </w:p>
  </w:endnote>
  <w:endnote w:type="continuationSeparator" w:id="0">
    <w:p w14:paraId="3D0B9A20" w14:textId="77777777" w:rsidR="00A67D52" w:rsidRDefault="00A67D52" w:rsidP="0023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7D61" w14:textId="77777777" w:rsidR="00A67D52" w:rsidRDefault="00A67D52" w:rsidP="00235FE2">
      <w:pPr>
        <w:spacing w:after="0" w:line="240" w:lineRule="auto"/>
      </w:pPr>
      <w:r>
        <w:separator/>
      </w:r>
    </w:p>
  </w:footnote>
  <w:footnote w:type="continuationSeparator" w:id="0">
    <w:p w14:paraId="3B0CB5EF" w14:textId="77777777" w:rsidR="00A67D52" w:rsidRDefault="00A67D52" w:rsidP="00235FE2">
      <w:pPr>
        <w:spacing w:after="0" w:line="240" w:lineRule="auto"/>
      </w:pPr>
      <w:r>
        <w:continuationSeparator/>
      </w:r>
    </w:p>
  </w:footnote>
  <w:footnote w:id="1">
    <w:p w14:paraId="671696A9" w14:textId="77777777" w:rsidR="008B0172" w:rsidRDefault="008B0172" w:rsidP="008B0172">
      <w:pPr>
        <w:pStyle w:val="FootnoteText"/>
      </w:pPr>
      <w:r>
        <w:rPr>
          <w:rStyle w:val="FootnoteReference"/>
        </w:rPr>
        <w:footnoteRef/>
      </w:r>
      <w:r>
        <w:t xml:space="preserve"> Boaler, J. (2009). </w:t>
      </w:r>
      <w:hyperlink r:id="rId1" w:history="1">
        <w:r>
          <w:rPr>
            <w:rStyle w:val="Hyperlink"/>
          </w:rPr>
          <w:t>How complex instruction led to high and equitable achievement: The case of Railside School</w:t>
        </w:r>
      </w:hyperlink>
      <w:r>
        <w:t xml:space="preserve">; Boaler, J. and Staples, M. (2008). Creating mathematical futures through an equitable teaching approach: The case of Railside School. </w:t>
      </w:r>
      <w:r>
        <w:rPr>
          <w:i/>
          <w:iCs/>
        </w:rPr>
        <w:t>Teachers’ College Record</w:t>
      </w:r>
      <w:r>
        <w:t xml:space="preserve"> 110(3), 608-645; Hiebert, J. and Wearne, D. (1993) Instructional tasks, classroom discourse, and student learning in second-grade arithmetic. </w:t>
      </w:r>
      <w:r>
        <w:rPr>
          <w:i/>
          <w:iCs/>
        </w:rPr>
        <w:t>American Educational Research Journal</w:t>
      </w:r>
      <w:r>
        <w:t xml:space="preserve"> 30(2), 393-425; Stein, M.K., and Lane, S. (1996) Instructional tasks and the development of student capacity to think and reason: An analysis of the relationship between teaching and learning in a reform mathematics project. </w:t>
      </w:r>
      <w:r>
        <w:rPr>
          <w:i/>
          <w:iCs/>
        </w:rPr>
        <w:t>Educational Research and Evaluation</w:t>
      </w:r>
      <w:r>
        <w:t xml:space="preserve">, 2, 50-80., cited in </w:t>
      </w:r>
      <w:hyperlink r:id="rId2" w:history="1">
        <w:r>
          <w:rPr>
            <w:rStyle w:val="Hyperlink"/>
            <w:i/>
            <w:iCs/>
          </w:rPr>
          <w:t>Rich Tasks and Productive Struggle: Effective Teaching with Principles to Actions Institute</w:t>
        </w:r>
      </w:hyperlink>
      <w:r>
        <w:rPr>
          <w:i/>
          <w:iCs/>
        </w:rPr>
        <w:t xml:space="preserve"> (NCTM)</w:t>
      </w:r>
      <w:r>
        <w:t>, Latrenda Knighten, 2017, slide 23.</w:t>
      </w:r>
    </w:p>
  </w:footnote>
  <w:footnote w:id="2">
    <w:p w14:paraId="689ECD8C" w14:textId="77777777" w:rsidR="008B0172" w:rsidRPr="00A03139" w:rsidRDefault="008B0172" w:rsidP="008B0172">
      <w:pPr>
        <w:pStyle w:val="FootnoteText"/>
      </w:pPr>
      <w:r>
        <w:rPr>
          <w:rStyle w:val="FootnoteReference"/>
        </w:rPr>
        <w:footnoteRef/>
      </w:r>
      <w:r>
        <w:t xml:space="preserve"> Stein, M.K., Grover, B., and Henningsen, M. (1996) Building student capacity for mathematical thinking and reasoning: An analysis of mathematical tasks used in reform classrooms. </w:t>
      </w:r>
      <w:r>
        <w:rPr>
          <w:i/>
          <w:iCs/>
        </w:rPr>
        <w:t>American Educational Research Journal</w:t>
      </w:r>
      <w:r>
        <w:t xml:space="preserve"> 33(2), 455-488; Stigler, J. and Hiebert, J. (2004) Improving mathematics teaching. </w:t>
      </w:r>
      <w:r>
        <w:rPr>
          <w:i/>
          <w:iCs/>
        </w:rPr>
        <w:t>ASCD Educational Leadership</w:t>
      </w:r>
      <w:r>
        <w:t xml:space="preserve"> (Feb. 2004, vol. 61, #5. 12-17, cited in </w:t>
      </w:r>
      <w:hyperlink r:id="rId3" w:history="1">
        <w:r>
          <w:rPr>
            <w:rStyle w:val="Hyperlink"/>
            <w:i/>
            <w:iCs/>
          </w:rPr>
          <w:t>Rich Tasks and Productive Struggle: Effective Teaching with Principles to Actions Institute</w:t>
        </w:r>
      </w:hyperlink>
      <w:r>
        <w:rPr>
          <w:i/>
          <w:iCs/>
        </w:rPr>
        <w:t xml:space="preserve"> (NCTM)</w:t>
      </w:r>
      <w:r>
        <w:t>, Latrenda Knighten, 2017, slide</w:t>
      </w:r>
      <w:r>
        <w:rPr>
          <w:i/>
          <w:iCs/>
        </w:rPr>
        <w:t xml:space="preserve"> </w:t>
      </w:r>
      <w:r w:rsidRPr="00A03139">
        <w:rPr>
          <w:iCs/>
        </w:rPr>
        <w:t>38</w:t>
      </w:r>
      <w:r>
        <w:rPr>
          <w:i/>
          <w:i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456"/>
    <w:multiLevelType w:val="hybridMultilevel"/>
    <w:tmpl w:val="EC562008"/>
    <w:lvl w:ilvl="0" w:tplc="5C3CFA2A">
      <w:start w:val="1"/>
      <w:numFmt w:val="lowerLetter"/>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E05FB"/>
    <w:multiLevelType w:val="hybridMultilevel"/>
    <w:tmpl w:val="500E8AAE"/>
    <w:lvl w:ilvl="0" w:tplc="5C3CFA2A">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B3352"/>
    <w:multiLevelType w:val="hybridMultilevel"/>
    <w:tmpl w:val="23780C9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7833"/>
    <w:multiLevelType w:val="hybridMultilevel"/>
    <w:tmpl w:val="5B38E7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52D94"/>
    <w:multiLevelType w:val="hybridMultilevel"/>
    <w:tmpl w:val="87CAC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907E90"/>
    <w:multiLevelType w:val="hybridMultilevel"/>
    <w:tmpl w:val="F90031BC"/>
    <w:lvl w:ilvl="0" w:tplc="5C3CFA2A">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9456C"/>
    <w:multiLevelType w:val="hybridMultilevel"/>
    <w:tmpl w:val="D900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647D92"/>
    <w:multiLevelType w:val="hybridMultilevel"/>
    <w:tmpl w:val="3864E7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2D11D8"/>
    <w:multiLevelType w:val="hybridMultilevel"/>
    <w:tmpl w:val="D6C2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543C6"/>
    <w:multiLevelType w:val="hybridMultilevel"/>
    <w:tmpl w:val="9F80A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240EAA"/>
    <w:multiLevelType w:val="hybridMultilevel"/>
    <w:tmpl w:val="60E80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9C01CE"/>
    <w:multiLevelType w:val="hybridMultilevel"/>
    <w:tmpl w:val="C1684A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30E9F"/>
    <w:multiLevelType w:val="hybridMultilevel"/>
    <w:tmpl w:val="1826D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E6A57"/>
    <w:multiLevelType w:val="hybridMultilevel"/>
    <w:tmpl w:val="A89A9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302CD"/>
    <w:multiLevelType w:val="hybridMultilevel"/>
    <w:tmpl w:val="6366A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221144"/>
    <w:multiLevelType w:val="hybridMultilevel"/>
    <w:tmpl w:val="62E2D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C598B"/>
    <w:multiLevelType w:val="hybridMultilevel"/>
    <w:tmpl w:val="C0309F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1F19D9"/>
    <w:multiLevelType w:val="hybridMultilevel"/>
    <w:tmpl w:val="B1EE9D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3C4023"/>
    <w:multiLevelType w:val="hybridMultilevel"/>
    <w:tmpl w:val="0D083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E14A6"/>
    <w:multiLevelType w:val="hybridMultilevel"/>
    <w:tmpl w:val="1F3EE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88068A"/>
    <w:multiLevelType w:val="hybridMultilevel"/>
    <w:tmpl w:val="F8348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B018D"/>
    <w:multiLevelType w:val="hybridMultilevel"/>
    <w:tmpl w:val="5DAA9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903C7B"/>
    <w:multiLevelType w:val="hybridMultilevel"/>
    <w:tmpl w:val="16B0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8429E"/>
    <w:multiLevelType w:val="multilevel"/>
    <w:tmpl w:val="9514CB5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64D2157"/>
    <w:multiLevelType w:val="hybridMultilevel"/>
    <w:tmpl w:val="87EAC6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727330"/>
    <w:multiLevelType w:val="hybridMultilevel"/>
    <w:tmpl w:val="EC6C8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B547AE"/>
    <w:multiLevelType w:val="hybridMultilevel"/>
    <w:tmpl w:val="4BBA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351615"/>
    <w:multiLevelType w:val="hybridMultilevel"/>
    <w:tmpl w:val="9BE62C4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C0B3A"/>
    <w:multiLevelType w:val="hybridMultilevel"/>
    <w:tmpl w:val="E5B871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946B3"/>
    <w:multiLevelType w:val="hybridMultilevel"/>
    <w:tmpl w:val="25242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41AB1"/>
    <w:multiLevelType w:val="hybridMultilevel"/>
    <w:tmpl w:val="768899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C60691"/>
    <w:multiLevelType w:val="hybridMultilevel"/>
    <w:tmpl w:val="829869B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45F90"/>
    <w:multiLevelType w:val="hybridMultilevel"/>
    <w:tmpl w:val="BD200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DB2D2E"/>
    <w:multiLevelType w:val="hybridMultilevel"/>
    <w:tmpl w:val="F510F3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4F0F36"/>
    <w:multiLevelType w:val="hybridMultilevel"/>
    <w:tmpl w:val="548270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D22362"/>
    <w:multiLevelType w:val="hybridMultilevel"/>
    <w:tmpl w:val="5BBC90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E3289"/>
    <w:multiLevelType w:val="hybridMultilevel"/>
    <w:tmpl w:val="DFD0E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A73B75"/>
    <w:multiLevelType w:val="hybridMultilevel"/>
    <w:tmpl w:val="6B16B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15611D"/>
    <w:multiLevelType w:val="hybridMultilevel"/>
    <w:tmpl w:val="B89A7DB2"/>
    <w:lvl w:ilvl="0" w:tplc="BC605C28">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80157C"/>
    <w:multiLevelType w:val="hybridMultilevel"/>
    <w:tmpl w:val="0DE69C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15"/>
  </w:num>
  <w:num w:numId="4">
    <w:abstractNumId w:val="39"/>
  </w:num>
  <w:num w:numId="5">
    <w:abstractNumId w:val="34"/>
  </w:num>
  <w:num w:numId="6">
    <w:abstractNumId w:val="7"/>
  </w:num>
  <w:num w:numId="7">
    <w:abstractNumId w:val="16"/>
  </w:num>
  <w:num w:numId="8">
    <w:abstractNumId w:val="22"/>
  </w:num>
  <w:num w:numId="9">
    <w:abstractNumId w:val="30"/>
  </w:num>
  <w:num w:numId="10">
    <w:abstractNumId w:val="36"/>
  </w:num>
  <w:num w:numId="11">
    <w:abstractNumId w:val="27"/>
  </w:num>
  <w:num w:numId="12">
    <w:abstractNumId w:val="31"/>
  </w:num>
  <w:num w:numId="13">
    <w:abstractNumId w:val="12"/>
  </w:num>
  <w:num w:numId="14">
    <w:abstractNumId w:val="14"/>
  </w:num>
  <w:num w:numId="15">
    <w:abstractNumId w:val="10"/>
  </w:num>
  <w:num w:numId="16">
    <w:abstractNumId w:val="6"/>
  </w:num>
  <w:num w:numId="17">
    <w:abstractNumId w:val="23"/>
  </w:num>
  <w:num w:numId="18">
    <w:abstractNumId w:val="21"/>
  </w:num>
  <w:num w:numId="19">
    <w:abstractNumId w:val="5"/>
  </w:num>
  <w:num w:numId="20">
    <w:abstractNumId w:val="3"/>
  </w:num>
  <w:num w:numId="21">
    <w:abstractNumId w:val="11"/>
  </w:num>
  <w:num w:numId="22">
    <w:abstractNumId w:val="1"/>
  </w:num>
  <w:num w:numId="23">
    <w:abstractNumId w:val="13"/>
  </w:num>
  <w:num w:numId="24">
    <w:abstractNumId w:val="4"/>
  </w:num>
  <w:num w:numId="25">
    <w:abstractNumId w:val="2"/>
  </w:num>
  <w:num w:numId="26">
    <w:abstractNumId w:val="17"/>
  </w:num>
  <w:num w:numId="27">
    <w:abstractNumId w:val="0"/>
  </w:num>
  <w:num w:numId="28">
    <w:abstractNumId w:val="33"/>
  </w:num>
  <w:num w:numId="29">
    <w:abstractNumId w:val="29"/>
  </w:num>
  <w:num w:numId="30">
    <w:abstractNumId w:val="24"/>
  </w:num>
  <w:num w:numId="31">
    <w:abstractNumId w:val="3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20"/>
  </w:num>
  <w:num w:numId="36">
    <w:abstractNumId w:val="8"/>
  </w:num>
  <w:num w:numId="37">
    <w:abstractNumId w:val="38"/>
  </w:num>
  <w:num w:numId="38">
    <w:abstractNumId w:val="18"/>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1B"/>
    <w:rsid w:val="00020E93"/>
    <w:rsid w:val="0002176B"/>
    <w:rsid w:val="00061CEB"/>
    <w:rsid w:val="000A5285"/>
    <w:rsid w:val="000A5C12"/>
    <w:rsid w:val="000E4D73"/>
    <w:rsid w:val="000F2BD1"/>
    <w:rsid w:val="000F4950"/>
    <w:rsid w:val="00133E63"/>
    <w:rsid w:val="00143221"/>
    <w:rsid w:val="00143BF4"/>
    <w:rsid w:val="001468C3"/>
    <w:rsid w:val="001B5630"/>
    <w:rsid w:val="001C0A17"/>
    <w:rsid w:val="001C381B"/>
    <w:rsid w:val="001D18C8"/>
    <w:rsid w:val="00202D65"/>
    <w:rsid w:val="00235FE2"/>
    <w:rsid w:val="00280631"/>
    <w:rsid w:val="00283309"/>
    <w:rsid w:val="00287D8E"/>
    <w:rsid w:val="002A5524"/>
    <w:rsid w:val="002D4CA4"/>
    <w:rsid w:val="002D5C1B"/>
    <w:rsid w:val="00341310"/>
    <w:rsid w:val="003B76F4"/>
    <w:rsid w:val="003D5666"/>
    <w:rsid w:val="003E3ADF"/>
    <w:rsid w:val="004261CB"/>
    <w:rsid w:val="00440727"/>
    <w:rsid w:val="00457B7E"/>
    <w:rsid w:val="00474951"/>
    <w:rsid w:val="00476EE8"/>
    <w:rsid w:val="004A2534"/>
    <w:rsid w:val="004E35B4"/>
    <w:rsid w:val="00533487"/>
    <w:rsid w:val="00550974"/>
    <w:rsid w:val="0055653A"/>
    <w:rsid w:val="0056623C"/>
    <w:rsid w:val="005845B3"/>
    <w:rsid w:val="005B7F27"/>
    <w:rsid w:val="005C320B"/>
    <w:rsid w:val="0061069F"/>
    <w:rsid w:val="00613E5C"/>
    <w:rsid w:val="00644650"/>
    <w:rsid w:val="006629A2"/>
    <w:rsid w:val="00696D19"/>
    <w:rsid w:val="006C232D"/>
    <w:rsid w:val="006C4FC8"/>
    <w:rsid w:val="006C59F7"/>
    <w:rsid w:val="006D3E46"/>
    <w:rsid w:val="006D4DDC"/>
    <w:rsid w:val="006E0CC6"/>
    <w:rsid w:val="006F12E6"/>
    <w:rsid w:val="006F5705"/>
    <w:rsid w:val="00705110"/>
    <w:rsid w:val="00722760"/>
    <w:rsid w:val="00736371"/>
    <w:rsid w:val="00740C55"/>
    <w:rsid w:val="00742390"/>
    <w:rsid w:val="007824D8"/>
    <w:rsid w:val="00782B4D"/>
    <w:rsid w:val="007B6284"/>
    <w:rsid w:val="007D31ED"/>
    <w:rsid w:val="007E6387"/>
    <w:rsid w:val="007F4AAD"/>
    <w:rsid w:val="007F5225"/>
    <w:rsid w:val="00850207"/>
    <w:rsid w:val="008557F3"/>
    <w:rsid w:val="008771E8"/>
    <w:rsid w:val="008B0172"/>
    <w:rsid w:val="008D27D0"/>
    <w:rsid w:val="008D3AF7"/>
    <w:rsid w:val="008D488F"/>
    <w:rsid w:val="008D4A63"/>
    <w:rsid w:val="008E208A"/>
    <w:rsid w:val="00902FB1"/>
    <w:rsid w:val="00905984"/>
    <w:rsid w:val="0094072B"/>
    <w:rsid w:val="00996D85"/>
    <w:rsid w:val="009B31D6"/>
    <w:rsid w:val="009C0129"/>
    <w:rsid w:val="009F18CC"/>
    <w:rsid w:val="00A03B5B"/>
    <w:rsid w:val="00A17AC3"/>
    <w:rsid w:val="00A673EF"/>
    <w:rsid w:val="00A67D52"/>
    <w:rsid w:val="00A713EA"/>
    <w:rsid w:val="00AB395A"/>
    <w:rsid w:val="00B05220"/>
    <w:rsid w:val="00B05ACC"/>
    <w:rsid w:val="00B26F4F"/>
    <w:rsid w:val="00B3463B"/>
    <w:rsid w:val="00B3468E"/>
    <w:rsid w:val="00B3618D"/>
    <w:rsid w:val="00B91F35"/>
    <w:rsid w:val="00BB6B7A"/>
    <w:rsid w:val="00BC135A"/>
    <w:rsid w:val="00BD69D6"/>
    <w:rsid w:val="00BF36AE"/>
    <w:rsid w:val="00BF667C"/>
    <w:rsid w:val="00C44ECC"/>
    <w:rsid w:val="00C73995"/>
    <w:rsid w:val="00C7693F"/>
    <w:rsid w:val="00CF78CC"/>
    <w:rsid w:val="00D3370E"/>
    <w:rsid w:val="00D509D2"/>
    <w:rsid w:val="00D73F0B"/>
    <w:rsid w:val="00D8504A"/>
    <w:rsid w:val="00DD1CBC"/>
    <w:rsid w:val="00DE08E5"/>
    <w:rsid w:val="00E25812"/>
    <w:rsid w:val="00E44156"/>
    <w:rsid w:val="00E73368"/>
    <w:rsid w:val="00E93ED5"/>
    <w:rsid w:val="00EA00CE"/>
    <w:rsid w:val="00EF172F"/>
    <w:rsid w:val="00F152C4"/>
    <w:rsid w:val="00F23318"/>
    <w:rsid w:val="00F3724F"/>
    <w:rsid w:val="00F44200"/>
    <w:rsid w:val="00F460F5"/>
    <w:rsid w:val="00F51484"/>
    <w:rsid w:val="00FF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F0A4"/>
  <w15:docId w15:val="{47E28F28-9359-461D-BF69-3B10E7C4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FE2"/>
    <w:pPr>
      <w:spacing w:after="200" w:line="276" w:lineRule="auto"/>
      <w:ind w:left="720"/>
      <w:contextualSpacing/>
    </w:pPr>
  </w:style>
  <w:style w:type="character" w:styleId="Hyperlink">
    <w:name w:val="Hyperlink"/>
    <w:basedOn w:val="DefaultParagraphFont"/>
    <w:uiPriority w:val="99"/>
    <w:unhideWhenUsed/>
    <w:rsid w:val="00235FE2"/>
    <w:rPr>
      <w:color w:val="0563C1" w:themeColor="hyperlink"/>
      <w:u w:val="single"/>
    </w:rPr>
  </w:style>
  <w:style w:type="paragraph" w:styleId="NoSpacing">
    <w:name w:val="No Spacing"/>
    <w:uiPriority w:val="1"/>
    <w:qFormat/>
    <w:rsid w:val="00235FE2"/>
    <w:pPr>
      <w:spacing w:after="0" w:line="240" w:lineRule="auto"/>
    </w:pPr>
  </w:style>
  <w:style w:type="paragraph" w:styleId="FootnoteText">
    <w:name w:val="footnote text"/>
    <w:basedOn w:val="Normal"/>
    <w:link w:val="FootnoteTextChar"/>
    <w:uiPriority w:val="99"/>
    <w:rsid w:val="00235FE2"/>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235FE2"/>
    <w:rPr>
      <w:rFonts w:ascii="Calibri" w:hAnsi="Calibri" w:cs="Times New Roman"/>
      <w:sz w:val="20"/>
      <w:szCs w:val="20"/>
    </w:rPr>
  </w:style>
  <w:style w:type="character" w:styleId="FootnoteReference">
    <w:name w:val="footnote reference"/>
    <w:basedOn w:val="DefaultParagraphFont"/>
    <w:uiPriority w:val="99"/>
    <w:rsid w:val="00235FE2"/>
    <w:rPr>
      <w:vertAlign w:val="superscript"/>
    </w:rPr>
  </w:style>
  <w:style w:type="character" w:customStyle="1" w:styleId="bold">
    <w:name w:val="bold"/>
    <w:basedOn w:val="DefaultParagraphFont"/>
    <w:rsid w:val="00235FE2"/>
  </w:style>
  <w:style w:type="character" w:customStyle="1" w:styleId="em">
    <w:name w:val="em"/>
    <w:basedOn w:val="DefaultParagraphFont"/>
    <w:rsid w:val="00235FE2"/>
  </w:style>
  <w:style w:type="paragraph" w:styleId="BalloonText">
    <w:name w:val="Balloon Text"/>
    <w:basedOn w:val="Normal"/>
    <w:link w:val="BalloonTextChar"/>
    <w:uiPriority w:val="99"/>
    <w:semiHidden/>
    <w:unhideWhenUsed/>
    <w:rsid w:val="00341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10"/>
    <w:rPr>
      <w:rFonts w:ascii="Segoe UI" w:hAnsi="Segoe UI" w:cs="Segoe UI"/>
      <w:sz w:val="18"/>
      <w:szCs w:val="18"/>
    </w:rPr>
  </w:style>
  <w:style w:type="character" w:styleId="FollowedHyperlink">
    <w:name w:val="FollowedHyperlink"/>
    <w:basedOn w:val="DefaultParagraphFont"/>
    <w:uiPriority w:val="99"/>
    <w:semiHidden/>
    <w:unhideWhenUsed/>
    <w:rsid w:val="00F460F5"/>
    <w:rPr>
      <w:color w:val="954F72" w:themeColor="followedHyperlink"/>
      <w:u w:val="single"/>
    </w:rPr>
  </w:style>
  <w:style w:type="character" w:styleId="CommentReference">
    <w:name w:val="annotation reference"/>
    <w:basedOn w:val="DefaultParagraphFont"/>
    <w:uiPriority w:val="99"/>
    <w:semiHidden/>
    <w:unhideWhenUsed/>
    <w:rsid w:val="007D31ED"/>
    <w:rPr>
      <w:sz w:val="16"/>
      <w:szCs w:val="16"/>
    </w:rPr>
  </w:style>
  <w:style w:type="paragraph" w:styleId="CommentText">
    <w:name w:val="annotation text"/>
    <w:basedOn w:val="Normal"/>
    <w:link w:val="CommentTextChar"/>
    <w:uiPriority w:val="99"/>
    <w:semiHidden/>
    <w:unhideWhenUsed/>
    <w:rsid w:val="007D31ED"/>
    <w:pPr>
      <w:spacing w:line="240" w:lineRule="auto"/>
    </w:pPr>
    <w:rPr>
      <w:sz w:val="20"/>
      <w:szCs w:val="20"/>
    </w:rPr>
  </w:style>
  <w:style w:type="character" w:customStyle="1" w:styleId="CommentTextChar">
    <w:name w:val="Comment Text Char"/>
    <w:basedOn w:val="DefaultParagraphFont"/>
    <w:link w:val="CommentText"/>
    <w:uiPriority w:val="99"/>
    <w:semiHidden/>
    <w:rsid w:val="007D31ED"/>
    <w:rPr>
      <w:sz w:val="20"/>
      <w:szCs w:val="20"/>
    </w:rPr>
  </w:style>
  <w:style w:type="paragraph" w:styleId="CommentSubject">
    <w:name w:val="annotation subject"/>
    <w:basedOn w:val="CommentText"/>
    <w:next w:val="CommentText"/>
    <w:link w:val="CommentSubjectChar"/>
    <w:uiPriority w:val="99"/>
    <w:semiHidden/>
    <w:unhideWhenUsed/>
    <w:rsid w:val="007E6387"/>
    <w:rPr>
      <w:b/>
      <w:bCs/>
    </w:rPr>
  </w:style>
  <w:style w:type="character" w:customStyle="1" w:styleId="CommentSubjectChar">
    <w:name w:val="Comment Subject Char"/>
    <w:basedOn w:val="CommentTextChar"/>
    <w:link w:val="CommentSubject"/>
    <w:uiPriority w:val="99"/>
    <w:semiHidden/>
    <w:rsid w:val="007E6387"/>
    <w:rPr>
      <w:b/>
      <w:bCs/>
      <w:sz w:val="20"/>
      <w:szCs w:val="20"/>
    </w:rPr>
  </w:style>
  <w:style w:type="paragraph" w:customStyle="1" w:styleId="xmsonormal">
    <w:name w:val="x_msonormal"/>
    <w:basedOn w:val="Normal"/>
    <w:rsid w:val="007423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6D4DDC"/>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921">
      <w:bodyDiv w:val="1"/>
      <w:marLeft w:val="0"/>
      <w:marRight w:val="0"/>
      <w:marTop w:val="0"/>
      <w:marBottom w:val="0"/>
      <w:divBdr>
        <w:top w:val="none" w:sz="0" w:space="0" w:color="auto"/>
        <w:left w:val="none" w:sz="0" w:space="0" w:color="auto"/>
        <w:bottom w:val="none" w:sz="0" w:space="0" w:color="auto"/>
        <w:right w:val="none" w:sz="0" w:space="0" w:color="auto"/>
      </w:divBdr>
    </w:div>
    <w:div w:id="926764966">
      <w:bodyDiv w:val="1"/>
      <w:marLeft w:val="0"/>
      <w:marRight w:val="0"/>
      <w:marTop w:val="0"/>
      <w:marBottom w:val="0"/>
      <w:divBdr>
        <w:top w:val="none" w:sz="0" w:space="0" w:color="auto"/>
        <w:left w:val="none" w:sz="0" w:space="0" w:color="auto"/>
        <w:bottom w:val="none" w:sz="0" w:space="0" w:color="auto"/>
        <w:right w:val="none" w:sz="0" w:space="0" w:color="auto"/>
      </w:divBdr>
    </w:div>
    <w:div w:id="1229875879">
      <w:bodyDiv w:val="1"/>
      <w:marLeft w:val="0"/>
      <w:marRight w:val="0"/>
      <w:marTop w:val="0"/>
      <w:marBottom w:val="0"/>
      <w:divBdr>
        <w:top w:val="none" w:sz="0" w:space="0" w:color="auto"/>
        <w:left w:val="none" w:sz="0" w:space="0" w:color="auto"/>
        <w:bottom w:val="none" w:sz="0" w:space="0" w:color="auto"/>
        <w:right w:val="none" w:sz="0" w:space="0" w:color="auto"/>
      </w:divBdr>
    </w:div>
    <w:div w:id="14869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acls/frameworks/frameworks.html" TargetMode="External"/><Relationship Id="rId18" Type="http://schemas.openxmlformats.org/officeDocument/2006/relationships/hyperlink" Target="https://external-wiki.terc.edu/display/CALM" TargetMode="External"/><Relationship Id="rId26" Type="http://schemas.openxmlformats.org/officeDocument/2006/relationships/hyperlink" Target="http://www.doe.mass.edu/acls/edueffectiveness/" TargetMode="External"/><Relationship Id="rId3" Type="http://schemas.openxmlformats.org/officeDocument/2006/relationships/styles" Target="styles.xml"/><Relationship Id="rId21" Type="http://schemas.openxmlformats.org/officeDocument/2006/relationships/hyperlink" Target="https://lincs.ed.gov/publications/pdf/CCRStandardsAdultEd.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mass.edu/acls/frameworks/" TargetMode="External"/><Relationship Id="rId17" Type="http://schemas.openxmlformats.org/officeDocument/2006/relationships/hyperlink" Target="http://www.doe.mass.edu/acls/acp/?section=credential" TargetMode="External"/><Relationship Id="rId25" Type="http://schemas.openxmlformats.org/officeDocument/2006/relationships/hyperlink" Target="http://www.doe.mass.edu/acls/edueffectiveness/default.html" TargetMode="External"/><Relationship Id="rId33" Type="http://schemas.openxmlformats.org/officeDocument/2006/relationships/hyperlink" Target="https://www.mass.gov/files/documents/2018/09/28/PrisonPopTrends_2017_Final.pdf" TargetMode="External"/><Relationship Id="rId2" Type="http://schemas.openxmlformats.org/officeDocument/2006/relationships/numbering" Target="numbering.xml"/><Relationship Id="rId16" Type="http://schemas.openxmlformats.org/officeDocument/2006/relationships/hyperlink" Target="https://sites.google.com/view/dm2019/home" TargetMode="External"/><Relationship Id="rId20" Type="http://schemas.openxmlformats.org/officeDocument/2006/relationships/hyperlink" Target="http://www.doe.mass.edu/acls/acp/?section=training" TargetMode="External"/><Relationship Id="rId29" Type="http://schemas.openxmlformats.org/officeDocument/2006/relationships/hyperlink" Target="https://www.sabes.org/pd-center/math-and-numer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acls/mailings/" TargetMode="External"/><Relationship Id="rId24" Type="http://schemas.openxmlformats.org/officeDocument/2006/relationships/hyperlink" Target="http://www.doe.mass.edu/acls/frameworks/policy.html" TargetMode="External"/><Relationship Id="rId32" Type="http://schemas.openxmlformats.org/officeDocument/2006/relationships/hyperlink" Target="http://www.doe.mass.edu/acls/pqrsv/" TargetMode="External"/><Relationship Id="rId5" Type="http://schemas.openxmlformats.org/officeDocument/2006/relationships/webSettings" Target="webSettings.xml"/><Relationship Id="rId15" Type="http://schemas.openxmlformats.org/officeDocument/2006/relationships/hyperlink" Target="http://www.doe.mass.edu/acls/edueffectiveness/" TargetMode="External"/><Relationship Id="rId23" Type="http://schemas.openxmlformats.org/officeDocument/2006/relationships/hyperlink" Target="http://www.doe.mass.edu/acls/edueffectiveness/" TargetMode="External"/><Relationship Id="rId28" Type="http://schemas.openxmlformats.org/officeDocument/2006/relationships/hyperlink" Target="https://www.sabes.org/pd-center/ela" TargetMode="External"/><Relationship Id="rId10" Type="http://schemas.openxmlformats.org/officeDocument/2006/relationships/hyperlink" Target="https://www.sabes.org/" TargetMode="External"/><Relationship Id="rId19" Type="http://schemas.openxmlformats.org/officeDocument/2006/relationships/hyperlink" Target="http://www.doe.mass.edu/acls/systemci.html" TargetMode="External"/><Relationship Id="rId31" Type="http://schemas.openxmlformats.org/officeDocument/2006/relationships/hyperlink" Target="https://www.sabes.org/calendar/month/2018-12" TargetMode="External"/><Relationship Id="rId4" Type="http://schemas.openxmlformats.org/officeDocument/2006/relationships/settings" Target="settings.xml"/><Relationship Id="rId9" Type="http://schemas.openxmlformats.org/officeDocument/2006/relationships/hyperlink" Target="http://sabes.org/pd-center/esol" TargetMode="External"/><Relationship Id="rId14" Type="http://schemas.openxmlformats.org/officeDocument/2006/relationships/hyperlink" Target="http://www.doe.mass.edu/acls/edueffectiveness/" TargetMode="External"/><Relationship Id="rId22" Type="http://schemas.openxmlformats.org/officeDocument/2006/relationships/hyperlink" Target="http://www.doe.mass.edu/frameworks/current.html" TargetMode="External"/><Relationship Id="rId27" Type="http://schemas.openxmlformats.org/officeDocument/2006/relationships/hyperlink" Target="http://www.doe.mass.edu/instruction/curate/" TargetMode="External"/><Relationship Id="rId30" Type="http://schemas.openxmlformats.org/officeDocument/2006/relationships/hyperlink" Target="https://www.sabes.org/pd-center/esol" TargetMode="External"/><Relationship Id="rId35" Type="http://schemas.openxmlformats.org/officeDocument/2006/relationships/theme" Target="theme/theme1.xml"/><Relationship Id="rId8" Type="http://schemas.openxmlformats.org/officeDocument/2006/relationships/hyperlink" Target="http://www.doe.mass.edu/acls/systemci.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ctm.org/uploadedFiles/Conferences_and_Professional_Development/Institues/Pre-K_Grade_12_Common_Core_Series/PrimaryPresentations-Knighten.pdf" TargetMode="External"/><Relationship Id="rId2" Type="http://schemas.openxmlformats.org/officeDocument/2006/relationships/hyperlink" Target="https://www.nctm.org/uploadedFiles/Conferences_and_Professional_Development/Institues/Pre-K_Grade_12_Common_Core_Series/PrimaryPresentations-Knighten.pdf" TargetMode="External"/><Relationship Id="rId1" Type="http://schemas.openxmlformats.org/officeDocument/2006/relationships/hyperlink" Target="https://nrich.maths.org/content/id/7011/nrich%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5233-1FD3-49AD-B146-2EB1FBAF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Conway, Jolanta</dc:creator>
  <cp:lastModifiedBy>Maguire, Toby (DESE)</cp:lastModifiedBy>
  <cp:revision>2</cp:revision>
  <cp:lastPrinted>2019-12-20T22:23:00Z</cp:lastPrinted>
  <dcterms:created xsi:type="dcterms:W3CDTF">2019-12-20T23:17:00Z</dcterms:created>
  <dcterms:modified xsi:type="dcterms:W3CDTF">2019-12-20T23:17:00Z</dcterms:modified>
</cp:coreProperties>
</file>