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45BC" w:rsidRPr="006F5D1C" w:rsidRDefault="007045BC" w:rsidP="006F5D1C">
      <w:pPr>
        <w:pStyle w:val="ListParagraph"/>
        <w:numPr>
          <w:ilvl w:val="0"/>
          <w:numId w:val="3"/>
        </w:numPr>
        <w:ind w:left="360"/>
        <w:rPr>
          <w:smallCaps/>
          <w:spacing w:val="40"/>
          <w:sz w:val="28"/>
          <w:szCs w:val="24"/>
        </w:rPr>
      </w:pPr>
      <w:r w:rsidRPr="006F5D1C">
        <w:rPr>
          <w:smallCaps/>
          <w:spacing w:val="40"/>
          <w:sz w:val="28"/>
          <w:szCs w:val="24"/>
        </w:rPr>
        <w:t>State Leadership</w:t>
      </w:r>
    </w:p>
    <w:p w:rsidR="007045BC" w:rsidRPr="00591C84" w:rsidRDefault="007045BC" w:rsidP="007045BC">
      <w:pPr>
        <w:pStyle w:val="Content"/>
        <w:numPr>
          <w:ilvl w:val="0"/>
          <w:numId w:val="1"/>
        </w:numPr>
        <w:rPr>
          <w:b/>
          <w:color w:val="auto"/>
          <w:sz w:val="24"/>
          <w:szCs w:val="24"/>
        </w:rPr>
      </w:pPr>
      <w:r w:rsidRPr="00591C84">
        <w:rPr>
          <w:b/>
          <w:color w:val="auto"/>
          <w:sz w:val="24"/>
          <w:szCs w:val="24"/>
        </w:rPr>
        <w:t>Describe how Guam has used funds made available under section 223 (State Leadership activities) for each of the following required activities:</w:t>
      </w:r>
    </w:p>
    <w:p w:rsidR="007045BC" w:rsidRPr="00591C84" w:rsidRDefault="007045BC" w:rsidP="006F5D1C">
      <w:pPr>
        <w:pStyle w:val="Content"/>
        <w:numPr>
          <w:ilvl w:val="0"/>
          <w:numId w:val="2"/>
        </w:numPr>
        <w:ind w:left="1080"/>
        <w:rPr>
          <w:b/>
          <w:color w:val="auto"/>
          <w:sz w:val="24"/>
          <w:szCs w:val="24"/>
        </w:rPr>
      </w:pPr>
      <w:r w:rsidRPr="00591C84">
        <w:rPr>
          <w:b/>
          <w:color w:val="auto"/>
          <w:sz w:val="24"/>
          <w:szCs w:val="24"/>
        </w:rPr>
        <w:t>Alignment of adult education and literacy activities with other one-stop required partners to implement the strategies in the Unified or combined State Plan as described in section 223(1)(a).</w:t>
      </w:r>
    </w:p>
    <w:p w:rsidR="007045BC" w:rsidRPr="00591C84" w:rsidRDefault="00235054" w:rsidP="00581469">
      <w:pPr>
        <w:pStyle w:val="Content"/>
        <w:spacing w:line="240" w:lineRule="auto"/>
        <w:ind w:left="1080"/>
        <w:rPr>
          <w:color w:val="auto"/>
          <w:sz w:val="24"/>
          <w:szCs w:val="24"/>
        </w:rPr>
      </w:pPr>
      <w:r w:rsidRPr="00591C84">
        <w:rPr>
          <w:color w:val="auto"/>
          <w:sz w:val="24"/>
          <w:szCs w:val="24"/>
        </w:rPr>
        <w:t xml:space="preserve">Guam’s State Education </w:t>
      </w:r>
      <w:r w:rsidR="005445F6" w:rsidRPr="00591C84">
        <w:rPr>
          <w:color w:val="auto"/>
          <w:sz w:val="24"/>
          <w:szCs w:val="24"/>
        </w:rPr>
        <w:t xml:space="preserve">Agency </w:t>
      </w:r>
      <w:r w:rsidRPr="00591C84">
        <w:rPr>
          <w:color w:val="auto"/>
          <w:sz w:val="24"/>
          <w:szCs w:val="24"/>
        </w:rPr>
        <w:t xml:space="preserve">Office </w:t>
      </w:r>
      <w:r w:rsidR="005445F6" w:rsidRPr="00591C84">
        <w:rPr>
          <w:color w:val="auto"/>
          <w:sz w:val="24"/>
          <w:szCs w:val="24"/>
        </w:rPr>
        <w:t xml:space="preserve">(SEA) </w:t>
      </w:r>
      <w:r w:rsidRPr="00591C84">
        <w:rPr>
          <w:color w:val="auto"/>
          <w:sz w:val="24"/>
          <w:szCs w:val="24"/>
        </w:rPr>
        <w:t>for Ad</w:t>
      </w:r>
      <w:r w:rsidR="007045BC" w:rsidRPr="00591C84">
        <w:rPr>
          <w:color w:val="auto"/>
          <w:sz w:val="24"/>
          <w:szCs w:val="24"/>
        </w:rPr>
        <w:t xml:space="preserve">ult Education </w:t>
      </w:r>
      <w:r w:rsidRPr="00591C84">
        <w:rPr>
          <w:color w:val="auto"/>
          <w:sz w:val="24"/>
          <w:szCs w:val="24"/>
        </w:rPr>
        <w:t xml:space="preserve">and Family Literacy (WIOA, Title II) is located at the Guam Community College (GCC) as mandated by Public Law 14-77 and as amended. GCC </w:t>
      </w:r>
      <w:r w:rsidR="007045BC" w:rsidRPr="00591C84">
        <w:rPr>
          <w:color w:val="auto"/>
          <w:sz w:val="24"/>
          <w:szCs w:val="24"/>
        </w:rPr>
        <w:t xml:space="preserve">collaboratively </w:t>
      </w:r>
      <w:r w:rsidRPr="00591C84">
        <w:rPr>
          <w:color w:val="auto"/>
          <w:sz w:val="24"/>
          <w:szCs w:val="24"/>
        </w:rPr>
        <w:t xml:space="preserve">works </w:t>
      </w:r>
      <w:r w:rsidR="007045BC" w:rsidRPr="00591C84">
        <w:rPr>
          <w:color w:val="auto"/>
          <w:sz w:val="24"/>
          <w:szCs w:val="24"/>
        </w:rPr>
        <w:t xml:space="preserve">with the Guam Department of Labor (GDOL) to achieve a common purpose – to align and implement activities and strategies described in the </w:t>
      </w:r>
      <w:r w:rsidR="007045BC" w:rsidRPr="00591C84">
        <w:rPr>
          <w:i/>
          <w:color w:val="auto"/>
          <w:sz w:val="24"/>
          <w:szCs w:val="24"/>
        </w:rPr>
        <w:t>WIOA State Plan for the Territory of Guam</w:t>
      </w:r>
      <w:r w:rsidR="007045BC" w:rsidRPr="00591C84">
        <w:rPr>
          <w:color w:val="auto"/>
          <w:sz w:val="24"/>
          <w:szCs w:val="24"/>
        </w:rPr>
        <w:t xml:space="preserve">.  Through a Memorandum of Agreement, GCC provides adult education and literacy programs and postsecondary career and technical education training services to eligible </w:t>
      </w:r>
      <w:r w:rsidRPr="00591C84">
        <w:rPr>
          <w:color w:val="auto"/>
          <w:sz w:val="24"/>
          <w:szCs w:val="24"/>
        </w:rPr>
        <w:t xml:space="preserve">WIOA </w:t>
      </w:r>
      <w:r w:rsidR="007045BC" w:rsidRPr="00591C84">
        <w:rPr>
          <w:color w:val="auto"/>
          <w:sz w:val="24"/>
          <w:szCs w:val="24"/>
        </w:rPr>
        <w:t>participants.</w:t>
      </w:r>
    </w:p>
    <w:p w:rsidR="007045BC" w:rsidRPr="00591C84" w:rsidRDefault="007045BC" w:rsidP="006F5D1C">
      <w:pPr>
        <w:pStyle w:val="Content"/>
        <w:ind w:left="1080"/>
        <w:rPr>
          <w:color w:val="auto"/>
          <w:sz w:val="24"/>
          <w:szCs w:val="24"/>
        </w:rPr>
      </w:pPr>
    </w:p>
    <w:p w:rsidR="007045BC" w:rsidRPr="00591C84" w:rsidRDefault="007045BC" w:rsidP="006F5D1C">
      <w:pPr>
        <w:pStyle w:val="Content"/>
        <w:numPr>
          <w:ilvl w:val="0"/>
          <w:numId w:val="2"/>
        </w:numPr>
        <w:ind w:left="1080"/>
        <w:rPr>
          <w:b/>
          <w:color w:val="auto"/>
          <w:sz w:val="24"/>
          <w:szCs w:val="24"/>
        </w:rPr>
      </w:pPr>
      <w:r w:rsidRPr="00591C84">
        <w:rPr>
          <w:b/>
          <w:color w:val="auto"/>
          <w:sz w:val="24"/>
          <w:szCs w:val="24"/>
        </w:rPr>
        <w:t>Establishment or operation of a high quality professional development programs as described in section 223(1</w:t>
      </w:r>
      <w:proofErr w:type="gramStart"/>
      <w:r w:rsidRPr="00591C84">
        <w:rPr>
          <w:b/>
          <w:color w:val="auto"/>
          <w:sz w:val="24"/>
          <w:szCs w:val="24"/>
        </w:rPr>
        <w:t>)(</w:t>
      </w:r>
      <w:proofErr w:type="gramEnd"/>
      <w:r w:rsidRPr="00591C84">
        <w:rPr>
          <w:b/>
          <w:color w:val="auto"/>
          <w:sz w:val="24"/>
          <w:szCs w:val="24"/>
        </w:rPr>
        <w:t xml:space="preserve">b). </w:t>
      </w:r>
    </w:p>
    <w:p w:rsidR="0040214F" w:rsidRPr="00591C84" w:rsidRDefault="007045BC" w:rsidP="00581469">
      <w:pPr>
        <w:pStyle w:val="Content"/>
        <w:spacing w:line="240" w:lineRule="auto"/>
        <w:ind w:left="1080"/>
        <w:rPr>
          <w:color w:val="auto"/>
          <w:sz w:val="24"/>
          <w:szCs w:val="24"/>
        </w:rPr>
      </w:pPr>
      <w:r w:rsidRPr="00591C84">
        <w:rPr>
          <w:color w:val="auto"/>
          <w:sz w:val="24"/>
          <w:szCs w:val="24"/>
        </w:rPr>
        <w:t xml:space="preserve">The State Education Agency Office (SEA) offers professional development sessions (Technical Assistance Workshop and Exploring WIOA, Title II) to improve and disseminate information, models, and promising practices. </w:t>
      </w:r>
    </w:p>
    <w:p w:rsidR="0040214F" w:rsidRPr="00591C84" w:rsidRDefault="0040214F" w:rsidP="00581469">
      <w:pPr>
        <w:pStyle w:val="Content"/>
        <w:spacing w:line="240" w:lineRule="auto"/>
        <w:ind w:left="1080"/>
        <w:rPr>
          <w:color w:val="auto"/>
          <w:sz w:val="24"/>
          <w:szCs w:val="24"/>
        </w:rPr>
      </w:pPr>
    </w:p>
    <w:p w:rsidR="005445F6" w:rsidRPr="00591C84" w:rsidRDefault="007045BC" w:rsidP="00581469">
      <w:pPr>
        <w:pStyle w:val="Content"/>
        <w:spacing w:line="240" w:lineRule="auto"/>
        <w:ind w:left="1080"/>
        <w:rPr>
          <w:color w:val="auto"/>
          <w:sz w:val="24"/>
          <w:szCs w:val="24"/>
        </w:rPr>
      </w:pPr>
      <w:r w:rsidRPr="00591C84">
        <w:rPr>
          <w:color w:val="auto"/>
          <w:sz w:val="24"/>
          <w:szCs w:val="24"/>
        </w:rPr>
        <w:t>The annual WIOA</w:t>
      </w:r>
      <w:r w:rsidR="005445F6" w:rsidRPr="00591C84">
        <w:rPr>
          <w:color w:val="auto"/>
          <w:sz w:val="24"/>
          <w:szCs w:val="24"/>
        </w:rPr>
        <w:t xml:space="preserve"> Title II </w:t>
      </w:r>
      <w:r w:rsidRPr="00591C84">
        <w:rPr>
          <w:color w:val="auto"/>
          <w:sz w:val="24"/>
          <w:szCs w:val="24"/>
        </w:rPr>
        <w:t>Technical Assistance Workshop was held in February 2019. Participants</w:t>
      </w:r>
      <w:r w:rsidR="00361A5F" w:rsidRPr="00591C84">
        <w:rPr>
          <w:color w:val="auto"/>
          <w:sz w:val="24"/>
          <w:szCs w:val="24"/>
        </w:rPr>
        <w:t xml:space="preserve"> </w:t>
      </w:r>
      <w:r w:rsidR="005445F6" w:rsidRPr="00591C84">
        <w:rPr>
          <w:color w:val="auto"/>
          <w:sz w:val="24"/>
          <w:szCs w:val="24"/>
        </w:rPr>
        <w:t>r</w:t>
      </w:r>
      <w:r w:rsidRPr="00591C84">
        <w:rPr>
          <w:color w:val="auto"/>
          <w:sz w:val="24"/>
          <w:szCs w:val="24"/>
        </w:rPr>
        <w:t xml:space="preserve">eceived information on the </w:t>
      </w:r>
      <w:r w:rsidRPr="00591C84">
        <w:rPr>
          <w:i/>
          <w:color w:val="auto"/>
          <w:sz w:val="24"/>
          <w:szCs w:val="24"/>
        </w:rPr>
        <w:t>WIOA State Plan for the Territory of Guam</w:t>
      </w:r>
      <w:r w:rsidRPr="00591C84">
        <w:rPr>
          <w:color w:val="auto"/>
          <w:sz w:val="24"/>
          <w:szCs w:val="24"/>
        </w:rPr>
        <w:t xml:space="preserve">, </w:t>
      </w:r>
      <w:r w:rsidRPr="00591C84">
        <w:rPr>
          <w:i/>
          <w:color w:val="auto"/>
          <w:sz w:val="24"/>
          <w:szCs w:val="24"/>
        </w:rPr>
        <w:t>Adult Education and Family Literacy Act Program State Plan for the Territory of Guam</w:t>
      </w:r>
      <w:r w:rsidRPr="00591C84">
        <w:rPr>
          <w:color w:val="auto"/>
          <w:sz w:val="24"/>
          <w:szCs w:val="24"/>
        </w:rPr>
        <w:t>, Guide for Writing a Grant Proposal, WIO</w:t>
      </w:r>
      <w:r w:rsidR="005445F6" w:rsidRPr="00591C84">
        <w:rPr>
          <w:color w:val="auto"/>
          <w:sz w:val="24"/>
          <w:szCs w:val="24"/>
        </w:rPr>
        <w:t>A, Title II, Assessment Policy G</w:t>
      </w:r>
      <w:r w:rsidRPr="00591C84">
        <w:rPr>
          <w:color w:val="auto"/>
          <w:sz w:val="24"/>
          <w:szCs w:val="24"/>
        </w:rPr>
        <w:t xml:space="preserve">uidelines, CASAS (skill level descriptors, relationship to NRS, and reading goals), Federal Registers (suitable test forms) College and Career Readiness Standards, Measurable Skill Gains, OMB Uniform Administrative Requirements, Cost Principles and Audit Requirements, and NRS </w:t>
      </w:r>
      <w:r w:rsidR="002457EC" w:rsidRPr="00591C84">
        <w:rPr>
          <w:color w:val="auto"/>
          <w:sz w:val="24"/>
          <w:szCs w:val="24"/>
        </w:rPr>
        <w:t xml:space="preserve">data </w:t>
      </w:r>
      <w:r w:rsidRPr="00591C84">
        <w:rPr>
          <w:color w:val="auto"/>
          <w:sz w:val="24"/>
          <w:szCs w:val="24"/>
        </w:rPr>
        <w:t xml:space="preserve">tables. </w:t>
      </w:r>
    </w:p>
    <w:p w:rsidR="005445F6" w:rsidRPr="00591C84" w:rsidRDefault="005445F6" w:rsidP="00581469">
      <w:pPr>
        <w:pStyle w:val="Content"/>
        <w:spacing w:line="240" w:lineRule="auto"/>
        <w:ind w:left="1080"/>
        <w:rPr>
          <w:color w:val="auto"/>
          <w:sz w:val="24"/>
          <w:szCs w:val="24"/>
        </w:rPr>
      </w:pPr>
    </w:p>
    <w:p w:rsidR="007045BC" w:rsidRPr="00591C84" w:rsidRDefault="007045BC" w:rsidP="00581469">
      <w:pPr>
        <w:pStyle w:val="Content"/>
        <w:spacing w:line="240" w:lineRule="auto"/>
        <w:ind w:left="1080"/>
        <w:rPr>
          <w:color w:val="auto"/>
          <w:sz w:val="24"/>
          <w:szCs w:val="24"/>
        </w:rPr>
      </w:pPr>
      <w:r w:rsidRPr="00591C84">
        <w:rPr>
          <w:color w:val="auto"/>
          <w:sz w:val="24"/>
          <w:szCs w:val="24"/>
        </w:rPr>
        <w:t>Exploring WIOA, Title II sessions were held in January, March, October, and November 2019. Topics and information disseminated during the</w:t>
      </w:r>
      <w:r w:rsidR="005445F6" w:rsidRPr="00591C84">
        <w:rPr>
          <w:color w:val="auto"/>
          <w:sz w:val="24"/>
          <w:szCs w:val="24"/>
        </w:rPr>
        <w:t xml:space="preserve"> 1-hour focused </w:t>
      </w:r>
      <w:r w:rsidRPr="00591C84">
        <w:rPr>
          <w:color w:val="auto"/>
          <w:sz w:val="24"/>
          <w:szCs w:val="24"/>
        </w:rPr>
        <w:t>sessions include resources and best practices on Integrated Education and Training, NRS Suitable Test and Test Forms, and NRS data</w:t>
      </w:r>
      <w:r w:rsidR="005445F6" w:rsidRPr="00591C84">
        <w:rPr>
          <w:color w:val="auto"/>
          <w:sz w:val="24"/>
          <w:szCs w:val="24"/>
        </w:rPr>
        <w:t xml:space="preserve"> tables</w:t>
      </w:r>
      <w:r w:rsidRPr="00591C84">
        <w:rPr>
          <w:color w:val="auto"/>
          <w:sz w:val="24"/>
          <w:szCs w:val="24"/>
        </w:rPr>
        <w:t>.</w:t>
      </w:r>
    </w:p>
    <w:p w:rsidR="007045BC" w:rsidRPr="00591C84" w:rsidRDefault="007045BC" w:rsidP="00581469">
      <w:pPr>
        <w:pStyle w:val="Content"/>
        <w:spacing w:line="240" w:lineRule="auto"/>
        <w:ind w:left="1080"/>
        <w:rPr>
          <w:color w:val="auto"/>
          <w:sz w:val="24"/>
          <w:szCs w:val="24"/>
        </w:rPr>
      </w:pPr>
    </w:p>
    <w:p w:rsidR="00AE7861" w:rsidRPr="00591C84" w:rsidRDefault="00AE7861" w:rsidP="00581469">
      <w:pPr>
        <w:pStyle w:val="Content"/>
        <w:spacing w:line="240" w:lineRule="auto"/>
        <w:ind w:left="1080"/>
        <w:rPr>
          <w:sz w:val="24"/>
          <w:szCs w:val="24"/>
        </w:rPr>
      </w:pPr>
      <w:r w:rsidRPr="00591C84">
        <w:rPr>
          <w:color w:val="auto"/>
          <w:sz w:val="24"/>
          <w:szCs w:val="24"/>
        </w:rPr>
        <w:t xml:space="preserve">Finally, a team of two (SEA’s assistant director and dean) attended </w:t>
      </w:r>
      <w:r w:rsidR="00530591">
        <w:rPr>
          <w:color w:val="auto"/>
          <w:sz w:val="24"/>
          <w:szCs w:val="24"/>
        </w:rPr>
        <w:t xml:space="preserve">the </w:t>
      </w:r>
      <w:r w:rsidRPr="00436518">
        <w:rPr>
          <w:i/>
          <w:color w:val="auto"/>
          <w:sz w:val="24"/>
          <w:szCs w:val="24"/>
        </w:rPr>
        <w:t>2019 Conquering Your Data Challenges Conference</w:t>
      </w:r>
      <w:r w:rsidRPr="00591C84">
        <w:rPr>
          <w:color w:val="auto"/>
          <w:sz w:val="24"/>
          <w:szCs w:val="24"/>
        </w:rPr>
        <w:t xml:space="preserve"> and identified Guam’s challenge statement – </w:t>
      </w:r>
      <w:r w:rsidRPr="00591C84">
        <w:rPr>
          <w:b/>
          <w:color w:val="auto"/>
          <w:sz w:val="24"/>
          <w:szCs w:val="24"/>
        </w:rPr>
        <w:t xml:space="preserve">Student retention in </w:t>
      </w:r>
      <w:r w:rsidR="00530591">
        <w:rPr>
          <w:b/>
          <w:color w:val="auto"/>
          <w:sz w:val="24"/>
          <w:szCs w:val="24"/>
        </w:rPr>
        <w:t xml:space="preserve">the </w:t>
      </w:r>
      <w:r w:rsidRPr="00591C84">
        <w:rPr>
          <w:b/>
          <w:color w:val="auto"/>
          <w:sz w:val="24"/>
          <w:szCs w:val="24"/>
        </w:rPr>
        <w:t>program year 2018-2019 is 32.0%. Classroom enrollment is affected when students are suddenly not able to continue coming to class</w:t>
      </w:r>
      <w:r w:rsidRPr="00591C84">
        <w:rPr>
          <w:color w:val="auto"/>
          <w:sz w:val="24"/>
          <w:szCs w:val="24"/>
        </w:rPr>
        <w:t>. Subsequently</w:t>
      </w:r>
      <w:r w:rsidR="00530591">
        <w:rPr>
          <w:color w:val="auto"/>
          <w:sz w:val="24"/>
          <w:szCs w:val="24"/>
        </w:rPr>
        <w:t>,</w:t>
      </w:r>
      <w:r w:rsidRPr="00591C84">
        <w:rPr>
          <w:color w:val="auto"/>
          <w:sz w:val="24"/>
          <w:szCs w:val="24"/>
        </w:rPr>
        <w:t xml:space="preserve"> the dean rolled out the “Give us 8 to make a difference in your life” initiative requiring staff and faculty to transform their frame of mind and be </w:t>
      </w:r>
      <w:r w:rsidRPr="00591C84">
        <w:rPr>
          <w:i/>
          <w:color w:val="auto"/>
          <w:sz w:val="24"/>
          <w:szCs w:val="24"/>
        </w:rPr>
        <w:lastRenderedPageBreak/>
        <w:t>intrusive</w:t>
      </w:r>
      <w:r w:rsidRPr="00591C84">
        <w:rPr>
          <w:color w:val="auto"/>
          <w:sz w:val="24"/>
          <w:szCs w:val="24"/>
        </w:rPr>
        <w:t xml:space="preserve"> inside and outside the classroom – making a deliberate connection to each student, providing wrap</w:t>
      </w:r>
      <w:r w:rsidR="00530591">
        <w:rPr>
          <w:color w:val="auto"/>
          <w:sz w:val="24"/>
          <w:szCs w:val="24"/>
        </w:rPr>
        <w:t>-</w:t>
      </w:r>
      <w:r w:rsidRPr="00591C84">
        <w:rPr>
          <w:color w:val="auto"/>
          <w:sz w:val="24"/>
          <w:szCs w:val="24"/>
        </w:rPr>
        <w:t xml:space="preserve">around services, and tutoring. </w:t>
      </w:r>
    </w:p>
    <w:p w:rsidR="00AE7861" w:rsidRPr="00591C84" w:rsidRDefault="00AE7861" w:rsidP="006F5D1C">
      <w:pPr>
        <w:pStyle w:val="Content"/>
        <w:ind w:left="1080"/>
        <w:rPr>
          <w:color w:val="auto"/>
          <w:sz w:val="24"/>
          <w:szCs w:val="24"/>
        </w:rPr>
      </w:pPr>
    </w:p>
    <w:p w:rsidR="007045BC" w:rsidRPr="00591C84" w:rsidRDefault="007045BC" w:rsidP="006F5D1C">
      <w:pPr>
        <w:pStyle w:val="Content"/>
        <w:numPr>
          <w:ilvl w:val="0"/>
          <w:numId w:val="2"/>
        </w:numPr>
        <w:ind w:left="1080"/>
        <w:rPr>
          <w:color w:val="auto"/>
          <w:sz w:val="24"/>
          <w:szCs w:val="24"/>
        </w:rPr>
      </w:pPr>
      <w:r w:rsidRPr="00591C84">
        <w:rPr>
          <w:b/>
          <w:color w:val="auto"/>
          <w:sz w:val="24"/>
          <w:szCs w:val="24"/>
        </w:rPr>
        <w:t>Provision of technical assistance to funded eligible providers as described in section 223(1</w:t>
      </w:r>
      <w:proofErr w:type="gramStart"/>
      <w:r w:rsidRPr="00591C84">
        <w:rPr>
          <w:b/>
          <w:color w:val="auto"/>
          <w:sz w:val="24"/>
          <w:szCs w:val="24"/>
        </w:rPr>
        <w:t>)(</w:t>
      </w:r>
      <w:proofErr w:type="gramEnd"/>
      <w:r w:rsidRPr="00591C84">
        <w:rPr>
          <w:b/>
          <w:color w:val="auto"/>
          <w:sz w:val="24"/>
          <w:szCs w:val="24"/>
        </w:rPr>
        <w:t>c).</w:t>
      </w:r>
    </w:p>
    <w:p w:rsidR="00D42BF0" w:rsidRPr="00591C84" w:rsidRDefault="00361A5F" w:rsidP="00581469">
      <w:pPr>
        <w:pStyle w:val="Content"/>
        <w:spacing w:line="240" w:lineRule="auto"/>
        <w:ind w:left="1080"/>
        <w:rPr>
          <w:color w:val="auto"/>
          <w:sz w:val="24"/>
          <w:szCs w:val="24"/>
        </w:rPr>
      </w:pPr>
      <w:r w:rsidRPr="00591C84">
        <w:rPr>
          <w:color w:val="auto"/>
          <w:sz w:val="24"/>
          <w:szCs w:val="24"/>
        </w:rPr>
        <w:t>In August 2019, the Guam adult education team – to include the dean, program manager, program coordinators, and staff – attended a post-award briefing session</w:t>
      </w:r>
      <w:r w:rsidR="00EF1F89" w:rsidRPr="00591C84">
        <w:rPr>
          <w:color w:val="auto"/>
          <w:sz w:val="24"/>
          <w:szCs w:val="24"/>
        </w:rPr>
        <w:t xml:space="preserve"> facilitated by the SEA</w:t>
      </w:r>
      <w:r w:rsidRPr="00591C84">
        <w:rPr>
          <w:color w:val="auto"/>
          <w:sz w:val="24"/>
          <w:szCs w:val="24"/>
        </w:rPr>
        <w:t>.</w:t>
      </w:r>
      <w:r w:rsidR="00F644CA" w:rsidRPr="00591C84">
        <w:rPr>
          <w:color w:val="auto"/>
          <w:sz w:val="24"/>
          <w:szCs w:val="24"/>
        </w:rPr>
        <w:t xml:space="preserve"> Also in attendance was the </w:t>
      </w:r>
      <w:r w:rsidR="00D42BF0" w:rsidRPr="00591C84">
        <w:rPr>
          <w:color w:val="auto"/>
          <w:sz w:val="24"/>
          <w:szCs w:val="24"/>
        </w:rPr>
        <w:t xml:space="preserve">SEA’s </w:t>
      </w:r>
      <w:r w:rsidR="00F644CA" w:rsidRPr="00591C84">
        <w:rPr>
          <w:color w:val="auto"/>
          <w:sz w:val="24"/>
          <w:szCs w:val="24"/>
        </w:rPr>
        <w:t xml:space="preserve">federal accountant </w:t>
      </w:r>
      <w:r w:rsidR="00D42BF0" w:rsidRPr="00591C84">
        <w:rPr>
          <w:color w:val="auto"/>
          <w:sz w:val="24"/>
          <w:szCs w:val="24"/>
        </w:rPr>
        <w:t xml:space="preserve">and the procurement and inventory administrator. </w:t>
      </w:r>
    </w:p>
    <w:p w:rsidR="00D42BF0" w:rsidRPr="00591C84" w:rsidRDefault="00D42BF0" w:rsidP="00581469">
      <w:pPr>
        <w:pStyle w:val="Content"/>
        <w:spacing w:line="240" w:lineRule="auto"/>
        <w:ind w:left="1080"/>
        <w:rPr>
          <w:color w:val="auto"/>
          <w:sz w:val="24"/>
          <w:szCs w:val="24"/>
        </w:rPr>
      </w:pPr>
    </w:p>
    <w:p w:rsidR="00FD4D84" w:rsidRPr="00591C84" w:rsidRDefault="00F644CA" w:rsidP="00581469">
      <w:pPr>
        <w:pStyle w:val="Content"/>
        <w:spacing w:line="240" w:lineRule="auto"/>
        <w:ind w:left="1080"/>
        <w:rPr>
          <w:color w:val="auto"/>
          <w:sz w:val="24"/>
          <w:szCs w:val="24"/>
        </w:rPr>
      </w:pPr>
      <w:r w:rsidRPr="00591C84">
        <w:rPr>
          <w:color w:val="auto"/>
          <w:sz w:val="24"/>
          <w:szCs w:val="24"/>
        </w:rPr>
        <w:t xml:space="preserve">Packets were </w:t>
      </w:r>
      <w:r w:rsidR="00D42BF0" w:rsidRPr="00591C84">
        <w:rPr>
          <w:color w:val="auto"/>
          <w:sz w:val="24"/>
          <w:szCs w:val="24"/>
        </w:rPr>
        <w:t xml:space="preserve">distributed </w:t>
      </w:r>
      <w:r w:rsidR="007A3F70" w:rsidRPr="00591C84">
        <w:rPr>
          <w:color w:val="auto"/>
          <w:sz w:val="24"/>
          <w:szCs w:val="24"/>
        </w:rPr>
        <w:t>and to</w:t>
      </w:r>
      <w:r w:rsidR="00361A5F" w:rsidRPr="00591C84">
        <w:rPr>
          <w:color w:val="auto"/>
          <w:sz w:val="24"/>
          <w:szCs w:val="24"/>
        </w:rPr>
        <w:t xml:space="preserve"> ensure participants</w:t>
      </w:r>
      <w:r w:rsidR="000E3AFD" w:rsidRPr="00591C84">
        <w:rPr>
          <w:color w:val="auto"/>
          <w:sz w:val="24"/>
          <w:szCs w:val="24"/>
        </w:rPr>
        <w:t>’ awareness of t</w:t>
      </w:r>
      <w:r w:rsidR="005665E9" w:rsidRPr="00591C84">
        <w:rPr>
          <w:color w:val="auto"/>
          <w:sz w:val="24"/>
          <w:szCs w:val="24"/>
        </w:rPr>
        <w:t xml:space="preserve">he approved program agreement’s grants and objectives, </w:t>
      </w:r>
      <w:r w:rsidR="000E3AFD" w:rsidRPr="00591C84">
        <w:rPr>
          <w:color w:val="auto"/>
          <w:sz w:val="24"/>
          <w:szCs w:val="24"/>
        </w:rPr>
        <w:t>the program manager provided a s</w:t>
      </w:r>
      <w:r w:rsidR="00361A5F" w:rsidRPr="00591C84">
        <w:rPr>
          <w:color w:val="auto"/>
          <w:sz w:val="24"/>
          <w:szCs w:val="24"/>
        </w:rPr>
        <w:t xml:space="preserve">ynopsis </w:t>
      </w:r>
      <w:r w:rsidR="000E3AFD" w:rsidRPr="00591C84">
        <w:rPr>
          <w:color w:val="auto"/>
          <w:sz w:val="24"/>
          <w:szCs w:val="24"/>
        </w:rPr>
        <w:t>a</w:t>
      </w:r>
      <w:r w:rsidR="00361A5F" w:rsidRPr="00591C84">
        <w:rPr>
          <w:color w:val="auto"/>
          <w:sz w:val="24"/>
          <w:szCs w:val="24"/>
        </w:rPr>
        <w:t xml:space="preserve">t the onset of the session. </w:t>
      </w:r>
      <w:r w:rsidR="007A3F70" w:rsidRPr="00591C84">
        <w:rPr>
          <w:color w:val="auto"/>
          <w:sz w:val="24"/>
          <w:szCs w:val="24"/>
        </w:rPr>
        <w:t xml:space="preserve">Discussion </w:t>
      </w:r>
      <w:r w:rsidR="00EF1F89" w:rsidRPr="00591C84">
        <w:rPr>
          <w:color w:val="auto"/>
          <w:sz w:val="24"/>
          <w:szCs w:val="24"/>
        </w:rPr>
        <w:t>on agenda items e</w:t>
      </w:r>
      <w:r w:rsidR="00FD4D84" w:rsidRPr="00591C84">
        <w:rPr>
          <w:color w:val="auto"/>
          <w:sz w:val="24"/>
          <w:szCs w:val="24"/>
        </w:rPr>
        <w:t xml:space="preserve">nsued </w:t>
      </w:r>
      <w:r w:rsidR="00EF1F89" w:rsidRPr="00591C84">
        <w:rPr>
          <w:color w:val="auto"/>
          <w:sz w:val="24"/>
          <w:szCs w:val="24"/>
        </w:rPr>
        <w:t xml:space="preserve">– </w:t>
      </w:r>
      <w:r w:rsidR="00361A5F" w:rsidRPr="00591C84">
        <w:rPr>
          <w:color w:val="auto"/>
          <w:sz w:val="24"/>
          <w:szCs w:val="24"/>
        </w:rPr>
        <w:t xml:space="preserve">the </w:t>
      </w:r>
      <w:r w:rsidR="007A3F70" w:rsidRPr="00591C84">
        <w:rPr>
          <w:i/>
          <w:color w:val="auto"/>
          <w:sz w:val="24"/>
          <w:szCs w:val="24"/>
        </w:rPr>
        <w:t>Adult Education and Family Literacy Act Program State Plan for the Territory of Guam</w:t>
      </w:r>
      <w:r w:rsidR="007A3F70" w:rsidRPr="00591C84">
        <w:rPr>
          <w:color w:val="auto"/>
          <w:sz w:val="24"/>
          <w:szCs w:val="24"/>
        </w:rPr>
        <w:t>, Assessment Policy Guidelines, OMB’s Uniform Administrative Requirements, Cost Principles, and Audit Requirements for Federal Awards</w:t>
      </w:r>
      <w:r w:rsidR="00EF1F89" w:rsidRPr="00591C84">
        <w:rPr>
          <w:color w:val="auto"/>
          <w:sz w:val="24"/>
          <w:szCs w:val="24"/>
        </w:rPr>
        <w:t xml:space="preserve"> (</w:t>
      </w:r>
      <w:r w:rsidR="00FD4D84" w:rsidRPr="00591C84">
        <w:rPr>
          <w:rFonts w:eastAsia="Times New Roman" w:cs="Times New Roman"/>
          <w:color w:val="0F0F0F"/>
          <w:sz w:val="24"/>
          <w:szCs w:val="24"/>
        </w:rPr>
        <w:t>General</w:t>
      </w:r>
      <w:r w:rsidR="00FD4D84" w:rsidRPr="00591C84">
        <w:rPr>
          <w:rFonts w:eastAsia="Times New Roman" w:cs="Times New Roman"/>
          <w:color w:val="0F0F0F"/>
          <w:spacing w:val="39"/>
          <w:sz w:val="24"/>
          <w:szCs w:val="24"/>
        </w:rPr>
        <w:t xml:space="preserve"> </w:t>
      </w:r>
      <w:r w:rsidR="00FD4D84" w:rsidRPr="00591C84">
        <w:rPr>
          <w:rFonts w:eastAsia="Times New Roman" w:cs="Times New Roman"/>
          <w:color w:val="0F0F0F"/>
          <w:sz w:val="24"/>
          <w:szCs w:val="24"/>
        </w:rPr>
        <w:t>Provisions</w:t>
      </w:r>
      <w:r w:rsidR="00FD4D84" w:rsidRPr="00591C84">
        <w:rPr>
          <w:rFonts w:eastAsia="Times New Roman" w:cs="Times New Roman"/>
          <w:color w:val="0F0F0F"/>
          <w:spacing w:val="34"/>
          <w:sz w:val="24"/>
          <w:szCs w:val="24"/>
        </w:rPr>
        <w:t xml:space="preserve"> </w:t>
      </w:r>
      <w:r w:rsidR="00FD4D84" w:rsidRPr="00591C84">
        <w:rPr>
          <w:rFonts w:eastAsia="Times New Roman" w:cs="Times New Roman"/>
          <w:color w:val="0F0F0F"/>
          <w:sz w:val="24"/>
          <w:szCs w:val="24"/>
        </w:rPr>
        <w:t>for</w:t>
      </w:r>
      <w:r w:rsidR="00FD4D84" w:rsidRPr="00591C84">
        <w:rPr>
          <w:rFonts w:eastAsia="Times New Roman" w:cs="Times New Roman"/>
          <w:color w:val="0F0F0F"/>
          <w:spacing w:val="1"/>
          <w:sz w:val="24"/>
          <w:szCs w:val="24"/>
        </w:rPr>
        <w:t xml:space="preserve"> </w:t>
      </w:r>
      <w:r w:rsidR="00FD4D84" w:rsidRPr="00591C84">
        <w:rPr>
          <w:rFonts w:eastAsia="Times New Roman" w:cs="Times New Roman"/>
          <w:color w:val="0F0F0F"/>
          <w:sz w:val="24"/>
          <w:szCs w:val="24"/>
        </w:rPr>
        <w:t>Selected</w:t>
      </w:r>
      <w:r w:rsidR="00FD4D84" w:rsidRPr="00591C84">
        <w:rPr>
          <w:rFonts w:eastAsia="Times New Roman" w:cs="Times New Roman"/>
          <w:color w:val="0F0F0F"/>
          <w:spacing w:val="31"/>
          <w:sz w:val="24"/>
          <w:szCs w:val="24"/>
        </w:rPr>
        <w:t xml:space="preserve"> </w:t>
      </w:r>
      <w:r w:rsidR="00FD4D84" w:rsidRPr="00591C84">
        <w:rPr>
          <w:rFonts w:eastAsia="Times New Roman" w:cs="Times New Roman"/>
          <w:color w:val="0F0F0F"/>
          <w:sz w:val="24"/>
          <w:szCs w:val="24"/>
        </w:rPr>
        <w:t>Items</w:t>
      </w:r>
      <w:r w:rsidR="00FD4D84" w:rsidRPr="00591C84">
        <w:rPr>
          <w:rFonts w:eastAsia="Times New Roman" w:cs="Times New Roman"/>
          <w:color w:val="0F0F0F"/>
          <w:spacing w:val="20"/>
          <w:sz w:val="24"/>
          <w:szCs w:val="24"/>
        </w:rPr>
        <w:t xml:space="preserve"> </w:t>
      </w:r>
      <w:r w:rsidR="00FD4D84" w:rsidRPr="00591C84">
        <w:rPr>
          <w:rFonts w:eastAsia="Times New Roman" w:cs="Times New Roman"/>
          <w:color w:val="0F0F0F"/>
          <w:sz w:val="24"/>
          <w:szCs w:val="24"/>
        </w:rPr>
        <w:t>of</w:t>
      </w:r>
      <w:r w:rsidR="00FD4D84" w:rsidRPr="00591C84">
        <w:rPr>
          <w:rFonts w:eastAsia="Times New Roman" w:cs="Times New Roman"/>
          <w:color w:val="0F0F0F"/>
          <w:spacing w:val="-4"/>
          <w:sz w:val="24"/>
          <w:szCs w:val="24"/>
        </w:rPr>
        <w:t xml:space="preserve"> </w:t>
      </w:r>
      <w:r w:rsidR="00FD4D84" w:rsidRPr="00591C84">
        <w:rPr>
          <w:rFonts w:eastAsia="Times New Roman" w:cs="Times New Roman"/>
          <w:color w:val="0F0F0F"/>
          <w:sz w:val="24"/>
          <w:szCs w:val="24"/>
        </w:rPr>
        <w:t>Cost</w:t>
      </w:r>
      <w:r w:rsidR="00EF1F89" w:rsidRPr="00591C84">
        <w:rPr>
          <w:rFonts w:eastAsia="Times New Roman" w:cs="Times New Roman"/>
          <w:color w:val="0F0F0F"/>
          <w:sz w:val="24"/>
          <w:szCs w:val="24"/>
        </w:rPr>
        <w:t xml:space="preserve">, </w:t>
      </w:r>
      <w:r w:rsidR="00FD4D84" w:rsidRPr="00591C84">
        <w:rPr>
          <w:rFonts w:eastAsia="Times New Roman" w:cs="Times New Roman"/>
          <w:color w:val="0F0F0F"/>
          <w:sz w:val="24"/>
          <w:szCs w:val="24"/>
        </w:rPr>
        <w:t>§200.420-§200.475</w:t>
      </w:r>
      <w:r w:rsidR="007A3F70" w:rsidRPr="00591C84">
        <w:rPr>
          <w:color w:val="auto"/>
          <w:sz w:val="24"/>
          <w:szCs w:val="24"/>
        </w:rPr>
        <w:t xml:space="preserve">), </w:t>
      </w:r>
      <w:r w:rsidR="00EF1F89" w:rsidRPr="00591C84">
        <w:rPr>
          <w:color w:val="auto"/>
          <w:sz w:val="24"/>
          <w:szCs w:val="24"/>
        </w:rPr>
        <w:t xml:space="preserve">SEA award </w:t>
      </w:r>
      <w:r w:rsidR="00FD4D84" w:rsidRPr="00591C84">
        <w:rPr>
          <w:color w:val="auto"/>
          <w:sz w:val="24"/>
          <w:szCs w:val="24"/>
        </w:rPr>
        <w:t>letter, project description (abstract), Work Schedule Plan to realized goals and objectives, project outcomes, approved budget, transfer authority, procurement procedures, encumbrance timeline, requirement reports (Cumulative Monthly Activity Report, State Monthly Report, Data Integrity Detail Report, Time and Effort Certification, and Close-Out Report (narrative, budget, and inventory).</w:t>
      </w:r>
    </w:p>
    <w:p w:rsidR="007045BC" w:rsidRPr="00591C84" w:rsidRDefault="007045BC" w:rsidP="00581469">
      <w:pPr>
        <w:pStyle w:val="Content"/>
        <w:spacing w:line="240" w:lineRule="auto"/>
        <w:ind w:left="1080"/>
        <w:rPr>
          <w:color w:val="auto"/>
          <w:sz w:val="24"/>
          <w:szCs w:val="24"/>
        </w:rPr>
      </w:pPr>
    </w:p>
    <w:p w:rsidR="008C5CE0" w:rsidRPr="00591C84" w:rsidRDefault="008C5CE0" w:rsidP="00581469">
      <w:pPr>
        <w:pStyle w:val="Content"/>
        <w:spacing w:line="240" w:lineRule="auto"/>
        <w:ind w:left="1080"/>
        <w:rPr>
          <w:color w:val="auto"/>
          <w:sz w:val="24"/>
          <w:szCs w:val="24"/>
        </w:rPr>
      </w:pPr>
      <w:r w:rsidRPr="00591C84">
        <w:rPr>
          <w:color w:val="auto"/>
          <w:sz w:val="24"/>
          <w:szCs w:val="24"/>
        </w:rPr>
        <w:t xml:space="preserve">The State Education Agency provides information on proven or promising practices through focused 1-hour Exploring WIOA, Title II sessions. Most recently, participants of the November 2019 Exploring WIOA, Title II were again provided resources to further the development of Guam’s Integrated Education and Training (IET) program. </w:t>
      </w:r>
      <w:r w:rsidR="007268BF" w:rsidRPr="00591C84">
        <w:rPr>
          <w:color w:val="auto"/>
          <w:sz w:val="24"/>
          <w:szCs w:val="24"/>
        </w:rPr>
        <w:t>P</w:t>
      </w:r>
      <w:r w:rsidRPr="00591C84">
        <w:rPr>
          <w:color w:val="auto"/>
          <w:sz w:val="24"/>
          <w:szCs w:val="24"/>
        </w:rPr>
        <w:t>articipants view</w:t>
      </w:r>
      <w:r w:rsidR="007268BF" w:rsidRPr="00591C84">
        <w:rPr>
          <w:color w:val="auto"/>
          <w:sz w:val="24"/>
          <w:szCs w:val="24"/>
        </w:rPr>
        <w:t>ed and discussed</w:t>
      </w:r>
      <w:r w:rsidRPr="00591C84">
        <w:rPr>
          <w:color w:val="auto"/>
          <w:sz w:val="24"/>
          <w:szCs w:val="24"/>
        </w:rPr>
        <w:t xml:space="preserve"> a COABE video, </w:t>
      </w:r>
      <w:r w:rsidRPr="00436518">
        <w:rPr>
          <w:i/>
          <w:color w:val="auto"/>
          <w:sz w:val="24"/>
          <w:szCs w:val="24"/>
        </w:rPr>
        <w:t>Planning for Integrated Education and Training: Tips and Tools</w:t>
      </w:r>
      <w:r w:rsidR="007268BF" w:rsidRPr="00436518">
        <w:rPr>
          <w:i/>
          <w:color w:val="auto"/>
          <w:sz w:val="24"/>
          <w:szCs w:val="24"/>
        </w:rPr>
        <w:t>,</w:t>
      </w:r>
      <w:r w:rsidRPr="00436518">
        <w:rPr>
          <w:i/>
          <w:color w:val="auto"/>
          <w:sz w:val="24"/>
          <w:szCs w:val="24"/>
        </w:rPr>
        <w:t xml:space="preserve"> October 4, 2019 Webinar</w:t>
      </w:r>
      <w:r w:rsidRPr="00591C84">
        <w:rPr>
          <w:color w:val="auto"/>
          <w:sz w:val="24"/>
          <w:szCs w:val="24"/>
        </w:rPr>
        <w:t xml:space="preserve"> and handouts </w:t>
      </w:r>
      <w:r w:rsidR="007268BF" w:rsidRPr="00591C84">
        <w:rPr>
          <w:color w:val="auto"/>
          <w:sz w:val="24"/>
          <w:szCs w:val="24"/>
        </w:rPr>
        <w:t>(</w:t>
      </w:r>
      <w:r w:rsidRPr="00591C84">
        <w:rPr>
          <w:color w:val="auto"/>
          <w:sz w:val="24"/>
          <w:szCs w:val="24"/>
        </w:rPr>
        <w:t>Integrated Education and Training Checklist and Foundation Skills Framework Resources</w:t>
      </w:r>
      <w:r w:rsidR="007268BF" w:rsidRPr="00591C84">
        <w:rPr>
          <w:color w:val="auto"/>
          <w:sz w:val="24"/>
          <w:szCs w:val="24"/>
        </w:rPr>
        <w:t>)</w:t>
      </w:r>
      <w:r w:rsidRPr="00591C84">
        <w:rPr>
          <w:color w:val="auto"/>
          <w:sz w:val="24"/>
          <w:szCs w:val="24"/>
        </w:rPr>
        <w:t xml:space="preserve">. The </w:t>
      </w:r>
      <w:r w:rsidR="007268BF" w:rsidRPr="00591C84">
        <w:rPr>
          <w:color w:val="auto"/>
          <w:sz w:val="24"/>
          <w:szCs w:val="24"/>
        </w:rPr>
        <w:t xml:space="preserve">session closed with highlights on </w:t>
      </w:r>
      <w:r w:rsidRPr="00591C84">
        <w:rPr>
          <w:color w:val="auto"/>
          <w:sz w:val="24"/>
          <w:szCs w:val="24"/>
        </w:rPr>
        <w:t xml:space="preserve">three required IET components – adult education activities and workforce preparation activities and workforce training. </w:t>
      </w:r>
      <w:r w:rsidR="00AE7861" w:rsidRPr="00591C84">
        <w:rPr>
          <w:color w:val="auto"/>
          <w:sz w:val="24"/>
          <w:szCs w:val="24"/>
        </w:rPr>
        <w:t xml:space="preserve"> </w:t>
      </w:r>
      <w:r w:rsidRPr="00591C84">
        <w:rPr>
          <w:color w:val="auto"/>
          <w:sz w:val="24"/>
          <w:szCs w:val="24"/>
        </w:rPr>
        <w:t>The October 2019 Exploring WIOA, Title II session discussed each of the NRS Tables, compared 2018-2019 to 2017-2018 data, and trends.</w:t>
      </w:r>
    </w:p>
    <w:p w:rsidR="008C5CE0" w:rsidRPr="00591C84" w:rsidRDefault="008C5CE0" w:rsidP="00581469">
      <w:pPr>
        <w:pStyle w:val="Content"/>
        <w:spacing w:line="240" w:lineRule="auto"/>
        <w:ind w:left="1080"/>
        <w:rPr>
          <w:color w:val="auto"/>
          <w:sz w:val="24"/>
          <w:szCs w:val="24"/>
        </w:rPr>
      </w:pPr>
    </w:p>
    <w:p w:rsidR="00240D0A" w:rsidRPr="00591C84" w:rsidRDefault="00EF1F89" w:rsidP="00581469">
      <w:pPr>
        <w:pStyle w:val="Content"/>
        <w:spacing w:line="240" w:lineRule="auto"/>
        <w:ind w:left="1080"/>
        <w:rPr>
          <w:color w:val="auto"/>
          <w:sz w:val="24"/>
          <w:szCs w:val="24"/>
        </w:rPr>
      </w:pPr>
      <w:r w:rsidRPr="00591C84">
        <w:rPr>
          <w:color w:val="auto"/>
          <w:sz w:val="24"/>
          <w:szCs w:val="24"/>
        </w:rPr>
        <w:t>The SEA staff conti</w:t>
      </w:r>
      <w:r w:rsidR="007268BF" w:rsidRPr="00591C84">
        <w:rPr>
          <w:color w:val="auto"/>
          <w:sz w:val="24"/>
          <w:szCs w:val="24"/>
        </w:rPr>
        <w:t xml:space="preserve">nuously </w:t>
      </w:r>
      <w:r w:rsidRPr="00591C84">
        <w:rPr>
          <w:color w:val="auto"/>
          <w:sz w:val="24"/>
          <w:szCs w:val="24"/>
        </w:rPr>
        <w:t>respond</w:t>
      </w:r>
      <w:r w:rsidR="007268BF" w:rsidRPr="00591C84">
        <w:rPr>
          <w:color w:val="auto"/>
          <w:sz w:val="24"/>
          <w:szCs w:val="24"/>
        </w:rPr>
        <w:t>s</w:t>
      </w:r>
      <w:r w:rsidRPr="00591C84">
        <w:rPr>
          <w:color w:val="auto"/>
          <w:sz w:val="24"/>
          <w:szCs w:val="24"/>
        </w:rPr>
        <w:t xml:space="preserve"> to emails to clarify processes and procedures. Impromptu meetings with the program manager and or the dean are held to ensure the success of planned activities. </w:t>
      </w:r>
    </w:p>
    <w:p w:rsidR="00EF1F89" w:rsidRPr="00591C84" w:rsidRDefault="00EF1F89" w:rsidP="006F5D1C">
      <w:pPr>
        <w:pStyle w:val="Content"/>
        <w:ind w:left="1080"/>
        <w:rPr>
          <w:color w:val="auto"/>
          <w:sz w:val="24"/>
          <w:szCs w:val="24"/>
        </w:rPr>
      </w:pPr>
    </w:p>
    <w:p w:rsidR="007045BC" w:rsidRPr="00591C84" w:rsidRDefault="007045BC" w:rsidP="006F5D1C">
      <w:pPr>
        <w:pStyle w:val="Content"/>
        <w:numPr>
          <w:ilvl w:val="0"/>
          <w:numId w:val="2"/>
        </w:numPr>
        <w:ind w:left="1080"/>
        <w:rPr>
          <w:b/>
          <w:color w:val="auto"/>
          <w:sz w:val="24"/>
          <w:szCs w:val="24"/>
        </w:rPr>
      </w:pPr>
      <w:r w:rsidRPr="00591C84">
        <w:rPr>
          <w:b/>
          <w:color w:val="auto"/>
          <w:sz w:val="24"/>
          <w:szCs w:val="24"/>
        </w:rPr>
        <w:t>Monitoring and evaluation of the quality and improvement of adult education activities as described in section 223(1</w:t>
      </w:r>
      <w:proofErr w:type="gramStart"/>
      <w:r w:rsidRPr="00591C84">
        <w:rPr>
          <w:b/>
          <w:color w:val="auto"/>
          <w:sz w:val="24"/>
          <w:szCs w:val="24"/>
        </w:rPr>
        <w:t>)(</w:t>
      </w:r>
      <w:proofErr w:type="gramEnd"/>
      <w:r w:rsidRPr="00591C84">
        <w:rPr>
          <w:b/>
          <w:color w:val="auto"/>
          <w:sz w:val="24"/>
          <w:szCs w:val="24"/>
        </w:rPr>
        <w:t>d).</w:t>
      </w:r>
    </w:p>
    <w:p w:rsidR="001A7585" w:rsidRPr="00591C84" w:rsidRDefault="001A7585" w:rsidP="00581469">
      <w:pPr>
        <w:pStyle w:val="Content"/>
        <w:spacing w:line="240" w:lineRule="auto"/>
        <w:ind w:left="1080"/>
        <w:rPr>
          <w:color w:val="auto"/>
          <w:sz w:val="24"/>
          <w:szCs w:val="24"/>
        </w:rPr>
      </w:pPr>
      <w:r w:rsidRPr="00591C84">
        <w:rPr>
          <w:color w:val="auto"/>
          <w:sz w:val="24"/>
          <w:szCs w:val="24"/>
        </w:rPr>
        <w:t xml:space="preserve">The program manager submits a Cumulative Monthly Activity Report to the SEA. The report provides information on </w:t>
      </w:r>
      <w:r w:rsidR="00CD1D00" w:rsidRPr="00591C84">
        <w:rPr>
          <w:color w:val="auto"/>
          <w:sz w:val="24"/>
          <w:szCs w:val="24"/>
        </w:rPr>
        <w:t xml:space="preserve">the program agreement’s Work Schedule Plan </w:t>
      </w:r>
      <w:r w:rsidRPr="00591C84">
        <w:rPr>
          <w:color w:val="auto"/>
          <w:sz w:val="24"/>
          <w:szCs w:val="24"/>
        </w:rPr>
        <w:lastRenderedPageBreak/>
        <w:t xml:space="preserve">activities </w:t>
      </w:r>
      <w:r w:rsidR="00CD1D00" w:rsidRPr="00591C84">
        <w:rPr>
          <w:color w:val="auto"/>
          <w:sz w:val="24"/>
          <w:szCs w:val="24"/>
        </w:rPr>
        <w:t>carried out during the reporting month</w:t>
      </w:r>
      <w:r w:rsidRPr="00591C84">
        <w:rPr>
          <w:color w:val="auto"/>
          <w:sz w:val="24"/>
          <w:szCs w:val="24"/>
        </w:rPr>
        <w:t xml:space="preserve">. </w:t>
      </w:r>
      <w:r w:rsidR="00500E09" w:rsidRPr="00591C84">
        <w:rPr>
          <w:color w:val="auto"/>
          <w:sz w:val="24"/>
          <w:szCs w:val="24"/>
        </w:rPr>
        <w:t>Evaluating the report’s content and progress</w:t>
      </w:r>
      <w:r w:rsidR="00CD1D00" w:rsidRPr="00591C84">
        <w:rPr>
          <w:color w:val="auto"/>
          <w:sz w:val="24"/>
          <w:szCs w:val="24"/>
        </w:rPr>
        <w:t xml:space="preserve"> (Work Schedule Plan)</w:t>
      </w:r>
      <w:r w:rsidR="00500E09" w:rsidRPr="00591C84">
        <w:rPr>
          <w:color w:val="auto"/>
          <w:sz w:val="24"/>
          <w:szCs w:val="24"/>
        </w:rPr>
        <w:t xml:space="preserve">, comments and/or observations are expressed to the program manager as appropriate. </w:t>
      </w:r>
      <w:r w:rsidRPr="00591C84">
        <w:rPr>
          <w:color w:val="auto"/>
          <w:sz w:val="24"/>
          <w:szCs w:val="24"/>
        </w:rPr>
        <w:t xml:space="preserve">Monitoring </w:t>
      </w:r>
      <w:r w:rsidR="00CD1D00" w:rsidRPr="00591C84">
        <w:rPr>
          <w:color w:val="auto"/>
          <w:sz w:val="24"/>
          <w:szCs w:val="24"/>
        </w:rPr>
        <w:t xml:space="preserve">activities, data (Data Integrity Detail Report) </w:t>
      </w:r>
      <w:r w:rsidR="00500E09" w:rsidRPr="00591C84">
        <w:rPr>
          <w:color w:val="auto"/>
          <w:sz w:val="24"/>
          <w:szCs w:val="24"/>
        </w:rPr>
        <w:t xml:space="preserve">and evaluating </w:t>
      </w:r>
      <w:r w:rsidRPr="00591C84">
        <w:rPr>
          <w:color w:val="auto"/>
          <w:sz w:val="24"/>
          <w:szCs w:val="24"/>
        </w:rPr>
        <w:t xml:space="preserve">program activities are also achieved through </w:t>
      </w:r>
      <w:r w:rsidR="00B86D1A" w:rsidRPr="00591C84">
        <w:rPr>
          <w:color w:val="auto"/>
          <w:sz w:val="24"/>
          <w:szCs w:val="24"/>
        </w:rPr>
        <w:t>emails, v</w:t>
      </w:r>
      <w:r w:rsidRPr="00591C84">
        <w:rPr>
          <w:color w:val="auto"/>
          <w:sz w:val="24"/>
          <w:szCs w:val="24"/>
        </w:rPr>
        <w:t>isits</w:t>
      </w:r>
      <w:r w:rsidR="00B86D1A" w:rsidRPr="00591C84">
        <w:rPr>
          <w:color w:val="auto"/>
          <w:sz w:val="24"/>
          <w:szCs w:val="24"/>
        </w:rPr>
        <w:t>,</w:t>
      </w:r>
      <w:r w:rsidR="00500E09" w:rsidRPr="00591C84">
        <w:rPr>
          <w:color w:val="auto"/>
          <w:sz w:val="24"/>
          <w:szCs w:val="24"/>
        </w:rPr>
        <w:t xml:space="preserve"> and training sessions</w:t>
      </w:r>
      <w:r w:rsidRPr="00591C84">
        <w:rPr>
          <w:color w:val="auto"/>
          <w:sz w:val="24"/>
          <w:szCs w:val="24"/>
        </w:rPr>
        <w:t>.</w:t>
      </w:r>
    </w:p>
    <w:p w:rsidR="001A7585" w:rsidRPr="00591C84" w:rsidRDefault="001A7585" w:rsidP="00581469">
      <w:pPr>
        <w:pStyle w:val="Content"/>
        <w:spacing w:line="240" w:lineRule="auto"/>
        <w:ind w:left="1080"/>
        <w:rPr>
          <w:color w:val="auto"/>
          <w:sz w:val="24"/>
          <w:szCs w:val="24"/>
        </w:rPr>
      </w:pPr>
    </w:p>
    <w:p w:rsidR="00064FD6" w:rsidRPr="00591C84" w:rsidRDefault="00613363" w:rsidP="00581469">
      <w:pPr>
        <w:pStyle w:val="Content"/>
        <w:spacing w:line="240" w:lineRule="auto"/>
        <w:ind w:left="1080"/>
        <w:rPr>
          <w:color w:val="auto"/>
          <w:sz w:val="24"/>
          <w:szCs w:val="24"/>
        </w:rPr>
      </w:pPr>
      <w:r w:rsidRPr="00591C84">
        <w:rPr>
          <w:color w:val="auto"/>
          <w:sz w:val="24"/>
          <w:szCs w:val="24"/>
        </w:rPr>
        <w:t xml:space="preserve">The </w:t>
      </w:r>
      <w:r w:rsidR="00500E09" w:rsidRPr="00591C84">
        <w:rPr>
          <w:color w:val="auto"/>
          <w:sz w:val="24"/>
          <w:szCs w:val="24"/>
        </w:rPr>
        <w:t xml:space="preserve">SEA’s </w:t>
      </w:r>
      <w:r w:rsidRPr="00591C84">
        <w:rPr>
          <w:color w:val="auto"/>
          <w:sz w:val="24"/>
          <w:szCs w:val="24"/>
        </w:rPr>
        <w:t xml:space="preserve">focused 1-hour Exploring WIOA, Title II </w:t>
      </w:r>
      <w:r w:rsidR="00064FD6" w:rsidRPr="00591C84">
        <w:rPr>
          <w:color w:val="auto"/>
          <w:sz w:val="24"/>
          <w:szCs w:val="24"/>
        </w:rPr>
        <w:t xml:space="preserve">sessions </w:t>
      </w:r>
      <w:r w:rsidR="00ED198E" w:rsidRPr="00591C84">
        <w:rPr>
          <w:color w:val="auto"/>
          <w:sz w:val="24"/>
          <w:szCs w:val="24"/>
        </w:rPr>
        <w:t xml:space="preserve">proved to be beneficial. </w:t>
      </w:r>
      <w:r w:rsidR="00B86D1A" w:rsidRPr="00591C84">
        <w:rPr>
          <w:color w:val="auto"/>
          <w:sz w:val="24"/>
          <w:szCs w:val="24"/>
        </w:rPr>
        <w:t>Adult education s</w:t>
      </w:r>
      <w:r w:rsidRPr="00591C84">
        <w:rPr>
          <w:color w:val="auto"/>
          <w:sz w:val="24"/>
          <w:szCs w:val="24"/>
        </w:rPr>
        <w:t>taff are embracing the need to place l</w:t>
      </w:r>
      <w:r w:rsidR="00ED198E" w:rsidRPr="00591C84">
        <w:rPr>
          <w:color w:val="auto"/>
          <w:sz w:val="24"/>
          <w:szCs w:val="24"/>
        </w:rPr>
        <w:t xml:space="preserve">earners </w:t>
      </w:r>
      <w:r w:rsidR="00064FD6" w:rsidRPr="00591C84">
        <w:rPr>
          <w:color w:val="auto"/>
          <w:sz w:val="24"/>
          <w:szCs w:val="24"/>
        </w:rPr>
        <w:t xml:space="preserve">in </w:t>
      </w:r>
      <w:r w:rsidR="00ED198E" w:rsidRPr="00591C84">
        <w:rPr>
          <w:color w:val="auto"/>
          <w:sz w:val="24"/>
          <w:szCs w:val="24"/>
        </w:rPr>
        <w:t xml:space="preserve">the </w:t>
      </w:r>
      <w:r w:rsidR="00064FD6" w:rsidRPr="00591C84">
        <w:rPr>
          <w:color w:val="auto"/>
          <w:sz w:val="24"/>
          <w:szCs w:val="24"/>
        </w:rPr>
        <w:t xml:space="preserve">appropriate </w:t>
      </w:r>
      <w:r w:rsidR="00ED198E" w:rsidRPr="00591C84">
        <w:rPr>
          <w:color w:val="auto"/>
          <w:sz w:val="24"/>
          <w:szCs w:val="24"/>
        </w:rPr>
        <w:t xml:space="preserve">adult education </w:t>
      </w:r>
      <w:r w:rsidR="00064FD6" w:rsidRPr="00591C84">
        <w:rPr>
          <w:color w:val="auto"/>
          <w:sz w:val="24"/>
          <w:szCs w:val="24"/>
        </w:rPr>
        <w:t xml:space="preserve">program and class as evident in the slight increase in the number of those who achieved at least one EFL gain </w:t>
      </w:r>
      <w:r w:rsidR="00B86D1A" w:rsidRPr="00591C84">
        <w:rPr>
          <w:color w:val="auto"/>
          <w:sz w:val="24"/>
          <w:szCs w:val="24"/>
        </w:rPr>
        <w:t>–</w:t>
      </w:r>
      <w:r w:rsidR="00064FD6" w:rsidRPr="00591C84">
        <w:rPr>
          <w:color w:val="auto"/>
          <w:sz w:val="24"/>
          <w:szCs w:val="24"/>
        </w:rPr>
        <w:t xml:space="preserve">50.27% 2017-2018 </w:t>
      </w:r>
      <w:r w:rsidR="00B86D1A" w:rsidRPr="00591C84">
        <w:rPr>
          <w:color w:val="auto"/>
          <w:sz w:val="24"/>
          <w:szCs w:val="24"/>
        </w:rPr>
        <w:t xml:space="preserve">compared to </w:t>
      </w:r>
      <w:r w:rsidR="00064FD6" w:rsidRPr="00591C84">
        <w:rPr>
          <w:color w:val="auto"/>
          <w:sz w:val="24"/>
          <w:szCs w:val="24"/>
        </w:rPr>
        <w:t>50.80% 2018-2019).</w:t>
      </w:r>
      <w:r w:rsidR="00ED198E" w:rsidRPr="00591C84">
        <w:rPr>
          <w:color w:val="auto"/>
          <w:sz w:val="24"/>
          <w:szCs w:val="24"/>
        </w:rPr>
        <w:t xml:space="preserve"> The number remaining in a program without measurable skill gain also decreased during this same period </w:t>
      </w:r>
      <w:r w:rsidR="00B86D1A" w:rsidRPr="00591C84">
        <w:rPr>
          <w:color w:val="auto"/>
          <w:sz w:val="24"/>
          <w:szCs w:val="24"/>
        </w:rPr>
        <w:t xml:space="preserve">– from </w:t>
      </w:r>
      <w:r w:rsidR="00ED198E" w:rsidRPr="00591C84">
        <w:rPr>
          <w:color w:val="auto"/>
          <w:sz w:val="24"/>
          <w:szCs w:val="24"/>
        </w:rPr>
        <w:t xml:space="preserve">24.73% 2017-2018 </w:t>
      </w:r>
      <w:r w:rsidR="00B86D1A" w:rsidRPr="00591C84">
        <w:rPr>
          <w:color w:val="auto"/>
          <w:sz w:val="24"/>
          <w:szCs w:val="24"/>
        </w:rPr>
        <w:t xml:space="preserve">to </w:t>
      </w:r>
      <w:r w:rsidR="00ED198E" w:rsidRPr="00591C84">
        <w:rPr>
          <w:color w:val="auto"/>
          <w:sz w:val="24"/>
          <w:szCs w:val="24"/>
        </w:rPr>
        <w:t>21.86% 2018-2019.</w:t>
      </w:r>
    </w:p>
    <w:p w:rsidR="0083443F" w:rsidRPr="00591C84" w:rsidRDefault="0083443F" w:rsidP="006F5D1C">
      <w:pPr>
        <w:pStyle w:val="Content"/>
        <w:ind w:left="1080"/>
        <w:rPr>
          <w:color w:val="auto"/>
          <w:sz w:val="24"/>
          <w:szCs w:val="24"/>
        </w:rPr>
      </w:pPr>
    </w:p>
    <w:p w:rsidR="0083443F" w:rsidRPr="006F5D1C" w:rsidRDefault="002F07FF" w:rsidP="006F5D1C">
      <w:pPr>
        <w:pStyle w:val="Content"/>
        <w:ind w:left="1080"/>
        <w:rPr>
          <w:color w:val="auto"/>
          <w:sz w:val="24"/>
          <w:szCs w:val="24"/>
        </w:rPr>
      </w:pPr>
      <w:r w:rsidRPr="002F07FF">
        <w:rPr>
          <w:noProof/>
        </w:rPr>
        <w:drawing>
          <wp:inline distT="0" distB="0" distL="0" distR="0">
            <wp:extent cx="5501640" cy="1351280"/>
            <wp:effectExtent l="0" t="0" r="381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01640" cy="1351280"/>
                    </a:xfrm>
                    <a:prstGeom prst="rect">
                      <a:avLst/>
                    </a:prstGeom>
                    <a:noFill/>
                    <a:ln>
                      <a:noFill/>
                    </a:ln>
                  </pic:spPr>
                </pic:pic>
              </a:graphicData>
            </a:graphic>
          </wp:inline>
        </w:drawing>
      </w:r>
    </w:p>
    <w:p w:rsidR="0006637F" w:rsidRPr="006F5D1C" w:rsidRDefault="0006637F" w:rsidP="006F5D1C">
      <w:pPr>
        <w:pStyle w:val="Content"/>
        <w:ind w:left="1080"/>
        <w:rPr>
          <w:color w:val="auto"/>
          <w:sz w:val="24"/>
          <w:szCs w:val="24"/>
        </w:rPr>
      </w:pPr>
    </w:p>
    <w:p w:rsidR="007045BC" w:rsidRDefault="007045BC" w:rsidP="00500E09">
      <w:pPr>
        <w:pStyle w:val="Content"/>
        <w:numPr>
          <w:ilvl w:val="0"/>
          <w:numId w:val="1"/>
        </w:numPr>
        <w:rPr>
          <w:b/>
          <w:color w:val="auto"/>
          <w:sz w:val="24"/>
          <w:szCs w:val="24"/>
        </w:rPr>
      </w:pPr>
      <w:r w:rsidRPr="006F5D1C">
        <w:rPr>
          <w:b/>
          <w:color w:val="auto"/>
          <w:sz w:val="24"/>
          <w:szCs w:val="24"/>
        </w:rPr>
        <w:t>As applicable, describe how Guam has used funds for additional permissible activities described in section 223(a</w:t>
      </w:r>
      <w:proofErr w:type="gramStart"/>
      <w:r w:rsidRPr="006F5D1C">
        <w:rPr>
          <w:b/>
          <w:color w:val="auto"/>
          <w:sz w:val="24"/>
          <w:szCs w:val="24"/>
        </w:rPr>
        <w:t>)(</w:t>
      </w:r>
      <w:proofErr w:type="gramEnd"/>
      <w:r w:rsidRPr="006F5D1C">
        <w:rPr>
          <w:b/>
          <w:color w:val="auto"/>
          <w:sz w:val="24"/>
          <w:szCs w:val="24"/>
        </w:rPr>
        <w:t xml:space="preserve">2). </w:t>
      </w:r>
    </w:p>
    <w:p w:rsidR="00500E09" w:rsidRPr="00500E09" w:rsidRDefault="00500E09" w:rsidP="00500E09">
      <w:pPr>
        <w:pStyle w:val="Content"/>
        <w:ind w:left="1080"/>
        <w:rPr>
          <w:b/>
          <w:color w:val="auto"/>
          <w:sz w:val="24"/>
          <w:szCs w:val="24"/>
        </w:rPr>
      </w:pPr>
      <w:r>
        <w:rPr>
          <w:rFonts w:ascii="Calibri" w:hAnsi="Calibri"/>
          <w:color w:val="auto"/>
          <w:sz w:val="24"/>
          <w:szCs w:val="24"/>
        </w:rPr>
        <w:t xml:space="preserve">Not applicable during this reporting year. </w:t>
      </w:r>
    </w:p>
    <w:p w:rsidR="00500E09" w:rsidRPr="006F5D1C" w:rsidRDefault="00500E09" w:rsidP="00500E09">
      <w:pPr>
        <w:pStyle w:val="Content"/>
        <w:ind w:left="1080"/>
        <w:rPr>
          <w:b/>
          <w:color w:val="auto"/>
          <w:sz w:val="24"/>
          <w:szCs w:val="24"/>
        </w:rPr>
      </w:pPr>
    </w:p>
    <w:p w:rsidR="007045BC" w:rsidRPr="006F5D1C" w:rsidRDefault="007045BC" w:rsidP="006F5D1C">
      <w:pPr>
        <w:pStyle w:val="Content"/>
        <w:numPr>
          <w:ilvl w:val="0"/>
          <w:numId w:val="3"/>
        </w:numPr>
        <w:ind w:left="360"/>
        <w:rPr>
          <w:b/>
          <w:smallCaps/>
          <w:color w:val="auto"/>
          <w:spacing w:val="40"/>
          <w:sz w:val="24"/>
          <w:szCs w:val="24"/>
        </w:rPr>
      </w:pPr>
      <w:r w:rsidRPr="006F5D1C">
        <w:rPr>
          <w:b/>
          <w:smallCaps/>
          <w:color w:val="auto"/>
          <w:spacing w:val="40"/>
          <w:sz w:val="24"/>
          <w:szCs w:val="24"/>
        </w:rPr>
        <w:t>Performance Data Analysis</w:t>
      </w:r>
    </w:p>
    <w:p w:rsidR="007045BC" w:rsidRDefault="007045BC" w:rsidP="006F5D1C">
      <w:pPr>
        <w:pStyle w:val="Content"/>
        <w:ind w:left="720"/>
        <w:rPr>
          <w:b/>
          <w:color w:val="auto"/>
          <w:sz w:val="24"/>
          <w:szCs w:val="24"/>
        </w:rPr>
      </w:pPr>
      <w:r w:rsidRPr="006F5D1C">
        <w:rPr>
          <w:b/>
          <w:color w:val="auto"/>
          <w:sz w:val="24"/>
          <w:szCs w:val="24"/>
        </w:rPr>
        <w:t>Describe how the adult education program performed in the overall assessment of core programs based on the core indicators of performance. Discuss how the assessment was used to improve quality and effectiveness of the funded eligible providers and any plans to further increase performance in future reporting years.</w:t>
      </w:r>
    </w:p>
    <w:p w:rsidR="00B86D1A" w:rsidRDefault="006E55F1" w:rsidP="00581469">
      <w:pPr>
        <w:pStyle w:val="Content"/>
        <w:spacing w:line="240" w:lineRule="auto"/>
        <w:ind w:left="720"/>
        <w:rPr>
          <w:color w:val="auto"/>
          <w:sz w:val="24"/>
          <w:szCs w:val="24"/>
        </w:rPr>
      </w:pPr>
      <w:r>
        <w:rPr>
          <w:color w:val="auto"/>
          <w:sz w:val="24"/>
          <w:szCs w:val="24"/>
        </w:rPr>
        <w:t xml:space="preserve">During this </w:t>
      </w:r>
      <w:r w:rsidR="00B86D1A">
        <w:rPr>
          <w:color w:val="auto"/>
          <w:sz w:val="24"/>
          <w:szCs w:val="24"/>
        </w:rPr>
        <w:t xml:space="preserve">reporting period, </w:t>
      </w:r>
      <w:r>
        <w:rPr>
          <w:color w:val="auto"/>
          <w:sz w:val="24"/>
          <w:szCs w:val="24"/>
        </w:rPr>
        <w:t xml:space="preserve">311 participants </w:t>
      </w:r>
      <w:r w:rsidR="00AE7861">
        <w:rPr>
          <w:color w:val="auto"/>
          <w:sz w:val="24"/>
          <w:szCs w:val="24"/>
        </w:rPr>
        <w:t xml:space="preserve">acquired </w:t>
      </w:r>
      <w:r>
        <w:rPr>
          <w:color w:val="auto"/>
          <w:sz w:val="24"/>
          <w:szCs w:val="24"/>
        </w:rPr>
        <w:t xml:space="preserve">at least 12 hours of instruction and 456 reportable individuals in </w:t>
      </w:r>
      <w:r w:rsidR="00B86D1A">
        <w:rPr>
          <w:color w:val="auto"/>
          <w:sz w:val="24"/>
          <w:szCs w:val="24"/>
        </w:rPr>
        <w:t xml:space="preserve">Guam’s </w:t>
      </w:r>
      <w:r>
        <w:rPr>
          <w:color w:val="auto"/>
          <w:sz w:val="24"/>
          <w:szCs w:val="24"/>
        </w:rPr>
        <w:t xml:space="preserve">adult education program. </w:t>
      </w:r>
      <w:r w:rsidR="00145554">
        <w:rPr>
          <w:color w:val="auto"/>
          <w:sz w:val="24"/>
          <w:szCs w:val="24"/>
        </w:rPr>
        <w:t xml:space="preserve">The ethnicity of Guam’s </w:t>
      </w:r>
      <w:r w:rsidR="00B660DC">
        <w:rPr>
          <w:color w:val="auto"/>
          <w:sz w:val="24"/>
          <w:szCs w:val="24"/>
        </w:rPr>
        <w:t xml:space="preserve">participants </w:t>
      </w:r>
      <w:r w:rsidR="00145554">
        <w:rPr>
          <w:color w:val="auto"/>
          <w:sz w:val="24"/>
          <w:szCs w:val="24"/>
        </w:rPr>
        <w:t xml:space="preserve">(311) </w:t>
      </w:r>
      <w:r w:rsidR="00AE7861">
        <w:rPr>
          <w:color w:val="auto"/>
          <w:sz w:val="24"/>
          <w:szCs w:val="24"/>
        </w:rPr>
        <w:t xml:space="preserve">is </w:t>
      </w:r>
      <w:r w:rsidR="00145554">
        <w:rPr>
          <w:color w:val="auto"/>
          <w:sz w:val="24"/>
          <w:szCs w:val="24"/>
        </w:rPr>
        <w:t>primarily Native Hawaiian or Other Pacific Islander (194 or 62.4%)</w:t>
      </w:r>
      <w:r w:rsidR="00C57C5F">
        <w:rPr>
          <w:color w:val="auto"/>
          <w:sz w:val="24"/>
          <w:szCs w:val="24"/>
        </w:rPr>
        <w:t xml:space="preserve">, between the age of 25 and 44 (140 or 45.0%), and </w:t>
      </w:r>
      <w:r w:rsidR="00145554">
        <w:rPr>
          <w:color w:val="auto"/>
          <w:sz w:val="24"/>
          <w:szCs w:val="24"/>
        </w:rPr>
        <w:t xml:space="preserve">female </w:t>
      </w:r>
      <w:r w:rsidR="00B660DC">
        <w:rPr>
          <w:color w:val="auto"/>
          <w:sz w:val="24"/>
          <w:szCs w:val="24"/>
        </w:rPr>
        <w:t>(174 or 55.9%)</w:t>
      </w:r>
      <w:r w:rsidR="00145554">
        <w:rPr>
          <w:color w:val="auto"/>
          <w:sz w:val="24"/>
          <w:szCs w:val="24"/>
        </w:rPr>
        <w:t xml:space="preserve">. </w:t>
      </w:r>
      <w:r w:rsidR="005722F9">
        <w:rPr>
          <w:color w:val="auto"/>
          <w:sz w:val="24"/>
          <w:szCs w:val="24"/>
        </w:rPr>
        <w:t xml:space="preserve"> During this program year, slightly more than half (158 or 50.8%) achieved at least one educational functioning level gain when compared to the prior year (167 or 44.9%). </w:t>
      </w:r>
    </w:p>
    <w:p w:rsidR="0096170F" w:rsidRDefault="0096170F" w:rsidP="006F5D1C">
      <w:pPr>
        <w:pStyle w:val="Content"/>
        <w:ind w:left="720"/>
        <w:rPr>
          <w:b/>
          <w:color w:val="auto"/>
          <w:sz w:val="24"/>
          <w:szCs w:val="24"/>
        </w:rPr>
      </w:pPr>
    </w:p>
    <w:p w:rsidR="0083443F" w:rsidRPr="0083443F" w:rsidRDefault="009F4C84" w:rsidP="006F5D1C">
      <w:pPr>
        <w:pStyle w:val="Content"/>
        <w:ind w:left="720"/>
        <w:rPr>
          <w:color w:val="auto"/>
          <w:sz w:val="24"/>
          <w:szCs w:val="24"/>
        </w:rPr>
      </w:pPr>
      <w:r w:rsidRPr="009F4C84">
        <w:rPr>
          <w:noProof/>
        </w:rPr>
        <w:lastRenderedPageBreak/>
        <w:drawing>
          <wp:inline distT="0" distB="0" distL="0" distR="0">
            <wp:extent cx="5943600" cy="208585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2085851"/>
                    </a:xfrm>
                    <a:prstGeom prst="rect">
                      <a:avLst/>
                    </a:prstGeom>
                    <a:noFill/>
                    <a:ln>
                      <a:noFill/>
                    </a:ln>
                  </pic:spPr>
                </pic:pic>
              </a:graphicData>
            </a:graphic>
          </wp:inline>
        </w:drawing>
      </w:r>
    </w:p>
    <w:p w:rsidR="005722F9" w:rsidRDefault="005722F9">
      <w:pPr>
        <w:rPr>
          <w:b/>
          <w:caps/>
          <w:spacing w:val="40"/>
          <w:sz w:val="24"/>
          <w:szCs w:val="24"/>
        </w:rPr>
      </w:pPr>
    </w:p>
    <w:p w:rsidR="00AE7861" w:rsidRDefault="00907385" w:rsidP="00581469">
      <w:pPr>
        <w:pStyle w:val="Content"/>
        <w:spacing w:line="240" w:lineRule="auto"/>
        <w:ind w:left="720"/>
        <w:rPr>
          <w:color w:val="auto"/>
          <w:sz w:val="24"/>
          <w:szCs w:val="24"/>
        </w:rPr>
      </w:pPr>
      <w:r>
        <w:rPr>
          <w:color w:val="auto"/>
          <w:sz w:val="24"/>
          <w:szCs w:val="24"/>
        </w:rPr>
        <w:t>The SEA prepared for the retirement of its</w:t>
      </w:r>
      <w:r w:rsidR="005722F9">
        <w:rPr>
          <w:color w:val="auto"/>
          <w:sz w:val="24"/>
          <w:szCs w:val="24"/>
        </w:rPr>
        <w:t xml:space="preserve"> full time program specialist</w:t>
      </w:r>
      <w:r>
        <w:rPr>
          <w:color w:val="auto"/>
          <w:sz w:val="24"/>
          <w:szCs w:val="24"/>
        </w:rPr>
        <w:t xml:space="preserve"> </w:t>
      </w:r>
      <w:r w:rsidR="004152A1">
        <w:rPr>
          <w:color w:val="auto"/>
          <w:sz w:val="24"/>
          <w:szCs w:val="24"/>
        </w:rPr>
        <w:t xml:space="preserve">by training a staff on the skills required to maintain the </w:t>
      </w:r>
      <w:r>
        <w:rPr>
          <w:color w:val="auto"/>
          <w:sz w:val="24"/>
          <w:szCs w:val="24"/>
        </w:rPr>
        <w:t>TOPSpro Enterprise</w:t>
      </w:r>
      <w:r w:rsidR="004152A1">
        <w:rPr>
          <w:color w:val="auto"/>
          <w:sz w:val="24"/>
          <w:szCs w:val="24"/>
        </w:rPr>
        <w:t xml:space="preserve"> – Guam’s </w:t>
      </w:r>
      <w:r w:rsidR="00A31745">
        <w:rPr>
          <w:color w:val="auto"/>
          <w:sz w:val="24"/>
          <w:szCs w:val="24"/>
        </w:rPr>
        <w:t xml:space="preserve">data accountability software for adult learners. Deliberate steps were also taken to fill the position when vacated. In the interim, the </w:t>
      </w:r>
      <w:r w:rsidR="005722F9">
        <w:rPr>
          <w:color w:val="auto"/>
          <w:sz w:val="24"/>
          <w:szCs w:val="24"/>
        </w:rPr>
        <w:t xml:space="preserve">SEA </w:t>
      </w:r>
      <w:r w:rsidR="00A31745">
        <w:rPr>
          <w:color w:val="auto"/>
          <w:sz w:val="24"/>
          <w:szCs w:val="24"/>
        </w:rPr>
        <w:t xml:space="preserve">continued to offer training (Exploring WIOA, Title II) and guidance. </w:t>
      </w:r>
    </w:p>
    <w:p w:rsidR="00AE7861" w:rsidRDefault="00AE7861" w:rsidP="00581469">
      <w:pPr>
        <w:pStyle w:val="Content"/>
        <w:spacing w:line="240" w:lineRule="auto"/>
        <w:ind w:left="720"/>
        <w:rPr>
          <w:color w:val="auto"/>
          <w:sz w:val="24"/>
          <w:szCs w:val="24"/>
        </w:rPr>
      </w:pPr>
    </w:p>
    <w:p w:rsidR="00AE7861" w:rsidRDefault="00AE7861" w:rsidP="00581469">
      <w:pPr>
        <w:pStyle w:val="Content"/>
        <w:spacing w:line="240" w:lineRule="auto"/>
        <w:ind w:left="720"/>
        <w:rPr>
          <w:color w:val="auto"/>
          <w:sz w:val="24"/>
          <w:szCs w:val="24"/>
        </w:rPr>
      </w:pPr>
      <w:r>
        <w:rPr>
          <w:color w:val="auto"/>
          <w:sz w:val="24"/>
          <w:szCs w:val="24"/>
        </w:rPr>
        <w:t>Further</w:t>
      </w:r>
      <w:r w:rsidR="008818FF">
        <w:rPr>
          <w:color w:val="auto"/>
          <w:sz w:val="24"/>
          <w:szCs w:val="24"/>
        </w:rPr>
        <w:t xml:space="preserve">more, </w:t>
      </w:r>
      <w:r>
        <w:rPr>
          <w:color w:val="auto"/>
          <w:sz w:val="24"/>
          <w:szCs w:val="24"/>
        </w:rPr>
        <w:t>guidance was provided during the October 2019 Exploring WIOA, Title II</w:t>
      </w:r>
      <w:r w:rsidR="008818FF">
        <w:rPr>
          <w:color w:val="auto"/>
          <w:sz w:val="24"/>
          <w:szCs w:val="24"/>
        </w:rPr>
        <w:t xml:space="preserve"> session</w:t>
      </w:r>
      <w:r>
        <w:rPr>
          <w:color w:val="auto"/>
          <w:sz w:val="24"/>
          <w:szCs w:val="24"/>
        </w:rPr>
        <w:t>. SEA provided participant</w:t>
      </w:r>
      <w:r w:rsidR="008818FF">
        <w:rPr>
          <w:color w:val="auto"/>
          <w:sz w:val="24"/>
          <w:szCs w:val="24"/>
        </w:rPr>
        <w:t>s</w:t>
      </w:r>
      <w:r>
        <w:rPr>
          <w:color w:val="auto"/>
          <w:sz w:val="24"/>
          <w:szCs w:val="24"/>
        </w:rPr>
        <w:t xml:space="preserve"> </w:t>
      </w:r>
      <w:r w:rsidR="008818FF">
        <w:rPr>
          <w:color w:val="auto"/>
          <w:sz w:val="24"/>
          <w:szCs w:val="24"/>
        </w:rPr>
        <w:t xml:space="preserve">a </w:t>
      </w:r>
      <w:r>
        <w:rPr>
          <w:color w:val="auto"/>
          <w:sz w:val="24"/>
          <w:szCs w:val="24"/>
        </w:rPr>
        <w:t>cop</w:t>
      </w:r>
      <w:r w:rsidR="008818FF">
        <w:rPr>
          <w:color w:val="auto"/>
          <w:sz w:val="24"/>
          <w:szCs w:val="24"/>
        </w:rPr>
        <w:t xml:space="preserve">y </w:t>
      </w:r>
      <w:r>
        <w:rPr>
          <w:color w:val="auto"/>
          <w:sz w:val="24"/>
          <w:szCs w:val="24"/>
        </w:rPr>
        <w:t xml:space="preserve">of the 2018-2019 NRS data tables and discussed </w:t>
      </w:r>
      <w:r w:rsidR="008818FF">
        <w:rPr>
          <w:color w:val="auto"/>
          <w:sz w:val="24"/>
          <w:szCs w:val="24"/>
        </w:rPr>
        <w:t xml:space="preserve">and compared tables to </w:t>
      </w:r>
      <w:r>
        <w:rPr>
          <w:color w:val="auto"/>
          <w:sz w:val="24"/>
          <w:szCs w:val="24"/>
        </w:rPr>
        <w:t>201</w:t>
      </w:r>
      <w:r w:rsidR="008818FF">
        <w:rPr>
          <w:color w:val="auto"/>
          <w:sz w:val="24"/>
          <w:szCs w:val="24"/>
        </w:rPr>
        <w:t>7</w:t>
      </w:r>
      <w:r>
        <w:rPr>
          <w:color w:val="auto"/>
          <w:sz w:val="24"/>
          <w:szCs w:val="24"/>
        </w:rPr>
        <w:t>-201</w:t>
      </w:r>
      <w:r w:rsidR="008818FF">
        <w:rPr>
          <w:color w:val="auto"/>
          <w:sz w:val="24"/>
          <w:szCs w:val="24"/>
        </w:rPr>
        <w:t xml:space="preserve">8 and 2019-2020 NRS data. </w:t>
      </w:r>
    </w:p>
    <w:p w:rsidR="00040BB6" w:rsidRDefault="00040BB6" w:rsidP="00581469">
      <w:pPr>
        <w:pStyle w:val="Content"/>
        <w:spacing w:line="240" w:lineRule="auto"/>
        <w:ind w:left="720"/>
        <w:rPr>
          <w:color w:val="auto"/>
          <w:sz w:val="24"/>
          <w:szCs w:val="24"/>
        </w:rPr>
      </w:pPr>
    </w:p>
    <w:p w:rsidR="00040BB6" w:rsidRPr="00AE7861" w:rsidRDefault="00040BB6" w:rsidP="00581469">
      <w:pPr>
        <w:pStyle w:val="Content"/>
        <w:tabs>
          <w:tab w:val="left" w:pos="6030"/>
        </w:tabs>
        <w:spacing w:line="240" w:lineRule="auto"/>
        <w:ind w:left="720"/>
        <w:rPr>
          <w:b/>
          <w:color w:val="auto"/>
          <w:sz w:val="24"/>
          <w:szCs w:val="24"/>
        </w:rPr>
      </w:pPr>
      <w:r>
        <w:rPr>
          <w:color w:val="auto"/>
          <w:sz w:val="24"/>
          <w:szCs w:val="24"/>
        </w:rPr>
        <w:t xml:space="preserve">The culmination of executing specific strategies may have been key to Guam’s ability to realize all but two Measurable Skill Gains (MSG) performance targets. The two MSG performance target not realized are ESL Level 1 (Beginning Literacy) and ESL Level 2 (Beginning Low), 39% and 56%, respectively. </w:t>
      </w:r>
      <w:r w:rsidR="006A2B01">
        <w:rPr>
          <w:color w:val="auto"/>
          <w:sz w:val="24"/>
          <w:szCs w:val="24"/>
        </w:rPr>
        <w:t xml:space="preserve">Guam’s actual performance for both performance target is zero; </w:t>
      </w:r>
      <w:r w:rsidR="00796EF7">
        <w:rPr>
          <w:color w:val="auto"/>
          <w:sz w:val="24"/>
          <w:szCs w:val="24"/>
        </w:rPr>
        <w:t xml:space="preserve">low enrollment made it difficult to offer </w:t>
      </w:r>
      <w:r w:rsidR="006A2B01">
        <w:rPr>
          <w:color w:val="auto"/>
          <w:sz w:val="24"/>
          <w:szCs w:val="24"/>
        </w:rPr>
        <w:t>ESL classes for both levels</w:t>
      </w:r>
      <w:r w:rsidR="00796EF7">
        <w:rPr>
          <w:color w:val="auto"/>
          <w:sz w:val="24"/>
          <w:szCs w:val="24"/>
        </w:rPr>
        <w:t xml:space="preserve"> </w:t>
      </w:r>
      <w:r w:rsidR="006A2B01">
        <w:rPr>
          <w:color w:val="auto"/>
          <w:sz w:val="24"/>
          <w:szCs w:val="24"/>
        </w:rPr>
        <w:t xml:space="preserve">during the program year. </w:t>
      </w:r>
    </w:p>
    <w:p w:rsidR="00E06EDC" w:rsidRDefault="00E06EDC">
      <w:pPr>
        <w:rPr>
          <w:rFonts w:eastAsiaTheme="minorEastAsia"/>
          <w:b/>
          <w:caps/>
          <w:spacing w:val="40"/>
          <w:sz w:val="24"/>
          <w:szCs w:val="24"/>
        </w:rPr>
      </w:pPr>
    </w:p>
    <w:p w:rsidR="009023BA" w:rsidRDefault="009023BA">
      <w:pPr>
        <w:rPr>
          <w:b/>
          <w:caps/>
          <w:spacing w:val="40"/>
          <w:sz w:val="24"/>
          <w:szCs w:val="24"/>
        </w:rPr>
      </w:pPr>
      <w:r w:rsidRPr="009023BA">
        <w:rPr>
          <w:noProof/>
        </w:rPr>
        <w:lastRenderedPageBreak/>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3992880" cy="3942080"/>
            <wp:effectExtent l="0" t="0" r="7620" b="127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92880" cy="39420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045BC" w:rsidRPr="006F5D1C" w:rsidRDefault="007045BC" w:rsidP="006F5D1C">
      <w:pPr>
        <w:pStyle w:val="Content"/>
        <w:numPr>
          <w:ilvl w:val="0"/>
          <w:numId w:val="3"/>
        </w:numPr>
        <w:ind w:left="360"/>
        <w:rPr>
          <w:b/>
          <w:caps/>
          <w:color w:val="auto"/>
          <w:spacing w:val="40"/>
          <w:sz w:val="24"/>
          <w:szCs w:val="24"/>
        </w:rPr>
      </w:pPr>
      <w:r w:rsidRPr="006F5D1C">
        <w:rPr>
          <w:b/>
          <w:caps/>
          <w:color w:val="auto"/>
          <w:spacing w:val="40"/>
          <w:sz w:val="24"/>
          <w:szCs w:val="24"/>
        </w:rPr>
        <w:t>Integration with One-Stop Partners</w:t>
      </w:r>
    </w:p>
    <w:p w:rsidR="007045BC" w:rsidRPr="006F5D1C" w:rsidRDefault="007045BC" w:rsidP="007045BC">
      <w:pPr>
        <w:pStyle w:val="Content"/>
        <w:ind w:left="720"/>
        <w:rPr>
          <w:b/>
          <w:color w:val="auto"/>
          <w:sz w:val="24"/>
          <w:szCs w:val="24"/>
        </w:rPr>
      </w:pPr>
      <w:r w:rsidRPr="006F5D1C">
        <w:rPr>
          <w:b/>
          <w:color w:val="auto"/>
          <w:sz w:val="24"/>
          <w:szCs w:val="24"/>
        </w:rPr>
        <w:t>Describe how Guam eligible agency, as the entity responsible for meeting one-stop requirements under 34 CFR part 463, subpart J, carries out or delegates its required one-stop roles to eligible providers. Describe the applicable career services that are provided in the one-stop system. Describe ow infrastructure costs are supported through State and local options.</w:t>
      </w:r>
    </w:p>
    <w:p w:rsidR="007045BC" w:rsidRDefault="00A6463C" w:rsidP="00581469">
      <w:pPr>
        <w:pStyle w:val="Content"/>
        <w:spacing w:line="240" w:lineRule="auto"/>
        <w:ind w:left="720"/>
        <w:rPr>
          <w:color w:val="auto"/>
          <w:sz w:val="24"/>
          <w:szCs w:val="24"/>
        </w:rPr>
      </w:pPr>
      <w:r>
        <w:rPr>
          <w:color w:val="auto"/>
          <w:sz w:val="24"/>
          <w:szCs w:val="24"/>
        </w:rPr>
        <w:t xml:space="preserve">Guam Community College (State Education Agency) finalized a Memorandum of Agreement </w:t>
      </w:r>
      <w:r w:rsidR="00C871D6">
        <w:rPr>
          <w:color w:val="auto"/>
          <w:sz w:val="24"/>
          <w:szCs w:val="24"/>
        </w:rPr>
        <w:t xml:space="preserve">(MOA) </w:t>
      </w:r>
      <w:r w:rsidR="006029D7">
        <w:rPr>
          <w:color w:val="auto"/>
          <w:sz w:val="24"/>
          <w:szCs w:val="24"/>
        </w:rPr>
        <w:t xml:space="preserve">with </w:t>
      </w:r>
      <w:r>
        <w:rPr>
          <w:color w:val="auto"/>
          <w:sz w:val="24"/>
          <w:szCs w:val="24"/>
        </w:rPr>
        <w:t xml:space="preserve">the Guam Department of Labor (GDOL) to </w:t>
      </w:r>
      <w:r w:rsidR="00545C33">
        <w:rPr>
          <w:color w:val="auto"/>
          <w:sz w:val="24"/>
          <w:szCs w:val="24"/>
        </w:rPr>
        <w:t>provid</w:t>
      </w:r>
      <w:r w:rsidR="006029D7">
        <w:rPr>
          <w:color w:val="auto"/>
          <w:sz w:val="24"/>
          <w:szCs w:val="24"/>
        </w:rPr>
        <w:t>e</w:t>
      </w:r>
      <w:r w:rsidR="00545C33">
        <w:rPr>
          <w:color w:val="auto"/>
          <w:sz w:val="24"/>
          <w:szCs w:val="24"/>
        </w:rPr>
        <w:t xml:space="preserve"> </w:t>
      </w:r>
      <w:r w:rsidR="00A4017D">
        <w:rPr>
          <w:color w:val="auto"/>
          <w:sz w:val="24"/>
          <w:szCs w:val="24"/>
        </w:rPr>
        <w:t>services</w:t>
      </w:r>
      <w:r w:rsidR="00545C33">
        <w:rPr>
          <w:color w:val="auto"/>
          <w:sz w:val="24"/>
          <w:szCs w:val="24"/>
        </w:rPr>
        <w:t xml:space="preserve"> to qualified participants as defined in WIOA. </w:t>
      </w:r>
      <w:r w:rsidR="00C871D6">
        <w:rPr>
          <w:color w:val="auto"/>
          <w:sz w:val="24"/>
          <w:szCs w:val="24"/>
        </w:rPr>
        <w:t>The MOA clearly outline</w:t>
      </w:r>
      <w:r w:rsidR="009C16E5">
        <w:rPr>
          <w:color w:val="auto"/>
          <w:sz w:val="24"/>
          <w:szCs w:val="24"/>
        </w:rPr>
        <w:t>d</w:t>
      </w:r>
      <w:r w:rsidR="00C871D6">
        <w:rPr>
          <w:color w:val="auto"/>
          <w:sz w:val="24"/>
          <w:szCs w:val="24"/>
        </w:rPr>
        <w:t xml:space="preserve"> the scope of services to include </w:t>
      </w:r>
      <w:r w:rsidR="009C16E5">
        <w:rPr>
          <w:color w:val="auto"/>
          <w:sz w:val="24"/>
          <w:szCs w:val="24"/>
        </w:rPr>
        <w:t xml:space="preserve">training courses, </w:t>
      </w:r>
      <w:r w:rsidR="00C871D6">
        <w:rPr>
          <w:color w:val="auto"/>
          <w:sz w:val="24"/>
          <w:szCs w:val="24"/>
        </w:rPr>
        <w:t>assessment</w:t>
      </w:r>
      <w:r w:rsidR="009C16E5">
        <w:rPr>
          <w:color w:val="auto"/>
          <w:sz w:val="24"/>
          <w:szCs w:val="24"/>
        </w:rPr>
        <w:t xml:space="preserve">, </w:t>
      </w:r>
      <w:r w:rsidR="00C871D6">
        <w:rPr>
          <w:color w:val="auto"/>
          <w:sz w:val="24"/>
          <w:szCs w:val="24"/>
        </w:rPr>
        <w:t xml:space="preserve">and testing. </w:t>
      </w:r>
    </w:p>
    <w:p w:rsidR="00721E1C" w:rsidRDefault="00721E1C" w:rsidP="00581469">
      <w:pPr>
        <w:pStyle w:val="Content"/>
        <w:spacing w:line="240" w:lineRule="auto"/>
        <w:ind w:left="720"/>
        <w:rPr>
          <w:color w:val="auto"/>
          <w:sz w:val="24"/>
          <w:szCs w:val="24"/>
        </w:rPr>
      </w:pPr>
    </w:p>
    <w:p w:rsidR="00240D0A" w:rsidRDefault="00240D0A" w:rsidP="00581469">
      <w:pPr>
        <w:pStyle w:val="Content"/>
        <w:spacing w:line="240" w:lineRule="auto"/>
        <w:ind w:left="720"/>
        <w:rPr>
          <w:color w:val="auto"/>
          <w:sz w:val="24"/>
          <w:szCs w:val="24"/>
        </w:rPr>
      </w:pPr>
      <w:r>
        <w:rPr>
          <w:color w:val="auto"/>
          <w:sz w:val="24"/>
          <w:szCs w:val="24"/>
        </w:rPr>
        <w:t>To compliment Guam’s one</w:t>
      </w:r>
      <w:r w:rsidR="00C975FB">
        <w:rPr>
          <w:color w:val="auto"/>
          <w:sz w:val="24"/>
          <w:szCs w:val="24"/>
        </w:rPr>
        <w:t>-</w:t>
      </w:r>
      <w:r>
        <w:rPr>
          <w:color w:val="auto"/>
          <w:sz w:val="24"/>
          <w:szCs w:val="24"/>
        </w:rPr>
        <w:t xml:space="preserve">stop system, GDOL scheduled a five-day conference at GCC’s campus on December 16-20, 2019. Representatives from the Northern Mariana Islands, Federated States of Micronesia, Republic of Palau, the Republic of the Marshall Islands and Guam are scheduled to attend the conference. Representatives from Guam include key staff and administrators from SEA and the adult education office, Guam Department of Integrated Services for Individuals with Disabilities/Division of Vocational Rehabilitation, Guam Department of Public Health and Social Services, and Department of Labor including representatives from the American Job Center. Participants will acquire from Geographic Solutions, a leader in software solutions, information on GDOL’s case management system – HIREGUAM Virtual </w:t>
      </w:r>
      <w:proofErr w:type="spellStart"/>
      <w:r>
        <w:rPr>
          <w:color w:val="auto"/>
          <w:sz w:val="24"/>
          <w:szCs w:val="24"/>
        </w:rPr>
        <w:t>OneStop</w:t>
      </w:r>
      <w:proofErr w:type="spellEnd"/>
      <w:r>
        <w:rPr>
          <w:color w:val="auto"/>
          <w:sz w:val="24"/>
          <w:szCs w:val="24"/>
        </w:rPr>
        <w:t xml:space="preserve">. </w:t>
      </w:r>
    </w:p>
    <w:p w:rsidR="00124B8D" w:rsidRDefault="00124B8D" w:rsidP="00581469">
      <w:pPr>
        <w:pStyle w:val="Content"/>
        <w:spacing w:line="240" w:lineRule="auto"/>
        <w:ind w:left="720"/>
        <w:rPr>
          <w:color w:val="auto"/>
          <w:sz w:val="24"/>
          <w:szCs w:val="24"/>
        </w:rPr>
      </w:pPr>
    </w:p>
    <w:p w:rsidR="00124B8D" w:rsidRPr="00535374" w:rsidRDefault="00124B8D" w:rsidP="00581469">
      <w:pPr>
        <w:pStyle w:val="Content"/>
        <w:spacing w:line="240" w:lineRule="auto"/>
        <w:ind w:left="720"/>
        <w:rPr>
          <w:color w:val="auto"/>
          <w:sz w:val="24"/>
          <w:szCs w:val="24"/>
        </w:rPr>
      </w:pPr>
      <w:r>
        <w:rPr>
          <w:color w:val="auto"/>
          <w:sz w:val="24"/>
          <w:szCs w:val="24"/>
        </w:rPr>
        <w:t>Guam’s SEA and LEA (</w:t>
      </w:r>
      <w:r w:rsidRPr="00535374">
        <w:rPr>
          <w:color w:val="auto"/>
          <w:sz w:val="24"/>
          <w:szCs w:val="24"/>
        </w:rPr>
        <w:t xml:space="preserve">Adult Education Office, Guam Community College) representatives actively attend GDOL meetings. Guam’s State Director for Adult Education is steadfast in career services and the development and support of workforce education. </w:t>
      </w:r>
    </w:p>
    <w:p w:rsidR="00124B8D" w:rsidRPr="00535374" w:rsidRDefault="00124B8D" w:rsidP="00581469">
      <w:pPr>
        <w:pStyle w:val="Content"/>
        <w:spacing w:line="240" w:lineRule="auto"/>
        <w:ind w:left="720"/>
        <w:rPr>
          <w:color w:val="auto"/>
          <w:sz w:val="24"/>
          <w:szCs w:val="24"/>
        </w:rPr>
      </w:pPr>
    </w:p>
    <w:p w:rsidR="00535374" w:rsidRPr="00535374" w:rsidRDefault="0005006E" w:rsidP="00581469">
      <w:pPr>
        <w:pStyle w:val="Content"/>
        <w:spacing w:line="240" w:lineRule="auto"/>
        <w:ind w:left="720"/>
        <w:rPr>
          <w:color w:val="auto"/>
          <w:sz w:val="24"/>
          <w:szCs w:val="24"/>
        </w:rPr>
      </w:pPr>
      <w:r>
        <w:rPr>
          <w:color w:val="auto"/>
          <w:sz w:val="24"/>
          <w:szCs w:val="24"/>
        </w:rPr>
        <w:t>“</w:t>
      </w:r>
      <w:r w:rsidR="00535374" w:rsidRPr="00535374">
        <w:rPr>
          <w:color w:val="auto"/>
          <w:sz w:val="24"/>
          <w:szCs w:val="24"/>
        </w:rPr>
        <w:t>Guam Community College (GCC) handles the Title II program and is collaborating with the Guam AJC team to register shared participants requiring education, in-class or work-</w:t>
      </w:r>
      <w:r w:rsidR="00535374" w:rsidRPr="00535374">
        <w:rPr>
          <w:color w:val="auto"/>
          <w:sz w:val="24"/>
          <w:szCs w:val="24"/>
        </w:rPr>
        <w:lastRenderedPageBreak/>
        <w:t>based training and employment. Career counselors have participated in the Workforce Development Specialist training, ensuring a standardized approach with the Guam AJC team efforts (who received the same training). Counselors assist the adult education participants and are being trained on the shared case management system of hireguam.com (VOS). This allows the counselors to work with case managers at the AJC to ensure that students’ career pathways match the individual employment plan that is identified</w:t>
      </w:r>
      <w:r w:rsidR="00C975FB">
        <w:rPr>
          <w:color w:val="auto"/>
          <w:sz w:val="24"/>
          <w:szCs w:val="24"/>
        </w:rPr>
        <w:t xml:space="preserve"> i</w:t>
      </w:r>
      <w:r w:rsidR="00535374" w:rsidRPr="00535374">
        <w:rPr>
          <w:color w:val="auto"/>
          <w:sz w:val="24"/>
          <w:szCs w:val="24"/>
        </w:rPr>
        <w:t xml:space="preserve">n the shared case management system. In addition, GCC receives funding from the Guam Department of Labor to support apprenticeship training needs. The Guam AJC is working with the college to further develop new and innovative pre-apprenticeship and apprenticeship programs that are more responsive to industry. </w:t>
      </w:r>
      <w:r w:rsidR="00C975FB">
        <w:rPr>
          <w:color w:val="auto"/>
          <w:sz w:val="24"/>
          <w:szCs w:val="24"/>
        </w:rPr>
        <w:t xml:space="preserve">Also, </w:t>
      </w:r>
      <w:r w:rsidR="00535374" w:rsidRPr="00535374">
        <w:rPr>
          <w:color w:val="auto"/>
          <w:sz w:val="24"/>
          <w:szCs w:val="24"/>
        </w:rPr>
        <w:t xml:space="preserve">GCC provides the Guam Department of Education (GDOE) with secondary Career and Technical Education programs and the AJC has provided Classroom to Career activities (work experience opportunities for high school students). As such, together they are building clearer on-ramps to career pathways that match Guam’s workforce development needs. The Guam Workforce Development Board (GWDB) engages members of these organizations to achieve the combined state plan goals. </w:t>
      </w:r>
      <w:r>
        <w:rPr>
          <w:color w:val="auto"/>
          <w:sz w:val="24"/>
          <w:szCs w:val="24"/>
        </w:rPr>
        <w:t>”</w:t>
      </w:r>
      <w:r w:rsidR="009D03D9">
        <w:rPr>
          <w:rStyle w:val="FootnoteReference"/>
          <w:color w:val="auto"/>
          <w:sz w:val="24"/>
          <w:szCs w:val="24"/>
        </w:rPr>
        <w:footnoteReference w:id="1"/>
      </w:r>
    </w:p>
    <w:p w:rsidR="007045BC" w:rsidRPr="00535374" w:rsidRDefault="007045BC" w:rsidP="007045BC">
      <w:pPr>
        <w:pStyle w:val="Content"/>
        <w:ind w:left="720"/>
        <w:rPr>
          <w:color w:val="auto"/>
          <w:sz w:val="24"/>
          <w:szCs w:val="24"/>
        </w:rPr>
      </w:pPr>
    </w:p>
    <w:p w:rsidR="007045BC" w:rsidRPr="006F5D1C" w:rsidRDefault="007045BC" w:rsidP="006F5D1C">
      <w:pPr>
        <w:pStyle w:val="Content"/>
        <w:numPr>
          <w:ilvl w:val="0"/>
          <w:numId w:val="3"/>
        </w:numPr>
        <w:ind w:left="360"/>
        <w:rPr>
          <w:b/>
          <w:smallCaps/>
          <w:color w:val="auto"/>
          <w:spacing w:val="40"/>
          <w:szCs w:val="24"/>
        </w:rPr>
      </w:pPr>
      <w:r w:rsidRPr="006F5D1C">
        <w:rPr>
          <w:b/>
          <w:smallCaps/>
          <w:color w:val="auto"/>
          <w:spacing w:val="40"/>
          <w:szCs w:val="24"/>
        </w:rPr>
        <w:t>Integrated English Literacy and Civics Education (IELCE) Program (AEFLA Section 243)</w:t>
      </w:r>
    </w:p>
    <w:p w:rsidR="007045BC" w:rsidRPr="006F5D1C" w:rsidRDefault="007045BC" w:rsidP="006F5D1C">
      <w:pPr>
        <w:pStyle w:val="Content"/>
        <w:ind w:left="720"/>
        <w:rPr>
          <w:b/>
          <w:color w:val="auto"/>
          <w:sz w:val="24"/>
          <w:szCs w:val="24"/>
        </w:rPr>
      </w:pPr>
      <w:r w:rsidRPr="006F5D1C">
        <w:rPr>
          <w:b/>
          <w:color w:val="auto"/>
          <w:sz w:val="24"/>
          <w:szCs w:val="24"/>
        </w:rPr>
        <w:t>Describe how Guam is using funds under Section 243 to support the following activities under the IELCE program:</w:t>
      </w:r>
    </w:p>
    <w:p w:rsidR="000F4E94" w:rsidRPr="00500E09" w:rsidRDefault="000F4E94" w:rsidP="00A6463C">
      <w:pPr>
        <w:spacing w:line="360" w:lineRule="auto"/>
        <w:ind w:left="1080"/>
        <w:rPr>
          <w:rFonts w:ascii="Calibri" w:hAnsi="Calibri"/>
          <w:sz w:val="24"/>
          <w:szCs w:val="24"/>
        </w:rPr>
      </w:pPr>
      <w:r w:rsidRPr="00500E09">
        <w:rPr>
          <w:rFonts w:ascii="Calibri" w:hAnsi="Calibri"/>
          <w:sz w:val="24"/>
          <w:szCs w:val="24"/>
        </w:rPr>
        <w:t>Guam does not receive IELCE funds.</w:t>
      </w:r>
    </w:p>
    <w:p w:rsidR="007045BC" w:rsidRPr="006F5D1C" w:rsidRDefault="007045BC" w:rsidP="007045BC">
      <w:pPr>
        <w:pStyle w:val="Content"/>
        <w:ind w:left="720"/>
        <w:rPr>
          <w:color w:val="auto"/>
          <w:sz w:val="24"/>
          <w:szCs w:val="24"/>
        </w:rPr>
      </w:pPr>
    </w:p>
    <w:p w:rsidR="007045BC" w:rsidRPr="006F5D1C" w:rsidRDefault="007045BC" w:rsidP="006F5D1C">
      <w:pPr>
        <w:pStyle w:val="Content"/>
        <w:numPr>
          <w:ilvl w:val="0"/>
          <w:numId w:val="3"/>
        </w:numPr>
        <w:ind w:left="360"/>
        <w:rPr>
          <w:b/>
          <w:color w:val="auto"/>
          <w:spacing w:val="40"/>
          <w:szCs w:val="24"/>
        </w:rPr>
      </w:pPr>
      <w:r w:rsidRPr="006F5D1C">
        <w:rPr>
          <w:b/>
          <w:color w:val="auto"/>
          <w:spacing w:val="40"/>
          <w:szCs w:val="24"/>
        </w:rPr>
        <w:t>Adult Education Standards</w:t>
      </w:r>
    </w:p>
    <w:p w:rsidR="007045BC" w:rsidRPr="006F5D1C" w:rsidRDefault="007045BC" w:rsidP="007045BC">
      <w:pPr>
        <w:pStyle w:val="Content"/>
        <w:ind w:left="500"/>
        <w:rPr>
          <w:b/>
          <w:color w:val="auto"/>
          <w:sz w:val="24"/>
          <w:szCs w:val="24"/>
        </w:rPr>
      </w:pPr>
      <w:r w:rsidRPr="006F5D1C">
        <w:rPr>
          <w:b/>
          <w:color w:val="auto"/>
          <w:sz w:val="24"/>
          <w:szCs w:val="24"/>
        </w:rPr>
        <w:t>If Guam adopted new challenging K-12 standards under title I of the Elementary and Secondary Education Act of 1965, as amended, describe how your Adult Education content standards are aligned with hose K-12 standards.</w:t>
      </w:r>
    </w:p>
    <w:p w:rsidR="007045BC" w:rsidRDefault="007045BC" w:rsidP="007D7FEE">
      <w:pPr>
        <w:pStyle w:val="Content"/>
        <w:numPr>
          <w:ilvl w:val="0"/>
          <w:numId w:val="2"/>
        </w:numPr>
        <w:ind w:left="1080"/>
        <w:rPr>
          <w:b/>
          <w:color w:val="auto"/>
          <w:sz w:val="24"/>
          <w:szCs w:val="24"/>
        </w:rPr>
      </w:pPr>
      <w:r w:rsidRPr="006F5D1C">
        <w:rPr>
          <w:b/>
          <w:color w:val="auto"/>
          <w:sz w:val="24"/>
          <w:szCs w:val="24"/>
        </w:rPr>
        <w:t xml:space="preserve">Optional – Describe implementation efforts, challenges, and any lessons learned. </w:t>
      </w:r>
    </w:p>
    <w:p w:rsidR="00295F8B" w:rsidRPr="00295F8B" w:rsidRDefault="00786340" w:rsidP="00581469">
      <w:pPr>
        <w:spacing w:line="240" w:lineRule="auto"/>
        <w:ind w:left="1080"/>
        <w:rPr>
          <w:rFonts w:eastAsia="Gulim"/>
          <w:bCs/>
          <w:iCs/>
          <w:sz w:val="24"/>
          <w:szCs w:val="24"/>
        </w:rPr>
      </w:pPr>
      <w:r>
        <w:rPr>
          <w:rFonts w:eastAsia="Gulim"/>
          <w:bCs/>
          <w:iCs/>
          <w:sz w:val="24"/>
          <w:szCs w:val="24"/>
        </w:rPr>
        <w:t xml:space="preserve">Guam adopted the College and Career Readiness Standards for Adult Education by Susan </w:t>
      </w:r>
      <w:r w:rsidR="00D81863">
        <w:rPr>
          <w:rFonts w:eastAsia="Gulim"/>
          <w:bCs/>
          <w:iCs/>
          <w:sz w:val="24"/>
          <w:szCs w:val="24"/>
        </w:rPr>
        <w:t>Pimentel as p</w:t>
      </w:r>
      <w:r>
        <w:rPr>
          <w:rFonts w:eastAsia="Gulim"/>
          <w:bCs/>
          <w:iCs/>
          <w:sz w:val="24"/>
          <w:szCs w:val="24"/>
        </w:rPr>
        <w:t xml:space="preserve">repared for USDE, Office of Vocational and Adult Education. </w:t>
      </w:r>
      <w:r w:rsidR="00927904">
        <w:rPr>
          <w:rFonts w:eastAsia="Gulim"/>
          <w:bCs/>
          <w:iCs/>
          <w:sz w:val="24"/>
          <w:szCs w:val="24"/>
        </w:rPr>
        <w:t>Accordingly, t</w:t>
      </w:r>
      <w:r w:rsidR="00295F8B">
        <w:rPr>
          <w:rFonts w:eastAsia="Gulim"/>
          <w:bCs/>
          <w:iCs/>
          <w:sz w:val="24"/>
          <w:szCs w:val="24"/>
        </w:rPr>
        <w:t>he AEO reviewed and updated several adult education courses (basic skills</w:t>
      </w:r>
      <w:r w:rsidR="00927904">
        <w:rPr>
          <w:rFonts w:eastAsia="Gulim"/>
          <w:bCs/>
          <w:iCs/>
          <w:sz w:val="24"/>
          <w:szCs w:val="24"/>
        </w:rPr>
        <w:t xml:space="preserve">, ESL, </w:t>
      </w:r>
      <w:r w:rsidR="00295F8B">
        <w:rPr>
          <w:rFonts w:eastAsia="Gulim"/>
          <w:bCs/>
          <w:iCs/>
          <w:sz w:val="24"/>
          <w:szCs w:val="24"/>
        </w:rPr>
        <w:t>and adult high school) d</w:t>
      </w:r>
      <w:r w:rsidR="00295F8B" w:rsidRPr="00295F8B">
        <w:rPr>
          <w:rFonts w:eastAsia="Gulim"/>
          <w:bCs/>
          <w:iCs/>
          <w:sz w:val="24"/>
          <w:szCs w:val="24"/>
        </w:rPr>
        <w:t>uring the program year</w:t>
      </w:r>
      <w:r w:rsidR="00295F8B">
        <w:rPr>
          <w:rFonts w:eastAsia="Gulim"/>
          <w:bCs/>
          <w:iCs/>
          <w:sz w:val="24"/>
          <w:szCs w:val="24"/>
        </w:rPr>
        <w:t xml:space="preserve">. </w:t>
      </w:r>
      <w:r w:rsidR="00927904">
        <w:rPr>
          <w:rFonts w:eastAsia="Gulim"/>
          <w:bCs/>
          <w:iCs/>
          <w:sz w:val="24"/>
          <w:szCs w:val="24"/>
        </w:rPr>
        <w:t>Those approved by the GCC’s Curriculum Review Committee include Reading and Writing and Mathematics for ABE Levels 2-4, ESL Levels 1-6, and several adult high school courses (Language Arts Literacy, Literature Survey, Fundamentals of Communication, Algebra I and II, Geometry, Earth Science, Biology, American Government, and US History I and II).</w:t>
      </w:r>
    </w:p>
    <w:p w:rsidR="006F0031" w:rsidRPr="006F5D1C" w:rsidRDefault="006F0031" w:rsidP="00581469">
      <w:pPr>
        <w:pStyle w:val="Content"/>
        <w:spacing w:line="240" w:lineRule="auto"/>
        <w:rPr>
          <w:b/>
          <w:color w:val="auto"/>
          <w:sz w:val="24"/>
          <w:szCs w:val="24"/>
        </w:rPr>
      </w:pPr>
    </w:p>
    <w:p w:rsidR="007045BC" w:rsidRPr="006F5D1C" w:rsidRDefault="007045BC" w:rsidP="006F5D1C">
      <w:pPr>
        <w:pStyle w:val="Content"/>
        <w:numPr>
          <w:ilvl w:val="0"/>
          <w:numId w:val="3"/>
        </w:numPr>
        <w:ind w:left="360"/>
        <w:rPr>
          <w:b/>
          <w:smallCaps/>
          <w:color w:val="auto"/>
          <w:spacing w:val="40"/>
          <w:szCs w:val="24"/>
        </w:rPr>
      </w:pPr>
      <w:r w:rsidRPr="006F5D1C">
        <w:rPr>
          <w:b/>
          <w:smallCaps/>
          <w:color w:val="auto"/>
          <w:spacing w:val="40"/>
          <w:szCs w:val="24"/>
        </w:rPr>
        <w:lastRenderedPageBreak/>
        <w:t xml:space="preserve">Programs for Corrections Education and the Education of Other Institutionalized Individuals (AEFLA Section 225) </w:t>
      </w:r>
    </w:p>
    <w:p w:rsidR="00083A90" w:rsidRDefault="007045BC" w:rsidP="00F06EF1">
      <w:pPr>
        <w:pStyle w:val="Content"/>
        <w:ind w:left="720"/>
        <w:rPr>
          <w:b/>
          <w:color w:val="auto"/>
          <w:sz w:val="24"/>
          <w:szCs w:val="24"/>
        </w:rPr>
      </w:pPr>
      <w:r w:rsidRPr="006F5D1C">
        <w:rPr>
          <w:b/>
          <w:color w:val="auto"/>
          <w:sz w:val="24"/>
          <w:szCs w:val="24"/>
        </w:rPr>
        <w:t xml:space="preserve">What was the relative rate of recidivism for criminal offenders served? Please describe methods and factors used in calculating the rate for this reporting period. </w:t>
      </w:r>
    </w:p>
    <w:p w:rsidR="00F72955" w:rsidRDefault="0032403B" w:rsidP="00581469">
      <w:pPr>
        <w:spacing w:line="240" w:lineRule="auto"/>
        <w:ind w:left="720"/>
        <w:rPr>
          <w:rFonts w:eastAsia="Gulim"/>
          <w:bCs/>
          <w:iCs/>
          <w:sz w:val="24"/>
          <w:szCs w:val="24"/>
        </w:rPr>
      </w:pPr>
      <w:r>
        <w:rPr>
          <w:rFonts w:eastAsia="Gulim"/>
          <w:bCs/>
          <w:iCs/>
          <w:sz w:val="24"/>
          <w:szCs w:val="24"/>
        </w:rPr>
        <w:t xml:space="preserve">In </w:t>
      </w:r>
      <w:r w:rsidR="000B4D53">
        <w:rPr>
          <w:rFonts w:eastAsia="Gulim"/>
          <w:bCs/>
          <w:iCs/>
          <w:sz w:val="24"/>
          <w:szCs w:val="24"/>
        </w:rPr>
        <w:t xml:space="preserve">February 2019, representatives from the SAO and the Guam Department of Corrections (DOC) discussed </w:t>
      </w:r>
      <w:r w:rsidR="0070523D">
        <w:rPr>
          <w:rFonts w:eastAsia="Gulim"/>
          <w:bCs/>
          <w:iCs/>
          <w:sz w:val="24"/>
          <w:szCs w:val="24"/>
        </w:rPr>
        <w:t>a</w:t>
      </w:r>
      <w:r w:rsidR="000B4D53">
        <w:rPr>
          <w:rFonts w:eastAsia="Gulim"/>
          <w:bCs/>
          <w:iCs/>
          <w:sz w:val="24"/>
          <w:szCs w:val="24"/>
        </w:rPr>
        <w:t xml:space="preserve"> dedicated space at DOC </w:t>
      </w:r>
      <w:r w:rsidR="00A511D0">
        <w:rPr>
          <w:rFonts w:eastAsia="Gulim"/>
          <w:bCs/>
          <w:iCs/>
          <w:sz w:val="24"/>
          <w:szCs w:val="24"/>
        </w:rPr>
        <w:t>a</w:t>
      </w:r>
      <w:r w:rsidR="0070523D">
        <w:rPr>
          <w:rFonts w:eastAsia="Gulim"/>
          <w:bCs/>
          <w:iCs/>
          <w:sz w:val="24"/>
          <w:szCs w:val="24"/>
        </w:rPr>
        <w:t xml:space="preserve">nd facility and environment requirements </w:t>
      </w:r>
      <w:r w:rsidR="000C69C8">
        <w:rPr>
          <w:rFonts w:eastAsia="Gulim"/>
          <w:bCs/>
          <w:iCs/>
          <w:sz w:val="24"/>
          <w:szCs w:val="24"/>
        </w:rPr>
        <w:t xml:space="preserve">to deliver </w:t>
      </w:r>
      <w:r w:rsidR="00BF04A4">
        <w:rPr>
          <w:rFonts w:eastAsia="Gulim"/>
          <w:bCs/>
          <w:iCs/>
          <w:sz w:val="24"/>
          <w:szCs w:val="24"/>
        </w:rPr>
        <w:t>HSE tests (GED® and HiSET®)</w:t>
      </w:r>
      <w:r w:rsidR="0070523D">
        <w:rPr>
          <w:rFonts w:eastAsia="Gulim"/>
          <w:bCs/>
          <w:iCs/>
          <w:sz w:val="24"/>
          <w:szCs w:val="24"/>
        </w:rPr>
        <w:t xml:space="preserve">. </w:t>
      </w:r>
      <w:r w:rsidR="00BF04A4">
        <w:rPr>
          <w:rFonts w:eastAsia="Gulim"/>
          <w:bCs/>
          <w:iCs/>
          <w:sz w:val="24"/>
          <w:szCs w:val="24"/>
        </w:rPr>
        <w:t xml:space="preserve">DOC representatives </w:t>
      </w:r>
      <w:r w:rsidR="00C646A3">
        <w:rPr>
          <w:rFonts w:eastAsia="Gulim"/>
          <w:bCs/>
          <w:iCs/>
          <w:sz w:val="24"/>
          <w:szCs w:val="24"/>
        </w:rPr>
        <w:t xml:space="preserve">will </w:t>
      </w:r>
      <w:r w:rsidR="00BF04A4">
        <w:rPr>
          <w:rFonts w:eastAsia="Gulim"/>
          <w:bCs/>
          <w:iCs/>
          <w:sz w:val="24"/>
          <w:szCs w:val="24"/>
        </w:rPr>
        <w:t xml:space="preserve">brief the </w:t>
      </w:r>
      <w:r w:rsidR="000B4D53">
        <w:rPr>
          <w:rFonts w:eastAsia="Gulim"/>
          <w:bCs/>
          <w:iCs/>
          <w:sz w:val="24"/>
          <w:szCs w:val="24"/>
        </w:rPr>
        <w:t xml:space="preserve">newly </w:t>
      </w:r>
      <w:r w:rsidR="00A511D0">
        <w:rPr>
          <w:rFonts w:eastAsia="Gulim"/>
          <w:bCs/>
          <w:iCs/>
          <w:sz w:val="24"/>
          <w:szCs w:val="24"/>
        </w:rPr>
        <w:t xml:space="preserve">installed director and deputy director </w:t>
      </w:r>
      <w:r w:rsidR="00BF04A4">
        <w:rPr>
          <w:rFonts w:eastAsia="Gulim"/>
          <w:bCs/>
          <w:iCs/>
          <w:sz w:val="24"/>
          <w:szCs w:val="24"/>
        </w:rPr>
        <w:t xml:space="preserve">and </w:t>
      </w:r>
      <w:r w:rsidR="00C646A3">
        <w:rPr>
          <w:rFonts w:eastAsia="Gulim"/>
          <w:bCs/>
          <w:iCs/>
          <w:sz w:val="24"/>
          <w:szCs w:val="24"/>
        </w:rPr>
        <w:t xml:space="preserve">provide an </w:t>
      </w:r>
      <w:r w:rsidR="00BF04A4">
        <w:rPr>
          <w:rFonts w:eastAsia="Gulim"/>
          <w:bCs/>
          <w:iCs/>
          <w:sz w:val="24"/>
          <w:szCs w:val="24"/>
        </w:rPr>
        <w:t xml:space="preserve">update </w:t>
      </w:r>
      <w:r w:rsidR="00C646A3">
        <w:rPr>
          <w:rFonts w:eastAsia="Gulim"/>
          <w:bCs/>
          <w:iCs/>
          <w:sz w:val="24"/>
          <w:szCs w:val="24"/>
        </w:rPr>
        <w:t xml:space="preserve">to the </w:t>
      </w:r>
      <w:r w:rsidR="00BF04A4">
        <w:rPr>
          <w:rFonts w:eastAsia="Gulim"/>
          <w:bCs/>
          <w:iCs/>
          <w:sz w:val="24"/>
          <w:szCs w:val="24"/>
        </w:rPr>
        <w:t xml:space="preserve">SAO accordingly. </w:t>
      </w:r>
    </w:p>
    <w:p w:rsidR="00C646A3" w:rsidRDefault="00F41E22" w:rsidP="00581469">
      <w:pPr>
        <w:spacing w:line="240" w:lineRule="auto"/>
        <w:ind w:left="720"/>
        <w:rPr>
          <w:rFonts w:eastAsia="Gulim"/>
          <w:bCs/>
          <w:iCs/>
          <w:sz w:val="24"/>
          <w:szCs w:val="24"/>
        </w:rPr>
      </w:pPr>
      <w:r>
        <w:rPr>
          <w:rFonts w:eastAsia="Gulim"/>
          <w:bCs/>
          <w:iCs/>
          <w:sz w:val="24"/>
          <w:szCs w:val="24"/>
        </w:rPr>
        <w:t xml:space="preserve">Safety and staff shortage </w:t>
      </w:r>
      <w:r w:rsidR="00C646A3">
        <w:rPr>
          <w:rFonts w:eastAsia="Gulim"/>
          <w:bCs/>
          <w:iCs/>
          <w:sz w:val="24"/>
          <w:szCs w:val="24"/>
        </w:rPr>
        <w:t xml:space="preserve">at DOC </w:t>
      </w:r>
      <w:r>
        <w:rPr>
          <w:rFonts w:eastAsia="Gulim"/>
          <w:bCs/>
          <w:iCs/>
          <w:sz w:val="24"/>
          <w:szCs w:val="24"/>
        </w:rPr>
        <w:t>suspend</w:t>
      </w:r>
      <w:r w:rsidR="00C646A3">
        <w:rPr>
          <w:rFonts w:eastAsia="Gulim"/>
          <w:bCs/>
          <w:iCs/>
          <w:sz w:val="24"/>
          <w:szCs w:val="24"/>
        </w:rPr>
        <w:t>ed</w:t>
      </w:r>
      <w:r>
        <w:rPr>
          <w:rFonts w:eastAsia="Gulim"/>
          <w:bCs/>
          <w:iCs/>
          <w:sz w:val="24"/>
          <w:szCs w:val="24"/>
        </w:rPr>
        <w:t xml:space="preserve"> educational initiatives and offering of three scheduled adult education courses at DOC.</w:t>
      </w:r>
      <w:r w:rsidR="00C646A3">
        <w:rPr>
          <w:rFonts w:eastAsia="Gulim"/>
          <w:bCs/>
          <w:iCs/>
          <w:sz w:val="24"/>
          <w:szCs w:val="24"/>
        </w:rPr>
        <w:t xml:space="preserve">  In </w:t>
      </w:r>
      <w:r w:rsidR="00941811">
        <w:rPr>
          <w:rFonts w:eastAsia="Gulim"/>
          <w:bCs/>
          <w:iCs/>
          <w:sz w:val="24"/>
          <w:szCs w:val="24"/>
        </w:rPr>
        <w:t>a Pacific Daily News article</w:t>
      </w:r>
      <w:r w:rsidR="000A0439">
        <w:rPr>
          <w:rFonts w:eastAsia="Gulim"/>
          <w:bCs/>
          <w:iCs/>
          <w:sz w:val="24"/>
          <w:szCs w:val="24"/>
        </w:rPr>
        <w:t xml:space="preserve"> (November 2019)</w:t>
      </w:r>
      <w:r w:rsidR="00C646A3">
        <w:rPr>
          <w:rFonts w:eastAsia="Gulim"/>
          <w:bCs/>
          <w:iCs/>
          <w:sz w:val="24"/>
          <w:szCs w:val="24"/>
        </w:rPr>
        <w:t xml:space="preserve"> </w:t>
      </w:r>
      <w:r w:rsidR="00941811">
        <w:rPr>
          <w:rFonts w:eastAsia="Gulim"/>
          <w:bCs/>
          <w:iCs/>
          <w:sz w:val="24"/>
          <w:szCs w:val="24"/>
        </w:rPr>
        <w:t xml:space="preserve">the governor of Guam confirmed her commitment to </w:t>
      </w:r>
      <w:r w:rsidR="00463EF0">
        <w:rPr>
          <w:rFonts w:eastAsia="Gulim"/>
          <w:bCs/>
          <w:iCs/>
          <w:sz w:val="24"/>
          <w:szCs w:val="24"/>
        </w:rPr>
        <w:t>hiring</w:t>
      </w:r>
      <w:r w:rsidR="00941811">
        <w:rPr>
          <w:rFonts w:eastAsia="Gulim"/>
          <w:bCs/>
          <w:iCs/>
          <w:sz w:val="24"/>
          <w:szCs w:val="24"/>
        </w:rPr>
        <w:t xml:space="preserve"> additional officers. The article also cited that r</w:t>
      </w:r>
      <w:r w:rsidR="00C646A3">
        <w:rPr>
          <w:rFonts w:eastAsia="Gulim"/>
          <w:bCs/>
          <w:iCs/>
          <w:sz w:val="24"/>
          <w:szCs w:val="24"/>
        </w:rPr>
        <w:t>e</w:t>
      </w:r>
      <w:r w:rsidR="00463EF0">
        <w:rPr>
          <w:rFonts w:eastAsia="Gulim"/>
          <w:bCs/>
          <w:iCs/>
          <w:sz w:val="24"/>
          <w:szCs w:val="24"/>
        </w:rPr>
        <w:t>c</w:t>
      </w:r>
      <w:r w:rsidR="00C646A3">
        <w:rPr>
          <w:rFonts w:eastAsia="Gulim"/>
          <w:bCs/>
          <w:iCs/>
          <w:sz w:val="24"/>
          <w:szCs w:val="24"/>
        </w:rPr>
        <w:t xml:space="preserve">ent resignations will not “impede the planned improvements at the </w:t>
      </w:r>
      <w:r w:rsidR="00941811">
        <w:rPr>
          <w:rFonts w:eastAsia="Gulim"/>
          <w:bCs/>
          <w:iCs/>
          <w:sz w:val="24"/>
          <w:szCs w:val="24"/>
        </w:rPr>
        <w:t>prison</w:t>
      </w:r>
      <w:r w:rsidR="00C646A3">
        <w:rPr>
          <w:rFonts w:eastAsia="Gulim"/>
          <w:bCs/>
          <w:iCs/>
          <w:sz w:val="24"/>
          <w:szCs w:val="24"/>
        </w:rPr>
        <w:t xml:space="preserve">”. </w:t>
      </w:r>
      <w:r w:rsidR="00C646A3">
        <w:rPr>
          <w:rStyle w:val="FootnoteReference"/>
          <w:rFonts w:eastAsia="Gulim"/>
          <w:bCs/>
          <w:iCs/>
          <w:sz w:val="24"/>
          <w:szCs w:val="24"/>
        </w:rPr>
        <w:footnoteReference w:id="2"/>
      </w:r>
    </w:p>
    <w:p w:rsidR="00F72955" w:rsidRPr="00F72955" w:rsidRDefault="00B3126E" w:rsidP="00581469">
      <w:pPr>
        <w:spacing w:line="240" w:lineRule="auto"/>
        <w:ind w:left="720"/>
        <w:rPr>
          <w:rFonts w:eastAsia="Gulim"/>
          <w:bCs/>
          <w:iCs/>
          <w:sz w:val="24"/>
          <w:szCs w:val="24"/>
        </w:rPr>
      </w:pPr>
      <w:r>
        <w:rPr>
          <w:rFonts w:eastAsia="Gulim"/>
          <w:bCs/>
          <w:iCs/>
          <w:sz w:val="24"/>
          <w:szCs w:val="24"/>
        </w:rPr>
        <w:t xml:space="preserve">As provided by the Department of Corrections, </w:t>
      </w:r>
      <w:r w:rsidR="00F72955" w:rsidRPr="00F72955">
        <w:rPr>
          <w:rFonts w:eastAsia="Gulim"/>
          <w:bCs/>
          <w:iCs/>
          <w:sz w:val="24"/>
          <w:szCs w:val="24"/>
        </w:rPr>
        <w:t>Guam’s recidivism rate between July 1, 201</w:t>
      </w:r>
      <w:r w:rsidR="00F72955">
        <w:rPr>
          <w:rFonts w:eastAsia="Gulim"/>
          <w:bCs/>
          <w:iCs/>
          <w:sz w:val="24"/>
          <w:szCs w:val="24"/>
        </w:rPr>
        <w:t>8</w:t>
      </w:r>
      <w:r w:rsidR="00F72955" w:rsidRPr="00F72955">
        <w:rPr>
          <w:rFonts w:eastAsia="Gulim"/>
          <w:bCs/>
          <w:iCs/>
          <w:sz w:val="24"/>
          <w:szCs w:val="24"/>
        </w:rPr>
        <w:t xml:space="preserve"> and Jun</w:t>
      </w:r>
      <w:r w:rsidR="00F72955" w:rsidRPr="00B3126E">
        <w:rPr>
          <w:rFonts w:eastAsia="Gulim"/>
          <w:bCs/>
          <w:iCs/>
          <w:sz w:val="24"/>
          <w:szCs w:val="24"/>
        </w:rPr>
        <w:t xml:space="preserve">e </w:t>
      </w:r>
      <w:r w:rsidRPr="00B3126E">
        <w:rPr>
          <w:rFonts w:eastAsia="Gulim"/>
          <w:bCs/>
          <w:iCs/>
          <w:sz w:val="24"/>
          <w:szCs w:val="24"/>
        </w:rPr>
        <w:t>3</w:t>
      </w:r>
      <w:r w:rsidR="00F72955" w:rsidRPr="00B3126E">
        <w:rPr>
          <w:rFonts w:eastAsia="Gulim"/>
          <w:bCs/>
          <w:iCs/>
          <w:sz w:val="24"/>
          <w:szCs w:val="24"/>
        </w:rPr>
        <w:t xml:space="preserve">0, 2019 is </w:t>
      </w:r>
      <w:r w:rsidRPr="00B3126E">
        <w:rPr>
          <w:rFonts w:eastAsia="Gulim"/>
          <w:bCs/>
          <w:iCs/>
          <w:sz w:val="24"/>
          <w:szCs w:val="24"/>
        </w:rPr>
        <w:t>1</w:t>
      </w:r>
      <w:r>
        <w:rPr>
          <w:rFonts w:eastAsia="Gulim"/>
          <w:bCs/>
          <w:iCs/>
          <w:sz w:val="24"/>
          <w:szCs w:val="24"/>
        </w:rPr>
        <w:t>8.7</w:t>
      </w:r>
      <w:r w:rsidRPr="00B3126E">
        <w:rPr>
          <w:rFonts w:eastAsia="Gulim"/>
          <w:bCs/>
          <w:iCs/>
          <w:sz w:val="24"/>
          <w:szCs w:val="24"/>
        </w:rPr>
        <w:t>%</w:t>
      </w:r>
      <w:r w:rsidR="00F72955" w:rsidRPr="00B3126E">
        <w:rPr>
          <w:rFonts w:eastAsia="Gulim"/>
          <w:bCs/>
          <w:iCs/>
          <w:sz w:val="24"/>
          <w:szCs w:val="24"/>
        </w:rPr>
        <w:t xml:space="preserve">. </w:t>
      </w:r>
      <w:r>
        <w:rPr>
          <w:rFonts w:eastAsia="Gulim"/>
          <w:bCs/>
          <w:iCs/>
          <w:sz w:val="24"/>
          <w:szCs w:val="24"/>
        </w:rPr>
        <w:t>That is, o</w:t>
      </w:r>
      <w:r w:rsidR="00F72955" w:rsidRPr="00B3126E">
        <w:rPr>
          <w:rFonts w:eastAsia="Gulim"/>
          <w:bCs/>
          <w:iCs/>
          <w:sz w:val="24"/>
          <w:szCs w:val="24"/>
        </w:rPr>
        <w:t>f the total number of inmates released (1</w:t>
      </w:r>
      <w:r w:rsidRPr="00B3126E">
        <w:rPr>
          <w:rFonts w:eastAsia="Gulim"/>
          <w:bCs/>
          <w:iCs/>
          <w:sz w:val="24"/>
          <w:szCs w:val="24"/>
        </w:rPr>
        <w:t>50</w:t>
      </w:r>
      <w:r w:rsidR="00F72955" w:rsidRPr="00B3126E">
        <w:rPr>
          <w:rFonts w:eastAsia="Gulim"/>
          <w:bCs/>
          <w:iCs/>
          <w:sz w:val="24"/>
          <w:szCs w:val="24"/>
        </w:rPr>
        <w:t xml:space="preserve">), </w:t>
      </w:r>
      <w:r w:rsidRPr="00B3126E">
        <w:rPr>
          <w:rFonts w:eastAsia="Gulim"/>
          <w:bCs/>
          <w:iCs/>
          <w:sz w:val="24"/>
          <w:szCs w:val="24"/>
        </w:rPr>
        <w:t>28</w:t>
      </w:r>
      <w:r w:rsidR="00F72955" w:rsidRPr="00B3126E">
        <w:rPr>
          <w:rFonts w:eastAsia="Gulim"/>
          <w:bCs/>
          <w:iCs/>
          <w:sz w:val="24"/>
          <w:szCs w:val="24"/>
        </w:rPr>
        <w:t xml:space="preserve"> or </w:t>
      </w:r>
      <w:r w:rsidRPr="00B3126E">
        <w:rPr>
          <w:rFonts w:eastAsia="Gulim"/>
          <w:bCs/>
          <w:iCs/>
          <w:sz w:val="24"/>
          <w:szCs w:val="24"/>
        </w:rPr>
        <w:t>1</w:t>
      </w:r>
      <w:r>
        <w:rPr>
          <w:rFonts w:eastAsia="Gulim"/>
          <w:bCs/>
          <w:iCs/>
          <w:sz w:val="24"/>
          <w:szCs w:val="24"/>
        </w:rPr>
        <w:t>8.7</w:t>
      </w:r>
      <w:r w:rsidR="00F72955" w:rsidRPr="00B3126E">
        <w:rPr>
          <w:rFonts w:eastAsia="Gulim"/>
          <w:bCs/>
          <w:iCs/>
          <w:sz w:val="24"/>
          <w:szCs w:val="24"/>
        </w:rPr>
        <w:t>% were rearrested during this period.</w:t>
      </w:r>
      <w:r w:rsidR="00F72955" w:rsidRPr="00F72955">
        <w:rPr>
          <w:rFonts w:eastAsia="Gulim"/>
          <w:bCs/>
          <w:iCs/>
          <w:sz w:val="24"/>
          <w:szCs w:val="24"/>
        </w:rPr>
        <w:t xml:space="preserve"> </w:t>
      </w:r>
    </w:p>
    <w:p w:rsidR="00F72955" w:rsidRPr="00F72955" w:rsidRDefault="00F72955" w:rsidP="00581469">
      <w:pPr>
        <w:pStyle w:val="Content"/>
        <w:spacing w:line="240" w:lineRule="auto"/>
        <w:ind w:left="720"/>
        <w:rPr>
          <w:color w:val="auto"/>
          <w:sz w:val="24"/>
          <w:szCs w:val="24"/>
        </w:rPr>
      </w:pPr>
      <w:bookmarkStart w:id="0" w:name="_GoBack"/>
      <w:bookmarkEnd w:id="0"/>
    </w:p>
    <w:sectPr w:rsidR="00F72955" w:rsidRPr="00F72955" w:rsidSect="00581469">
      <w:footerReference w:type="default" r:id="rId11"/>
      <w:pgSz w:w="12240" w:h="15840"/>
      <w:pgMar w:top="1440" w:right="1440" w:bottom="1440" w:left="1440" w:header="720" w:footer="1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71B1" w:rsidRDefault="002E71B1" w:rsidP="000E7573">
      <w:pPr>
        <w:spacing w:after="0" w:line="240" w:lineRule="auto"/>
      </w:pPr>
      <w:r>
        <w:separator/>
      </w:r>
    </w:p>
  </w:endnote>
  <w:endnote w:type="continuationSeparator" w:id="0">
    <w:p w:rsidR="002E71B1" w:rsidRDefault="002E71B1" w:rsidP="000E75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ulim">
    <w:altName w:val="굴림"/>
    <w:panose1 w:val="020B0600000101010101"/>
    <w:charset w:val="81"/>
    <w:family w:val="roman"/>
    <w:notTrueType/>
    <w:pitch w:val="fixed"/>
    <w:sig w:usb0="00000001" w:usb1="09060000" w:usb2="00000010" w:usb3="00000000" w:csb0="0008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45F6" w:rsidRDefault="005445F6">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rPr>
      <w:t xml:space="preserve">2019 </w:t>
    </w:r>
    <w:r w:rsidRPr="005445F6">
      <w:rPr>
        <w:smallCaps/>
        <w:color w:val="8496B0" w:themeColor="text2" w:themeTint="99"/>
        <w:spacing w:val="60"/>
        <w:sz w:val="24"/>
        <w:szCs w:val="24"/>
      </w:rPr>
      <w:t>Guam Consolidated Annual Report |</w:t>
    </w:r>
    <w:r w:rsidRPr="005445F6">
      <w:rPr>
        <w:smallCaps/>
        <w:sz w:val="24"/>
        <w:szCs w:val="24"/>
      </w:rPr>
      <w:t>Page</w:t>
    </w:r>
    <w:r w:rsidRPr="005445F6">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 xml:space="preserve"> PAGE   \* MERGEFORMAT </w:instrText>
    </w:r>
    <w:r>
      <w:rPr>
        <w:color w:val="323E4F" w:themeColor="text2" w:themeShade="BF"/>
        <w:sz w:val="24"/>
        <w:szCs w:val="24"/>
      </w:rPr>
      <w:fldChar w:fldCharType="separate"/>
    </w:r>
    <w:r w:rsidR="00436518">
      <w:rPr>
        <w:noProof/>
        <w:color w:val="323E4F" w:themeColor="text2" w:themeShade="BF"/>
        <w:sz w:val="24"/>
        <w:szCs w:val="24"/>
      </w:rPr>
      <w:t>7</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 xml:space="preserve"> NUMPAGES  \* Arabic  \* MERGEFORMAT </w:instrText>
    </w:r>
    <w:r>
      <w:rPr>
        <w:color w:val="323E4F" w:themeColor="text2" w:themeShade="BF"/>
        <w:sz w:val="24"/>
        <w:szCs w:val="24"/>
      </w:rPr>
      <w:fldChar w:fldCharType="separate"/>
    </w:r>
    <w:r w:rsidR="00436518">
      <w:rPr>
        <w:noProof/>
        <w:color w:val="323E4F" w:themeColor="text2" w:themeShade="BF"/>
        <w:sz w:val="24"/>
        <w:szCs w:val="24"/>
      </w:rPr>
      <w:t>7</w:t>
    </w:r>
    <w:r>
      <w:rPr>
        <w:color w:val="323E4F" w:themeColor="text2" w:themeShade="BF"/>
        <w:sz w:val="24"/>
        <w:szCs w:val="24"/>
      </w:rPr>
      <w:fldChar w:fldCharType="end"/>
    </w:r>
  </w:p>
  <w:p w:rsidR="005445F6" w:rsidRDefault="005445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71B1" w:rsidRDefault="002E71B1" w:rsidP="000E7573">
      <w:pPr>
        <w:spacing w:after="0" w:line="240" w:lineRule="auto"/>
      </w:pPr>
      <w:r>
        <w:separator/>
      </w:r>
    </w:p>
  </w:footnote>
  <w:footnote w:type="continuationSeparator" w:id="0">
    <w:p w:rsidR="002E71B1" w:rsidRDefault="002E71B1" w:rsidP="000E7573">
      <w:pPr>
        <w:spacing w:after="0" w:line="240" w:lineRule="auto"/>
      </w:pPr>
      <w:r>
        <w:continuationSeparator/>
      </w:r>
    </w:p>
  </w:footnote>
  <w:footnote w:id="1">
    <w:p w:rsidR="00115D51" w:rsidRDefault="009D03D9">
      <w:pPr>
        <w:pStyle w:val="FootnoteText"/>
      </w:pPr>
      <w:r>
        <w:rPr>
          <w:rStyle w:val="FootnoteReference"/>
        </w:rPr>
        <w:footnoteRef/>
      </w:r>
      <w:r>
        <w:t xml:space="preserve"> </w:t>
      </w:r>
      <w:r w:rsidR="00115D51">
        <w:t>WIOA State Plan for the territory of Guam FY2018, pg. 28</w:t>
      </w:r>
    </w:p>
  </w:footnote>
  <w:footnote w:id="2">
    <w:p w:rsidR="00C646A3" w:rsidRDefault="00C646A3">
      <w:pPr>
        <w:pStyle w:val="FootnoteText"/>
      </w:pPr>
      <w:r>
        <w:rPr>
          <w:rStyle w:val="FootnoteReference"/>
        </w:rPr>
        <w:footnoteRef/>
      </w:r>
      <w:r>
        <w:t xml:space="preserve"> Stole Weiss, J. (2019, November 24). Vice Speaker </w:t>
      </w:r>
      <w:proofErr w:type="spellStart"/>
      <w:r>
        <w:t>Telena</w:t>
      </w:r>
      <w:proofErr w:type="spellEnd"/>
      <w:r>
        <w:t xml:space="preserve"> Nelson: DOC prison changes to proceed. </w:t>
      </w:r>
      <w:r w:rsidRPr="00C646A3">
        <w:rPr>
          <w:i/>
        </w:rPr>
        <w:t>Pacific Daily News</w:t>
      </w:r>
      <w:r>
        <w:t>, Retr</w:t>
      </w:r>
      <w:r w:rsidR="0060638D">
        <w:t>i</w:t>
      </w:r>
      <w:r>
        <w:t xml:space="preserve">eved from </w:t>
      </w:r>
      <w:r w:rsidR="0060638D">
        <w:t>http://www.guampdn.com</w:t>
      </w:r>
      <w:r>
        <w:t xml:space="preserve"> </w:t>
      </w:r>
    </w:p>
    <w:p w:rsidR="00C646A3" w:rsidRDefault="00C646A3">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E3501"/>
    <w:multiLevelType w:val="hybridMultilevel"/>
    <w:tmpl w:val="89CCE8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3D3EAD"/>
    <w:multiLevelType w:val="hybridMultilevel"/>
    <w:tmpl w:val="D8BAD584"/>
    <w:lvl w:ilvl="0" w:tplc="DA322828">
      <w:start w:val="1"/>
      <w:numFmt w:val="upperRoman"/>
      <w:lvlText w:val="%1."/>
      <w:lvlJc w:val="left"/>
      <w:pPr>
        <w:ind w:left="978" w:hanging="720"/>
      </w:pPr>
      <w:rPr>
        <w:rFonts w:hint="default"/>
        <w:color w:val="0F0F0F"/>
      </w:rPr>
    </w:lvl>
    <w:lvl w:ilvl="1" w:tplc="04090019">
      <w:start w:val="1"/>
      <w:numFmt w:val="lowerLetter"/>
      <w:lvlText w:val="%2."/>
      <w:lvlJc w:val="left"/>
      <w:pPr>
        <w:ind w:left="1338" w:hanging="360"/>
      </w:pPr>
    </w:lvl>
    <w:lvl w:ilvl="2" w:tplc="0409001B">
      <w:start w:val="1"/>
      <w:numFmt w:val="lowerRoman"/>
      <w:lvlText w:val="%3."/>
      <w:lvlJc w:val="right"/>
      <w:pPr>
        <w:ind w:left="2058" w:hanging="180"/>
      </w:pPr>
    </w:lvl>
    <w:lvl w:ilvl="3" w:tplc="0409000F">
      <w:start w:val="1"/>
      <w:numFmt w:val="decimal"/>
      <w:lvlText w:val="%4."/>
      <w:lvlJc w:val="left"/>
      <w:pPr>
        <w:ind w:left="2778" w:hanging="360"/>
      </w:pPr>
    </w:lvl>
    <w:lvl w:ilvl="4" w:tplc="04090019">
      <w:start w:val="1"/>
      <w:numFmt w:val="lowerLetter"/>
      <w:lvlText w:val="%5."/>
      <w:lvlJc w:val="left"/>
      <w:pPr>
        <w:ind w:left="3498" w:hanging="360"/>
      </w:pPr>
    </w:lvl>
    <w:lvl w:ilvl="5" w:tplc="0409001B" w:tentative="1">
      <w:start w:val="1"/>
      <w:numFmt w:val="lowerRoman"/>
      <w:lvlText w:val="%6."/>
      <w:lvlJc w:val="right"/>
      <w:pPr>
        <w:ind w:left="4218" w:hanging="180"/>
      </w:pPr>
    </w:lvl>
    <w:lvl w:ilvl="6" w:tplc="0409000F" w:tentative="1">
      <w:start w:val="1"/>
      <w:numFmt w:val="decimal"/>
      <w:lvlText w:val="%7."/>
      <w:lvlJc w:val="left"/>
      <w:pPr>
        <w:ind w:left="4938" w:hanging="360"/>
      </w:pPr>
    </w:lvl>
    <w:lvl w:ilvl="7" w:tplc="04090019" w:tentative="1">
      <w:start w:val="1"/>
      <w:numFmt w:val="lowerLetter"/>
      <w:lvlText w:val="%8."/>
      <w:lvlJc w:val="left"/>
      <w:pPr>
        <w:ind w:left="5658" w:hanging="360"/>
      </w:pPr>
    </w:lvl>
    <w:lvl w:ilvl="8" w:tplc="0409001B" w:tentative="1">
      <w:start w:val="1"/>
      <w:numFmt w:val="lowerRoman"/>
      <w:lvlText w:val="%9."/>
      <w:lvlJc w:val="right"/>
      <w:pPr>
        <w:ind w:left="6378" w:hanging="180"/>
      </w:pPr>
    </w:lvl>
  </w:abstractNum>
  <w:abstractNum w:abstractNumId="2" w15:restartNumberingAfterBreak="0">
    <w:nsid w:val="0D5B081A"/>
    <w:multiLevelType w:val="hybridMultilevel"/>
    <w:tmpl w:val="1A8A8B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6D45CA"/>
    <w:multiLevelType w:val="hybridMultilevel"/>
    <w:tmpl w:val="2F2CFDD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1BD1953"/>
    <w:multiLevelType w:val="hybridMultilevel"/>
    <w:tmpl w:val="C976567E"/>
    <w:lvl w:ilvl="0" w:tplc="4F1C662A">
      <w:start w:val="1"/>
      <w:numFmt w:val="upperRoman"/>
      <w:lvlText w:val="%1."/>
      <w:lvlJc w:val="left"/>
      <w:pPr>
        <w:ind w:left="1763" w:hanging="720"/>
      </w:pPr>
      <w:rPr>
        <w:rFonts w:hint="default"/>
        <w:w w:val="100"/>
      </w:rPr>
    </w:lvl>
    <w:lvl w:ilvl="1" w:tplc="04090019">
      <w:start w:val="1"/>
      <w:numFmt w:val="lowerLetter"/>
      <w:lvlText w:val="%2."/>
      <w:lvlJc w:val="left"/>
      <w:pPr>
        <w:ind w:left="2123" w:hanging="360"/>
      </w:pPr>
    </w:lvl>
    <w:lvl w:ilvl="2" w:tplc="0409001B">
      <w:start w:val="1"/>
      <w:numFmt w:val="lowerRoman"/>
      <w:lvlText w:val="%3."/>
      <w:lvlJc w:val="right"/>
      <w:pPr>
        <w:ind w:left="2843" w:hanging="180"/>
      </w:pPr>
    </w:lvl>
    <w:lvl w:ilvl="3" w:tplc="0409000F">
      <w:start w:val="1"/>
      <w:numFmt w:val="decimal"/>
      <w:lvlText w:val="%4."/>
      <w:lvlJc w:val="left"/>
      <w:pPr>
        <w:ind w:left="3563" w:hanging="360"/>
      </w:pPr>
    </w:lvl>
    <w:lvl w:ilvl="4" w:tplc="04090019">
      <w:start w:val="1"/>
      <w:numFmt w:val="lowerLetter"/>
      <w:lvlText w:val="%5."/>
      <w:lvlJc w:val="left"/>
      <w:pPr>
        <w:ind w:left="4283" w:hanging="360"/>
      </w:pPr>
    </w:lvl>
    <w:lvl w:ilvl="5" w:tplc="0409001B" w:tentative="1">
      <w:start w:val="1"/>
      <w:numFmt w:val="lowerRoman"/>
      <w:lvlText w:val="%6."/>
      <w:lvlJc w:val="right"/>
      <w:pPr>
        <w:ind w:left="5003" w:hanging="180"/>
      </w:pPr>
    </w:lvl>
    <w:lvl w:ilvl="6" w:tplc="0409000F" w:tentative="1">
      <w:start w:val="1"/>
      <w:numFmt w:val="decimal"/>
      <w:lvlText w:val="%7."/>
      <w:lvlJc w:val="left"/>
      <w:pPr>
        <w:ind w:left="5723" w:hanging="360"/>
      </w:pPr>
    </w:lvl>
    <w:lvl w:ilvl="7" w:tplc="04090019" w:tentative="1">
      <w:start w:val="1"/>
      <w:numFmt w:val="lowerLetter"/>
      <w:lvlText w:val="%8."/>
      <w:lvlJc w:val="left"/>
      <w:pPr>
        <w:ind w:left="6443" w:hanging="360"/>
      </w:pPr>
    </w:lvl>
    <w:lvl w:ilvl="8" w:tplc="0409001B" w:tentative="1">
      <w:start w:val="1"/>
      <w:numFmt w:val="lowerRoman"/>
      <w:lvlText w:val="%9."/>
      <w:lvlJc w:val="right"/>
      <w:pPr>
        <w:ind w:left="7163" w:hanging="180"/>
      </w:pPr>
    </w:lvl>
  </w:abstractNum>
  <w:abstractNum w:abstractNumId="5" w15:restartNumberingAfterBreak="0">
    <w:nsid w:val="635F0D8C"/>
    <w:multiLevelType w:val="hybridMultilevel"/>
    <w:tmpl w:val="6FDA95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D645245"/>
    <w:multiLevelType w:val="hybridMultilevel"/>
    <w:tmpl w:val="42D66184"/>
    <w:lvl w:ilvl="0" w:tplc="7A7C69EE">
      <w:start w:val="1"/>
      <w:numFmt w:val="decimal"/>
      <w:lvlText w:val="%1."/>
      <w:lvlJc w:val="left"/>
      <w:pPr>
        <w:ind w:left="720" w:hanging="360"/>
      </w:pPr>
      <w:rPr>
        <w:rFonts w:hint="default"/>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71536A3"/>
    <w:multiLevelType w:val="hybridMultilevel"/>
    <w:tmpl w:val="405EB1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6"/>
  </w:num>
  <w:num w:numId="4">
    <w:abstractNumId w:val="5"/>
  </w:num>
  <w:num w:numId="5">
    <w:abstractNumId w:val="4"/>
  </w:num>
  <w:num w:numId="6">
    <w:abstractNumId w:val="1"/>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5BC"/>
    <w:rsid w:val="0002492D"/>
    <w:rsid w:val="00033ECD"/>
    <w:rsid w:val="00037B45"/>
    <w:rsid w:val="00040BB6"/>
    <w:rsid w:val="00045E61"/>
    <w:rsid w:val="0005006E"/>
    <w:rsid w:val="000554B5"/>
    <w:rsid w:val="00061E58"/>
    <w:rsid w:val="00064FD6"/>
    <w:rsid w:val="0006637F"/>
    <w:rsid w:val="00083A90"/>
    <w:rsid w:val="000A0439"/>
    <w:rsid w:val="000B4D53"/>
    <w:rsid w:val="000C69C8"/>
    <w:rsid w:val="000E3AFD"/>
    <w:rsid w:val="000E7573"/>
    <w:rsid w:val="000F4E94"/>
    <w:rsid w:val="001147E6"/>
    <w:rsid w:val="00115355"/>
    <w:rsid w:val="00115D51"/>
    <w:rsid w:val="00124B8D"/>
    <w:rsid w:val="00137D4B"/>
    <w:rsid w:val="00145554"/>
    <w:rsid w:val="001463E3"/>
    <w:rsid w:val="001725BC"/>
    <w:rsid w:val="00184E3B"/>
    <w:rsid w:val="001A7585"/>
    <w:rsid w:val="001D045C"/>
    <w:rsid w:val="00203963"/>
    <w:rsid w:val="00224774"/>
    <w:rsid w:val="00235054"/>
    <w:rsid w:val="00240D0A"/>
    <w:rsid w:val="002457EC"/>
    <w:rsid w:val="00290FF1"/>
    <w:rsid w:val="00295F8B"/>
    <w:rsid w:val="002E71B1"/>
    <w:rsid w:val="002F07FF"/>
    <w:rsid w:val="00300DD4"/>
    <w:rsid w:val="00300F0B"/>
    <w:rsid w:val="003019BD"/>
    <w:rsid w:val="0032403B"/>
    <w:rsid w:val="00341D7E"/>
    <w:rsid w:val="00361A5F"/>
    <w:rsid w:val="00375C24"/>
    <w:rsid w:val="00386E71"/>
    <w:rsid w:val="003B6802"/>
    <w:rsid w:val="0040214F"/>
    <w:rsid w:val="004152A1"/>
    <w:rsid w:val="0043016D"/>
    <w:rsid w:val="00436518"/>
    <w:rsid w:val="00463EF0"/>
    <w:rsid w:val="00482644"/>
    <w:rsid w:val="00491E9E"/>
    <w:rsid w:val="004C18FD"/>
    <w:rsid w:val="004F2768"/>
    <w:rsid w:val="004F3E2D"/>
    <w:rsid w:val="00500E09"/>
    <w:rsid w:val="005014CD"/>
    <w:rsid w:val="00530591"/>
    <w:rsid w:val="00535374"/>
    <w:rsid w:val="00537D83"/>
    <w:rsid w:val="005445F6"/>
    <w:rsid w:val="00545C33"/>
    <w:rsid w:val="005569AA"/>
    <w:rsid w:val="005665E9"/>
    <w:rsid w:val="005722F9"/>
    <w:rsid w:val="005779FA"/>
    <w:rsid w:val="00581469"/>
    <w:rsid w:val="00586C3F"/>
    <w:rsid w:val="00591C84"/>
    <w:rsid w:val="005939D6"/>
    <w:rsid w:val="005A14B6"/>
    <w:rsid w:val="005B11C8"/>
    <w:rsid w:val="005E6A23"/>
    <w:rsid w:val="005F2C99"/>
    <w:rsid w:val="006029D7"/>
    <w:rsid w:val="0060638D"/>
    <w:rsid w:val="00613363"/>
    <w:rsid w:val="00637D11"/>
    <w:rsid w:val="006478EB"/>
    <w:rsid w:val="006631B0"/>
    <w:rsid w:val="006A2B01"/>
    <w:rsid w:val="006A6387"/>
    <w:rsid w:val="006E55F1"/>
    <w:rsid w:val="006F0031"/>
    <w:rsid w:val="006F5D1C"/>
    <w:rsid w:val="007045BC"/>
    <w:rsid w:val="0070523D"/>
    <w:rsid w:val="0071698A"/>
    <w:rsid w:val="00721E1C"/>
    <w:rsid w:val="007268BF"/>
    <w:rsid w:val="00764347"/>
    <w:rsid w:val="00786340"/>
    <w:rsid w:val="00791B3D"/>
    <w:rsid w:val="00796EF7"/>
    <w:rsid w:val="007A3F70"/>
    <w:rsid w:val="007D7FEE"/>
    <w:rsid w:val="007E4C89"/>
    <w:rsid w:val="007F0E70"/>
    <w:rsid w:val="008307E6"/>
    <w:rsid w:val="0083443F"/>
    <w:rsid w:val="00854946"/>
    <w:rsid w:val="00857DFC"/>
    <w:rsid w:val="00874DD1"/>
    <w:rsid w:val="00880D29"/>
    <w:rsid w:val="008818FF"/>
    <w:rsid w:val="00886F7B"/>
    <w:rsid w:val="00894622"/>
    <w:rsid w:val="008B0F8B"/>
    <w:rsid w:val="008C0E5A"/>
    <w:rsid w:val="008C5CE0"/>
    <w:rsid w:val="008C6831"/>
    <w:rsid w:val="008E5CCB"/>
    <w:rsid w:val="009023BA"/>
    <w:rsid w:val="00907385"/>
    <w:rsid w:val="00922E13"/>
    <w:rsid w:val="00927904"/>
    <w:rsid w:val="00941811"/>
    <w:rsid w:val="0096170F"/>
    <w:rsid w:val="0097552A"/>
    <w:rsid w:val="00985309"/>
    <w:rsid w:val="009C16E5"/>
    <w:rsid w:val="009D03D9"/>
    <w:rsid w:val="009E7455"/>
    <w:rsid w:val="009F4C84"/>
    <w:rsid w:val="00A2706B"/>
    <w:rsid w:val="00A31745"/>
    <w:rsid w:val="00A4017D"/>
    <w:rsid w:val="00A41FFD"/>
    <w:rsid w:val="00A511D0"/>
    <w:rsid w:val="00A6463C"/>
    <w:rsid w:val="00A67F27"/>
    <w:rsid w:val="00A82FE1"/>
    <w:rsid w:val="00AE7861"/>
    <w:rsid w:val="00B01185"/>
    <w:rsid w:val="00B03015"/>
    <w:rsid w:val="00B215DE"/>
    <w:rsid w:val="00B3126E"/>
    <w:rsid w:val="00B36390"/>
    <w:rsid w:val="00B37B90"/>
    <w:rsid w:val="00B42885"/>
    <w:rsid w:val="00B5347A"/>
    <w:rsid w:val="00B660DC"/>
    <w:rsid w:val="00B860FC"/>
    <w:rsid w:val="00B86D1A"/>
    <w:rsid w:val="00BA5F10"/>
    <w:rsid w:val="00BC035F"/>
    <w:rsid w:val="00BC50A8"/>
    <w:rsid w:val="00BE3521"/>
    <w:rsid w:val="00BE67D3"/>
    <w:rsid w:val="00BF04A4"/>
    <w:rsid w:val="00C20413"/>
    <w:rsid w:val="00C34AED"/>
    <w:rsid w:val="00C57C5F"/>
    <w:rsid w:val="00C62AC7"/>
    <w:rsid w:val="00C646A3"/>
    <w:rsid w:val="00C871D6"/>
    <w:rsid w:val="00C975FB"/>
    <w:rsid w:val="00CD1D00"/>
    <w:rsid w:val="00D31B4C"/>
    <w:rsid w:val="00D42BF0"/>
    <w:rsid w:val="00D65A64"/>
    <w:rsid w:val="00D7605A"/>
    <w:rsid w:val="00D81863"/>
    <w:rsid w:val="00DB2A33"/>
    <w:rsid w:val="00DC3070"/>
    <w:rsid w:val="00DF0ECB"/>
    <w:rsid w:val="00E06EDC"/>
    <w:rsid w:val="00E70C9D"/>
    <w:rsid w:val="00E86B85"/>
    <w:rsid w:val="00EB2337"/>
    <w:rsid w:val="00ED198E"/>
    <w:rsid w:val="00EF1F89"/>
    <w:rsid w:val="00F06EF1"/>
    <w:rsid w:val="00F22DA8"/>
    <w:rsid w:val="00F41E22"/>
    <w:rsid w:val="00F644CA"/>
    <w:rsid w:val="00F72955"/>
    <w:rsid w:val="00F928FA"/>
    <w:rsid w:val="00FC360D"/>
    <w:rsid w:val="00FD4D84"/>
    <w:rsid w:val="00FD7F57"/>
    <w:rsid w:val="00FF59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610799F-EEC2-43BB-8C4C-17C3F9F73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4"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4"/>
    <w:qFormat/>
    <w:rsid w:val="007045BC"/>
    <w:pPr>
      <w:keepNext/>
      <w:spacing w:after="240" w:line="240" w:lineRule="auto"/>
      <w:outlineLvl w:val="1"/>
    </w:pPr>
    <w:rPr>
      <w:rFonts w:eastAsiaTheme="majorEastAsia" w:cstheme="majorBidi"/>
      <w:color w:val="44546A" w:themeColor="text2"/>
      <w:sz w:val="3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ent">
    <w:name w:val="Content"/>
    <w:basedOn w:val="Normal"/>
    <w:link w:val="ContentChar"/>
    <w:qFormat/>
    <w:rsid w:val="007045BC"/>
    <w:pPr>
      <w:spacing w:after="0" w:line="276" w:lineRule="auto"/>
    </w:pPr>
    <w:rPr>
      <w:rFonts w:eastAsiaTheme="minorEastAsia"/>
      <w:color w:val="44546A" w:themeColor="text2"/>
      <w:sz w:val="28"/>
    </w:rPr>
  </w:style>
  <w:style w:type="character" w:customStyle="1" w:styleId="ContentChar">
    <w:name w:val="Content Char"/>
    <w:basedOn w:val="DefaultParagraphFont"/>
    <w:link w:val="Content"/>
    <w:rsid w:val="007045BC"/>
    <w:rPr>
      <w:rFonts w:eastAsiaTheme="minorEastAsia"/>
      <w:color w:val="44546A" w:themeColor="text2"/>
      <w:sz w:val="28"/>
    </w:rPr>
  </w:style>
  <w:style w:type="paragraph" w:styleId="ListParagraph">
    <w:name w:val="List Paragraph"/>
    <w:basedOn w:val="Normal"/>
    <w:uiPriority w:val="34"/>
    <w:qFormat/>
    <w:rsid w:val="007045BC"/>
    <w:pPr>
      <w:ind w:left="720"/>
      <w:contextualSpacing/>
    </w:pPr>
  </w:style>
  <w:style w:type="character" w:customStyle="1" w:styleId="Heading2Char">
    <w:name w:val="Heading 2 Char"/>
    <w:basedOn w:val="DefaultParagraphFont"/>
    <w:link w:val="Heading2"/>
    <w:uiPriority w:val="4"/>
    <w:rsid w:val="007045BC"/>
    <w:rPr>
      <w:rFonts w:eastAsiaTheme="majorEastAsia" w:cstheme="majorBidi"/>
      <w:color w:val="44546A" w:themeColor="text2"/>
      <w:sz w:val="36"/>
      <w:szCs w:val="26"/>
    </w:rPr>
  </w:style>
  <w:style w:type="paragraph" w:styleId="BalloonText">
    <w:name w:val="Balloon Text"/>
    <w:basedOn w:val="Normal"/>
    <w:link w:val="BalloonTextChar"/>
    <w:uiPriority w:val="99"/>
    <w:semiHidden/>
    <w:unhideWhenUsed/>
    <w:rsid w:val="007045BC"/>
    <w:pPr>
      <w:spacing w:after="0" w:line="276" w:lineRule="auto"/>
    </w:pPr>
    <w:rPr>
      <w:rFonts w:ascii="Tahoma" w:eastAsiaTheme="minorEastAsia" w:hAnsi="Tahoma" w:cs="Tahoma"/>
      <w:b/>
      <w:color w:val="44546A" w:themeColor="text2"/>
      <w:sz w:val="16"/>
      <w:szCs w:val="16"/>
    </w:rPr>
  </w:style>
  <w:style w:type="character" w:customStyle="1" w:styleId="BalloonTextChar">
    <w:name w:val="Balloon Text Char"/>
    <w:basedOn w:val="DefaultParagraphFont"/>
    <w:link w:val="BalloonText"/>
    <w:uiPriority w:val="99"/>
    <w:semiHidden/>
    <w:rsid w:val="007045BC"/>
    <w:rPr>
      <w:rFonts w:ascii="Tahoma" w:eastAsiaTheme="minorEastAsia" w:hAnsi="Tahoma" w:cs="Tahoma"/>
      <w:b/>
      <w:color w:val="44546A" w:themeColor="text2"/>
      <w:sz w:val="16"/>
      <w:szCs w:val="16"/>
    </w:rPr>
  </w:style>
  <w:style w:type="paragraph" w:styleId="FootnoteText">
    <w:name w:val="footnote text"/>
    <w:basedOn w:val="Normal"/>
    <w:link w:val="FootnoteTextChar"/>
    <w:semiHidden/>
    <w:rsid w:val="000E7573"/>
    <w:pPr>
      <w:spacing w:after="0" w:line="276" w:lineRule="auto"/>
      <w:ind w:left="994"/>
      <w:jc w:val="both"/>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0E7573"/>
    <w:rPr>
      <w:rFonts w:ascii="Times New Roman" w:eastAsia="Times New Roman" w:hAnsi="Times New Roman" w:cs="Times New Roman"/>
      <w:sz w:val="20"/>
      <w:szCs w:val="20"/>
    </w:rPr>
  </w:style>
  <w:style w:type="character" w:styleId="FootnoteReference">
    <w:name w:val="footnote reference"/>
    <w:semiHidden/>
    <w:rsid w:val="000E7573"/>
    <w:rPr>
      <w:rFonts w:cs="Times New Roman"/>
      <w:vertAlign w:val="superscript"/>
    </w:rPr>
  </w:style>
  <w:style w:type="paragraph" w:styleId="NormalWeb">
    <w:name w:val="Normal (Web)"/>
    <w:basedOn w:val="Normal"/>
    <w:uiPriority w:val="99"/>
    <w:semiHidden/>
    <w:unhideWhenUsed/>
    <w:rsid w:val="00C646A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ample-citation">
    <w:name w:val="sample-citation"/>
    <w:basedOn w:val="Normal"/>
    <w:rsid w:val="00C646A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15D51"/>
    <w:rPr>
      <w:i/>
      <w:iCs/>
    </w:rPr>
  </w:style>
  <w:style w:type="paragraph" w:styleId="Header">
    <w:name w:val="header"/>
    <w:basedOn w:val="Normal"/>
    <w:link w:val="HeaderChar"/>
    <w:uiPriority w:val="99"/>
    <w:unhideWhenUsed/>
    <w:rsid w:val="005445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45F6"/>
  </w:style>
  <w:style w:type="paragraph" w:styleId="Footer">
    <w:name w:val="footer"/>
    <w:basedOn w:val="Normal"/>
    <w:link w:val="FooterChar"/>
    <w:uiPriority w:val="99"/>
    <w:unhideWhenUsed/>
    <w:rsid w:val="005445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45F6"/>
  </w:style>
  <w:style w:type="character" w:styleId="Hyperlink">
    <w:name w:val="Hyperlink"/>
    <w:basedOn w:val="DefaultParagraphFont"/>
    <w:uiPriority w:val="99"/>
    <w:semiHidden/>
    <w:unhideWhenUsed/>
    <w:rsid w:val="007A3F7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715846">
      <w:bodyDiv w:val="1"/>
      <w:marLeft w:val="0"/>
      <w:marRight w:val="0"/>
      <w:marTop w:val="0"/>
      <w:marBottom w:val="0"/>
      <w:divBdr>
        <w:top w:val="none" w:sz="0" w:space="0" w:color="auto"/>
        <w:left w:val="none" w:sz="0" w:space="0" w:color="auto"/>
        <w:bottom w:val="none" w:sz="0" w:space="0" w:color="auto"/>
        <w:right w:val="none" w:sz="0" w:space="0" w:color="auto"/>
      </w:divBdr>
    </w:div>
    <w:div w:id="1226144901">
      <w:bodyDiv w:val="1"/>
      <w:marLeft w:val="0"/>
      <w:marRight w:val="0"/>
      <w:marTop w:val="0"/>
      <w:marBottom w:val="0"/>
      <w:divBdr>
        <w:top w:val="none" w:sz="0" w:space="0" w:color="auto"/>
        <w:left w:val="none" w:sz="0" w:space="0" w:color="auto"/>
        <w:bottom w:val="none" w:sz="0" w:space="0" w:color="auto"/>
        <w:right w:val="none" w:sz="0" w:space="0" w:color="auto"/>
      </w:divBdr>
    </w:div>
    <w:div w:id="1349600256">
      <w:bodyDiv w:val="1"/>
      <w:marLeft w:val="0"/>
      <w:marRight w:val="0"/>
      <w:marTop w:val="0"/>
      <w:marBottom w:val="0"/>
      <w:divBdr>
        <w:top w:val="none" w:sz="0" w:space="0" w:color="auto"/>
        <w:left w:val="none" w:sz="0" w:space="0" w:color="auto"/>
        <w:bottom w:val="none" w:sz="0" w:space="0" w:color="auto"/>
        <w:right w:val="none" w:sz="0" w:space="0" w:color="auto"/>
      </w:divBdr>
    </w:div>
    <w:div w:id="1416436189">
      <w:bodyDiv w:val="1"/>
      <w:marLeft w:val="0"/>
      <w:marRight w:val="0"/>
      <w:marTop w:val="0"/>
      <w:marBottom w:val="0"/>
      <w:divBdr>
        <w:top w:val="none" w:sz="0" w:space="0" w:color="auto"/>
        <w:left w:val="none" w:sz="0" w:space="0" w:color="auto"/>
        <w:bottom w:val="none" w:sz="0" w:space="0" w:color="auto"/>
        <w:right w:val="none" w:sz="0" w:space="0" w:color="auto"/>
      </w:divBdr>
    </w:div>
    <w:div w:id="1788501046">
      <w:bodyDiv w:val="1"/>
      <w:marLeft w:val="0"/>
      <w:marRight w:val="0"/>
      <w:marTop w:val="0"/>
      <w:marBottom w:val="0"/>
      <w:divBdr>
        <w:top w:val="none" w:sz="0" w:space="0" w:color="auto"/>
        <w:left w:val="none" w:sz="0" w:space="0" w:color="auto"/>
        <w:bottom w:val="none" w:sz="0" w:space="0" w:color="auto"/>
        <w:right w:val="none" w:sz="0" w:space="0" w:color="auto"/>
      </w:divBdr>
    </w:div>
    <w:div w:id="2033409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4C8D9E-E41B-485A-A6F0-E2F029341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2368</TotalTime>
  <Pages>7</Pages>
  <Words>2094</Words>
  <Characters>11936</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dept user</dc:creator>
  <cp:keywords/>
  <dc:description/>
  <cp:lastModifiedBy>dept user</cp:lastModifiedBy>
  <cp:revision>132</cp:revision>
  <cp:lastPrinted>2019-12-12T22:30:00Z</cp:lastPrinted>
  <dcterms:created xsi:type="dcterms:W3CDTF">2019-12-04T06:47:00Z</dcterms:created>
  <dcterms:modified xsi:type="dcterms:W3CDTF">2019-12-27T04:35:00Z</dcterms:modified>
</cp:coreProperties>
</file>