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A6013" w14:textId="77777777" w:rsidR="007075C3" w:rsidRPr="00CC1527" w:rsidRDefault="007075C3" w:rsidP="007075C3">
      <w:pPr>
        <w:pStyle w:val="Title"/>
        <w:rPr>
          <w:color w:val="auto"/>
          <w:sz w:val="28"/>
        </w:rPr>
      </w:pPr>
      <w:r w:rsidRPr="00CC1527">
        <w:rPr>
          <w:color w:val="auto"/>
          <w:sz w:val="28"/>
        </w:rPr>
        <w:t>Texas Adult Education and Literacy End of Year Report</w:t>
      </w:r>
    </w:p>
    <w:p w14:paraId="27049C09" w14:textId="77777777" w:rsidR="007075C3" w:rsidRPr="00CC1527" w:rsidRDefault="007075C3" w:rsidP="007075C3">
      <w:pPr>
        <w:pStyle w:val="Title"/>
        <w:rPr>
          <w:color w:val="auto"/>
          <w:sz w:val="28"/>
        </w:rPr>
      </w:pPr>
      <w:r w:rsidRPr="00CC1527">
        <w:rPr>
          <w:color w:val="auto"/>
          <w:sz w:val="28"/>
        </w:rPr>
        <w:t>Program Year 2017–2018</w:t>
      </w:r>
    </w:p>
    <w:p w14:paraId="76E2C4A8" w14:textId="77777777" w:rsidR="007075C3" w:rsidRDefault="007075C3" w:rsidP="009B13BE">
      <w:pPr>
        <w:pStyle w:val="Heading1"/>
        <w:ind w:left="0"/>
      </w:pPr>
      <w:r>
        <w:t>Executive Summary</w:t>
      </w:r>
    </w:p>
    <w:p w14:paraId="749F547E" w14:textId="21B30CB8" w:rsidR="007075C3" w:rsidRPr="006820AB" w:rsidRDefault="009B13BE" w:rsidP="00284F35">
      <w:pPr>
        <w:pStyle w:val="BodyText"/>
        <w:tabs>
          <w:tab w:val="left" w:pos="1170"/>
        </w:tabs>
      </w:pPr>
      <w:r>
        <w:t xml:space="preserve">In </w:t>
      </w:r>
      <w:r w:rsidR="00D33E2F">
        <w:t>P</w:t>
      </w:r>
      <w:r>
        <w:t xml:space="preserve">rogram </w:t>
      </w:r>
      <w:r w:rsidR="00D33E2F">
        <w:t>Y</w:t>
      </w:r>
      <w:r>
        <w:t>ear 2017</w:t>
      </w:r>
      <w:r w:rsidR="00D33E2F">
        <w:t>–20</w:t>
      </w:r>
      <w:r>
        <w:t>18</w:t>
      </w:r>
      <w:r w:rsidR="00D33E2F">
        <w:t xml:space="preserve"> (PY’1</w:t>
      </w:r>
      <w:r w:rsidR="0088661A">
        <w:t>7</w:t>
      </w:r>
      <w:r w:rsidR="00D33E2F">
        <w:t>–’1</w:t>
      </w:r>
      <w:r w:rsidR="0088661A">
        <w:t>8</w:t>
      </w:r>
      <w:r w:rsidR="00D33E2F">
        <w:t>)</w:t>
      </w:r>
      <w:r>
        <w:t xml:space="preserve">, </w:t>
      </w:r>
      <w:r w:rsidR="00837C27">
        <w:t>the Texas Workforce Commission’s (</w:t>
      </w:r>
      <w:r>
        <w:t>TWC</w:t>
      </w:r>
      <w:r w:rsidR="00837C27">
        <w:t>)</w:t>
      </w:r>
      <w:r>
        <w:t xml:space="preserve"> f</w:t>
      </w:r>
      <w:r w:rsidR="007075C3" w:rsidRPr="006820AB">
        <w:t xml:space="preserve">ull implementation of the Workforce </w:t>
      </w:r>
      <w:r w:rsidR="00CC707D">
        <w:t>Innovation</w:t>
      </w:r>
      <w:r w:rsidR="00CC707D" w:rsidRPr="006820AB">
        <w:t xml:space="preserve"> </w:t>
      </w:r>
      <w:r w:rsidR="007075C3" w:rsidRPr="006820AB">
        <w:t>and Opportunity Act</w:t>
      </w:r>
      <w:r w:rsidR="00CC707D">
        <w:t xml:space="preserve"> (WIOA)</w:t>
      </w:r>
      <w:r w:rsidR="007075C3" w:rsidRPr="006820AB">
        <w:t xml:space="preserve"> supported TWC’s vision </w:t>
      </w:r>
      <w:r w:rsidR="008A32F5">
        <w:t xml:space="preserve">for </w:t>
      </w:r>
      <w:r w:rsidR="007075C3">
        <w:t xml:space="preserve">the </w:t>
      </w:r>
      <w:r w:rsidR="00D33E2F">
        <w:t>Adult Education and Literacy (</w:t>
      </w:r>
      <w:r w:rsidR="007075C3" w:rsidRPr="006820AB">
        <w:t>AEL</w:t>
      </w:r>
      <w:r w:rsidR="00D33E2F">
        <w:t>)</w:t>
      </w:r>
      <w:r w:rsidR="007075C3" w:rsidRPr="006820AB">
        <w:t xml:space="preserve"> </w:t>
      </w:r>
      <w:r w:rsidR="007075C3">
        <w:t>program</w:t>
      </w:r>
      <w:r w:rsidR="008A32F5">
        <w:t>, establishing AEL</w:t>
      </w:r>
      <w:r w:rsidR="007075C3">
        <w:t xml:space="preserve"> </w:t>
      </w:r>
      <w:r w:rsidR="007075C3" w:rsidRPr="006820AB">
        <w:t xml:space="preserve">as a full and </w:t>
      </w:r>
      <w:r w:rsidR="00672E27">
        <w:t xml:space="preserve">significant </w:t>
      </w:r>
      <w:r w:rsidR="007075C3" w:rsidRPr="006820AB">
        <w:t xml:space="preserve">partner in the Texas </w:t>
      </w:r>
      <w:r w:rsidR="007075C3">
        <w:t>w</w:t>
      </w:r>
      <w:r w:rsidR="007075C3" w:rsidRPr="006820AB">
        <w:t xml:space="preserve">orkforce </w:t>
      </w:r>
      <w:r w:rsidR="007075C3">
        <w:t>s</w:t>
      </w:r>
      <w:r w:rsidR="007075C3" w:rsidRPr="006820AB">
        <w:t xml:space="preserve">ystem </w:t>
      </w:r>
      <w:r w:rsidR="00055E5A">
        <w:t xml:space="preserve">by aligning </w:t>
      </w:r>
      <w:r w:rsidR="007075C3" w:rsidRPr="006820AB">
        <w:t xml:space="preserve">accountability models </w:t>
      </w:r>
      <w:r w:rsidR="007075C3">
        <w:t>with</w:t>
      </w:r>
      <w:r w:rsidR="007075C3" w:rsidRPr="006820AB">
        <w:t xml:space="preserve"> objectives </w:t>
      </w:r>
      <w:r w:rsidR="00055E5A">
        <w:t xml:space="preserve">that </w:t>
      </w:r>
      <w:r w:rsidR="007075C3" w:rsidRPr="006820AB">
        <w:t xml:space="preserve">support </w:t>
      </w:r>
      <w:r w:rsidR="007075C3">
        <w:t>all</w:t>
      </w:r>
      <w:r w:rsidR="007075C3" w:rsidRPr="006820AB">
        <w:t xml:space="preserve"> customers with service delivery.</w:t>
      </w:r>
      <w:r w:rsidR="00790CFA">
        <w:t xml:space="preserve"> </w:t>
      </w:r>
      <w:r w:rsidR="00FE0337">
        <w:t xml:space="preserve">By contracting with </w:t>
      </w:r>
      <w:r>
        <w:t xml:space="preserve">core provider grantees and </w:t>
      </w:r>
      <w:r w:rsidR="00EC644D">
        <w:t>implement</w:t>
      </w:r>
      <w:r w:rsidR="00FE0337">
        <w:t xml:space="preserve">ing </w:t>
      </w:r>
      <w:r w:rsidR="0005457A">
        <w:t>S</w:t>
      </w:r>
      <w:r>
        <w:t xml:space="preserve">tate </w:t>
      </w:r>
      <w:r w:rsidR="0005457A">
        <w:t>L</w:t>
      </w:r>
      <w:r>
        <w:t xml:space="preserve">eadership projects, TWC continued </w:t>
      </w:r>
      <w:r w:rsidR="002F3208">
        <w:t xml:space="preserve">to expand </w:t>
      </w:r>
      <w:r w:rsidR="004009A9">
        <w:t xml:space="preserve">the </w:t>
      </w:r>
      <w:r>
        <w:t xml:space="preserve">career pathways </w:t>
      </w:r>
      <w:r w:rsidR="008A32F5">
        <w:t xml:space="preserve">and has already served 22,243 participants, surpassing </w:t>
      </w:r>
      <w:r w:rsidR="008E0896">
        <w:t xml:space="preserve">the </w:t>
      </w:r>
      <w:r>
        <w:t>AEL</w:t>
      </w:r>
      <w:r w:rsidR="00F535F7">
        <w:t xml:space="preserve"> </w:t>
      </w:r>
      <w:r>
        <w:t xml:space="preserve">milestone of serving </w:t>
      </w:r>
      <w:r w:rsidR="00F87C75">
        <w:t xml:space="preserve">a cumulative </w:t>
      </w:r>
      <w:r>
        <w:t>20,000 participants in career pathway programs by 2020.</w:t>
      </w:r>
    </w:p>
    <w:p w14:paraId="1F796288" w14:textId="77777777" w:rsidR="007075C3" w:rsidRPr="00F41B7B" w:rsidRDefault="007075C3" w:rsidP="00F41B7B">
      <w:pPr>
        <w:pStyle w:val="BodyText"/>
      </w:pPr>
    </w:p>
    <w:p w14:paraId="0EC5BF85" w14:textId="25FABD40" w:rsidR="007075C3" w:rsidRDefault="0050099C" w:rsidP="00F41B7B">
      <w:pPr>
        <w:pStyle w:val="BodyText"/>
      </w:pPr>
      <w:r>
        <w:t xml:space="preserve">The </w:t>
      </w:r>
      <w:r w:rsidR="007075C3" w:rsidRPr="00F41B7B">
        <w:t>competition fo</w:t>
      </w:r>
      <w:r w:rsidR="007075C3" w:rsidRPr="006820AB">
        <w:t xml:space="preserve">r </w:t>
      </w:r>
      <w:r w:rsidR="00B4605B">
        <w:t xml:space="preserve">receiving </w:t>
      </w:r>
      <w:r w:rsidR="007075C3" w:rsidRPr="006820AB">
        <w:t xml:space="preserve">new grants beginning </w:t>
      </w:r>
      <w:r w:rsidR="007075C3">
        <w:t xml:space="preserve">in </w:t>
      </w:r>
      <w:r w:rsidR="007075C3" w:rsidRPr="006820AB">
        <w:t xml:space="preserve">2018 built on the vast enhancement </w:t>
      </w:r>
      <w:r w:rsidR="00840458">
        <w:t xml:space="preserve">that </w:t>
      </w:r>
      <w:r w:rsidR="007075C3" w:rsidRPr="006820AB">
        <w:t xml:space="preserve">the AEL program </w:t>
      </w:r>
      <w:r w:rsidR="003357DE">
        <w:t xml:space="preserve">made </w:t>
      </w:r>
      <w:r w:rsidR="007075C3" w:rsidRPr="006820AB">
        <w:t>in its first five years at TWC</w:t>
      </w:r>
      <w:r>
        <w:t>. The new grants expanded the</w:t>
      </w:r>
      <w:r w:rsidR="007075C3" w:rsidRPr="006820AB">
        <w:t xml:space="preserve"> requirements </w:t>
      </w:r>
      <w:r w:rsidR="00B4605B">
        <w:t xml:space="preserve">on </w:t>
      </w:r>
      <w:r>
        <w:t>aligning</w:t>
      </w:r>
      <w:r w:rsidR="007075C3" w:rsidRPr="006820AB">
        <w:t xml:space="preserve"> AEL services </w:t>
      </w:r>
      <w:r w:rsidR="007075C3">
        <w:t>with</w:t>
      </w:r>
      <w:r w:rsidR="007075C3" w:rsidRPr="006820AB">
        <w:t xml:space="preserve"> in-demand jobs </w:t>
      </w:r>
      <w:r w:rsidR="007075C3">
        <w:t xml:space="preserve">and </w:t>
      </w:r>
      <w:r w:rsidR="00B4605B">
        <w:t xml:space="preserve">implementing the </w:t>
      </w:r>
      <w:r w:rsidR="007075C3" w:rsidRPr="006820AB">
        <w:t>career pathway</w:t>
      </w:r>
      <w:r w:rsidR="007075C3">
        <w:t>s</w:t>
      </w:r>
      <w:r w:rsidR="007075C3" w:rsidRPr="006820AB">
        <w:t xml:space="preserve"> models </w:t>
      </w:r>
      <w:r>
        <w:t xml:space="preserve">developed </w:t>
      </w:r>
      <w:r w:rsidR="00B4605B">
        <w:t xml:space="preserve">during </w:t>
      </w:r>
      <w:r w:rsidR="007075C3" w:rsidRPr="006820AB">
        <w:t>TWC’s first round of grant</w:t>
      </w:r>
      <w:r w:rsidR="007075C3">
        <w:t>s. Additionally,</w:t>
      </w:r>
      <w:r w:rsidR="007075C3" w:rsidRPr="006820AB">
        <w:t xml:space="preserve"> </w:t>
      </w:r>
      <w:r>
        <w:t xml:space="preserve">the new grants </w:t>
      </w:r>
      <w:r w:rsidR="007075C3" w:rsidRPr="006820AB">
        <w:t xml:space="preserve">ensure continued alignment of coursework </w:t>
      </w:r>
      <w:r w:rsidR="007075C3">
        <w:t>with</w:t>
      </w:r>
      <w:r w:rsidR="007075C3" w:rsidRPr="006820AB">
        <w:t xml:space="preserve"> meaningful outcomes for all AEL participants.</w:t>
      </w:r>
      <w:r w:rsidR="00790CFA">
        <w:t xml:space="preserve"> </w:t>
      </w:r>
    </w:p>
    <w:p w14:paraId="53510910" w14:textId="77777777" w:rsidR="009B13BE" w:rsidRDefault="009B13BE" w:rsidP="00F41B7B">
      <w:pPr>
        <w:pStyle w:val="BodyText"/>
      </w:pPr>
    </w:p>
    <w:p w14:paraId="66D58A0B" w14:textId="0584768B" w:rsidR="009B13BE" w:rsidRPr="006820AB" w:rsidRDefault="00784190" w:rsidP="00F41B7B">
      <w:pPr>
        <w:pStyle w:val="BodyText"/>
      </w:pPr>
      <w:r>
        <w:t xml:space="preserve">Having </w:t>
      </w:r>
      <w:r w:rsidR="00734B36">
        <w:t xml:space="preserve">previously </w:t>
      </w:r>
      <w:r>
        <w:t xml:space="preserve">created new models and expanded existing models, AEL’s focus in PY’18–’19 was to improve the </w:t>
      </w:r>
      <w:r w:rsidR="009B13BE">
        <w:t>models to ensure positive outcomes for participants.</w:t>
      </w:r>
    </w:p>
    <w:p w14:paraId="291DC308" w14:textId="77777777" w:rsidR="007075C3" w:rsidRDefault="007075C3" w:rsidP="007075C3">
      <w:pPr>
        <w:pStyle w:val="Heading1"/>
      </w:pPr>
    </w:p>
    <w:p w14:paraId="75CFC71F" w14:textId="633011E4" w:rsidR="009B13BE" w:rsidRPr="00DE3486" w:rsidRDefault="00F17D9E" w:rsidP="009B13BE">
      <w:pPr>
        <w:pStyle w:val="Heading1"/>
        <w:ind w:left="0"/>
      </w:pPr>
      <w:r w:rsidRPr="00DE3486">
        <w:t>State Leadership Funds (</w:t>
      </w:r>
      <w:r w:rsidR="00F279CC" w:rsidRPr="00F279CC">
        <w:t xml:space="preserve">Adult </w:t>
      </w:r>
      <w:r w:rsidR="00CC707D">
        <w:t xml:space="preserve">Education </w:t>
      </w:r>
      <w:r w:rsidR="00F279CC" w:rsidRPr="00F279CC">
        <w:t xml:space="preserve">and Family Literacy Act </w:t>
      </w:r>
      <w:r w:rsidR="00D3738F">
        <w:t xml:space="preserve">(AEFLA) </w:t>
      </w:r>
      <w:r w:rsidR="00022C6F" w:rsidRPr="00022C6F">
        <w:rPr>
          <w:spacing w:val="-6"/>
        </w:rPr>
        <w:t>§</w:t>
      </w:r>
      <w:r w:rsidRPr="00DE3486">
        <w:t>223)</w:t>
      </w:r>
    </w:p>
    <w:p w14:paraId="3F16D976" w14:textId="27578BF7" w:rsidR="00B67B35" w:rsidRDefault="005D7073" w:rsidP="007520E2">
      <w:pPr>
        <w:pStyle w:val="Heading2"/>
      </w:pPr>
      <w:r w:rsidRPr="007520E2">
        <w:t xml:space="preserve">Alignment of </w:t>
      </w:r>
      <w:r w:rsidR="00837C27">
        <w:t xml:space="preserve">AEL </w:t>
      </w:r>
      <w:r w:rsidR="00734B36">
        <w:t>A</w:t>
      </w:r>
      <w:r w:rsidRPr="007520E2">
        <w:t xml:space="preserve">ctivities with </w:t>
      </w:r>
      <w:r w:rsidR="007555F0">
        <w:t>O</w:t>
      </w:r>
      <w:r w:rsidRPr="007520E2">
        <w:t xml:space="preserve">ther </w:t>
      </w:r>
      <w:r w:rsidR="00734B36">
        <w:t>O</w:t>
      </w:r>
      <w:r w:rsidRPr="007520E2">
        <w:t>ne-</w:t>
      </w:r>
      <w:r w:rsidR="00805134">
        <w:t>S</w:t>
      </w:r>
      <w:r w:rsidRPr="007520E2">
        <w:t xml:space="preserve">top </w:t>
      </w:r>
      <w:r w:rsidR="00734B36">
        <w:t>R</w:t>
      </w:r>
      <w:r w:rsidRPr="007520E2">
        <w:t xml:space="preserve">equired </w:t>
      </w:r>
      <w:r w:rsidR="00734B36">
        <w:t>P</w:t>
      </w:r>
      <w:r w:rsidRPr="007520E2">
        <w:t xml:space="preserve">artners </w:t>
      </w:r>
    </w:p>
    <w:p w14:paraId="6AA15E9A" w14:textId="0ED331EF" w:rsidR="003E3231" w:rsidRDefault="003E3231" w:rsidP="00B67B35">
      <w:pPr>
        <w:pStyle w:val="Default"/>
      </w:pPr>
      <w:r w:rsidRPr="0068690F">
        <w:t xml:space="preserve">TWC continued its </w:t>
      </w:r>
      <w:r w:rsidR="00B67B35" w:rsidRPr="0068690F">
        <w:t>Career Pathways Expansion and Accelerate Texas initiative</w:t>
      </w:r>
      <w:r w:rsidRPr="0068690F">
        <w:t xml:space="preserve"> to</w:t>
      </w:r>
      <w:r w:rsidR="00B67B35" w:rsidRPr="0068690F">
        <w:t xml:space="preserve"> support the continued development of content and models that support career pathways</w:t>
      </w:r>
      <w:r w:rsidR="0000549F" w:rsidRPr="0068690F">
        <w:t>,</w:t>
      </w:r>
      <w:r w:rsidR="00B67B35" w:rsidRPr="0068690F">
        <w:t xml:space="preserve"> as requi</w:t>
      </w:r>
      <w:r w:rsidR="00DB4BC3" w:rsidRPr="0068690F">
        <w:t xml:space="preserve">red under </w:t>
      </w:r>
      <w:r w:rsidR="00CC707D" w:rsidRPr="0068690F">
        <w:t xml:space="preserve">WIOA </w:t>
      </w:r>
      <w:r w:rsidR="00022C6F" w:rsidRPr="0068690F">
        <w:t>§</w:t>
      </w:r>
      <w:r w:rsidR="00DB4BC3" w:rsidRPr="0068690F">
        <w:t xml:space="preserve">223(a)(1)(A), </w:t>
      </w:r>
      <w:r w:rsidR="0000549F" w:rsidRPr="0068690F">
        <w:t xml:space="preserve">and to </w:t>
      </w:r>
      <w:r w:rsidR="00DB4BC3" w:rsidRPr="0068690F">
        <w:t>support and expand TWC’s objectives for the AEL program.</w:t>
      </w:r>
    </w:p>
    <w:p w14:paraId="572F5499" w14:textId="77777777" w:rsidR="005A4EC3" w:rsidRDefault="005A4EC3" w:rsidP="00B67B35">
      <w:pPr>
        <w:pStyle w:val="Default"/>
        <w:rPr>
          <w:sz w:val="23"/>
          <w:szCs w:val="23"/>
        </w:rPr>
      </w:pPr>
    </w:p>
    <w:p w14:paraId="4F0DB7AD" w14:textId="77777777" w:rsidR="00DB4BC3" w:rsidRPr="00DD3E43" w:rsidRDefault="00DB4BC3" w:rsidP="00DB4BC3">
      <w:pPr>
        <w:pStyle w:val="Heading3"/>
      </w:pPr>
      <w:r w:rsidRPr="00DD3E43">
        <w:t>Accelerate Texas</w:t>
      </w:r>
    </w:p>
    <w:p w14:paraId="5C4C3A91" w14:textId="3425F857" w:rsidR="007520E2" w:rsidRDefault="00DE3486" w:rsidP="00F41B7B">
      <w:pPr>
        <w:pStyle w:val="BodyText"/>
      </w:pPr>
      <w:r>
        <w:t xml:space="preserve">TWC contracted </w:t>
      </w:r>
      <w:r w:rsidR="00A36AED">
        <w:t xml:space="preserve">with </w:t>
      </w:r>
      <w:r w:rsidR="0037689D">
        <w:t xml:space="preserve">the </w:t>
      </w:r>
      <w:r w:rsidR="00B05732">
        <w:t>grantees</w:t>
      </w:r>
      <w:r w:rsidR="0037689D">
        <w:t xml:space="preserve"> in this </w:t>
      </w:r>
      <w:r>
        <w:t xml:space="preserve">fourth </w:t>
      </w:r>
      <w:r w:rsidR="0037689D">
        <w:t xml:space="preserve">year </w:t>
      </w:r>
      <w:r>
        <w:t xml:space="preserve">of Accelerate Texas and </w:t>
      </w:r>
      <w:r w:rsidR="0037689D">
        <w:t xml:space="preserve">started the annual </w:t>
      </w:r>
      <w:r>
        <w:t xml:space="preserve">competition to fund </w:t>
      </w:r>
      <w:r w:rsidR="00F72A45">
        <w:t xml:space="preserve">the </w:t>
      </w:r>
      <w:r>
        <w:t xml:space="preserve">fifth </w:t>
      </w:r>
      <w:r w:rsidR="00F72A45">
        <w:t xml:space="preserve">year </w:t>
      </w:r>
      <w:r>
        <w:t>of this successful model.</w:t>
      </w:r>
      <w:r w:rsidR="00790CFA">
        <w:t xml:space="preserve"> </w:t>
      </w:r>
      <w:r w:rsidR="007520E2">
        <w:t xml:space="preserve">Accelerate Texas </w:t>
      </w:r>
      <w:r w:rsidR="00AA6542">
        <w:t xml:space="preserve">is TWC’s strategic effort to expand </w:t>
      </w:r>
      <w:r w:rsidR="00AA6542" w:rsidRPr="00837C27">
        <w:t xml:space="preserve">Integrated Education and Training </w:t>
      </w:r>
      <w:r w:rsidR="00AA6542">
        <w:t>(</w:t>
      </w:r>
      <w:r w:rsidR="007520E2">
        <w:t>IET</w:t>
      </w:r>
      <w:r w:rsidR="00837C27">
        <w:t>)</w:t>
      </w:r>
      <w:r w:rsidR="007520E2">
        <w:t xml:space="preserve"> models and other postsecondary transition models, including workplace and apprenticeship projects with employers.</w:t>
      </w:r>
      <w:r w:rsidR="00790CFA">
        <w:t xml:space="preserve"> </w:t>
      </w:r>
      <w:r w:rsidR="00F506A9">
        <w:t xml:space="preserve">The use of </w:t>
      </w:r>
      <w:r w:rsidR="00156C6D">
        <w:t>d</w:t>
      </w:r>
      <w:r w:rsidR="00AA6542">
        <w:t>edicated funds for IET program development and implementation</w:t>
      </w:r>
      <w:r w:rsidR="003140E2">
        <w:t xml:space="preserve"> allowed</w:t>
      </w:r>
      <w:r w:rsidR="00156C6D">
        <w:t xml:space="preserve"> </w:t>
      </w:r>
      <w:r w:rsidR="00AA6542">
        <w:t>s</w:t>
      </w:r>
      <w:r w:rsidR="00FE0337">
        <w:t xml:space="preserve">even </w:t>
      </w:r>
      <w:r w:rsidR="007520E2">
        <w:t xml:space="preserve">grantees </w:t>
      </w:r>
      <w:r w:rsidR="00AA6542">
        <w:t xml:space="preserve">to </w:t>
      </w:r>
      <w:r w:rsidR="007520E2">
        <w:t>work with 549 participants.</w:t>
      </w:r>
    </w:p>
    <w:p w14:paraId="736FBAE4" w14:textId="77777777" w:rsidR="00DB4BC3" w:rsidRDefault="00DB4BC3" w:rsidP="00B67B35">
      <w:pPr>
        <w:pStyle w:val="Default"/>
        <w:rPr>
          <w:sz w:val="23"/>
          <w:szCs w:val="23"/>
        </w:rPr>
      </w:pPr>
    </w:p>
    <w:p w14:paraId="2061C473" w14:textId="411FB6D6" w:rsidR="00DE3486" w:rsidRDefault="00DE3486" w:rsidP="00DE3486">
      <w:pPr>
        <w:pStyle w:val="Heading3"/>
      </w:pPr>
      <w:r>
        <w:t>Career Pathway</w:t>
      </w:r>
      <w:r w:rsidR="00AA6542">
        <w:t>s</w:t>
      </w:r>
      <w:r>
        <w:t xml:space="preserve"> Expansion Project</w:t>
      </w:r>
    </w:p>
    <w:p w14:paraId="246C049D" w14:textId="0718A8BE" w:rsidR="00DE3486" w:rsidRPr="00DE3486" w:rsidRDefault="00DE3486" w:rsidP="008D5881">
      <w:pPr>
        <w:pStyle w:val="BodyText"/>
        <w:rPr>
          <w:sz w:val="23"/>
          <w:szCs w:val="23"/>
        </w:rPr>
      </w:pPr>
      <w:r w:rsidRPr="00DE3486">
        <w:t>The Career Pathway</w:t>
      </w:r>
      <w:r w:rsidR="009F671E">
        <w:t>s</w:t>
      </w:r>
      <w:r w:rsidRPr="00DE3486">
        <w:t xml:space="preserve"> Expansion Project</w:t>
      </w:r>
      <w:r>
        <w:t xml:space="preserve"> entered its second year, during which it continued</w:t>
      </w:r>
      <w:r w:rsidRPr="00DE3486">
        <w:t xml:space="preserve"> to support the goal of </w:t>
      </w:r>
      <w:r w:rsidR="00A13B11">
        <w:t xml:space="preserve">IET </w:t>
      </w:r>
      <w:r w:rsidRPr="00DE3486">
        <w:t xml:space="preserve">program improvement and college integration for </w:t>
      </w:r>
      <w:r w:rsidR="00B05732">
        <w:t xml:space="preserve">the benefit of </w:t>
      </w:r>
      <w:r w:rsidRPr="00DE3486">
        <w:t xml:space="preserve">AEL students </w:t>
      </w:r>
      <w:r w:rsidR="00B05732">
        <w:t xml:space="preserve">who are </w:t>
      </w:r>
      <w:r w:rsidRPr="00DE3486">
        <w:t xml:space="preserve">transitioning to postsecondary education and training. The project has expanded the </w:t>
      </w:r>
      <w:r>
        <w:t xml:space="preserve">network </w:t>
      </w:r>
      <w:r w:rsidR="00AA6542">
        <w:t xml:space="preserve">of AEL provider </w:t>
      </w:r>
      <w:r w:rsidR="00AA6542" w:rsidRPr="00DE3486">
        <w:t>mentee</w:t>
      </w:r>
      <w:r w:rsidR="00AA6542">
        <w:t>s</w:t>
      </w:r>
      <w:r w:rsidR="00AA6542" w:rsidRPr="00DE3486">
        <w:t xml:space="preserve"> </w:t>
      </w:r>
      <w:r>
        <w:t xml:space="preserve">by adding </w:t>
      </w:r>
      <w:r w:rsidRPr="00DE3486">
        <w:t xml:space="preserve">seven AEL providers to the group of five peer mentors. </w:t>
      </w:r>
      <w:r w:rsidR="008D560B">
        <w:t>In PY’16–PY’17</w:t>
      </w:r>
      <w:r w:rsidR="00F73ECE">
        <w:t xml:space="preserve">, AEL </w:t>
      </w:r>
      <w:r w:rsidRPr="00DE3486">
        <w:t xml:space="preserve">focused on identifying and implementing more formal processes for </w:t>
      </w:r>
      <w:r w:rsidR="00F73ECE">
        <w:t xml:space="preserve">integrating AEL programs at </w:t>
      </w:r>
      <w:r w:rsidRPr="00DE3486">
        <w:t>college</w:t>
      </w:r>
      <w:r w:rsidR="00F73ECE">
        <w:t>s</w:t>
      </w:r>
      <w:r w:rsidRPr="00DE3486">
        <w:t xml:space="preserve">. </w:t>
      </w:r>
      <w:r w:rsidR="008D560B">
        <w:t>In PY’17–PY’18</w:t>
      </w:r>
      <w:r w:rsidR="00F73ECE">
        <w:t xml:space="preserve">, </w:t>
      </w:r>
      <w:r w:rsidRPr="00DE3486">
        <w:t xml:space="preserve">an additional emphasis </w:t>
      </w:r>
      <w:r w:rsidR="00F73ECE">
        <w:t xml:space="preserve">is being placed </w:t>
      </w:r>
      <w:r w:rsidRPr="00DE3486">
        <w:t xml:space="preserve">on improving outcomes for students </w:t>
      </w:r>
      <w:r w:rsidR="00F73ECE">
        <w:t xml:space="preserve">who are </w:t>
      </w:r>
      <w:r w:rsidRPr="00DE3486">
        <w:t>e</w:t>
      </w:r>
      <w:r>
        <w:t xml:space="preserve">ntering IET programs. </w:t>
      </w:r>
      <w:r w:rsidR="00F73ECE">
        <w:t xml:space="preserve">Twelve </w:t>
      </w:r>
      <w:r w:rsidR="00A669FA">
        <w:t>AEL provider</w:t>
      </w:r>
      <w:r w:rsidR="00F73ECE">
        <w:t>s (one</w:t>
      </w:r>
      <w:r w:rsidR="00870BE1">
        <w:t>-</w:t>
      </w:r>
      <w:r w:rsidR="00F73ECE">
        <w:t>third</w:t>
      </w:r>
      <w:r w:rsidR="00F73ECE" w:rsidRPr="00DE3486">
        <w:t xml:space="preserve"> of</w:t>
      </w:r>
      <w:r w:rsidR="00A669FA">
        <w:t xml:space="preserve"> all AEL provider</w:t>
      </w:r>
      <w:r w:rsidR="00F73ECE">
        <w:t>s)</w:t>
      </w:r>
      <w:r w:rsidR="00F73ECE" w:rsidRPr="00DE3486">
        <w:t xml:space="preserve"> </w:t>
      </w:r>
      <w:r w:rsidRPr="00DE3486">
        <w:t xml:space="preserve">are </w:t>
      </w:r>
      <w:r>
        <w:t xml:space="preserve">now a </w:t>
      </w:r>
      <w:r w:rsidRPr="00DE3486">
        <w:t>part of the growing network.</w:t>
      </w:r>
    </w:p>
    <w:p w14:paraId="5EF9C42A" w14:textId="76F560E9" w:rsidR="00B67B35" w:rsidRPr="009B13BE" w:rsidRDefault="005D7073" w:rsidP="007520E2">
      <w:pPr>
        <w:pStyle w:val="Heading2"/>
        <w:rPr>
          <w:rFonts w:eastAsia="Times New Roman" w:hAnsi="Times New Roman" w:cs="Times New Roman"/>
          <w:szCs w:val="24"/>
        </w:rPr>
      </w:pPr>
      <w:r w:rsidRPr="009B13BE">
        <w:lastRenderedPageBreak/>
        <w:t xml:space="preserve">Establishment or </w:t>
      </w:r>
      <w:r w:rsidR="006340EA">
        <w:t>O</w:t>
      </w:r>
      <w:r w:rsidRPr="009B13BE">
        <w:t xml:space="preserve">peration of a </w:t>
      </w:r>
      <w:r w:rsidR="006340EA">
        <w:t>H</w:t>
      </w:r>
      <w:r w:rsidRPr="009B13BE">
        <w:t>igh</w:t>
      </w:r>
      <w:r w:rsidR="002E5F2C">
        <w:t>-</w:t>
      </w:r>
      <w:r w:rsidR="006340EA">
        <w:t>Q</w:t>
      </w:r>
      <w:r w:rsidRPr="009B13BE">
        <w:t xml:space="preserve">uality </w:t>
      </w:r>
      <w:r w:rsidR="006340EA">
        <w:t>P</w:t>
      </w:r>
      <w:r w:rsidRPr="009B13BE">
        <w:t xml:space="preserve">rofessional </w:t>
      </w:r>
      <w:r w:rsidR="006340EA">
        <w:t>D</w:t>
      </w:r>
      <w:r w:rsidRPr="009B13BE">
        <w:t xml:space="preserve">evelopment </w:t>
      </w:r>
      <w:r w:rsidR="006340EA">
        <w:t>P</w:t>
      </w:r>
      <w:r w:rsidRPr="009B13BE">
        <w:t>rogram</w:t>
      </w:r>
    </w:p>
    <w:p w14:paraId="2EE763E3" w14:textId="77777777" w:rsidR="00B67B35" w:rsidRDefault="003C5733" w:rsidP="003C5733">
      <w:pPr>
        <w:pStyle w:val="Heading3"/>
      </w:pPr>
      <w:r>
        <w:t xml:space="preserve">The TRAIN PD Consortium </w:t>
      </w:r>
    </w:p>
    <w:p w14:paraId="7DEFD321" w14:textId="15419E5B" w:rsidR="003C5733" w:rsidRDefault="00EE56C4" w:rsidP="00F41B7B">
      <w:pPr>
        <w:pStyle w:val="BodyText"/>
      </w:pPr>
      <w:r w:rsidRPr="00EE56C4">
        <w:t xml:space="preserve">Texas A&amp;M University </w:t>
      </w:r>
      <w:r>
        <w:t>continued to operate</w:t>
      </w:r>
      <w:r w:rsidRPr="00EE56C4">
        <w:t xml:space="preserve"> </w:t>
      </w:r>
      <w:r w:rsidR="005C1255">
        <w:t xml:space="preserve">its </w:t>
      </w:r>
      <w:r w:rsidRPr="00EE56C4">
        <w:t xml:space="preserve">Training, Resource, and Innovation Network </w:t>
      </w:r>
      <w:r w:rsidR="005C1255">
        <w:t xml:space="preserve">for Texas </w:t>
      </w:r>
      <w:r w:rsidRPr="00EE56C4">
        <w:t xml:space="preserve">Professional Development (TRAIN PD), a statewide effort </w:t>
      </w:r>
      <w:r w:rsidR="00B67B35">
        <w:t xml:space="preserve">to </w:t>
      </w:r>
      <w:r w:rsidR="005C1255">
        <w:t>train</w:t>
      </w:r>
      <w:r w:rsidR="000C20B0">
        <w:t xml:space="preserve"> </w:t>
      </w:r>
      <w:r w:rsidR="00B67B35">
        <w:t>AEL providers</w:t>
      </w:r>
      <w:r w:rsidR="003C5733">
        <w:t xml:space="preserve"> and other </w:t>
      </w:r>
      <w:r w:rsidR="0049721E">
        <w:t xml:space="preserve">workforce </w:t>
      </w:r>
      <w:r w:rsidR="003C5733">
        <w:t>system stakeholders.</w:t>
      </w:r>
      <w:r w:rsidR="00790CFA">
        <w:t xml:space="preserve"> </w:t>
      </w:r>
      <w:r w:rsidR="00464B7C">
        <w:t xml:space="preserve">A total of </w:t>
      </w:r>
      <w:r w:rsidR="003C5733">
        <w:t>691</w:t>
      </w:r>
      <w:r w:rsidR="00464B7C">
        <w:t xml:space="preserve"> </w:t>
      </w:r>
      <w:r w:rsidR="000C20B0">
        <w:t xml:space="preserve">training sessions and other </w:t>
      </w:r>
      <w:r w:rsidR="000C20B0" w:rsidRPr="00EE56C4">
        <w:t xml:space="preserve">professional </w:t>
      </w:r>
      <w:r w:rsidR="00464B7C">
        <w:t xml:space="preserve">development activities were </w:t>
      </w:r>
      <w:r w:rsidR="002E5F2C">
        <w:t>held statewide</w:t>
      </w:r>
      <w:r w:rsidR="00464B7C">
        <w:t xml:space="preserve">, including </w:t>
      </w:r>
      <w:r w:rsidR="003C5733">
        <w:t xml:space="preserve">80 online training through the </w:t>
      </w:r>
      <w:r w:rsidR="005C1255">
        <w:t xml:space="preserve">TRAIN </w:t>
      </w:r>
      <w:r w:rsidR="003C5733">
        <w:t xml:space="preserve">PD portal. </w:t>
      </w:r>
    </w:p>
    <w:p w14:paraId="748386C1" w14:textId="77777777" w:rsidR="00686C8E" w:rsidRDefault="00686C8E" w:rsidP="00B67B35">
      <w:pPr>
        <w:pStyle w:val="Default"/>
        <w:rPr>
          <w:sz w:val="23"/>
          <w:szCs w:val="23"/>
        </w:rPr>
      </w:pPr>
    </w:p>
    <w:p w14:paraId="74D59E5C" w14:textId="77777777" w:rsidR="00EE56C4" w:rsidRDefault="003C5733" w:rsidP="003C5733">
      <w:pPr>
        <w:pStyle w:val="Heading3"/>
      </w:pPr>
      <w:r>
        <w:t>Local Funding for Professional Development</w:t>
      </w:r>
    </w:p>
    <w:p w14:paraId="42292030" w14:textId="2CC946B3" w:rsidR="003C5733" w:rsidRDefault="003C5733" w:rsidP="00F41B7B">
      <w:pPr>
        <w:pStyle w:val="BodyText"/>
      </w:pPr>
      <w:r w:rsidRPr="003C5733">
        <w:t>To support local professional development,</w:t>
      </w:r>
      <w:r w:rsidR="00DE3486">
        <w:t xml:space="preserve"> TWC continues to provide</w:t>
      </w:r>
      <w:r w:rsidRPr="003C5733">
        <w:t xml:space="preserve"> </w:t>
      </w:r>
      <w:r w:rsidR="00041DC5">
        <w:t>S</w:t>
      </w:r>
      <w:r w:rsidRPr="003C5733">
        <w:t xml:space="preserve">tate </w:t>
      </w:r>
      <w:r w:rsidR="00041DC5">
        <w:t>L</w:t>
      </w:r>
      <w:r w:rsidRPr="003C5733">
        <w:t xml:space="preserve">eadership funding directly to local </w:t>
      </w:r>
      <w:r w:rsidR="00D1111A">
        <w:t xml:space="preserve">providers. Direct funding allows providers to offer </w:t>
      </w:r>
      <w:r w:rsidRPr="003C5733">
        <w:t xml:space="preserve">professional development </w:t>
      </w:r>
      <w:r w:rsidR="00D1111A">
        <w:t xml:space="preserve">training to their staff members </w:t>
      </w:r>
      <w:r w:rsidR="00D1111A" w:rsidRPr="003C5733">
        <w:t xml:space="preserve">and contract </w:t>
      </w:r>
      <w:r w:rsidR="00D1111A">
        <w:t xml:space="preserve">directly with </w:t>
      </w:r>
      <w:r w:rsidRPr="003C5733">
        <w:t xml:space="preserve">trainers through the </w:t>
      </w:r>
      <w:r w:rsidR="000C41B9">
        <w:t>Contract Trainers and Training Database</w:t>
      </w:r>
      <w:r w:rsidRPr="003C5733">
        <w:t xml:space="preserve">. </w:t>
      </w:r>
      <w:r w:rsidR="00AA6542">
        <w:t xml:space="preserve">The funding, </w:t>
      </w:r>
      <w:r w:rsidR="00D1111A">
        <w:t xml:space="preserve">first offered </w:t>
      </w:r>
      <w:r w:rsidR="00DE3486">
        <w:t>in 2014,</w:t>
      </w:r>
      <w:r w:rsidRPr="003C5733">
        <w:t xml:space="preserve"> </w:t>
      </w:r>
      <w:r w:rsidR="003336D1">
        <w:t xml:space="preserve">helps </w:t>
      </w:r>
      <w:r w:rsidR="00F33BD0">
        <w:t xml:space="preserve">providers </w:t>
      </w:r>
      <w:r w:rsidRPr="003C5733">
        <w:t>find experts on various training topics to augment development of local program staff. In PY’1</w:t>
      </w:r>
      <w:r>
        <w:t>7</w:t>
      </w:r>
      <w:r w:rsidRPr="003C5733">
        <w:t>–’1</w:t>
      </w:r>
      <w:r>
        <w:t>8</w:t>
      </w:r>
      <w:r w:rsidRPr="003C5733">
        <w:t xml:space="preserve">, local grantees provided </w:t>
      </w:r>
      <w:r>
        <w:t>1,331</w:t>
      </w:r>
      <w:r w:rsidRPr="003C5733">
        <w:t xml:space="preserve"> professional development </w:t>
      </w:r>
      <w:r w:rsidR="001C62C9">
        <w:t xml:space="preserve">training sessions </w:t>
      </w:r>
      <w:r w:rsidRPr="003C5733">
        <w:t>to their staf</w:t>
      </w:r>
      <w:r w:rsidR="00686C8E">
        <w:t>f</w:t>
      </w:r>
      <w:r w:rsidR="008E443E">
        <w:t xml:space="preserve"> members</w:t>
      </w:r>
      <w:r w:rsidRPr="003C5733">
        <w:t>.</w:t>
      </w:r>
    </w:p>
    <w:p w14:paraId="3EC4B983" w14:textId="77777777" w:rsidR="003C5733" w:rsidRDefault="003C5733" w:rsidP="00B67B35">
      <w:pPr>
        <w:pStyle w:val="Default"/>
        <w:rPr>
          <w:sz w:val="23"/>
          <w:szCs w:val="23"/>
        </w:rPr>
      </w:pPr>
    </w:p>
    <w:p w14:paraId="1C0DBBE5" w14:textId="37A262D5" w:rsidR="00686C8E" w:rsidRPr="00DD3E43" w:rsidRDefault="00686C8E" w:rsidP="00686C8E">
      <w:pPr>
        <w:pStyle w:val="Heading3"/>
      </w:pPr>
      <w:r w:rsidRPr="00DD3E43">
        <w:t xml:space="preserve">Professional Development Support for </w:t>
      </w:r>
      <w:r w:rsidR="002E20B6">
        <w:t xml:space="preserve">a </w:t>
      </w:r>
      <w:r w:rsidRPr="00DD3E43">
        <w:t>Community-Based Literacy Network</w:t>
      </w:r>
    </w:p>
    <w:p w14:paraId="55EE09D8" w14:textId="5365E5E5" w:rsidR="00686C8E" w:rsidRDefault="00DB0BDB" w:rsidP="00F41B7B">
      <w:pPr>
        <w:pStyle w:val="BodyText"/>
      </w:pPr>
      <w:r w:rsidRPr="0068690F">
        <w:t>In PY</w:t>
      </w:r>
      <w:r w:rsidR="00EE4ED1" w:rsidRPr="0068690F">
        <w:t>’</w:t>
      </w:r>
      <w:r w:rsidRPr="0068690F">
        <w:t>17</w:t>
      </w:r>
      <w:r w:rsidR="00EE4ED1" w:rsidRPr="0068690F">
        <w:t>–’</w:t>
      </w:r>
      <w:r w:rsidRPr="0068690F">
        <w:t xml:space="preserve">18, </w:t>
      </w:r>
      <w:r w:rsidR="00686C8E" w:rsidRPr="0068690F">
        <w:t xml:space="preserve">TWC contracted with Literacy Texas, </w:t>
      </w:r>
      <w:r w:rsidR="00583D53" w:rsidRPr="0068690F">
        <w:t xml:space="preserve">a </w:t>
      </w:r>
      <w:r w:rsidR="00686C8E" w:rsidRPr="0068690F">
        <w:t>statewide literacy volunteer-training and advocacy organization</w:t>
      </w:r>
      <w:r w:rsidR="00686C8E" w:rsidRPr="00DD3E43">
        <w:t>, to provide professional development to nonprofit and</w:t>
      </w:r>
      <w:r>
        <w:t xml:space="preserve"> community-based organizations through its annual conference </w:t>
      </w:r>
      <w:r w:rsidR="00794E51">
        <w:t xml:space="preserve">and eight </w:t>
      </w:r>
      <w:r>
        <w:t>regional events.</w:t>
      </w:r>
      <w:r w:rsidR="00790CFA">
        <w:t xml:space="preserve"> </w:t>
      </w:r>
      <w:r>
        <w:t xml:space="preserve">The 2018 conference hosted </w:t>
      </w:r>
      <w:r w:rsidR="00575300">
        <w:t>932</w:t>
      </w:r>
      <w:r>
        <w:t xml:space="preserve"> individuals </w:t>
      </w:r>
      <w:r w:rsidR="00794E51">
        <w:t xml:space="preserve">and offered </w:t>
      </w:r>
      <w:r>
        <w:t xml:space="preserve">74 sessions highlighting best practices in instruction </w:t>
      </w:r>
      <w:r w:rsidR="00272231">
        <w:t>and</w:t>
      </w:r>
      <w:r>
        <w:t xml:space="preserve"> opportunities for nonprofit providers to align their services with the WIOA-funded system.</w:t>
      </w:r>
      <w:r w:rsidR="00790CFA">
        <w:t xml:space="preserve"> </w:t>
      </w:r>
    </w:p>
    <w:p w14:paraId="27FC9284" w14:textId="77777777" w:rsidR="00B67B35" w:rsidRPr="00B67B35" w:rsidRDefault="00B67B35" w:rsidP="00991A6D">
      <w:pPr>
        <w:tabs>
          <w:tab w:val="left" w:pos="820"/>
        </w:tabs>
        <w:ind w:right="811"/>
        <w:rPr>
          <w:rFonts w:ascii="Times New Roman" w:eastAsia="Times New Roman" w:hAnsi="Times New Roman" w:cs="Times New Roman"/>
          <w:sz w:val="24"/>
          <w:szCs w:val="24"/>
        </w:rPr>
      </w:pPr>
    </w:p>
    <w:p w14:paraId="1F8D8CC6" w14:textId="1F5F2B3F" w:rsidR="00714A8A" w:rsidRDefault="005D7073" w:rsidP="00575300">
      <w:pPr>
        <w:pStyle w:val="Heading2"/>
      </w:pPr>
      <w:r w:rsidRPr="00575300">
        <w:t xml:space="preserve">Provision of </w:t>
      </w:r>
      <w:r w:rsidR="00E73F4C">
        <w:t>T</w:t>
      </w:r>
      <w:r w:rsidRPr="00575300">
        <w:t xml:space="preserve">echnical </w:t>
      </w:r>
      <w:r w:rsidR="00E73F4C">
        <w:t>A</w:t>
      </w:r>
      <w:r w:rsidRPr="00575300">
        <w:t xml:space="preserve">ssistance to </w:t>
      </w:r>
      <w:r w:rsidR="00E73F4C">
        <w:t>F</w:t>
      </w:r>
      <w:r w:rsidRPr="00575300">
        <w:t xml:space="preserve">unded </w:t>
      </w:r>
      <w:r w:rsidR="00E73F4C">
        <w:t>E</w:t>
      </w:r>
      <w:r w:rsidRPr="00575300">
        <w:t xml:space="preserve">ligible </w:t>
      </w:r>
      <w:r w:rsidR="00E73F4C">
        <w:t>P</w:t>
      </w:r>
      <w:r w:rsidRPr="00575300">
        <w:t xml:space="preserve">roviders </w:t>
      </w:r>
    </w:p>
    <w:p w14:paraId="145E51F6" w14:textId="001CC945" w:rsidR="00571740" w:rsidRDefault="00571740" w:rsidP="0068690F">
      <w:pPr>
        <w:pStyle w:val="BodyText"/>
      </w:pPr>
      <w:r w:rsidRPr="00DD3E43">
        <w:t xml:space="preserve">TWC staff </w:t>
      </w:r>
      <w:r w:rsidRPr="0071680F">
        <w:t xml:space="preserve">continues to </w:t>
      </w:r>
      <w:r w:rsidR="00F33D19" w:rsidRPr="0071680F">
        <w:t xml:space="preserve">regularly </w:t>
      </w:r>
      <w:r w:rsidRPr="0071680F">
        <w:t>analyze</w:t>
      </w:r>
      <w:r w:rsidR="00F33D19" w:rsidRPr="0071680F">
        <w:t xml:space="preserve"> the</w:t>
      </w:r>
      <w:r>
        <w:t xml:space="preserve"> performance </w:t>
      </w:r>
      <w:r w:rsidR="00F33D19">
        <w:t xml:space="preserve">of </w:t>
      </w:r>
      <w:r w:rsidR="00456CD4">
        <w:t>grantees</w:t>
      </w:r>
      <w:r w:rsidR="00F33D19">
        <w:t xml:space="preserve"> in order to offer them </w:t>
      </w:r>
      <w:r>
        <w:t xml:space="preserve">just-in-time technical assistance and ensure </w:t>
      </w:r>
      <w:r w:rsidR="00E73F4C">
        <w:t xml:space="preserve">that </w:t>
      </w:r>
      <w:r w:rsidR="00F33D19">
        <w:t xml:space="preserve">their </w:t>
      </w:r>
      <w:r>
        <w:t>program objectives are met.</w:t>
      </w:r>
      <w:r w:rsidR="00790CFA">
        <w:t xml:space="preserve"> </w:t>
      </w:r>
      <w:r w:rsidR="007C4046">
        <w:t xml:space="preserve">In addition to </w:t>
      </w:r>
      <w:r w:rsidR="00F33D19">
        <w:t xml:space="preserve">offering </w:t>
      </w:r>
      <w:r w:rsidR="007C4046">
        <w:t>technical assistance</w:t>
      </w:r>
      <w:r w:rsidR="00F33D19">
        <w:t xml:space="preserve"> that </w:t>
      </w:r>
      <w:r w:rsidR="00F33D19" w:rsidRPr="0068690F">
        <w:t>is led by TWC staff</w:t>
      </w:r>
      <w:r w:rsidR="007C4046" w:rsidRPr="0068690F">
        <w:t xml:space="preserve">, TWC </w:t>
      </w:r>
      <w:r w:rsidR="00F33D19" w:rsidRPr="0068690F">
        <w:t xml:space="preserve">uses </w:t>
      </w:r>
      <w:r w:rsidR="00F33BD0" w:rsidRPr="0068690F">
        <w:t>the</w:t>
      </w:r>
      <w:r w:rsidR="00F33BD0">
        <w:t xml:space="preserve"> expertise </w:t>
      </w:r>
      <w:r w:rsidR="007C4046">
        <w:t>of providers to support successful model expansion through mentor initiatives that seek to expand best practices.</w:t>
      </w:r>
      <w:r w:rsidR="00790CFA">
        <w:t xml:space="preserve"> </w:t>
      </w:r>
    </w:p>
    <w:p w14:paraId="017B0F88" w14:textId="77777777" w:rsidR="00571740" w:rsidRDefault="00571740" w:rsidP="0068690F">
      <w:pPr>
        <w:pStyle w:val="BodyText"/>
      </w:pPr>
    </w:p>
    <w:p w14:paraId="30B1FACB" w14:textId="7E91FF24" w:rsidR="00E73F4C" w:rsidRDefault="00EE2917" w:rsidP="0068690F">
      <w:pPr>
        <w:pStyle w:val="Heading2"/>
      </w:pPr>
      <w:r>
        <w:t xml:space="preserve">A Statewide Network of </w:t>
      </w:r>
      <w:r w:rsidR="003C5DFC" w:rsidRPr="003C5DFC">
        <w:t>Peer Mentor</w:t>
      </w:r>
      <w:r>
        <w:t xml:space="preserve">s at </w:t>
      </w:r>
      <w:r w:rsidR="003C5DFC" w:rsidRPr="003C5DFC">
        <w:t>Community College</w:t>
      </w:r>
      <w:r>
        <w:t>s in Texas</w:t>
      </w:r>
      <w:r w:rsidR="003C5DFC" w:rsidRPr="003C5DFC" w:rsidDel="003C5DFC">
        <w:t xml:space="preserve"> </w:t>
      </w:r>
    </w:p>
    <w:p w14:paraId="690F7A9E" w14:textId="2D0DE8A8" w:rsidR="00571740" w:rsidRDefault="00F33BD0" w:rsidP="0068690F">
      <w:pPr>
        <w:pStyle w:val="BodyText"/>
      </w:pPr>
      <w:r>
        <w:t xml:space="preserve">Amarillo College </w:t>
      </w:r>
      <w:r w:rsidR="00421220">
        <w:t xml:space="preserve">developed a network of </w:t>
      </w:r>
      <w:r w:rsidR="00CF7763">
        <w:t xml:space="preserve">AEL providers </w:t>
      </w:r>
      <w:r w:rsidR="00421220">
        <w:t>at c</w:t>
      </w:r>
      <w:r w:rsidR="00421220" w:rsidRPr="003C5DFC">
        <w:t xml:space="preserve">ommunity </w:t>
      </w:r>
      <w:r w:rsidR="00421220">
        <w:t>c</w:t>
      </w:r>
      <w:r w:rsidR="00421220" w:rsidRPr="003C5DFC">
        <w:t>ollege</w:t>
      </w:r>
      <w:r w:rsidR="00421220">
        <w:t>s</w:t>
      </w:r>
      <w:r w:rsidR="00421220" w:rsidRPr="003C5DFC">
        <w:t xml:space="preserve"> </w:t>
      </w:r>
      <w:r w:rsidR="00421220">
        <w:t>in Texas</w:t>
      </w:r>
      <w:r w:rsidR="003560C2">
        <w:t>. The providers</w:t>
      </w:r>
      <w:r w:rsidR="00CF7763">
        <w:t xml:space="preserve"> act as peer mentors</w:t>
      </w:r>
      <w:r w:rsidR="003560C2">
        <w:t xml:space="preserve"> to</w:t>
      </w:r>
      <w:r w:rsidR="00421220" w:rsidRPr="00385AE7">
        <w:t xml:space="preserve"> </w:t>
      </w:r>
      <w:r w:rsidR="003560C2">
        <w:t xml:space="preserve">AEL </w:t>
      </w:r>
      <w:r w:rsidR="00421220" w:rsidRPr="00385AE7">
        <w:t>one-sto</w:t>
      </w:r>
      <w:r w:rsidR="00421220">
        <w:t xml:space="preserve">p partners by </w:t>
      </w:r>
      <w:r w:rsidR="003560C2">
        <w:t>providi</w:t>
      </w:r>
      <w:r w:rsidR="00421220">
        <w:t>ng</w:t>
      </w:r>
      <w:r w:rsidR="00421220" w:rsidRPr="00F12A44">
        <w:t xml:space="preserve"> </w:t>
      </w:r>
      <w:r w:rsidR="003560C2">
        <w:t xml:space="preserve">them with </w:t>
      </w:r>
      <w:r w:rsidR="00421220">
        <w:t xml:space="preserve">professional development and </w:t>
      </w:r>
      <w:r w:rsidR="00651BAF">
        <w:t xml:space="preserve">by </w:t>
      </w:r>
      <w:r w:rsidR="00421220">
        <w:t>encouraging collaboration</w:t>
      </w:r>
      <w:r w:rsidR="003560C2">
        <w:t>.</w:t>
      </w:r>
      <w:r w:rsidR="0068690F">
        <w:t xml:space="preserve"> </w:t>
      </w:r>
      <w:r w:rsidR="00571740" w:rsidRPr="001B6B26">
        <w:t xml:space="preserve">The </w:t>
      </w:r>
      <w:r w:rsidR="003C5DFC" w:rsidRPr="003C5DFC">
        <w:t>Texas Peer Mentor Community College Network</w:t>
      </w:r>
      <w:r w:rsidR="00571740">
        <w:t>,</w:t>
      </w:r>
      <w:r w:rsidR="00F12A44">
        <w:t xml:space="preserve"> </w:t>
      </w:r>
      <w:r w:rsidR="00571740">
        <w:t xml:space="preserve">described above, </w:t>
      </w:r>
      <w:r w:rsidR="00571740" w:rsidRPr="00385AE7">
        <w:t>supports the role of providers as one-sto</w:t>
      </w:r>
      <w:r w:rsidR="00571740">
        <w:t>p partners and the development through ongoing support and collaboration.</w:t>
      </w:r>
    </w:p>
    <w:p w14:paraId="11DFF1AB" w14:textId="77777777" w:rsidR="00571740" w:rsidRDefault="00571740" w:rsidP="0068690F">
      <w:pPr>
        <w:pStyle w:val="BodyText"/>
      </w:pPr>
    </w:p>
    <w:p w14:paraId="5746EC22" w14:textId="6CA54BB4" w:rsidR="00AF268F" w:rsidRDefault="00651BAF" w:rsidP="0068690F">
      <w:pPr>
        <w:pStyle w:val="BodyText"/>
      </w:pPr>
      <w:r w:rsidRPr="0068690F">
        <w:t>A</w:t>
      </w:r>
      <w:r w:rsidR="008E787E" w:rsidRPr="0068690F">
        <w:t>n</w:t>
      </w:r>
      <w:r w:rsidR="00571740" w:rsidRPr="0068690F">
        <w:t xml:space="preserve"> </w:t>
      </w:r>
      <w:r w:rsidR="008E787E" w:rsidRPr="0068690F">
        <w:t xml:space="preserve">experienced </w:t>
      </w:r>
      <w:r w:rsidR="00571740" w:rsidRPr="0068690F">
        <w:t xml:space="preserve">Accelerate Texas grantee, </w:t>
      </w:r>
      <w:r w:rsidRPr="0068690F">
        <w:t xml:space="preserve">the college </w:t>
      </w:r>
      <w:r w:rsidR="00571740" w:rsidRPr="0068690F">
        <w:t xml:space="preserve">served as the mentor for six mentee programs, </w:t>
      </w:r>
      <w:r w:rsidR="00521539" w:rsidRPr="0068690F">
        <w:t xml:space="preserve">thereby </w:t>
      </w:r>
      <w:r w:rsidR="003C5DFC" w:rsidRPr="0068690F">
        <w:t>support</w:t>
      </w:r>
      <w:r w:rsidR="00DF535A" w:rsidRPr="0068690F">
        <w:t>ing</w:t>
      </w:r>
      <w:r w:rsidR="003C5DFC" w:rsidRPr="0068690F">
        <w:t xml:space="preserve"> expansion of </w:t>
      </w:r>
      <w:r w:rsidR="000856CC" w:rsidRPr="0068690F">
        <w:t xml:space="preserve">IET </w:t>
      </w:r>
      <w:r w:rsidR="003C5DFC" w:rsidRPr="0068690F">
        <w:t xml:space="preserve">models, </w:t>
      </w:r>
      <w:r w:rsidR="00DF535A" w:rsidRPr="0068690F">
        <w:t xml:space="preserve">providing </w:t>
      </w:r>
      <w:r w:rsidR="003C5DFC" w:rsidRPr="0068690F">
        <w:t>on-site technical assistance</w:t>
      </w:r>
      <w:r w:rsidR="0074337A" w:rsidRPr="0068690F">
        <w:t xml:space="preserve">, and </w:t>
      </w:r>
      <w:r w:rsidR="00433B43" w:rsidRPr="0068690F">
        <w:t xml:space="preserve">helping to </w:t>
      </w:r>
      <w:r w:rsidR="003C5DFC" w:rsidRPr="0068690F">
        <w:t xml:space="preserve">develop a statewide network of trainers who are trained and vetted </w:t>
      </w:r>
      <w:r w:rsidR="003560C2" w:rsidRPr="0068690F">
        <w:t xml:space="preserve">according to the </w:t>
      </w:r>
      <w:r w:rsidR="003C5DFC" w:rsidRPr="0068690F">
        <w:t xml:space="preserve">standards developed </w:t>
      </w:r>
      <w:r w:rsidR="00EE2917" w:rsidRPr="0068690F">
        <w:t xml:space="preserve">by </w:t>
      </w:r>
      <w:r w:rsidR="003C5DFC" w:rsidRPr="0068690F">
        <w:t>the mentor</w:t>
      </w:r>
      <w:r w:rsidR="003560C2" w:rsidRPr="0068690F">
        <w:t>s</w:t>
      </w:r>
      <w:r w:rsidR="003C5DFC" w:rsidRPr="0068690F">
        <w:t>. Amarillo</w:t>
      </w:r>
      <w:r w:rsidR="0074337A" w:rsidRPr="0068690F">
        <w:t xml:space="preserve"> College</w:t>
      </w:r>
      <w:r w:rsidR="003C5DFC" w:rsidRPr="0068690F">
        <w:t xml:space="preserve"> established a</w:t>
      </w:r>
      <w:r w:rsidR="00E95902" w:rsidRPr="0068690F">
        <w:t xml:space="preserve"> website for its </w:t>
      </w:r>
      <w:r w:rsidR="0068690F" w:rsidRPr="0068690F">
        <w:t xml:space="preserve">lab school </w:t>
      </w:r>
      <w:r w:rsidR="003C5DFC" w:rsidRPr="0068690F">
        <w:t xml:space="preserve">lab school site to host providers to </w:t>
      </w:r>
      <w:r w:rsidR="00433B43" w:rsidRPr="0068690F">
        <w:t>educ</w:t>
      </w:r>
      <w:bookmarkStart w:id="0" w:name="_GoBack"/>
      <w:bookmarkEnd w:id="0"/>
      <w:r w:rsidR="00433B43" w:rsidRPr="0068690F">
        <w:t xml:space="preserve">ate </w:t>
      </w:r>
      <w:r w:rsidR="003C5DFC" w:rsidRPr="0068690F">
        <w:t xml:space="preserve">mentee schools </w:t>
      </w:r>
      <w:r w:rsidR="00433B43" w:rsidRPr="0068690F">
        <w:t xml:space="preserve">about the </w:t>
      </w:r>
      <w:r w:rsidR="003C5DFC" w:rsidRPr="0068690F">
        <w:t xml:space="preserve">implementation practices </w:t>
      </w:r>
      <w:r w:rsidR="00433B43" w:rsidRPr="0068690F">
        <w:t xml:space="preserve">used for </w:t>
      </w:r>
      <w:r w:rsidR="003C5DFC" w:rsidRPr="0068690F">
        <w:t xml:space="preserve">various </w:t>
      </w:r>
      <w:r w:rsidR="00433B43" w:rsidRPr="0068690F">
        <w:t xml:space="preserve">aspects </w:t>
      </w:r>
      <w:r w:rsidR="003C5DFC" w:rsidRPr="0068690F">
        <w:t>of service delivery</w:t>
      </w:r>
      <w:r w:rsidR="00826BFB" w:rsidRPr="0068690F">
        <w:t>,</w:t>
      </w:r>
      <w:r w:rsidR="003C5DFC" w:rsidRPr="0068690F">
        <w:t xml:space="preserve"> including senior and executive </w:t>
      </w:r>
      <w:r w:rsidR="00F279CC" w:rsidRPr="0068690F">
        <w:t xml:space="preserve">management </w:t>
      </w:r>
      <w:r w:rsidR="003C5DFC" w:rsidRPr="0068690F">
        <w:t>practices.</w:t>
      </w:r>
      <w:r w:rsidR="00790CFA" w:rsidRPr="0068690F">
        <w:t xml:space="preserve"> </w:t>
      </w:r>
      <w:r w:rsidR="003C5DFC" w:rsidRPr="0068690F">
        <w:t>To ensure a unifie</w:t>
      </w:r>
      <w:r w:rsidR="00167305" w:rsidRPr="0068690F">
        <w:t>d</w:t>
      </w:r>
      <w:r w:rsidR="003C5DFC" w:rsidRPr="0068690F">
        <w:t xml:space="preserve"> state</w:t>
      </w:r>
      <w:r w:rsidR="00433B43" w:rsidRPr="0068690F">
        <w:t>wide</w:t>
      </w:r>
      <w:r w:rsidR="003C5DFC" w:rsidRPr="0068690F">
        <w:t xml:space="preserve"> approach and </w:t>
      </w:r>
      <w:r w:rsidR="005A4554" w:rsidRPr="0068690F">
        <w:t xml:space="preserve">make use of </w:t>
      </w:r>
      <w:r w:rsidR="003C5DFC" w:rsidRPr="0068690F">
        <w:t xml:space="preserve">career pathways expertise and organizational </w:t>
      </w:r>
      <w:r w:rsidR="003560C2" w:rsidRPr="0068690F">
        <w:t xml:space="preserve">knowledge, </w:t>
      </w:r>
      <w:r w:rsidR="003C5DFC" w:rsidRPr="0068690F">
        <w:t xml:space="preserve">Amarillo </w:t>
      </w:r>
      <w:r w:rsidR="00826BFB" w:rsidRPr="0068690F">
        <w:t xml:space="preserve">College </w:t>
      </w:r>
      <w:r w:rsidR="003C5DFC" w:rsidRPr="0068690F">
        <w:t>align</w:t>
      </w:r>
      <w:r w:rsidR="00826BFB" w:rsidRPr="0068690F">
        <w:t>s</w:t>
      </w:r>
      <w:r w:rsidR="003C5DFC" w:rsidRPr="0068690F">
        <w:t xml:space="preserve"> its efforts with </w:t>
      </w:r>
      <w:r w:rsidR="00C62FDB" w:rsidRPr="0068690F">
        <w:t xml:space="preserve">the efforts of </w:t>
      </w:r>
      <w:r w:rsidR="003C5DFC" w:rsidRPr="0068690F">
        <w:t>other state</w:t>
      </w:r>
      <w:r w:rsidR="00C62FDB" w:rsidRPr="0068690F">
        <w:t>s</w:t>
      </w:r>
      <w:r w:rsidR="003C5DFC" w:rsidRPr="0068690F">
        <w:t xml:space="preserve"> and national pathways efforts.</w:t>
      </w:r>
    </w:p>
    <w:p w14:paraId="1C562C4F" w14:textId="77777777" w:rsidR="00AF268F" w:rsidRDefault="00AF268F">
      <w:pPr>
        <w:rPr>
          <w:rFonts w:ascii="Times New Roman" w:hAnsi="Times New Roman" w:cs="Times New Roman"/>
          <w:sz w:val="24"/>
          <w:szCs w:val="24"/>
        </w:rPr>
      </w:pPr>
      <w:r>
        <w:br w:type="page"/>
      </w:r>
    </w:p>
    <w:p w14:paraId="15CE8D2B" w14:textId="77777777" w:rsidR="004E540F" w:rsidRPr="00AC29EA" w:rsidRDefault="004E540F" w:rsidP="004E540F">
      <w:pPr>
        <w:rPr>
          <w:rFonts w:ascii="Times New Roman" w:hAnsi="Times New Roman" w:cs="Times New Roman"/>
          <w:b/>
          <w:sz w:val="24"/>
          <w:szCs w:val="24"/>
        </w:rPr>
      </w:pPr>
      <w:r w:rsidRPr="00AC29EA">
        <w:rPr>
          <w:rFonts w:ascii="Times New Roman" w:hAnsi="Times New Roman" w:cs="Times New Roman"/>
          <w:b/>
          <w:sz w:val="24"/>
          <w:szCs w:val="24"/>
        </w:rPr>
        <w:lastRenderedPageBreak/>
        <w:t xml:space="preserve">Teaching English Language Learners in Texas (TELL TX) Academy </w:t>
      </w:r>
    </w:p>
    <w:p w14:paraId="300A65D1" w14:textId="2AC08BE4" w:rsidR="004E540F" w:rsidRPr="00AC29EA" w:rsidRDefault="004E540F" w:rsidP="004E540F">
      <w:pPr>
        <w:rPr>
          <w:rFonts w:ascii="Times New Roman" w:hAnsi="Times New Roman" w:cs="Times New Roman"/>
          <w:sz w:val="24"/>
          <w:szCs w:val="24"/>
        </w:rPr>
      </w:pPr>
      <w:r w:rsidRPr="00AC29EA">
        <w:rPr>
          <w:rFonts w:ascii="Times New Roman" w:hAnsi="Times New Roman" w:cs="Times New Roman"/>
          <w:sz w:val="24"/>
          <w:szCs w:val="24"/>
        </w:rPr>
        <w:t xml:space="preserve">To </w:t>
      </w:r>
      <w:r w:rsidR="00405E27">
        <w:rPr>
          <w:rFonts w:ascii="Times New Roman" w:hAnsi="Times New Roman" w:cs="Times New Roman"/>
          <w:sz w:val="24"/>
          <w:szCs w:val="24"/>
        </w:rPr>
        <w:t xml:space="preserve">serve </w:t>
      </w:r>
      <w:r w:rsidR="00E77088">
        <w:rPr>
          <w:rFonts w:ascii="Times New Roman" w:hAnsi="Times New Roman" w:cs="Times New Roman"/>
          <w:sz w:val="24"/>
          <w:szCs w:val="24"/>
        </w:rPr>
        <w:t xml:space="preserve">the growing </w:t>
      </w:r>
      <w:r w:rsidR="00E77088" w:rsidRPr="00AC29EA">
        <w:rPr>
          <w:rFonts w:ascii="Times New Roman" w:hAnsi="Times New Roman" w:cs="Times New Roman"/>
          <w:sz w:val="24"/>
          <w:szCs w:val="24"/>
        </w:rPr>
        <w:t xml:space="preserve">population </w:t>
      </w:r>
      <w:r w:rsidR="00E77088">
        <w:rPr>
          <w:rFonts w:ascii="Times New Roman" w:hAnsi="Times New Roman" w:cs="Times New Roman"/>
          <w:sz w:val="24"/>
          <w:szCs w:val="24"/>
        </w:rPr>
        <w:t xml:space="preserve">of </w:t>
      </w:r>
      <w:r w:rsidRPr="00AC29EA">
        <w:rPr>
          <w:rFonts w:ascii="Times New Roman" w:hAnsi="Times New Roman" w:cs="Times New Roman"/>
          <w:sz w:val="24"/>
          <w:szCs w:val="24"/>
        </w:rPr>
        <w:t>English language learner</w:t>
      </w:r>
      <w:r w:rsidR="00405E27">
        <w:rPr>
          <w:rFonts w:ascii="Times New Roman" w:hAnsi="Times New Roman" w:cs="Times New Roman"/>
          <w:sz w:val="24"/>
          <w:szCs w:val="24"/>
        </w:rPr>
        <w:t xml:space="preserve">s in </w:t>
      </w:r>
      <w:r w:rsidR="00405E27" w:rsidRPr="00AC29EA">
        <w:rPr>
          <w:rFonts w:ascii="Times New Roman" w:hAnsi="Times New Roman" w:cs="Times New Roman"/>
          <w:sz w:val="24"/>
          <w:szCs w:val="24"/>
        </w:rPr>
        <w:t>Texas</w:t>
      </w:r>
      <w:r w:rsidR="00405E27">
        <w:rPr>
          <w:rFonts w:ascii="Times New Roman" w:hAnsi="Times New Roman" w:cs="Times New Roman"/>
          <w:sz w:val="24"/>
          <w:szCs w:val="24"/>
        </w:rPr>
        <w:t>, the TELL TX Academy</w:t>
      </w:r>
      <w:r w:rsidRPr="00AC29EA">
        <w:rPr>
          <w:rFonts w:ascii="Times New Roman" w:hAnsi="Times New Roman" w:cs="Times New Roman"/>
          <w:sz w:val="24"/>
          <w:szCs w:val="24"/>
        </w:rPr>
        <w:t xml:space="preserve"> is implementing </w:t>
      </w:r>
      <w:r w:rsidR="00755005">
        <w:rPr>
          <w:rFonts w:ascii="Times New Roman" w:hAnsi="Times New Roman" w:cs="Times New Roman"/>
          <w:sz w:val="24"/>
          <w:szCs w:val="24"/>
        </w:rPr>
        <w:t xml:space="preserve">a project to provide </w:t>
      </w:r>
      <w:r w:rsidRPr="00AC29EA">
        <w:rPr>
          <w:rFonts w:ascii="Times New Roman" w:hAnsi="Times New Roman" w:cs="Times New Roman"/>
          <w:sz w:val="24"/>
          <w:szCs w:val="24"/>
        </w:rPr>
        <w:t xml:space="preserve">an English as a Second Language </w:t>
      </w:r>
      <w:r w:rsidR="00837C27">
        <w:rPr>
          <w:rFonts w:ascii="Times New Roman" w:hAnsi="Times New Roman" w:cs="Times New Roman"/>
          <w:sz w:val="24"/>
          <w:szCs w:val="24"/>
        </w:rPr>
        <w:t xml:space="preserve">(ESL) </w:t>
      </w:r>
      <w:r w:rsidRPr="00AC29EA">
        <w:rPr>
          <w:rFonts w:ascii="Times New Roman" w:hAnsi="Times New Roman" w:cs="Times New Roman"/>
          <w:sz w:val="24"/>
          <w:szCs w:val="24"/>
        </w:rPr>
        <w:t>curriculum and professional development designed to build capacity for delivering higher-level ESL instructional services.</w:t>
      </w:r>
      <w:r w:rsidR="00790CFA">
        <w:rPr>
          <w:rFonts w:ascii="Times New Roman" w:hAnsi="Times New Roman" w:cs="Times New Roman"/>
          <w:sz w:val="24"/>
          <w:szCs w:val="24"/>
        </w:rPr>
        <w:t xml:space="preserve"> </w:t>
      </w:r>
      <w:r w:rsidR="00CF4F58">
        <w:rPr>
          <w:rFonts w:ascii="Times New Roman" w:hAnsi="Times New Roman" w:cs="Times New Roman"/>
          <w:sz w:val="24"/>
          <w:szCs w:val="24"/>
        </w:rPr>
        <w:t xml:space="preserve">The </w:t>
      </w:r>
      <w:r w:rsidRPr="00AC29EA">
        <w:rPr>
          <w:rFonts w:ascii="Times New Roman" w:hAnsi="Times New Roman" w:cs="Times New Roman"/>
          <w:sz w:val="24"/>
          <w:szCs w:val="24"/>
        </w:rPr>
        <w:t xml:space="preserve">project includes </w:t>
      </w:r>
      <w:r w:rsidR="00755005">
        <w:rPr>
          <w:rFonts w:ascii="Times New Roman" w:hAnsi="Times New Roman" w:cs="Times New Roman"/>
          <w:sz w:val="24"/>
          <w:szCs w:val="24"/>
        </w:rPr>
        <w:t xml:space="preserve">courses on </w:t>
      </w:r>
      <w:r w:rsidRPr="00AC29EA">
        <w:rPr>
          <w:rFonts w:ascii="Times New Roman" w:hAnsi="Times New Roman" w:cs="Times New Roman"/>
          <w:sz w:val="24"/>
          <w:szCs w:val="24"/>
        </w:rPr>
        <w:t xml:space="preserve">reading and writing </w:t>
      </w:r>
      <w:r w:rsidR="00433B43">
        <w:rPr>
          <w:rFonts w:ascii="Times New Roman" w:hAnsi="Times New Roman" w:cs="Times New Roman"/>
          <w:sz w:val="24"/>
          <w:szCs w:val="24"/>
        </w:rPr>
        <w:t xml:space="preserve">that </w:t>
      </w:r>
      <w:r w:rsidR="00651BAF">
        <w:rPr>
          <w:rFonts w:ascii="Times New Roman" w:hAnsi="Times New Roman" w:cs="Times New Roman"/>
          <w:sz w:val="24"/>
          <w:szCs w:val="24"/>
        </w:rPr>
        <w:t xml:space="preserve">are </w:t>
      </w:r>
      <w:r w:rsidRPr="00AC29EA">
        <w:rPr>
          <w:rFonts w:ascii="Times New Roman" w:hAnsi="Times New Roman" w:cs="Times New Roman"/>
          <w:sz w:val="24"/>
          <w:szCs w:val="24"/>
        </w:rPr>
        <w:t xml:space="preserve">aligned </w:t>
      </w:r>
      <w:r w:rsidR="00433B43">
        <w:rPr>
          <w:rFonts w:ascii="Times New Roman" w:hAnsi="Times New Roman" w:cs="Times New Roman"/>
          <w:sz w:val="24"/>
          <w:szCs w:val="24"/>
        </w:rPr>
        <w:t xml:space="preserve">with </w:t>
      </w:r>
      <w:r w:rsidRPr="00AC29EA">
        <w:rPr>
          <w:rFonts w:ascii="Times New Roman" w:hAnsi="Times New Roman" w:cs="Times New Roman"/>
          <w:sz w:val="24"/>
          <w:szCs w:val="24"/>
        </w:rPr>
        <w:t xml:space="preserve">the new Texas AEL Content Standards </w:t>
      </w:r>
      <w:r w:rsidR="009B0717">
        <w:rPr>
          <w:rFonts w:ascii="Times New Roman" w:hAnsi="Times New Roman" w:cs="Times New Roman"/>
          <w:sz w:val="24"/>
          <w:szCs w:val="24"/>
        </w:rPr>
        <w:t xml:space="preserve">2.0 </w:t>
      </w:r>
      <w:r w:rsidR="009B0717" w:rsidRPr="009B0717">
        <w:rPr>
          <w:rFonts w:ascii="Times New Roman" w:hAnsi="Times New Roman" w:cs="Times New Roman"/>
          <w:sz w:val="24"/>
          <w:szCs w:val="24"/>
        </w:rPr>
        <w:t xml:space="preserve">(Standards 2.0) </w:t>
      </w:r>
      <w:r w:rsidRPr="00AC29EA">
        <w:rPr>
          <w:rFonts w:ascii="Times New Roman" w:hAnsi="Times New Roman" w:cs="Times New Roman"/>
          <w:sz w:val="24"/>
          <w:szCs w:val="24"/>
        </w:rPr>
        <w:t xml:space="preserve">and applies research-based best practices, curriculum </w:t>
      </w:r>
      <w:r w:rsidR="00755005">
        <w:rPr>
          <w:rFonts w:ascii="Times New Roman" w:hAnsi="Times New Roman" w:cs="Times New Roman"/>
          <w:sz w:val="24"/>
          <w:szCs w:val="24"/>
        </w:rPr>
        <w:t xml:space="preserve">development </w:t>
      </w:r>
      <w:r w:rsidR="00CF4F58">
        <w:rPr>
          <w:rFonts w:ascii="Times New Roman" w:hAnsi="Times New Roman" w:cs="Times New Roman"/>
          <w:sz w:val="24"/>
          <w:szCs w:val="24"/>
        </w:rPr>
        <w:t xml:space="preserve">methods, </w:t>
      </w:r>
      <w:r w:rsidRPr="00AC29EA">
        <w:rPr>
          <w:rFonts w:ascii="Times New Roman" w:hAnsi="Times New Roman" w:cs="Times New Roman"/>
          <w:sz w:val="24"/>
          <w:szCs w:val="24"/>
        </w:rPr>
        <w:t>and frameworks training and follow</w:t>
      </w:r>
      <w:r w:rsidR="007D2A19">
        <w:rPr>
          <w:rFonts w:ascii="Times New Roman" w:hAnsi="Times New Roman" w:cs="Times New Roman"/>
          <w:sz w:val="24"/>
          <w:szCs w:val="24"/>
        </w:rPr>
        <w:t>-</w:t>
      </w:r>
      <w:r w:rsidRPr="00AC29EA">
        <w:rPr>
          <w:rFonts w:ascii="Times New Roman" w:hAnsi="Times New Roman" w:cs="Times New Roman"/>
          <w:sz w:val="24"/>
          <w:szCs w:val="24"/>
        </w:rPr>
        <w:t>up.</w:t>
      </w:r>
      <w:r w:rsidR="003560C2" w:rsidRPr="003560C2">
        <w:rPr>
          <w:rFonts w:ascii="Times New Roman" w:hAnsi="Times New Roman" w:cs="Times New Roman"/>
          <w:sz w:val="24"/>
          <w:szCs w:val="24"/>
        </w:rPr>
        <w:t xml:space="preserve"> </w:t>
      </w:r>
    </w:p>
    <w:p w14:paraId="19F0C970" w14:textId="77777777" w:rsidR="004E540F" w:rsidRPr="00AC29EA" w:rsidRDefault="004E540F" w:rsidP="004E540F">
      <w:pPr>
        <w:rPr>
          <w:rFonts w:ascii="Times New Roman" w:hAnsi="Times New Roman" w:cs="Times New Roman"/>
          <w:sz w:val="24"/>
          <w:szCs w:val="24"/>
        </w:rPr>
      </w:pPr>
    </w:p>
    <w:p w14:paraId="456C7E3E" w14:textId="77777777" w:rsidR="004E540F" w:rsidRPr="00AC29EA" w:rsidRDefault="004E540F" w:rsidP="004E540F">
      <w:pPr>
        <w:rPr>
          <w:rFonts w:ascii="Times New Roman" w:hAnsi="Times New Roman" w:cs="Times New Roman"/>
          <w:b/>
          <w:sz w:val="24"/>
          <w:szCs w:val="24"/>
        </w:rPr>
      </w:pPr>
      <w:r w:rsidRPr="00AC29EA">
        <w:rPr>
          <w:rFonts w:ascii="Times New Roman" w:hAnsi="Times New Roman" w:cs="Times New Roman"/>
          <w:b/>
          <w:sz w:val="24"/>
          <w:szCs w:val="24"/>
        </w:rPr>
        <w:t xml:space="preserve">Texas State Libraries and Archives Commission Collaboration </w:t>
      </w:r>
    </w:p>
    <w:p w14:paraId="6E33DEF9" w14:textId="00AEDFC3" w:rsidR="004E540F" w:rsidRPr="00AC29EA" w:rsidRDefault="004E540F" w:rsidP="004E540F">
      <w:pPr>
        <w:rPr>
          <w:rFonts w:ascii="Times New Roman" w:hAnsi="Times New Roman" w:cs="Times New Roman"/>
          <w:sz w:val="24"/>
          <w:szCs w:val="24"/>
        </w:rPr>
      </w:pPr>
      <w:r w:rsidRPr="00AC29EA">
        <w:rPr>
          <w:rFonts w:ascii="Times New Roman" w:hAnsi="Times New Roman" w:cs="Times New Roman"/>
          <w:sz w:val="24"/>
          <w:szCs w:val="24"/>
        </w:rPr>
        <w:t xml:space="preserve">Texas public libraries provide a </w:t>
      </w:r>
      <w:r w:rsidR="00AC29EA">
        <w:rPr>
          <w:rFonts w:ascii="Times New Roman" w:hAnsi="Times New Roman" w:cs="Times New Roman"/>
          <w:sz w:val="24"/>
          <w:szCs w:val="24"/>
        </w:rPr>
        <w:t xml:space="preserve">widespread </w:t>
      </w:r>
      <w:r w:rsidRPr="00AC29EA">
        <w:rPr>
          <w:rFonts w:ascii="Times New Roman" w:hAnsi="Times New Roman" w:cs="Times New Roman"/>
          <w:sz w:val="24"/>
          <w:szCs w:val="24"/>
        </w:rPr>
        <w:t xml:space="preserve">access point for AEL expansion. This initiative provides funding to increase alignment of the Texas AEL system with 550 public libraries </w:t>
      </w:r>
      <w:r w:rsidRPr="0068690F">
        <w:rPr>
          <w:rFonts w:ascii="Times New Roman" w:hAnsi="Times New Roman" w:cs="Times New Roman"/>
          <w:sz w:val="24"/>
          <w:szCs w:val="24"/>
        </w:rPr>
        <w:t>state</w:t>
      </w:r>
      <w:r w:rsidR="001F3BBC" w:rsidRPr="0068690F">
        <w:rPr>
          <w:rFonts w:ascii="Times New Roman" w:hAnsi="Times New Roman" w:cs="Times New Roman"/>
          <w:sz w:val="24"/>
          <w:szCs w:val="24"/>
        </w:rPr>
        <w:t>wide</w:t>
      </w:r>
      <w:r w:rsidRPr="00AC29EA">
        <w:rPr>
          <w:rFonts w:ascii="Times New Roman" w:hAnsi="Times New Roman" w:cs="Times New Roman"/>
          <w:sz w:val="24"/>
          <w:szCs w:val="24"/>
        </w:rPr>
        <w:t xml:space="preserve"> by hosting AEL events and classes, providing access to employment and educational resources, supporting recruitment, and providing public access to the </w:t>
      </w:r>
      <w:r w:rsidR="002E6098">
        <w:rPr>
          <w:rFonts w:ascii="Times New Roman" w:hAnsi="Times New Roman" w:cs="Times New Roman"/>
          <w:sz w:val="24"/>
          <w:szCs w:val="24"/>
        </w:rPr>
        <w:t>i</w:t>
      </w:r>
      <w:r w:rsidRPr="00AC29EA">
        <w:rPr>
          <w:rFonts w:ascii="Times New Roman" w:hAnsi="Times New Roman" w:cs="Times New Roman"/>
          <w:sz w:val="24"/>
          <w:szCs w:val="24"/>
        </w:rPr>
        <w:t xml:space="preserve">nternet to facilitate distance learning and </w:t>
      </w:r>
      <w:r w:rsidR="002E6098">
        <w:rPr>
          <w:rFonts w:ascii="Times New Roman" w:hAnsi="Times New Roman" w:cs="Times New Roman"/>
          <w:sz w:val="24"/>
          <w:szCs w:val="24"/>
        </w:rPr>
        <w:t xml:space="preserve">job </w:t>
      </w:r>
      <w:r w:rsidR="00CF4F58">
        <w:rPr>
          <w:rFonts w:ascii="Times New Roman" w:hAnsi="Times New Roman" w:cs="Times New Roman"/>
          <w:sz w:val="24"/>
          <w:szCs w:val="24"/>
        </w:rPr>
        <w:t>searching</w:t>
      </w:r>
      <w:r w:rsidRPr="00AC29EA">
        <w:rPr>
          <w:rFonts w:ascii="Times New Roman" w:hAnsi="Times New Roman" w:cs="Times New Roman"/>
          <w:sz w:val="24"/>
          <w:szCs w:val="24"/>
        </w:rPr>
        <w:t>.</w:t>
      </w:r>
      <w:r w:rsidR="00790CFA">
        <w:rPr>
          <w:rFonts w:ascii="Times New Roman" w:hAnsi="Times New Roman" w:cs="Times New Roman"/>
          <w:sz w:val="24"/>
          <w:szCs w:val="24"/>
        </w:rPr>
        <w:t xml:space="preserve"> </w:t>
      </w:r>
      <w:r w:rsidRPr="00AC29EA">
        <w:rPr>
          <w:rFonts w:ascii="Times New Roman" w:hAnsi="Times New Roman" w:cs="Times New Roman"/>
          <w:sz w:val="24"/>
          <w:szCs w:val="24"/>
        </w:rPr>
        <w:t xml:space="preserve">In their role as technology anchors in their communities, libraries are also key partners in </w:t>
      </w:r>
      <w:r w:rsidR="0029797B">
        <w:rPr>
          <w:rFonts w:ascii="Times New Roman" w:hAnsi="Times New Roman" w:cs="Times New Roman"/>
          <w:sz w:val="24"/>
          <w:szCs w:val="24"/>
        </w:rPr>
        <w:t>closing</w:t>
      </w:r>
      <w:r w:rsidR="00FB2949">
        <w:rPr>
          <w:rFonts w:ascii="Times New Roman" w:hAnsi="Times New Roman" w:cs="Times New Roman"/>
          <w:sz w:val="24"/>
          <w:szCs w:val="24"/>
        </w:rPr>
        <w:t xml:space="preserve"> </w:t>
      </w:r>
      <w:r w:rsidRPr="00AC29EA">
        <w:rPr>
          <w:rFonts w:ascii="Times New Roman" w:hAnsi="Times New Roman" w:cs="Times New Roman"/>
          <w:sz w:val="24"/>
          <w:szCs w:val="24"/>
        </w:rPr>
        <w:t xml:space="preserve">the digital divide and </w:t>
      </w:r>
      <w:r w:rsidR="00FB2949">
        <w:rPr>
          <w:rFonts w:ascii="Times New Roman" w:hAnsi="Times New Roman" w:cs="Times New Roman"/>
          <w:sz w:val="24"/>
          <w:szCs w:val="24"/>
        </w:rPr>
        <w:t>promot</w:t>
      </w:r>
      <w:r w:rsidR="0029797B">
        <w:rPr>
          <w:rFonts w:ascii="Times New Roman" w:hAnsi="Times New Roman" w:cs="Times New Roman"/>
          <w:sz w:val="24"/>
          <w:szCs w:val="24"/>
        </w:rPr>
        <w:t>ing</w:t>
      </w:r>
      <w:r w:rsidR="00FB2949">
        <w:rPr>
          <w:rFonts w:ascii="Times New Roman" w:hAnsi="Times New Roman" w:cs="Times New Roman"/>
          <w:sz w:val="24"/>
          <w:szCs w:val="24"/>
        </w:rPr>
        <w:t xml:space="preserve"> </w:t>
      </w:r>
      <w:r w:rsidRPr="00AC29EA">
        <w:rPr>
          <w:rFonts w:ascii="Times New Roman" w:hAnsi="Times New Roman" w:cs="Times New Roman"/>
          <w:sz w:val="24"/>
          <w:szCs w:val="24"/>
        </w:rPr>
        <w:t>digital literacy.</w:t>
      </w:r>
    </w:p>
    <w:p w14:paraId="56FDD71D" w14:textId="77777777" w:rsidR="004E540F" w:rsidRPr="00AC29EA" w:rsidRDefault="004E540F" w:rsidP="004E540F">
      <w:pPr>
        <w:rPr>
          <w:rFonts w:ascii="Times New Roman" w:hAnsi="Times New Roman" w:cs="Times New Roman"/>
          <w:sz w:val="24"/>
          <w:szCs w:val="24"/>
        </w:rPr>
      </w:pPr>
    </w:p>
    <w:p w14:paraId="1DA69857" w14:textId="69A1E2E8" w:rsidR="004E540F" w:rsidRDefault="00FA7B91" w:rsidP="005A4EC3">
      <w:pPr>
        <w:rPr>
          <w:rFonts w:ascii="Times New Roman" w:hAnsi="Times New Roman" w:cs="Times New Roman"/>
          <w:sz w:val="24"/>
          <w:szCs w:val="24"/>
        </w:rPr>
      </w:pPr>
      <w:r>
        <w:rPr>
          <w:rFonts w:ascii="Times New Roman" w:hAnsi="Times New Roman" w:cs="Times New Roman"/>
          <w:sz w:val="24"/>
          <w:szCs w:val="24"/>
        </w:rPr>
        <w:t>Statewide Leadership f</w:t>
      </w:r>
      <w:r w:rsidR="004E540F" w:rsidRPr="00AC29EA">
        <w:rPr>
          <w:rFonts w:ascii="Times New Roman" w:hAnsi="Times New Roman" w:cs="Times New Roman"/>
          <w:sz w:val="24"/>
          <w:szCs w:val="24"/>
        </w:rPr>
        <w:t>unding supported library liaison</w:t>
      </w:r>
      <w:r>
        <w:rPr>
          <w:rFonts w:ascii="Times New Roman" w:hAnsi="Times New Roman" w:cs="Times New Roman"/>
          <w:sz w:val="24"/>
          <w:szCs w:val="24"/>
        </w:rPr>
        <w:t>s</w:t>
      </w:r>
      <w:r w:rsidR="004E540F" w:rsidRPr="00AC29EA">
        <w:rPr>
          <w:rFonts w:ascii="Times New Roman" w:hAnsi="Times New Roman" w:cs="Times New Roman"/>
          <w:sz w:val="24"/>
          <w:szCs w:val="24"/>
        </w:rPr>
        <w:t xml:space="preserve"> and/or </w:t>
      </w:r>
      <w:r>
        <w:rPr>
          <w:rFonts w:ascii="Times New Roman" w:hAnsi="Times New Roman" w:cs="Times New Roman"/>
          <w:sz w:val="24"/>
          <w:szCs w:val="24"/>
        </w:rPr>
        <w:t xml:space="preserve">offer </w:t>
      </w:r>
      <w:r w:rsidR="004E540F" w:rsidRPr="00AC29EA">
        <w:rPr>
          <w:rFonts w:ascii="Times New Roman" w:hAnsi="Times New Roman" w:cs="Times New Roman"/>
          <w:sz w:val="24"/>
          <w:szCs w:val="24"/>
        </w:rPr>
        <w:t>program</w:t>
      </w:r>
      <w:r w:rsidR="00D8465A">
        <w:rPr>
          <w:rFonts w:ascii="Times New Roman" w:hAnsi="Times New Roman" w:cs="Times New Roman"/>
          <w:sz w:val="24"/>
          <w:szCs w:val="24"/>
        </w:rPr>
        <w:t>s that</w:t>
      </w:r>
      <w:r w:rsidR="004E540F" w:rsidRPr="00AC29EA">
        <w:rPr>
          <w:rFonts w:ascii="Times New Roman" w:hAnsi="Times New Roman" w:cs="Times New Roman"/>
          <w:sz w:val="24"/>
          <w:szCs w:val="24"/>
        </w:rPr>
        <w:t xml:space="preserve"> provide training and technical assistance to public library staff statewide</w:t>
      </w:r>
      <w:r w:rsidR="00226D5A">
        <w:rPr>
          <w:rFonts w:ascii="Times New Roman" w:hAnsi="Times New Roman" w:cs="Times New Roman"/>
          <w:sz w:val="24"/>
          <w:szCs w:val="24"/>
        </w:rPr>
        <w:t>.</w:t>
      </w:r>
      <w:r w:rsidR="004E540F" w:rsidRPr="00AC29EA">
        <w:rPr>
          <w:rFonts w:ascii="Times New Roman" w:hAnsi="Times New Roman" w:cs="Times New Roman"/>
          <w:sz w:val="24"/>
          <w:szCs w:val="24"/>
        </w:rPr>
        <w:t xml:space="preserve"> </w:t>
      </w:r>
      <w:r w:rsidR="00226D5A">
        <w:rPr>
          <w:rFonts w:ascii="Times New Roman" w:hAnsi="Times New Roman" w:cs="Times New Roman"/>
          <w:sz w:val="24"/>
          <w:szCs w:val="24"/>
        </w:rPr>
        <w:t xml:space="preserve">The </w:t>
      </w:r>
      <w:r w:rsidR="00226D5A" w:rsidRPr="00AC29EA">
        <w:rPr>
          <w:rFonts w:ascii="Times New Roman" w:hAnsi="Times New Roman" w:cs="Times New Roman"/>
          <w:sz w:val="24"/>
          <w:szCs w:val="24"/>
        </w:rPr>
        <w:t xml:space="preserve">training and technical assistance </w:t>
      </w:r>
      <w:r w:rsidR="00E62A56">
        <w:rPr>
          <w:rFonts w:ascii="Times New Roman" w:hAnsi="Times New Roman" w:cs="Times New Roman"/>
          <w:sz w:val="24"/>
          <w:szCs w:val="24"/>
        </w:rPr>
        <w:t xml:space="preserve">help </w:t>
      </w:r>
      <w:r w:rsidR="00226D5A">
        <w:rPr>
          <w:rFonts w:ascii="Times New Roman" w:hAnsi="Times New Roman" w:cs="Times New Roman"/>
          <w:sz w:val="24"/>
          <w:szCs w:val="24"/>
        </w:rPr>
        <w:t xml:space="preserve">library staff members </w:t>
      </w:r>
      <w:r w:rsidR="004E540F" w:rsidRPr="00AC29EA">
        <w:rPr>
          <w:rFonts w:ascii="Times New Roman" w:hAnsi="Times New Roman" w:cs="Times New Roman"/>
          <w:sz w:val="24"/>
          <w:szCs w:val="24"/>
        </w:rPr>
        <w:t xml:space="preserve">develop or expand </w:t>
      </w:r>
      <w:r w:rsidR="00E62A56">
        <w:rPr>
          <w:rFonts w:ascii="Times New Roman" w:hAnsi="Times New Roman" w:cs="Times New Roman"/>
          <w:sz w:val="24"/>
          <w:szCs w:val="24"/>
        </w:rPr>
        <w:t xml:space="preserve">their </w:t>
      </w:r>
      <w:r w:rsidR="004E540F" w:rsidRPr="00AC29EA">
        <w:rPr>
          <w:rFonts w:ascii="Times New Roman" w:hAnsi="Times New Roman" w:cs="Times New Roman"/>
          <w:sz w:val="24"/>
          <w:szCs w:val="24"/>
        </w:rPr>
        <w:t>library</w:t>
      </w:r>
      <w:r w:rsidR="00E62A56">
        <w:rPr>
          <w:rFonts w:ascii="Times New Roman" w:hAnsi="Times New Roman" w:cs="Times New Roman"/>
          <w:sz w:val="24"/>
          <w:szCs w:val="24"/>
        </w:rPr>
        <w:t>’s</w:t>
      </w:r>
      <w:r w:rsidR="004E540F" w:rsidRPr="00AC29EA">
        <w:rPr>
          <w:rFonts w:ascii="Times New Roman" w:hAnsi="Times New Roman" w:cs="Times New Roman"/>
          <w:sz w:val="24"/>
          <w:szCs w:val="24"/>
        </w:rPr>
        <w:t xml:space="preserve"> engagement with local AEL programs</w:t>
      </w:r>
      <w:r w:rsidR="00E62A56">
        <w:rPr>
          <w:rFonts w:ascii="Times New Roman" w:hAnsi="Times New Roman" w:cs="Times New Roman"/>
          <w:sz w:val="24"/>
          <w:szCs w:val="24"/>
        </w:rPr>
        <w:t>,</w:t>
      </w:r>
      <w:r w:rsidR="004E540F" w:rsidRPr="00AC29EA">
        <w:rPr>
          <w:rFonts w:ascii="Times New Roman" w:hAnsi="Times New Roman" w:cs="Times New Roman"/>
          <w:sz w:val="24"/>
          <w:szCs w:val="24"/>
        </w:rPr>
        <w:t xml:space="preserve"> based on best practices </w:t>
      </w:r>
      <w:r w:rsidR="00E62A56">
        <w:rPr>
          <w:rFonts w:ascii="Times New Roman" w:hAnsi="Times New Roman" w:cs="Times New Roman"/>
          <w:sz w:val="24"/>
          <w:szCs w:val="24"/>
        </w:rPr>
        <w:t>identified statewide</w:t>
      </w:r>
      <w:r w:rsidR="005A4EC3">
        <w:rPr>
          <w:rFonts w:ascii="Times New Roman" w:hAnsi="Times New Roman" w:cs="Times New Roman"/>
          <w:sz w:val="24"/>
          <w:szCs w:val="24"/>
        </w:rPr>
        <w:t>.</w:t>
      </w:r>
    </w:p>
    <w:p w14:paraId="028AD532" w14:textId="77777777" w:rsidR="005A4EC3" w:rsidRPr="005A4EC3" w:rsidRDefault="005A4EC3" w:rsidP="005A4EC3">
      <w:pPr>
        <w:rPr>
          <w:rFonts w:ascii="Times New Roman" w:hAnsi="Times New Roman" w:cs="Times New Roman"/>
          <w:sz w:val="24"/>
          <w:szCs w:val="24"/>
        </w:rPr>
      </w:pPr>
    </w:p>
    <w:p w14:paraId="1B2F0352" w14:textId="7F0100B2" w:rsidR="00571740" w:rsidRPr="009C7004" w:rsidRDefault="00E62A56" w:rsidP="00167305">
      <w:pPr>
        <w:pStyle w:val="Heading2"/>
      </w:pPr>
      <w:r>
        <w:t xml:space="preserve">The </w:t>
      </w:r>
      <w:r w:rsidR="00571740">
        <w:t>State</w:t>
      </w:r>
      <w:r>
        <w:t>’s</w:t>
      </w:r>
      <w:r w:rsidR="00571740">
        <w:t xml:space="preserve"> Role in the Provision of Technical Assistance</w:t>
      </w:r>
    </w:p>
    <w:p w14:paraId="759F1FBA" w14:textId="3E49D4DD" w:rsidR="00571740" w:rsidRDefault="00E62A56" w:rsidP="00F41B7B">
      <w:pPr>
        <w:pStyle w:val="BodyText"/>
      </w:pPr>
      <w:r>
        <w:t>AEL staff members continue to provide t</w:t>
      </w:r>
      <w:r w:rsidR="00571740" w:rsidRPr="00EF7B06">
        <w:t xml:space="preserve">echnical assistance </w:t>
      </w:r>
      <w:r>
        <w:t xml:space="preserve">to </w:t>
      </w:r>
      <w:r w:rsidR="00571740" w:rsidRPr="00EF7B06">
        <w:t xml:space="preserve">AEL grantees </w:t>
      </w:r>
      <w:r>
        <w:t xml:space="preserve">on a </w:t>
      </w:r>
      <w:r w:rsidR="00571740" w:rsidRPr="00EF7B06">
        <w:t xml:space="preserve">daily, weekly, monthly, quarterly, and yearly </w:t>
      </w:r>
      <w:r>
        <w:t>basis</w:t>
      </w:r>
      <w:r w:rsidR="00571740" w:rsidRPr="00EF7B06">
        <w:t>.</w:t>
      </w:r>
      <w:r w:rsidR="00790CFA">
        <w:t xml:space="preserve"> </w:t>
      </w:r>
      <w:r w:rsidR="00EF7B06">
        <w:t xml:space="preserve">At the </w:t>
      </w:r>
      <w:r w:rsidR="00316EDF">
        <w:t>end of PY’16–’17</w:t>
      </w:r>
      <w:r w:rsidR="00EF7B06">
        <w:t>, AEL staff analyzed performance outcomes and reworked current processes around the objective of improving student retention, a huge barrier to successful outcomes for AEL programs.</w:t>
      </w:r>
      <w:r w:rsidR="00790CFA">
        <w:t xml:space="preserve"> </w:t>
      </w:r>
      <w:r w:rsidR="00EF7B06">
        <w:t xml:space="preserve">Throughout </w:t>
      </w:r>
      <w:r w:rsidR="00946F9F">
        <w:t>PY’17–’18</w:t>
      </w:r>
      <w:r w:rsidR="00EF7B06">
        <w:t xml:space="preserve">, staff continued to work </w:t>
      </w:r>
      <w:r>
        <w:t>on the issue</w:t>
      </w:r>
      <w:r w:rsidR="00EF7B06">
        <w:t>, using the 4 Disciplines of Execution</w:t>
      </w:r>
      <w:r w:rsidRPr="00342D99">
        <w:rPr>
          <w:vertAlign w:val="superscript"/>
        </w:rPr>
        <w:t>©</w:t>
      </w:r>
      <w:r w:rsidR="00EF7B06">
        <w:t xml:space="preserve"> </w:t>
      </w:r>
      <w:r w:rsidR="00DD709B">
        <w:t>(</w:t>
      </w:r>
      <w:r w:rsidR="00EF7B06">
        <w:t>4DX</w:t>
      </w:r>
      <w:r w:rsidR="00DD709B">
        <w:t>)</w:t>
      </w:r>
      <w:r w:rsidR="00EF7B06">
        <w:t xml:space="preserve"> process </w:t>
      </w:r>
      <w:r w:rsidR="00DD709B">
        <w:t xml:space="preserve">developed by </w:t>
      </w:r>
      <w:r w:rsidR="00DD709B" w:rsidRPr="0068690F">
        <w:t>FranklinCovey</w:t>
      </w:r>
      <w:r w:rsidR="00DD709B" w:rsidRPr="0068690F">
        <w:rPr>
          <w:vertAlign w:val="superscript"/>
        </w:rPr>
        <w:t>©</w:t>
      </w:r>
      <w:r w:rsidR="00DD709B" w:rsidRPr="0068690F">
        <w:t xml:space="preserve"> </w:t>
      </w:r>
      <w:r w:rsidR="00EF7B06" w:rsidRPr="0068690F">
        <w:t>to</w:t>
      </w:r>
      <w:r w:rsidR="00EF7B06">
        <w:t xml:space="preserve"> identify the team’s core objective</w:t>
      </w:r>
      <w:r w:rsidR="00DD709B">
        <w:t>—</w:t>
      </w:r>
      <w:r w:rsidR="004646C7">
        <w:t xml:space="preserve">improving </w:t>
      </w:r>
      <w:r w:rsidR="00EF7B06">
        <w:t>student persistence</w:t>
      </w:r>
      <w:r w:rsidR="00DD709B">
        <w:t>—</w:t>
      </w:r>
      <w:r w:rsidR="00EF7B06">
        <w:t xml:space="preserve">and </w:t>
      </w:r>
      <w:r w:rsidR="004646C7">
        <w:t xml:space="preserve">understanding </w:t>
      </w:r>
      <w:r w:rsidR="00EF7B06">
        <w:t xml:space="preserve">how </w:t>
      </w:r>
      <w:r w:rsidR="009B779B">
        <w:t xml:space="preserve">the </w:t>
      </w:r>
      <w:r w:rsidR="00EF7B06">
        <w:t xml:space="preserve">daily work aligns </w:t>
      </w:r>
      <w:r w:rsidR="009B779B">
        <w:t>with it</w:t>
      </w:r>
      <w:r w:rsidR="00EF7B06">
        <w:t>.</w:t>
      </w:r>
      <w:r w:rsidR="00790CFA">
        <w:t xml:space="preserve"> </w:t>
      </w:r>
      <w:r w:rsidR="00EF7B06">
        <w:t xml:space="preserve">The goal of the 4DX process is to ensure that </w:t>
      </w:r>
      <w:r w:rsidR="00FB3DD3">
        <w:t xml:space="preserve">work activities are adequately apportioned to provide </w:t>
      </w:r>
      <w:r w:rsidR="00DD77EF">
        <w:t xml:space="preserve">the </w:t>
      </w:r>
      <w:r w:rsidR="00FB3DD3">
        <w:t xml:space="preserve">technical assistance </w:t>
      </w:r>
      <w:r w:rsidR="00DD77EF">
        <w:t xml:space="preserve">needed to reach </w:t>
      </w:r>
      <w:r w:rsidR="00FB3DD3">
        <w:t xml:space="preserve">that </w:t>
      </w:r>
      <w:r w:rsidR="00EF7B06">
        <w:t xml:space="preserve">core objective and </w:t>
      </w:r>
      <w:r w:rsidR="009B779B">
        <w:t xml:space="preserve">reduce </w:t>
      </w:r>
      <w:r w:rsidR="00FB3DD3">
        <w:t xml:space="preserve">or reassign work that does not </w:t>
      </w:r>
      <w:r w:rsidR="009B779B">
        <w:t xml:space="preserve">help meet </w:t>
      </w:r>
      <w:r w:rsidR="00FB3DD3">
        <w:t>the objective.</w:t>
      </w:r>
    </w:p>
    <w:p w14:paraId="74911296" w14:textId="77777777" w:rsidR="00EF7B06" w:rsidRDefault="00EF7B06" w:rsidP="00571740">
      <w:pPr>
        <w:rPr>
          <w:rFonts w:ascii="Times New Roman" w:eastAsia="Times New Roman" w:hAnsi="Times New Roman"/>
          <w:sz w:val="24"/>
          <w:szCs w:val="24"/>
        </w:rPr>
      </w:pPr>
    </w:p>
    <w:p w14:paraId="7C82F39C" w14:textId="2361DDD4" w:rsidR="00EF7B06" w:rsidRDefault="00EF7B06" w:rsidP="00F41B7B">
      <w:pPr>
        <w:pStyle w:val="BodyText"/>
      </w:pPr>
      <w:r>
        <w:t xml:space="preserve">AEL staff </w:t>
      </w:r>
      <w:r w:rsidR="0082050E">
        <w:t xml:space="preserve">members </w:t>
      </w:r>
      <w:r>
        <w:t>continue to use both 4DX and Rapid Process Improvement</w:t>
      </w:r>
      <w:r w:rsidR="00BB2F7A">
        <w:t xml:space="preserve"> (RPI)</w:t>
      </w:r>
      <w:r>
        <w:t xml:space="preserve"> to find more efficient and effective ways </w:t>
      </w:r>
      <w:r w:rsidR="00DD709B">
        <w:t xml:space="preserve">of </w:t>
      </w:r>
      <w:r>
        <w:t>supporting AEL grantees and improving outcomes.</w:t>
      </w:r>
      <w:r w:rsidR="00790CFA">
        <w:t xml:space="preserve"> </w:t>
      </w:r>
      <w:r>
        <w:t xml:space="preserve">Specific technical assistance efforts are </w:t>
      </w:r>
      <w:r w:rsidR="00DD709B">
        <w:t xml:space="preserve">explained </w:t>
      </w:r>
      <w:r w:rsidR="0082050E">
        <w:t xml:space="preserve">in the </w:t>
      </w:r>
      <w:r w:rsidR="00433EAE">
        <w:t>three</w:t>
      </w:r>
      <w:r w:rsidR="0082050E">
        <w:t xml:space="preserve"> subsections</w:t>
      </w:r>
      <w:r w:rsidR="00433EAE">
        <w:t xml:space="preserve"> that follow, </w:t>
      </w:r>
      <w:r w:rsidR="00A337B2">
        <w:t xml:space="preserve">directly </w:t>
      </w:r>
      <w:r>
        <w:t>below.</w:t>
      </w:r>
    </w:p>
    <w:p w14:paraId="46C88FE6" w14:textId="77777777" w:rsidR="00EF7B06" w:rsidRPr="00EF7B06" w:rsidRDefault="00EF7B06" w:rsidP="00571740">
      <w:pPr>
        <w:rPr>
          <w:rFonts w:ascii="Times New Roman" w:eastAsia="Times New Roman" w:hAnsi="Times New Roman"/>
          <w:sz w:val="24"/>
          <w:szCs w:val="24"/>
        </w:rPr>
      </w:pPr>
    </w:p>
    <w:p w14:paraId="17453782" w14:textId="77777777" w:rsidR="00571740" w:rsidRPr="00651B21" w:rsidRDefault="00571740" w:rsidP="00571740">
      <w:pPr>
        <w:pStyle w:val="Heading4"/>
      </w:pPr>
      <w:r w:rsidRPr="00651B21">
        <w:t xml:space="preserve">Daily and Weekly </w:t>
      </w:r>
    </w:p>
    <w:p w14:paraId="556F3E9B" w14:textId="099AEE7B" w:rsidR="00571740" w:rsidRPr="00DD3E43" w:rsidRDefault="00571740" w:rsidP="00F41B7B">
      <w:pPr>
        <w:pStyle w:val="BodyText"/>
      </w:pPr>
      <w:r w:rsidRPr="00DD3E43">
        <w:t xml:space="preserve">TWC program staff </w:t>
      </w:r>
      <w:r w:rsidR="003336D1">
        <w:t xml:space="preserve">members </w:t>
      </w:r>
      <w:r w:rsidR="002256C9">
        <w:t>proactive</w:t>
      </w:r>
      <w:r w:rsidR="00254405">
        <w:t>ly</w:t>
      </w:r>
      <w:r w:rsidR="002256C9" w:rsidDel="002256C9">
        <w:t xml:space="preserve"> </w:t>
      </w:r>
      <w:r w:rsidRPr="00DD3E43">
        <w:t>communicat</w:t>
      </w:r>
      <w:r w:rsidR="00FB3DD3">
        <w:t>e</w:t>
      </w:r>
      <w:r w:rsidRPr="00DD3E43">
        <w:t xml:space="preserve"> with AEL grantees</w:t>
      </w:r>
      <w:r w:rsidR="00FB3DD3">
        <w:t xml:space="preserve"> based on </w:t>
      </w:r>
      <w:r w:rsidR="000F76EB">
        <w:t xml:space="preserve">the </w:t>
      </w:r>
      <w:r w:rsidR="00FB3DD3">
        <w:t>provider</w:t>
      </w:r>
      <w:r w:rsidR="000F76EB">
        <w:t>’s</w:t>
      </w:r>
      <w:r w:rsidR="00FB3DD3">
        <w:t xml:space="preserve"> performance and needs</w:t>
      </w:r>
      <w:r w:rsidRPr="00DD3E43">
        <w:t xml:space="preserve">. Each </w:t>
      </w:r>
      <w:r w:rsidR="000F76EB">
        <w:t xml:space="preserve">time that </w:t>
      </w:r>
      <w:r w:rsidRPr="00DD3E43">
        <w:t xml:space="preserve">technical assistance </w:t>
      </w:r>
      <w:r w:rsidR="000F76EB">
        <w:t xml:space="preserve">is provided, the details are </w:t>
      </w:r>
      <w:r>
        <w:t>entered into</w:t>
      </w:r>
      <w:r w:rsidRPr="00DD3E43">
        <w:t xml:space="preserve"> a database, including</w:t>
      </w:r>
      <w:r w:rsidR="000F76EB">
        <w:t xml:space="preserve"> the type of assistance</w:t>
      </w:r>
      <w:r w:rsidRPr="00DD3E43">
        <w:t xml:space="preserve"> </w:t>
      </w:r>
      <w:r w:rsidR="000F76EB">
        <w:t>(</w:t>
      </w:r>
      <w:r w:rsidRPr="00DD3E43">
        <w:t>category</w:t>
      </w:r>
      <w:r w:rsidR="000F76EB">
        <w:t>)</w:t>
      </w:r>
      <w:r w:rsidRPr="00DD3E43">
        <w:t xml:space="preserve">, </w:t>
      </w:r>
      <w:r w:rsidR="00837C27">
        <w:t xml:space="preserve">the </w:t>
      </w:r>
      <w:r w:rsidRPr="00DD3E43">
        <w:t>contents</w:t>
      </w:r>
      <w:r w:rsidR="00837C27">
        <w:t xml:space="preserve"> (what the assistance entailed)</w:t>
      </w:r>
      <w:r>
        <w:t>,</w:t>
      </w:r>
      <w:r w:rsidRPr="00DD3E43">
        <w:t xml:space="preserve"> and</w:t>
      </w:r>
      <w:r w:rsidR="000F76EB">
        <w:t xml:space="preserve"> the</w:t>
      </w:r>
      <w:r w:rsidRPr="00DD3E43">
        <w:t xml:space="preserve"> start</w:t>
      </w:r>
      <w:r>
        <w:t xml:space="preserve"> and </w:t>
      </w:r>
      <w:r w:rsidRPr="00DD3E43">
        <w:t>end date</w:t>
      </w:r>
      <w:r>
        <w:t>s</w:t>
      </w:r>
      <w:r w:rsidRPr="00DD3E43">
        <w:t xml:space="preserve">. This information is used to inform biweekly AEL </w:t>
      </w:r>
      <w:r w:rsidR="00065D62">
        <w:t xml:space="preserve">conference </w:t>
      </w:r>
      <w:r w:rsidRPr="00DD3E43">
        <w:t>calls, which include all AEL grantees</w:t>
      </w:r>
      <w:r w:rsidR="00065D62">
        <w:t>,</w:t>
      </w:r>
      <w:r w:rsidRPr="00DD3E43">
        <w:t xml:space="preserve"> subrecipients</w:t>
      </w:r>
      <w:r w:rsidR="00065D62">
        <w:t>,</w:t>
      </w:r>
      <w:r w:rsidRPr="00DD3E43">
        <w:t xml:space="preserve"> and </w:t>
      </w:r>
      <w:r w:rsidR="004F7B2C">
        <w:t>L</w:t>
      </w:r>
      <w:r w:rsidR="004F7B2C" w:rsidRPr="00F22DE0">
        <w:t xml:space="preserve">ocal </w:t>
      </w:r>
      <w:r w:rsidR="004F7B2C">
        <w:t>W</w:t>
      </w:r>
      <w:r w:rsidR="004F7B2C" w:rsidRPr="00F22DE0">
        <w:t xml:space="preserve">orkforce </w:t>
      </w:r>
      <w:r w:rsidR="004F7B2C">
        <w:t>D</w:t>
      </w:r>
      <w:r w:rsidR="004F7B2C" w:rsidRPr="00F22DE0">
        <w:t xml:space="preserve">evelopment </w:t>
      </w:r>
      <w:r w:rsidR="004F7B2C">
        <w:t>B</w:t>
      </w:r>
      <w:r w:rsidR="004F7B2C" w:rsidRPr="00F22DE0">
        <w:t xml:space="preserve">oards </w:t>
      </w:r>
      <w:r w:rsidR="004F7B2C">
        <w:t>(</w:t>
      </w:r>
      <w:r>
        <w:t>B</w:t>
      </w:r>
      <w:r w:rsidRPr="00DD3E43">
        <w:t>oards</w:t>
      </w:r>
      <w:r w:rsidR="004F7B2C">
        <w:t>)</w:t>
      </w:r>
      <w:r w:rsidRPr="00DD3E43">
        <w:t>. During these calls</w:t>
      </w:r>
      <w:r>
        <w:t>,</w:t>
      </w:r>
      <w:r w:rsidRPr="00DD3E43">
        <w:t xml:space="preserve"> AEL staff </w:t>
      </w:r>
      <w:r>
        <w:t xml:space="preserve">members </w:t>
      </w:r>
      <w:r w:rsidR="00105EF9">
        <w:t>address</w:t>
      </w:r>
      <w:r w:rsidR="00105EF9" w:rsidRPr="00DD3E43">
        <w:t xml:space="preserve"> </w:t>
      </w:r>
      <w:r w:rsidRPr="00DD3E43">
        <w:t>critical issues, make announcements</w:t>
      </w:r>
      <w:r>
        <w:t>,</w:t>
      </w:r>
      <w:r w:rsidRPr="00DD3E43">
        <w:t xml:space="preserve"> and </w:t>
      </w:r>
      <w:r w:rsidR="00AD34F9">
        <w:t xml:space="preserve">answer </w:t>
      </w:r>
      <w:r w:rsidR="00BF2A3A">
        <w:t xml:space="preserve">grantees’ </w:t>
      </w:r>
      <w:r w:rsidRPr="00DD3E43">
        <w:t xml:space="preserve">questions. </w:t>
      </w:r>
      <w:r>
        <w:t>The calls have</w:t>
      </w:r>
      <w:r w:rsidRPr="00DD3E43">
        <w:t xml:space="preserve"> proven invaluable in </w:t>
      </w:r>
      <w:r>
        <w:t>keeping grantees informed</w:t>
      </w:r>
      <w:r w:rsidRPr="00DD3E43">
        <w:t>.</w:t>
      </w:r>
    </w:p>
    <w:p w14:paraId="27C1ABFB" w14:textId="77777777" w:rsidR="00571740" w:rsidRPr="00DD3E43" w:rsidRDefault="00571740" w:rsidP="00F41B7B">
      <w:pPr>
        <w:pStyle w:val="BodyText"/>
      </w:pPr>
    </w:p>
    <w:p w14:paraId="4BEF96B2" w14:textId="170C7A64" w:rsidR="00571740" w:rsidRDefault="00571740" w:rsidP="00F41B7B">
      <w:pPr>
        <w:pStyle w:val="BodyText"/>
      </w:pPr>
      <w:r w:rsidRPr="00DD3E43">
        <w:lastRenderedPageBreak/>
        <w:t>Staff monitor</w:t>
      </w:r>
      <w:r>
        <w:t>s</w:t>
      </w:r>
      <w:r w:rsidRPr="00DD3E43">
        <w:t xml:space="preserve"> program data </w:t>
      </w:r>
      <w:r>
        <w:t>at least</w:t>
      </w:r>
      <w:r w:rsidRPr="00DD3E43">
        <w:t xml:space="preserve"> every two weeks to check for anomalies that may indicate a large-scale misunderstanding related to program implementation. For instance, staff </w:t>
      </w:r>
      <w:r>
        <w:t>might</w:t>
      </w:r>
      <w:r w:rsidRPr="00DD3E43">
        <w:t xml:space="preserve"> notice that </w:t>
      </w:r>
      <w:r w:rsidR="00796386">
        <w:t xml:space="preserve">a </w:t>
      </w:r>
      <w:r w:rsidRPr="00DD3E43">
        <w:t xml:space="preserve">service type </w:t>
      </w:r>
      <w:r w:rsidR="00796386">
        <w:t xml:space="preserve">is </w:t>
      </w:r>
      <w:r w:rsidRPr="00DD3E43">
        <w:t xml:space="preserve">coded in a way that </w:t>
      </w:r>
      <w:r>
        <w:t>does not</w:t>
      </w:r>
      <w:r w:rsidRPr="00DD3E43">
        <w:t xml:space="preserve"> align </w:t>
      </w:r>
      <w:r>
        <w:t>with</w:t>
      </w:r>
      <w:r w:rsidRPr="00DD3E43">
        <w:t xml:space="preserve"> the types of participants </w:t>
      </w:r>
      <w:r>
        <w:t>who</w:t>
      </w:r>
      <w:r w:rsidRPr="00DD3E43">
        <w:t xml:space="preserve"> are receiving </w:t>
      </w:r>
      <w:r w:rsidR="00796386">
        <w:t xml:space="preserve">the </w:t>
      </w:r>
      <w:r w:rsidRPr="00DD3E43">
        <w:t>service</w:t>
      </w:r>
      <w:r>
        <w:t>. This misalignment would indicate that</w:t>
      </w:r>
      <w:r w:rsidRPr="00DD3E43">
        <w:t xml:space="preserve"> a misunderstanding </w:t>
      </w:r>
      <w:r>
        <w:t xml:space="preserve">exists regarding </w:t>
      </w:r>
      <w:r w:rsidRPr="00DD3E43">
        <w:t xml:space="preserve">the service or the coding of </w:t>
      </w:r>
      <w:r w:rsidR="00254405">
        <w:t xml:space="preserve">the </w:t>
      </w:r>
      <w:r w:rsidRPr="00DD3E43">
        <w:t xml:space="preserve">service. </w:t>
      </w:r>
      <w:r w:rsidR="00A9744B">
        <w:t xml:space="preserve">A core objective </w:t>
      </w:r>
      <w:r w:rsidR="00645335">
        <w:t xml:space="preserve">in PY’17–’18 </w:t>
      </w:r>
      <w:r w:rsidR="00A9744B">
        <w:t xml:space="preserve">was to develop new </w:t>
      </w:r>
      <w:r w:rsidR="0068690F">
        <w:t>guidance</w:t>
      </w:r>
      <w:r w:rsidR="00A9744B">
        <w:t xml:space="preserve"> specifically </w:t>
      </w:r>
      <w:r w:rsidR="00796386">
        <w:t xml:space="preserve">for </w:t>
      </w:r>
      <w:r w:rsidR="008B5CEB">
        <w:t>areas w</w:t>
      </w:r>
      <w:r w:rsidR="00645335">
        <w:t xml:space="preserve">here </w:t>
      </w:r>
      <w:r w:rsidR="00A9744B">
        <w:t>there were large-scale misunderstandings.</w:t>
      </w:r>
      <w:r w:rsidR="00790CFA">
        <w:t xml:space="preserve"> </w:t>
      </w:r>
      <w:r w:rsidR="00A9744B">
        <w:t xml:space="preserve">AEL Letters, </w:t>
      </w:r>
      <w:r w:rsidR="008B5CEB">
        <w:t xml:space="preserve">TWC’s </w:t>
      </w:r>
      <w:r w:rsidR="00A9744B">
        <w:t xml:space="preserve">method of </w:t>
      </w:r>
      <w:r w:rsidR="008B5CEB">
        <w:t xml:space="preserve">issuing </w:t>
      </w:r>
      <w:r w:rsidR="00A9744B">
        <w:t xml:space="preserve">new </w:t>
      </w:r>
      <w:r w:rsidR="0068690F">
        <w:t>guidance</w:t>
      </w:r>
      <w:r w:rsidR="00A9744B">
        <w:t xml:space="preserve">, were </w:t>
      </w:r>
      <w:r w:rsidR="008B5CEB">
        <w:t xml:space="preserve">written on </w:t>
      </w:r>
      <w:r w:rsidR="00A9744B">
        <w:t xml:space="preserve">a variety of topics, including program eligibility and assessment, program performance, implementation of the IET model, and requirements and best practices related to </w:t>
      </w:r>
      <w:r w:rsidR="00254405">
        <w:t xml:space="preserve">aligning </w:t>
      </w:r>
      <w:r w:rsidR="00A9744B">
        <w:t>AEL services with postsecondary education.</w:t>
      </w:r>
    </w:p>
    <w:p w14:paraId="417514B0" w14:textId="77777777" w:rsidR="00A9744B" w:rsidRDefault="00A9744B" w:rsidP="00F41B7B">
      <w:pPr>
        <w:pStyle w:val="BodyText"/>
      </w:pPr>
    </w:p>
    <w:p w14:paraId="43A77E9A" w14:textId="694ACFE3" w:rsidR="00A9744B" w:rsidRDefault="00A9744B" w:rsidP="00F41B7B">
      <w:pPr>
        <w:pStyle w:val="BodyText"/>
      </w:pPr>
      <w:r>
        <w:t xml:space="preserve">Upon the issuance of new </w:t>
      </w:r>
      <w:r w:rsidR="0068690F">
        <w:t>guidance</w:t>
      </w:r>
      <w:r>
        <w:t xml:space="preserve">, AEL staff </w:t>
      </w:r>
      <w:r w:rsidR="008B5CEB">
        <w:t xml:space="preserve">members </w:t>
      </w:r>
      <w:r>
        <w:t xml:space="preserve">make an effort to review </w:t>
      </w:r>
      <w:r w:rsidR="008B5CEB">
        <w:t xml:space="preserve">the </w:t>
      </w:r>
      <w:r w:rsidR="0068690F">
        <w:t>guidance</w:t>
      </w:r>
      <w:r>
        <w:t xml:space="preserve"> with local programs through </w:t>
      </w:r>
      <w:r w:rsidR="00FB3DD3">
        <w:t xml:space="preserve">conference calls </w:t>
      </w:r>
      <w:r>
        <w:t xml:space="preserve">or webinars to ensure </w:t>
      </w:r>
      <w:r w:rsidR="008B5CEB">
        <w:t xml:space="preserve">that </w:t>
      </w:r>
      <w:r w:rsidR="00FB3DD3">
        <w:t xml:space="preserve">grantees are </w:t>
      </w:r>
      <w:r w:rsidR="008B5CEB">
        <w:t xml:space="preserve">adequately </w:t>
      </w:r>
      <w:r w:rsidR="00FB3DD3">
        <w:t>supported</w:t>
      </w:r>
      <w:r>
        <w:t>.</w:t>
      </w:r>
      <w:r w:rsidR="00790CFA">
        <w:t xml:space="preserve"> </w:t>
      </w:r>
      <w:r w:rsidR="00FB3DD3">
        <w:t xml:space="preserve">The significant increase in </w:t>
      </w:r>
      <w:r>
        <w:t xml:space="preserve">new </w:t>
      </w:r>
      <w:r w:rsidR="006A790D">
        <w:t xml:space="preserve">policy and </w:t>
      </w:r>
      <w:r>
        <w:t xml:space="preserve">guidance </w:t>
      </w:r>
      <w:r w:rsidR="00FB3DD3">
        <w:t xml:space="preserve">resulting from </w:t>
      </w:r>
      <w:r>
        <w:t>WIOA</w:t>
      </w:r>
      <w:r w:rsidR="00FB3DD3">
        <w:t xml:space="preserve"> </w:t>
      </w:r>
      <w:r w:rsidR="006A790D">
        <w:t>h</w:t>
      </w:r>
      <w:r w:rsidR="00FB3DD3">
        <w:t xml:space="preserve">as underscored the need to </w:t>
      </w:r>
      <w:r>
        <w:t>reiterat</w:t>
      </w:r>
      <w:r w:rsidR="00FB3DD3">
        <w:t>e</w:t>
      </w:r>
      <w:r>
        <w:t xml:space="preserve"> </w:t>
      </w:r>
      <w:r w:rsidR="006A790D">
        <w:t xml:space="preserve">changes and enhancements </w:t>
      </w:r>
      <w:r w:rsidR="00423C55">
        <w:t xml:space="preserve">using a variety of </w:t>
      </w:r>
      <w:r>
        <w:t>formats</w:t>
      </w:r>
      <w:r w:rsidR="00BF2A3A">
        <w:t>,</w:t>
      </w:r>
      <w:r>
        <w:t xml:space="preserve"> </w:t>
      </w:r>
      <w:r w:rsidR="006A790D">
        <w:t xml:space="preserve">and </w:t>
      </w:r>
      <w:r w:rsidR="00705B3E">
        <w:t xml:space="preserve">doing so </w:t>
      </w:r>
      <w:r>
        <w:t>has proven crucial in maintaining program understanding</w:t>
      </w:r>
      <w:r w:rsidR="006A790D">
        <w:t xml:space="preserve"> and consistency in </w:t>
      </w:r>
      <w:r w:rsidR="00167305">
        <w:t>implementation</w:t>
      </w:r>
      <w:r>
        <w:t xml:space="preserve">. </w:t>
      </w:r>
    </w:p>
    <w:p w14:paraId="0BB0AB8C" w14:textId="77777777" w:rsidR="00A9744B" w:rsidRPr="00DD3E43" w:rsidRDefault="00A9744B" w:rsidP="00571740"/>
    <w:p w14:paraId="13B1C5EC" w14:textId="77777777" w:rsidR="00571740" w:rsidRPr="00DD3E43" w:rsidRDefault="00571740" w:rsidP="00571740">
      <w:pPr>
        <w:pStyle w:val="Heading4"/>
      </w:pPr>
      <w:r w:rsidRPr="00DD3E43">
        <w:t>Monthly</w:t>
      </w:r>
    </w:p>
    <w:p w14:paraId="26029AB8" w14:textId="24D1C84C" w:rsidR="00571740" w:rsidRPr="00DD3E43" w:rsidRDefault="00571740" w:rsidP="00F41B7B">
      <w:pPr>
        <w:pStyle w:val="BodyText"/>
      </w:pPr>
      <w:r w:rsidRPr="00DD3E43">
        <w:t>Each month, as part of AEL</w:t>
      </w:r>
      <w:r w:rsidR="0005457A">
        <w:t>’s</w:t>
      </w:r>
      <w:r w:rsidRPr="00DD3E43">
        <w:t xml:space="preserve"> </w:t>
      </w:r>
      <w:r w:rsidR="00BB2F7A">
        <w:t xml:space="preserve">RPI </w:t>
      </w:r>
      <w:r w:rsidRPr="00DD3E43">
        <w:t>dashboard, staff review</w:t>
      </w:r>
      <w:r>
        <w:t>s</w:t>
      </w:r>
      <w:r w:rsidRPr="00DD3E43">
        <w:t xml:space="preserve"> the technical assistance provided during the previous month to establish trends and determine </w:t>
      </w:r>
      <w:r>
        <w:t>whether</w:t>
      </w:r>
      <w:r w:rsidRPr="00DD3E43">
        <w:t xml:space="preserve"> a correlation </w:t>
      </w:r>
      <w:r>
        <w:t xml:space="preserve">exists </w:t>
      </w:r>
      <w:r w:rsidRPr="00DD3E43">
        <w:t xml:space="preserve">between the technical assistance provided and the quality of program performance. This analysis helps </w:t>
      </w:r>
      <w:r w:rsidR="0005457A">
        <w:t xml:space="preserve">AEL </w:t>
      </w:r>
      <w:r>
        <w:t>find</w:t>
      </w:r>
      <w:r w:rsidRPr="00DD3E43">
        <w:t xml:space="preserve"> ways to be more proactive about certain topics and develop new processes.</w:t>
      </w:r>
    </w:p>
    <w:p w14:paraId="4CF65039" w14:textId="77777777" w:rsidR="00571740" w:rsidRPr="00DD3E43" w:rsidRDefault="00571740" w:rsidP="00F41B7B">
      <w:pPr>
        <w:pStyle w:val="BodyText"/>
      </w:pPr>
    </w:p>
    <w:p w14:paraId="20706A35" w14:textId="734CD252" w:rsidR="00571740" w:rsidRDefault="00571740" w:rsidP="00F41B7B">
      <w:pPr>
        <w:pStyle w:val="BodyText"/>
      </w:pPr>
      <w:r w:rsidRPr="00DD3E43">
        <w:t xml:space="preserve">Another key activity each month is the Monthly Performance Report </w:t>
      </w:r>
      <w:r>
        <w:t>(</w:t>
      </w:r>
      <w:r w:rsidRPr="00DD3E43">
        <w:t>MPR</w:t>
      </w:r>
      <w:r>
        <w:t>)</w:t>
      </w:r>
      <w:r w:rsidRPr="00DD3E43">
        <w:t xml:space="preserve"> meeting. During the MPR</w:t>
      </w:r>
      <w:r>
        <w:t xml:space="preserve"> meeting</w:t>
      </w:r>
      <w:r w:rsidRPr="00DD3E43">
        <w:t xml:space="preserve">, program staff, contract staff, finance staff, and division </w:t>
      </w:r>
      <w:r w:rsidR="0005457A">
        <w:t xml:space="preserve">managers </w:t>
      </w:r>
      <w:r w:rsidRPr="00DD3E43">
        <w:t>discuss performance trends, issues</w:t>
      </w:r>
      <w:r>
        <w:t>,</w:t>
      </w:r>
      <w:r w:rsidRPr="00DD3E43">
        <w:t xml:space="preserve"> and potential corrective action. </w:t>
      </w:r>
      <w:r>
        <w:t>The meetings result in</w:t>
      </w:r>
      <w:r w:rsidRPr="00DD3E43">
        <w:t xml:space="preserve"> </w:t>
      </w:r>
      <w:r w:rsidR="006A790D">
        <w:t xml:space="preserve">action </w:t>
      </w:r>
      <w:r w:rsidRPr="00DD3E43">
        <w:t xml:space="preserve">plans to be </w:t>
      </w:r>
      <w:r>
        <w:t xml:space="preserve">carried out </w:t>
      </w:r>
      <w:r w:rsidRPr="00DD3E43">
        <w:t xml:space="preserve">and reported on </w:t>
      </w:r>
      <w:r>
        <w:t>at</w:t>
      </w:r>
      <w:r w:rsidRPr="00DD3E43">
        <w:t xml:space="preserve"> the next MPR</w:t>
      </w:r>
      <w:r>
        <w:t xml:space="preserve"> meeting</w:t>
      </w:r>
      <w:r w:rsidRPr="00DD3E43">
        <w:t>.</w:t>
      </w:r>
      <w:r w:rsidR="00790CFA">
        <w:t xml:space="preserve"> </w:t>
      </w:r>
    </w:p>
    <w:p w14:paraId="13A74262" w14:textId="77777777" w:rsidR="00A9744B" w:rsidRDefault="00A9744B" w:rsidP="00F41B7B">
      <w:pPr>
        <w:pStyle w:val="BodyText"/>
      </w:pPr>
    </w:p>
    <w:p w14:paraId="12AA55E3" w14:textId="37F2C7C8" w:rsidR="00A9744B" w:rsidRPr="00DD3E43" w:rsidRDefault="00A9744B" w:rsidP="00F41B7B">
      <w:pPr>
        <w:pStyle w:val="BodyText"/>
      </w:pPr>
      <w:r>
        <w:t xml:space="preserve">In </w:t>
      </w:r>
      <w:r w:rsidR="00946F9F">
        <w:t>PY’17–’18</w:t>
      </w:r>
      <w:r>
        <w:t xml:space="preserve">, staff also began </w:t>
      </w:r>
      <w:r w:rsidR="00423C55">
        <w:t xml:space="preserve">providing </w:t>
      </w:r>
      <w:r>
        <w:t>a program status sheet to each grantee.</w:t>
      </w:r>
      <w:r w:rsidR="00790CFA">
        <w:t xml:space="preserve"> </w:t>
      </w:r>
      <w:r w:rsidR="00705B3E">
        <w:t xml:space="preserve">The </w:t>
      </w:r>
      <w:r>
        <w:t xml:space="preserve">status sheet combines data analyzed </w:t>
      </w:r>
      <w:r w:rsidR="00705B3E">
        <w:t xml:space="preserve">during </w:t>
      </w:r>
      <w:r>
        <w:t>the MPR</w:t>
      </w:r>
      <w:r w:rsidR="00705B3E">
        <w:t xml:space="preserve"> meeting</w:t>
      </w:r>
      <w:r>
        <w:t xml:space="preserve"> into a format that clearly shows </w:t>
      </w:r>
      <w:r w:rsidR="00A66D72">
        <w:t xml:space="preserve">whether </w:t>
      </w:r>
      <w:r>
        <w:t xml:space="preserve">a grantee </w:t>
      </w:r>
      <w:r w:rsidR="00A66D72">
        <w:t xml:space="preserve">is or is </w:t>
      </w:r>
      <w:r>
        <w:t>not meeting performance</w:t>
      </w:r>
      <w:r w:rsidR="00A66D72">
        <w:t xml:space="preserve"> standards</w:t>
      </w:r>
      <w:r>
        <w:t>, and</w:t>
      </w:r>
      <w:r w:rsidR="00495A60">
        <w:t xml:space="preserve"> </w:t>
      </w:r>
      <w:r w:rsidR="00423C55">
        <w:t xml:space="preserve">it </w:t>
      </w:r>
      <w:r w:rsidR="00495A60">
        <w:t>explains in detail</w:t>
      </w:r>
      <w:r>
        <w:t xml:space="preserve"> how each measure is calculated.</w:t>
      </w:r>
      <w:r w:rsidR="00790CFA">
        <w:t xml:space="preserve"> </w:t>
      </w:r>
      <w:r w:rsidR="006A790D">
        <w:t xml:space="preserve">Providers have benefited </w:t>
      </w:r>
      <w:r w:rsidR="00423C55">
        <w:t xml:space="preserve">from </w:t>
      </w:r>
      <w:r w:rsidR="006A790D">
        <w:t>this process</w:t>
      </w:r>
      <w:r w:rsidR="00495A60">
        <w:t>,</w:t>
      </w:r>
      <w:r w:rsidR="006A790D">
        <w:t xml:space="preserve"> given the steep increase in </w:t>
      </w:r>
      <w:r>
        <w:t>WIOA</w:t>
      </w:r>
      <w:r w:rsidR="006A790D">
        <w:t xml:space="preserve"> enhancements</w:t>
      </w:r>
      <w:r w:rsidR="00495A60">
        <w:t>.</w:t>
      </w:r>
      <w:r>
        <w:t xml:space="preserve"> </w:t>
      </w:r>
      <w:r w:rsidR="00495A60">
        <w:t>T</w:t>
      </w:r>
      <w:r>
        <w:t>h</w:t>
      </w:r>
      <w:r w:rsidR="006A790D">
        <w:t>e</w:t>
      </w:r>
      <w:r>
        <w:t xml:space="preserve"> process </w:t>
      </w:r>
      <w:r w:rsidR="00495A60">
        <w:t xml:space="preserve">also is </w:t>
      </w:r>
      <w:r>
        <w:t xml:space="preserve">crucial </w:t>
      </w:r>
      <w:r w:rsidR="00495A60">
        <w:t xml:space="preserve">because it helps </w:t>
      </w:r>
      <w:r>
        <w:t xml:space="preserve">grantees understand how they are faring under the WIOA measures and </w:t>
      </w:r>
      <w:r w:rsidR="00495A60">
        <w:t xml:space="preserve">helps </w:t>
      </w:r>
      <w:r>
        <w:t xml:space="preserve">ensure just-in-time remediation </w:t>
      </w:r>
      <w:r w:rsidR="00495A60">
        <w:t xml:space="preserve">of </w:t>
      </w:r>
      <w:r>
        <w:t>performance.</w:t>
      </w:r>
    </w:p>
    <w:p w14:paraId="2BADA65B" w14:textId="77777777" w:rsidR="00571740" w:rsidRPr="00DD3E43" w:rsidRDefault="00571740" w:rsidP="00F41B7B">
      <w:pPr>
        <w:pStyle w:val="BodyText"/>
      </w:pPr>
    </w:p>
    <w:p w14:paraId="3FD3B013" w14:textId="138F4BC5" w:rsidR="00A9744B" w:rsidRDefault="00F7190B" w:rsidP="00F41B7B">
      <w:pPr>
        <w:pStyle w:val="BodyText"/>
      </w:pPr>
      <w:r>
        <w:t xml:space="preserve">Additionally, every month </w:t>
      </w:r>
      <w:r w:rsidR="00571740" w:rsidRPr="00DD3E43">
        <w:t xml:space="preserve">program staff </w:t>
      </w:r>
      <w:r w:rsidR="009D7789">
        <w:t xml:space="preserve">members </w:t>
      </w:r>
      <w:r w:rsidR="00FA241F">
        <w:t xml:space="preserve">also </w:t>
      </w:r>
      <w:r w:rsidR="009D7789">
        <w:t xml:space="preserve">hold </w:t>
      </w:r>
      <w:r w:rsidR="00571740" w:rsidRPr="00DD3E43">
        <w:t xml:space="preserve">a dedicated call with each grantee. </w:t>
      </w:r>
      <w:r w:rsidR="009D7789">
        <w:t xml:space="preserve">The </w:t>
      </w:r>
      <w:r w:rsidR="00571740" w:rsidRPr="00DD3E43">
        <w:t>call</w:t>
      </w:r>
      <w:r w:rsidR="00A9744B">
        <w:t xml:space="preserve">, hosted by the assigned AEL program </w:t>
      </w:r>
      <w:r w:rsidR="006A790D">
        <w:t xml:space="preserve">support </w:t>
      </w:r>
      <w:r w:rsidR="00A9744B">
        <w:t>specialist,</w:t>
      </w:r>
      <w:r w:rsidR="00571740" w:rsidRPr="00DD3E43">
        <w:t xml:space="preserve"> has a standard agenda </w:t>
      </w:r>
      <w:r w:rsidR="00571740">
        <w:t xml:space="preserve">that </w:t>
      </w:r>
      <w:r w:rsidR="009D7789">
        <w:t xml:space="preserve">includes </w:t>
      </w:r>
      <w:r w:rsidR="00571740">
        <w:t xml:space="preserve">discussing </w:t>
      </w:r>
      <w:r w:rsidR="00571740" w:rsidRPr="00DD3E43">
        <w:t>key areas of concern, including performance and financ</w:t>
      </w:r>
      <w:r w:rsidR="00571740">
        <w:t>es; dispensing</w:t>
      </w:r>
      <w:r w:rsidR="00571740" w:rsidRPr="00DD3E43">
        <w:t xml:space="preserve"> new information</w:t>
      </w:r>
      <w:r w:rsidR="00571740">
        <w:t>;</w:t>
      </w:r>
      <w:r w:rsidR="00571740" w:rsidRPr="00DD3E43">
        <w:t xml:space="preserve"> and </w:t>
      </w:r>
      <w:r w:rsidR="00571740">
        <w:t xml:space="preserve">providing </w:t>
      </w:r>
      <w:r w:rsidR="00571740" w:rsidRPr="00DD3E43">
        <w:t xml:space="preserve">clarity on </w:t>
      </w:r>
      <w:r w:rsidR="009D7789">
        <w:t xml:space="preserve">the </w:t>
      </w:r>
      <w:r w:rsidR="00571740" w:rsidRPr="00DD3E43">
        <w:t xml:space="preserve">programmatic issues </w:t>
      </w:r>
      <w:r w:rsidR="00FA241F">
        <w:t>that staff members</w:t>
      </w:r>
      <w:r w:rsidR="009D7789">
        <w:t xml:space="preserve"> report on </w:t>
      </w:r>
      <w:r w:rsidR="00571740" w:rsidRPr="00DD3E43">
        <w:t xml:space="preserve">during the next MPR </w:t>
      </w:r>
      <w:r w:rsidR="00571740">
        <w:t>meeting.</w:t>
      </w:r>
      <w:r w:rsidR="00790CFA">
        <w:t xml:space="preserve"> </w:t>
      </w:r>
      <w:r w:rsidR="00A9744B">
        <w:t>The AEL contract manager</w:t>
      </w:r>
      <w:r w:rsidR="006A790D">
        <w:t>, who manages the financial aspects of each provider grant,</w:t>
      </w:r>
      <w:r w:rsidR="00790CFA">
        <w:t xml:space="preserve"> </w:t>
      </w:r>
      <w:r w:rsidR="006A790D">
        <w:t xml:space="preserve">contributes to </w:t>
      </w:r>
      <w:r w:rsidR="003F78A5">
        <w:t xml:space="preserve">the </w:t>
      </w:r>
      <w:r w:rsidR="00A9744B">
        <w:t xml:space="preserve">call to identify expenditure challenges or </w:t>
      </w:r>
      <w:r w:rsidR="00FA241F">
        <w:t xml:space="preserve">other areas of </w:t>
      </w:r>
      <w:r w:rsidR="00A9744B">
        <w:t xml:space="preserve">concern and </w:t>
      </w:r>
      <w:r w:rsidR="00FA241F">
        <w:t xml:space="preserve">to </w:t>
      </w:r>
      <w:r w:rsidR="00A9744B">
        <w:t xml:space="preserve">ensure </w:t>
      </w:r>
      <w:r w:rsidR="003F78A5">
        <w:t xml:space="preserve">that </w:t>
      </w:r>
      <w:r w:rsidR="00A9744B">
        <w:t>contract deliverables are clearly identified and met.</w:t>
      </w:r>
    </w:p>
    <w:p w14:paraId="37169987" w14:textId="77777777" w:rsidR="00A9744B" w:rsidRPr="00DD3E43" w:rsidRDefault="00A9744B" w:rsidP="00571740"/>
    <w:p w14:paraId="790C9499" w14:textId="77777777" w:rsidR="00571740" w:rsidRPr="00DD3E43" w:rsidRDefault="00571740" w:rsidP="00571740">
      <w:pPr>
        <w:pStyle w:val="Heading4"/>
      </w:pPr>
      <w:r w:rsidRPr="00DD3E43">
        <w:t>Quarterly</w:t>
      </w:r>
    </w:p>
    <w:p w14:paraId="72ADB980" w14:textId="6C13CCF5" w:rsidR="00571740" w:rsidRPr="00DD3E43" w:rsidRDefault="00571740" w:rsidP="00F41B7B">
      <w:pPr>
        <w:pStyle w:val="BodyText"/>
      </w:pPr>
      <w:r w:rsidRPr="00DD3E43">
        <w:t xml:space="preserve">In addition to the </w:t>
      </w:r>
      <w:r w:rsidR="003B16AF">
        <w:t xml:space="preserve">monthly </w:t>
      </w:r>
      <w:r>
        <w:t>activities</w:t>
      </w:r>
      <w:r w:rsidRPr="00DD3E43">
        <w:t>, staff present</w:t>
      </w:r>
      <w:r>
        <w:t>s</w:t>
      </w:r>
      <w:r w:rsidRPr="00DD3E43">
        <w:t xml:space="preserve"> performance </w:t>
      </w:r>
      <w:r>
        <w:t xml:space="preserve">results </w:t>
      </w:r>
      <w:r w:rsidRPr="00DD3E43">
        <w:t xml:space="preserve">to </w:t>
      </w:r>
      <w:r>
        <w:t>TWC’s</w:t>
      </w:r>
      <w:r w:rsidRPr="00DD3E43">
        <w:t xml:space="preserve"> </w:t>
      </w:r>
      <w:r>
        <w:t>three-member Commission</w:t>
      </w:r>
      <w:r w:rsidRPr="00DD3E43">
        <w:t xml:space="preserve"> </w:t>
      </w:r>
      <w:r w:rsidR="003A5C52">
        <w:t xml:space="preserve">(Commission) </w:t>
      </w:r>
      <w:r w:rsidRPr="00DD3E43">
        <w:t xml:space="preserve">during the </w:t>
      </w:r>
      <w:r>
        <w:t>q</w:t>
      </w:r>
      <w:r w:rsidRPr="00DD3E43">
        <w:t xml:space="preserve">uarterly </w:t>
      </w:r>
      <w:r>
        <w:t>p</w:t>
      </w:r>
      <w:r w:rsidRPr="00DD3E43">
        <w:t xml:space="preserve">erformance </w:t>
      </w:r>
      <w:r>
        <w:t>w</w:t>
      </w:r>
      <w:r w:rsidRPr="00DD3E43">
        <w:t xml:space="preserve">ork session. </w:t>
      </w:r>
      <w:r w:rsidR="003A5C52">
        <w:t xml:space="preserve">The </w:t>
      </w:r>
      <w:r w:rsidRPr="00DD3E43">
        <w:t xml:space="preserve">work session </w:t>
      </w:r>
      <w:r w:rsidRPr="00DD3E43">
        <w:lastRenderedPageBreak/>
        <w:t xml:space="preserve">keeps the </w:t>
      </w:r>
      <w:r>
        <w:t>C</w:t>
      </w:r>
      <w:r w:rsidRPr="00DD3E43">
        <w:t>ommissioners</w:t>
      </w:r>
      <w:r>
        <w:t xml:space="preserve"> apprised</w:t>
      </w:r>
      <w:r w:rsidRPr="00DD3E43">
        <w:t xml:space="preserve"> of areas of concern, </w:t>
      </w:r>
      <w:r>
        <w:t>helps</w:t>
      </w:r>
      <w:r w:rsidRPr="00DD3E43">
        <w:t xml:space="preserve"> staff to better understand </w:t>
      </w:r>
      <w:r>
        <w:t>TWC’s</w:t>
      </w:r>
      <w:r w:rsidRPr="00DD3E43">
        <w:t xml:space="preserve"> priorities</w:t>
      </w:r>
      <w:r>
        <w:t>, and</w:t>
      </w:r>
      <w:r w:rsidRPr="00DD3E43">
        <w:t xml:space="preserve"> </w:t>
      </w:r>
      <w:r>
        <w:t>furthers</w:t>
      </w:r>
      <w:r w:rsidRPr="00DD3E43">
        <w:t xml:space="preserve"> technical assistance efforts. </w:t>
      </w:r>
    </w:p>
    <w:p w14:paraId="0DB25086" w14:textId="77777777" w:rsidR="00571740" w:rsidRPr="00DD3E43" w:rsidRDefault="00571740" w:rsidP="00F41B7B">
      <w:pPr>
        <w:pStyle w:val="BodyText"/>
      </w:pPr>
    </w:p>
    <w:p w14:paraId="0CC7E340" w14:textId="4D4B7666" w:rsidR="00571740" w:rsidRPr="00DD3E43" w:rsidRDefault="00571740" w:rsidP="00F41B7B">
      <w:pPr>
        <w:pStyle w:val="BodyText"/>
      </w:pPr>
      <w:r w:rsidRPr="00DD3E43">
        <w:t>Depending on the type and amount of new information to be shared, TWC AEL staff hold</w:t>
      </w:r>
      <w:r>
        <w:t>s</w:t>
      </w:r>
      <w:r w:rsidRPr="00DD3E43">
        <w:t xml:space="preserve"> statewide meetings </w:t>
      </w:r>
      <w:r>
        <w:t>two or three</w:t>
      </w:r>
      <w:r w:rsidR="00A9744B">
        <w:t xml:space="preserve"> times </w:t>
      </w:r>
      <w:r w:rsidR="000D7BFC">
        <w:t xml:space="preserve">a </w:t>
      </w:r>
      <w:r w:rsidR="00A9744B">
        <w:t>year.</w:t>
      </w:r>
      <w:r w:rsidR="00790CFA">
        <w:t xml:space="preserve"> </w:t>
      </w:r>
      <w:r w:rsidR="00312A3B">
        <w:t xml:space="preserve">The time needed to hold </w:t>
      </w:r>
      <w:r w:rsidR="00A9744B">
        <w:t xml:space="preserve">a statewide competition for provider services </w:t>
      </w:r>
      <w:r w:rsidR="00374DA1">
        <w:t>in PY’17–’18</w:t>
      </w:r>
      <w:r w:rsidR="00312A3B">
        <w:t xml:space="preserve"> limited TWC’s </w:t>
      </w:r>
      <w:r w:rsidR="00A9744B">
        <w:t xml:space="preserve">ability to hold closed meetings for grantees; however, staff continued </w:t>
      </w:r>
      <w:r w:rsidR="003A5C52">
        <w:t xml:space="preserve">to make </w:t>
      </w:r>
      <w:r w:rsidR="00A9744B">
        <w:t xml:space="preserve">regular site visits, </w:t>
      </w:r>
      <w:r w:rsidR="002256C9">
        <w:t xml:space="preserve">convening </w:t>
      </w:r>
      <w:r w:rsidR="00A9744B">
        <w:t xml:space="preserve">grantees </w:t>
      </w:r>
      <w:r w:rsidR="008937BC">
        <w:t xml:space="preserve">from </w:t>
      </w:r>
      <w:r w:rsidR="00A9744B">
        <w:t>across regions</w:t>
      </w:r>
      <w:r w:rsidR="008937BC">
        <w:t>,</w:t>
      </w:r>
      <w:r w:rsidR="00A9744B">
        <w:t xml:space="preserve"> </w:t>
      </w:r>
      <w:r w:rsidR="001E764A">
        <w:t xml:space="preserve">when </w:t>
      </w:r>
      <w:r w:rsidR="00A9744B">
        <w:t xml:space="preserve">feasible, to continue </w:t>
      </w:r>
      <w:r w:rsidR="008937BC">
        <w:t xml:space="preserve">providing </w:t>
      </w:r>
      <w:r w:rsidR="00A9744B">
        <w:t>program support.</w:t>
      </w:r>
      <w:r w:rsidR="00790CFA">
        <w:t xml:space="preserve"> </w:t>
      </w:r>
    </w:p>
    <w:p w14:paraId="6B65B50F" w14:textId="77777777" w:rsidR="00571740" w:rsidRPr="00DD3E43" w:rsidRDefault="00571740" w:rsidP="00F41B7B">
      <w:pPr>
        <w:pStyle w:val="BodyText"/>
      </w:pPr>
    </w:p>
    <w:p w14:paraId="37E00419" w14:textId="231CF88E" w:rsidR="00A9744B" w:rsidRDefault="00374DA1" w:rsidP="00F41B7B">
      <w:pPr>
        <w:pStyle w:val="BodyText"/>
      </w:pPr>
      <w:r>
        <w:t>In PY’17–’18</w:t>
      </w:r>
      <w:r w:rsidR="00A9744B">
        <w:t>, staff also held regular webinars on key program and performance topics to ensure adequate and timely dissemination of information.</w:t>
      </w:r>
      <w:r w:rsidR="00790CFA">
        <w:t xml:space="preserve"> </w:t>
      </w:r>
      <w:r w:rsidR="00A9744B">
        <w:t xml:space="preserve">The largest of </w:t>
      </w:r>
      <w:r w:rsidR="00D55ED9">
        <w:t xml:space="preserve">the webinars included </w:t>
      </w:r>
      <w:r w:rsidR="00A9744B">
        <w:t xml:space="preserve">a series of virtual training </w:t>
      </w:r>
      <w:r w:rsidR="00D55ED9">
        <w:t xml:space="preserve">sessions </w:t>
      </w:r>
      <w:r w:rsidR="00A9744B">
        <w:t xml:space="preserve">held to train </w:t>
      </w:r>
      <w:r w:rsidR="00F31EA4">
        <w:t xml:space="preserve">small groups </w:t>
      </w:r>
      <w:r w:rsidR="00A9744B">
        <w:t xml:space="preserve">on the tracking of newly allowable measurable skill gains once </w:t>
      </w:r>
      <w:r w:rsidR="00F31EA4">
        <w:t xml:space="preserve">the gains </w:t>
      </w:r>
      <w:r w:rsidR="00A9744B">
        <w:t xml:space="preserve">were programmed into </w:t>
      </w:r>
      <w:r w:rsidR="00CC707D">
        <w:t>the Texas Educating Adults Management System (</w:t>
      </w:r>
      <w:r w:rsidR="006A790D">
        <w:t>TEAMS</w:t>
      </w:r>
      <w:r w:rsidR="00CC707D">
        <w:t>)</w:t>
      </w:r>
      <w:r w:rsidR="00F31EA4">
        <w:t>,</w:t>
      </w:r>
      <w:r w:rsidR="00575A68" w:rsidRPr="00575A68">
        <w:t xml:space="preserve"> </w:t>
      </w:r>
      <w:r w:rsidR="00575A68">
        <w:t>the state</w:t>
      </w:r>
      <w:r w:rsidR="00F31EA4">
        <w:t>’s</w:t>
      </w:r>
      <w:r w:rsidR="00575A68">
        <w:t xml:space="preserve"> </w:t>
      </w:r>
      <w:r w:rsidR="00575A68" w:rsidRPr="00066843">
        <w:t>information-management system</w:t>
      </w:r>
      <w:r w:rsidR="00A9744B">
        <w:t>.</w:t>
      </w:r>
      <w:r w:rsidR="00790CFA">
        <w:t xml:space="preserve"> </w:t>
      </w:r>
      <w:r w:rsidR="00A9744B">
        <w:t xml:space="preserve">These virtual training </w:t>
      </w:r>
      <w:r w:rsidR="00C4189F">
        <w:t xml:space="preserve">sessions </w:t>
      </w:r>
      <w:r w:rsidR="00A9744B">
        <w:t xml:space="preserve">proved invaluable to understanding the gaps in the field and ensuring </w:t>
      </w:r>
      <w:r w:rsidR="00C4189F">
        <w:t xml:space="preserve">that </w:t>
      </w:r>
      <w:r w:rsidR="00A9744B">
        <w:t>programs were adequately supported.</w:t>
      </w:r>
    </w:p>
    <w:p w14:paraId="280A1278" w14:textId="77777777" w:rsidR="00714A8A" w:rsidRDefault="00714A8A">
      <w:pPr>
        <w:rPr>
          <w:rFonts w:ascii="Times New Roman" w:eastAsia="Times New Roman" w:hAnsi="Times New Roman" w:cs="Times New Roman"/>
          <w:sz w:val="24"/>
          <w:szCs w:val="24"/>
        </w:rPr>
      </w:pPr>
    </w:p>
    <w:p w14:paraId="257341D7" w14:textId="77777777" w:rsidR="002610E4" w:rsidRPr="00DD3E43" w:rsidRDefault="002610E4" w:rsidP="002610E4">
      <w:pPr>
        <w:pStyle w:val="Heading2"/>
      </w:pPr>
      <w:r w:rsidRPr="00DD3E43">
        <w:t>Monitoring and Evaluati</w:t>
      </w:r>
      <w:r>
        <w:t>ng</w:t>
      </w:r>
      <w:r w:rsidRPr="00DD3E43">
        <w:t xml:space="preserve"> the Quality and Improvement of Adult Education Activities</w:t>
      </w:r>
    </w:p>
    <w:p w14:paraId="51B18A14" w14:textId="77777777" w:rsidR="002610E4" w:rsidRPr="00DD3E43" w:rsidRDefault="002610E4" w:rsidP="00F41B7B">
      <w:pPr>
        <w:pStyle w:val="BodyText"/>
      </w:pPr>
      <w:r w:rsidRPr="00DD3E43">
        <w:t xml:space="preserve">TWC staff </w:t>
      </w:r>
      <w:r>
        <w:t>uses</w:t>
      </w:r>
      <w:r w:rsidRPr="00DD3E43">
        <w:t xml:space="preserve"> multiple strategies to monitor and evaluate the activities being provided across the state.</w:t>
      </w:r>
    </w:p>
    <w:p w14:paraId="230B0B37" w14:textId="77777777" w:rsidR="002610E4" w:rsidRDefault="002610E4" w:rsidP="002610E4">
      <w:pPr>
        <w:pStyle w:val="Heading4"/>
      </w:pPr>
    </w:p>
    <w:p w14:paraId="79BA10AC" w14:textId="77777777" w:rsidR="002610E4" w:rsidRPr="00DD3E43" w:rsidRDefault="002610E4" w:rsidP="002610E4">
      <w:pPr>
        <w:pStyle w:val="Heading4"/>
      </w:pPr>
      <w:r w:rsidRPr="00DD3E43">
        <w:t>Subrecipient Monitoring</w:t>
      </w:r>
    </w:p>
    <w:p w14:paraId="721E9290" w14:textId="0369E8C0" w:rsidR="002610E4" w:rsidRPr="00066843" w:rsidRDefault="002610E4" w:rsidP="00F41B7B">
      <w:pPr>
        <w:pStyle w:val="BodyText"/>
      </w:pPr>
      <w:r w:rsidRPr="00DD3E43">
        <w:t>TWC</w:t>
      </w:r>
      <w:r w:rsidR="00C4189F">
        <w:t>’s</w:t>
      </w:r>
      <w:r w:rsidRPr="00DD3E43">
        <w:t xml:space="preserve"> AEL staff relies heavily on TWC’s Subrecipient Monitoring (SRM) department to ensure </w:t>
      </w:r>
      <w:r>
        <w:t>that providers are compliant and are serving</w:t>
      </w:r>
      <w:r w:rsidRPr="00DD3E43">
        <w:t xml:space="preserve"> as good stewards of federal funds. Grantees </w:t>
      </w:r>
      <w:r w:rsidRPr="00066843">
        <w:t xml:space="preserve">are selected annually </w:t>
      </w:r>
      <w:r w:rsidR="006A790D" w:rsidRPr="00DD3E43">
        <w:t xml:space="preserve">for on-site </w:t>
      </w:r>
      <w:r w:rsidR="006A790D" w:rsidRPr="00066843">
        <w:t xml:space="preserve">reviews </w:t>
      </w:r>
      <w:r w:rsidRPr="00066843">
        <w:t>based on a robust risk analysis that includes both objective criteria and input from AEL. All AEL grantees are monitored either in</w:t>
      </w:r>
      <w:r w:rsidR="00B8312C">
        <w:t xml:space="preserve"> </w:t>
      </w:r>
      <w:r w:rsidRPr="00066843">
        <w:t xml:space="preserve">person or through a desk review, with all programs receiving on-site monitoring once every three years. </w:t>
      </w:r>
    </w:p>
    <w:p w14:paraId="19E996BA" w14:textId="77777777" w:rsidR="002610E4" w:rsidRPr="00066843" w:rsidRDefault="002610E4" w:rsidP="00F41B7B">
      <w:pPr>
        <w:pStyle w:val="BodyText"/>
      </w:pPr>
    </w:p>
    <w:p w14:paraId="342D51C2" w14:textId="2190D64F" w:rsidR="002610E4" w:rsidRPr="00066843" w:rsidRDefault="002610E4" w:rsidP="00F41B7B">
      <w:pPr>
        <w:pStyle w:val="BodyText"/>
      </w:pPr>
      <w:r w:rsidRPr="00066843">
        <w:t xml:space="preserve">While on-site, SRM staff </w:t>
      </w:r>
      <w:r w:rsidR="00F14F6D">
        <w:t xml:space="preserve">members </w:t>
      </w:r>
      <w:r w:rsidRPr="00066843">
        <w:t>review expenditures and records management</w:t>
      </w:r>
      <w:r w:rsidR="006A790D">
        <w:t>—</w:t>
      </w:r>
      <w:r w:rsidRPr="00066843">
        <w:t>including eligibility documentation</w:t>
      </w:r>
      <w:r w:rsidR="006A790D">
        <w:t>—</w:t>
      </w:r>
      <w:r w:rsidRPr="00066843">
        <w:t>and interviews</w:t>
      </w:r>
      <w:r w:rsidR="00F14F6D">
        <w:t xml:space="preserve"> the provider’s staff</w:t>
      </w:r>
      <w:r w:rsidRPr="00066843">
        <w:t xml:space="preserve"> to confirm that internal processes for participant intake, screening, and placement comply with TWC’s AEL policy. SRM staff </w:t>
      </w:r>
      <w:r w:rsidR="00F14F6D">
        <w:t xml:space="preserve">members identify </w:t>
      </w:r>
      <w:r w:rsidRPr="00066843">
        <w:t xml:space="preserve">records in TEAMS to compare with on-site records, including student test scores, student attendance records, and </w:t>
      </w:r>
      <w:r w:rsidR="00514C89">
        <w:t xml:space="preserve">the </w:t>
      </w:r>
      <w:r w:rsidRPr="00066843">
        <w:t>staff</w:t>
      </w:r>
      <w:r w:rsidR="00514C89">
        <w:t xml:space="preserve"> members</w:t>
      </w:r>
      <w:r w:rsidR="00827C83">
        <w:t>’</w:t>
      </w:r>
      <w:r w:rsidRPr="00066843">
        <w:t xml:space="preserve"> professional development hours.</w:t>
      </w:r>
    </w:p>
    <w:p w14:paraId="49A648FB" w14:textId="77777777" w:rsidR="002610E4" w:rsidRPr="00066843" w:rsidRDefault="002610E4" w:rsidP="00F41B7B">
      <w:pPr>
        <w:pStyle w:val="BodyText"/>
      </w:pPr>
    </w:p>
    <w:p w14:paraId="0B4AA64B" w14:textId="5C146A17" w:rsidR="002610E4" w:rsidRPr="00066843" w:rsidRDefault="002610E4" w:rsidP="00F41B7B">
      <w:pPr>
        <w:pStyle w:val="BodyText"/>
      </w:pPr>
      <w:r w:rsidRPr="00066843">
        <w:t xml:space="preserve">The results of SRM reviews enrich the technical assistance </w:t>
      </w:r>
      <w:r w:rsidR="00827C83" w:rsidRPr="00066843">
        <w:t xml:space="preserve">targeted </w:t>
      </w:r>
      <w:r w:rsidRPr="00066843">
        <w:t>to local projects. Additionally, AEL staff</w:t>
      </w:r>
      <w:r w:rsidR="00476CC0">
        <w:t xml:space="preserve"> members</w:t>
      </w:r>
      <w:r w:rsidRPr="00066843">
        <w:t xml:space="preserve"> conduct</w:t>
      </w:r>
      <w:r w:rsidR="00575A68">
        <w:t xml:space="preserve"> </w:t>
      </w:r>
      <w:r w:rsidRPr="00066843">
        <w:t>sessions at AEL’s quarterly business meetings to discuss common issues, findings, and best practices</w:t>
      </w:r>
      <w:r w:rsidR="008D1E62">
        <w:t>,</w:t>
      </w:r>
      <w:r w:rsidRPr="00066843">
        <w:t xml:space="preserve"> </w:t>
      </w:r>
      <w:r w:rsidR="00476CC0">
        <w:t xml:space="preserve">and </w:t>
      </w:r>
      <w:r w:rsidRPr="00066843">
        <w:t xml:space="preserve">to encourage peer-to-peer support. </w:t>
      </w:r>
    </w:p>
    <w:p w14:paraId="49DA4E4F" w14:textId="77777777" w:rsidR="002610E4" w:rsidRDefault="002610E4" w:rsidP="002610E4">
      <w:pPr>
        <w:pStyle w:val="Heading4"/>
      </w:pPr>
    </w:p>
    <w:p w14:paraId="56FAF5FA" w14:textId="77777777" w:rsidR="002610E4" w:rsidRPr="00DD3E43" w:rsidRDefault="002610E4" w:rsidP="002610E4">
      <w:pPr>
        <w:pStyle w:val="Heading4"/>
      </w:pPr>
      <w:r w:rsidRPr="00DD3E43">
        <w:t>Performance Quality Improvement Awards</w:t>
      </w:r>
    </w:p>
    <w:p w14:paraId="74BB6A62" w14:textId="7B615421" w:rsidR="002610E4" w:rsidRDefault="002610E4" w:rsidP="00F41B7B">
      <w:pPr>
        <w:pStyle w:val="BodyText"/>
      </w:pPr>
      <w:r>
        <w:t xml:space="preserve">In </w:t>
      </w:r>
      <w:r w:rsidR="00476CC0">
        <w:t>PY’17–’18</w:t>
      </w:r>
      <w:r>
        <w:t xml:space="preserve">, </w:t>
      </w:r>
      <w:r w:rsidR="006C71E3">
        <w:t xml:space="preserve">at its annual conference, </w:t>
      </w:r>
      <w:r>
        <w:t xml:space="preserve">TWC again recognized </w:t>
      </w:r>
      <w:r w:rsidR="00476CC0">
        <w:t xml:space="preserve">AEL grantees </w:t>
      </w:r>
      <w:r w:rsidR="006C71E3">
        <w:t xml:space="preserve">that </w:t>
      </w:r>
      <w:r>
        <w:t xml:space="preserve">had achieved </w:t>
      </w:r>
      <w:r w:rsidRPr="00DD3E43">
        <w:t xml:space="preserve">outstanding results </w:t>
      </w:r>
      <w:r w:rsidR="00476CC0">
        <w:t xml:space="preserve">in </w:t>
      </w:r>
      <w:r>
        <w:t>workforce integration, college integration, employer engagement</w:t>
      </w:r>
      <w:r w:rsidR="00476CC0">
        <w:t>,</w:t>
      </w:r>
      <w:r>
        <w:t xml:space="preserve"> and high school equivalency achievement.</w:t>
      </w:r>
      <w:r w:rsidRPr="00DD3E43">
        <w:t xml:space="preserve"> Grantees </w:t>
      </w:r>
      <w:r>
        <w:t>were</w:t>
      </w:r>
      <w:r w:rsidRPr="00DD3E43">
        <w:t xml:space="preserve"> selected </w:t>
      </w:r>
      <w:r>
        <w:t xml:space="preserve">either </w:t>
      </w:r>
      <w:r w:rsidRPr="00DD3E43">
        <w:t>through a nomination process or t</w:t>
      </w:r>
      <w:r>
        <w:t>hrough objective data analysis.</w:t>
      </w:r>
      <w:r w:rsidR="00790CFA">
        <w:t xml:space="preserve"> </w:t>
      </w:r>
    </w:p>
    <w:p w14:paraId="54ED2763" w14:textId="77777777" w:rsidR="002610E4" w:rsidRDefault="002610E4" w:rsidP="00F41B7B">
      <w:pPr>
        <w:pStyle w:val="BodyText"/>
      </w:pPr>
    </w:p>
    <w:p w14:paraId="290CEF7C" w14:textId="3DF99953" w:rsidR="002610E4" w:rsidRDefault="002610E4" w:rsidP="00F41B7B">
      <w:pPr>
        <w:pStyle w:val="BodyText"/>
      </w:pPr>
      <w:r w:rsidRPr="00DD3E43">
        <w:t xml:space="preserve">Grantees </w:t>
      </w:r>
      <w:r>
        <w:t xml:space="preserve">that are </w:t>
      </w:r>
      <w:r w:rsidRPr="00DD3E43">
        <w:t xml:space="preserve">recognized </w:t>
      </w:r>
      <w:r w:rsidR="00476CC0">
        <w:t xml:space="preserve">by </w:t>
      </w:r>
      <w:r w:rsidRPr="00DD3E43">
        <w:t xml:space="preserve">these awards are required to share their successful practices </w:t>
      </w:r>
      <w:r w:rsidR="00476CC0">
        <w:t xml:space="preserve">with </w:t>
      </w:r>
      <w:r w:rsidR="00476CC0">
        <w:lastRenderedPageBreak/>
        <w:t>other grantees statewide</w:t>
      </w:r>
      <w:r>
        <w:t>.</w:t>
      </w:r>
      <w:r w:rsidR="00790CFA">
        <w:t xml:space="preserve"> </w:t>
      </w:r>
      <w:r>
        <w:t xml:space="preserve">In </w:t>
      </w:r>
      <w:r w:rsidR="00476CC0">
        <w:t>PY’17–’18</w:t>
      </w:r>
      <w:r>
        <w:t>, grantees that were recognized at the annual conference hosted site visits, visited other grantees, and participated in virtual training</w:t>
      </w:r>
      <w:r w:rsidR="00FC0A4D">
        <w:t xml:space="preserve"> sessions</w:t>
      </w:r>
      <w:r w:rsidR="00D77618">
        <w:t>,</w:t>
      </w:r>
      <w:r>
        <w:t xml:space="preserve"> through TRAIN PD</w:t>
      </w:r>
      <w:r w:rsidR="00D77618">
        <w:t>, that covered</w:t>
      </w:r>
      <w:r>
        <w:t xml:space="preserve"> a variety of topics related to the area of their award.</w:t>
      </w:r>
      <w:r w:rsidR="00790CFA">
        <w:t xml:space="preserve"> </w:t>
      </w:r>
    </w:p>
    <w:p w14:paraId="704C3ED0" w14:textId="3DADF6B8" w:rsidR="002610E4" w:rsidRPr="00DD3E43" w:rsidRDefault="002610E4" w:rsidP="00F41B7B">
      <w:pPr>
        <w:pStyle w:val="BodyText"/>
      </w:pPr>
    </w:p>
    <w:p w14:paraId="38129871" w14:textId="77777777" w:rsidR="002610E4" w:rsidRPr="00DD3E43" w:rsidRDefault="002610E4" w:rsidP="002610E4">
      <w:pPr>
        <w:pStyle w:val="Heading4"/>
      </w:pPr>
      <w:r w:rsidRPr="00DD3E43">
        <w:t>Large-Scale Evaluation Project</w:t>
      </w:r>
    </w:p>
    <w:p w14:paraId="3C6EE9AA" w14:textId="334BF378" w:rsidR="002610E4" w:rsidRPr="00DD3E43" w:rsidRDefault="002610E4" w:rsidP="00F41B7B">
      <w:pPr>
        <w:pStyle w:val="BodyText"/>
      </w:pPr>
      <w:r>
        <w:t xml:space="preserve">In </w:t>
      </w:r>
      <w:r w:rsidR="00D77618">
        <w:t>PY’17–’18</w:t>
      </w:r>
      <w:r>
        <w:t xml:space="preserve">, </w:t>
      </w:r>
      <w:r w:rsidRPr="00DD3E43">
        <w:t>TWC</w:t>
      </w:r>
      <w:r w:rsidR="00A80B3B">
        <w:t>’s</w:t>
      </w:r>
      <w:r w:rsidRPr="00DD3E43">
        <w:t xml:space="preserve"> Division of Operational Insight </w:t>
      </w:r>
      <w:r w:rsidR="00E25100">
        <w:t xml:space="preserve">continued </w:t>
      </w:r>
      <w:r w:rsidR="00E25100" w:rsidRPr="00DD3E43">
        <w:t xml:space="preserve">working </w:t>
      </w:r>
      <w:r w:rsidRPr="00DD3E43">
        <w:t xml:space="preserve">on a large-scale evaluation process </w:t>
      </w:r>
      <w:r>
        <w:t>that</w:t>
      </w:r>
      <w:r w:rsidRPr="00DD3E43">
        <w:t xml:space="preserve"> will analyze the effectiveness of professional development activities as they relate to programmatic outcomes. </w:t>
      </w:r>
      <w:r w:rsidR="00E25100">
        <w:t xml:space="preserve">The </w:t>
      </w:r>
      <w:r>
        <w:t xml:space="preserve">project </w:t>
      </w:r>
      <w:r w:rsidR="00E25100">
        <w:t>is ongoing</w:t>
      </w:r>
      <w:r>
        <w:t>.</w:t>
      </w:r>
    </w:p>
    <w:p w14:paraId="0606E498" w14:textId="77777777" w:rsidR="002610E4" w:rsidRPr="00DD3E43" w:rsidRDefault="002610E4" w:rsidP="002610E4"/>
    <w:p w14:paraId="517C59C8" w14:textId="77777777" w:rsidR="002610E4" w:rsidRPr="00DD3E43" w:rsidRDefault="002610E4" w:rsidP="002610E4">
      <w:pPr>
        <w:pStyle w:val="Heading2"/>
      </w:pPr>
      <w:bookmarkStart w:id="1" w:name="_Hlk498957349"/>
      <w:r w:rsidRPr="00DD3E43">
        <w:t>Other Permissible State Leadership Activities</w:t>
      </w:r>
    </w:p>
    <w:bookmarkEnd w:id="1"/>
    <w:p w14:paraId="2A8D4133" w14:textId="0A5E541B" w:rsidR="002610E4" w:rsidRDefault="002610E4" w:rsidP="00F41B7B">
      <w:pPr>
        <w:pStyle w:val="BodyText"/>
      </w:pPr>
      <w:r>
        <w:t xml:space="preserve">TWC supported grantees through a variety of </w:t>
      </w:r>
      <w:r w:rsidR="00F279CC">
        <w:t>S</w:t>
      </w:r>
      <w:r>
        <w:t xml:space="preserve">tate </w:t>
      </w:r>
      <w:r w:rsidR="00F279CC">
        <w:t>L</w:t>
      </w:r>
      <w:r>
        <w:t>eadership activities in PY</w:t>
      </w:r>
      <w:r w:rsidR="00C954F5">
        <w:t>’</w:t>
      </w:r>
      <w:r>
        <w:t>17</w:t>
      </w:r>
      <w:r w:rsidR="00C954F5">
        <w:t>–’</w:t>
      </w:r>
      <w:r>
        <w:t xml:space="preserve">18 to support </w:t>
      </w:r>
      <w:r w:rsidR="00E25100">
        <w:t xml:space="preserve">TWC’s </w:t>
      </w:r>
      <w:r>
        <w:t>performance objectives.</w:t>
      </w:r>
      <w:r w:rsidR="00790CFA">
        <w:t xml:space="preserve"> </w:t>
      </w:r>
    </w:p>
    <w:p w14:paraId="080AF874" w14:textId="77777777" w:rsidR="002610E4" w:rsidRPr="00DD3E43" w:rsidRDefault="002610E4" w:rsidP="002610E4"/>
    <w:p w14:paraId="27EA3317" w14:textId="77777777" w:rsidR="002610E4" w:rsidRPr="00DD3E43" w:rsidRDefault="002610E4" w:rsidP="002610E4">
      <w:pPr>
        <w:pStyle w:val="Heading3"/>
      </w:pPr>
      <w:bookmarkStart w:id="2" w:name="_Hlk498419151"/>
      <w:r w:rsidRPr="00DD3E43">
        <w:t>Ability to Benefit</w:t>
      </w:r>
    </w:p>
    <w:p w14:paraId="5EB6AEA1" w14:textId="7FF0831A" w:rsidR="00066843" w:rsidRDefault="00B91BC9" w:rsidP="00F41B7B">
      <w:pPr>
        <w:pStyle w:val="BodyText"/>
      </w:pPr>
      <w:bookmarkStart w:id="3" w:name="_Hlk498419234"/>
      <w:bookmarkEnd w:id="2"/>
      <w:r>
        <w:t xml:space="preserve">TWC </w:t>
      </w:r>
      <w:r w:rsidR="00DE1084">
        <w:t>started</w:t>
      </w:r>
      <w:r>
        <w:t xml:space="preserve"> the Ability to Benefit </w:t>
      </w:r>
      <w:r w:rsidR="00DE1084">
        <w:t xml:space="preserve">pilot </w:t>
      </w:r>
      <w:r w:rsidR="002454B1">
        <w:t>project</w:t>
      </w:r>
      <w:r>
        <w:t xml:space="preserve"> </w:t>
      </w:r>
      <w:r w:rsidR="002610E4" w:rsidRPr="00DD3E43">
        <w:t xml:space="preserve">in late </w:t>
      </w:r>
      <w:r w:rsidR="002610E4">
        <w:t>PY’15–’16</w:t>
      </w:r>
      <w:r>
        <w:t>. T</w:t>
      </w:r>
      <w:r w:rsidR="002610E4" w:rsidRPr="00DD3E43">
        <w:t xml:space="preserve">he two grantees selected for </w:t>
      </w:r>
      <w:r>
        <w:t xml:space="preserve">participation developed </w:t>
      </w:r>
      <w:r w:rsidR="002610E4" w:rsidRPr="00DD3E43">
        <w:t xml:space="preserve">strategies and best practices to be disseminated statewide for </w:t>
      </w:r>
      <w:r w:rsidR="00E25100">
        <w:t xml:space="preserve">use as </w:t>
      </w:r>
      <w:r w:rsidR="002610E4" w:rsidRPr="00DD3E43">
        <w:t xml:space="preserve">Ability to Benefit models in community colleges. The Ability to Benefit provision in federal financial aid allows individuals without a high school diploma or equivalency to receive </w:t>
      </w:r>
      <w:r w:rsidR="002610E4" w:rsidRPr="00010D6D">
        <w:t xml:space="preserve">federal Pell </w:t>
      </w:r>
      <w:r w:rsidR="00E25100">
        <w:t>g</w:t>
      </w:r>
      <w:r w:rsidR="002610E4" w:rsidRPr="00010D6D">
        <w:t>rant</w:t>
      </w:r>
      <w:r w:rsidR="00E25100">
        <w:t>s</w:t>
      </w:r>
      <w:r w:rsidR="002610E4" w:rsidRPr="00010D6D">
        <w:t xml:space="preserve">, if the individuals are participating in a career pathways program. In addition to </w:t>
      </w:r>
      <w:r w:rsidR="00E25100">
        <w:t xml:space="preserve">developing </w:t>
      </w:r>
      <w:r w:rsidR="002610E4" w:rsidRPr="00010D6D">
        <w:t>strategies</w:t>
      </w:r>
      <w:r>
        <w:t xml:space="preserve"> </w:t>
      </w:r>
      <w:r w:rsidRPr="00DD3E43">
        <w:t>and best practices</w:t>
      </w:r>
      <w:r w:rsidR="002610E4" w:rsidRPr="00010D6D">
        <w:t xml:space="preserve">, grantees </w:t>
      </w:r>
      <w:r w:rsidR="002256C9">
        <w:t xml:space="preserve">fund tuition and provide other services to </w:t>
      </w:r>
      <w:r w:rsidR="002610E4" w:rsidRPr="00010D6D">
        <w:t>students</w:t>
      </w:r>
      <w:r w:rsidR="002610E4" w:rsidRPr="00E25100">
        <w:t xml:space="preserve">. </w:t>
      </w:r>
      <w:r w:rsidR="00555842">
        <w:t xml:space="preserve">In </w:t>
      </w:r>
      <w:r w:rsidR="002610E4" w:rsidRPr="00010D6D">
        <w:t>PY’</w:t>
      </w:r>
      <w:r w:rsidR="002610E4">
        <w:t>17</w:t>
      </w:r>
      <w:r w:rsidR="00C954F5">
        <w:t>–’</w:t>
      </w:r>
      <w:r w:rsidR="002610E4">
        <w:t xml:space="preserve">18, TWC </w:t>
      </w:r>
      <w:r>
        <w:t>extended funding for a grantee that had positive outcomes early in the program</w:t>
      </w:r>
      <w:r w:rsidR="002610E4">
        <w:t>.</w:t>
      </w:r>
      <w:r w:rsidR="00790CFA">
        <w:t xml:space="preserve"> </w:t>
      </w:r>
      <w:r w:rsidR="00167305">
        <w:t>One hundred and seventy</w:t>
      </w:r>
      <w:r w:rsidR="006C71E3">
        <w:t>-</w:t>
      </w:r>
      <w:r w:rsidR="00167305">
        <w:t xml:space="preserve">eight </w:t>
      </w:r>
      <w:r w:rsidR="002610E4" w:rsidRPr="00010D6D">
        <w:t xml:space="preserve">participants were served </w:t>
      </w:r>
      <w:r w:rsidR="00697460">
        <w:t xml:space="preserve">by </w:t>
      </w:r>
      <w:r w:rsidR="002610E4" w:rsidRPr="00010D6D">
        <w:t>this pilot project</w:t>
      </w:r>
      <w:r w:rsidR="00066843">
        <w:t>, exceeding initial grant projections.</w:t>
      </w:r>
      <w:r w:rsidR="00790CFA">
        <w:t xml:space="preserve"> </w:t>
      </w:r>
      <w:r w:rsidR="00066843">
        <w:t xml:space="preserve">Because of the success of the pilot and the statewide interest in the model, a new round of grants will be funded in </w:t>
      </w:r>
      <w:r w:rsidR="00002C97">
        <w:t>PY’18–’19</w:t>
      </w:r>
      <w:r w:rsidR="00066843">
        <w:t>.</w:t>
      </w:r>
    </w:p>
    <w:p w14:paraId="215635F3" w14:textId="77777777" w:rsidR="002610E4" w:rsidRPr="00010D6D" w:rsidRDefault="00066843" w:rsidP="00F41B7B">
      <w:pPr>
        <w:pStyle w:val="BodyText"/>
      </w:pPr>
      <w:r>
        <w:t xml:space="preserve"> </w:t>
      </w:r>
    </w:p>
    <w:bookmarkEnd w:id="3"/>
    <w:p w14:paraId="03606E7E" w14:textId="77777777" w:rsidR="002610E4" w:rsidRPr="00DD3E43" w:rsidRDefault="002610E4" w:rsidP="002610E4">
      <w:pPr>
        <w:pStyle w:val="Heading3"/>
      </w:pPr>
      <w:r w:rsidRPr="00010D6D">
        <w:t>Distance Learning Call</w:t>
      </w:r>
      <w:r w:rsidRPr="00DD3E43">
        <w:t xml:space="preserve"> Center</w:t>
      </w:r>
    </w:p>
    <w:p w14:paraId="257B88A1" w14:textId="6206799A" w:rsidR="002610E4" w:rsidRPr="00DD3E43" w:rsidRDefault="002610E4" w:rsidP="00F41B7B">
      <w:pPr>
        <w:pStyle w:val="BodyText"/>
      </w:pPr>
      <w:r w:rsidRPr="00DD3E43">
        <w:t>The Distance Learning Call Center provides just-in-time math</w:t>
      </w:r>
      <w:r w:rsidR="00EA7962">
        <w:t xml:space="preserve"> </w:t>
      </w:r>
      <w:r w:rsidRPr="00DD3E43">
        <w:t xml:space="preserve">support to adult education participants through telephone </w:t>
      </w:r>
      <w:r>
        <w:t>conversation</w:t>
      </w:r>
      <w:r w:rsidR="00BD6010">
        <w:t>s</w:t>
      </w:r>
      <w:r>
        <w:t xml:space="preserve">, </w:t>
      </w:r>
      <w:r w:rsidRPr="00DD3E43">
        <w:t>screen-sharing</w:t>
      </w:r>
      <w:r>
        <w:t xml:space="preserve">, and </w:t>
      </w:r>
      <w:r w:rsidR="00BD6010">
        <w:t xml:space="preserve">the use of a </w:t>
      </w:r>
      <w:r w:rsidRPr="00DD3E43">
        <w:t xml:space="preserve">virtual whiteboard. </w:t>
      </w:r>
      <w:r>
        <w:t>The</w:t>
      </w:r>
      <w:r w:rsidRPr="00DD3E43">
        <w:t xml:space="preserve"> </w:t>
      </w:r>
      <w:r w:rsidR="00133559">
        <w:t>c</w:t>
      </w:r>
      <w:r w:rsidRPr="00DD3E43">
        <w:t xml:space="preserve">enter was </w:t>
      </w:r>
      <w:r>
        <w:t xml:space="preserve">designed </w:t>
      </w:r>
      <w:r w:rsidRPr="00DD3E43">
        <w:t>to provide 20</w:t>
      </w:r>
      <w:r>
        <w:t>–</w:t>
      </w:r>
      <w:r w:rsidRPr="00DD3E43">
        <w:t>30</w:t>
      </w:r>
      <w:r w:rsidR="00F023D4">
        <w:t>-</w:t>
      </w:r>
      <w:r w:rsidRPr="00DD3E43">
        <w:t xml:space="preserve">minute tutoring sessions on specific math questions. However, in </w:t>
      </w:r>
      <w:r w:rsidR="004E596D">
        <w:t xml:space="preserve">these </w:t>
      </w:r>
      <w:r w:rsidRPr="00DD3E43">
        <w:t xml:space="preserve">first </w:t>
      </w:r>
      <w:r w:rsidR="00066843">
        <w:t xml:space="preserve">two </w:t>
      </w:r>
      <w:r w:rsidRPr="00DD3E43">
        <w:t>year</w:t>
      </w:r>
      <w:r w:rsidR="00066843">
        <w:t>s</w:t>
      </w:r>
      <w:r w:rsidR="004E596D">
        <w:t xml:space="preserve"> since the center opened</w:t>
      </w:r>
      <w:r w:rsidRPr="00DD3E43">
        <w:t xml:space="preserve">, TWC found </w:t>
      </w:r>
      <w:r>
        <w:t xml:space="preserve">that the sessions </w:t>
      </w:r>
      <w:r w:rsidR="00BD6010">
        <w:t>last</w:t>
      </w:r>
      <w:r>
        <w:t>, on</w:t>
      </w:r>
      <w:r w:rsidRPr="00DD3E43">
        <w:t xml:space="preserve"> average</w:t>
      </w:r>
      <w:r>
        <w:t>,</w:t>
      </w:r>
      <w:r w:rsidRPr="00DD3E43">
        <w:t xml:space="preserve"> </w:t>
      </w:r>
      <w:r w:rsidR="00BD6010">
        <w:t xml:space="preserve">more than </w:t>
      </w:r>
      <w:r>
        <w:t xml:space="preserve">an </w:t>
      </w:r>
      <w:r w:rsidRPr="00DD3E43">
        <w:t>hour, with many participants</w:t>
      </w:r>
      <w:r w:rsidR="00BD6010">
        <w:t xml:space="preserve"> </w:t>
      </w:r>
      <w:r w:rsidR="00BD6010" w:rsidRPr="00DD3E43">
        <w:t>re</w:t>
      </w:r>
      <w:r w:rsidR="00BD6010">
        <w:t>questing additional sessions</w:t>
      </w:r>
      <w:r w:rsidRPr="00DD3E43">
        <w:t xml:space="preserve">. </w:t>
      </w:r>
    </w:p>
    <w:p w14:paraId="0F354C74" w14:textId="77777777" w:rsidR="002610E4" w:rsidRPr="00DD3E43" w:rsidRDefault="002610E4" w:rsidP="00F41B7B">
      <w:pPr>
        <w:pStyle w:val="BodyText"/>
      </w:pPr>
    </w:p>
    <w:p w14:paraId="0AC2A7F4" w14:textId="6B5D0F50" w:rsidR="00066843" w:rsidRDefault="00066843" w:rsidP="00F41B7B">
      <w:pPr>
        <w:pStyle w:val="BodyText"/>
      </w:pPr>
      <w:r>
        <w:t xml:space="preserve">Because of the length of </w:t>
      </w:r>
      <w:r w:rsidR="00BD6010">
        <w:t xml:space="preserve">the </w:t>
      </w:r>
      <w:r>
        <w:t xml:space="preserve">sessions and </w:t>
      </w:r>
      <w:r w:rsidR="00BD6010">
        <w:t xml:space="preserve">the </w:t>
      </w:r>
      <w:r w:rsidR="00BD6010" w:rsidRPr="00DD3E43">
        <w:t>re</w:t>
      </w:r>
      <w:r w:rsidR="00BD6010">
        <w:t xml:space="preserve">quests for </w:t>
      </w:r>
      <w:r w:rsidR="00EA7962">
        <w:t>more</w:t>
      </w:r>
      <w:r w:rsidR="00BD6010">
        <w:t xml:space="preserve"> sessions</w:t>
      </w:r>
      <w:r>
        <w:t xml:space="preserve">, TWC </w:t>
      </w:r>
      <w:r w:rsidR="00BD6010">
        <w:t xml:space="preserve">revised </w:t>
      </w:r>
      <w:r>
        <w:t xml:space="preserve">the model in </w:t>
      </w:r>
      <w:r w:rsidR="00BD6010">
        <w:t>PY’18–’19</w:t>
      </w:r>
      <w:r w:rsidR="00EA7962">
        <w:t xml:space="preserve"> </w:t>
      </w:r>
      <w:r>
        <w:t xml:space="preserve">so that tutors were eligible to </w:t>
      </w:r>
      <w:r w:rsidR="00BD6010">
        <w:t xml:space="preserve">record their </w:t>
      </w:r>
      <w:r>
        <w:t xml:space="preserve">contact time </w:t>
      </w:r>
      <w:r w:rsidR="00BD6010">
        <w:t xml:space="preserve">with </w:t>
      </w:r>
      <w:r>
        <w:t>participants and</w:t>
      </w:r>
      <w:r w:rsidR="00EA7962">
        <w:t xml:space="preserve"> so</w:t>
      </w:r>
      <w:r>
        <w:t xml:space="preserve"> grantees could track the time in </w:t>
      </w:r>
      <w:r w:rsidR="00575A68">
        <w:t xml:space="preserve">TEAMS </w:t>
      </w:r>
      <w:r>
        <w:t xml:space="preserve">through a subcontract with </w:t>
      </w:r>
      <w:r w:rsidR="00575A68">
        <w:t xml:space="preserve">the project vendor, </w:t>
      </w:r>
      <w:r>
        <w:t>StudentNest.</w:t>
      </w:r>
      <w:r w:rsidR="00790CFA">
        <w:t xml:space="preserve"> </w:t>
      </w:r>
      <w:r>
        <w:t xml:space="preserve">This </w:t>
      </w:r>
      <w:r w:rsidR="00BD6010">
        <w:t xml:space="preserve">revised </w:t>
      </w:r>
      <w:r>
        <w:t xml:space="preserve">model encouraged system usage, but TWC staff found that the system was still not </w:t>
      </w:r>
      <w:r w:rsidR="004B1228">
        <w:t>used</w:t>
      </w:r>
      <w:r w:rsidR="00BD6010">
        <w:t xml:space="preserve"> as a hotline</w:t>
      </w:r>
      <w:r w:rsidR="004439FF">
        <w:t xml:space="preserve"> for short</w:t>
      </w:r>
      <w:r w:rsidR="00BD6010">
        <w:t xml:space="preserve"> </w:t>
      </w:r>
      <w:r>
        <w:t>sessions.</w:t>
      </w:r>
      <w:r w:rsidR="00790CFA">
        <w:t xml:space="preserve"> </w:t>
      </w:r>
      <w:r w:rsidR="004439FF">
        <w:t xml:space="preserve">Staff therefore revised </w:t>
      </w:r>
      <w:r>
        <w:t xml:space="preserve">the model </w:t>
      </w:r>
      <w:r w:rsidR="004439FF">
        <w:t xml:space="preserve">again </w:t>
      </w:r>
      <w:r>
        <w:t>in late PY</w:t>
      </w:r>
      <w:r w:rsidR="00C954F5">
        <w:t>’</w:t>
      </w:r>
      <w:r>
        <w:t>17</w:t>
      </w:r>
      <w:r w:rsidR="00C954F5">
        <w:t>–’</w:t>
      </w:r>
      <w:r>
        <w:t xml:space="preserve">18 and will </w:t>
      </w:r>
      <w:r w:rsidR="003B194A">
        <w:t>award</w:t>
      </w:r>
      <w:r w:rsidR="004439FF">
        <w:t xml:space="preserve"> </w:t>
      </w:r>
      <w:r>
        <w:t xml:space="preserve">additional funding allocated for the project to a select number of grantees who </w:t>
      </w:r>
      <w:r w:rsidR="004B1228">
        <w:t xml:space="preserve">used </w:t>
      </w:r>
      <w:r>
        <w:t>the system in the first two years.</w:t>
      </w:r>
    </w:p>
    <w:p w14:paraId="68B1FCC0" w14:textId="77777777" w:rsidR="00066843" w:rsidRDefault="00066843" w:rsidP="00F41B7B">
      <w:pPr>
        <w:pStyle w:val="BodyText"/>
      </w:pPr>
    </w:p>
    <w:p w14:paraId="0F3A4C09" w14:textId="77777777" w:rsidR="00066843" w:rsidRDefault="00066843" w:rsidP="00066843">
      <w:pPr>
        <w:pStyle w:val="Heading3"/>
      </w:pPr>
      <w:r>
        <w:t>Standards Alignment to Industry Clusters</w:t>
      </w:r>
    </w:p>
    <w:p w14:paraId="4A83B987" w14:textId="502E5FA7" w:rsidR="00066843" w:rsidRDefault="00066843" w:rsidP="00F41B7B">
      <w:pPr>
        <w:pStyle w:val="BodyText"/>
      </w:pPr>
      <w:r>
        <w:t xml:space="preserve">Following the completion of </w:t>
      </w:r>
      <w:r w:rsidR="009B0717">
        <w:t xml:space="preserve">the </w:t>
      </w:r>
      <w:r>
        <w:t>new, rigorous content standards</w:t>
      </w:r>
      <w:r w:rsidR="001B0E5D">
        <w:t xml:space="preserve"> </w:t>
      </w:r>
      <w:r>
        <w:t>in PY</w:t>
      </w:r>
      <w:r w:rsidR="00C954F5">
        <w:t>’</w:t>
      </w:r>
      <w:r>
        <w:t>16</w:t>
      </w:r>
      <w:r w:rsidR="00C954F5">
        <w:t>–’</w:t>
      </w:r>
      <w:r>
        <w:t>17, TWC sought to align the standards to its core mission of increased career pathways and employment opportunities.</w:t>
      </w:r>
      <w:r w:rsidR="00790CFA">
        <w:t xml:space="preserve"> </w:t>
      </w:r>
      <w:r>
        <w:t xml:space="preserve">The alignment of these standards to selected industry clusters resulted in </w:t>
      </w:r>
      <w:r w:rsidR="009B0717">
        <w:t xml:space="preserve">publication of </w:t>
      </w:r>
      <w:r>
        <w:t xml:space="preserve">Standards 2.0, a </w:t>
      </w:r>
      <w:r w:rsidR="00575A68">
        <w:t xml:space="preserve">revision of the standards that aligns </w:t>
      </w:r>
      <w:r w:rsidR="00163E61">
        <w:t xml:space="preserve">them </w:t>
      </w:r>
      <w:r w:rsidR="00575A68">
        <w:t xml:space="preserve">the </w:t>
      </w:r>
      <w:r>
        <w:t xml:space="preserve">AEL content standards </w:t>
      </w:r>
      <w:r w:rsidR="00575A68">
        <w:t xml:space="preserve">with the </w:t>
      </w:r>
      <w:r>
        <w:t>knowledge, skills</w:t>
      </w:r>
      <w:r w:rsidR="00A968A0">
        <w:t>,</w:t>
      </w:r>
      <w:r>
        <w:t xml:space="preserve"> and abilities required for entry-</w:t>
      </w:r>
      <w:r w:rsidR="00575A68">
        <w:t xml:space="preserve"> and middle-skill </w:t>
      </w:r>
      <w:r>
        <w:t xml:space="preserve">level </w:t>
      </w:r>
      <w:r>
        <w:lastRenderedPageBreak/>
        <w:t xml:space="preserve">occupations in </w:t>
      </w:r>
      <w:r w:rsidR="00F023D4">
        <w:t>in-</w:t>
      </w:r>
      <w:r>
        <w:t>demand industry clusters in Texas.</w:t>
      </w:r>
    </w:p>
    <w:p w14:paraId="3A715C17" w14:textId="77777777" w:rsidR="00066843" w:rsidRDefault="00066843" w:rsidP="00F41B7B">
      <w:pPr>
        <w:pStyle w:val="BodyText"/>
      </w:pPr>
    </w:p>
    <w:p w14:paraId="29E6B559" w14:textId="1A85DD96" w:rsidR="00066843" w:rsidRPr="00066843" w:rsidRDefault="00066843" w:rsidP="00F41B7B">
      <w:pPr>
        <w:pStyle w:val="BodyText"/>
      </w:pPr>
      <w:r>
        <w:t>The alignment of the standards involved engaging experts from the different industries selected</w:t>
      </w:r>
      <w:r w:rsidR="0046284B">
        <w:t>—</w:t>
      </w:r>
      <w:r w:rsidR="003044AC">
        <w:t>Advanced Manufacturing</w:t>
      </w:r>
      <w:r w:rsidR="00A968A0">
        <w:t>;</w:t>
      </w:r>
      <w:r w:rsidR="003044AC">
        <w:t xml:space="preserve"> Construction and Extraction</w:t>
      </w:r>
      <w:r w:rsidR="00A968A0">
        <w:t>;</w:t>
      </w:r>
      <w:r w:rsidR="003044AC">
        <w:t xml:space="preserve"> Healthcare Sciences</w:t>
      </w:r>
      <w:r w:rsidR="00A968A0">
        <w:t>;</w:t>
      </w:r>
      <w:r w:rsidR="003044AC">
        <w:t xml:space="preserve"> and Transportation, Distribution</w:t>
      </w:r>
      <w:r w:rsidR="00A968A0">
        <w:t>,</w:t>
      </w:r>
      <w:r w:rsidR="003044AC">
        <w:t xml:space="preserve"> and Logistics.</w:t>
      </w:r>
      <w:r w:rsidR="00790CFA">
        <w:t xml:space="preserve"> </w:t>
      </w:r>
      <w:r w:rsidR="003044AC">
        <w:t xml:space="preserve">The experts identified </w:t>
      </w:r>
      <w:r w:rsidR="002F3208">
        <w:t xml:space="preserve">the </w:t>
      </w:r>
      <w:r w:rsidR="00575A68">
        <w:t xml:space="preserve">basic education competencies </w:t>
      </w:r>
      <w:r w:rsidR="002F3208">
        <w:t xml:space="preserve">that </w:t>
      </w:r>
      <w:r w:rsidR="00575A68">
        <w:t xml:space="preserve">are required to </w:t>
      </w:r>
      <w:r w:rsidR="002F3208">
        <w:t xml:space="preserve">work in </w:t>
      </w:r>
      <w:r w:rsidR="004A4871">
        <w:t xml:space="preserve">the </w:t>
      </w:r>
      <w:r w:rsidR="00575A68">
        <w:t xml:space="preserve">occupations within each </w:t>
      </w:r>
      <w:r w:rsidR="003044AC">
        <w:t>cluster.</w:t>
      </w:r>
      <w:r w:rsidR="00790CFA">
        <w:t xml:space="preserve"> </w:t>
      </w:r>
      <w:r w:rsidR="003044AC">
        <w:t xml:space="preserve">The </w:t>
      </w:r>
      <w:r w:rsidR="001F36F8">
        <w:t xml:space="preserve">standards </w:t>
      </w:r>
      <w:r w:rsidR="003044AC">
        <w:t xml:space="preserve">can </w:t>
      </w:r>
      <w:r w:rsidR="00167305">
        <w:t xml:space="preserve">be </w:t>
      </w:r>
      <w:r w:rsidR="001F36F8">
        <w:t xml:space="preserve">used </w:t>
      </w:r>
      <w:r w:rsidR="003044AC">
        <w:t xml:space="preserve">to </w:t>
      </w:r>
      <w:r w:rsidR="002F3208">
        <w:t xml:space="preserve">provide </w:t>
      </w:r>
      <w:r w:rsidR="003044AC">
        <w:t xml:space="preserve">meaningful content in </w:t>
      </w:r>
      <w:r w:rsidR="001F36F8">
        <w:t xml:space="preserve">AEL </w:t>
      </w:r>
      <w:r w:rsidR="003044AC">
        <w:t>instruction.</w:t>
      </w:r>
    </w:p>
    <w:p w14:paraId="12C7ECC1" w14:textId="77777777" w:rsidR="00066843" w:rsidRDefault="00066843" w:rsidP="00F41B7B">
      <w:pPr>
        <w:pStyle w:val="BodyText"/>
      </w:pPr>
    </w:p>
    <w:p w14:paraId="1AD25E4A" w14:textId="77777777" w:rsidR="00714A8A" w:rsidRPr="003044AC" w:rsidRDefault="003044AC" w:rsidP="003044AC">
      <w:pPr>
        <w:pStyle w:val="Heading1"/>
        <w:ind w:left="0"/>
      </w:pPr>
      <w:r>
        <w:t>Performance Data Analysis</w:t>
      </w:r>
    </w:p>
    <w:p w14:paraId="1377FCE0" w14:textId="319DF5DF" w:rsidR="003044AC" w:rsidRDefault="003044AC" w:rsidP="00F41B7B">
      <w:pPr>
        <w:pStyle w:val="BodyText"/>
      </w:pPr>
      <w:r>
        <w:t>TWC continues to see mixed performance outcomes across core measures, influenced by a variety of factors.</w:t>
      </w:r>
      <w:r w:rsidR="00790CFA">
        <w:t xml:space="preserve"> </w:t>
      </w:r>
    </w:p>
    <w:p w14:paraId="7D2CD57E" w14:textId="77777777" w:rsidR="003044AC" w:rsidRDefault="003044AC" w:rsidP="00F41B7B">
      <w:pPr>
        <w:pStyle w:val="BodyText"/>
      </w:pPr>
    </w:p>
    <w:p w14:paraId="3C0744D9" w14:textId="77777777" w:rsidR="003044AC" w:rsidRDefault="003044AC" w:rsidP="003044AC">
      <w:pPr>
        <w:pStyle w:val="Heading2"/>
      </w:pPr>
      <w:r>
        <w:t>Achievement of Measurable Skill Gains</w:t>
      </w:r>
    </w:p>
    <w:p w14:paraId="7DE91F41" w14:textId="25DBC895" w:rsidR="003044AC" w:rsidRDefault="003044AC" w:rsidP="00F41B7B">
      <w:pPr>
        <w:pStyle w:val="BodyText"/>
      </w:pPr>
      <w:r>
        <w:t xml:space="preserve">As </w:t>
      </w:r>
      <w:r w:rsidR="00C14F57">
        <w:t xml:space="preserve">mentioned </w:t>
      </w:r>
      <w:r w:rsidR="00656B90">
        <w:t xml:space="preserve">on page 3 of </w:t>
      </w:r>
      <w:r>
        <w:t xml:space="preserve">this report, AEL staff acknowledges continued challenges with program retention, which has resulted in </w:t>
      </w:r>
      <w:r w:rsidR="004A4871">
        <w:t xml:space="preserve">local programs </w:t>
      </w:r>
      <w:r w:rsidR="00987578">
        <w:t xml:space="preserve">finding </w:t>
      </w:r>
      <w:r w:rsidR="00570A13">
        <w:t xml:space="preserve">it difficult </w:t>
      </w:r>
      <w:r w:rsidR="004A4871">
        <w:t xml:space="preserve">to achieve </w:t>
      </w:r>
      <w:r>
        <w:t>measurable skill gains.</w:t>
      </w:r>
      <w:r w:rsidR="00790CFA">
        <w:t xml:space="preserve"> </w:t>
      </w:r>
      <w:r w:rsidR="004A4871">
        <w:t xml:space="preserve">As a result, AEL staff </w:t>
      </w:r>
      <w:r w:rsidR="00082346">
        <w:t xml:space="preserve">members </w:t>
      </w:r>
      <w:r>
        <w:t xml:space="preserve">continue to </w:t>
      </w:r>
      <w:r w:rsidR="00F657AF">
        <w:t xml:space="preserve">research the </w:t>
      </w:r>
      <w:r w:rsidR="00987578">
        <w:t>issue</w:t>
      </w:r>
      <w:r w:rsidR="00F657AF">
        <w:t xml:space="preserve"> </w:t>
      </w:r>
      <w:r>
        <w:t>and find ways to remediate.</w:t>
      </w:r>
    </w:p>
    <w:p w14:paraId="73610C6D" w14:textId="77777777" w:rsidR="003044AC" w:rsidRDefault="003044AC" w:rsidP="00F41B7B">
      <w:pPr>
        <w:pStyle w:val="BodyText"/>
      </w:pPr>
    </w:p>
    <w:p w14:paraId="6D26AFB3" w14:textId="54D8D873" w:rsidR="003044AC" w:rsidRDefault="003044AC" w:rsidP="00F41B7B">
      <w:pPr>
        <w:pStyle w:val="BodyText"/>
      </w:pPr>
      <w:r>
        <w:t xml:space="preserve">TWC saw decreases in all 12 </w:t>
      </w:r>
      <w:r w:rsidR="000B4539">
        <w:t>N</w:t>
      </w:r>
      <w:r w:rsidR="00E84F47">
        <w:t xml:space="preserve">ational Reporting System </w:t>
      </w:r>
      <w:r>
        <w:t xml:space="preserve">levels from </w:t>
      </w:r>
      <w:r w:rsidR="007F6B0E">
        <w:t>PY’1</w:t>
      </w:r>
      <w:r w:rsidR="00E84F47">
        <w:t>6</w:t>
      </w:r>
      <w:r w:rsidR="007F6B0E">
        <w:t>–’1</w:t>
      </w:r>
      <w:r w:rsidR="00E84F47">
        <w:t>7</w:t>
      </w:r>
      <w:r>
        <w:t xml:space="preserve"> and across </w:t>
      </w:r>
      <w:r w:rsidR="00946F9F">
        <w:t xml:space="preserve">nine </w:t>
      </w:r>
      <w:r>
        <w:t xml:space="preserve">of the levels </w:t>
      </w:r>
      <w:r w:rsidR="007B29D4">
        <w:t>for pre</w:t>
      </w:r>
      <w:r w:rsidR="007178AF">
        <w:t xml:space="preserve">tested and </w:t>
      </w:r>
      <w:r w:rsidR="007B29D4">
        <w:t>posttested participants.</w:t>
      </w:r>
      <w:r w:rsidR="00790CFA">
        <w:t xml:space="preserve"> </w:t>
      </w:r>
      <w:r w:rsidR="007B29D4">
        <w:t xml:space="preserve">As TWC held a competition this year, it was anticipated that there would be some </w:t>
      </w:r>
      <w:r w:rsidR="00AC29EA">
        <w:t xml:space="preserve">disruption in service delivery among </w:t>
      </w:r>
      <w:r w:rsidR="007B29D4">
        <w:t>grantees towards the latter-half of the program year</w:t>
      </w:r>
      <w:r w:rsidR="00AC29EA">
        <w:t>.</w:t>
      </w:r>
      <w:r w:rsidR="007B29D4">
        <w:t xml:space="preserve"> </w:t>
      </w:r>
      <w:r w:rsidR="00AC29EA">
        <w:t xml:space="preserve">Other changes in service delivery included the </w:t>
      </w:r>
      <w:r w:rsidR="007B29D4">
        <w:t xml:space="preserve">opportunity to report gains across all domains for grantees as well as new MSG options. </w:t>
      </w:r>
      <w:r w:rsidR="00AC29EA">
        <w:t xml:space="preserve">AEL and </w:t>
      </w:r>
      <w:r w:rsidR="006F0B3F">
        <w:t xml:space="preserve">TWC’s </w:t>
      </w:r>
      <w:r w:rsidR="00AC29EA">
        <w:t xml:space="preserve">Division of Operational Insight are reviewing </w:t>
      </w:r>
      <w:r w:rsidR="006F0B3F">
        <w:t xml:space="preserve">the </w:t>
      </w:r>
      <w:r w:rsidR="00AC29EA">
        <w:t xml:space="preserve">data to better </w:t>
      </w:r>
      <w:r w:rsidR="00427389">
        <w:t xml:space="preserve">understand the issues </w:t>
      </w:r>
      <w:r w:rsidR="00AC29EA">
        <w:t xml:space="preserve">and develop strategies </w:t>
      </w:r>
      <w:r w:rsidR="00CA59A0">
        <w:t xml:space="preserve">for providing </w:t>
      </w:r>
      <w:r w:rsidR="00AC29EA">
        <w:t xml:space="preserve">technical assistance to </w:t>
      </w:r>
      <w:r w:rsidR="006F0B3F">
        <w:t xml:space="preserve">improve </w:t>
      </w:r>
      <w:r w:rsidR="00AC29EA">
        <w:t>participant</w:t>
      </w:r>
      <w:r w:rsidR="00427389">
        <w:t>s’</w:t>
      </w:r>
      <w:r w:rsidR="00AC29EA">
        <w:t xml:space="preserve"> outcomes </w:t>
      </w:r>
      <w:r w:rsidR="00427389">
        <w:t>in PY’18–’19</w:t>
      </w:r>
      <w:r w:rsidR="00AC29EA">
        <w:t xml:space="preserve">. </w:t>
      </w:r>
    </w:p>
    <w:p w14:paraId="002F5AD8" w14:textId="77777777" w:rsidR="007B29D4" w:rsidRDefault="007B29D4" w:rsidP="00F41B7B">
      <w:pPr>
        <w:pStyle w:val="BodyText"/>
      </w:pPr>
    </w:p>
    <w:p w14:paraId="33BCCAD7" w14:textId="4D764076" w:rsidR="007B29D4" w:rsidRDefault="007B29D4" w:rsidP="00F41B7B">
      <w:pPr>
        <w:pStyle w:val="BodyText"/>
      </w:pPr>
      <w:r>
        <w:t xml:space="preserve">One area of note is that participants in IET models performed, on average, 14 percent better than participants in </w:t>
      </w:r>
      <w:r w:rsidR="008A719A">
        <w:t xml:space="preserve">other </w:t>
      </w:r>
      <w:r>
        <w:t>models.</w:t>
      </w:r>
      <w:r w:rsidR="00790CFA">
        <w:t xml:space="preserve"> </w:t>
      </w:r>
      <w:r>
        <w:t xml:space="preserve">AEL staff </w:t>
      </w:r>
      <w:r w:rsidR="008A719A">
        <w:t xml:space="preserve">members are </w:t>
      </w:r>
      <w:r>
        <w:t xml:space="preserve">analyzing the successful practices of the </w:t>
      </w:r>
      <w:r w:rsidR="008A719A">
        <w:t xml:space="preserve">IET </w:t>
      </w:r>
      <w:r>
        <w:t xml:space="preserve">models to see </w:t>
      </w:r>
      <w:r w:rsidR="008A719A">
        <w:t xml:space="preserve">how the </w:t>
      </w:r>
      <w:r>
        <w:t xml:space="preserve">practices can be applied </w:t>
      </w:r>
      <w:r w:rsidR="008A719A">
        <w:t xml:space="preserve">to other </w:t>
      </w:r>
      <w:r>
        <w:t>models.</w:t>
      </w:r>
      <w:r w:rsidR="00790CFA">
        <w:t xml:space="preserve"> </w:t>
      </w:r>
      <w:r>
        <w:t>In its new contracts for PY</w:t>
      </w:r>
      <w:r w:rsidR="00C954F5">
        <w:t>’</w:t>
      </w:r>
      <w:r>
        <w:t>18</w:t>
      </w:r>
      <w:r w:rsidR="00C954F5">
        <w:t>–’</w:t>
      </w:r>
      <w:r>
        <w:t xml:space="preserve">19, TWC required the implementation of the Academy </w:t>
      </w:r>
      <w:r w:rsidR="008A719A">
        <w:t>m</w:t>
      </w:r>
      <w:r>
        <w:t>odel, which requires grantees to align a portion of their services to participant</w:t>
      </w:r>
      <w:r w:rsidR="00835E12">
        <w:t>s’</w:t>
      </w:r>
      <w:r>
        <w:t xml:space="preserve"> career and education objectives as opposed to levels.</w:t>
      </w:r>
      <w:r w:rsidR="00790CFA">
        <w:t xml:space="preserve"> </w:t>
      </w:r>
      <w:r w:rsidR="00835E12">
        <w:t xml:space="preserve">The </w:t>
      </w:r>
      <w:r>
        <w:t>model is built on the notion that, if participants more quickly see that their career and education objectives are being met through engagement in meaningful curriculum, they will be more engaged</w:t>
      </w:r>
      <w:r w:rsidR="001F36F8">
        <w:t>, remain engaged</w:t>
      </w:r>
      <w:r w:rsidR="00835E12">
        <w:t>,</w:t>
      </w:r>
      <w:r w:rsidR="001F36F8">
        <w:t xml:space="preserve"> </w:t>
      </w:r>
      <w:r>
        <w:t>and perform better.</w:t>
      </w:r>
      <w:r w:rsidR="00790CFA">
        <w:t xml:space="preserve"> </w:t>
      </w:r>
      <w:r>
        <w:t xml:space="preserve">Given the higher performance of IET participants, TWC hopes that </w:t>
      </w:r>
      <w:r w:rsidR="00835E12">
        <w:t xml:space="preserve">the </w:t>
      </w:r>
      <w:r>
        <w:t xml:space="preserve">model will </w:t>
      </w:r>
      <w:r w:rsidR="00835E12">
        <w:t xml:space="preserve">improve </w:t>
      </w:r>
      <w:r w:rsidR="00092077" w:rsidRPr="00092077">
        <w:t>measurable skill gains</w:t>
      </w:r>
      <w:r w:rsidR="00092077" w:rsidRPr="00092077" w:rsidDel="00835E12">
        <w:t xml:space="preserve"> </w:t>
      </w:r>
      <w:r>
        <w:t>outcomes</w:t>
      </w:r>
      <w:r w:rsidR="00835E12">
        <w:t xml:space="preserve"> as well</w:t>
      </w:r>
      <w:r>
        <w:t>.</w:t>
      </w:r>
    </w:p>
    <w:p w14:paraId="6CBE60B0" w14:textId="77777777" w:rsidR="007B29D4" w:rsidRDefault="007B29D4" w:rsidP="00F41B7B">
      <w:pPr>
        <w:pStyle w:val="BodyText"/>
      </w:pPr>
    </w:p>
    <w:p w14:paraId="5E902C35" w14:textId="68928CF7" w:rsidR="00AF268F" w:rsidRDefault="007B29D4" w:rsidP="00F41B7B">
      <w:pPr>
        <w:pStyle w:val="BodyText"/>
      </w:pPr>
      <w:r>
        <w:t xml:space="preserve">In addition to </w:t>
      </w:r>
      <w:r w:rsidR="00E775E6">
        <w:t xml:space="preserve">requiring </w:t>
      </w:r>
      <w:r>
        <w:t>new models in contracts funded for PY</w:t>
      </w:r>
      <w:r w:rsidR="00C954F5">
        <w:t>’</w:t>
      </w:r>
      <w:r>
        <w:t>18</w:t>
      </w:r>
      <w:r w:rsidR="00C954F5">
        <w:t>–’</w:t>
      </w:r>
      <w:r>
        <w:t xml:space="preserve">19, TWC completed </w:t>
      </w:r>
      <w:r w:rsidR="00265EED">
        <w:t xml:space="preserve">its effort </w:t>
      </w:r>
      <w:r w:rsidR="00517675">
        <w:t xml:space="preserve">to align the </w:t>
      </w:r>
      <w:r>
        <w:t>TEAMS</w:t>
      </w:r>
      <w:r w:rsidR="001F36F8">
        <w:t xml:space="preserve"> </w:t>
      </w:r>
      <w:r w:rsidR="00517675">
        <w:t xml:space="preserve">data collection system </w:t>
      </w:r>
      <w:r w:rsidR="00EE419B">
        <w:t xml:space="preserve">with </w:t>
      </w:r>
      <w:r>
        <w:t>WIOA.</w:t>
      </w:r>
      <w:r w:rsidR="00790CFA">
        <w:t xml:space="preserve"> </w:t>
      </w:r>
      <w:r w:rsidR="003E1222">
        <w:t xml:space="preserve">The </w:t>
      </w:r>
      <w:r>
        <w:t xml:space="preserve">modification </w:t>
      </w:r>
      <w:r w:rsidR="003E1222">
        <w:t xml:space="preserve">gives </w:t>
      </w:r>
      <w:r>
        <w:t xml:space="preserve">grantees access to data </w:t>
      </w:r>
      <w:r w:rsidR="003E1222">
        <w:t xml:space="preserve">that is </w:t>
      </w:r>
      <w:r>
        <w:t xml:space="preserve">aligned </w:t>
      </w:r>
      <w:r w:rsidR="00433B43">
        <w:t xml:space="preserve">with </w:t>
      </w:r>
      <w:r>
        <w:t>WIOA methodology</w:t>
      </w:r>
      <w:r w:rsidR="003E1222">
        <w:t>,</w:t>
      </w:r>
      <w:r>
        <w:t xml:space="preserve"> </w:t>
      </w:r>
      <w:r w:rsidR="003E1222">
        <w:t xml:space="preserve">thereby </w:t>
      </w:r>
      <w:r w:rsidR="00D719A8">
        <w:t>allow</w:t>
      </w:r>
      <w:r w:rsidR="003E1222">
        <w:t xml:space="preserve">ing grantees </w:t>
      </w:r>
      <w:r w:rsidR="00D719A8">
        <w:t>to conduct</w:t>
      </w:r>
      <w:r w:rsidR="003E1222">
        <w:t xml:space="preserve"> </w:t>
      </w:r>
      <w:r>
        <w:t>real-time management and analysis of program performance.</w:t>
      </w:r>
      <w:r w:rsidR="00790CFA">
        <w:t xml:space="preserve"> </w:t>
      </w:r>
      <w:r>
        <w:t xml:space="preserve">The modifications are not yet complete, but TWC believes that the </w:t>
      </w:r>
      <w:r w:rsidR="00D719A8">
        <w:t xml:space="preserve">progress </w:t>
      </w:r>
      <w:r>
        <w:t>made in PY</w:t>
      </w:r>
      <w:r w:rsidR="00C954F5">
        <w:t>’</w:t>
      </w:r>
      <w:r>
        <w:t>17</w:t>
      </w:r>
      <w:r w:rsidR="00C954F5">
        <w:t>–’</w:t>
      </w:r>
      <w:r>
        <w:t xml:space="preserve">18 will greatly </w:t>
      </w:r>
      <w:r w:rsidR="00D71093">
        <w:t xml:space="preserve">help TWC </w:t>
      </w:r>
      <w:r>
        <w:t xml:space="preserve">manage </w:t>
      </w:r>
      <w:r w:rsidR="000F6AEE">
        <w:t xml:space="preserve">program </w:t>
      </w:r>
      <w:r>
        <w:t>performance.</w:t>
      </w:r>
    </w:p>
    <w:p w14:paraId="5936C9C1" w14:textId="77777777" w:rsidR="00AF268F" w:rsidRDefault="00AF268F">
      <w:pPr>
        <w:rPr>
          <w:rFonts w:ascii="Times New Roman" w:hAnsi="Times New Roman" w:cs="Times New Roman"/>
          <w:sz w:val="24"/>
          <w:szCs w:val="24"/>
        </w:rPr>
      </w:pPr>
      <w:r>
        <w:br w:type="page"/>
      </w:r>
    </w:p>
    <w:p w14:paraId="0E265619" w14:textId="77777777" w:rsidR="007B29D4" w:rsidRDefault="007B29D4" w:rsidP="007B29D4">
      <w:pPr>
        <w:pStyle w:val="Heading2"/>
      </w:pPr>
      <w:r>
        <w:lastRenderedPageBreak/>
        <w:t>Achievement of Credential and Employment Outcomes</w:t>
      </w:r>
    </w:p>
    <w:p w14:paraId="6FC1B041" w14:textId="6D95F53D" w:rsidR="007B29D4" w:rsidRDefault="00265EED" w:rsidP="00F41B7B">
      <w:pPr>
        <w:pStyle w:val="BodyText"/>
      </w:pPr>
      <w:r>
        <w:t xml:space="preserve">Because </w:t>
      </w:r>
      <w:r w:rsidR="007B29D4">
        <w:t>credential and employment measures were in baseline status for PY</w:t>
      </w:r>
      <w:r w:rsidR="00C954F5">
        <w:t>’</w:t>
      </w:r>
      <w:r w:rsidR="007B29D4">
        <w:t>17</w:t>
      </w:r>
      <w:r w:rsidR="00C954F5">
        <w:t>–’</w:t>
      </w:r>
      <w:r w:rsidR="007B29D4">
        <w:t>18, TWC has no gauge by which to analyze program performance based on federal methodology.</w:t>
      </w:r>
      <w:r w:rsidR="00790CFA">
        <w:t xml:space="preserve"> </w:t>
      </w:r>
      <w:r w:rsidR="007B29D4">
        <w:t xml:space="preserve">However, staff </w:t>
      </w:r>
      <w:r w:rsidR="000F6AEE">
        <w:t xml:space="preserve">members </w:t>
      </w:r>
      <w:r w:rsidR="007B29D4">
        <w:t xml:space="preserve">continue to </w:t>
      </w:r>
      <w:r w:rsidR="000F6AEE">
        <w:t xml:space="preserve">monitor and </w:t>
      </w:r>
      <w:r w:rsidR="007B29D4">
        <w:t xml:space="preserve">analyze program performance </w:t>
      </w:r>
      <w:r w:rsidR="001C73CE">
        <w:t xml:space="preserve">using </w:t>
      </w:r>
      <w:r w:rsidR="000F6AEE">
        <w:t xml:space="preserve">the </w:t>
      </w:r>
      <w:r w:rsidR="001C73CE">
        <w:t xml:space="preserve">local and state performance </w:t>
      </w:r>
      <w:r w:rsidR="000F6AEE">
        <w:t xml:space="preserve">data that is </w:t>
      </w:r>
      <w:r w:rsidR="001C73CE">
        <w:t xml:space="preserve">reported to the Texas </w:t>
      </w:r>
      <w:r w:rsidR="008D11A5">
        <w:t>l</w:t>
      </w:r>
      <w:r w:rsidR="001C73CE">
        <w:t xml:space="preserve">egislature </w:t>
      </w:r>
      <w:r w:rsidR="000F6AEE">
        <w:t>each quarter</w:t>
      </w:r>
      <w:r w:rsidR="001C73CE">
        <w:t>.</w:t>
      </w:r>
    </w:p>
    <w:p w14:paraId="7493B023" w14:textId="77777777" w:rsidR="001C73CE" w:rsidRDefault="001C73CE" w:rsidP="00F41B7B">
      <w:pPr>
        <w:pStyle w:val="BodyText"/>
      </w:pPr>
    </w:p>
    <w:p w14:paraId="60D918BD" w14:textId="76766C2A" w:rsidR="001C73CE" w:rsidRDefault="001C73CE" w:rsidP="00F41B7B">
      <w:pPr>
        <w:pStyle w:val="BodyText"/>
      </w:pPr>
      <w:r>
        <w:t xml:space="preserve">The </w:t>
      </w:r>
      <w:r w:rsidR="005A44A2">
        <w:t xml:space="preserve">number </w:t>
      </w:r>
      <w:r>
        <w:t xml:space="preserve">of AEL participants employed or enrolled in postsecondary education in the </w:t>
      </w:r>
      <w:r w:rsidR="00517675">
        <w:t xml:space="preserve">third </w:t>
      </w:r>
      <w:r w:rsidR="002413E3">
        <w:t>through fourth</w:t>
      </w:r>
      <w:r>
        <w:t xml:space="preserve"> quarter</w:t>
      </w:r>
      <w:r w:rsidR="002413E3">
        <w:t>s</w:t>
      </w:r>
      <w:r>
        <w:t xml:space="preserve"> after exit </w:t>
      </w:r>
      <w:r w:rsidR="005A44A2">
        <w:t>(</w:t>
      </w:r>
      <w:r>
        <w:t xml:space="preserve">one of TWC’s </w:t>
      </w:r>
      <w:r w:rsidR="002413E3">
        <w:t>legislative targets</w:t>
      </w:r>
      <w:r w:rsidR="005A44A2">
        <w:t>)</w:t>
      </w:r>
      <w:r w:rsidR="002413E3">
        <w:t xml:space="preserve"> increased by 1.82 percent over the last two years, and </w:t>
      </w:r>
      <w:r w:rsidR="005A44A2">
        <w:t xml:space="preserve">the number of AEL participants </w:t>
      </w:r>
      <w:r w:rsidR="002413E3">
        <w:t>employed or enrolled in postsecondary education in the second quarter after exit has increased slightly</w:t>
      </w:r>
      <w:r w:rsidR="00112C70">
        <w:t>, by</w:t>
      </w:r>
      <w:r w:rsidR="002413E3">
        <w:t xml:space="preserve"> .36 percent</w:t>
      </w:r>
      <w:r w:rsidR="002618E4">
        <w:t>,</w:t>
      </w:r>
      <w:r w:rsidR="002413E3">
        <w:t xml:space="preserve"> over the last two years.</w:t>
      </w:r>
      <w:r w:rsidR="00790CFA">
        <w:t xml:space="preserve"> </w:t>
      </w:r>
    </w:p>
    <w:p w14:paraId="0396E567" w14:textId="77777777" w:rsidR="002413E3" w:rsidRDefault="002413E3" w:rsidP="00F41B7B">
      <w:pPr>
        <w:pStyle w:val="BodyText"/>
      </w:pPr>
    </w:p>
    <w:p w14:paraId="4EEB529F" w14:textId="0F8474B6" w:rsidR="00A466D5" w:rsidRPr="007B29D4" w:rsidRDefault="002413E3" w:rsidP="00F41B7B">
      <w:pPr>
        <w:pStyle w:val="BodyText"/>
      </w:pPr>
      <w:r>
        <w:t xml:space="preserve">The credential rate, the methodology of which aligns </w:t>
      </w:r>
      <w:r w:rsidR="002618E4">
        <w:t xml:space="preserve">with </w:t>
      </w:r>
      <w:r w:rsidR="00A466D5">
        <w:t>WIOA,</w:t>
      </w:r>
      <w:r>
        <w:t xml:space="preserve"> has increased by almost 10 percent</w:t>
      </w:r>
      <w:r w:rsidR="00A466D5">
        <w:t xml:space="preserve"> over the past two years, with a numerator that has doubled in size, indicating a larger number of individuals</w:t>
      </w:r>
      <w:r w:rsidR="00AC29EA">
        <w:t xml:space="preserve"> are </w:t>
      </w:r>
      <w:r w:rsidR="00167305">
        <w:t xml:space="preserve">exiting the program with </w:t>
      </w:r>
      <w:r w:rsidR="00E102AD">
        <w:t xml:space="preserve">the </w:t>
      </w:r>
      <w:r w:rsidR="00167305">
        <w:t xml:space="preserve">successful outcome </w:t>
      </w:r>
      <w:r w:rsidR="00E102AD">
        <w:t xml:space="preserve">of </w:t>
      </w:r>
      <w:r w:rsidR="00265EED">
        <w:t xml:space="preserve">having </w:t>
      </w:r>
      <w:r w:rsidR="00E102AD">
        <w:t>obtain</w:t>
      </w:r>
      <w:r w:rsidR="00265EED">
        <w:t>ed</w:t>
      </w:r>
      <w:r w:rsidR="00E102AD">
        <w:t xml:space="preserve"> </w:t>
      </w:r>
      <w:r w:rsidR="00167305">
        <w:t xml:space="preserve">secondary and postsecondary credentials. </w:t>
      </w:r>
    </w:p>
    <w:p w14:paraId="47B77488" w14:textId="77777777" w:rsidR="003044AC" w:rsidRDefault="003044AC">
      <w:pPr>
        <w:spacing w:before="2"/>
        <w:rPr>
          <w:rFonts w:ascii="Times New Roman" w:eastAsia="Times New Roman" w:hAnsi="Times New Roman" w:cs="Times New Roman"/>
          <w:sz w:val="24"/>
          <w:szCs w:val="24"/>
        </w:rPr>
      </w:pPr>
    </w:p>
    <w:p w14:paraId="63FE73A0" w14:textId="4F3D938D" w:rsidR="00714A8A" w:rsidRDefault="005D7073" w:rsidP="003044AC">
      <w:pPr>
        <w:pStyle w:val="Heading1"/>
        <w:tabs>
          <w:tab w:val="left" w:pos="460"/>
        </w:tabs>
        <w:ind w:left="0" w:right="727"/>
        <w:rPr>
          <w:b w:val="0"/>
          <w:bCs w:val="0"/>
        </w:rPr>
      </w:pPr>
      <w:r>
        <w:t>Integration with One-</w:t>
      </w:r>
      <w:r w:rsidR="00265EED">
        <w:t>S</w:t>
      </w:r>
      <w:r>
        <w:t>top</w:t>
      </w:r>
      <w:r>
        <w:rPr>
          <w:spacing w:val="-1"/>
        </w:rPr>
        <w:t xml:space="preserve"> </w:t>
      </w:r>
      <w:r>
        <w:t>Partners</w:t>
      </w:r>
    </w:p>
    <w:p w14:paraId="1AB05A9A" w14:textId="00C3D937" w:rsidR="00A466D5" w:rsidRDefault="00A466D5" w:rsidP="00F41B7B">
      <w:pPr>
        <w:pStyle w:val="BodyText"/>
      </w:pPr>
      <w:bookmarkStart w:id="4" w:name="_Hlk498419723"/>
      <w:r w:rsidRPr="00DD3E43">
        <w:t xml:space="preserve">TWC AEL grantees served as the one-stop providers under renewal contracts </w:t>
      </w:r>
      <w:r>
        <w:t>that were</w:t>
      </w:r>
      <w:r w:rsidRPr="00DD3E43">
        <w:t xml:space="preserve"> executed July 1, 2017</w:t>
      </w:r>
      <w:r w:rsidR="0012590C">
        <w:t>, and</w:t>
      </w:r>
      <w:r w:rsidR="000377AA">
        <w:t xml:space="preserve"> served</w:t>
      </w:r>
      <w:r w:rsidR="0012590C">
        <w:t xml:space="preserve"> </w:t>
      </w:r>
      <w:r w:rsidRPr="00DD3E43">
        <w:t xml:space="preserve">as the one-stop providers under contracts awarded </w:t>
      </w:r>
      <w:r w:rsidR="00E102AD">
        <w:t xml:space="preserve">during </w:t>
      </w:r>
      <w:r w:rsidRPr="00DD3E43">
        <w:t xml:space="preserve">the procurement </w:t>
      </w:r>
      <w:r w:rsidR="00E102AD">
        <w:t xml:space="preserve">period </w:t>
      </w:r>
      <w:r w:rsidRPr="00DD3E43">
        <w:t xml:space="preserve">in </w:t>
      </w:r>
      <w:r>
        <w:t>PY’17–’18</w:t>
      </w:r>
      <w:r w:rsidRPr="00DD3E43">
        <w:t>.</w:t>
      </w:r>
      <w:bookmarkEnd w:id="4"/>
      <w:r w:rsidRPr="00DD3E43">
        <w:t xml:space="preserve"> The contracts include assurances</w:t>
      </w:r>
      <w:r w:rsidR="00E102AD">
        <w:t>,</w:t>
      </w:r>
      <w:r w:rsidRPr="00DD3E43">
        <w:t xml:space="preserve"> as required by TWC’s one-year procurement extension, </w:t>
      </w:r>
      <w:r w:rsidR="00E102AD">
        <w:t xml:space="preserve">which was </w:t>
      </w:r>
      <w:r w:rsidRPr="00DD3E43">
        <w:t>approved October 4</w:t>
      </w:r>
      <w:r>
        <w:t>,</w:t>
      </w:r>
      <w:r w:rsidRPr="00DD3E43">
        <w:t xml:space="preserve"> 2016.</w:t>
      </w:r>
    </w:p>
    <w:p w14:paraId="7A9086FB" w14:textId="77777777" w:rsidR="00A466D5" w:rsidRPr="00DD3E43" w:rsidRDefault="00A466D5" w:rsidP="00F41B7B">
      <w:pPr>
        <w:pStyle w:val="BodyText"/>
      </w:pPr>
    </w:p>
    <w:p w14:paraId="15973E80" w14:textId="65A6808F" w:rsidR="00A466D5" w:rsidRPr="00DD3E43" w:rsidRDefault="00A466D5" w:rsidP="00F41B7B">
      <w:pPr>
        <w:pStyle w:val="BodyText"/>
      </w:pPr>
      <w:r w:rsidRPr="00DD3E43">
        <w:t xml:space="preserve">TWC </w:t>
      </w:r>
      <w:r>
        <w:t>briefed</w:t>
      </w:r>
      <w:r w:rsidRPr="00DD3E43">
        <w:t xml:space="preserve"> AEL providers </w:t>
      </w:r>
      <w:r>
        <w:t>about</w:t>
      </w:r>
      <w:r w:rsidRPr="00DD3E43">
        <w:t xml:space="preserve"> requirements and processes related to Board plans, </w:t>
      </w:r>
      <w:r>
        <w:t xml:space="preserve">memoranda of understanding, </w:t>
      </w:r>
      <w:r w:rsidRPr="00DD3E43">
        <w:t>and infrastructure costs</w:t>
      </w:r>
      <w:r w:rsidR="00634C15">
        <w:t>, and provided support throughout PY’17</w:t>
      </w:r>
      <w:r w:rsidR="008D11A5">
        <w:t>–’</w:t>
      </w:r>
      <w:r w:rsidR="00634C15">
        <w:t xml:space="preserve">18 </w:t>
      </w:r>
      <w:r w:rsidR="00E102AD">
        <w:t xml:space="preserve">to ensure that </w:t>
      </w:r>
      <w:r w:rsidR="00634C15">
        <w:t>appropriate negotiations were taking place.</w:t>
      </w:r>
      <w:r w:rsidR="00790CFA">
        <w:t xml:space="preserve"> </w:t>
      </w:r>
      <w:r w:rsidR="00634C15">
        <w:t xml:space="preserve">Where applicable, TWC considered allowable administrative increases to </w:t>
      </w:r>
      <w:r w:rsidR="00D607AD">
        <w:t xml:space="preserve">pay for </w:t>
      </w:r>
      <w:r w:rsidR="00634C15">
        <w:t xml:space="preserve">infrastructure costs and ensured </w:t>
      </w:r>
      <w:r w:rsidR="00D607AD">
        <w:t xml:space="preserve">that </w:t>
      </w:r>
      <w:r w:rsidR="00634C15">
        <w:t xml:space="preserve">such requests were handled during the competition for services that took place </w:t>
      </w:r>
      <w:r w:rsidR="00D607AD">
        <w:t xml:space="preserve">in </w:t>
      </w:r>
      <w:r w:rsidR="00634C15">
        <w:t>PY</w:t>
      </w:r>
      <w:r w:rsidR="008D11A5">
        <w:t>’</w:t>
      </w:r>
      <w:r w:rsidR="00634C15">
        <w:t>17</w:t>
      </w:r>
      <w:r w:rsidR="008D11A5">
        <w:t>–’</w:t>
      </w:r>
      <w:r w:rsidR="00634C15">
        <w:t>18.</w:t>
      </w:r>
    </w:p>
    <w:p w14:paraId="66457CF4" w14:textId="77777777" w:rsidR="00714A8A" w:rsidRDefault="00714A8A" w:rsidP="00F41B7B">
      <w:pPr>
        <w:pStyle w:val="BodyText"/>
      </w:pPr>
    </w:p>
    <w:p w14:paraId="12D78F49" w14:textId="661F09FF" w:rsidR="00714A8A" w:rsidRDefault="005D7073" w:rsidP="00634C15">
      <w:pPr>
        <w:tabs>
          <w:tab w:val="left" w:pos="460"/>
        </w:tabs>
        <w:ind w:right="429"/>
        <w:rPr>
          <w:rFonts w:ascii="Times New Roman"/>
          <w:b/>
          <w:sz w:val="24"/>
        </w:rPr>
      </w:pPr>
      <w:r w:rsidRPr="00634C15">
        <w:rPr>
          <w:rFonts w:ascii="Times New Roman"/>
          <w:b/>
          <w:sz w:val="24"/>
        </w:rPr>
        <w:t xml:space="preserve">Integrated English Literacy and Civics Education (IELCE) Program </w:t>
      </w:r>
      <w:r w:rsidR="0050321C" w:rsidRPr="0050321C">
        <w:rPr>
          <w:rFonts w:ascii="Times New Roman" w:hAnsi="Times New Roman" w:cs="Times New Roman"/>
          <w:b/>
          <w:sz w:val="24"/>
          <w:szCs w:val="24"/>
        </w:rPr>
        <w:t>(AEFLA</w:t>
      </w:r>
      <w:r w:rsidR="0050321C" w:rsidRPr="0050321C">
        <w:rPr>
          <w:rFonts w:ascii="Times New Roman" w:hAnsi="Times New Roman" w:cs="Times New Roman"/>
          <w:b/>
          <w:spacing w:val="-2"/>
          <w:sz w:val="24"/>
          <w:szCs w:val="24"/>
        </w:rPr>
        <w:t xml:space="preserve"> </w:t>
      </w:r>
      <w:r w:rsidR="0050321C" w:rsidRPr="0050321C">
        <w:rPr>
          <w:rFonts w:ascii="Times New Roman" w:hAnsi="Times New Roman" w:cs="Times New Roman"/>
          <w:b/>
          <w:sz w:val="24"/>
          <w:szCs w:val="24"/>
        </w:rPr>
        <w:t>§243)</w:t>
      </w:r>
    </w:p>
    <w:p w14:paraId="72A0938C" w14:textId="38969DE0" w:rsidR="00634C15" w:rsidRPr="00DD3E43" w:rsidRDefault="00D57867" w:rsidP="00F41B7B">
      <w:pPr>
        <w:pStyle w:val="BodyText"/>
      </w:pPr>
      <w:r>
        <w:t xml:space="preserve">The </w:t>
      </w:r>
      <w:r w:rsidR="00634C15" w:rsidRPr="00DD3E43">
        <w:t xml:space="preserve">TWC grants </w:t>
      </w:r>
      <w:r>
        <w:t xml:space="preserve">that were </w:t>
      </w:r>
      <w:r w:rsidR="00634C15" w:rsidRPr="00DD3E43">
        <w:t xml:space="preserve">awarded in 2014 contained requirements for </w:t>
      </w:r>
      <w:r w:rsidR="00634C15">
        <w:t xml:space="preserve">English Literacy </w:t>
      </w:r>
      <w:r>
        <w:t xml:space="preserve">and Civics </w:t>
      </w:r>
      <w:r w:rsidR="00634C15">
        <w:t>(</w:t>
      </w:r>
      <w:r w:rsidR="00634C15" w:rsidRPr="00DD3E43">
        <w:t>EL Civics</w:t>
      </w:r>
      <w:r>
        <w:t>)</w:t>
      </w:r>
      <w:r w:rsidR="00634C15" w:rsidRPr="00DD3E43">
        <w:t>. TWC incorporated new requirements for IELCE into its contracts in 2016</w:t>
      </w:r>
      <w:r w:rsidR="00634C15">
        <w:t xml:space="preserve"> for all 34 of its AEL grantees.</w:t>
      </w:r>
      <w:r w:rsidR="00790CFA">
        <w:t xml:space="preserve"> </w:t>
      </w:r>
      <w:r>
        <w:t xml:space="preserve">During the </w:t>
      </w:r>
      <w:r w:rsidR="00634C15">
        <w:t>procurement</w:t>
      </w:r>
      <w:r w:rsidRPr="00D57867">
        <w:t xml:space="preserve"> </w:t>
      </w:r>
      <w:r>
        <w:t>period in 2017</w:t>
      </w:r>
      <w:r w:rsidR="00634C15">
        <w:t xml:space="preserve">, TWC combined </w:t>
      </w:r>
      <w:r w:rsidR="00D6741F">
        <w:t xml:space="preserve">the </w:t>
      </w:r>
      <w:r w:rsidR="00634C15">
        <w:t xml:space="preserve">procurement of regular AEFLA and EL Civics services, requiring the </w:t>
      </w:r>
      <w:r w:rsidR="00D6741F">
        <w:t xml:space="preserve">IELCE </w:t>
      </w:r>
      <w:r w:rsidR="00634C15">
        <w:t xml:space="preserve">model of all funded grantees. </w:t>
      </w:r>
    </w:p>
    <w:p w14:paraId="15494C43" w14:textId="77777777" w:rsidR="00634C15" w:rsidRPr="00634C15" w:rsidRDefault="00634C15" w:rsidP="00634C15">
      <w:pPr>
        <w:pStyle w:val="Heading2"/>
        <w:rPr>
          <w:rFonts w:eastAsia="Times New Roman"/>
        </w:rPr>
      </w:pPr>
    </w:p>
    <w:p w14:paraId="37FF571E" w14:textId="618ED6DF" w:rsidR="00714A8A" w:rsidRPr="006007BB" w:rsidRDefault="005D7073" w:rsidP="00634C15">
      <w:pPr>
        <w:pStyle w:val="Heading2"/>
      </w:pPr>
      <w:r w:rsidRPr="006007BB">
        <w:t xml:space="preserve">State </w:t>
      </w:r>
      <w:r w:rsidR="008D1C24">
        <w:t>E</w:t>
      </w:r>
      <w:r w:rsidRPr="006007BB">
        <w:t xml:space="preserve">fforts </w:t>
      </w:r>
      <w:r w:rsidR="008D1C24">
        <w:t xml:space="preserve">to </w:t>
      </w:r>
      <w:r w:rsidR="00634C15" w:rsidRPr="006007BB">
        <w:t>Meet IELCE Requirements</w:t>
      </w:r>
    </w:p>
    <w:p w14:paraId="59BDFD41" w14:textId="6FD00446" w:rsidR="00634C15" w:rsidRPr="003F5F91" w:rsidRDefault="00634C15" w:rsidP="00F41B7B">
      <w:pPr>
        <w:pStyle w:val="BodyText"/>
      </w:pPr>
      <w:r w:rsidRPr="006007BB">
        <w:t>In</w:t>
      </w:r>
      <w:r w:rsidRPr="003F5F91">
        <w:t xml:space="preserve"> PY’16</w:t>
      </w:r>
      <w:r w:rsidR="008D11A5">
        <w:t>–</w:t>
      </w:r>
      <w:r w:rsidRPr="003F5F91">
        <w:t xml:space="preserve">’17, all 34 AEL grant recipients began providing IELCE </w:t>
      </w:r>
      <w:r w:rsidR="007B01DC">
        <w:t>classes that were</w:t>
      </w:r>
      <w:r w:rsidR="00C21DFC">
        <w:t xml:space="preserve"> </w:t>
      </w:r>
      <w:r w:rsidR="006007BB">
        <w:t>designed in combination with IET</w:t>
      </w:r>
      <w:r w:rsidR="00C21DFC">
        <w:t>.</w:t>
      </w:r>
      <w:r w:rsidRPr="003F5F91">
        <w:t xml:space="preserve"> </w:t>
      </w:r>
      <w:r w:rsidR="00C21DFC">
        <w:t xml:space="preserve">Provision </w:t>
      </w:r>
      <w:r w:rsidRPr="003F5F91">
        <w:t>continued in PY</w:t>
      </w:r>
      <w:r w:rsidR="008D11A5">
        <w:t>’</w:t>
      </w:r>
      <w:r w:rsidRPr="003F5F91">
        <w:t>17</w:t>
      </w:r>
      <w:r w:rsidR="008D11A5">
        <w:t>–’</w:t>
      </w:r>
      <w:r w:rsidRPr="003F5F91">
        <w:t xml:space="preserve">18, </w:t>
      </w:r>
      <w:r w:rsidR="00C21DFC">
        <w:t xml:space="preserve">with </w:t>
      </w:r>
      <w:r w:rsidRPr="003F5F91">
        <w:t xml:space="preserve">an additional 9,514 individuals </w:t>
      </w:r>
      <w:r w:rsidR="00C21DFC">
        <w:t xml:space="preserve">served by </w:t>
      </w:r>
      <w:r w:rsidRPr="003F5F91">
        <w:t>EL Civics models</w:t>
      </w:r>
      <w:r w:rsidR="006007BB" w:rsidRPr="006007BB">
        <w:t xml:space="preserve"> </w:t>
      </w:r>
      <w:r w:rsidR="00125B94">
        <w:t xml:space="preserve">that </w:t>
      </w:r>
      <w:r w:rsidR="00C02364">
        <w:t xml:space="preserve">prepare them for </w:t>
      </w:r>
      <w:r w:rsidR="006007BB">
        <w:t>IET</w:t>
      </w:r>
      <w:r w:rsidRPr="003F5F91">
        <w:t xml:space="preserve">, </w:t>
      </w:r>
      <w:r w:rsidR="00864AFA">
        <w:t>including</w:t>
      </w:r>
      <w:r w:rsidR="00C02364">
        <w:t xml:space="preserve"> </w:t>
      </w:r>
      <w:r w:rsidRPr="003F5F91">
        <w:t xml:space="preserve">2,273 </w:t>
      </w:r>
      <w:r w:rsidR="00C02364" w:rsidRPr="003F5F91">
        <w:t xml:space="preserve">individuals </w:t>
      </w:r>
      <w:r w:rsidR="008223C6">
        <w:t xml:space="preserve">who are </w:t>
      </w:r>
      <w:r w:rsidR="00C02364">
        <w:t xml:space="preserve">coenrolled </w:t>
      </w:r>
      <w:r w:rsidR="006A7D4A">
        <w:t xml:space="preserve">in EL Civics and </w:t>
      </w:r>
      <w:r w:rsidRPr="003F5F91">
        <w:t>IET.</w:t>
      </w:r>
      <w:r w:rsidR="00790CFA">
        <w:t xml:space="preserve"> </w:t>
      </w:r>
      <w:r w:rsidR="00EE58A3">
        <w:t>T</w:t>
      </w:r>
      <w:r w:rsidRPr="003F5F91">
        <w:t>o support the integration of this model with IET, TWC developed a differentia</w:t>
      </w:r>
      <w:r w:rsidR="00AC29EA">
        <w:t>l</w:t>
      </w:r>
      <w:r w:rsidRPr="003F5F91">
        <w:t xml:space="preserve"> cost model, </w:t>
      </w:r>
      <w:r w:rsidR="002575F0">
        <w:t xml:space="preserve">calculating at </w:t>
      </w:r>
      <w:r w:rsidRPr="003F5F91">
        <w:t xml:space="preserve">a higher-cost-per participant for the purpose of setting </w:t>
      </w:r>
      <w:r w:rsidR="002575F0" w:rsidRPr="003F5F91">
        <w:t>target</w:t>
      </w:r>
      <w:r w:rsidR="002575F0">
        <w:t xml:space="preserve">s </w:t>
      </w:r>
      <w:r w:rsidRPr="003F5F91">
        <w:t>for all career pathways models, including IET EL Civics.</w:t>
      </w:r>
      <w:r w:rsidR="00790CFA">
        <w:t xml:space="preserve"> </w:t>
      </w:r>
      <w:r w:rsidRPr="003F5F91">
        <w:t>This additional funding is expected to</w:t>
      </w:r>
      <w:r w:rsidR="002575F0">
        <w:t xml:space="preserve"> help pay the costs of aligning the curriculum and help pay the</w:t>
      </w:r>
      <w:r w:rsidRPr="003F5F91">
        <w:t xml:space="preserve"> participant</w:t>
      </w:r>
      <w:r w:rsidR="002575F0">
        <w:t>s’</w:t>
      </w:r>
      <w:r w:rsidRPr="003F5F91">
        <w:t xml:space="preserve"> tuition in postsecondary education and training.</w:t>
      </w:r>
      <w:r w:rsidR="00790CFA">
        <w:t xml:space="preserve"> </w:t>
      </w:r>
    </w:p>
    <w:p w14:paraId="68A97AE8" w14:textId="77777777" w:rsidR="00634C15" w:rsidRPr="00634C15" w:rsidRDefault="00634C15" w:rsidP="00634C15">
      <w:pPr>
        <w:tabs>
          <w:tab w:val="left" w:pos="820"/>
        </w:tabs>
        <w:ind w:right="704"/>
        <w:rPr>
          <w:rFonts w:ascii="Times New Roman"/>
          <w:b/>
          <w:sz w:val="24"/>
        </w:rPr>
      </w:pPr>
    </w:p>
    <w:p w14:paraId="48DCFD62" w14:textId="77777777" w:rsidR="00634C15" w:rsidRDefault="00634C15" w:rsidP="00634C15">
      <w:pPr>
        <w:pStyle w:val="Heading2"/>
      </w:pPr>
      <w:r>
        <w:lastRenderedPageBreak/>
        <w:t>Preparing and Placing IELCE Program Participants in Unsubsidized Employment</w:t>
      </w:r>
    </w:p>
    <w:p w14:paraId="60F1700B" w14:textId="24EE8ADD" w:rsidR="00634C15" w:rsidRDefault="00045B7C" w:rsidP="00F41B7B">
      <w:pPr>
        <w:pStyle w:val="BodyText"/>
      </w:pPr>
      <w:r>
        <w:t xml:space="preserve">Because </w:t>
      </w:r>
      <w:r w:rsidR="00634C15">
        <w:t>the IELCE model is still fairly new, program exiters</w:t>
      </w:r>
      <w:r w:rsidR="008065F9">
        <w:t xml:space="preserve"> </w:t>
      </w:r>
      <w:r>
        <w:t xml:space="preserve">are only beginning to appear </w:t>
      </w:r>
      <w:r w:rsidR="008065F9">
        <w:t>in the available employment data.</w:t>
      </w:r>
      <w:r w:rsidR="00790CFA">
        <w:t xml:space="preserve"> </w:t>
      </w:r>
    </w:p>
    <w:p w14:paraId="29642EDD" w14:textId="77777777" w:rsidR="008065F9" w:rsidRDefault="008065F9" w:rsidP="00F41B7B">
      <w:pPr>
        <w:pStyle w:val="BodyText"/>
      </w:pPr>
    </w:p>
    <w:p w14:paraId="03669819" w14:textId="79CC4BB3" w:rsidR="008065F9" w:rsidRPr="00F22DE0" w:rsidRDefault="008065F9" w:rsidP="00F41B7B">
      <w:pPr>
        <w:pStyle w:val="BodyText"/>
      </w:pPr>
      <w:r>
        <w:t>One area of growth is IET EL Civics models in entrepreneurial training.</w:t>
      </w:r>
      <w:r w:rsidR="00790CFA">
        <w:t xml:space="preserve"> </w:t>
      </w:r>
      <w:r w:rsidR="00853B72">
        <w:t xml:space="preserve">The </w:t>
      </w:r>
      <w:r>
        <w:t xml:space="preserve">training prepares individuals to successfully own and operate their own businesses, </w:t>
      </w:r>
      <w:r w:rsidR="00853B72">
        <w:t xml:space="preserve">which </w:t>
      </w:r>
      <w:r w:rsidR="004F7B2C">
        <w:t xml:space="preserve">many </w:t>
      </w:r>
      <w:r w:rsidRPr="00F22DE0">
        <w:t xml:space="preserve">are already doing </w:t>
      </w:r>
      <w:r w:rsidR="00853B72">
        <w:t>to some extent</w:t>
      </w:r>
      <w:r w:rsidRPr="00F22DE0">
        <w:t>.</w:t>
      </w:r>
      <w:r w:rsidR="00790CFA">
        <w:t xml:space="preserve"> </w:t>
      </w:r>
      <w:r w:rsidRPr="00F22DE0">
        <w:t xml:space="preserve">By building the </w:t>
      </w:r>
      <w:r w:rsidR="004F7B2C">
        <w:t xml:space="preserve">entrepreneurial training </w:t>
      </w:r>
      <w:r w:rsidRPr="00F22DE0">
        <w:t>models into reputable businesses, TWC can better support the objectives of economic self-sufficiency and business growth in Texas.</w:t>
      </w:r>
    </w:p>
    <w:p w14:paraId="11E5B952" w14:textId="77777777" w:rsidR="008065F9" w:rsidRPr="00F22DE0" w:rsidRDefault="008065F9" w:rsidP="00F41B7B">
      <w:pPr>
        <w:pStyle w:val="BodyText"/>
      </w:pPr>
    </w:p>
    <w:p w14:paraId="35034825" w14:textId="236CF697" w:rsidR="00F22DE0" w:rsidRPr="00F22DE0" w:rsidRDefault="008065F9" w:rsidP="00F22DE0">
      <w:pPr>
        <w:pStyle w:val="BodyText"/>
      </w:pPr>
      <w:r w:rsidRPr="00F22DE0">
        <w:t xml:space="preserve">As a requirement of all program implementation, including the </w:t>
      </w:r>
      <w:r w:rsidR="003F5F91" w:rsidRPr="00F22DE0">
        <w:t>IELCE model</w:t>
      </w:r>
      <w:r w:rsidRPr="00F22DE0">
        <w:t xml:space="preserve">, grantees are required to work with their </w:t>
      </w:r>
      <w:r w:rsidR="00F9322D">
        <w:t>B</w:t>
      </w:r>
      <w:r w:rsidRPr="00F22DE0">
        <w:t>oards for the purposes of identifying and understanding labor market information, supporting participants with</w:t>
      </w:r>
      <w:r w:rsidR="00790CFA">
        <w:t xml:space="preserve"> </w:t>
      </w:r>
      <w:r w:rsidR="001D1A86" w:rsidRPr="00F22DE0">
        <w:t>supplemental services to remove barriers from their educational goals, and identifying career opportunities.</w:t>
      </w:r>
      <w:r w:rsidR="00790CFA">
        <w:t xml:space="preserve"> </w:t>
      </w:r>
      <w:r w:rsidR="001D1A86" w:rsidRPr="00F22DE0">
        <w:t xml:space="preserve">Additionally, several programs have worked with their </w:t>
      </w:r>
      <w:r w:rsidR="004F7B2C">
        <w:t>B</w:t>
      </w:r>
      <w:r w:rsidR="001D1A86" w:rsidRPr="00F22DE0">
        <w:t xml:space="preserve">oards to broaden the </w:t>
      </w:r>
      <w:r w:rsidR="00883450">
        <w:t xml:space="preserve">program’s </w:t>
      </w:r>
      <w:r w:rsidR="001D1A86" w:rsidRPr="00F22DE0">
        <w:t>entrepreneurial curriculum, where applicable, to better serve participants in their region.</w:t>
      </w:r>
      <w:r w:rsidR="00790CFA">
        <w:t xml:space="preserve"> </w:t>
      </w:r>
    </w:p>
    <w:p w14:paraId="59F3869C" w14:textId="77777777" w:rsidR="00F22DE0" w:rsidRPr="00F22DE0" w:rsidRDefault="00F22DE0" w:rsidP="00F22DE0">
      <w:pPr>
        <w:pStyle w:val="BodyText"/>
      </w:pPr>
    </w:p>
    <w:p w14:paraId="6E800056" w14:textId="187AAF9B" w:rsidR="00F22DE0" w:rsidRPr="00F22DE0" w:rsidRDefault="0007538C" w:rsidP="00F22DE0">
      <w:pPr>
        <w:pStyle w:val="BodyText"/>
      </w:pPr>
      <w:r>
        <w:t xml:space="preserve">A good example is the </w:t>
      </w:r>
      <w:r w:rsidR="00883450">
        <w:t>e</w:t>
      </w:r>
      <w:r w:rsidR="00883450" w:rsidRPr="00F22DE0">
        <w:t xml:space="preserve">ntrepreneurship </w:t>
      </w:r>
      <w:r w:rsidR="00883450">
        <w:t>l</w:t>
      </w:r>
      <w:r w:rsidR="00883450" w:rsidRPr="00F22DE0">
        <w:t xml:space="preserve">iteracy </w:t>
      </w:r>
      <w:r w:rsidR="00883450">
        <w:t>p</w:t>
      </w:r>
      <w:r w:rsidR="00883450" w:rsidRPr="00F22DE0">
        <w:t>rogram</w:t>
      </w:r>
      <w:r w:rsidR="00F920D4">
        <w:t>s</w:t>
      </w:r>
      <w:r w:rsidR="00883450" w:rsidRPr="00F22DE0">
        <w:t xml:space="preserve"> </w:t>
      </w:r>
      <w:r w:rsidR="00F920D4">
        <w:t xml:space="preserve">offered by </w:t>
      </w:r>
      <w:r>
        <w:t xml:space="preserve">Workforce </w:t>
      </w:r>
      <w:r w:rsidR="00F22DE0" w:rsidRPr="00F22DE0">
        <w:t>S</w:t>
      </w:r>
      <w:r>
        <w:t xml:space="preserve">olutions </w:t>
      </w:r>
      <w:r w:rsidR="00F22DE0" w:rsidRPr="00F22DE0">
        <w:t xml:space="preserve">Dallas and </w:t>
      </w:r>
      <w:r w:rsidR="00F920D4">
        <w:t xml:space="preserve">the </w:t>
      </w:r>
      <w:r w:rsidR="00F22DE0" w:rsidRPr="00F22DE0">
        <w:t xml:space="preserve">Irving </w:t>
      </w:r>
      <w:r>
        <w:t>Independent School District</w:t>
      </w:r>
      <w:r w:rsidR="00F920D4">
        <w:t>. The programs</w:t>
      </w:r>
      <w:r>
        <w:t xml:space="preserve"> </w:t>
      </w:r>
      <w:r w:rsidR="00F22DE0" w:rsidRPr="00F22DE0">
        <w:t xml:space="preserve">provide </w:t>
      </w:r>
      <w:r w:rsidR="00623E50">
        <w:t xml:space="preserve">ESL </w:t>
      </w:r>
      <w:r w:rsidR="00F22DE0" w:rsidRPr="00F22DE0">
        <w:t xml:space="preserve">and industry-specific training </w:t>
      </w:r>
      <w:r w:rsidR="00F920D4" w:rsidRPr="00F22DE0">
        <w:t xml:space="preserve">to </w:t>
      </w:r>
      <w:r w:rsidR="00F920D4">
        <w:t xml:space="preserve">help participants develop the skills they need to own a business and </w:t>
      </w:r>
      <w:r w:rsidR="00E36B39">
        <w:t xml:space="preserve">to provide </w:t>
      </w:r>
      <w:r w:rsidR="00F22DE0" w:rsidRPr="00F22DE0">
        <w:t>them with transferrable work skills.</w:t>
      </w:r>
    </w:p>
    <w:p w14:paraId="3F99D223" w14:textId="77777777" w:rsidR="00F22DE0" w:rsidRPr="00F22DE0" w:rsidRDefault="00F22DE0" w:rsidP="00F22DE0">
      <w:pPr>
        <w:pStyle w:val="BodyText"/>
      </w:pPr>
    </w:p>
    <w:p w14:paraId="0B1F5BF7" w14:textId="5C78E131" w:rsidR="00F22DE0" w:rsidRDefault="00F22DE0" w:rsidP="00F22DE0">
      <w:pPr>
        <w:pStyle w:val="BodyText"/>
      </w:pPr>
      <w:r w:rsidRPr="00F22DE0">
        <w:t xml:space="preserve">The 18-week training </w:t>
      </w:r>
      <w:r w:rsidR="00447C5C">
        <w:t xml:space="preserve">session </w:t>
      </w:r>
      <w:r w:rsidRPr="00F22DE0">
        <w:t>includes job shadowing, workforce preparation activities</w:t>
      </w:r>
      <w:r w:rsidR="00447C5C">
        <w:t>,</w:t>
      </w:r>
      <w:r w:rsidRPr="00F22DE0">
        <w:t xml:space="preserve"> and workforce training. Business partners include </w:t>
      </w:r>
      <w:r w:rsidR="00447C5C">
        <w:t xml:space="preserve">Stahls’ </w:t>
      </w:r>
      <w:r w:rsidRPr="00F22DE0">
        <w:t>clothing and textile</w:t>
      </w:r>
      <w:r w:rsidR="00E93725">
        <w:t>s,</w:t>
      </w:r>
      <w:r w:rsidRPr="00F22DE0">
        <w:t xml:space="preserve"> </w:t>
      </w:r>
      <w:r w:rsidR="00513B42">
        <w:t>F</w:t>
      </w:r>
      <w:r w:rsidR="00513B42" w:rsidRPr="00F22DE0">
        <w:t>uel</w:t>
      </w:r>
      <w:r w:rsidR="00513B42">
        <w:t xml:space="preserve"> E</w:t>
      </w:r>
      <w:r w:rsidR="009A400C" w:rsidRPr="00F22DE0">
        <w:t>ducation</w:t>
      </w:r>
      <w:r w:rsidR="00E93725">
        <w:t>,</w:t>
      </w:r>
      <w:r w:rsidR="009A400C" w:rsidRPr="00F22DE0">
        <w:t xml:space="preserve"> </w:t>
      </w:r>
      <w:r w:rsidR="00E93725">
        <w:t xml:space="preserve">Irving </w:t>
      </w:r>
      <w:r w:rsidR="009A400C">
        <w:t>H</w:t>
      </w:r>
      <w:r w:rsidR="009A400C" w:rsidRPr="00F22DE0">
        <w:t xml:space="preserve">otel </w:t>
      </w:r>
      <w:r w:rsidR="009A400C">
        <w:t>A</w:t>
      </w:r>
      <w:r w:rsidRPr="00F22DE0">
        <w:t>ssociation</w:t>
      </w:r>
      <w:r w:rsidR="00E93725">
        <w:t xml:space="preserve"> partners</w:t>
      </w:r>
      <w:r w:rsidR="00447C5C">
        <w:t xml:space="preserve">, </w:t>
      </w:r>
      <w:r w:rsidR="00E93725">
        <w:t xml:space="preserve">including Embassy Suites the </w:t>
      </w:r>
      <w:r w:rsidRPr="00F22DE0">
        <w:t>Sheraton</w:t>
      </w:r>
      <w:r w:rsidR="00E93725">
        <w:t>, the Hilton Double Tree DFW South,</w:t>
      </w:r>
      <w:r w:rsidRPr="00F22DE0">
        <w:t xml:space="preserve"> and The Home Depot. The in-kind contributions from these partners include instructor training, supplies and materials, on</w:t>
      </w:r>
      <w:r w:rsidR="00730ECE">
        <w:t>-</w:t>
      </w:r>
      <w:r w:rsidRPr="00F22DE0">
        <w:t>site presentations, job shadowing, and exposure to financial opportunities for starting businesses.</w:t>
      </w:r>
      <w:r w:rsidR="00790CFA">
        <w:t xml:space="preserve"> </w:t>
      </w:r>
      <w:r w:rsidRPr="00F22DE0">
        <w:t xml:space="preserve">The Irving Hispanic Chamber of Commerce </w:t>
      </w:r>
      <w:r w:rsidR="00730ECE">
        <w:t xml:space="preserve">provides </w:t>
      </w:r>
      <w:r w:rsidRPr="00F22DE0">
        <w:t xml:space="preserve">mentors experienced in </w:t>
      </w:r>
      <w:r w:rsidR="00730ECE">
        <w:t xml:space="preserve">an </w:t>
      </w:r>
      <w:r w:rsidRPr="00F22DE0">
        <w:t xml:space="preserve">applicable field to </w:t>
      </w:r>
      <w:r w:rsidR="00730ECE">
        <w:t xml:space="preserve">give </w:t>
      </w:r>
      <w:r w:rsidRPr="00F22DE0">
        <w:t>on</w:t>
      </w:r>
      <w:r w:rsidR="00730ECE">
        <w:t>-</w:t>
      </w:r>
      <w:r w:rsidRPr="00F22DE0">
        <w:t xml:space="preserve">site presentations and demonstrations </w:t>
      </w:r>
      <w:r w:rsidR="00730ECE">
        <w:t xml:space="preserve">on developing </w:t>
      </w:r>
      <w:r w:rsidRPr="00F22DE0">
        <w:t>partnerships.</w:t>
      </w:r>
      <w:r w:rsidR="00790CFA">
        <w:t xml:space="preserve"> </w:t>
      </w:r>
      <w:r w:rsidRPr="00F22DE0">
        <w:t xml:space="preserve">Upon completion of the program, participants receive an industry-specific certificate from </w:t>
      </w:r>
      <w:r w:rsidR="009A400C">
        <w:t>one of the business partners</w:t>
      </w:r>
      <w:r w:rsidRPr="00F22DE0">
        <w:t>.</w:t>
      </w:r>
    </w:p>
    <w:p w14:paraId="4D17BEA3" w14:textId="77777777" w:rsidR="00F22DE0" w:rsidRPr="00F22DE0" w:rsidRDefault="00F22DE0" w:rsidP="00F22DE0">
      <w:pPr>
        <w:pStyle w:val="BodyText"/>
      </w:pPr>
      <w:r w:rsidRPr="00F22DE0">
        <w:t xml:space="preserve"> </w:t>
      </w:r>
    </w:p>
    <w:p w14:paraId="22F95DFD" w14:textId="16B54E9D" w:rsidR="00F22DE0" w:rsidRPr="00F22DE0" w:rsidRDefault="00F22DE0" w:rsidP="00F22DE0">
      <w:pPr>
        <w:pStyle w:val="BodyText"/>
      </w:pPr>
      <w:r w:rsidRPr="00F22DE0">
        <w:t>Last year</w:t>
      </w:r>
      <w:r w:rsidR="00967A07">
        <w:t>,</w:t>
      </w:r>
      <w:r w:rsidRPr="00F22DE0">
        <w:t xml:space="preserve"> 106 participants completed the program</w:t>
      </w:r>
      <w:r w:rsidR="008B1385">
        <w:t>. This</w:t>
      </w:r>
      <w:r w:rsidRPr="00F22DE0">
        <w:t xml:space="preserve"> year</w:t>
      </w:r>
      <w:r w:rsidR="008B1385">
        <w:t>,</w:t>
      </w:r>
      <w:r w:rsidRPr="00F22DE0">
        <w:t xml:space="preserve"> six students joined a cohort of business women in the Irving Hispanic Chamber</w:t>
      </w:r>
      <w:r w:rsidR="008B1385">
        <w:t xml:space="preserve"> of Commerce</w:t>
      </w:r>
      <w:r w:rsidRPr="00F22DE0">
        <w:t>’s business leadership class.</w:t>
      </w:r>
    </w:p>
    <w:p w14:paraId="53978687" w14:textId="77777777" w:rsidR="001D1A86" w:rsidRDefault="001D1A86">
      <w:pPr>
        <w:rPr>
          <w:rFonts w:ascii="Times New Roman" w:eastAsia="Times New Roman" w:hAnsi="Times New Roman"/>
        </w:rPr>
      </w:pPr>
    </w:p>
    <w:p w14:paraId="7710DE27" w14:textId="77777777" w:rsidR="003F5F91" w:rsidRDefault="003F5F91" w:rsidP="003F5F91">
      <w:pPr>
        <w:pStyle w:val="Heading2"/>
      </w:pPr>
      <w:r>
        <w:t>Key Program Challenges</w:t>
      </w:r>
    </w:p>
    <w:p w14:paraId="5D277AB3" w14:textId="14E47C95" w:rsidR="003F5F91" w:rsidRDefault="003F5F91" w:rsidP="00F41B7B">
      <w:pPr>
        <w:pStyle w:val="BodyText"/>
      </w:pPr>
      <w:r>
        <w:t xml:space="preserve">A key challenge </w:t>
      </w:r>
      <w:r w:rsidR="007745DD">
        <w:t xml:space="preserve">to implementing </w:t>
      </w:r>
      <w:r>
        <w:t xml:space="preserve">the IELCE model is </w:t>
      </w:r>
      <w:r w:rsidR="00C349FC">
        <w:t xml:space="preserve">that </w:t>
      </w:r>
      <w:r w:rsidR="007745DD">
        <w:t xml:space="preserve">the population of </w:t>
      </w:r>
      <w:r w:rsidR="006007BB">
        <w:t>English language learner</w:t>
      </w:r>
      <w:r w:rsidR="007745DD">
        <w:t>s</w:t>
      </w:r>
      <w:r w:rsidR="00FF70E0">
        <w:t xml:space="preserve"> in</w:t>
      </w:r>
      <w:r w:rsidR="006007BB">
        <w:t xml:space="preserve"> </w:t>
      </w:r>
      <w:r>
        <w:t>Texas</w:t>
      </w:r>
      <w:r w:rsidR="00C349FC">
        <w:t xml:space="preserve"> varies</w:t>
      </w:r>
      <w:r>
        <w:t>.</w:t>
      </w:r>
      <w:r w:rsidR="00790CFA">
        <w:t xml:space="preserve"> </w:t>
      </w:r>
      <w:r w:rsidR="0045463B">
        <w:t xml:space="preserve">South Texas </w:t>
      </w:r>
      <w:r w:rsidR="00FF70E0">
        <w:t xml:space="preserve">serves individuals who have </w:t>
      </w:r>
      <w:r w:rsidR="00FF70E0" w:rsidRPr="00F279CC">
        <w:t xml:space="preserve">limited English proficiency </w:t>
      </w:r>
      <w:r w:rsidR="00FF70E0">
        <w:t xml:space="preserve">but are </w:t>
      </w:r>
      <w:r>
        <w:t xml:space="preserve">higher-skilled </w:t>
      </w:r>
      <w:r w:rsidR="00FF70E0">
        <w:t xml:space="preserve">and can </w:t>
      </w:r>
      <w:r>
        <w:t xml:space="preserve">benefit from </w:t>
      </w:r>
      <w:r w:rsidR="00C349FC">
        <w:t xml:space="preserve">the </w:t>
      </w:r>
      <w:r>
        <w:t>IET model</w:t>
      </w:r>
      <w:r w:rsidR="00FF70E0">
        <w:t>.</w:t>
      </w:r>
      <w:r>
        <w:t xml:space="preserve"> </w:t>
      </w:r>
      <w:r w:rsidR="00FF70E0">
        <w:t>O</w:t>
      </w:r>
      <w:r>
        <w:t>ther areas of the state</w:t>
      </w:r>
      <w:r w:rsidR="00720562">
        <w:t>, such as northeast Texas</w:t>
      </w:r>
      <w:r w:rsidR="0045463B">
        <w:t>,</w:t>
      </w:r>
      <w:r w:rsidR="00720562">
        <w:t xml:space="preserve"> </w:t>
      </w:r>
      <w:r w:rsidR="00C349FC">
        <w:t xml:space="preserve">serve </w:t>
      </w:r>
      <w:r w:rsidR="00720562">
        <w:t>much smaller numbers</w:t>
      </w:r>
      <w:r w:rsidR="00FB433A">
        <w:t xml:space="preserve"> of individuals </w:t>
      </w:r>
      <w:r w:rsidR="0045463B">
        <w:t xml:space="preserve">who have </w:t>
      </w:r>
      <w:r w:rsidR="00FB433A" w:rsidRPr="00F279CC">
        <w:t>limited English proficiency</w:t>
      </w:r>
      <w:r>
        <w:t xml:space="preserve">, </w:t>
      </w:r>
      <w:r w:rsidR="00C349FC">
        <w:t xml:space="preserve">making it a challenge to </w:t>
      </w:r>
      <w:r w:rsidR="00720562">
        <w:t xml:space="preserve">develop </w:t>
      </w:r>
      <w:r>
        <w:t xml:space="preserve">robust </w:t>
      </w:r>
      <w:r w:rsidR="00720562">
        <w:t xml:space="preserve">workforce </w:t>
      </w:r>
      <w:r>
        <w:t>training programs.</w:t>
      </w:r>
      <w:r w:rsidR="00790CFA">
        <w:t xml:space="preserve"> </w:t>
      </w:r>
      <w:r w:rsidR="0045463B">
        <w:t xml:space="preserve">As a result, </w:t>
      </w:r>
      <w:r>
        <w:t xml:space="preserve">many programs focus on lower-skilled </w:t>
      </w:r>
      <w:r w:rsidR="006E7851">
        <w:t xml:space="preserve">English language learners </w:t>
      </w:r>
      <w:r w:rsidR="0045463B">
        <w:t xml:space="preserve">who </w:t>
      </w:r>
      <w:r>
        <w:t>will benefit from the model in the long</w:t>
      </w:r>
      <w:r w:rsidR="004E0548">
        <w:t xml:space="preserve"> </w:t>
      </w:r>
      <w:r>
        <w:t xml:space="preserve">run </w:t>
      </w:r>
      <w:r w:rsidR="0045463B">
        <w:t xml:space="preserve">but </w:t>
      </w:r>
      <w:r>
        <w:t xml:space="preserve">will take longer to show positive </w:t>
      </w:r>
      <w:r w:rsidR="004E0548">
        <w:t xml:space="preserve">performance </w:t>
      </w:r>
      <w:r>
        <w:t>outcomes.</w:t>
      </w:r>
      <w:r w:rsidR="00790CFA">
        <w:t xml:space="preserve"> </w:t>
      </w:r>
    </w:p>
    <w:p w14:paraId="4E9AFAAB" w14:textId="77777777" w:rsidR="003F5F91" w:rsidRDefault="003F5F91" w:rsidP="003F5F91">
      <w:pPr>
        <w:pStyle w:val="Heading1"/>
        <w:ind w:left="0"/>
        <w:rPr>
          <w:b w:val="0"/>
          <w:bCs w:val="0"/>
          <w:sz w:val="22"/>
          <w:szCs w:val="22"/>
        </w:rPr>
      </w:pPr>
    </w:p>
    <w:p w14:paraId="2A8F6390" w14:textId="77777777" w:rsidR="003F5F91" w:rsidRDefault="003F5F91" w:rsidP="003F5F91">
      <w:pPr>
        <w:pStyle w:val="Heading1"/>
        <w:ind w:left="0"/>
      </w:pPr>
      <w:r>
        <w:t>Adult Education Standards</w:t>
      </w:r>
    </w:p>
    <w:p w14:paraId="59EB654D" w14:textId="4C024B58" w:rsidR="003F5F91" w:rsidRPr="00DD3E43" w:rsidRDefault="003F5F91" w:rsidP="00F41B7B">
      <w:pPr>
        <w:pStyle w:val="BodyText"/>
      </w:pPr>
      <w:r>
        <w:t xml:space="preserve">In 2015, </w:t>
      </w:r>
      <w:r w:rsidRPr="00DD3E43">
        <w:t xml:space="preserve">TWC contracted with Texas State University </w:t>
      </w:r>
      <w:r>
        <w:t xml:space="preserve">(TSU) </w:t>
      </w:r>
      <w:r w:rsidRPr="00DD3E43">
        <w:t xml:space="preserve">to lead </w:t>
      </w:r>
      <w:r w:rsidR="001135F2">
        <w:t>a project to revise the AE</w:t>
      </w:r>
      <w:r w:rsidR="00BE7BDB">
        <w:t>L</w:t>
      </w:r>
      <w:r w:rsidR="001135F2">
        <w:t xml:space="preserve"> </w:t>
      </w:r>
      <w:r w:rsidRPr="00DD3E43">
        <w:t xml:space="preserve">standards. </w:t>
      </w:r>
      <w:r>
        <w:t>TSU</w:t>
      </w:r>
      <w:r w:rsidRPr="00DD3E43">
        <w:t xml:space="preserve"> coordinated input from a </w:t>
      </w:r>
      <w:r w:rsidR="007C7FC5">
        <w:t xml:space="preserve">wide range </w:t>
      </w:r>
      <w:r w:rsidRPr="00DD3E43">
        <w:t xml:space="preserve">of subject matter experts, including </w:t>
      </w:r>
      <w:r w:rsidRPr="00DD3E43">
        <w:lastRenderedPageBreak/>
        <w:t>representatives from K</w:t>
      </w:r>
      <w:r>
        <w:t>–</w:t>
      </w:r>
      <w:r w:rsidRPr="00DD3E43">
        <w:t>12</w:t>
      </w:r>
      <w:r>
        <w:t xml:space="preserve"> Education</w:t>
      </w:r>
      <w:r w:rsidRPr="00DD3E43">
        <w:t xml:space="preserve">, </w:t>
      </w:r>
      <w:r w:rsidR="0009710B">
        <w:t>d</w:t>
      </w:r>
      <w:r w:rsidRPr="00DD3E43">
        <w:t xml:space="preserve">evelopmental </w:t>
      </w:r>
      <w:r w:rsidR="0009710B">
        <w:t>e</w:t>
      </w:r>
      <w:r w:rsidRPr="00DD3E43">
        <w:t xml:space="preserve">ducation, </w:t>
      </w:r>
      <w:r w:rsidR="0009710B">
        <w:t>a</w:t>
      </w:r>
      <w:r w:rsidRPr="00DD3E43">
        <w:t xml:space="preserve">dult </w:t>
      </w:r>
      <w:r w:rsidR="0009710B">
        <w:t>e</w:t>
      </w:r>
      <w:r w:rsidRPr="00DD3E43">
        <w:t>ducation, Texas industr</w:t>
      </w:r>
      <w:r>
        <w:t>ies</w:t>
      </w:r>
      <w:r w:rsidRPr="00DD3E43">
        <w:t xml:space="preserve">, and </w:t>
      </w:r>
      <w:r>
        <w:t>postsecondary institutions</w:t>
      </w:r>
      <w:r w:rsidRPr="00DD3E43">
        <w:t xml:space="preserve">. </w:t>
      </w:r>
      <w:r w:rsidR="00BE7BDB">
        <w:t>TSU submitted a</w:t>
      </w:r>
      <w:r w:rsidR="001F052C">
        <w:t xml:space="preserve"> </w:t>
      </w:r>
      <w:r w:rsidRPr="00DD3E43">
        <w:t xml:space="preserve">draft of the </w:t>
      </w:r>
      <w:r w:rsidR="00513B42">
        <w:t>s</w:t>
      </w:r>
      <w:r w:rsidRPr="00DD3E43">
        <w:t>tandards</w:t>
      </w:r>
      <w:r w:rsidR="00513B42">
        <w:t xml:space="preserve"> </w:t>
      </w:r>
      <w:r w:rsidRPr="00DD3E43">
        <w:t>to TWC on June 28, 2016</w:t>
      </w:r>
      <w:r>
        <w:t>.</w:t>
      </w:r>
      <w:r w:rsidRPr="00DD3E43">
        <w:t xml:space="preserve"> </w:t>
      </w:r>
    </w:p>
    <w:p w14:paraId="369A1A95" w14:textId="77777777" w:rsidR="003F5F91" w:rsidRPr="00DD3E43" w:rsidRDefault="003F5F91" w:rsidP="00F41B7B">
      <w:pPr>
        <w:pStyle w:val="BodyText"/>
      </w:pPr>
    </w:p>
    <w:p w14:paraId="50FA9747" w14:textId="25CFCC07" w:rsidR="003F5F91" w:rsidRDefault="003F5F91" w:rsidP="00F41B7B">
      <w:pPr>
        <w:pStyle w:val="BodyText"/>
      </w:pPr>
      <w:r>
        <w:t xml:space="preserve">Over the past year, TWC has supported </w:t>
      </w:r>
      <w:r w:rsidR="00BE7BDB">
        <w:t xml:space="preserve">its </w:t>
      </w:r>
      <w:r>
        <w:t>grantee</w:t>
      </w:r>
      <w:r w:rsidR="00BE7BDB">
        <w:t>s’</w:t>
      </w:r>
      <w:r>
        <w:t xml:space="preserve"> implementation of </w:t>
      </w:r>
      <w:r w:rsidR="00DE7AD4">
        <w:t xml:space="preserve">the </w:t>
      </w:r>
      <w:r>
        <w:t xml:space="preserve">new standards through a robust dissemination process, </w:t>
      </w:r>
      <w:r w:rsidR="00DE7AD4">
        <w:t xml:space="preserve">which included assigning project leads </w:t>
      </w:r>
      <w:r w:rsidR="00E36B39">
        <w:t>among</w:t>
      </w:r>
      <w:r w:rsidR="00DE7AD4">
        <w:t xml:space="preserve"> the staff of each grantee and training the leads to implement the </w:t>
      </w:r>
      <w:r>
        <w:t>standards through their grantee.</w:t>
      </w:r>
      <w:r w:rsidR="00790CFA">
        <w:t xml:space="preserve"> </w:t>
      </w:r>
      <w:r>
        <w:t xml:space="preserve">The new standards are rigorous and ambitious, </w:t>
      </w:r>
      <w:r w:rsidR="004939C6">
        <w:t xml:space="preserve">requiring </w:t>
      </w:r>
      <w:r>
        <w:t xml:space="preserve">grantees to </w:t>
      </w:r>
      <w:r w:rsidR="004939C6">
        <w:t xml:space="preserve">challenge </w:t>
      </w:r>
      <w:r>
        <w:t xml:space="preserve">their staff </w:t>
      </w:r>
      <w:r w:rsidR="004939C6">
        <w:t xml:space="preserve">to take on </w:t>
      </w:r>
      <w:r>
        <w:t xml:space="preserve">new </w:t>
      </w:r>
      <w:r w:rsidR="004939C6">
        <w:t xml:space="preserve">roles to help </w:t>
      </w:r>
      <w:r>
        <w:t>participant</w:t>
      </w:r>
      <w:r w:rsidR="004939C6">
        <w:t xml:space="preserve">s </w:t>
      </w:r>
      <w:r w:rsidR="009B0717">
        <w:t>prepare for</w:t>
      </w:r>
      <w:r>
        <w:t xml:space="preserve"> postsecondary education</w:t>
      </w:r>
      <w:r w:rsidR="004939C6">
        <w:t xml:space="preserve"> and</w:t>
      </w:r>
      <w:r>
        <w:t xml:space="preserve"> training and</w:t>
      </w:r>
      <w:r w:rsidR="004939C6">
        <w:t xml:space="preserve"> </w:t>
      </w:r>
      <w:r w:rsidR="009B0717">
        <w:t xml:space="preserve">ultimately </w:t>
      </w:r>
      <w:r w:rsidR="004939C6">
        <w:t>find</w:t>
      </w:r>
      <w:r>
        <w:t xml:space="preserve"> employment.</w:t>
      </w:r>
    </w:p>
    <w:p w14:paraId="388A4DC5" w14:textId="77777777" w:rsidR="003F5F91" w:rsidRDefault="003F5F91" w:rsidP="00F41B7B">
      <w:pPr>
        <w:pStyle w:val="BodyText"/>
      </w:pPr>
    </w:p>
    <w:p w14:paraId="2CD64347" w14:textId="2BEB6642" w:rsidR="003F5F91" w:rsidRDefault="003F5F91" w:rsidP="00F41B7B">
      <w:pPr>
        <w:pStyle w:val="BodyText"/>
      </w:pPr>
      <w:r>
        <w:t xml:space="preserve">As </w:t>
      </w:r>
      <w:r w:rsidR="009B0717">
        <w:t xml:space="preserve">mentioned </w:t>
      </w:r>
      <w:r>
        <w:t xml:space="preserve">earlier in this report, in </w:t>
      </w:r>
      <w:r w:rsidR="009B0717">
        <w:t xml:space="preserve">PY’17–’18, </w:t>
      </w:r>
      <w:r>
        <w:t>TWC developed t</w:t>
      </w:r>
      <w:r w:rsidRPr="003F5F91">
        <w:t>he Standards 2.0</w:t>
      </w:r>
      <w:r>
        <w:t>, which align</w:t>
      </w:r>
      <w:r w:rsidR="00C85C1F">
        <w:t>s</w:t>
      </w:r>
      <w:r w:rsidRPr="003F5F91">
        <w:t xml:space="preserve"> the 2016 </w:t>
      </w:r>
      <w:r w:rsidR="00C85C1F">
        <w:t xml:space="preserve">version with </w:t>
      </w:r>
      <w:r w:rsidRPr="003F5F91">
        <w:t>the knowledge, skills, and abilities required for success in entry- and intermediate-level jobs</w:t>
      </w:r>
      <w:r w:rsidR="00C85C1F">
        <w:t xml:space="preserve"> in </w:t>
      </w:r>
      <w:r w:rsidR="00C85C1F" w:rsidRPr="003F5F91">
        <w:t>in-demand</w:t>
      </w:r>
      <w:r w:rsidR="00C85C1F">
        <w:t xml:space="preserve"> industries</w:t>
      </w:r>
      <w:r w:rsidRPr="003F5F91">
        <w:t>.</w:t>
      </w:r>
      <w:r w:rsidR="00790CFA">
        <w:t xml:space="preserve"> </w:t>
      </w:r>
      <w:r>
        <w:t>The industries selected for this project represent those in which there is documented growth, statewide representation, and career pathways articulation.</w:t>
      </w:r>
      <w:r w:rsidR="00790CFA">
        <w:t xml:space="preserve"> </w:t>
      </w:r>
      <w:r>
        <w:t xml:space="preserve">In </w:t>
      </w:r>
      <w:r w:rsidR="00C85C1F">
        <w:t>PY’18–’19</w:t>
      </w:r>
      <w:r>
        <w:t xml:space="preserve">, TWC will begin </w:t>
      </w:r>
      <w:r w:rsidR="00C85C1F">
        <w:t xml:space="preserve">disseminating </w:t>
      </w:r>
      <w:r>
        <w:t xml:space="preserve">the </w:t>
      </w:r>
      <w:r w:rsidR="00C85C1F">
        <w:t>S</w:t>
      </w:r>
      <w:r>
        <w:t xml:space="preserve">tandards </w:t>
      </w:r>
      <w:r w:rsidR="00C85C1F">
        <w:t xml:space="preserve">2.0 </w:t>
      </w:r>
      <w:r>
        <w:t xml:space="preserve">in the same </w:t>
      </w:r>
      <w:r w:rsidR="006A7D4A">
        <w:t xml:space="preserve">robust </w:t>
      </w:r>
      <w:r>
        <w:t xml:space="preserve">manner </w:t>
      </w:r>
      <w:r w:rsidR="006A7D4A">
        <w:t>that</w:t>
      </w:r>
      <w:r w:rsidR="00C85C1F">
        <w:t xml:space="preserve"> the 2016 version was disseminated</w:t>
      </w:r>
      <w:r>
        <w:t>.</w:t>
      </w:r>
    </w:p>
    <w:p w14:paraId="32DFC3ED" w14:textId="77777777" w:rsidR="003F5F91" w:rsidRDefault="003F5F91" w:rsidP="00F41B7B">
      <w:pPr>
        <w:pStyle w:val="BodyText"/>
      </w:pPr>
    </w:p>
    <w:p w14:paraId="4D6C195D" w14:textId="77777777" w:rsidR="00F41B7B" w:rsidRDefault="00F41B7B" w:rsidP="00F41B7B">
      <w:pPr>
        <w:pStyle w:val="Heading1"/>
        <w:ind w:left="0"/>
      </w:pPr>
      <w:r w:rsidRPr="00DD3E43">
        <w:t>Programs for Corrections Education and the Education of Other</w:t>
      </w:r>
      <w:r w:rsidRPr="00DD3E43">
        <w:rPr>
          <w:spacing w:val="-6"/>
        </w:rPr>
        <w:t xml:space="preserve"> </w:t>
      </w:r>
      <w:r w:rsidRPr="00DD3E43">
        <w:t>Institutionalized Individuals</w:t>
      </w:r>
    </w:p>
    <w:p w14:paraId="2CB7158C" w14:textId="24032548" w:rsidR="00F41B7B" w:rsidRDefault="00F41B7B" w:rsidP="00F41B7B">
      <w:pPr>
        <w:pStyle w:val="BodyText"/>
        <w:rPr>
          <w:rFonts w:eastAsiaTheme="minorEastAsia"/>
        </w:rPr>
      </w:pPr>
      <w:r>
        <w:t xml:space="preserve">Individuals who have been incarcerated </w:t>
      </w:r>
      <w:r w:rsidR="00C85C1F">
        <w:t>or have some other criminal history are distinctly challenged in regard to benefitting from AEL services and</w:t>
      </w:r>
      <w:r w:rsidR="00C85C1F">
        <w:rPr>
          <w:rFonts w:eastAsiaTheme="minorEastAsia"/>
        </w:rPr>
        <w:t xml:space="preserve"> finding </w:t>
      </w:r>
      <w:r>
        <w:rPr>
          <w:rFonts w:eastAsiaTheme="minorEastAsia"/>
        </w:rPr>
        <w:t>employment.</w:t>
      </w:r>
      <w:r w:rsidR="00790CFA">
        <w:rPr>
          <w:rFonts w:eastAsiaTheme="minorEastAsia"/>
        </w:rPr>
        <w:t xml:space="preserve"> </w:t>
      </w:r>
      <w:r>
        <w:rPr>
          <w:rFonts w:eastAsiaTheme="minorEastAsia"/>
        </w:rPr>
        <w:t xml:space="preserve">In </w:t>
      </w:r>
      <w:r w:rsidR="00C85C1F">
        <w:t>PY’17–’18</w:t>
      </w:r>
      <w:r>
        <w:rPr>
          <w:rFonts w:eastAsiaTheme="minorEastAsia"/>
        </w:rPr>
        <w:t xml:space="preserve">, TWC began working with grant recipients to implement </w:t>
      </w:r>
      <w:r w:rsidR="008D11A5">
        <w:rPr>
          <w:rFonts w:eastAsiaTheme="minorEastAsia"/>
        </w:rPr>
        <w:t xml:space="preserve">reentry </w:t>
      </w:r>
      <w:r>
        <w:rPr>
          <w:rFonts w:eastAsiaTheme="minorEastAsia"/>
        </w:rPr>
        <w:t>models for participants.</w:t>
      </w:r>
      <w:r w:rsidR="00790CFA">
        <w:rPr>
          <w:rFonts w:eastAsiaTheme="minorEastAsia"/>
        </w:rPr>
        <w:t xml:space="preserve"> </w:t>
      </w:r>
      <w:r>
        <w:rPr>
          <w:rFonts w:eastAsiaTheme="minorEastAsia"/>
        </w:rPr>
        <w:t xml:space="preserve">A total of 456 individuals have been served </w:t>
      </w:r>
      <w:r w:rsidR="008D11A5">
        <w:rPr>
          <w:rFonts w:eastAsiaTheme="minorEastAsia"/>
        </w:rPr>
        <w:t xml:space="preserve">using </w:t>
      </w:r>
      <w:r w:rsidR="00470D25">
        <w:rPr>
          <w:rFonts w:eastAsiaTheme="minorEastAsia"/>
        </w:rPr>
        <w:t xml:space="preserve">the reentry </w:t>
      </w:r>
      <w:r>
        <w:rPr>
          <w:rFonts w:eastAsiaTheme="minorEastAsia"/>
        </w:rPr>
        <w:t>models.</w:t>
      </w:r>
      <w:r w:rsidR="00790CFA">
        <w:rPr>
          <w:rFonts w:eastAsiaTheme="minorEastAsia"/>
        </w:rPr>
        <w:t xml:space="preserve"> </w:t>
      </w:r>
      <w:r w:rsidR="009B56BC">
        <w:rPr>
          <w:rFonts w:eastAsiaTheme="minorEastAsia"/>
        </w:rPr>
        <w:t>Additionally</w:t>
      </w:r>
      <w:r>
        <w:rPr>
          <w:rFonts w:eastAsiaTheme="minorEastAsia"/>
        </w:rPr>
        <w:t xml:space="preserve">, 50 participants were served in IET models </w:t>
      </w:r>
      <w:r w:rsidR="00470D25">
        <w:rPr>
          <w:rFonts w:eastAsiaTheme="minorEastAsia"/>
        </w:rPr>
        <w:t xml:space="preserve">designed for </w:t>
      </w:r>
      <w:r>
        <w:rPr>
          <w:rFonts w:eastAsiaTheme="minorEastAsia"/>
        </w:rPr>
        <w:t>individuals</w:t>
      </w:r>
      <w:r w:rsidR="00470D25">
        <w:rPr>
          <w:rFonts w:eastAsiaTheme="minorEastAsia"/>
        </w:rPr>
        <w:t xml:space="preserve"> with </w:t>
      </w:r>
      <w:r w:rsidR="00470D25">
        <w:t>criminal histories</w:t>
      </w:r>
      <w:r>
        <w:rPr>
          <w:rFonts w:eastAsiaTheme="minorEastAsia"/>
        </w:rPr>
        <w:t>.</w:t>
      </w:r>
      <w:r w:rsidR="00790CFA">
        <w:rPr>
          <w:rFonts w:eastAsiaTheme="minorEastAsia"/>
        </w:rPr>
        <w:t xml:space="preserve"> </w:t>
      </w:r>
      <w:r>
        <w:rPr>
          <w:rFonts w:eastAsiaTheme="minorEastAsia"/>
        </w:rPr>
        <w:t xml:space="preserve">The models support training individuals who are nearing release </w:t>
      </w:r>
      <w:r w:rsidR="00F77DC6">
        <w:rPr>
          <w:rFonts w:eastAsiaTheme="minorEastAsia"/>
        </w:rPr>
        <w:t xml:space="preserve">to find employment in fitting </w:t>
      </w:r>
      <w:r>
        <w:rPr>
          <w:rFonts w:eastAsiaTheme="minorEastAsia"/>
        </w:rPr>
        <w:t>occupations.</w:t>
      </w:r>
      <w:r w:rsidR="00790CFA">
        <w:rPr>
          <w:rFonts w:eastAsiaTheme="minorEastAsia"/>
        </w:rPr>
        <w:t xml:space="preserve"> </w:t>
      </w:r>
    </w:p>
    <w:p w14:paraId="06C279AC" w14:textId="77777777" w:rsidR="00F41B7B" w:rsidRDefault="00F41B7B" w:rsidP="00F41B7B">
      <w:pPr>
        <w:pStyle w:val="BodyText"/>
      </w:pPr>
    </w:p>
    <w:p w14:paraId="6DC27ED8" w14:textId="77777777" w:rsidR="00F41B7B" w:rsidRPr="00DD3E43" w:rsidRDefault="00F41B7B" w:rsidP="00F41B7B">
      <w:pPr>
        <w:pStyle w:val="BodyText"/>
      </w:pPr>
      <w:r w:rsidRPr="00DD3E43">
        <w:t xml:space="preserve">In the cohort data </w:t>
      </w:r>
      <w:r>
        <w:t xml:space="preserve">from 2012 and 2013, </w:t>
      </w:r>
      <w:r>
        <w:rPr>
          <w:rFonts w:eastAsiaTheme="minorEastAsia"/>
        </w:rPr>
        <w:t xml:space="preserve">the most recent years of data available, </w:t>
      </w:r>
      <w:r w:rsidRPr="00DD3E43">
        <w:t>the rate of recidivism for Texas was 21.31</w:t>
      </w:r>
      <w:r>
        <w:t xml:space="preserve"> percent</w:t>
      </w:r>
      <w:r w:rsidRPr="00DD3E43">
        <w:t xml:space="preserve"> (n=10,180) for the 2012 cohort and 21.04</w:t>
      </w:r>
      <w:r>
        <w:t xml:space="preserve"> percent</w:t>
      </w:r>
      <w:r w:rsidRPr="00DD3E43">
        <w:t xml:space="preserve"> (n=8,949) for the 2013 cohort. </w:t>
      </w:r>
    </w:p>
    <w:p w14:paraId="5989099F" w14:textId="77777777" w:rsidR="00F41B7B" w:rsidRPr="00DD3E43" w:rsidRDefault="00F41B7B" w:rsidP="00F41B7B">
      <w:pPr>
        <w:pStyle w:val="BodyText"/>
      </w:pPr>
    </w:p>
    <w:p w14:paraId="62C36188" w14:textId="395E85AC" w:rsidR="00714A8A" w:rsidRDefault="00F41B7B" w:rsidP="00F41B7B">
      <w:pPr>
        <w:pStyle w:val="BodyText"/>
      </w:pPr>
      <w:r>
        <w:t>In PY’17</w:t>
      </w:r>
      <w:r w:rsidR="008D11A5">
        <w:t>–’</w:t>
      </w:r>
      <w:r>
        <w:t xml:space="preserve">18, </w:t>
      </w:r>
      <w:r w:rsidRPr="00DD3E43">
        <w:t>TWC served 2,</w:t>
      </w:r>
      <w:r>
        <w:t>101</w:t>
      </w:r>
      <w:r w:rsidRPr="00DD3E43">
        <w:t xml:space="preserve"> participants </w:t>
      </w:r>
      <w:r>
        <w:t xml:space="preserve">who </w:t>
      </w:r>
      <w:r w:rsidR="00DB5DCE">
        <w:t>had been incarcerated or had other criminal histories</w:t>
      </w:r>
      <w:r>
        <w:t>.</w:t>
      </w:r>
      <w:r w:rsidRPr="00DD3E43">
        <w:t xml:space="preserve"> TWC will continue to follow these participants as well as participants reported in </w:t>
      </w:r>
      <w:r>
        <w:t>PY’16</w:t>
      </w:r>
      <w:r w:rsidR="00DB5DCE">
        <w:t>–’17</w:t>
      </w:r>
      <w:r w:rsidRPr="00DD3E43">
        <w:t xml:space="preserve"> (2,</w:t>
      </w:r>
      <w:r>
        <w:t>02</w:t>
      </w:r>
      <w:r w:rsidRPr="00DD3E43">
        <w:t>9 participants) to determine the</w:t>
      </w:r>
      <w:r w:rsidR="001A5BC6">
        <w:t xml:space="preserve"> recidivism </w:t>
      </w:r>
      <w:r w:rsidR="00955E81">
        <w:t xml:space="preserve">rate </w:t>
      </w:r>
      <w:r w:rsidR="001A5BC6">
        <w:t>of AEL participants</w:t>
      </w:r>
      <w:r w:rsidR="009B346A">
        <w:t>.</w:t>
      </w:r>
    </w:p>
    <w:sectPr w:rsidR="00714A8A" w:rsidSect="008D5881">
      <w:footerReference w:type="default" r:id="rId12"/>
      <w:pgSz w:w="12240" w:h="15840"/>
      <w:pgMar w:top="1440" w:right="1440" w:bottom="1080" w:left="1440" w:header="0" w:footer="116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EB0AD" w14:textId="77777777" w:rsidR="00214A59" w:rsidRDefault="00214A59">
      <w:r>
        <w:separator/>
      </w:r>
    </w:p>
  </w:endnote>
  <w:endnote w:type="continuationSeparator" w:id="0">
    <w:p w14:paraId="76F70D39" w14:textId="77777777" w:rsidR="00214A59" w:rsidRDefault="0021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9621327"/>
      <w:docPartObj>
        <w:docPartGallery w:val="Page Numbers (Bottom of Page)"/>
        <w:docPartUnique/>
      </w:docPartObj>
    </w:sdtPr>
    <w:sdtEndPr>
      <w:rPr>
        <w:noProof/>
      </w:rPr>
    </w:sdtEndPr>
    <w:sdtContent>
      <w:p w14:paraId="19A3C123" w14:textId="285C7D43" w:rsidR="00513B42" w:rsidRDefault="003E6FAE" w:rsidP="008D5881">
        <w:pPr>
          <w:pStyle w:val="Footer"/>
          <w:tabs>
            <w:tab w:val="clear" w:pos="4680"/>
            <w:tab w:val="clear" w:pos="9360"/>
            <w:tab w:val="center" w:pos="9000"/>
          </w:tabs>
        </w:pPr>
        <w:r>
          <w:fldChar w:fldCharType="begin"/>
        </w:r>
        <w:r>
          <w:instrText xml:space="preserve"> FILENAME   \* MERGEFORMAT </w:instrText>
        </w:r>
        <w:r>
          <w:fldChar w:fldCharType="separate"/>
        </w:r>
        <w:r>
          <w:rPr>
            <w:noProof/>
          </w:rPr>
          <w:t>Texas AEL End-of-Year Report to OCTAE  PY 17-18 (12.18.18)</w:t>
        </w:r>
        <w:r>
          <w:rPr>
            <w:noProof/>
          </w:rPr>
          <w:fldChar w:fldCharType="end"/>
        </w:r>
        <w:r w:rsidR="008D5881">
          <w:tab/>
        </w:r>
        <w:r w:rsidR="00513B42" w:rsidRPr="00A16699">
          <w:rPr>
            <w:rFonts w:ascii="Times New Roman" w:hAnsi="Times New Roman" w:cs="Times New Roman"/>
            <w:sz w:val="24"/>
            <w:szCs w:val="24"/>
          </w:rPr>
          <w:fldChar w:fldCharType="begin"/>
        </w:r>
        <w:r w:rsidR="00513B42" w:rsidRPr="00A16699">
          <w:rPr>
            <w:rFonts w:ascii="Times New Roman" w:hAnsi="Times New Roman" w:cs="Times New Roman"/>
            <w:sz w:val="24"/>
            <w:szCs w:val="24"/>
          </w:rPr>
          <w:instrText xml:space="preserve"> PAGE   \* MERGEFORMAT </w:instrText>
        </w:r>
        <w:r w:rsidR="00513B42" w:rsidRPr="00A16699">
          <w:rPr>
            <w:rFonts w:ascii="Times New Roman" w:hAnsi="Times New Roman" w:cs="Times New Roman"/>
            <w:sz w:val="24"/>
            <w:szCs w:val="24"/>
          </w:rPr>
          <w:fldChar w:fldCharType="separate"/>
        </w:r>
        <w:r>
          <w:rPr>
            <w:rFonts w:ascii="Times New Roman" w:hAnsi="Times New Roman" w:cs="Times New Roman"/>
            <w:noProof/>
            <w:sz w:val="24"/>
            <w:szCs w:val="24"/>
          </w:rPr>
          <w:t>3</w:t>
        </w:r>
        <w:r w:rsidR="00513B42" w:rsidRPr="00A16699">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491E1" w14:textId="77777777" w:rsidR="00214A59" w:rsidRDefault="00214A59">
      <w:r>
        <w:separator/>
      </w:r>
    </w:p>
  </w:footnote>
  <w:footnote w:type="continuationSeparator" w:id="0">
    <w:p w14:paraId="50F703B7" w14:textId="77777777" w:rsidR="00214A59" w:rsidRDefault="0021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1035"/>
    <w:multiLevelType w:val="hybridMultilevel"/>
    <w:tmpl w:val="F236C338"/>
    <w:lvl w:ilvl="0" w:tplc="CE5C3766">
      <w:start w:val="1"/>
      <w:numFmt w:val="bullet"/>
      <w:lvlText w:val="–"/>
      <w:lvlJc w:val="left"/>
      <w:pPr>
        <w:ind w:left="840" w:hanging="179"/>
      </w:pPr>
      <w:rPr>
        <w:rFonts w:ascii="Times New Roman" w:eastAsia="Times New Roman" w:hAnsi="Times New Roman" w:hint="default"/>
        <w:b/>
        <w:bCs/>
        <w:w w:val="100"/>
        <w:sz w:val="24"/>
        <w:szCs w:val="24"/>
      </w:rPr>
    </w:lvl>
    <w:lvl w:ilvl="1" w:tplc="D24895E6">
      <w:start w:val="1"/>
      <w:numFmt w:val="bullet"/>
      <w:lvlText w:val=""/>
      <w:lvlJc w:val="left"/>
      <w:pPr>
        <w:ind w:left="2059" w:hanging="360"/>
      </w:pPr>
      <w:rPr>
        <w:rFonts w:ascii="Symbol" w:eastAsia="Symbol" w:hAnsi="Symbol" w:hint="default"/>
        <w:b/>
        <w:bCs/>
        <w:w w:val="100"/>
        <w:sz w:val="24"/>
        <w:szCs w:val="24"/>
      </w:rPr>
    </w:lvl>
    <w:lvl w:ilvl="2" w:tplc="3CACE948">
      <w:start w:val="1"/>
      <w:numFmt w:val="bullet"/>
      <w:lvlText w:val="•"/>
      <w:lvlJc w:val="left"/>
      <w:pPr>
        <w:ind w:left="2975" w:hanging="360"/>
      </w:pPr>
      <w:rPr>
        <w:rFonts w:hint="default"/>
      </w:rPr>
    </w:lvl>
    <w:lvl w:ilvl="3" w:tplc="37E01AA4">
      <w:start w:val="1"/>
      <w:numFmt w:val="bullet"/>
      <w:lvlText w:val="•"/>
      <w:lvlJc w:val="left"/>
      <w:pPr>
        <w:ind w:left="3891" w:hanging="360"/>
      </w:pPr>
      <w:rPr>
        <w:rFonts w:hint="default"/>
      </w:rPr>
    </w:lvl>
    <w:lvl w:ilvl="4" w:tplc="4554F3C0">
      <w:start w:val="1"/>
      <w:numFmt w:val="bullet"/>
      <w:lvlText w:val="•"/>
      <w:lvlJc w:val="left"/>
      <w:pPr>
        <w:ind w:left="4806" w:hanging="360"/>
      </w:pPr>
      <w:rPr>
        <w:rFonts w:hint="default"/>
      </w:rPr>
    </w:lvl>
    <w:lvl w:ilvl="5" w:tplc="D382ADC8">
      <w:start w:val="1"/>
      <w:numFmt w:val="bullet"/>
      <w:lvlText w:val="•"/>
      <w:lvlJc w:val="left"/>
      <w:pPr>
        <w:ind w:left="5722" w:hanging="360"/>
      </w:pPr>
      <w:rPr>
        <w:rFonts w:hint="default"/>
      </w:rPr>
    </w:lvl>
    <w:lvl w:ilvl="6" w:tplc="6A7A235A">
      <w:start w:val="1"/>
      <w:numFmt w:val="bullet"/>
      <w:lvlText w:val="•"/>
      <w:lvlJc w:val="left"/>
      <w:pPr>
        <w:ind w:left="6637" w:hanging="360"/>
      </w:pPr>
      <w:rPr>
        <w:rFonts w:hint="default"/>
      </w:rPr>
    </w:lvl>
    <w:lvl w:ilvl="7" w:tplc="A544AC30">
      <w:start w:val="1"/>
      <w:numFmt w:val="bullet"/>
      <w:lvlText w:val="•"/>
      <w:lvlJc w:val="left"/>
      <w:pPr>
        <w:ind w:left="7553" w:hanging="360"/>
      </w:pPr>
      <w:rPr>
        <w:rFonts w:hint="default"/>
      </w:rPr>
    </w:lvl>
    <w:lvl w:ilvl="8" w:tplc="21EEEF80">
      <w:start w:val="1"/>
      <w:numFmt w:val="bullet"/>
      <w:lvlText w:val="•"/>
      <w:lvlJc w:val="left"/>
      <w:pPr>
        <w:ind w:left="8468" w:hanging="360"/>
      </w:pPr>
      <w:rPr>
        <w:rFonts w:hint="default"/>
      </w:rPr>
    </w:lvl>
  </w:abstractNum>
  <w:abstractNum w:abstractNumId="1" w15:restartNumberingAfterBreak="0">
    <w:nsid w:val="4C9F34AB"/>
    <w:multiLevelType w:val="hybridMultilevel"/>
    <w:tmpl w:val="A022D1A4"/>
    <w:lvl w:ilvl="0" w:tplc="0156ABCC">
      <w:start w:val="1"/>
      <w:numFmt w:val="bullet"/>
      <w:lvlText w:val=""/>
      <w:lvlJc w:val="left"/>
      <w:pPr>
        <w:ind w:left="820" w:hanging="360"/>
      </w:pPr>
      <w:rPr>
        <w:rFonts w:ascii="Symbol" w:eastAsia="Symbol" w:hAnsi="Symbol" w:hint="default"/>
        <w:w w:val="100"/>
        <w:sz w:val="24"/>
        <w:szCs w:val="24"/>
      </w:rPr>
    </w:lvl>
    <w:lvl w:ilvl="1" w:tplc="54769A76">
      <w:start w:val="1"/>
      <w:numFmt w:val="bullet"/>
      <w:lvlText w:val="•"/>
      <w:lvlJc w:val="left"/>
      <w:pPr>
        <w:ind w:left="1700" w:hanging="360"/>
      </w:pPr>
      <w:rPr>
        <w:rFonts w:hint="default"/>
      </w:rPr>
    </w:lvl>
    <w:lvl w:ilvl="2" w:tplc="51C4527A">
      <w:start w:val="1"/>
      <w:numFmt w:val="bullet"/>
      <w:lvlText w:val="•"/>
      <w:lvlJc w:val="left"/>
      <w:pPr>
        <w:ind w:left="2580" w:hanging="360"/>
      </w:pPr>
      <w:rPr>
        <w:rFonts w:hint="default"/>
      </w:rPr>
    </w:lvl>
    <w:lvl w:ilvl="3" w:tplc="9DF40198">
      <w:start w:val="1"/>
      <w:numFmt w:val="bullet"/>
      <w:lvlText w:val="•"/>
      <w:lvlJc w:val="left"/>
      <w:pPr>
        <w:ind w:left="3460" w:hanging="360"/>
      </w:pPr>
      <w:rPr>
        <w:rFonts w:hint="default"/>
      </w:rPr>
    </w:lvl>
    <w:lvl w:ilvl="4" w:tplc="841A5A18">
      <w:start w:val="1"/>
      <w:numFmt w:val="bullet"/>
      <w:lvlText w:val="•"/>
      <w:lvlJc w:val="left"/>
      <w:pPr>
        <w:ind w:left="4340" w:hanging="360"/>
      </w:pPr>
      <w:rPr>
        <w:rFonts w:hint="default"/>
      </w:rPr>
    </w:lvl>
    <w:lvl w:ilvl="5" w:tplc="E58840EE">
      <w:start w:val="1"/>
      <w:numFmt w:val="bullet"/>
      <w:lvlText w:val="•"/>
      <w:lvlJc w:val="left"/>
      <w:pPr>
        <w:ind w:left="5220" w:hanging="360"/>
      </w:pPr>
      <w:rPr>
        <w:rFonts w:hint="default"/>
      </w:rPr>
    </w:lvl>
    <w:lvl w:ilvl="6" w:tplc="580C2A44">
      <w:start w:val="1"/>
      <w:numFmt w:val="bullet"/>
      <w:lvlText w:val="•"/>
      <w:lvlJc w:val="left"/>
      <w:pPr>
        <w:ind w:left="6100" w:hanging="360"/>
      </w:pPr>
      <w:rPr>
        <w:rFonts w:hint="default"/>
      </w:rPr>
    </w:lvl>
    <w:lvl w:ilvl="7" w:tplc="E3C49616">
      <w:start w:val="1"/>
      <w:numFmt w:val="bullet"/>
      <w:lvlText w:val="•"/>
      <w:lvlJc w:val="left"/>
      <w:pPr>
        <w:ind w:left="6980" w:hanging="360"/>
      </w:pPr>
      <w:rPr>
        <w:rFonts w:hint="default"/>
      </w:rPr>
    </w:lvl>
    <w:lvl w:ilvl="8" w:tplc="6D8AD360">
      <w:start w:val="1"/>
      <w:numFmt w:val="bullet"/>
      <w:lvlText w:val="•"/>
      <w:lvlJc w:val="left"/>
      <w:pPr>
        <w:ind w:left="7860" w:hanging="360"/>
      </w:pPr>
      <w:rPr>
        <w:rFonts w:hint="default"/>
      </w:rPr>
    </w:lvl>
  </w:abstractNum>
  <w:abstractNum w:abstractNumId="2" w15:restartNumberingAfterBreak="0">
    <w:nsid w:val="56B4055C"/>
    <w:multiLevelType w:val="hybridMultilevel"/>
    <w:tmpl w:val="B106EABA"/>
    <w:lvl w:ilvl="0" w:tplc="6FBAD16E">
      <w:start w:val="1"/>
      <w:numFmt w:val="bullet"/>
      <w:lvlText w:val=""/>
      <w:lvlJc w:val="left"/>
      <w:pPr>
        <w:ind w:left="6679" w:hanging="5480"/>
      </w:pPr>
      <w:rPr>
        <w:rFonts w:ascii="Symbol" w:eastAsia="Symbol" w:hAnsi="Symbol" w:hint="default"/>
        <w:w w:val="100"/>
        <w:position w:val="16"/>
        <w:sz w:val="24"/>
        <w:szCs w:val="24"/>
      </w:rPr>
    </w:lvl>
    <w:lvl w:ilvl="1" w:tplc="E7043710">
      <w:start w:val="1"/>
      <w:numFmt w:val="bullet"/>
      <w:lvlText w:val="•"/>
      <w:lvlJc w:val="left"/>
      <w:pPr>
        <w:ind w:left="7044" w:hanging="5480"/>
      </w:pPr>
      <w:rPr>
        <w:rFonts w:hint="default"/>
      </w:rPr>
    </w:lvl>
    <w:lvl w:ilvl="2" w:tplc="BED0A35C">
      <w:start w:val="1"/>
      <w:numFmt w:val="bullet"/>
      <w:lvlText w:val="•"/>
      <w:lvlJc w:val="left"/>
      <w:pPr>
        <w:ind w:left="7408" w:hanging="5480"/>
      </w:pPr>
      <w:rPr>
        <w:rFonts w:hint="default"/>
      </w:rPr>
    </w:lvl>
    <w:lvl w:ilvl="3" w:tplc="9EFE10AE">
      <w:start w:val="1"/>
      <w:numFmt w:val="bullet"/>
      <w:lvlText w:val="•"/>
      <w:lvlJc w:val="left"/>
      <w:pPr>
        <w:ind w:left="7772" w:hanging="5480"/>
      </w:pPr>
      <w:rPr>
        <w:rFonts w:hint="default"/>
      </w:rPr>
    </w:lvl>
    <w:lvl w:ilvl="4" w:tplc="5A4A5CC0">
      <w:start w:val="1"/>
      <w:numFmt w:val="bullet"/>
      <w:lvlText w:val="•"/>
      <w:lvlJc w:val="left"/>
      <w:pPr>
        <w:ind w:left="8136" w:hanging="5480"/>
      </w:pPr>
      <w:rPr>
        <w:rFonts w:hint="default"/>
      </w:rPr>
    </w:lvl>
    <w:lvl w:ilvl="5" w:tplc="99C0DB3A">
      <w:start w:val="1"/>
      <w:numFmt w:val="bullet"/>
      <w:lvlText w:val="•"/>
      <w:lvlJc w:val="left"/>
      <w:pPr>
        <w:ind w:left="8500" w:hanging="5480"/>
      </w:pPr>
      <w:rPr>
        <w:rFonts w:hint="default"/>
      </w:rPr>
    </w:lvl>
    <w:lvl w:ilvl="6" w:tplc="C3785738">
      <w:start w:val="1"/>
      <w:numFmt w:val="bullet"/>
      <w:lvlText w:val="•"/>
      <w:lvlJc w:val="left"/>
      <w:pPr>
        <w:ind w:left="8864" w:hanging="5480"/>
      </w:pPr>
      <w:rPr>
        <w:rFonts w:hint="default"/>
      </w:rPr>
    </w:lvl>
    <w:lvl w:ilvl="7" w:tplc="6366B75E">
      <w:start w:val="1"/>
      <w:numFmt w:val="bullet"/>
      <w:lvlText w:val="•"/>
      <w:lvlJc w:val="left"/>
      <w:pPr>
        <w:ind w:left="9228" w:hanging="5480"/>
      </w:pPr>
      <w:rPr>
        <w:rFonts w:hint="default"/>
      </w:rPr>
    </w:lvl>
    <w:lvl w:ilvl="8" w:tplc="4AECB0BE">
      <w:start w:val="1"/>
      <w:numFmt w:val="bullet"/>
      <w:lvlText w:val="•"/>
      <w:lvlJc w:val="left"/>
      <w:pPr>
        <w:ind w:left="9592" w:hanging="5480"/>
      </w:pPr>
      <w:rPr>
        <w:rFonts w:hint="default"/>
      </w:rPr>
    </w:lvl>
  </w:abstractNum>
  <w:abstractNum w:abstractNumId="3" w15:restartNumberingAfterBreak="0">
    <w:nsid w:val="612D4BCD"/>
    <w:multiLevelType w:val="hybridMultilevel"/>
    <w:tmpl w:val="907087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7338F8"/>
    <w:multiLevelType w:val="hybridMultilevel"/>
    <w:tmpl w:val="841CADE0"/>
    <w:lvl w:ilvl="0" w:tplc="E17AC204">
      <w:start w:val="1"/>
      <w:numFmt w:val="lowerLetter"/>
      <w:lvlText w:val="(%1)"/>
      <w:lvlJc w:val="left"/>
      <w:pPr>
        <w:ind w:left="1180" w:hanging="360"/>
        <w:jc w:val="right"/>
      </w:pPr>
      <w:rPr>
        <w:rFonts w:ascii="Times New Roman" w:eastAsia="Times New Roman" w:hAnsi="Times New Roman" w:hint="default"/>
        <w:w w:val="100"/>
        <w:sz w:val="24"/>
        <w:szCs w:val="24"/>
      </w:rPr>
    </w:lvl>
    <w:lvl w:ilvl="1" w:tplc="9A6A41F6">
      <w:start w:val="1"/>
      <w:numFmt w:val="bullet"/>
      <w:lvlText w:val="•"/>
      <w:lvlJc w:val="left"/>
      <w:pPr>
        <w:ind w:left="2092" w:hanging="360"/>
      </w:pPr>
      <w:rPr>
        <w:rFonts w:hint="default"/>
      </w:rPr>
    </w:lvl>
    <w:lvl w:ilvl="2" w:tplc="EF123A6E">
      <w:start w:val="1"/>
      <w:numFmt w:val="bullet"/>
      <w:lvlText w:val="•"/>
      <w:lvlJc w:val="left"/>
      <w:pPr>
        <w:ind w:left="3004" w:hanging="360"/>
      </w:pPr>
      <w:rPr>
        <w:rFonts w:hint="default"/>
      </w:rPr>
    </w:lvl>
    <w:lvl w:ilvl="3" w:tplc="F2DEC52C">
      <w:start w:val="1"/>
      <w:numFmt w:val="bullet"/>
      <w:lvlText w:val="•"/>
      <w:lvlJc w:val="left"/>
      <w:pPr>
        <w:ind w:left="3916" w:hanging="360"/>
      </w:pPr>
      <w:rPr>
        <w:rFonts w:hint="default"/>
      </w:rPr>
    </w:lvl>
    <w:lvl w:ilvl="4" w:tplc="AC3E5DF0">
      <w:start w:val="1"/>
      <w:numFmt w:val="bullet"/>
      <w:lvlText w:val="•"/>
      <w:lvlJc w:val="left"/>
      <w:pPr>
        <w:ind w:left="4828" w:hanging="360"/>
      </w:pPr>
      <w:rPr>
        <w:rFonts w:hint="default"/>
      </w:rPr>
    </w:lvl>
    <w:lvl w:ilvl="5" w:tplc="428A2CDC">
      <w:start w:val="1"/>
      <w:numFmt w:val="bullet"/>
      <w:lvlText w:val="•"/>
      <w:lvlJc w:val="left"/>
      <w:pPr>
        <w:ind w:left="5740" w:hanging="360"/>
      </w:pPr>
      <w:rPr>
        <w:rFonts w:hint="default"/>
      </w:rPr>
    </w:lvl>
    <w:lvl w:ilvl="6" w:tplc="472A6C3A">
      <w:start w:val="1"/>
      <w:numFmt w:val="bullet"/>
      <w:lvlText w:val="•"/>
      <w:lvlJc w:val="left"/>
      <w:pPr>
        <w:ind w:left="6652" w:hanging="360"/>
      </w:pPr>
      <w:rPr>
        <w:rFonts w:hint="default"/>
      </w:rPr>
    </w:lvl>
    <w:lvl w:ilvl="7" w:tplc="6AC6C728">
      <w:start w:val="1"/>
      <w:numFmt w:val="bullet"/>
      <w:lvlText w:val="•"/>
      <w:lvlJc w:val="left"/>
      <w:pPr>
        <w:ind w:left="7564" w:hanging="360"/>
      </w:pPr>
      <w:rPr>
        <w:rFonts w:hint="default"/>
      </w:rPr>
    </w:lvl>
    <w:lvl w:ilvl="8" w:tplc="E9F27898">
      <w:start w:val="1"/>
      <w:numFmt w:val="bullet"/>
      <w:lvlText w:val="•"/>
      <w:lvlJc w:val="left"/>
      <w:pPr>
        <w:ind w:left="8476" w:hanging="360"/>
      </w:pPr>
      <w:rPr>
        <w:rFonts w:hint="default"/>
      </w:rPr>
    </w:lvl>
  </w:abstractNum>
  <w:abstractNum w:abstractNumId="5" w15:restartNumberingAfterBreak="0">
    <w:nsid w:val="678F211B"/>
    <w:multiLevelType w:val="hybridMultilevel"/>
    <w:tmpl w:val="7B20FE78"/>
    <w:lvl w:ilvl="0" w:tplc="EFBA7B10">
      <w:start w:val="1"/>
      <w:numFmt w:val="decimal"/>
      <w:lvlText w:val="%1."/>
      <w:lvlJc w:val="left"/>
      <w:pPr>
        <w:ind w:left="460" w:hanging="360"/>
        <w:jc w:val="right"/>
      </w:pPr>
      <w:rPr>
        <w:rFonts w:ascii="Times New Roman" w:eastAsia="Times New Roman" w:hAnsi="Times New Roman" w:hint="default"/>
        <w:b/>
        <w:bCs/>
        <w:w w:val="100"/>
        <w:sz w:val="24"/>
        <w:szCs w:val="24"/>
      </w:rPr>
    </w:lvl>
    <w:lvl w:ilvl="1" w:tplc="7B1670B4">
      <w:start w:val="1"/>
      <w:numFmt w:val="bullet"/>
      <w:lvlText w:val=""/>
      <w:lvlJc w:val="left"/>
      <w:pPr>
        <w:ind w:left="1900" w:hanging="360"/>
      </w:pPr>
      <w:rPr>
        <w:rFonts w:ascii="Symbol" w:eastAsia="Symbol" w:hAnsi="Symbol" w:hint="default"/>
        <w:w w:val="100"/>
        <w:sz w:val="24"/>
        <w:szCs w:val="24"/>
      </w:rPr>
    </w:lvl>
    <w:lvl w:ilvl="2" w:tplc="3B2686A0">
      <w:start w:val="1"/>
      <w:numFmt w:val="bullet"/>
      <w:lvlText w:val="•"/>
      <w:lvlJc w:val="left"/>
      <w:pPr>
        <w:ind w:left="2833" w:hanging="360"/>
      </w:pPr>
      <w:rPr>
        <w:rFonts w:hint="default"/>
      </w:rPr>
    </w:lvl>
    <w:lvl w:ilvl="3" w:tplc="4A922CA2">
      <w:start w:val="1"/>
      <w:numFmt w:val="bullet"/>
      <w:lvlText w:val="•"/>
      <w:lvlJc w:val="left"/>
      <w:pPr>
        <w:ind w:left="3766" w:hanging="360"/>
      </w:pPr>
      <w:rPr>
        <w:rFonts w:hint="default"/>
      </w:rPr>
    </w:lvl>
    <w:lvl w:ilvl="4" w:tplc="93EADBD8">
      <w:start w:val="1"/>
      <w:numFmt w:val="bullet"/>
      <w:lvlText w:val="•"/>
      <w:lvlJc w:val="left"/>
      <w:pPr>
        <w:ind w:left="4700" w:hanging="360"/>
      </w:pPr>
      <w:rPr>
        <w:rFonts w:hint="default"/>
      </w:rPr>
    </w:lvl>
    <w:lvl w:ilvl="5" w:tplc="6A78D3A2">
      <w:start w:val="1"/>
      <w:numFmt w:val="bullet"/>
      <w:lvlText w:val="•"/>
      <w:lvlJc w:val="left"/>
      <w:pPr>
        <w:ind w:left="5633" w:hanging="360"/>
      </w:pPr>
      <w:rPr>
        <w:rFonts w:hint="default"/>
      </w:rPr>
    </w:lvl>
    <w:lvl w:ilvl="6" w:tplc="6FAEEC20">
      <w:start w:val="1"/>
      <w:numFmt w:val="bullet"/>
      <w:lvlText w:val="•"/>
      <w:lvlJc w:val="left"/>
      <w:pPr>
        <w:ind w:left="6566" w:hanging="360"/>
      </w:pPr>
      <w:rPr>
        <w:rFonts w:hint="default"/>
      </w:rPr>
    </w:lvl>
    <w:lvl w:ilvl="7" w:tplc="26D0415C">
      <w:start w:val="1"/>
      <w:numFmt w:val="bullet"/>
      <w:lvlText w:val="•"/>
      <w:lvlJc w:val="left"/>
      <w:pPr>
        <w:ind w:left="7500" w:hanging="360"/>
      </w:pPr>
      <w:rPr>
        <w:rFonts w:hint="default"/>
      </w:rPr>
    </w:lvl>
    <w:lvl w:ilvl="8" w:tplc="FAA07E3C">
      <w:start w:val="1"/>
      <w:numFmt w:val="bullet"/>
      <w:lvlText w:val="•"/>
      <w:lvlJc w:val="left"/>
      <w:pPr>
        <w:ind w:left="8433" w:hanging="360"/>
      </w:pPr>
      <w:rPr>
        <w:rFonts w:hint="default"/>
      </w:rPr>
    </w:lvl>
  </w:abstractNum>
  <w:abstractNum w:abstractNumId="6" w15:restartNumberingAfterBreak="0">
    <w:nsid w:val="766A22EE"/>
    <w:multiLevelType w:val="hybridMultilevel"/>
    <w:tmpl w:val="6DFE1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8A"/>
    <w:rsid w:val="0000117B"/>
    <w:rsid w:val="00002C97"/>
    <w:rsid w:val="0000549F"/>
    <w:rsid w:val="00011540"/>
    <w:rsid w:val="0001231F"/>
    <w:rsid w:val="00014EBB"/>
    <w:rsid w:val="00017DFE"/>
    <w:rsid w:val="00022C6F"/>
    <w:rsid w:val="00023EF0"/>
    <w:rsid w:val="00027E7D"/>
    <w:rsid w:val="0003284B"/>
    <w:rsid w:val="00036F61"/>
    <w:rsid w:val="000377AA"/>
    <w:rsid w:val="00041DC5"/>
    <w:rsid w:val="00045B7C"/>
    <w:rsid w:val="00050193"/>
    <w:rsid w:val="0005457A"/>
    <w:rsid w:val="00055E5A"/>
    <w:rsid w:val="00062E1B"/>
    <w:rsid w:val="000645C3"/>
    <w:rsid w:val="00065D62"/>
    <w:rsid w:val="00066843"/>
    <w:rsid w:val="00070C70"/>
    <w:rsid w:val="000742B5"/>
    <w:rsid w:val="0007538C"/>
    <w:rsid w:val="00080C07"/>
    <w:rsid w:val="00082346"/>
    <w:rsid w:val="00082807"/>
    <w:rsid w:val="000856CC"/>
    <w:rsid w:val="00086714"/>
    <w:rsid w:val="0008719A"/>
    <w:rsid w:val="00092077"/>
    <w:rsid w:val="0009398A"/>
    <w:rsid w:val="0009710B"/>
    <w:rsid w:val="000A0E6C"/>
    <w:rsid w:val="000A24F8"/>
    <w:rsid w:val="000B383F"/>
    <w:rsid w:val="000B4539"/>
    <w:rsid w:val="000C20B0"/>
    <w:rsid w:val="000C30BF"/>
    <w:rsid w:val="000C41B9"/>
    <w:rsid w:val="000D6AE7"/>
    <w:rsid w:val="000D79A1"/>
    <w:rsid w:val="000D7BFC"/>
    <w:rsid w:val="000F3A5B"/>
    <w:rsid w:val="000F6AEE"/>
    <w:rsid w:val="000F6D9A"/>
    <w:rsid w:val="000F76EB"/>
    <w:rsid w:val="00105EF9"/>
    <w:rsid w:val="00112C70"/>
    <w:rsid w:val="00112D49"/>
    <w:rsid w:val="001135F2"/>
    <w:rsid w:val="00125653"/>
    <w:rsid w:val="0012590C"/>
    <w:rsid w:val="00125B94"/>
    <w:rsid w:val="00131C96"/>
    <w:rsid w:val="00133559"/>
    <w:rsid w:val="00156C6D"/>
    <w:rsid w:val="00163E61"/>
    <w:rsid w:val="00165D2D"/>
    <w:rsid w:val="00166B34"/>
    <w:rsid w:val="00167305"/>
    <w:rsid w:val="001769C2"/>
    <w:rsid w:val="00183768"/>
    <w:rsid w:val="00195471"/>
    <w:rsid w:val="001965D5"/>
    <w:rsid w:val="00196974"/>
    <w:rsid w:val="001A5BC6"/>
    <w:rsid w:val="001B0E5D"/>
    <w:rsid w:val="001C62C9"/>
    <w:rsid w:val="001C73CE"/>
    <w:rsid w:val="001D115B"/>
    <w:rsid w:val="001D1A86"/>
    <w:rsid w:val="001D3761"/>
    <w:rsid w:val="001D6AB5"/>
    <w:rsid w:val="001E764A"/>
    <w:rsid w:val="001F01C5"/>
    <w:rsid w:val="001F052C"/>
    <w:rsid w:val="001F36F8"/>
    <w:rsid w:val="001F3BBC"/>
    <w:rsid w:val="001F3F93"/>
    <w:rsid w:val="002072B9"/>
    <w:rsid w:val="00214A59"/>
    <w:rsid w:val="002256C9"/>
    <w:rsid w:val="00226D5A"/>
    <w:rsid w:val="00233C6E"/>
    <w:rsid w:val="002413E3"/>
    <w:rsid w:val="002454B1"/>
    <w:rsid w:val="0025019C"/>
    <w:rsid w:val="00254405"/>
    <w:rsid w:val="002575F0"/>
    <w:rsid w:val="00260DE5"/>
    <w:rsid w:val="002610E4"/>
    <w:rsid w:val="002618E4"/>
    <w:rsid w:val="002641FC"/>
    <w:rsid w:val="00265EED"/>
    <w:rsid w:val="00272231"/>
    <w:rsid w:val="002756A5"/>
    <w:rsid w:val="002816B3"/>
    <w:rsid w:val="00284F35"/>
    <w:rsid w:val="0029797B"/>
    <w:rsid w:val="002A5F29"/>
    <w:rsid w:val="002B0091"/>
    <w:rsid w:val="002B6ABD"/>
    <w:rsid w:val="002D6CF2"/>
    <w:rsid w:val="002E20B6"/>
    <w:rsid w:val="002E2F6A"/>
    <w:rsid w:val="002E5F2C"/>
    <w:rsid w:val="002E6098"/>
    <w:rsid w:val="002F0FE1"/>
    <w:rsid w:val="002F3208"/>
    <w:rsid w:val="00303BA0"/>
    <w:rsid w:val="003044AC"/>
    <w:rsid w:val="00312A3B"/>
    <w:rsid w:val="003140E2"/>
    <w:rsid w:val="003151BF"/>
    <w:rsid w:val="00316EDF"/>
    <w:rsid w:val="0032641D"/>
    <w:rsid w:val="003336D1"/>
    <w:rsid w:val="003357DE"/>
    <w:rsid w:val="003367E6"/>
    <w:rsid w:val="00342D99"/>
    <w:rsid w:val="00344A0B"/>
    <w:rsid w:val="003560C2"/>
    <w:rsid w:val="003646A0"/>
    <w:rsid w:val="00374DA1"/>
    <w:rsid w:val="0037689D"/>
    <w:rsid w:val="00390DAB"/>
    <w:rsid w:val="00395B35"/>
    <w:rsid w:val="003A4C48"/>
    <w:rsid w:val="003A56EC"/>
    <w:rsid w:val="003A5C52"/>
    <w:rsid w:val="003A5F81"/>
    <w:rsid w:val="003A7B0C"/>
    <w:rsid w:val="003B16AF"/>
    <w:rsid w:val="003B194A"/>
    <w:rsid w:val="003C36E8"/>
    <w:rsid w:val="003C5733"/>
    <w:rsid w:val="003C5DFC"/>
    <w:rsid w:val="003C6C9E"/>
    <w:rsid w:val="003D514D"/>
    <w:rsid w:val="003D57BD"/>
    <w:rsid w:val="003E1222"/>
    <w:rsid w:val="003E3231"/>
    <w:rsid w:val="003E6FAE"/>
    <w:rsid w:val="003F3A6B"/>
    <w:rsid w:val="003F5F91"/>
    <w:rsid w:val="003F78A5"/>
    <w:rsid w:val="004009A9"/>
    <w:rsid w:val="00405E27"/>
    <w:rsid w:val="00406348"/>
    <w:rsid w:val="00421220"/>
    <w:rsid w:val="00423C55"/>
    <w:rsid w:val="00427389"/>
    <w:rsid w:val="00433B43"/>
    <w:rsid w:val="00433E2C"/>
    <w:rsid w:val="00433EAE"/>
    <w:rsid w:val="004350D9"/>
    <w:rsid w:val="004439FF"/>
    <w:rsid w:val="00447C5C"/>
    <w:rsid w:val="004534AB"/>
    <w:rsid w:val="0045463B"/>
    <w:rsid w:val="00456CD4"/>
    <w:rsid w:val="00457C3A"/>
    <w:rsid w:val="0046284B"/>
    <w:rsid w:val="004646C7"/>
    <w:rsid w:val="00464B7C"/>
    <w:rsid w:val="00467FBB"/>
    <w:rsid w:val="00470703"/>
    <w:rsid w:val="00470D25"/>
    <w:rsid w:val="00476CC0"/>
    <w:rsid w:val="00491199"/>
    <w:rsid w:val="004939C6"/>
    <w:rsid w:val="00495A60"/>
    <w:rsid w:val="0049721E"/>
    <w:rsid w:val="004A3E66"/>
    <w:rsid w:val="004A4871"/>
    <w:rsid w:val="004B1228"/>
    <w:rsid w:val="004B680F"/>
    <w:rsid w:val="004C5D33"/>
    <w:rsid w:val="004E0548"/>
    <w:rsid w:val="004E540F"/>
    <w:rsid w:val="004E596D"/>
    <w:rsid w:val="004F7B2C"/>
    <w:rsid w:val="0050099C"/>
    <w:rsid w:val="0050321C"/>
    <w:rsid w:val="00513B42"/>
    <w:rsid w:val="00514C89"/>
    <w:rsid w:val="00517675"/>
    <w:rsid w:val="00521539"/>
    <w:rsid w:val="0052213A"/>
    <w:rsid w:val="00532547"/>
    <w:rsid w:val="00534553"/>
    <w:rsid w:val="00537891"/>
    <w:rsid w:val="005443CA"/>
    <w:rsid w:val="00553B36"/>
    <w:rsid w:val="00555842"/>
    <w:rsid w:val="00555A44"/>
    <w:rsid w:val="0056449A"/>
    <w:rsid w:val="00566E41"/>
    <w:rsid w:val="00570A13"/>
    <w:rsid w:val="00571740"/>
    <w:rsid w:val="00575300"/>
    <w:rsid w:val="00575A68"/>
    <w:rsid w:val="00583D53"/>
    <w:rsid w:val="0058745A"/>
    <w:rsid w:val="005966C6"/>
    <w:rsid w:val="005A209E"/>
    <w:rsid w:val="005A44A2"/>
    <w:rsid w:val="005A4554"/>
    <w:rsid w:val="005A4EC3"/>
    <w:rsid w:val="005C1255"/>
    <w:rsid w:val="005C3CC0"/>
    <w:rsid w:val="005C7BCD"/>
    <w:rsid w:val="005D1AC6"/>
    <w:rsid w:val="005D2C69"/>
    <w:rsid w:val="005D557C"/>
    <w:rsid w:val="005D7073"/>
    <w:rsid w:val="005E4C26"/>
    <w:rsid w:val="005F676B"/>
    <w:rsid w:val="006007BB"/>
    <w:rsid w:val="00602F29"/>
    <w:rsid w:val="00603709"/>
    <w:rsid w:val="00603FF9"/>
    <w:rsid w:val="00616FD4"/>
    <w:rsid w:val="006220B5"/>
    <w:rsid w:val="00623E50"/>
    <w:rsid w:val="00625F04"/>
    <w:rsid w:val="006340EA"/>
    <w:rsid w:val="00634C15"/>
    <w:rsid w:val="006375ED"/>
    <w:rsid w:val="006424C1"/>
    <w:rsid w:val="00645335"/>
    <w:rsid w:val="00651BAF"/>
    <w:rsid w:val="00652671"/>
    <w:rsid w:val="00656B90"/>
    <w:rsid w:val="00667F39"/>
    <w:rsid w:val="00672E27"/>
    <w:rsid w:val="0068690F"/>
    <w:rsid w:val="00686C8E"/>
    <w:rsid w:val="0069198C"/>
    <w:rsid w:val="006937BC"/>
    <w:rsid w:val="00697460"/>
    <w:rsid w:val="006A790D"/>
    <w:rsid w:val="006A7D4A"/>
    <w:rsid w:val="006C455D"/>
    <w:rsid w:val="006C71E3"/>
    <w:rsid w:val="006D3831"/>
    <w:rsid w:val="006E124E"/>
    <w:rsid w:val="006E4426"/>
    <w:rsid w:val="006E7851"/>
    <w:rsid w:val="006F0B3F"/>
    <w:rsid w:val="00705B3E"/>
    <w:rsid w:val="007075C3"/>
    <w:rsid w:val="00714A8A"/>
    <w:rsid w:val="0071680F"/>
    <w:rsid w:val="007178AF"/>
    <w:rsid w:val="00720562"/>
    <w:rsid w:val="00720EDE"/>
    <w:rsid w:val="0073015F"/>
    <w:rsid w:val="00730ECE"/>
    <w:rsid w:val="00734B36"/>
    <w:rsid w:val="0073667B"/>
    <w:rsid w:val="00741A75"/>
    <w:rsid w:val="0074337A"/>
    <w:rsid w:val="0075149B"/>
    <w:rsid w:val="007520E2"/>
    <w:rsid w:val="00755005"/>
    <w:rsid w:val="00755426"/>
    <w:rsid w:val="007555F0"/>
    <w:rsid w:val="00771A3B"/>
    <w:rsid w:val="007745DD"/>
    <w:rsid w:val="00775ED9"/>
    <w:rsid w:val="00784190"/>
    <w:rsid w:val="00785903"/>
    <w:rsid w:val="00790CFA"/>
    <w:rsid w:val="007929D2"/>
    <w:rsid w:val="00794E51"/>
    <w:rsid w:val="00796386"/>
    <w:rsid w:val="007A6FD5"/>
    <w:rsid w:val="007B01DC"/>
    <w:rsid w:val="007B29D4"/>
    <w:rsid w:val="007C4046"/>
    <w:rsid w:val="007C4D92"/>
    <w:rsid w:val="007C5B1A"/>
    <w:rsid w:val="007C7CCC"/>
    <w:rsid w:val="007C7FC5"/>
    <w:rsid w:val="007D2A19"/>
    <w:rsid w:val="007E34B6"/>
    <w:rsid w:val="007F6B0E"/>
    <w:rsid w:val="00805134"/>
    <w:rsid w:val="008065F9"/>
    <w:rsid w:val="0082050E"/>
    <w:rsid w:val="008223C6"/>
    <w:rsid w:val="00826BFB"/>
    <w:rsid w:val="0082761D"/>
    <w:rsid w:val="00827A9E"/>
    <w:rsid w:val="00827C83"/>
    <w:rsid w:val="00835E12"/>
    <w:rsid w:val="00837C27"/>
    <w:rsid w:val="00840458"/>
    <w:rsid w:val="00846AC8"/>
    <w:rsid w:val="00853B72"/>
    <w:rsid w:val="0086254D"/>
    <w:rsid w:val="00864AFA"/>
    <w:rsid w:val="00870BE1"/>
    <w:rsid w:val="0087214D"/>
    <w:rsid w:val="00872BBA"/>
    <w:rsid w:val="00873445"/>
    <w:rsid w:val="00883450"/>
    <w:rsid w:val="00884248"/>
    <w:rsid w:val="00885425"/>
    <w:rsid w:val="0088661A"/>
    <w:rsid w:val="008937BC"/>
    <w:rsid w:val="008A32F5"/>
    <w:rsid w:val="008A719A"/>
    <w:rsid w:val="008B1385"/>
    <w:rsid w:val="008B3221"/>
    <w:rsid w:val="008B5CEB"/>
    <w:rsid w:val="008D11A5"/>
    <w:rsid w:val="008D1C24"/>
    <w:rsid w:val="008D1E62"/>
    <w:rsid w:val="008D560B"/>
    <w:rsid w:val="008D5881"/>
    <w:rsid w:val="008D6A36"/>
    <w:rsid w:val="008E0896"/>
    <w:rsid w:val="008E443E"/>
    <w:rsid w:val="008E6722"/>
    <w:rsid w:val="008E6DBB"/>
    <w:rsid w:val="008E787E"/>
    <w:rsid w:val="008F49E1"/>
    <w:rsid w:val="009122DE"/>
    <w:rsid w:val="009145E6"/>
    <w:rsid w:val="00946F9F"/>
    <w:rsid w:val="009554AF"/>
    <w:rsid w:val="00955E81"/>
    <w:rsid w:val="0095742C"/>
    <w:rsid w:val="00962824"/>
    <w:rsid w:val="00967A07"/>
    <w:rsid w:val="00987578"/>
    <w:rsid w:val="00991A6D"/>
    <w:rsid w:val="009A11F3"/>
    <w:rsid w:val="009A400C"/>
    <w:rsid w:val="009B0717"/>
    <w:rsid w:val="009B13BE"/>
    <w:rsid w:val="009B346A"/>
    <w:rsid w:val="009B56BC"/>
    <w:rsid w:val="009B779B"/>
    <w:rsid w:val="009C72CC"/>
    <w:rsid w:val="009D2590"/>
    <w:rsid w:val="009D7789"/>
    <w:rsid w:val="009E2C6A"/>
    <w:rsid w:val="009F671E"/>
    <w:rsid w:val="009F7412"/>
    <w:rsid w:val="00A06F40"/>
    <w:rsid w:val="00A13B11"/>
    <w:rsid w:val="00A16699"/>
    <w:rsid w:val="00A324CB"/>
    <w:rsid w:val="00A336E5"/>
    <w:rsid w:val="00A337B2"/>
    <w:rsid w:val="00A36AED"/>
    <w:rsid w:val="00A4065E"/>
    <w:rsid w:val="00A466D5"/>
    <w:rsid w:val="00A47391"/>
    <w:rsid w:val="00A52D3C"/>
    <w:rsid w:val="00A556AC"/>
    <w:rsid w:val="00A669FA"/>
    <w:rsid w:val="00A66D72"/>
    <w:rsid w:val="00A80B3B"/>
    <w:rsid w:val="00A82452"/>
    <w:rsid w:val="00A968A0"/>
    <w:rsid w:val="00A9744B"/>
    <w:rsid w:val="00AA6542"/>
    <w:rsid w:val="00AB0756"/>
    <w:rsid w:val="00AC0694"/>
    <w:rsid w:val="00AC29EA"/>
    <w:rsid w:val="00AC6312"/>
    <w:rsid w:val="00AC6FF8"/>
    <w:rsid w:val="00AD1A24"/>
    <w:rsid w:val="00AD34F9"/>
    <w:rsid w:val="00AD4418"/>
    <w:rsid w:val="00AE65F3"/>
    <w:rsid w:val="00AF268F"/>
    <w:rsid w:val="00AF4F6F"/>
    <w:rsid w:val="00AF7BC5"/>
    <w:rsid w:val="00B018A0"/>
    <w:rsid w:val="00B05732"/>
    <w:rsid w:val="00B1517C"/>
    <w:rsid w:val="00B35135"/>
    <w:rsid w:val="00B36D5F"/>
    <w:rsid w:val="00B376B5"/>
    <w:rsid w:val="00B37F17"/>
    <w:rsid w:val="00B42068"/>
    <w:rsid w:val="00B4605B"/>
    <w:rsid w:val="00B50E05"/>
    <w:rsid w:val="00B54C09"/>
    <w:rsid w:val="00B6388E"/>
    <w:rsid w:val="00B6603F"/>
    <w:rsid w:val="00B67B35"/>
    <w:rsid w:val="00B749A5"/>
    <w:rsid w:val="00B8312C"/>
    <w:rsid w:val="00B90253"/>
    <w:rsid w:val="00B91BC9"/>
    <w:rsid w:val="00B951E8"/>
    <w:rsid w:val="00BA2FF1"/>
    <w:rsid w:val="00BB2F7A"/>
    <w:rsid w:val="00BB7DDB"/>
    <w:rsid w:val="00BC5BDE"/>
    <w:rsid w:val="00BD6010"/>
    <w:rsid w:val="00BE7BDB"/>
    <w:rsid w:val="00BF2A3A"/>
    <w:rsid w:val="00BF6257"/>
    <w:rsid w:val="00C01F48"/>
    <w:rsid w:val="00C02364"/>
    <w:rsid w:val="00C02602"/>
    <w:rsid w:val="00C14F57"/>
    <w:rsid w:val="00C21DFC"/>
    <w:rsid w:val="00C24A6C"/>
    <w:rsid w:val="00C349FC"/>
    <w:rsid w:val="00C37775"/>
    <w:rsid w:val="00C4189F"/>
    <w:rsid w:val="00C53C72"/>
    <w:rsid w:val="00C60DDA"/>
    <w:rsid w:val="00C62660"/>
    <w:rsid w:val="00C62FDB"/>
    <w:rsid w:val="00C642C2"/>
    <w:rsid w:val="00C75C88"/>
    <w:rsid w:val="00C75EB0"/>
    <w:rsid w:val="00C85C1F"/>
    <w:rsid w:val="00C954F5"/>
    <w:rsid w:val="00CA1E5E"/>
    <w:rsid w:val="00CA59A0"/>
    <w:rsid w:val="00CA62E5"/>
    <w:rsid w:val="00CA7BC8"/>
    <w:rsid w:val="00CC049C"/>
    <w:rsid w:val="00CC1527"/>
    <w:rsid w:val="00CC4E3A"/>
    <w:rsid w:val="00CC707D"/>
    <w:rsid w:val="00CF1535"/>
    <w:rsid w:val="00CF4F58"/>
    <w:rsid w:val="00CF7763"/>
    <w:rsid w:val="00D05342"/>
    <w:rsid w:val="00D05624"/>
    <w:rsid w:val="00D1014C"/>
    <w:rsid w:val="00D1111A"/>
    <w:rsid w:val="00D1608E"/>
    <w:rsid w:val="00D33E2F"/>
    <w:rsid w:val="00D36036"/>
    <w:rsid w:val="00D3738F"/>
    <w:rsid w:val="00D4235F"/>
    <w:rsid w:val="00D51642"/>
    <w:rsid w:val="00D55ED9"/>
    <w:rsid w:val="00D57867"/>
    <w:rsid w:val="00D607AD"/>
    <w:rsid w:val="00D62A4C"/>
    <w:rsid w:val="00D6741F"/>
    <w:rsid w:val="00D71093"/>
    <w:rsid w:val="00D719A8"/>
    <w:rsid w:val="00D77618"/>
    <w:rsid w:val="00D77DEA"/>
    <w:rsid w:val="00D80388"/>
    <w:rsid w:val="00D8465A"/>
    <w:rsid w:val="00D90ABC"/>
    <w:rsid w:val="00D9178C"/>
    <w:rsid w:val="00D93D8D"/>
    <w:rsid w:val="00D97FA3"/>
    <w:rsid w:val="00DB0BDB"/>
    <w:rsid w:val="00DB4BC3"/>
    <w:rsid w:val="00DB5068"/>
    <w:rsid w:val="00DB5DCE"/>
    <w:rsid w:val="00DC3D20"/>
    <w:rsid w:val="00DD05D8"/>
    <w:rsid w:val="00DD64C3"/>
    <w:rsid w:val="00DD709B"/>
    <w:rsid w:val="00DD77EF"/>
    <w:rsid w:val="00DE1084"/>
    <w:rsid w:val="00DE25DC"/>
    <w:rsid w:val="00DE3486"/>
    <w:rsid w:val="00DE7AD4"/>
    <w:rsid w:val="00DF086C"/>
    <w:rsid w:val="00DF3F87"/>
    <w:rsid w:val="00DF535A"/>
    <w:rsid w:val="00E102AD"/>
    <w:rsid w:val="00E168CD"/>
    <w:rsid w:val="00E2091D"/>
    <w:rsid w:val="00E25100"/>
    <w:rsid w:val="00E259F0"/>
    <w:rsid w:val="00E36B39"/>
    <w:rsid w:val="00E37878"/>
    <w:rsid w:val="00E41ACD"/>
    <w:rsid w:val="00E41E76"/>
    <w:rsid w:val="00E62A56"/>
    <w:rsid w:val="00E6743E"/>
    <w:rsid w:val="00E73F4C"/>
    <w:rsid w:val="00E77088"/>
    <w:rsid w:val="00E775E6"/>
    <w:rsid w:val="00E84F47"/>
    <w:rsid w:val="00E9279E"/>
    <w:rsid w:val="00E93725"/>
    <w:rsid w:val="00E95902"/>
    <w:rsid w:val="00EA7962"/>
    <w:rsid w:val="00EC644D"/>
    <w:rsid w:val="00EC6D3D"/>
    <w:rsid w:val="00ED0A5C"/>
    <w:rsid w:val="00ED3EA3"/>
    <w:rsid w:val="00ED7589"/>
    <w:rsid w:val="00EE0609"/>
    <w:rsid w:val="00EE1815"/>
    <w:rsid w:val="00EE2917"/>
    <w:rsid w:val="00EE367A"/>
    <w:rsid w:val="00EE419B"/>
    <w:rsid w:val="00EE4ED1"/>
    <w:rsid w:val="00EE56C4"/>
    <w:rsid w:val="00EE58A3"/>
    <w:rsid w:val="00EF7B06"/>
    <w:rsid w:val="00F023D4"/>
    <w:rsid w:val="00F11CBD"/>
    <w:rsid w:val="00F128E6"/>
    <w:rsid w:val="00F12A44"/>
    <w:rsid w:val="00F14F6D"/>
    <w:rsid w:val="00F1708D"/>
    <w:rsid w:val="00F17D9E"/>
    <w:rsid w:val="00F22DE0"/>
    <w:rsid w:val="00F279CC"/>
    <w:rsid w:val="00F31EA4"/>
    <w:rsid w:val="00F33BD0"/>
    <w:rsid w:val="00F33D19"/>
    <w:rsid w:val="00F41B7B"/>
    <w:rsid w:val="00F45F9D"/>
    <w:rsid w:val="00F4708D"/>
    <w:rsid w:val="00F470D8"/>
    <w:rsid w:val="00F506A9"/>
    <w:rsid w:val="00F535F7"/>
    <w:rsid w:val="00F53DDE"/>
    <w:rsid w:val="00F657AF"/>
    <w:rsid w:val="00F7190B"/>
    <w:rsid w:val="00F72A45"/>
    <w:rsid w:val="00F73ECE"/>
    <w:rsid w:val="00F771B0"/>
    <w:rsid w:val="00F77B7C"/>
    <w:rsid w:val="00F77DC6"/>
    <w:rsid w:val="00F87C75"/>
    <w:rsid w:val="00F920D4"/>
    <w:rsid w:val="00F9322D"/>
    <w:rsid w:val="00FA241F"/>
    <w:rsid w:val="00FA7B91"/>
    <w:rsid w:val="00FB004C"/>
    <w:rsid w:val="00FB2949"/>
    <w:rsid w:val="00FB3DD3"/>
    <w:rsid w:val="00FB433A"/>
    <w:rsid w:val="00FC0A4D"/>
    <w:rsid w:val="00FE0337"/>
    <w:rsid w:val="00FF14A2"/>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D04D0"/>
  <w15:docId w15:val="{9023AADF-5912-4CF8-93CA-A39BF5AE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rsid w:val="007520E2"/>
    <w:pPr>
      <w:keepNext/>
      <w:keepLines/>
      <w:spacing w:before="40"/>
      <w:outlineLvl w:val="1"/>
    </w:pPr>
    <w:rPr>
      <w:rFonts w:asciiTheme="majorHAnsi" w:eastAsiaTheme="majorEastAsia" w:hAnsiTheme="majorHAnsi"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DB4BC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717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41B7B"/>
    <w:rPr>
      <w:rFonts w:ascii="Times New Roman" w:hAnsi="Times New Roman" w:cs="Times New Roman"/>
      <w:sz w:val="24"/>
      <w:szCs w:val="24"/>
    </w:rPr>
  </w:style>
  <w:style w:type="paragraph" w:styleId="ListParagraph">
    <w:name w:val="List Paragraph"/>
    <w:aliases w:val="Matrix List"/>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7D9E"/>
    <w:pPr>
      <w:tabs>
        <w:tab w:val="center" w:pos="4680"/>
        <w:tab w:val="right" w:pos="9360"/>
      </w:tabs>
    </w:pPr>
  </w:style>
  <w:style w:type="character" w:customStyle="1" w:styleId="HeaderChar">
    <w:name w:val="Header Char"/>
    <w:basedOn w:val="DefaultParagraphFont"/>
    <w:link w:val="Header"/>
    <w:uiPriority w:val="99"/>
    <w:rsid w:val="00F17D9E"/>
  </w:style>
  <w:style w:type="paragraph" w:styleId="Footer">
    <w:name w:val="footer"/>
    <w:basedOn w:val="Normal"/>
    <w:link w:val="FooterChar"/>
    <w:uiPriority w:val="99"/>
    <w:unhideWhenUsed/>
    <w:rsid w:val="00F17D9E"/>
    <w:pPr>
      <w:tabs>
        <w:tab w:val="center" w:pos="4680"/>
        <w:tab w:val="right" w:pos="9360"/>
      </w:tabs>
    </w:pPr>
  </w:style>
  <w:style w:type="character" w:customStyle="1" w:styleId="FooterChar">
    <w:name w:val="Footer Char"/>
    <w:basedOn w:val="DefaultParagraphFont"/>
    <w:link w:val="Footer"/>
    <w:uiPriority w:val="99"/>
    <w:rsid w:val="00F17D9E"/>
  </w:style>
  <w:style w:type="paragraph" w:customStyle="1" w:styleId="Default">
    <w:name w:val="Default"/>
    <w:rsid w:val="00B67B35"/>
    <w:pPr>
      <w:widowControl/>
      <w:autoSpaceDE w:val="0"/>
      <w:autoSpaceDN w:val="0"/>
      <w:adjustRightInd w:val="0"/>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7075C3"/>
    <w:pPr>
      <w:widowControl/>
      <w:pBdr>
        <w:bottom w:val="single" w:sz="8" w:space="4" w:color="4F81BD" w:themeColor="accent1"/>
      </w:pBdr>
      <w:spacing w:after="300"/>
      <w:ind w:left="180" w:right="71"/>
      <w:contextualSpacing/>
      <w:jc w:val="center"/>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7075C3"/>
    <w:rPr>
      <w:rFonts w:asciiTheme="majorHAnsi" w:eastAsiaTheme="majorEastAsia" w:hAnsiTheme="majorHAnsi" w:cstheme="majorBidi"/>
      <w:color w:val="17365D" w:themeColor="text2" w:themeShade="BF"/>
      <w:spacing w:val="5"/>
      <w:kern w:val="28"/>
      <w:sz w:val="32"/>
      <w:szCs w:val="52"/>
    </w:rPr>
  </w:style>
  <w:style w:type="character" w:customStyle="1" w:styleId="ListParagraphChar">
    <w:name w:val="List Paragraph Char"/>
    <w:aliases w:val="Matrix List Char"/>
    <w:basedOn w:val="DefaultParagraphFont"/>
    <w:link w:val="ListParagraph"/>
    <w:uiPriority w:val="34"/>
    <w:locked/>
    <w:rsid w:val="007075C3"/>
  </w:style>
  <w:style w:type="character" w:customStyle="1" w:styleId="Heading2Char">
    <w:name w:val="Heading 2 Char"/>
    <w:basedOn w:val="DefaultParagraphFont"/>
    <w:link w:val="Heading2"/>
    <w:uiPriority w:val="9"/>
    <w:rsid w:val="007520E2"/>
    <w:rPr>
      <w:rFonts w:asciiTheme="majorHAnsi" w:eastAsiaTheme="majorEastAsia" w:hAnsiTheme="majorHAnsi" w:cstheme="majorBidi"/>
      <w:b/>
      <w:color w:val="365F91" w:themeColor="accent1" w:themeShade="BF"/>
      <w:sz w:val="24"/>
      <w:szCs w:val="26"/>
    </w:rPr>
  </w:style>
  <w:style w:type="character" w:customStyle="1" w:styleId="Heading3Char">
    <w:name w:val="Heading 3 Char"/>
    <w:basedOn w:val="DefaultParagraphFont"/>
    <w:link w:val="Heading3"/>
    <w:uiPriority w:val="9"/>
    <w:rsid w:val="00DB4B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71740"/>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5C3C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C0"/>
    <w:rPr>
      <w:rFonts w:ascii="Segoe UI" w:hAnsi="Segoe UI" w:cs="Segoe UI"/>
      <w:sz w:val="18"/>
      <w:szCs w:val="18"/>
    </w:rPr>
  </w:style>
  <w:style w:type="character" w:styleId="CommentReference">
    <w:name w:val="annotation reference"/>
    <w:basedOn w:val="DefaultParagraphFont"/>
    <w:uiPriority w:val="99"/>
    <w:semiHidden/>
    <w:unhideWhenUsed/>
    <w:rsid w:val="005C3CC0"/>
    <w:rPr>
      <w:sz w:val="16"/>
      <w:szCs w:val="16"/>
    </w:rPr>
  </w:style>
  <w:style w:type="paragraph" w:styleId="CommentText">
    <w:name w:val="annotation text"/>
    <w:basedOn w:val="Normal"/>
    <w:link w:val="CommentTextChar"/>
    <w:uiPriority w:val="99"/>
    <w:semiHidden/>
    <w:unhideWhenUsed/>
    <w:rsid w:val="005C3CC0"/>
    <w:rPr>
      <w:sz w:val="20"/>
      <w:szCs w:val="20"/>
    </w:rPr>
  </w:style>
  <w:style w:type="character" w:customStyle="1" w:styleId="CommentTextChar">
    <w:name w:val="Comment Text Char"/>
    <w:basedOn w:val="DefaultParagraphFont"/>
    <w:link w:val="CommentText"/>
    <w:uiPriority w:val="99"/>
    <w:semiHidden/>
    <w:rsid w:val="005C3CC0"/>
    <w:rPr>
      <w:sz w:val="20"/>
      <w:szCs w:val="20"/>
    </w:rPr>
  </w:style>
  <w:style w:type="paragraph" w:styleId="CommentSubject">
    <w:name w:val="annotation subject"/>
    <w:basedOn w:val="CommentText"/>
    <w:next w:val="CommentText"/>
    <w:link w:val="CommentSubjectChar"/>
    <w:uiPriority w:val="99"/>
    <w:semiHidden/>
    <w:unhideWhenUsed/>
    <w:rsid w:val="005C3CC0"/>
    <w:rPr>
      <w:b/>
      <w:bCs/>
    </w:rPr>
  </w:style>
  <w:style w:type="character" w:customStyle="1" w:styleId="CommentSubjectChar">
    <w:name w:val="Comment Subject Char"/>
    <w:basedOn w:val="CommentTextChar"/>
    <w:link w:val="CommentSubject"/>
    <w:uiPriority w:val="99"/>
    <w:semiHidden/>
    <w:rsid w:val="005C3CC0"/>
    <w:rPr>
      <w:b/>
      <w:bCs/>
      <w:sz w:val="20"/>
      <w:szCs w:val="20"/>
    </w:rPr>
  </w:style>
  <w:style w:type="paragraph" w:styleId="Revision">
    <w:name w:val="Revision"/>
    <w:hidden/>
    <w:uiPriority w:val="99"/>
    <w:semiHidden/>
    <w:rsid w:val="00575A68"/>
    <w:pPr>
      <w:widowControl/>
    </w:pPr>
  </w:style>
  <w:style w:type="character" w:styleId="Hyperlink">
    <w:name w:val="Hyperlink"/>
    <w:basedOn w:val="DefaultParagraphFont"/>
    <w:uiPriority w:val="99"/>
    <w:unhideWhenUsed/>
    <w:rsid w:val="00041DC5"/>
    <w:rPr>
      <w:color w:val="0000FF" w:themeColor="hyperlink"/>
      <w:u w:val="single"/>
    </w:rPr>
  </w:style>
  <w:style w:type="character" w:styleId="UnresolvedMention">
    <w:name w:val="Unresolved Mention"/>
    <w:basedOn w:val="DefaultParagraphFont"/>
    <w:uiPriority w:val="99"/>
    <w:semiHidden/>
    <w:unhideWhenUsed/>
    <w:rsid w:val="00041DC5"/>
    <w:rPr>
      <w:color w:val="808080"/>
      <w:shd w:val="clear" w:color="auto" w:fill="E6E6E6"/>
    </w:rPr>
  </w:style>
  <w:style w:type="character" w:styleId="FollowedHyperlink">
    <w:name w:val="FollowedHyperlink"/>
    <w:basedOn w:val="DefaultParagraphFont"/>
    <w:uiPriority w:val="99"/>
    <w:semiHidden/>
    <w:unhideWhenUsed/>
    <w:rsid w:val="007C7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903">
      <w:bodyDiv w:val="1"/>
      <w:marLeft w:val="0"/>
      <w:marRight w:val="0"/>
      <w:marTop w:val="0"/>
      <w:marBottom w:val="0"/>
      <w:divBdr>
        <w:top w:val="none" w:sz="0" w:space="0" w:color="auto"/>
        <w:left w:val="none" w:sz="0" w:space="0" w:color="auto"/>
        <w:bottom w:val="none" w:sz="0" w:space="0" w:color="auto"/>
        <w:right w:val="none" w:sz="0" w:space="0" w:color="auto"/>
      </w:divBdr>
    </w:div>
    <w:div w:id="95992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9B33806CD10D4C9A13D3B2177E1670" ma:contentTypeVersion="5" ma:contentTypeDescription="Create a new document." ma:contentTypeScope="" ma:versionID="bee5869329a59990e5b444bdc7b86289">
  <xsd:schema xmlns:xsd="http://www.w3.org/2001/XMLSchema" xmlns:xs="http://www.w3.org/2001/XMLSchema" xmlns:p="http://schemas.microsoft.com/office/2006/metadata/properties" xmlns:ns2="c220ab66-f553-4e90-8bdc-aee376759dc9" xmlns:ns3="35625ac7-1bfd-4a7f-9a7f-d13086bfa749" xmlns:ns4="d6cc0133-395f-4794-bc9b-8730a02e5210" targetNamespace="http://schemas.microsoft.com/office/2006/metadata/properties" ma:root="true" ma:fieldsID="3953a989e62ca9db9a74a2d40837416f" ns2:_="" ns3:_="" ns4:_="">
    <xsd:import namespace="c220ab66-f553-4e90-8bdc-aee376759dc9"/>
    <xsd:import namespace="35625ac7-1bfd-4a7f-9a7f-d13086bfa749"/>
    <xsd:import namespace="d6cc0133-395f-4794-bc9b-8730a02e521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Assigned_x0020_to0" minOccurs="0"/>
                <xsd:element ref="ns4: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ab66-f553-4e90-8bdc-aee376759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cc0133-395f-4794-bc9b-8730a02e5210" elementFormDefault="qualified">
    <xsd:import namespace="http://schemas.microsoft.com/office/2006/documentManagement/types"/>
    <xsd:import namespace="http://schemas.microsoft.com/office/infopath/2007/PartnerControls"/>
    <xsd:element name="Assigned_x0020_to0" ma:index="14" nillable="true" ma:displayName="Assigned to" ma:description="Who is the document to assigned to" ma:internalName="Assigned_x0020_to0">
      <xsd:simpleType>
        <xsd:restriction base="dms:Text">
          <xsd:maxLength value="55"/>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Assigned_x0020_to0 xmlns="d6cc0133-395f-4794-bc9b-8730a02e5210" xsi:nil="true"/>
    <Comments xmlns="d6cc0133-395f-4794-bc9b-8730a02e5210">This is version FR sent to WFE 11/20.</Comments>
    <_dlc_DocId xmlns="c220ab66-f553-4e90-8bdc-aee376759dc9">U3QJAAC7EHWP-1436820405-96</_dlc_DocId>
    <_dlc_DocIdUrl xmlns="c220ab66-f553-4e90-8bdc-aee376759dc9">
      <Url>https://teamnet.twc.state.tx.us/wf/wdd/ael/_layouts/15/DocIdRedir.aspx?ID=U3QJAAC7EHWP-1436820405-96</Url>
      <Description>U3QJAAC7EHWP-1436820405-96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E998A-5C8C-41CE-8C83-9DE9138234A7}">
  <ds:schemaRefs>
    <ds:schemaRef ds:uri="http://schemas.microsoft.com/sharepoint/v3/contenttype/forms"/>
  </ds:schemaRefs>
</ds:datastoreItem>
</file>

<file path=customXml/itemProps2.xml><?xml version="1.0" encoding="utf-8"?>
<ds:datastoreItem xmlns:ds="http://schemas.openxmlformats.org/officeDocument/2006/customXml" ds:itemID="{F3EE6DB9-9B37-417C-9370-CCE96F3B8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ab66-f553-4e90-8bdc-aee376759dc9"/>
    <ds:schemaRef ds:uri="35625ac7-1bfd-4a7f-9a7f-d13086bfa749"/>
    <ds:schemaRef ds:uri="d6cc0133-395f-4794-bc9b-8730a02e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1659E-2C89-49F2-B58E-D66CA7A1B78E}">
  <ds:schemaRefs>
    <ds:schemaRef ds:uri="http://schemas.microsoft.com/sharepoint/events"/>
  </ds:schemaRefs>
</ds:datastoreItem>
</file>

<file path=customXml/itemProps4.xml><?xml version="1.0" encoding="utf-8"?>
<ds:datastoreItem xmlns:ds="http://schemas.openxmlformats.org/officeDocument/2006/customXml" ds:itemID="{461C99B5-5878-43F9-A774-238A8B0A24B0}">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35625ac7-1bfd-4a7f-9a7f-d13086bfa749"/>
    <ds:schemaRef ds:uri="http://schemas.microsoft.com/office/2006/metadata/properties"/>
    <ds:schemaRef ds:uri="http://schemas.microsoft.com/office/2006/documentManagement/types"/>
    <ds:schemaRef ds:uri="c220ab66-f553-4e90-8bdc-aee376759dc9"/>
    <ds:schemaRef ds:uri="d6cc0133-395f-4794-bc9b-8730a02e5210"/>
    <ds:schemaRef ds:uri="http://purl.org/dc/dcmitype/"/>
  </ds:schemaRefs>
</ds:datastoreItem>
</file>

<file path=customXml/itemProps5.xml><?xml version="1.0" encoding="utf-8"?>
<ds:datastoreItem xmlns:ds="http://schemas.openxmlformats.org/officeDocument/2006/customXml" ds:itemID="{B90E6F84-5A21-46AE-803C-18CFF96A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4651</Words>
  <Characters>26513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AEL Report to OCTAE PY 17-18</vt:lpstr>
    </vt:vector>
  </TitlesOfParts>
  <Company/>
  <LinksUpToDate>false</LinksUpToDate>
  <CharactersWithSpaces>31102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AEL Report to OCTAE PY 17-18</dc:title>
  <dc:creator>John.LeMaster</dc:creator>
  <cp:lastModifiedBy>Ramirez,Fabiana</cp:lastModifiedBy>
  <cp:revision>4</cp:revision>
  <cp:lastPrinted>2018-11-15T20:44:00Z</cp:lastPrinted>
  <dcterms:created xsi:type="dcterms:W3CDTF">2018-12-14T16:38:00Z</dcterms:created>
  <dcterms:modified xsi:type="dcterms:W3CDTF">2018-12-18T17:20:00Z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PScript5.dll Version 5.2.2</vt:lpwstr>
  </property>
  <property fmtid="{D5CDD505-2E9C-101B-9397-08002B2CF9AE}" pid="4" name="LastSaved">
    <vt:filetime>2018-11-08T00:00:00Z</vt:filetime>
  </property>
  <property fmtid="{D5CDD505-2E9C-101B-9397-08002B2CF9AE}" pid="5" name="ContentTypeId">
    <vt:lpwstr>0x010100CB9B33806CD10D4C9A13D3B2177E1670</vt:lpwstr>
  </property>
  <property fmtid="{D5CDD505-2E9C-101B-9397-08002B2CF9AE}" pid="6" name="_dlc_DocIdItemGuid">
    <vt:lpwstr>4ba840a9-8d00-488c-a173-510d5a638aec</vt:lpwstr>
  </property>
</Properties>
</file>