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D5A4" w14:textId="4DF93FE1" w:rsidR="00BA4342" w:rsidRPr="000857CA" w:rsidRDefault="00BA4342" w:rsidP="000857CA">
      <w:pPr>
        <w:pStyle w:val="Heading2"/>
        <w:rPr>
          <w:rFonts w:eastAsia="Times New Roman"/>
          <w:sz w:val="28"/>
          <w:szCs w:val="28"/>
        </w:rPr>
      </w:pPr>
      <w:r w:rsidRPr="004C3645">
        <w:rPr>
          <w:rFonts w:eastAsia="Times New Roman"/>
          <w:sz w:val="28"/>
          <w:szCs w:val="28"/>
        </w:rPr>
        <w:t>Section 1: State Leadership Funds</w:t>
      </w:r>
      <w:r w:rsidR="000857CA">
        <w:rPr>
          <w:rFonts w:eastAsia="Times New Roman"/>
          <w:sz w:val="28"/>
          <w:szCs w:val="28"/>
        </w:rPr>
        <w:t xml:space="preserve"> </w:t>
      </w:r>
      <w:r w:rsidR="000857CA" w:rsidRPr="000857CA">
        <w:rPr>
          <w:rFonts w:eastAsia="Times New Roman"/>
          <w:sz w:val="28"/>
          <w:szCs w:val="28"/>
        </w:rPr>
        <w:t>(AEFLA Section 223)</w:t>
      </w:r>
    </w:p>
    <w:p w14:paraId="0D89AA8C" w14:textId="29A55BAE" w:rsidR="009230FB" w:rsidRPr="00C13CA0" w:rsidRDefault="009230FB" w:rsidP="009230FB">
      <w:pPr>
        <w:keepNext/>
        <w:spacing w:before="240" w:after="120"/>
        <w:outlineLvl w:val="2"/>
        <w:rPr>
          <w:rFonts w:asciiTheme="minorHAnsi" w:eastAsiaTheme="majorEastAsia" w:hAnsiTheme="minorHAnsi" w:cs="Arial"/>
          <w:i/>
        </w:rPr>
      </w:pPr>
      <w:r w:rsidRPr="00C13CA0">
        <w:rPr>
          <w:rFonts w:asciiTheme="minorHAnsi" w:eastAsiaTheme="majorEastAsia" w:hAnsiTheme="minorHAnsi" w:cs="Arial"/>
          <w:i/>
        </w:rPr>
        <w:t xml:space="preserve"> (a) Describe how the State has used funds made available under section 223 (State Leadership activities) for each the following required activities:</w:t>
      </w:r>
    </w:p>
    <w:p w14:paraId="756082D8" w14:textId="77777777" w:rsidR="009230FB" w:rsidRPr="00C13CA0" w:rsidRDefault="009230FB" w:rsidP="009230FB">
      <w:pPr>
        <w:widowControl w:val="0"/>
        <w:numPr>
          <w:ilvl w:val="0"/>
          <w:numId w:val="31"/>
        </w:numPr>
        <w:tabs>
          <w:tab w:val="left" w:pos="1180"/>
        </w:tabs>
        <w:spacing w:before="0" w:after="0" w:line="238" w:lineRule="auto"/>
        <w:ind w:right="663"/>
        <w:rPr>
          <w:rFonts w:asciiTheme="minorHAnsi" w:hAnsiTheme="minorHAnsi"/>
          <w:i/>
        </w:rPr>
      </w:pPr>
      <w:r w:rsidRPr="00C13CA0">
        <w:rPr>
          <w:rFonts w:asciiTheme="minorHAnsi" w:hAnsiTheme="minorHAnsi"/>
          <w:i/>
          <w:spacing w:val="-1"/>
        </w:rPr>
        <w:t>Alignment</w:t>
      </w:r>
      <w:r w:rsidRPr="00C13CA0">
        <w:rPr>
          <w:rFonts w:asciiTheme="minorHAnsi" w:hAnsiTheme="minorHAnsi"/>
          <w:i/>
          <w:spacing w:val="-4"/>
        </w:rPr>
        <w:t xml:space="preserve"> </w:t>
      </w:r>
      <w:r w:rsidRPr="00C13CA0">
        <w:rPr>
          <w:rFonts w:asciiTheme="minorHAnsi" w:hAnsiTheme="minorHAnsi"/>
          <w:i/>
        </w:rPr>
        <w:t>of</w:t>
      </w:r>
      <w:r w:rsidRPr="00C13CA0">
        <w:rPr>
          <w:rFonts w:asciiTheme="minorHAnsi" w:hAnsiTheme="minorHAnsi"/>
          <w:i/>
          <w:spacing w:val="-5"/>
        </w:rPr>
        <w:t xml:space="preserve"> </w:t>
      </w:r>
      <w:r w:rsidRPr="00C13CA0">
        <w:rPr>
          <w:rFonts w:asciiTheme="minorHAnsi" w:hAnsiTheme="minorHAnsi"/>
          <w:i/>
          <w:spacing w:val="-1"/>
        </w:rPr>
        <w:t>adult</w:t>
      </w:r>
      <w:r w:rsidRPr="00C13CA0">
        <w:rPr>
          <w:rFonts w:asciiTheme="minorHAnsi" w:hAnsiTheme="minorHAnsi"/>
          <w:i/>
          <w:spacing w:val="-4"/>
        </w:rPr>
        <w:t xml:space="preserve"> </w:t>
      </w:r>
      <w:r w:rsidRPr="00C13CA0">
        <w:rPr>
          <w:rFonts w:asciiTheme="minorHAnsi" w:hAnsiTheme="minorHAnsi"/>
          <w:i/>
        </w:rPr>
        <w:t>education</w:t>
      </w:r>
      <w:r w:rsidRPr="00C13CA0">
        <w:rPr>
          <w:rFonts w:asciiTheme="minorHAnsi" w:hAnsiTheme="minorHAnsi"/>
          <w:i/>
          <w:spacing w:val="-4"/>
        </w:rPr>
        <w:t xml:space="preserve"> </w:t>
      </w:r>
      <w:r w:rsidRPr="00C13CA0">
        <w:rPr>
          <w:rFonts w:asciiTheme="minorHAnsi" w:hAnsiTheme="minorHAnsi"/>
          <w:i/>
          <w:spacing w:val="-1"/>
        </w:rPr>
        <w:t>and</w:t>
      </w:r>
      <w:r w:rsidRPr="00C13CA0">
        <w:rPr>
          <w:rFonts w:asciiTheme="minorHAnsi" w:hAnsiTheme="minorHAnsi"/>
          <w:i/>
          <w:spacing w:val="-4"/>
        </w:rPr>
        <w:t xml:space="preserve"> </w:t>
      </w:r>
      <w:r w:rsidRPr="00C13CA0">
        <w:rPr>
          <w:rFonts w:asciiTheme="minorHAnsi" w:hAnsiTheme="minorHAnsi"/>
          <w:i/>
        </w:rPr>
        <w:t>literacy</w:t>
      </w:r>
      <w:r w:rsidRPr="00C13CA0">
        <w:rPr>
          <w:rFonts w:asciiTheme="minorHAnsi" w:hAnsiTheme="minorHAnsi"/>
          <w:i/>
          <w:spacing w:val="-9"/>
        </w:rPr>
        <w:t xml:space="preserve"> </w:t>
      </w:r>
      <w:r w:rsidRPr="00C13CA0">
        <w:rPr>
          <w:rFonts w:asciiTheme="minorHAnsi" w:hAnsiTheme="minorHAnsi"/>
          <w:i/>
          <w:spacing w:val="-1"/>
        </w:rPr>
        <w:t>activities</w:t>
      </w:r>
      <w:r w:rsidRPr="00C13CA0">
        <w:rPr>
          <w:rFonts w:asciiTheme="minorHAnsi" w:hAnsiTheme="minorHAnsi"/>
          <w:i/>
          <w:spacing w:val="-4"/>
        </w:rPr>
        <w:t xml:space="preserve"> </w:t>
      </w:r>
      <w:r w:rsidRPr="00C13CA0">
        <w:rPr>
          <w:rFonts w:asciiTheme="minorHAnsi" w:hAnsiTheme="minorHAnsi"/>
          <w:i/>
          <w:spacing w:val="-1"/>
        </w:rPr>
        <w:t>with</w:t>
      </w:r>
      <w:r w:rsidRPr="00C13CA0">
        <w:rPr>
          <w:rFonts w:asciiTheme="minorHAnsi" w:hAnsiTheme="minorHAnsi"/>
          <w:i/>
          <w:spacing w:val="-4"/>
        </w:rPr>
        <w:t xml:space="preserve"> </w:t>
      </w:r>
      <w:r w:rsidRPr="00C13CA0">
        <w:rPr>
          <w:rFonts w:asciiTheme="minorHAnsi" w:hAnsiTheme="minorHAnsi"/>
          <w:i/>
          <w:spacing w:val="-1"/>
        </w:rPr>
        <w:t>other</w:t>
      </w:r>
      <w:r w:rsidRPr="00C13CA0">
        <w:rPr>
          <w:rFonts w:asciiTheme="minorHAnsi" w:hAnsiTheme="minorHAnsi"/>
          <w:i/>
          <w:spacing w:val="-5"/>
        </w:rPr>
        <w:t xml:space="preserve"> </w:t>
      </w:r>
      <w:r w:rsidRPr="00C13CA0">
        <w:rPr>
          <w:rFonts w:asciiTheme="minorHAnsi" w:hAnsiTheme="minorHAnsi"/>
          <w:i/>
          <w:spacing w:val="-1"/>
        </w:rPr>
        <w:t>one-stop</w:t>
      </w:r>
      <w:r w:rsidRPr="00C13CA0">
        <w:rPr>
          <w:rFonts w:asciiTheme="minorHAnsi" w:hAnsiTheme="minorHAnsi"/>
          <w:i/>
          <w:spacing w:val="-4"/>
        </w:rPr>
        <w:t xml:space="preserve"> </w:t>
      </w:r>
      <w:r w:rsidRPr="00C13CA0">
        <w:rPr>
          <w:rFonts w:asciiTheme="minorHAnsi" w:hAnsiTheme="minorHAnsi"/>
          <w:i/>
          <w:spacing w:val="-1"/>
        </w:rPr>
        <w:t>required</w:t>
      </w:r>
      <w:r w:rsidRPr="00C13CA0">
        <w:rPr>
          <w:rFonts w:asciiTheme="minorHAnsi" w:hAnsiTheme="minorHAnsi"/>
          <w:i/>
          <w:spacing w:val="79"/>
        </w:rPr>
        <w:t xml:space="preserve"> </w:t>
      </w:r>
      <w:r w:rsidRPr="00C13CA0">
        <w:rPr>
          <w:rFonts w:asciiTheme="minorHAnsi" w:hAnsiTheme="minorHAnsi"/>
          <w:i/>
          <w:spacing w:val="-1"/>
        </w:rPr>
        <w:t>partners</w:t>
      </w:r>
      <w:r w:rsidRPr="00C13CA0">
        <w:rPr>
          <w:rFonts w:asciiTheme="minorHAnsi" w:hAnsiTheme="minorHAnsi"/>
          <w:i/>
          <w:spacing w:val="-4"/>
        </w:rPr>
        <w:t xml:space="preserve"> </w:t>
      </w:r>
      <w:r w:rsidRPr="00C13CA0">
        <w:rPr>
          <w:rFonts w:asciiTheme="minorHAnsi" w:hAnsiTheme="minorHAnsi"/>
          <w:i/>
        </w:rPr>
        <w:t>to</w:t>
      </w:r>
      <w:r w:rsidRPr="00C13CA0">
        <w:rPr>
          <w:rFonts w:asciiTheme="minorHAnsi" w:hAnsiTheme="minorHAnsi"/>
          <w:i/>
          <w:spacing w:val="-4"/>
        </w:rPr>
        <w:t xml:space="preserve"> </w:t>
      </w:r>
      <w:r w:rsidRPr="00C13CA0">
        <w:rPr>
          <w:rFonts w:asciiTheme="minorHAnsi" w:hAnsiTheme="minorHAnsi"/>
          <w:i/>
          <w:spacing w:val="-1"/>
        </w:rPr>
        <w:t>implement</w:t>
      </w:r>
      <w:r w:rsidRPr="00C13CA0">
        <w:rPr>
          <w:rFonts w:asciiTheme="minorHAnsi" w:hAnsiTheme="minorHAnsi"/>
          <w:i/>
          <w:spacing w:val="-4"/>
        </w:rPr>
        <w:t xml:space="preserve"> </w:t>
      </w:r>
      <w:r w:rsidRPr="00C13CA0">
        <w:rPr>
          <w:rFonts w:asciiTheme="minorHAnsi" w:hAnsiTheme="minorHAnsi"/>
          <w:i/>
        </w:rPr>
        <w:t>the</w:t>
      </w:r>
      <w:r w:rsidRPr="00C13CA0">
        <w:rPr>
          <w:rFonts w:asciiTheme="minorHAnsi" w:hAnsiTheme="minorHAnsi"/>
          <w:i/>
          <w:spacing w:val="-5"/>
        </w:rPr>
        <w:t xml:space="preserve"> </w:t>
      </w:r>
      <w:r w:rsidRPr="00C13CA0">
        <w:rPr>
          <w:rFonts w:asciiTheme="minorHAnsi" w:hAnsiTheme="minorHAnsi"/>
          <w:i/>
          <w:spacing w:val="-1"/>
        </w:rPr>
        <w:t>strategies</w:t>
      </w:r>
      <w:r w:rsidRPr="00C13CA0">
        <w:rPr>
          <w:rFonts w:asciiTheme="minorHAnsi" w:hAnsiTheme="minorHAnsi"/>
          <w:i/>
          <w:spacing w:val="-4"/>
        </w:rPr>
        <w:t xml:space="preserve"> </w:t>
      </w:r>
      <w:r w:rsidRPr="00C13CA0">
        <w:rPr>
          <w:rFonts w:asciiTheme="minorHAnsi" w:hAnsiTheme="minorHAnsi"/>
          <w:i/>
        </w:rPr>
        <w:t>in</w:t>
      </w:r>
      <w:r w:rsidRPr="00C13CA0">
        <w:rPr>
          <w:rFonts w:asciiTheme="minorHAnsi" w:hAnsiTheme="minorHAnsi"/>
          <w:i/>
          <w:spacing w:val="-3"/>
        </w:rPr>
        <w:t xml:space="preserve"> </w:t>
      </w:r>
      <w:r w:rsidRPr="00C13CA0">
        <w:rPr>
          <w:rFonts w:asciiTheme="minorHAnsi" w:hAnsiTheme="minorHAnsi"/>
          <w:i/>
        </w:rPr>
        <w:t>the</w:t>
      </w:r>
      <w:r w:rsidRPr="00C13CA0">
        <w:rPr>
          <w:rFonts w:asciiTheme="minorHAnsi" w:hAnsiTheme="minorHAnsi"/>
          <w:i/>
          <w:spacing w:val="-5"/>
        </w:rPr>
        <w:t xml:space="preserve"> </w:t>
      </w:r>
      <w:r w:rsidRPr="00C13CA0">
        <w:rPr>
          <w:rFonts w:asciiTheme="minorHAnsi" w:hAnsiTheme="minorHAnsi"/>
          <w:i/>
        </w:rPr>
        <w:t>Unified</w:t>
      </w:r>
      <w:r w:rsidRPr="00C13CA0">
        <w:rPr>
          <w:rFonts w:asciiTheme="minorHAnsi" w:hAnsiTheme="minorHAnsi"/>
          <w:i/>
          <w:spacing w:val="-4"/>
        </w:rPr>
        <w:t xml:space="preserve"> </w:t>
      </w:r>
      <w:r w:rsidRPr="00C13CA0">
        <w:rPr>
          <w:rFonts w:asciiTheme="minorHAnsi" w:hAnsiTheme="minorHAnsi"/>
          <w:i/>
        </w:rPr>
        <w:t>or</w:t>
      </w:r>
      <w:r w:rsidRPr="00C13CA0">
        <w:rPr>
          <w:rFonts w:asciiTheme="minorHAnsi" w:hAnsiTheme="minorHAnsi"/>
          <w:i/>
          <w:spacing w:val="-5"/>
        </w:rPr>
        <w:t xml:space="preserve"> </w:t>
      </w:r>
      <w:r w:rsidRPr="00C13CA0">
        <w:rPr>
          <w:rFonts w:asciiTheme="minorHAnsi" w:hAnsiTheme="minorHAnsi"/>
          <w:i/>
          <w:spacing w:val="-1"/>
        </w:rPr>
        <w:t>Combined</w:t>
      </w:r>
      <w:r w:rsidRPr="00C13CA0">
        <w:rPr>
          <w:rFonts w:asciiTheme="minorHAnsi" w:hAnsiTheme="minorHAnsi"/>
          <w:i/>
          <w:spacing w:val="-4"/>
        </w:rPr>
        <w:t xml:space="preserve"> </w:t>
      </w:r>
      <w:r w:rsidRPr="00C13CA0">
        <w:rPr>
          <w:rFonts w:asciiTheme="minorHAnsi" w:hAnsiTheme="minorHAnsi"/>
          <w:i/>
          <w:spacing w:val="-1"/>
        </w:rPr>
        <w:t>State</w:t>
      </w:r>
      <w:r w:rsidRPr="00C13CA0">
        <w:rPr>
          <w:rFonts w:asciiTheme="minorHAnsi" w:hAnsiTheme="minorHAnsi"/>
          <w:i/>
          <w:spacing w:val="-4"/>
        </w:rPr>
        <w:t xml:space="preserve"> </w:t>
      </w:r>
      <w:r w:rsidRPr="00C13CA0">
        <w:rPr>
          <w:rFonts w:asciiTheme="minorHAnsi" w:hAnsiTheme="minorHAnsi"/>
          <w:i/>
          <w:spacing w:val="-1"/>
        </w:rPr>
        <w:t>Plan</w:t>
      </w:r>
      <w:r w:rsidRPr="00C13CA0">
        <w:rPr>
          <w:rFonts w:asciiTheme="minorHAnsi" w:hAnsiTheme="minorHAnsi"/>
          <w:i/>
          <w:spacing w:val="-4"/>
        </w:rPr>
        <w:t xml:space="preserve"> </w:t>
      </w:r>
      <w:r w:rsidRPr="00C13CA0">
        <w:rPr>
          <w:rFonts w:asciiTheme="minorHAnsi" w:hAnsiTheme="minorHAnsi"/>
          <w:i/>
          <w:spacing w:val="-1"/>
        </w:rPr>
        <w:t>as</w:t>
      </w:r>
      <w:r w:rsidRPr="00C13CA0">
        <w:rPr>
          <w:rFonts w:asciiTheme="minorHAnsi" w:hAnsiTheme="minorHAnsi"/>
          <w:i/>
          <w:spacing w:val="65"/>
        </w:rPr>
        <w:t xml:space="preserve"> </w:t>
      </w:r>
      <w:r w:rsidRPr="00C13CA0">
        <w:rPr>
          <w:rFonts w:asciiTheme="minorHAnsi" w:hAnsiTheme="minorHAnsi"/>
          <w:i/>
          <w:spacing w:val="-1"/>
        </w:rPr>
        <w:t>described</w:t>
      </w:r>
      <w:r w:rsidRPr="00C13CA0">
        <w:rPr>
          <w:rFonts w:asciiTheme="minorHAnsi" w:hAnsiTheme="minorHAnsi"/>
          <w:i/>
          <w:spacing w:val="-4"/>
        </w:rPr>
        <w:t xml:space="preserve"> </w:t>
      </w:r>
      <w:r w:rsidRPr="00C13CA0">
        <w:rPr>
          <w:rFonts w:asciiTheme="minorHAnsi" w:hAnsiTheme="minorHAnsi"/>
          <w:i/>
        </w:rPr>
        <w:t>in</w:t>
      </w:r>
      <w:r w:rsidRPr="00C13CA0">
        <w:rPr>
          <w:rFonts w:asciiTheme="minorHAnsi" w:hAnsiTheme="minorHAnsi"/>
          <w:i/>
          <w:spacing w:val="-4"/>
        </w:rPr>
        <w:t xml:space="preserve"> </w:t>
      </w:r>
      <w:r w:rsidRPr="00C13CA0">
        <w:rPr>
          <w:rFonts w:asciiTheme="minorHAnsi" w:hAnsiTheme="minorHAnsi"/>
          <w:i/>
        </w:rPr>
        <w:t>section</w:t>
      </w:r>
      <w:r w:rsidRPr="00C13CA0">
        <w:rPr>
          <w:rFonts w:asciiTheme="minorHAnsi" w:hAnsiTheme="minorHAnsi"/>
          <w:i/>
          <w:spacing w:val="-4"/>
        </w:rPr>
        <w:t xml:space="preserve"> </w:t>
      </w:r>
      <w:r w:rsidRPr="00C13CA0">
        <w:rPr>
          <w:rFonts w:asciiTheme="minorHAnsi" w:hAnsiTheme="minorHAnsi"/>
          <w:i/>
          <w:spacing w:val="-1"/>
        </w:rPr>
        <w:t>223(1)(a).</w:t>
      </w:r>
    </w:p>
    <w:p w14:paraId="12887BFA" w14:textId="77777777" w:rsidR="009230FB" w:rsidRPr="00C13CA0" w:rsidRDefault="009230FB" w:rsidP="009230FB">
      <w:pPr>
        <w:widowControl w:val="0"/>
        <w:tabs>
          <w:tab w:val="left" w:pos="1180"/>
        </w:tabs>
        <w:spacing w:before="0" w:after="0" w:line="238" w:lineRule="auto"/>
        <w:ind w:left="1180" w:right="663"/>
        <w:rPr>
          <w:rFonts w:asciiTheme="minorHAnsi" w:hAnsiTheme="minorHAnsi"/>
          <w:sz w:val="24"/>
          <w:szCs w:val="24"/>
        </w:rPr>
      </w:pPr>
    </w:p>
    <w:p w14:paraId="1908E1B1" w14:textId="77777777" w:rsidR="009230FB" w:rsidRPr="00C13CA0" w:rsidRDefault="009230FB" w:rsidP="009230FB">
      <w:pPr>
        <w:rPr>
          <w:color w:val="C00000"/>
          <w:sz w:val="24"/>
          <w:szCs w:val="24"/>
        </w:rPr>
      </w:pPr>
      <w:r w:rsidRPr="00C13CA0">
        <w:rPr>
          <w:rFonts w:asciiTheme="minorHAnsi" w:hAnsiTheme="minorHAnsi"/>
        </w:rPr>
        <w:t>The following activities describe the state-level work around alignment with one-stop partners.</w:t>
      </w:r>
    </w:p>
    <w:p w14:paraId="04C6FBCD" w14:textId="77777777" w:rsidR="009230FB" w:rsidRPr="00C13CA0" w:rsidRDefault="009230FB" w:rsidP="009230FB">
      <w:pPr>
        <w:spacing w:after="0"/>
        <w:rPr>
          <w:rFonts w:asciiTheme="minorHAnsi" w:hAnsiTheme="minorHAnsi"/>
          <w:b/>
          <w:spacing w:val="-1"/>
        </w:rPr>
      </w:pPr>
      <w:r w:rsidRPr="00C13CA0">
        <w:rPr>
          <w:rFonts w:asciiTheme="minorHAnsi" w:hAnsiTheme="minorHAnsi"/>
          <w:b/>
          <w:spacing w:val="-1"/>
        </w:rPr>
        <w:t>Governor’s Workforce Development Board Career Pathways Partnership Committee</w:t>
      </w:r>
    </w:p>
    <w:p w14:paraId="60B6994C" w14:textId="77777777" w:rsidR="009230FB" w:rsidRDefault="009230FB" w:rsidP="009230FB">
      <w:pPr>
        <w:spacing w:before="0"/>
        <w:rPr>
          <w:rFonts w:asciiTheme="minorHAnsi" w:hAnsiTheme="minorHAnsi"/>
          <w:spacing w:val="-1"/>
        </w:rPr>
      </w:pPr>
      <w:r>
        <w:rPr>
          <w:rFonts w:asciiTheme="minorHAnsi" w:hAnsiTheme="minorHAnsi"/>
          <w:spacing w:val="-1"/>
        </w:rPr>
        <w:t xml:space="preserve">The </w:t>
      </w:r>
      <w:r w:rsidRPr="00C13CA0">
        <w:rPr>
          <w:rFonts w:asciiTheme="minorHAnsi" w:hAnsiTheme="minorHAnsi"/>
          <w:spacing w:val="-1"/>
        </w:rPr>
        <w:t>ABE Transitions Specialist participate</w:t>
      </w:r>
      <w:r>
        <w:rPr>
          <w:rFonts w:asciiTheme="minorHAnsi" w:hAnsiTheme="minorHAnsi"/>
          <w:spacing w:val="-1"/>
        </w:rPr>
        <w:t>s</w:t>
      </w:r>
      <w:r w:rsidRPr="00C13CA0">
        <w:rPr>
          <w:rFonts w:asciiTheme="minorHAnsi" w:hAnsiTheme="minorHAnsi"/>
          <w:spacing w:val="-1"/>
        </w:rPr>
        <w:t xml:space="preserve"> in quarterly </w:t>
      </w:r>
      <w:hyperlink r:id="rId11" w:history="1">
        <w:r w:rsidRPr="00C13CA0">
          <w:rPr>
            <w:rFonts w:asciiTheme="minorHAnsi" w:hAnsiTheme="minorHAnsi"/>
            <w:spacing w:val="-1"/>
          </w:rPr>
          <w:t>GWDB's Career Pathways Partnership (CPP)</w:t>
        </w:r>
      </w:hyperlink>
      <w:r w:rsidRPr="00C13CA0">
        <w:rPr>
          <w:rFonts w:asciiTheme="minorHAnsi" w:hAnsiTheme="minorHAnsi"/>
          <w:spacing w:val="-1"/>
        </w:rPr>
        <w:t xml:space="preserve"> meetings. This partnership provides leadership to establish and guide Minnesota's career pathways system and strategies. The CPP focuses on programming for adults that informs, connects, and develops the skills of all job seekers but it concentrates on job seekers with the greatest barriers to employment. </w:t>
      </w:r>
    </w:p>
    <w:p w14:paraId="5823F0CB" w14:textId="77777777" w:rsidR="009230FB" w:rsidRDefault="009230FB" w:rsidP="009230FB">
      <w:pPr>
        <w:spacing w:after="0"/>
        <w:rPr>
          <w:rFonts w:asciiTheme="minorHAnsi" w:hAnsiTheme="minorHAnsi"/>
          <w:b/>
          <w:spacing w:val="-1"/>
        </w:rPr>
      </w:pPr>
      <w:r w:rsidRPr="00C13CA0">
        <w:rPr>
          <w:rFonts w:asciiTheme="minorHAnsi" w:hAnsiTheme="minorHAnsi"/>
          <w:b/>
          <w:spacing w:val="-1"/>
        </w:rPr>
        <w:t>Governor’s Workforce Development Board Caree</w:t>
      </w:r>
      <w:r>
        <w:rPr>
          <w:rFonts w:asciiTheme="minorHAnsi" w:hAnsiTheme="minorHAnsi"/>
          <w:b/>
          <w:spacing w:val="-1"/>
        </w:rPr>
        <w:t>r Pathways Partnership Sub-committee on Co-enrollment and Referrals</w:t>
      </w:r>
    </w:p>
    <w:p w14:paraId="75D98312" w14:textId="77777777" w:rsidR="009230FB" w:rsidRDefault="009230FB" w:rsidP="009230FB">
      <w:pPr>
        <w:spacing w:after="0"/>
        <w:rPr>
          <w:rFonts w:asciiTheme="minorHAnsi" w:hAnsiTheme="minorHAnsi"/>
          <w:spacing w:val="-1"/>
        </w:rPr>
      </w:pPr>
      <w:r>
        <w:rPr>
          <w:rFonts w:asciiTheme="minorHAnsi" w:hAnsiTheme="minorHAnsi"/>
          <w:spacing w:val="-1"/>
        </w:rPr>
        <w:t xml:space="preserve">The ABE Transitions Specialist co-leads monthly meetings with a Local Workforce Development Board (LWDB) director. The goal of the committee is to verify if co-enrollment provides better outcomes for learners/clients. If it does, we hope to identify the co-enrollments that prove most beneficial and to disseminate those practices across the state. </w:t>
      </w:r>
    </w:p>
    <w:p w14:paraId="348635E3" w14:textId="77777777" w:rsidR="009230FB" w:rsidRDefault="009230FB" w:rsidP="009230FB">
      <w:pPr>
        <w:spacing w:after="0"/>
        <w:rPr>
          <w:rFonts w:asciiTheme="minorHAnsi" w:hAnsiTheme="minorHAnsi"/>
          <w:b/>
          <w:spacing w:val="-1"/>
        </w:rPr>
      </w:pPr>
      <w:r w:rsidRPr="009C4370">
        <w:rPr>
          <w:rFonts w:asciiTheme="minorHAnsi" w:hAnsiTheme="minorHAnsi"/>
          <w:b/>
          <w:spacing w:val="-1"/>
        </w:rPr>
        <w:t>Common Performance Measures Workgroup</w:t>
      </w:r>
    </w:p>
    <w:p w14:paraId="1BCE121E" w14:textId="77777777" w:rsidR="009230FB" w:rsidRPr="007E3AE7" w:rsidRDefault="009230FB" w:rsidP="009230FB">
      <w:pPr>
        <w:spacing w:after="0"/>
        <w:rPr>
          <w:rFonts w:asciiTheme="minorHAnsi" w:hAnsiTheme="minorHAnsi"/>
          <w:spacing w:val="-1"/>
        </w:rPr>
      </w:pPr>
      <w:r w:rsidRPr="007E3AE7">
        <w:rPr>
          <w:rFonts w:asciiTheme="minorHAnsi" w:hAnsiTheme="minorHAnsi"/>
          <w:spacing w:val="-1"/>
        </w:rPr>
        <w:t xml:space="preserve">The state ABE Director contributed in the drafting of </w:t>
      </w:r>
      <w:r w:rsidRPr="007E3AE7">
        <w:rPr>
          <w:rFonts w:asciiTheme="minorHAnsi" w:hAnsiTheme="minorHAnsi" w:cs="Calibri"/>
          <w:color w:val="000000"/>
        </w:rPr>
        <w:t>joint guidance and recommendations on Minnesota’s Common Performance Measures under the Workforce Innovation and Opportunity Act (WIOA).</w:t>
      </w:r>
    </w:p>
    <w:p w14:paraId="4B99DBC5" w14:textId="17A4C2AC" w:rsidR="009230FB" w:rsidRPr="007E3AE7" w:rsidRDefault="009230FB" w:rsidP="009230FB">
      <w:pPr>
        <w:spacing w:before="0"/>
        <w:rPr>
          <w:rFonts w:asciiTheme="minorHAnsi" w:hAnsiTheme="minorHAnsi"/>
          <w:spacing w:val="-1"/>
        </w:rPr>
      </w:pPr>
      <w:r w:rsidRPr="007E3AE7">
        <w:rPr>
          <w:rFonts w:asciiTheme="minorHAnsi" w:hAnsiTheme="minorHAnsi"/>
          <w:spacing w:val="-1"/>
        </w:rPr>
        <w:t xml:space="preserve">The purpose of the workgroup was to </w:t>
      </w:r>
      <w:r w:rsidR="000674A8">
        <w:rPr>
          <w:rFonts w:asciiTheme="minorHAnsi" w:hAnsiTheme="minorHAnsi"/>
          <w:spacing w:val="-1"/>
        </w:rPr>
        <w:t>develop</w:t>
      </w:r>
      <w:r w:rsidRPr="007E3AE7">
        <w:rPr>
          <w:rFonts w:asciiTheme="minorHAnsi" w:hAnsiTheme="minorHAnsi"/>
          <w:spacing w:val="-1"/>
        </w:rPr>
        <w:t xml:space="preserve"> joint guidance and recommendations for the implementation of the common performance measures </w:t>
      </w:r>
      <w:r w:rsidR="000674A8">
        <w:rPr>
          <w:rFonts w:asciiTheme="minorHAnsi" w:hAnsiTheme="minorHAnsi"/>
          <w:spacing w:val="-1"/>
        </w:rPr>
        <w:t>across</w:t>
      </w:r>
      <w:r w:rsidRPr="007E3AE7">
        <w:rPr>
          <w:rFonts w:asciiTheme="minorHAnsi" w:hAnsiTheme="minorHAnsi"/>
          <w:spacing w:val="-1"/>
        </w:rPr>
        <w:t xml:space="preserve"> Minnesota</w:t>
      </w:r>
      <w:r w:rsidR="000674A8">
        <w:rPr>
          <w:rFonts w:asciiTheme="minorHAnsi" w:hAnsiTheme="minorHAnsi"/>
          <w:spacing w:val="-1"/>
        </w:rPr>
        <w:t xml:space="preserve"> workforce development partners</w:t>
      </w:r>
      <w:r w:rsidRPr="007E3AE7">
        <w:rPr>
          <w:rFonts w:asciiTheme="minorHAnsi" w:hAnsiTheme="minorHAnsi"/>
          <w:spacing w:val="-1"/>
        </w:rPr>
        <w:t xml:space="preserve">, namely Measurable Skill Gain, Credential Attainment, and Effectiveness in Serving Employers. </w:t>
      </w:r>
      <w:bookmarkStart w:id="0" w:name="_GoBack"/>
      <w:bookmarkEnd w:id="0"/>
    </w:p>
    <w:p w14:paraId="6890EA5B" w14:textId="77777777" w:rsidR="009230FB" w:rsidRPr="00C13CA0" w:rsidRDefault="009230FB" w:rsidP="009230FB">
      <w:pPr>
        <w:spacing w:after="0"/>
        <w:rPr>
          <w:rFonts w:asciiTheme="minorHAnsi" w:hAnsiTheme="minorHAnsi"/>
          <w:b/>
          <w:spacing w:val="-1"/>
        </w:rPr>
      </w:pPr>
      <w:r w:rsidRPr="00C13CA0">
        <w:rPr>
          <w:rFonts w:asciiTheme="minorHAnsi" w:hAnsiTheme="minorHAnsi"/>
          <w:b/>
          <w:spacing w:val="-1"/>
        </w:rPr>
        <w:t>Navigating and Advising Grants</w:t>
      </w:r>
    </w:p>
    <w:p w14:paraId="1A7BA470" w14:textId="126F159C" w:rsidR="009230FB" w:rsidRPr="00C13CA0" w:rsidRDefault="009230FB" w:rsidP="009230FB">
      <w:pPr>
        <w:spacing w:before="0"/>
        <w:rPr>
          <w:rFonts w:asciiTheme="minorHAnsi" w:hAnsiTheme="minorHAnsi"/>
          <w:spacing w:val="-1"/>
        </w:rPr>
      </w:pPr>
      <w:r w:rsidRPr="00C13CA0">
        <w:rPr>
          <w:rFonts w:asciiTheme="minorHAnsi" w:hAnsiTheme="minorHAnsi"/>
          <w:spacing w:val="-1"/>
        </w:rPr>
        <w:t xml:space="preserve">WIOA emphasizes the career pathway model. Minnesota has been offering variations of career pathways for over a decade and </w:t>
      </w:r>
      <w:r w:rsidR="007E3AE7">
        <w:rPr>
          <w:rFonts w:asciiTheme="minorHAnsi" w:hAnsiTheme="minorHAnsi"/>
          <w:spacing w:val="-1"/>
        </w:rPr>
        <w:t>one</w:t>
      </w:r>
      <w:r w:rsidRPr="00C13CA0">
        <w:rPr>
          <w:rFonts w:asciiTheme="minorHAnsi" w:hAnsiTheme="minorHAnsi"/>
          <w:spacing w:val="-1"/>
        </w:rPr>
        <w:t xml:space="preserve"> piece that has been determined essential is the “navigating” piece, which is difficult to fund. The 2016 Minnesota legislature appropriated $100,000 to support </w:t>
      </w:r>
      <w:hyperlink r:id="rId12" w:history="1">
        <w:r w:rsidRPr="00C13CA0">
          <w:rPr>
            <w:rFonts w:asciiTheme="minorHAnsi" w:hAnsiTheme="minorHAnsi"/>
            <w:color w:val="0563C1" w:themeColor="hyperlink"/>
            <w:u w:val="single"/>
          </w:rPr>
          <w:t>navigating and advising pilots</w:t>
        </w:r>
      </w:hyperlink>
      <w:r w:rsidRPr="00C13CA0">
        <w:rPr>
          <w:rFonts w:asciiTheme="minorHAnsi" w:hAnsiTheme="minorHAnsi"/>
          <w:spacing w:val="-1"/>
        </w:rPr>
        <w:t xml:space="preserve">. Five grants were awarded in November 2016. </w:t>
      </w:r>
      <w:r>
        <w:rPr>
          <w:rFonts w:asciiTheme="minorHAnsi" w:hAnsiTheme="minorHAnsi"/>
          <w:spacing w:val="-1"/>
        </w:rPr>
        <w:t xml:space="preserve">The state office continues to monitor these grants. The grant will end June 2019. </w:t>
      </w:r>
    </w:p>
    <w:p w14:paraId="6956480F" w14:textId="77777777" w:rsidR="009230FB" w:rsidRDefault="009230FB" w:rsidP="009230FB">
      <w:pPr>
        <w:spacing w:after="0"/>
        <w:rPr>
          <w:rFonts w:asciiTheme="minorHAnsi" w:hAnsiTheme="minorHAnsi"/>
          <w:b/>
          <w:spacing w:val="-1"/>
        </w:rPr>
      </w:pPr>
      <w:r w:rsidRPr="00C13CA0">
        <w:rPr>
          <w:rFonts w:asciiTheme="minorHAnsi" w:hAnsiTheme="minorHAnsi"/>
          <w:b/>
          <w:spacing w:val="-1"/>
        </w:rPr>
        <w:t>Regional Transitions Coordination</w:t>
      </w:r>
    </w:p>
    <w:p w14:paraId="52882017" w14:textId="2E175A17" w:rsidR="009230FB" w:rsidRPr="009230FB" w:rsidRDefault="009230FB" w:rsidP="009230FB">
      <w:pPr>
        <w:spacing w:after="0"/>
        <w:rPr>
          <w:rFonts w:asciiTheme="minorHAnsi" w:hAnsiTheme="minorHAnsi"/>
          <w:b/>
          <w:spacing w:val="-1"/>
        </w:rPr>
      </w:pPr>
      <w:r w:rsidRPr="00C13CA0">
        <w:rPr>
          <w:rFonts w:asciiTheme="minorHAnsi" w:hAnsiTheme="minorHAnsi"/>
          <w:spacing w:val="-1"/>
        </w:rPr>
        <w:t>Minnesota has ten Adult Basic Education transitions regions. Each region has a single point of contact who facilitates the development of a regional transitions plan. All the local ABE managers in the region create this plan. There are several purposes for the plan</w:t>
      </w:r>
      <w:r>
        <w:rPr>
          <w:rFonts w:asciiTheme="minorHAnsi" w:hAnsiTheme="minorHAnsi"/>
          <w:spacing w:val="-1"/>
        </w:rPr>
        <w:t>. H</w:t>
      </w:r>
      <w:r w:rsidRPr="00C13CA0">
        <w:rPr>
          <w:rFonts w:asciiTheme="minorHAnsi" w:hAnsiTheme="minorHAnsi"/>
          <w:spacing w:val="-1"/>
        </w:rPr>
        <w:t xml:space="preserve">owever, </w:t>
      </w:r>
      <w:r>
        <w:rPr>
          <w:rFonts w:asciiTheme="minorHAnsi" w:hAnsiTheme="minorHAnsi"/>
          <w:spacing w:val="-1"/>
        </w:rPr>
        <w:t>there are two themes 1)</w:t>
      </w:r>
      <w:r w:rsidRPr="00C13CA0">
        <w:rPr>
          <w:rFonts w:asciiTheme="minorHAnsi" w:hAnsiTheme="minorHAnsi"/>
          <w:spacing w:val="-1"/>
        </w:rPr>
        <w:t xml:space="preserve"> career pathway programming </w:t>
      </w:r>
      <w:r w:rsidRPr="00C13CA0">
        <w:rPr>
          <w:rFonts w:asciiTheme="minorHAnsi" w:hAnsiTheme="minorHAnsi"/>
          <w:spacing w:val="-1"/>
        </w:rPr>
        <w:lastRenderedPageBreak/>
        <w:t xml:space="preserve">and </w:t>
      </w:r>
      <w:r>
        <w:rPr>
          <w:rFonts w:asciiTheme="minorHAnsi" w:hAnsiTheme="minorHAnsi"/>
          <w:spacing w:val="-1"/>
        </w:rPr>
        <w:t xml:space="preserve">2) </w:t>
      </w:r>
      <w:r w:rsidRPr="00C13CA0">
        <w:rPr>
          <w:rFonts w:asciiTheme="minorHAnsi" w:hAnsiTheme="minorHAnsi"/>
          <w:spacing w:val="-1"/>
        </w:rPr>
        <w:t>relationship building between WIOA partners, CBOs, and public postsecondary institutions. It is a continuous improvement strategy toward the creation of sustainable and effective transitions for adult learners.</w:t>
      </w:r>
    </w:p>
    <w:p w14:paraId="4B43EFCA" w14:textId="77777777" w:rsidR="009230FB" w:rsidRPr="002D34BF" w:rsidRDefault="009230FB" w:rsidP="00BA4342">
      <w:pPr>
        <w:pStyle w:val="BodyText"/>
        <w:tabs>
          <w:tab w:val="left" w:pos="1180"/>
        </w:tabs>
        <w:spacing w:line="238" w:lineRule="auto"/>
        <w:ind w:left="1180" w:right="663" w:firstLine="0"/>
        <w:rPr>
          <w:rFonts w:asciiTheme="minorHAnsi" w:hAnsiTheme="minorHAnsi"/>
          <w:highlight w:val="yellow"/>
        </w:rPr>
      </w:pPr>
    </w:p>
    <w:p w14:paraId="68A00791" w14:textId="77777777" w:rsidR="00F70B0B" w:rsidRDefault="00F70B0B" w:rsidP="00F70B0B">
      <w:pPr>
        <w:pStyle w:val="BodyText"/>
        <w:numPr>
          <w:ilvl w:val="0"/>
          <w:numId w:val="31"/>
        </w:numPr>
        <w:tabs>
          <w:tab w:val="left" w:pos="1180"/>
        </w:tabs>
        <w:spacing w:line="238" w:lineRule="auto"/>
        <w:ind w:right="663"/>
        <w:rPr>
          <w:rFonts w:asciiTheme="minorHAnsi" w:hAnsiTheme="minorHAnsi"/>
          <w:i/>
          <w:spacing w:val="-1"/>
          <w:sz w:val="22"/>
          <w:szCs w:val="22"/>
        </w:rPr>
      </w:pPr>
      <w:r w:rsidRPr="00D64713">
        <w:rPr>
          <w:rFonts w:asciiTheme="minorHAnsi" w:hAnsiTheme="minorHAnsi"/>
          <w:i/>
          <w:spacing w:val="-1"/>
          <w:sz w:val="22"/>
          <w:szCs w:val="22"/>
        </w:rPr>
        <w:t>Establishment or operation of a high quality professional development programs as described in section 223(1</w:t>
      </w:r>
      <w:proofErr w:type="gramStart"/>
      <w:r w:rsidRPr="00D64713">
        <w:rPr>
          <w:rFonts w:asciiTheme="minorHAnsi" w:hAnsiTheme="minorHAnsi"/>
          <w:i/>
          <w:spacing w:val="-1"/>
          <w:sz w:val="22"/>
          <w:szCs w:val="22"/>
        </w:rPr>
        <w:t>)(</w:t>
      </w:r>
      <w:proofErr w:type="gramEnd"/>
      <w:r w:rsidRPr="00D64713">
        <w:rPr>
          <w:rFonts w:asciiTheme="minorHAnsi" w:hAnsiTheme="minorHAnsi"/>
          <w:i/>
          <w:spacing w:val="-1"/>
          <w:sz w:val="22"/>
          <w:szCs w:val="22"/>
        </w:rPr>
        <w:t>b).</w:t>
      </w:r>
    </w:p>
    <w:p w14:paraId="66197368" w14:textId="77777777" w:rsidR="00F70B0B" w:rsidRPr="00D64713" w:rsidRDefault="00F70B0B" w:rsidP="00F70B0B">
      <w:pPr>
        <w:pStyle w:val="BodyText"/>
        <w:tabs>
          <w:tab w:val="left" w:pos="1180"/>
        </w:tabs>
        <w:spacing w:line="238" w:lineRule="auto"/>
        <w:ind w:left="360" w:right="663" w:firstLine="0"/>
        <w:rPr>
          <w:rFonts w:asciiTheme="minorHAnsi" w:hAnsiTheme="minorHAnsi"/>
          <w:i/>
          <w:spacing w:val="-1"/>
          <w:sz w:val="22"/>
          <w:szCs w:val="22"/>
        </w:rPr>
      </w:pPr>
    </w:p>
    <w:p w14:paraId="5E4F3C96" w14:textId="77777777" w:rsidR="00F70B0B" w:rsidRPr="00D64713" w:rsidRDefault="00F70B0B" w:rsidP="00F70B0B">
      <w:pPr>
        <w:tabs>
          <w:tab w:val="left" w:pos="-1440"/>
          <w:tab w:val="left" w:pos="-720"/>
        </w:tabs>
        <w:spacing w:before="0" w:after="0" w:line="240" w:lineRule="auto"/>
        <w:ind w:right="-144"/>
        <w:rPr>
          <w:rFonts w:asciiTheme="minorHAnsi" w:eastAsia="Times New Roman" w:hAnsiTheme="minorHAnsi" w:cs="Arial"/>
        </w:rPr>
      </w:pPr>
      <w:r w:rsidRPr="00D64713">
        <w:rPr>
          <w:rFonts w:asciiTheme="minorHAnsi" w:eastAsia="Times New Roman" w:hAnsiTheme="minorHAnsi" w:cs="Arial"/>
        </w:rPr>
        <w:t>State leadership funds were used during 2017-18 to support one Minnesota Department of Education Adult Basic Education position (the professional development specialist) to coordinate statewide professional development (PD) activities and assist local ABE program staff in designing and implementing effective PD. In addition, a statewide ABE professional development (PD) advisory committee convened quarterly to identify key present and future PD needs, develop PD plans and resources, identify and implement best practices in PD, and coordinate and align PD activities for an efficient and effective PD system. This advisory committee has approximately 25 members, including state ABE staff, PD providers and local ABE instructors and administrators.</w:t>
      </w:r>
    </w:p>
    <w:p w14:paraId="20D42A73" w14:textId="77777777" w:rsidR="00F70B0B" w:rsidRPr="00D64713" w:rsidRDefault="00F70B0B" w:rsidP="00F70B0B">
      <w:pPr>
        <w:tabs>
          <w:tab w:val="left" w:pos="-1440"/>
          <w:tab w:val="left" w:pos="-720"/>
        </w:tabs>
        <w:spacing w:before="0" w:after="0" w:line="240" w:lineRule="auto"/>
        <w:ind w:right="-144"/>
        <w:rPr>
          <w:rFonts w:asciiTheme="minorHAnsi" w:eastAsia="Times New Roman" w:hAnsiTheme="minorHAnsi" w:cs="Arial"/>
        </w:rPr>
      </w:pPr>
    </w:p>
    <w:p w14:paraId="462F9811" w14:textId="796D4022" w:rsidR="00F70B0B" w:rsidRPr="00D64713" w:rsidRDefault="00F70B0B" w:rsidP="00F70B0B">
      <w:pPr>
        <w:tabs>
          <w:tab w:val="left" w:pos="-1440"/>
          <w:tab w:val="left" w:pos="-720"/>
        </w:tabs>
        <w:spacing w:before="0" w:after="0" w:line="240" w:lineRule="auto"/>
        <w:ind w:right="-144"/>
        <w:rPr>
          <w:rFonts w:asciiTheme="minorHAnsi" w:eastAsia="Times New Roman" w:hAnsiTheme="minorHAnsi" w:cs="Arial"/>
        </w:rPr>
      </w:pPr>
      <w:r w:rsidRPr="00D64713">
        <w:rPr>
          <w:rFonts w:asciiTheme="minorHAnsi" w:eastAsia="Times New Roman" w:hAnsiTheme="minorHAnsi" w:cs="Arial"/>
        </w:rPr>
        <w:t>Specific PD events conducted included:  a state summer ABE professional development conference, a new ABE staff orientation (ABE Foundations), a state adult language and literacy institute, a state support staff conference, regional ABE trainings, assessment trainings, and volunteer trainings.   Event numbers and attendance totals for these 2017-18 trainings are listed below:</w:t>
      </w:r>
    </w:p>
    <w:p w14:paraId="2AE99579" w14:textId="77777777" w:rsidR="00F70B0B" w:rsidRPr="00D64713" w:rsidRDefault="00F70B0B" w:rsidP="00F70B0B">
      <w:pPr>
        <w:tabs>
          <w:tab w:val="left" w:pos="-1440"/>
          <w:tab w:val="left" w:pos="-720"/>
        </w:tabs>
        <w:spacing w:before="0" w:after="0" w:line="240" w:lineRule="auto"/>
        <w:ind w:right="-144"/>
        <w:rPr>
          <w:rFonts w:asciiTheme="minorHAnsi" w:eastAsia="Times New Roman" w:hAnsiTheme="minorHAnsi" w:cs="Arial"/>
        </w:rPr>
      </w:pPr>
    </w:p>
    <w:tbl>
      <w:tblPr>
        <w:tblW w:w="0" w:type="auto"/>
        <w:jc w:val="center"/>
        <w:tblCellMar>
          <w:left w:w="0" w:type="dxa"/>
          <w:right w:w="0" w:type="dxa"/>
        </w:tblCellMar>
        <w:tblLook w:val="04A0" w:firstRow="1" w:lastRow="0" w:firstColumn="1" w:lastColumn="0" w:noHBand="0" w:noVBand="1"/>
      </w:tblPr>
      <w:tblGrid>
        <w:gridCol w:w="4770"/>
        <w:gridCol w:w="1880"/>
        <w:gridCol w:w="1890"/>
      </w:tblGrid>
      <w:tr w:rsidR="00F70B0B" w:rsidRPr="00D64713" w14:paraId="568203E6" w14:textId="77777777" w:rsidTr="007E06C6">
        <w:trPr>
          <w:jc w:val="center"/>
        </w:trPr>
        <w:tc>
          <w:tcPr>
            <w:tcW w:w="4770" w:type="dxa"/>
            <w:tcBorders>
              <w:top w:val="single" w:sz="8" w:space="0" w:color="auto"/>
              <w:left w:val="single" w:sz="8" w:space="0" w:color="auto"/>
              <w:bottom w:val="single" w:sz="8" w:space="0" w:color="auto"/>
              <w:right w:val="single" w:sz="8" w:space="0" w:color="auto"/>
            </w:tcBorders>
            <w:shd w:val="clear" w:color="auto" w:fill="4F6228"/>
            <w:tcMar>
              <w:top w:w="0" w:type="dxa"/>
              <w:left w:w="57" w:type="dxa"/>
              <w:bottom w:w="0" w:type="dxa"/>
              <w:right w:w="57" w:type="dxa"/>
            </w:tcMar>
            <w:hideMark/>
          </w:tcPr>
          <w:p w14:paraId="5E181FDE" w14:textId="77777777" w:rsidR="00F70B0B" w:rsidRPr="00D64713" w:rsidRDefault="00F70B0B" w:rsidP="007E06C6">
            <w:pPr>
              <w:spacing w:before="0" w:after="0" w:line="240" w:lineRule="auto"/>
              <w:rPr>
                <w:rFonts w:asciiTheme="minorHAnsi" w:eastAsia="Calibri" w:hAnsiTheme="minorHAnsi" w:cs="Arial"/>
                <w:b/>
                <w:color w:val="FFFFFF"/>
              </w:rPr>
            </w:pPr>
            <w:r w:rsidRPr="00D64713">
              <w:rPr>
                <w:rFonts w:asciiTheme="minorHAnsi" w:eastAsia="Times New Roman" w:hAnsiTheme="minorHAnsi" w:cs="Arial"/>
                <w:b/>
                <w:color w:val="FFFFFF"/>
              </w:rPr>
              <w:t xml:space="preserve">Professional Development Event </w:t>
            </w:r>
          </w:p>
        </w:tc>
        <w:tc>
          <w:tcPr>
            <w:tcW w:w="1880" w:type="dxa"/>
            <w:tcBorders>
              <w:top w:val="single" w:sz="8" w:space="0" w:color="auto"/>
              <w:left w:val="nil"/>
              <w:bottom w:val="single" w:sz="8" w:space="0" w:color="auto"/>
              <w:right w:val="single" w:sz="8" w:space="0" w:color="auto"/>
            </w:tcBorders>
            <w:shd w:val="clear" w:color="auto" w:fill="4F6228"/>
            <w:tcMar>
              <w:top w:w="0" w:type="dxa"/>
              <w:left w:w="57" w:type="dxa"/>
              <w:bottom w:w="0" w:type="dxa"/>
              <w:right w:w="57" w:type="dxa"/>
            </w:tcMar>
            <w:hideMark/>
          </w:tcPr>
          <w:p w14:paraId="5E8B6A7A" w14:textId="77777777" w:rsidR="00F70B0B" w:rsidRPr="00D64713" w:rsidRDefault="00F70B0B" w:rsidP="007E06C6">
            <w:pPr>
              <w:spacing w:before="0" w:after="0" w:line="240" w:lineRule="auto"/>
              <w:jc w:val="center"/>
              <w:rPr>
                <w:rFonts w:asciiTheme="minorHAnsi" w:eastAsia="Calibri" w:hAnsiTheme="minorHAnsi" w:cs="Arial"/>
                <w:b/>
                <w:bCs/>
                <w:color w:val="FFFFFF"/>
              </w:rPr>
            </w:pPr>
            <w:r w:rsidRPr="00D64713">
              <w:rPr>
                <w:rFonts w:asciiTheme="minorHAnsi" w:eastAsia="Times New Roman" w:hAnsiTheme="minorHAnsi" w:cs="Arial"/>
                <w:b/>
                <w:bCs/>
                <w:color w:val="FFFFFF"/>
              </w:rPr>
              <w:t>Number of Events</w:t>
            </w:r>
          </w:p>
        </w:tc>
        <w:tc>
          <w:tcPr>
            <w:tcW w:w="1890" w:type="dxa"/>
            <w:tcBorders>
              <w:top w:val="single" w:sz="8" w:space="0" w:color="auto"/>
              <w:left w:val="nil"/>
              <w:bottom w:val="single" w:sz="8" w:space="0" w:color="auto"/>
              <w:right w:val="single" w:sz="8" w:space="0" w:color="auto"/>
            </w:tcBorders>
            <w:shd w:val="clear" w:color="auto" w:fill="4F6228"/>
            <w:tcMar>
              <w:top w:w="0" w:type="dxa"/>
              <w:left w:w="57" w:type="dxa"/>
              <w:bottom w:w="0" w:type="dxa"/>
              <w:right w:w="57" w:type="dxa"/>
            </w:tcMar>
            <w:hideMark/>
          </w:tcPr>
          <w:p w14:paraId="2580BA91" w14:textId="77777777" w:rsidR="00F70B0B" w:rsidRPr="00D64713" w:rsidRDefault="00F70B0B" w:rsidP="007E06C6">
            <w:pPr>
              <w:spacing w:before="0" w:after="0" w:line="240" w:lineRule="auto"/>
              <w:jc w:val="center"/>
              <w:rPr>
                <w:rFonts w:asciiTheme="minorHAnsi" w:eastAsia="Calibri" w:hAnsiTheme="minorHAnsi" w:cs="Arial"/>
                <w:b/>
                <w:bCs/>
                <w:color w:val="FFFFFF"/>
              </w:rPr>
            </w:pPr>
            <w:r w:rsidRPr="00D64713">
              <w:rPr>
                <w:rFonts w:asciiTheme="minorHAnsi" w:eastAsia="Times New Roman" w:hAnsiTheme="minorHAnsi" w:cs="Arial"/>
                <w:b/>
                <w:bCs/>
                <w:color w:val="FFFFFF"/>
              </w:rPr>
              <w:t>Attendance</w:t>
            </w:r>
            <w:r w:rsidRPr="00D64713">
              <w:rPr>
                <w:rFonts w:asciiTheme="minorHAnsi" w:eastAsia="Calibri" w:hAnsiTheme="minorHAnsi" w:cs="Arial"/>
                <w:b/>
                <w:bCs/>
                <w:color w:val="FFFFFF"/>
              </w:rPr>
              <w:t xml:space="preserve"> </w:t>
            </w:r>
            <w:r w:rsidRPr="00D64713">
              <w:rPr>
                <w:rFonts w:asciiTheme="minorHAnsi" w:eastAsia="Times New Roman" w:hAnsiTheme="minorHAnsi" w:cs="Arial"/>
                <w:b/>
                <w:bCs/>
                <w:color w:val="FFFFFF"/>
              </w:rPr>
              <w:t>Totals</w:t>
            </w:r>
          </w:p>
        </w:tc>
      </w:tr>
      <w:tr w:rsidR="00F70B0B" w:rsidRPr="00D64713" w14:paraId="1A502FFD" w14:textId="77777777" w:rsidTr="007E06C6">
        <w:trPr>
          <w:jc w:val="center"/>
        </w:trPr>
        <w:tc>
          <w:tcPr>
            <w:tcW w:w="477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4DC635F" w14:textId="77777777" w:rsidR="00F70B0B" w:rsidRPr="00D64713" w:rsidRDefault="00F70B0B" w:rsidP="007E06C6">
            <w:pPr>
              <w:spacing w:before="0" w:after="0" w:line="240" w:lineRule="auto"/>
              <w:rPr>
                <w:rFonts w:asciiTheme="minorHAnsi" w:eastAsia="Calibri" w:hAnsiTheme="minorHAnsi" w:cs="Arial"/>
              </w:rPr>
            </w:pPr>
            <w:r w:rsidRPr="00D64713">
              <w:rPr>
                <w:rFonts w:asciiTheme="minorHAnsi" w:eastAsia="Times New Roman" w:hAnsiTheme="minorHAnsi" w:cs="Arial"/>
              </w:rPr>
              <w:t xml:space="preserve">Statewide ABE Summer Institute  </w:t>
            </w:r>
          </w:p>
        </w:tc>
        <w:tc>
          <w:tcPr>
            <w:tcW w:w="1880" w:type="dxa"/>
            <w:tcBorders>
              <w:top w:val="nil"/>
              <w:left w:val="nil"/>
              <w:bottom w:val="single" w:sz="8" w:space="0" w:color="auto"/>
              <w:right w:val="single" w:sz="8" w:space="0" w:color="auto"/>
            </w:tcBorders>
            <w:tcMar>
              <w:top w:w="0" w:type="dxa"/>
              <w:left w:w="57" w:type="dxa"/>
              <w:bottom w:w="0" w:type="dxa"/>
              <w:right w:w="57" w:type="dxa"/>
            </w:tcMar>
            <w:hideMark/>
          </w:tcPr>
          <w:p w14:paraId="25DD2508"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Times New Roman" w:hAnsiTheme="minorHAnsi" w:cs="Arial"/>
              </w:rPr>
              <w:t>1 3-day event</w:t>
            </w:r>
          </w:p>
        </w:tc>
        <w:tc>
          <w:tcPr>
            <w:tcW w:w="1890" w:type="dxa"/>
            <w:tcBorders>
              <w:top w:val="nil"/>
              <w:left w:val="nil"/>
              <w:bottom w:val="single" w:sz="8" w:space="0" w:color="auto"/>
              <w:right w:val="single" w:sz="8" w:space="0" w:color="auto"/>
            </w:tcBorders>
            <w:tcMar>
              <w:top w:w="0" w:type="dxa"/>
              <w:left w:w="57" w:type="dxa"/>
              <w:bottom w:w="0" w:type="dxa"/>
              <w:right w:w="57" w:type="dxa"/>
            </w:tcMar>
            <w:hideMark/>
          </w:tcPr>
          <w:p w14:paraId="2FE25E80"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Calibri" w:hAnsiTheme="minorHAnsi" w:cs="Arial"/>
              </w:rPr>
              <w:t>554</w:t>
            </w:r>
          </w:p>
        </w:tc>
      </w:tr>
      <w:tr w:rsidR="00F70B0B" w:rsidRPr="00D64713" w14:paraId="0EA1A6FF" w14:textId="77777777" w:rsidTr="007E06C6">
        <w:trPr>
          <w:jc w:val="center"/>
        </w:trPr>
        <w:tc>
          <w:tcPr>
            <w:tcW w:w="477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14DCE6F" w14:textId="77777777" w:rsidR="00F70B0B" w:rsidRPr="00D64713" w:rsidRDefault="00F70B0B" w:rsidP="007E06C6">
            <w:pPr>
              <w:spacing w:before="0" w:after="0" w:line="240" w:lineRule="auto"/>
              <w:rPr>
                <w:rFonts w:asciiTheme="minorHAnsi" w:eastAsia="Calibri" w:hAnsiTheme="minorHAnsi" w:cs="Arial"/>
              </w:rPr>
            </w:pPr>
            <w:r w:rsidRPr="00D64713">
              <w:rPr>
                <w:rFonts w:asciiTheme="minorHAnsi" w:eastAsia="Times New Roman" w:hAnsiTheme="minorHAnsi" w:cs="Arial"/>
              </w:rPr>
              <w:t>ABE Foundations</w:t>
            </w:r>
          </w:p>
        </w:tc>
        <w:tc>
          <w:tcPr>
            <w:tcW w:w="1880" w:type="dxa"/>
            <w:tcBorders>
              <w:top w:val="nil"/>
              <w:left w:val="nil"/>
              <w:bottom w:val="single" w:sz="8" w:space="0" w:color="auto"/>
              <w:right w:val="single" w:sz="8" w:space="0" w:color="auto"/>
            </w:tcBorders>
            <w:tcMar>
              <w:top w:w="0" w:type="dxa"/>
              <w:left w:w="57" w:type="dxa"/>
              <w:bottom w:w="0" w:type="dxa"/>
              <w:right w:w="57" w:type="dxa"/>
            </w:tcMar>
            <w:hideMark/>
          </w:tcPr>
          <w:p w14:paraId="70F543C6"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Times New Roman" w:hAnsiTheme="minorHAnsi" w:cs="Arial"/>
              </w:rPr>
              <w:t xml:space="preserve">2 </w:t>
            </w:r>
          </w:p>
        </w:tc>
        <w:tc>
          <w:tcPr>
            <w:tcW w:w="1890" w:type="dxa"/>
            <w:tcBorders>
              <w:top w:val="nil"/>
              <w:left w:val="nil"/>
              <w:bottom w:val="single" w:sz="8" w:space="0" w:color="auto"/>
              <w:right w:val="single" w:sz="8" w:space="0" w:color="auto"/>
            </w:tcBorders>
            <w:tcMar>
              <w:top w:w="0" w:type="dxa"/>
              <w:left w:w="57" w:type="dxa"/>
              <w:bottom w:w="0" w:type="dxa"/>
              <w:right w:w="57" w:type="dxa"/>
            </w:tcMar>
            <w:hideMark/>
          </w:tcPr>
          <w:p w14:paraId="0C35FFC4"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Calibri" w:hAnsiTheme="minorHAnsi" w:cs="Arial"/>
              </w:rPr>
              <w:t>119</w:t>
            </w:r>
          </w:p>
        </w:tc>
      </w:tr>
      <w:tr w:rsidR="00F70B0B" w:rsidRPr="00D64713" w14:paraId="6C0DBF6D" w14:textId="77777777" w:rsidTr="007E06C6">
        <w:trPr>
          <w:jc w:val="center"/>
        </w:trPr>
        <w:tc>
          <w:tcPr>
            <w:tcW w:w="4770"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A903F3A" w14:textId="77777777" w:rsidR="00F70B0B" w:rsidRPr="00D64713" w:rsidRDefault="00F70B0B" w:rsidP="007E06C6">
            <w:pPr>
              <w:spacing w:before="0" w:after="0" w:line="240" w:lineRule="auto"/>
              <w:rPr>
                <w:rFonts w:asciiTheme="minorHAnsi" w:eastAsia="Calibri" w:hAnsiTheme="minorHAnsi" w:cs="Arial"/>
              </w:rPr>
            </w:pPr>
            <w:r w:rsidRPr="00D64713">
              <w:rPr>
                <w:rFonts w:asciiTheme="minorHAnsi" w:eastAsia="Times New Roman" w:hAnsiTheme="minorHAnsi" w:cs="Arial"/>
              </w:rPr>
              <w:t>Regional Training Events</w:t>
            </w:r>
          </w:p>
        </w:tc>
        <w:tc>
          <w:tcPr>
            <w:tcW w:w="1880" w:type="dxa"/>
            <w:tcBorders>
              <w:top w:val="nil"/>
              <w:left w:val="nil"/>
              <w:bottom w:val="single" w:sz="8" w:space="0" w:color="auto"/>
              <w:right w:val="single" w:sz="8" w:space="0" w:color="auto"/>
            </w:tcBorders>
            <w:tcMar>
              <w:top w:w="0" w:type="dxa"/>
              <w:left w:w="57" w:type="dxa"/>
              <w:bottom w:w="0" w:type="dxa"/>
              <w:right w:w="57" w:type="dxa"/>
            </w:tcMar>
            <w:hideMark/>
          </w:tcPr>
          <w:p w14:paraId="3AD695EC"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Times New Roman" w:hAnsiTheme="minorHAnsi" w:cs="Arial"/>
              </w:rPr>
              <w:t>5</w:t>
            </w:r>
          </w:p>
        </w:tc>
        <w:tc>
          <w:tcPr>
            <w:tcW w:w="1890" w:type="dxa"/>
            <w:tcBorders>
              <w:top w:val="nil"/>
              <w:left w:val="nil"/>
              <w:bottom w:val="single" w:sz="8" w:space="0" w:color="auto"/>
              <w:right w:val="single" w:sz="8" w:space="0" w:color="auto"/>
            </w:tcBorders>
            <w:tcMar>
              <w:top w:w="0" w:type="dxa"/>
              <w:left w:w="57" w:type="dxa"/>
              <w:bottom w:w="0" w:type="dxa"/>
              <w:right w:w="57" w:type="dxa"/>
            </w:tcMar>
            <w:hideMark/>
          </w:tcPr>
          <w:p w14:paraId="55425041"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Times New Roman" w:hAnsiTheme="minorHAnsi" w:cs="Arial"/>
              </w:rPr>
              <w:t>403</w:t>
            </w:r>
          </w:p>
        </w:tc>
      </w:tr>
      <w:tr w:rsidR="00F70B0B" w:rsidRPr="00D64713" w14:paraId="03F3BA44" w14:textId="77777777" w:rsidTr="007E06C6">
        <w:trPr>
          <w:jc w:val="center"/>
        </w:trPr>
        <w:tc>
          <w:tcPr>
            <w:tcW w:w="4770" w:type="dxa"/>
            <w:tcBorders>
              <w:top w:val="nil"/>
              <w:left w:val="single" w:sz="8" w:space="0" w:color="auto"/>
              <w:bottom w:val="single" w:sz="4" w:space="0" w:color="auto"/>
              <w:right w:val="single" w:sz="8" w:space="0" w:color="auto"/>
            </w:tcBorders>
            <w:tcMar>
              <w:top w:w="0" w:type="dxa"/>
              <w:left w:w="57" w:type="dxa"/>
              <w:bottom w:w="0" w:type="dxa"/>
              <w:right w:w="57" w:type="dxa"/>
            </w:tcMar>
            <w:hideMark/>
          </w:tcPr>
          <w:p w14:paraId="6675B56D" w14:textId="77777777" w:rsidR="00F70B0B" w:rsidRPr="00D64713" w:rsidRDefault="00F70B0B" w:rsidP="007E06C6">
            <w:pPr>
              <w:spacing w:before="0" w:after="0" w:line="240" w:lineRule="auto"/>
              <w:rPr>
                <w:rFonts w:asciiTheme="minorHAnsi" w:eastAsia="Calibri" w:hAnsiTheme="minorHAnsi" w:cs="Arial"/>
              </w:rPr>
            </w:pPr>
            <w:r w:rsidRPr="00D64713">
              <w:rPr>
                <w:rFonts w:asciiTheme="minorHAnsi" w:eastAsia="Times New Roman" w:hAnsiTheme="minorHAnsi" w:cs="Arial"/>
              </w:rPr>
              <w:t>Adult Language and Literacy Institute (ESL and ABE)</w:t>
            </w:r>
          </w:p>
        </w:tc>
        <w:tc>
          <w:tcPr>
            <w:tcW w:w="1880" w:type="dxa"/>
            <w:tcBorders>
              <w:top w:val="nil"/>
              <w:left w:val="nil"/>
              <w:bottom w:val="single" w:sz="4" w:space="0" w:color="auto"/>
              <w:right w:val="single" w:sz="8" w:space="0" w:color="auto"/>
            </w:tcBorders>
            <w:tcMar>
              <w:top w:w="0" w:type="dxa"/>
              <w:left w:w="57" w:type="dxa"/>
              <w:bottom w:w="0" w:type="dxa"/>
              <w:right w:w="57" w:type="dxa"/>
            </w:tcMar>
            <w:hideMark/>
          </w:tcPr>
          <w:p w14:paraId="4CBE081D"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Times New Roman" w:hAnsiTheme="minorHAnsi" w:cs="Arial"/>
              </w:rPr>
              <w:t>1 2-day event</w:t>
            </w:r>
          </w:p>
        </w:tc>
        <w:tc>
          <w:tcPr>
            <w:tcW w:w="1890" w:type="dxa"/>
            <w:tcBorders>
              <w:top w:val="nil"/>
              <w:left w:val="nil"/>
              <w:bottom w:val="single" w:sz="4" w:space="0" w:color="auto"/>
              <w:right w:val="single" w:sz="8" w:space="0" w:color="auto"/>
            </w:tcBorders>
            <w:tcMar>
              <w:top w:w="0" w:type="dxa"/>
              <w:left w:w="57" w:type="dxa"/>
              <w:bottom w:w="0" w:type="dxa"/>
              <w:right w:w="57" w:type="dxa"/>
            </w:tcMar>
            <w:hideMark/>
          </w:tcPr>
          <w:p w14:paraId="314A217E"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Calibri" w:hAnsiTheme="minorHAnsi" w:cs="Arial"/>
              </w:rPr>
              <w:t>182</w:t>
            </w:r>
          </w:p>
        </w:tc>
      </w:tr>
      <w:tr w:rsidR="00F70B0B" w:rsidRPr="00D64713" w14:paraId="1587B3FF" w14:textId="77777777" w:rsidTr="007E06C6">
        <w:trPr>
          <w:jc w:val="center"/>
        </w:trPr>
        <w:tc>
          <w:tcPr>
            <w:tcW w:w="4770" w:type="dxa"/>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hideMark/>
          </w:tcPr>
          <w:p w14:paraId="383D6DDD" w14:textId="77777777" w:rsidR="00F70B0B" w:rsidRPr="00D64713" w:rsidRDefault="00F70B0B" w:rsidP="007E06C6">
            <w:pPr>
              <w:spacing w:before="0" w:after="0" w:line="240" w:lineRule="auto"/>
              <w:rPr>
                <w:rFonts w:asciiTheme="minorHAnsi" w:eastAsia="Calibri" w:hAnsiTheme="minorHAnsi" w:cs="Arial"/>
              </w:rPr>
            </w:pPr>
            <w:r w:rsidRPr="00D64713">
              <w:rPr>
                <w:rFonts w:asciiTheme="minorHAnsi" w:eastAsia="Times New Roman" w:hAnsiTheme="minorHAnsi" w:cs="Arial"/>
              </w:rPr>
              <w:t>Support Staff Conference</w:t>
            </w:r>
          </w:p>
        </w:tc>
        <w:tc>
          <w:tcPr>
            <w:tcW w:w="1880" w:type="dxa"/>
            <w:tcBorders>
              <w:top w:val="single" w:sz="4" w:space="0" w:color="auto"/>
              <w:left w:val="nil"/>
              <w:bottom w:val="single" w:sz="8" w:space="0" w:color="auto"/>
              <w:right w:val="single" w:sz="8" w:space="0" w:color="auto"/>
            </w:tcBorders>
            <w:tcMar>
              <w:top w:w="0" w:type="dxa"/>
              <w:left w:w="57" w:type="dxa"/>
              <w:bottom w:w="0" w:type="dxa"/>
              <w:right w:w="57" w:type="dxa"/>
            </w:tcMar>
            <w:hideMark/>
          </w:tcPr>
          <w:p w14:paraId="27AC82BD"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Times New Roman" w:hAnsiTheme="minorHAnsi" w:cs="Arial"/>
              </w:rPr>
              <w:t>1 2-day event</w:t>
            </w:r>
          </w:p>
        </w:tc>
        <w:tc>
          <w:tcPr>
            <w:tcW w:w="1890" w:type="dxa"/>
            <w:tcBorders>
              <w:top w:val="single" w:sz="4" w:space="0" w:color="auto"/>
              <w:left w:val="nil"/>
              <w:bottom w:val="single" w:sz="8" w:space="0" w:color="auto"/>
              <w:right w:val="single" w:sz="8" w:space="0" w:color="auto"/>
            </w:tcBorders>
            <w:tcMar>
              <w:top w:w="0" w:type="dxa"/>
              <w:left w:w="57" w:type="dxa"/>
              <w:bottom w:w="0" w:type="dxa"/>
              <w:right w:w="57" w:type="dxa"/>
            </w:tcMar>
            <w:hideMark/>
          </w:tcPr>
          <w:p w14:paraId="20206321"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Calibri" w:hAnsiTheme="minorHAnsi" w:cs="Arial"/>
              </w:rPr>
              <w:t>141</w:t>
            </w:r>
          </w:p>
        </w:tc>
      </w:tr>
      <w:tr w:rsidR="00F70B0B" w:rsidRPr="00D64713" w14:paraId="57A716B7" w14:textId="77777777" w:rsidTr="007E06C6">
        <w:trPr>
          <w:jc w:val="center"/>
        </w:trPr>
        <w:tc>
          <w:tcPr>
            <w:tcW w:w="4770" w:type="dxa"/>
            <w:tcBorders>
              <w:top w:val="nil"/>
              <w:left w:val="single" w:sz="8" w:space="0" w:color="auto"/>
              <w:bottom w:val="single" w:sz="4" w:space="0" w:color="auto"/>
              <w:right w:val="single" w:sz="8" w:space="0" w:color="auto"/>
            </w:tcBorders>
            <w:tcMar>
              <w:top w:w="0" w:type="dxa"/>
              <w:left w:w="57" w:type="dxa"/>
              <w:bottom w:w="0" w:type="dxa"/>
              <w:right w:w="57" w:type="dxa"/>
            </w:tcMar>
            <w:hideMark/>
          </w:tcPr>
          <w:p w14:paraId="1210EA4C" w14:textId="77777777" w:rsidR="00F70B0B" w:rsidRPr="00D64713" w:rsidRDefault="00F70B0B" w:rsidP="007E06C6">
            <w:pPr>
              <w:spacing w:before="0" w:after="0" w:line="240" w:lineRule="auto"/>
              <w:rPr>
                <w:rFonts w:asciiTheme="minorHAnsi" w:eastAsia="Calibri" w:hAnsiTheme="minorHAnsi" w:cs="Arial"/>
              </w:rPr>
            </w:pPr>
            <w:r w:rsidRPr="00D64713">
              <w:rPr>
                <w:rFonts w:asciiTheme="minorHAnsi" w:eastAsia="Times New Roman" w:hAnsiTheme="minorHAnsi" w:cs="Arial"/>
              </w:rPr>
              <w:t>Assessment Trainings</w:t>
            </w:r>
          </w:p>
        </w:tc>
        <w:tc>
          <w:tcPr>
            <w:tcW w:w="1880" w:type="dxa"/>
            <w:tcBorders>
              <w:top w:val="nil"/>
              <w:left w:val="nil"/>
              <w:bottom w:val="single" w:sz="4" w:space="0" w:color="auto"/>
              <w:right w:val="single" w:sz="8" w:space="0" w:color="auto"/>
            </w:tcBorders>
            <w:tcMar>
              <w:top w:w="0" w:type="dxa"/>
              <w:left w:w="57" w:type="dxa"/>
              <w:bottom w:w="0" w:type="dxa"/>
              <w:right w:w="57" w:type="dxa"/>
            </w:tcMar>
            <w:hideMark/>
          </w:tcPr>
          <w:p w14:paraId="2DF922FA"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Calibri" w:hAnsiTheme="minorHAnsi" w:cs="Arial"/>
              </w:rPr>
              <w:t>16</w:t>
            </w:r>
          </w:p>
        </w:tc>
        <w:tc>
          <w:tcPr>
            <w:tcW w:w="1890" w:type="dxa"/>
            <w:tcBorders>
              <w:top w:val="nil"/>
              <w:left w:val="nil"/>
              <w:bottom w:val="single" w:sz="4" w:space="0" w:color="auto"/>
              <w:right w:val="single" w:sz="8" w:space="0" w:color="auto"/>
            </w:tcBorders>
            <w:tcMar>
              <w:top w:w="0" w:type="dxa"/>
              <w:left w:w="57" w:type="dxa"/>
              <w:bottom w:w="0" w:type="dxa"/>
              <w:right w:w="57" w:type="dxa"/>
            </w:tcMar>
            <w:hideMark/>
          </w:tcPr>
          <w:p w14:paraId="49BFA198"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Calibri" w:hAnsiTheme="minorHAnsi" w:cs="Arial"/>
              </w:rPr>
              <w:t>339</w:t>
            </w:r>
          </w:p>
        </w:tc>
      </w:tr>
      <w:tr w:rsidR="00F70B0B" w:rsidRPr="00D64713" w14:paraId="14A96FC9" w14:textId="77777777" w:rsidTr="007E06C6">
        <w:trPr>
          <w:jc w:val="center"/>
        </w:trPr>
        <w:tc>
          <w:tcPr>
            <w:tcW w:w="4770" w:type="dxa"/>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401F43CC" w14:textId="77777777" w:rsidR="00F70B0B" w:rsidRPr="00D64713" w:rsidRDefault="00F70B0B" w:rsidP="007E06C6">
            <w:pPr>
              <w:spacing w:before="0" w:after="0" w:line="240" w:lineRule="auto"/>
              <w:rPr>
                <w:rFonts w:asciiTheme="minorHAnsi" w:eastAsia="Calibri" w:hAnsiTheme="minorHAnsi" w:cs="Arial"/>
              </w:rPr>
            </w:pPr>
            <w:r w:rsidRPr="00D64713">
              <w:rPr>
                <w:rFonts w:asciiTheme="minorHAnsi" w:eastAsia="Times New Roman" w:hAnsiTheme="minorHAnsi" w:cs="Arial"/>
              </w:rPr>
              <w:t>Trainings for volunteers working in ABE programs</w:t>
            </w:r>
          </w:p>
        </w:tc>
        <w:tc>
          <w:tcPr>
            <w:tcW w:w="1880" w:type="dxa"/>
            <w:tcBorders>
              <w:top w:val="single" w:sz="4" w:space="0" w:color="auto"/>
              <w:left w:val="nil"/>
              <w:bottom w:val="single" w:sz="4" w:space="0" w:color="auto"/>
              <w:right w:val="single" w:sz="8" w:space="0" w:color="auto"/>
            </w:tcBorders>
            <w:tcMar>
              <w:top w:w="0" w:type="dxa"/>
              <w:left w:w="57" w:type="dxa"/>
              <w:bottom w:w="0" w:type="dxa"/>
              <w:right w:w="57" w:type="dxa"/>
            </w:tcMar>
            <w:hideMark/>
          </w:tcPr>
          <w:p w14:paraId="0A78B05F"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Calibri" w:hAnsiTheme="minorHAnsi" w:cs="Arial"/>
              </w:rPr>
              <w:t>73</w:t>
            </w:r>
          </w:p>
        </w:tc>
        <w:tc>
          <w:tcPr>
            <w:tcW w:w="1890" w:type="dxa"/>
            <w:tcBorders>
              <w:top w:val="single" w:sz="4" w:space="0" w:color="auto"/>
              <w:left w:val="nil"/>
              <w:bottom w:val="single" w:sz="4" w:space="0" w:color="auto"/>
              <w:right w:val="single" w:sz="8" w:space="0" w:color="auto"/>
            </w:tcBorders>
            <w:tcMar>
              <w:top w:w="0" w:type="dxa"/>
              <w:left w:w="57" w:type="dxa"/>
              <w:bottom w:w="0" w:type="dxa"/>
              <w:right w:w="57" w:type="dxa"/>
            </w:tcMar>
            <w:hideMark/>
          </w:tcPr>
          <w:p w14:paraId="5312D605" w14:textId="77777777" w:rsidR="00F70B0B" w:rsidRPr="00D64713" w:rsidRDefault="00F70B0B" w:rsidP="007E06C6">
            <w:pPr>
              <w:spacing w:before="0" w:after="0" w:line="240" w:lineRule="auto"/>
              <w:jc w:val="right"/>
              <w:rPr>
                <w:rFonts w:asciiTheme="minorHAnsi" w:eastAsia="Times New Roman" w:hAnsiTheme="minorHAnsi" w:cs="Arial"/>
              </w:rPr>
            </w:pPr>
            <w:r w:rsidRPr="00D64713">
              <w:rPr>
                <w:rFonts w:asciiTheme="minorHAnsi" w:eastAsia="Times New Roman" w:hAnsiTheme="minorHAnsi" w:cs="Arial"/>
              </w:rPr>
              <w:t>1458</w:t>
            </w:r>
          </w:p>
        </w:tc>
      </w:tr>
      <w:tr w:rsidR="00F70B0B" w:rsidRPr="00D64713" w14:paraId="00285BD3" w14:textId="77777777" w:rsidTr="007E06C6">
        <w:trPr>
          <w:jc w:val="center"/>
        </w:trPr>
        <w:tc>
          <w:tcPr>
            <w:tcW w:w="4770" w:type="dxa"/>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tcPr>
          <w:p w14:paraId="4332300F" w14:textId="77777777" w:rsidR="00F70B0B" w:rsidRPr="00D64713" w:rsidRDefault="00F70B0B" w:rsidP="007E06C6">
            <w:pPr>
              <w:spacing w:before="0" w:after="0" w:line="240" w:lineRule="auto"/>
              <w:rPr>
                <w:rFonts w:asciiTheme="minorHAnsi" w:eastAsia="Times New Roman" w:hAnsiTheme="minorHAnsi" w:cs="Arial"/>
              </w:rPr>
            </w:pPr>
            <w:r w:rsidRPr="00D64713">
              <w:rPr>
                <w:rFonts w:asciiTheme="minorHAnsi" w:eastAsia="Times New Roman" w:hAnsiTheme="minorHAnsi" w:cs="Arial"/>
              </w:rPr>
              <w:t xml:space="preserve">ABE Volunteer Management Conference </w:t>
            </w:r>
          </w:p>
        </w:tc>
        <w:tc>
          <w:tcPr>
            <w:tcW w:w="1880" w:type="dxa"/>
            <w:tcBorders>
              <w:top w:val="single" w:sz="4" w:space="0" w:color="auto"/>
              <w:left w:val="nil"/>
              <w:bottom w:val="single" w:sz="8" w:space="0" w:color="auto"/>
              <w:right w:val="single" w:sz="8" w:space="0" w:color="auto"/>
            </w:tcBorders>
            <w:tcMar>
              <w:top w:w="0" w:type="dxa"/>
              <w:left w:w="57" w:type="dxa"/>
              <w:bottom w:w="0" w:type="dxa"/>
              <w:right w:w="57" w:type="dxa"/>
            </w:tcMar>
          </w:tcPr>
          <w:p w14:paraId="776A9892" w14:textId="77777777" w:rsidR="00F70B0B" w:rsidRPr="00D64713" w:rsidRDefault="00F70B0B" w:rsidP="007E06C6">
            <w:pPr>
              <w:spacing w:before="0" w:after="0" w:line="240" w:lineRule="auto"/>
              <w:jc w:val="right"/>
              <w:rPr>
                <w:rFonts w:asciiTheme="minorHAnsi" w:eastAsia="Calibri" w:hAnsiTheme="minorHAnsi" w:cs="Arial"/>
              </w:rPr>
            </w:pPr>
            <w:r w:rsidRPr="00D64713">
              <w:rPr>
                <w:rFonts w:asciiTheme="minorHAnsi" w:eastAsia="Calibri" w:hAnsiTheme="minorHAnsi" w:cs="Arial"/>
              </w:rPr>
              <w:t>1</w:t>
            </w:r>
          </w:p>
        </w:tc>
        <w:tc>
          <w:tcPr>
            <w:tcW w:w="1890" w:type="dxa"/>
            <w:tcBorders>
              <w:top w:val="single" w:sz="4" w:space="0" w:color="auto"/>
              <w:left w:val="nil"/>
              <w:bottom w:val="single" w:sz="8" w:space="0" w:color="auto"/>
              <w:right w:val="single" w:sz="8" w:space="0" w:color="auto"/>
            </w:tcBorders>
            <w:tcMar>
              <w:top w:w="0" w:type="dxa"/>
              <w:left w:w="57" w:type="dxa"/>
              <w:bottom w:w="0" w:type="dxa"/>
              <w:right w:w="57" w:type="dxa"/>
            </w:tcMar>
          </w:tcPr>
          <w:p w14:paraId="4F6C132C" w14:textId="77777777" w:rsidR="00F70B0B" w:rsidRPr="00D64713" w:rsidRDefault="00F70B0B" w:rsidP="007E06C6">
            <w:pPr>
              <w:spacing w:before="0" w:after="0" w:line="240" w:lineRule="auto"/>
              <w:jc w:val="right"/>
              <w:rPr>
                <w:rFonts w:asciiTheme="minorHAnsi" w:eastAsia="Times New Roman" w:hAnsiTheme="minorHAnsi" w:cs="Arial"/>
              </w:rPr>
            </w:pPr>
            <w:r w:rsidRPr="00D64713">
              <w:rPr>
                <w:rFonts w:asciiTheme="minorHAnsi" w:eastAsia="Times New Roman" w:hAnsiTheme="minorHAnsi" w:cs="Arial"/>
              </w:rPr>
              <w:t>119</w:t>
            </w:r>
          </w:p>
        </w:tc>
      </w:tr>
    </w:tbl>
    <w:p w14:paraId="27576327" w14:textId="77777777" w:rsidR="00F70B0B" w:rsidRPr="00D64713" w:rsidRDefault="00F70B0B" w:rsidP="00F70B0B">
      <w:pPr>
        <w:spacing w:before="0" w:after="0" w:line="240" w:lineRule="auto"/>
        <w:rPr>
          <w:rFonts w:eastAsia="Calibri" w:cs="Arial"/>
          <w:sz w:val="16"/>
          <w:szCs w:val="20"/>
        </w:rPr>
      </w:pPr>
    </w:p>
    <w:p w14:paraId="5E839D2B" w14:textId="77777777" w:rsidR="00F70B0B" w:rsidRPr="00D64713" w:rsidRDefault="00F70B0B" w:rsidP="00F70B0B">
      <w:pPr>
        <w:spacing w:before="0" w:after="0" w:line="240" w:lineRule="auto"/>
        <w:rPr>
          <w:rFonts w:asciiTheme="minorHAnsi" w:eastAsia="Times New Roman" w:hAnsiTheme="minorHAnsi" w:cs="Arial"/>
        </w:rPr>
      </w:pPr>
      <w:r w:rsidRPr="00D64713">
        <w:rPr>
          <w:rFonts w:asciiTheme="minorHAnsi" w:eastAsia="Times New Roman" w:hAnsiTheme="minorHAnsi" w:cs="Arial"/>
        </w:rPr>
        <w:t>In addition, PD was provided through a number of long-term job-embedded activities, including:</w:t>
      </w:r>
    </w:p>
    <w:p w14:paraId="7A316637" w14:textId="77777777" w:rsidR="00F70B0B" w:rsidRPr="00D64713" w:rsidRDefault="00F70B0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rPr>
        <w:t>CCRS Implementation Cohort</w:t>
      </w:r>
      <w:r w:rsidRPr="00D64713">
        <w:rPr>
          <w:rFonts w:asciiTheme="minorHAnsi" w:eastAsia="Times New Roman" w:hAnsiTheme="minorHAnsi" w:cs="Arial"/>
        </w:rPr>
        <w:t xml:space="preserve">: Training for local program teams focused on understanding and implementing the College and Career Readiness Standards for Adult Education  </w:t>
      </w:r>
    </w:p>
    <w:p w14:paraId="542B45E3" w14:textId="77777777" w:rsidR="00F70B0B" w:rsidRPr="00D64713" w:rsidRDefault="00F70B0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rPr>
        <w:t>STAR</w:t>
      </w:r>
      <w:r w:rsidRPr="00D64713">
        <w:rPr>
          <w:rFonts w:asciiTheme="minorHAnsi" w:eastAsia="Times New Roman" w:hAnsiTheme="minorHAnsi" w:cs="Arial"/>
        </w:rPr>
        <w:t xml:space="preserve"> (</w:t>
      </w:r>
      <w:proofErr w:type="spellStart"/>
      <w:r w:rsidRPr="00D64713">
        <w:rPr>
          <w:rFonts w:asciiTheme="minorHAnsi" w:eastAsia="Times New Roman" w:hAnsiTheme="minorHAnsi" w:cs="Arial"/>
        </w:rPr>
        <w:t>STudent</w:t>
      </w:r>
      <w:proofErr w:type="spellEnd"/>
      <w:r w:rsidRPr="00D64713">
        <w:rPr>
          <w:rFonts w:asciiTheme="minorHAnsi" w:eastAsia="Times New Roman" w:hAnsiTheme="minorHAnsi" w:cs="Arial"/>
        </w:rPr>
        <w:t xml:space="preserve"> Achievement in Reading): Training and support for teachers of intermediate-level adult readers in effective, evidence-based practices in adult reading instruction</w:t>
      </w:r>
    </w:p>
    <w:p w14:paraId="1B2503B0" w14:textId="77777777" w:rsidR="00F70B0B" w:rsidRPr="00D64713" w:rsidRDefault="00F70B0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lang w:val="en"/>
        </w:rPr>
        <w:t>Evidence-Based Reading Instruction</w:t>
      </w:r>
      <w:r w:rsidRPr="00D64713">
        <w:rPr>
          <w:rFonts w:asciiTheme="minorHAnsi" w:eastAsia="Times New Roman" w:hAnsiTheme="minorHAnsi" w:cs="Arial"/>
          <w:lang w:val="en"/>
        </w:rPr>
        <w:t xml:space="preserve"> (EBRI): </w:t>
      </w:r>
      <w:r w:rsidRPr="00D64713">
        <w:rPr>
          <w:rFonts w:asciiTheme="minorHAnsi" w:eastAsia="Times New Roman" w:hAnsiTheme="minorHAnsi" w:cs="Arial"/>
        </w:rPr>
        <w:t>Study Circles and Training</w:t>
      </w:r>
      <w:r w:rsidRPr="00D64713">
        <w:rPr>
          <w:rFonts w:asciiTheme="minorHAnsi" w:eastAsia="Times New Roman" w:hAnsiTheme="minorHAnsi" w:cs="Arial"/>
          <w:lang w:val="en"/>
        </w:rPr>
        <w:t xml:space="preserve"> (both in-person and online sessions)</w:t>
      </w:r>
    </w:p>
    <w:p w14:paraId="760B31D4" w14:textId="77777777" w:rsidR="00F70B0B" w:rsidRPr="00D64713" w:rsidRDefault="00F70B0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lang w:val="en"/>
        </w:rPr>
        <w:t xml:space="preserve">Adult Career Pathway Program Development: </w:t>
      </w:r>
      <w:r w:rsidRPr="00D64713">
        <w:rPr>
          <w:rFonts w:asciiTheme="minorHAnsi" w:eastAsia="Times New Roman" w:hAnsiTheme="minorHAnsi" w:cs="Arial"/>
          <w:lang w:val="en"/>
        </w:rPr>
        <w:t xml:space="preserve">Training and coaching for ABE administrators in developing adult career pathway programming </w:t>
      </w:r>
    </w:p>
    <w:p w14:paraId="26838961" w14:textId="77777777" w:rsidR="00F70B0B" w:rsidRPr="00D64713" w:rsidRDefault="00F70B0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lang w:val="en"/>
        </w:rPr>
        <w:t>Adult Career Pathway Course Design:</w:t>
      </w:r>
      <w:r w:rsidRPr="00D64713">
        <w:rPr>
          <w:rFonts w:asciiTheme="minorHAnsi" w:eastAsia="Times New Roman" w:hAnsiTheme="minorHAnsi" w:cs="Arial"/>
          <w:lang w:val="en"/>
        </w:rPr>
        <w:t xml:space="preserve"> Training and support for instructors or curriculum writers in developing or strengthening adult career pathway courses</w:t>
      </w:r>
    </w:p>
    <w:p w14:paraId="1F3A0F5A" w14:textId="77777777" w:rsidR="00F70B0B" w:rsidRPr="00D64713" w:rsidRDefault="00F70B0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rPr>
        <w:t>ACES</w:t>
      </w:r>
      <w:r w:rsidRPr="00D64713">
        <w:rPr>
          <w:rFonts w:asciiTheme="minorHAnsi" w:eastAsia="Times New Roman" w:hAnsiTheme="minorHAnsi" w:cs="Arial"/>
        </w:rPr>
        <w:t xml:space="preserve"> (Academic, Career, and Employability Skills): Training </w:t>
      </w:r>
      <w:r w:rsidRPr="00D64713">
        <w:rPr>
          <w:rFonts w:asciiTheme="minorHAnsi" w:eastAsia="Times New Roman" w:hAnsiTheme="minorHAnsi" w:cs="Arial"/>
          <w:lang w:val="en"/>
        </w:rPr>
        <w:t>to ensure that ABE programs are providing contextualized instruction integrating post-secondary education and training readiness, employability skills, and career readiness at all levels</w:t>
      </w:r>
    </w:p>
    <w:p w14:paraId="116BC39E" w14:textId="77777777" w:rsidR="00F70B0B" w:rsidRDefault="00F70B0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rPr>
        <w:t>Career-focused Contextualized Basic Skills Instruction:</w:t>
      </w:r>
      <w:r w:rsidRPr="00D64713">
        <w:rPr>
          <w:rFonts w:asciiTheme="minorHAnsi" w:eastAsia="Times New Roman" w:hAnsiTheme="minorHAnsi" w:cs="Arial"/>
        </w:rPr>
        <w:t xml:space="preserve"> Training for instructors on integrating basic skills instruction with career-focused content</w:t>
      </w:r>
    </w:p>
    <w:p w14:paraId="56F4356A" w14:textId="77777777" w:rsidR="00F70B0B" w:rsidRDefault="00F70B0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rPr>
        <w:t>Technology Integration Initiative:</w:t>
      </w:r>
      <w:r w:rsidRPr="00D64713">
        <w:rPr>
          <w:rFonts w:asciiTheme="minorHAnsi" w:eastAsia="Times New Roman" w:hAnsiTheme="minorHAnsi" w:cs="Arial"/>
        </w:rPr>
        <w:t xml:space="preserve"> Training and support for instructors on integrating digital literacy instruc</w:t>
      </w:r>
      <w:r>
        <w:rPr>
          <w:rFonts w:asciiTheme="minorHAnsi" w:eastAsia="Times New Roman" w:hAnsiTheme="minorHAnsi" w:cs="Arial"/>
        </w:rPr>
        <w:t>tion and technology into lesson</w:t>
      </w:r>
    </w:p>
    <w:p w14:paraId="4C9EEE2C" w14:textId="77777777" w:rsidR="00AB69CB" w:rsidRPr="00D64713" w:rsidRDefault="00AB69CB" w:rsidP="00AB69CB">
      <w:pPr>
        <w:pStyle w:val="ListParagraph"/>
        <w:numPr>
          <w:ilvl w:val="1"/>
          <w:numId w:val="31"/>
        </w:numPr>
        <w:spacing w:before="0" w:after="0" w:line="240" w:lineRule="auto"/>
        <w:jc w:val="both"/>
        <w:rPr>
          <w:rFonts w:asciiTheme="minorHAnsi" w:eastAsia="Times New Roman" w:hAnsiTheme="minorHAnsi" w:cs="Arial"/>
        </w:rPr>
      </w:pPr>
      <w:r w:rsidRPr="00D64713">
        <w:rPr>
          <w:rFonts w:asciiTheme="minorHAnsi" w:eastAsia="Times New Roman" w:hAnsiTheme="minorHAnsi" w:cs="Arial"/>
          <w:b/>
          <w:lang w:val="en"/>
        </w:rPr>
        <w:t>Language Instruction Study Circles</w:t>
      </w:r>
      <w:r w:rsidRPr="00D64713">
        <w:rPr>
          <w:rFonts w:asciiTheme="minorHAnsi" w:eastAsia="Times New Roman" w:hAnsiTheme="minorHAnsi" w:cs="Arial"/>
          <w:lang w:val="en"/>
        </w:rPr>
        <w:t>: A suite of facilitated study circles focused on 1) working with ESL learners with limited literacy, 2) integrating numeracy and language instruction, and 3) teaching pronunciation</w:t>
      </w:r>
    </w:p>
    <w:p w14:paraId="16E9FC82" w14:textId="2BCC2E8F" w:rsidR="00F70B0B" w:rsidRPr="00F70B0B" w:rsidRDefault="00F70B0B" w:rsidP="00AB69CB">
      <w:pPr>
        <w:pStyle w:val="BodyText"/>
        <w:tabs>
          <w:tab w:val="left" w:pos="1180"/>
        </w:tabs>
        <w:spacing w:line="238" w:lineRule="auto"/>
        <w:ind w:left="820" w:right="663" w:firstLine="0"/>
        <w:rPr>
          <w:rFonts w:asciiTheme="minorHAnsi" w:hAnsiTheme="minorHAnsi"/>
          <w:i/>
          <w:spacing w:val="-1"/>
          <w:sz w:val="22"/>
          <w:szCs w:val="22"/>
          <w:highlight w:val="yellow"/>
        </w:rPr>
      </w:pPr>
    </w:p>
    <w:p w14:paraId="236F8956" w14:textId="77777777" w:rsidR="00AB69CB" w:rsidRPr="00AB69CB" w:rsidRDefault="00AB69CB" w:rsidP="00AB69CB">
      <w:pPr>
        <w:pStyle w:val="ListParagraph"/>
        <w:numPr>
          <w:ilvl w:val="0"/>
          <w:numId w:val="0"/>
        </w:numPr>
        <w:spacing w:before="0" w:after="0" w:line="240" w:lineRule="auto"/>
        <w:ind w:left="360"/>
        <w:jc w:val="both"/>
        <w:rPr>
          <w:rFonts w:asciiTheme="minorHAnsi" w:eastAsia="Times New Roman" w:hAnsiTheme="minorHAnsi" w:cs="Arial"/>
        </w:rPr>
      </w:pPr>
    </w:p>
    <w:p w14:paraId="1F0429AD" w14:textId="77777777" w:rsidR="00F70B0B" w:rsidRPr="00D64713" w:rsidRDefault="00F70B0B" w:rsidP="00F70B0B">
      <w:pPr>
        <w:pStyle w:val="BodyText"/>
        <w:numPr>
          <w:ilvl w:val="0"/>
          <w:numId w:val="31"/>
        </w:numPr>
        <w:tabs>
          <w:tab w:val="left" w:pos="1180"/>
        </w:tabs>
        <w:spacing w:line="238" w:lineRule="auto"/>
        <w:ind w:right="663"/>
        <w:rPr>
          <w:rFonts w:asciiTheme="minorHAnsi" w:hAnsiTheme="minorHAnsi"/>
          <w:i/>
          <w:spacing w:val="-1"/>
          <w:sz w:val="22"/>
          <w:szCs w:val="22"/>
        </w:rPr>
      </w:pPr>
      <w:r w:rsidRPr="00D64713">
        <w:rPr>
          <w:rFonts w:asciiTheme="minorHAnsi" w:hAnsiTheme="minorHAnsi"/>
          <w:i/>
          <w:spacing w:val="-1"/>
          <w:sz w:val="22"/>
          <w:szCs w:val="22"/>
        </w:rPr>
        <w:t>Provision of technical assistance to funded eligible providers as described in section 223(1</w:t>
      </w:r>
      <w:proofErr w:type="gramStart"/>
      <w:r w:rsidRPr="00D64713">
        <w:rPr>
          <w:rFonts w:asciiTheme="minorHAnsi" w:hAnsiTheme="minorHAnsi"/>
          <w:i/>
          <w:spacing w:val="-1"/>
          <w:sz w:val="22"/>
          <w:szCs w:val="22"/>
        </w:rPr>
        <w:t>)(</w:t>
      </w:r>
      <w:proofErr w:type="gramEnd"/>
      <w:r w:rsidRPr="00D64713">
        <w:rPr>
          <w:rFonts w:asciiTheme="minorHAnsi" w:hAnsiTheme="minorHAnsi"/>
          <w:i/>
          <w:spacing w:val="-1"/>
          <w:sz w:val="22"/>
          <w:szCs w:val="22"/>
        </w:rPr>
        <w:t>c).</w:t>
      </w:r>
    </w:p>
    <w:p w14:paraId="7DBF8459" w14:textId="77777777" w:rsidR="00F70B0B" w:rsidRPr="00D64713" w:rsidRDefault="00F70B0B" w:rsidP="00F70B0B">
      <w:pPr>
        <w:autoSpaceDE w:val="0"/>
        <w:autoSpaceDN w:val="0"/>
        <w:rPr>
          <w:rFonts w:asciiTheme="minorHAnsi" w:hAnsiTheme="minorHAnsi"/>
        </w:rPr>
      </w:pPr>
      <w:r w:rsidRPr="00D64713">
        <w:rPr>
          <w:rFonts w:asciiTheme="minorHAnsi" w:hAnsiTheme="minorHAnsi"/>
        </w:rPr>
        <w:t>Federal state leadership funds are used to support state-level technical assistance and to provide administrative and professional development services necessary to operate the ABE system in Minnesota. Resources helped to provide essential areas of technical assistance, such as: maintaining the Minnesota Adult Basic Education website (</w:t>
      </w:r>
      <w:hyperlink r:id="rId13" w:history="1">
        <w:r w:rsidRPr="00D64713">
          <w:rPr>
            <w:rStyle w:val="Hyperlink"/>
            <w:rFonts w:asciiTheme="minorHAnsi" w:hAnsiTheme="minorHAnsi"/>
          </w:rPr>
          <w:t>www.mnabe.org</w:t>
        </w:r>
      </w:hyperlink>
      <w:r w:rsidRPr="00D64713">
        <w:rPr>
          <w:rFonts w:asciiTheme="minorHAnsi" w:hAnsiTheme="minorHAnsi"/>
        </w:rPr>
        <w:t xml:space="preserve"> ); providing frequent communication with local program staff through quarterly webinars, fall meetings with ABE managers, spring grant application meetings, regional Q and A sessions, and trainings at the annual ABE Summer Institute; providing direct guidance through thousands of individual emails and calls from local program staff; and disseminating a weekly electronic PD newsletter with information about training opportunities, instructional resources and promising practices.</w:t>
      </w:r>
    </w:p>
    <w:p w14:paraId="37453482" w14:textId="77777777" w:rsidR="00F70B0B" w:rsidRPr="00D64713" w:rsidRDefault="00F70B0B" w:rsidP="00F70B0B">
      <w:pPr>
        <w:pStyle w:val="ListParagraph"/>
        <w:numPr>
          <w:ilvl w:val="0"/>
          <w:numId w:val="0"/>
        </w:numPr>
        <w:autoSpaceDE w:val="0"/>
        <w:autoSpaceDN w:val="0"/>
        <w:rPr>
          <w:rFonts w:asciiTheme="minorHAnsi" w:hAnsiTheme="minorHAnsi"/>
        </w:rPr>
      </w:pPr>
      <w:r w:rsidRPr="00D64713">
        <w:rPr>
          <w:rFonts w:asciiTheme="minorHAnsi" w:hAnsiTheme="minorHAnsi"/>
        </w:rPr>
        <w:t>Technical assistance also supports funded eligible providers in the following specific ways:</w:t>
      </w:r>
    </w:p>
    <w:p w14:paraId="74FC2189" w14:textId="77777777" w:rsidR="00F70B0B" w:rsidRPr="00D64713" w:rsidRDefault="00F70B0B" w:rsidP="00F70B0B">
      <w:pPr>
        <w:pStyle w:val="ListParagraph"/>
        <w:numPr>
          <w:ilvl w:val="0"/>
          <w:numId w:val="0"/>
        </w:numPr>
        <w:autoSpaceDE w:val="0"/>
        <w:autoSpaceDN w:val="0"/>
        <w:rPr>
          <w:rFonts w:asciiTheme="minorHAnsi" w:hAnsiTheme="minorHAnsi"/>
        </w:rPr>
      </w:pPr>
      <w:r w:rsidRPr="00D64713">
        <w:rPr>
          <w:rFonts w:asciiTheme="minorHAnsi" w:hAnsiTheme="minorHAnsi"/>
        </w:rPr>
        <w:t xml:space="preserve">(1) Increasing the capacity of instructors and programs to provide quality instruction in the areas of reading, writing, speaking, mathematics, English language acquisition, and distance education via implementation of PD activities and associated technical assistance such as: support to programs using the STAR model; Evidence-Based Reading Instruction study circles and online courses; annual Language and Literacy Institute; Adult ESL Study Circles; participation in the Minnesota Teachers of Mathematics Conference; MN distance learning website; Distance Learning Basics online course; and online resource libraries in the areas of EBRI, STAR, writing, adult ESL, numeracy, adult career pathways, content standards, transitions, and project-based learning. These online resource libraries can be found at: </w:t>
      </w:r>
      <w:hyperlink r:id="rId14" w:history="1">
        <w:r w:rsidRPr="00D64713">
          <w:rPr>
            <w:rStyle w:val="Hyperlink"/>
            <w:rFonts w:asciiTheme="minorHAnsi" w:hAnsiTheme="minorHAnsi"/>
          </w:rPr>
          <w:t>http://atlasabe.org/resources-atlas-and-general-abe</w:t>
        </w:r>
      </w:hyperlink>
      <w:r w:rsidRPr="00D64713">
        <w:rPr>
          <w:rFonts w:asciiTheme="minorHAnsi" w:hAnsiTheme="minorHAnsi"/>
        </w:rPr>
        <w:t xml:space="preserve"> .</w:t>
      </w:r>
    </w:p>
    <w:p w14:paraId="079F7B76" w14:textId="77777777" w:rsidR="00F70B0B" w:rsidRPr="00D64713" w:rsidRDefault="00F70B0B" w:rsidP="00F70B0B">
      <w:pPr>
        <w:pStyle w:val="ListParagraph"/>
        <w:numPr>
          <w:ilvl w:val="0"/>
          <w:numId w:val="0"/>
        </w:numPr>
        <w:autoSpaceDE w:val="0"/>
        <w:autoSpaceDN w:val="0"/>
        <w:spacing w:before="0" w:after="0" w:line="240" w:lineRule="auto"/>
        <w:ind w:left="360"/>
        <w:contextualSpacing w:val="0"/>
        <w:rPr>
          <w:sz w:val="20"/>
          <w:szCs w:val="20"/>
        </w:rPr>
      </w:pPr>
      <w:r w:rsidRPr="00D64713">
        <w:rPr>
          <w:sz w:val="20"/>
          <w:szCs w:val="20"/>
        </w:rPr>
        <w:t xml:space="preserve"> </w:t>
      </w:r>
    </w:p>
    <w:p w14:paraId="0C50068F" w14:textId="77777777" w:rsidR="00F70B0B" w:rsidRPr="00D64713" w:rsidRDefault="00F70B0B" w:rsidP="00F70B0B">
      <w:pPr>
        <w:autoSpaceDE w:val="0"/>
        <w:autoSpaceDN w:val="0"/>
        <w:rPr>
          <w:rFonts w:asciiTheme="minorHAnsi" w:hAnsiTheme="minorHAnsi"/>
        </w:rPr>
      </w:pPr>
      <w:r w:rsidRPr="00D64713">
        <w:rPr>
          <w:rFonts w:asciiTheme="minorHAnsi" w:hAnsiTheme="minorHAnsi"/>
        </w:rPr>
        <w:t>(2)  Enabling providers to establish, build upon, or maintain effective relationships with other core providers via training on navigation, integrating education with occupational training, and transition strategies for post-secondary enrollment or employment.</w:t>
      </w:r>
    </w:p>
    <w:p w14:paraId="75184143" w14:textId="77777777" w:rsidR="00F70B0B" w:rsidRPr="00D64713" w:rsidRDefault="00F70B0B" w:rsidP="00F70B0B">
      <w:pPr>
        <w:autoSpaceDE w:val="0"/>
        <w:autoSpaceDN w:val="0"/>
        <w:rPr>
          <w:rFonts w:asciiTheme="minorHAnsi" w:hAnsiTheme="minorHAnsi"/>
        </w:rPr>
      </w:pPr>
      <w:r w:rsidRPr="00D64713">
        <w:rPr>
          <w:rFonts w:asciiTheme="minorHAnsi" w:hAnsiTheme="minorHAnsi"/>
        </w:rPr>
        <w:t xml:space="preserve">(3)  Using technology to improve program effectiveness through training and technical assistance focused on preparing instructors and program administrators to identify and utilize technology to enhance instruction, programming, and distance education.  The Minnesota Department of Education ABE office contracted to provide professional development in the area of educational technology through face-to-face and online training. More information about current technology training can be found at: </w:t>
      </w:r>
      <w:hyperlink r:id="rId15" w:history="1">
        <w:r w:rsidRPr="00D64713">
          <w:rPr>
            <w:rStyle w:val="Hyperlink"/>
            <w:rFonts w:asciiTheme="minorHAnsi" w:hAnsiTheme="minorHAnsi"/>
          </w:rPr>
          <w:t>https://mnliteracy.org/techservices</w:t>
        </w:r>
      </w:hyperlink>
      <w:r w:rsidRPr="00D64713">
        <w:rPr>
          <w:rFonts w:asciiTheme="minorHAnsi" w:hAnsiTheme="minorHAnsi"/>
        </w:rPr>
        <w:t xml:space="preserve">.  In addition, online training was provided in a variety of areas, including educational technology, digital literacy instruction, and distance learning.  A list of current courses available can be found at: </w:t>
      </w:r>
      <w:hyperlink r:id="rId16" w:history="1">
        <w:r w:rsidRPr="00D64713">
          <w:rPr>
            <w:rStyle w:val="Hyperlink"/>
            <w:rFonts w:asciiTheme="minorHAnsi" w:hAnsiTheme="minorHAnsi"/>
          </w:rPr>
          <w:t>http://online.themlc.org/</w:t>
        </w:r>
      </w:hyperlink>
      <w:r w:rsidRPr="00D64713">
        <w:rPr>
          <w:rFonts w:asciiTheme="minorHAnsi" w:hAnsiTheme="minorHAnsi"/>
        </w:rPr>
        <w:t xml:space="preserve">.  Training and technical assistance around distance education and digital literacy is also offered through the same provider.  More information about current training and resources can be found at: </w:t>
      </w:r>
      <w:hyperlink r:id="rId17" w:history="1">
        <w:r w:rsidRPr="00D64713">
          <w:rPr>
            <w:rStyle w:val="Hyperlink"/>
            <w:rFonts w:asciiTheme="minorHAnsi" w:hAnsiTheme="minorHAnsi"/>
          </w:rPr>
          <w:t>http://www.mnabe-distancelearning.org/</w:t>
        </w:r>
      </w:hyperlink>
      <w:r w:rsidRPr="00D64713">
        <w:rPr>
          <w:rFonts w:asciiTheme="minorHAnsi" w:hAnsiTheme="minorHAnsi"/>
        </w:rPr>
        <w:t xml:space="preserve"> </w:t>
      </w:r>
    </w:p>
    <w:p w14:paraId="7956C150" w14:textId="740A07BA" w:rsidR="00AB69CB" w:rsidRDefault="00F70B0B" w:rsidP="007E3AE7">
      <w:pPr>
        <w:autoSpaceDE w:val="0"/>
        <w:autoSpaceDN w:val="0"/>
        <w:rPr>
          <w:rFonts w:asciiTheme="minorHAnsi" w:hAnsiTheme="minorHAnsi"/>
        </w:rPr>
      </w:pPr>
      <w:r w:rsidRPr="00D64713">
        <w:rPr>
          <w:rFonts w:asciiTheme="minorHAnsi" w:hAnsiTheme="minorHAnsi"/>
        </w:rPr>
        <w:t>In addition, other training and technical assistance focused on the effective use of the statewide data system to maintain accurate student data and continuously improve programming. This support was offered through face-to-face training at conferences and regional events as well as through online training.</w:t>
      </w:r>
    </w:p>
    <w:p w14:paraId="409ED7B3" w14:textId="527EF6D2" w:rsidR="00195373" w:rsidRDefault="00BA4342" w:rsidP="00195373">
      <w:pPr>
        <w:pStyle w:val="ListParagraph"/>
        <w:numPr>
          <w:ilvl w:val="0"/>
          <w:numId w:val="31"/>
        </w:numPr>
        <w:autoSpaceDE w:val="0"/>
        <w:autoSpaceDN w:val="0"/>
        <w:rPr>
          <w:rFonts w:asciiTheme="minorHAnsi" w:hAnsiTheme="minorHAnsi"/>
          <w:i/>
          <w:spacing w:val="-1"/>
        </w:rPr>
      </w:pPr>
      <w:r w:rsidRPr="000857CA">
        <w:rPr>
          <w:rFonts w:asciiTheme="minorHAnsi" w:hAnsiTheme="minorHAnsi"/>
          <w:i/>
          <w:spacing w:val="-1"/>
        </w:rPr>
        <w:t>Monitoring and evaluation of the quality and improvement of adult education activities as described in section 223(1</w:t>
      </w:r>
      <w:proofErr w:type="gramStart"/>
      <w:r w:rsidRPr="000857CA">
        <w:rPr>
          <w:rFonts w:asciiTheme="minorHAnsi" w:hAnsiTheme="minorHAnsi"/>
          <w:i/>
          <w:spacing w:val="-1"/>
        </w:rPr>
        <w:t>)(</w:t>
      </w:r>
      <w:proofErr w:type="gramEnd"/>
      <w:r w:rsidRPr="000857CA">
        <w:rPr>
          <w:rFonts w:asciiTheme="minorHAnsi" w:hAnsiTheme="minorHAnsi"/>
          <w:i/>
          <w:spacing w:val="-1"/>
        </w:rPr>
        <w:t>d).</w:t>
      </w:r>
    </w:p>
    <w:p w14:paraId="6BCFB658" w14:textId="0D4C05E8" w:rsidR="00195373" w:rsidRPr="00195373" w:rsidRDefault="00195373" w:rsidP="00195373">
      <w:pPr>
        <w:autoSpaceDE w:val="0"/>
        <w:autoSpaceDN w:val="0"/>
        <w:rPr>
          <w:rFonts w:asciiTheme="minorHAnsi" w:hAnsiTheme="minorHAnsi"/>
          <w:i/>
          <w:spacing w:val="-1"/>
        </w:rPr>
      </w:pPr>
      <w:r w:rsidRPr="00082A78">
        <w:rPr>
          <w:rFonts w:asciiTheme="minorHAnsi" w:hAnsiTheme="minorHAnsi" w:cs="Arial"/>
        </w:rPr>
        <w:t xml:space="preserve">The state ABE leadership team monitored the quality of adult education </w:t>
      </w:r>
      <w:r>
        <w:rPr>
          <w:rFonts w:asciiTheme="minorHAnsi" w:hAnsiTheme="minorHAnsi" w:cs="Arial"/>
        </w:rPr>
        <w:t>programs and activities through the following activities: ongoing data system</w:t>
      </w:r>
      <w:r w:rsidRPr="00082A78">
        <w:rPr>
          <w:rFonts w:asciiTheme="minorHAnsi" w:hAnsiTheme="minorHAnsi" w:cs="Arial"/>
        </w:rPr>
        <w:t xml:space="preserve"> development and training to better equip local programs and state staff to monitor local ABE data;</w:t>
      </w:r>
      <w:r>
        <w:rPr>
          <w:rFonts w:asciiTheme="minorHAnsi" w:hAnsiTheme="minorHAnsi" w:cs="Arial"/>
        </w:rPr>
        <w:t xml:space="preserve"> review of NRS data for all programs; expenditure verification via submission of audit certified expenditure reports; s</w:t>
      </w:r>
      <w:r w:rsidRPr="00082A78">
        <w:rPr>
          <w:rFonts w:asciiTheme="minorHAnsi" w:hAnsiTheme="minorHAnsi" w:cs="Arial"/>
        </w:rPr>
        <w:t>ite visits to a number of local ABE programs based on issues identified through program reviews;</w:t>
      </w:r>
      <w:r>
        <w:rPr>
          <w:rFonts w:asciiTheme="minorHAnsi" w:hAnsiTheme="minorHAnsi" w:cs="Arial"/>
        </w:rPr>
        <w:t xml:space="preserve"> annual submission</w:t>
      </w:r>
      <w:r w:rsidRPr="00082A78">
        <w:rPr>
          <w:rFonts w:asciiTheme="minorHAnsi" w:hAnsiTheme="minorHAnsi" w:cs="Arial"/>
        </w:rPr>
        <w:t xml:space="preserve"> </w:t>
      </w:r>
      <w:r>
        <w:rPr>
          <w:rFonts w:asciiTheme="minorHAnsi" w:hAnsiTheme="minorHAnsi" w:cs="Arial"/>
        </w:rPr>
        <w:t xml:space="preserve">of assurances </w:t>
      </w:r>
      <w:r w:rsidRPr="00082A78">
        <w:rPr>
          <w:rFonts w:asciiTheme="minorHAnsi" w:hAnsiTheme="minorHAnsi" w:cs="Arial"/>
        </w:rPr>
        <w:t xml:space="preserve">by </w:t>
      </w:r>
      <w:r>
        <w:rPr>
          <w:rFonts w:asciiTheme="minorHAnsi" w:hAnsiTheme="minorHAnsi" w:cs="Arial"/>
        </w:rPr>
        <w:t>grantees</w:t>
      </w:r>
      <w:r w:rsidRPr="00082A78">
        <w:rPr>
          <w:rFonts w:asciiTheme="minorHAnsi" w:hAnsiTheme="minorHAnsi" w:cs="Arial"/>
        </w:rPr>
        <w:t>;</w:t>
      </w:r>
      <w:r>
        <w:rPr>
          <w:rFonts w:asciiTheme="minorHAnsi" w:hAnsiTheme="minorHAnsi" w:cs="Arial"/>
        </w:rPr>
        <w:t xml:space="preserve"> and implementation of the </w:t>
      </w:r>
      <w:r w:rsidRPr="00082A78">
        <w:rPr>
          <w:rFonts w:asciiTheme="minorHAnsi" w:hAnsiTheme="minorHAnsi" w:cs="Arial"/>
        </w:rPr>
        <w:t xml:space="preserve">annual </w:t>
      </w:r>
      <w:r>
        <w:rPr>
          <w:rFonts w:asciiTheme="minorHAnsi" w:hAnsiTheme="minorHAnsi" w:cs="Arial"/>
        </w:rPr>
        <w:t>“</w:t>
      </w:r>
      <w:r w:rsidRPr="00082A78">
        <w:rPr>
          <w:rFonts w:asciiTheme="minorHAnsi" w:hAnsiTheme="minorHAnsi" w:cs="Arial"/>
        </w:rPr>
        <w:t>report card</w:t>
      </w:r>
      <w:r>
        <w:rPr>
          <w:rFonts w:asciiTheme="minorHAnsi" w:hAnsiTheme="minorHAnsi" w:cs="Arial"/>
        </w:rPr>
        <w:t>”</w:t>
      </w:r>
      <w:r w:rsidRPr="00082A78">
        <w:rPr>
          <w:rFonts w:asciiTheme="minorHAnsi" w:hAnsiTheme="minorHAnsi" w:cs="Arial"/>
        </w:rPr>
        <w:t xml:space="preserve"> </w:t>
      </w:r>
      <w:r>
        <w:rPr>
          <w:rFonts w:asciiTheme="minorHAnsi" w:hAnsiTheme="minorHAnsi" w:cs="Arial"/>
        </w:rPr>
        <w:t>along with staff review of program data. In addition, a</w:t>
      </w:r>
      <w:r w:rsidRPr="00082A78">
        <w:rPr>
          <w:rFonts w:asciiTheme="minorHAnsi" w:hAnsiTheme="minorHAnsi" w:cs="Arial"/>
        </w:rPr>
        <w:t xml:space="preserve">ccountability training was provided at the following events:  support services conference, ABE summer institute, </w:t>
      </w:r>
      <w:r>
        <w:rPr>
          <w:rFonts w:asciiTheme="minorHAnsi" w:hAnsiTheme="minorHAnsi" w:cs="Arial"/>
        </w:rPr>
        <w:t>fall and spring “</w:t>
      </w:r>
      <w:r w:rsidRPr="00082A78">
        <w:rPr>
          <w:rFonts w:asciiTheme="minorHAnsi" w:hAnsiTheme="minorHAnsi" w:cs="Arial"/>
        </w:rPr>
        <w:t>regional</w:t>
      </w:r>
      <w:r>
        <w:rPr>
          <w:rFonts w:asciiTheme="minorHAnsi" w:hAnsiTheme="minorHAnsi" w:cs="Arial"/>
        </w:rPr>
        <w:t>”</w:t>
      </w:r>
      <w:r w:rsidRPr="00082A78">
        <w:rPr>
          <w:rFonts w:asciiTheme="minorHAnsi" w:hAnsiTheme="minorHAnsi" w:cs="Arial"/>
        </w:rPr>
        <w:t xml:space="preserve"> events, statewide local administrator meetings, quarterly webinars, and other events upon request.</w:t>
      </w:r>
      <w:r>
        <w:rPr>
          <w:rFonts w:asciiTheme="minorHAnsi" w:hAnsiTheme="minorHAnsi" w:cs="Arial"/>
        </w:rPr>
        <w:t xml:space="preserve"> </w:t>
      </w:r>
      <w:r w:rsidRPr="00082A78">
        <w:rPr>
          <w:rFonts w:asciiTheme="minorHAnsi" w:hAnsiTheme="minorHAnsi" w:cs="Arial"/>
        </w:rPr>
        <w:t xml:space="preserve">Additional details can be found online at:  </w:t>
      </w:r>
      <w:r w:rsidRPr="00195373">
        <w:rPr>
          <w:rStyle w:val="Hyperlink"/>
          <w:rFonts w:asciiTheme="minorHAnsi" w:hAnsiTheme="minorHAnsi" w:cs="Arial"/>
        </w:rPr>
        <w:t>http://www.mnabe.org/accountability-reporting</w:t>
      </w:r>
    </w:p>
    <w:p w14:paraId="63BCC857" w14:textId="77777777" w:rsidR="00F70B0B" w:rsidRPr="00D64713" w:rsidRDefault="00F70B0B" w:rsidP="00F70B0B">
      <w:pPr>
        <w:pStyle w:val="Heading3"/>
        <w:rPr>
          <w:b w:val="0"/>
          <w:i/>
          <w:color w:val="auto"/>
          <w:sz w:val="22"/>
          <w:szCs w:val="22"/>
        </w:rPr>
      </w:pPr>
      <w:r w:rsidRPr="00D64713">
        <w:rPr>
          <w:b w:val="0"/>
          <w:i/>
          <w:color w:val="auto"/>
          <w:sz w:val="22"/>
          <w:szCs w:val="22"/>
        </w:rPr>
        <w:t>(b) As applicable, describe how the State has used funds for additional permissible activities described in section 223(a</w:t>
      </w:r>
      <w:proofErr w:type="gramStart"/>
      <w:r w:rsidRPr="00D64713">
        <w:rPr>
          <w:b w:val="0"/>
          <w:i/>
          <w:color w:val="auto"/>
          <w:sz w:val="22"/>
          <w:szCs w:val="22"/>
        </w:rPr>
        <w:t>)(</w:t>
      </w:r>
      <w:proofErr w:type="gramEnd"/>
      <w:r w:rsidRPr="00D64713">
        <w:rPr>
          <w:b w:val="0"/>
          <w:i/>
          <w:color w:val="auto"/>
          <w:sz w:val="22"/>
          <w:szCs w:val="22"/>
        </w:rPr>
        <w:t>2).</w:t>
      </w:r>
    </w:p>
    <w:p w14:paraId="5C5E8C0B" w14:textId="77777777" w:rsidR="00F70B0B" w:rsidRPr="00D64713" w:rsidRDefault="00F70B0B" w:rsidP="009F3746">
      <w:pPr>
        <w:tabs>
          <w:tab w:val="left" w:pos="-1440"/>
          <w:tab w:val="left" w:pos="-720"/>
        </w:tabs>
        <w:spacing w:before="0" w:after="0"/>
        <w:ind w:right="-144"/>
        <w:rPr>
          <w:rFonts w:asciiTheme="minorHAnsi" w:eastAsia="Times New Roman" w:hAnsiTheme="minorHAnsi" w:cs="Times New Roman"/>
        </w:rPr>
      </w:pPr>
      <w:r w:rsidRPr="00D64713">
        <w:rPr>
          <w:rFonts w:asciiTheme="minorHAnsi" w:eastAsia="Times New Roman" w:hAnsiTheme="minorHAnsi" w:cs="Times New Roman"/>
          <w:b/>
        </w:rPr>
        <w:t>Volunteer Training and Support</w:t>
      </w:r>
      <w:r w:rsidRPr="00D64713">
        <w:rPr>
          <w:rFonts w:asciiTheme="minorHAnsi" w:eastAsia="Times New Roman" w:hAnsiTheme="minorHAnsi" w:cs="Times New Roman"/>
        </w:rPr>
        <w:t>:  As specified in the Minnesota state plan for Adult Basic Education, the Minnesota Department of Education Adult Basic Education (ABE) office continues to collaborate with and provide state leadership resources to the Minnesota Literacy Council (MLC) (</w:t>
      </w:r>
      <w:hyperlink r:id="rId18" w:history="1">
        <w:r w:rsidRPr="00D64713">
          <w:rPr>
            <w:rFonts w:asciiTheme="minorHAnsi" w:eastAsia="Times New Roman" w:hAnsiTheme="minorHAnsi" w:cs="Times New Roman"/>
            <w:color w:val="0000FF"/>
            <w:u w:val="single"/>
          </w:rPr>
          <w:t>www.mnliteracy.org</w:t>
        </w:r>
      </w:hyperlink>
      <w:r w:rsidRPr="00D64713">
        <w:rPr>
          <w:rFonts w:asciiTheme="minorHAnsi" w:eastAsia="Times New Roman" w:hAnsiTheme="minorHAnsi" w:cs="Times New Roman"/>
        </w:rPr>
        <w:t>) to provide literacy tutor training in Minnesota. That collaboration and support yields a substantial capacity to deliver volunteer tutor training statewide including through innovative projects such as online training.  The MLC also supports volunteer tutors through their “Tutor Tip” e-mails and website archive. Most tutors work in settings where their work supports that of a licensed ABE teacher.</w:t>
      </w:r>
    </w:p>
    <w:p w14:paraId="322F650D" w14:textId="77777777" w:rsidR="00F70B0B" w:rsidRPr="00D64713" w:rsidRDefault="00F70B0B" w:rsidP="009F3746">
      <w:pPr>
        <w:tabs>
          <w:tab w:val="left" w:pos="-1440"/>
          <w:tab w:val="left" w:pos="-720"/>
        </w:tabs>
        <w:spacing w:before="0" w:after="0"/>
        <w:ind w:right="-144"/>
        <w:rPr>
          <w:rFonts w:asciiTheme="minorHAnsi" w:eastAsia="Times New Roman" w:hAnsiTheme="minorHAnsi" w:cs="Times New Roman"/>
          <w:b/>
          <w:color w:val="000000"/>
        </w:rPr>
      </w:pPr>
    </w:p>
    <w:p w14:paraId="5F448281" w14:textId="77777777" w:rsidR="00F70B0B" w:rsidRPr="00D64713" w:rsidRDefault="00F70B0B" w:rsidP="009F3746">
      <w:pPr>
        <w:tabs>
          <w:tab w:val="left" w:pos="-1440"/>
          <w:tab w:val="left" w:pos="-720"/>
        </w:tabs>
        <w:spacing w:before="0" w:after="0"/>
        <w:ind w:right="-144"/>
        <w:rPr>
          <w:rFonts w:asciiTheme="minorHAnsi" w:eastAsia="Times New Roman" w:hAnsiTheme="minorHAnsi" w:cs="Times New Roman"/>
          <w:color w:val="000000"/>
        </w:rPr>
      </w:pPr>
      <w:r w:rsidRPr="00D64713">
        <w:rPr>
          <w:rFonts w:asciiTheme="minorHAnsi" w:eastAsia="Times New Roman" w:hAnsiTheme="minorHAnsi" w:cs="Times New Roman"/>
          <w:b/>
          <w:color w:val="000000"/>
        </w:rPr>
        <w:t>Distance Learning and Digital Literacy:  Building Adults’ Technology Skills</w:t>
      </w:r>
      <w:r w:rsidRPr="00D64713">
        <w:rPr>
          <w:rFonts w:asciiTheme="minorHAnsi" w:eastAsia="Times New Roman" w:hAnsiTheme="minorHAnsi" w:cs="Times New Roman"/>
          <w:color w:val="000000"/>
        </w:rPr>
        <w:t xml:space="preserve">: Leadership resources helped the Minnesota Literacy Council ensure that technical assistance and training was available for programs so they can help ABE </w:t>
      </w:r>
      <w:proofErr w:type="gramStart"/>
      <w:r w:rsidRPr="00D64713">
        <w:rPr>
          <w:rFonts w:asciiTheme="minorHAnsi" w:eastAsia="Times New Roman" w:hAnsiTheme="minorHAnsi" w:cs="Times New Roman"/>
          <w:color w:val="000000"/>
        </w:rPr>
        <w:t>students</w:t>
      </w:r>
      <w:proofErr w:type="gramEnd"/>
      <w:r w:rsidRPr="00D64713">
        <w:rPr>
          <w:rFonts w:asciiTheme="minorHAnsi" w:eastAsia="Times New Roman" w:hAnsiTheme="minorHAnsi" w:cs="Times New Roman"/>
          <w:color w:val="000000"/>
        </w:rPr>
        <w:t xml:space="preserve"> access numerous distance learning options through their local ABE sites. The Minnesota Literacy Council also conducted trainings with ABE staff to support their integration of digital literacy skill instruction and assessment of students using the </w:t>
      </w:r>
      <w:proofErr w:type="spellStart"/>
      <w:r w:rsidRPr="00D64713">
        <w:rPr>
          <w:rFonts w:asciiTheme="minorHAnsi" w:eastAsia="Times New Roman" w:hAnsiTheme="minorHAnsi" w:cs="Times New Roman"/>
          <w:color w:val="000000"/>
        </w:rPr>
        <w:t>Northstar</w:t>
      </w:r>
      <w:proofErr w:type="spellEnd"/>
      <w:r w:rsidRPr="00D64713">
        <w:rPr>
          <w:rFonts w:asciiTheme="minorHAnsi" w:eastAsia="Times New Roman" w:hAnsiTheme="minorHAnsi" w:cs="Times New Roman"/>
          <w:color w:val="000000"/>
        </w:rPr>
        <w:t xml:space="preserve"> Digital Literacy Standards and Assessments.</w:t>
      </w:r>
    </w:p>
    <w:p w14:paraId="624F8672" w14:textId="77777777" w:rsidR="00F70B0B" w:rsidRPr="00D64713" w:rsidRDefault="00F70B0B" w:rsidP="009F3746">
      <w:pPr>
        <w:tabs>
          <w:tab w:val="left" w:pos="-1440"/>
          <w:tab w:val="left" w:pos="-720"/>
        </w:tabs>
        <w:spacing w:before="0" w:after="0"/>
        <w:ind w:right="-144"/>
        <w:rPr>
          <w:rFonts w:asciiTheme="minorHAnsi" w:eastAsia="Times New Roman" w:hAnsiTheme="minorHAnsi" w:cs="Times New Roman"/>
        </w:rPr>
      </w:pPr>
    </w:p>
    <w:p w14:paraId="1FE5BFB9" w14:textId="77777777" w:rsidR="00F70B0B" w:rsidRPr="00D64713" w:rsidRDefault="00F70B0B" w:rsidP="009F3746">
      <w:pPr>
        <w:tabs>
          <w:tab w:val="left" w:pos="-1440"/>
          <w:tab w:val="left" w:pos="-720"/>
        </w:tabs>
        <w:spacing w:before="0" w:after="0"/>
        <w:ind w:right="-144"/>
        <w:rPr>
          <w:rFonts w:asciiTheme="minorHAnsi" w:eastAsia="Times New Roman" w:hAnsiTheme="minorHAnsi" w:cs="Times New Roman"/>
        </w:rPr>
      </w:pPr>
      <w:r w:rsidRPr="00D64713">
        <w:rPr>
          <w:rFonts w:asciiTheme="minorHAnsi" w:eastAsia="Times New Roman" w:hAnsiTheme="minorHAnsi" w:cs="Times New Roman"/>
          <w:b/>
        </w:rPr>
        <w:t>Serving Students with Disabilities:</w:t>
      </w:r>
      <w:r w:rsidRPr="00D64713">
        <w:rPr>
          <w:rFonts w:asciiTheme="minorHAnsi" w:eastAsia="Times New Roman" w:hAnsiTheme="minorHAnsi" w:cs="Times New Roman"/>
        </w:rPr>
        <w:t xml:space="preserve"> Leadership resources supported the delivery of professional development and technical assistance in the arena of serving adults with disabilities and maintenance of a disabilities website</w:t>
      </w:r>
      <w:hyperlink r:id="rId19">
        <w:r w:rsidRPr="00D64713">
          <w:rPr>
            <w:rStyle w:val="Hyperlink"/>
            <w:rFonts w:asciiTheme="minorHAnsi" w:eastAsia="Times New Roman" w:hAnsiTheme="minorHAnsi" w:cs="Times New Roman"/>
          </w:rPr>
          <w:t xml:space="preserve"> </w:t>
        </w:r>
      </w:hyperlink>
      <w:hyperlink r:id="rId20">
        <w:r w:rsidRPr="00D64713">
          <w:rPr>
            <w:rStyle w:val="Hyperlink"/>
            <w:rFonts w:asciiTheme="minorHAnsi" w:eastAsia="Times New Roman" w:hAnsiTheme="minorHAnsi" w:cs="Times New Roman"/>
          </w:rPr>
          <w:t>http://mn.abedisabilities.org</w:t>
        </w:r>
      </w:hyperlink>
      <w:r w:rsidRPr="00D64713">
        <w:rPr>
          <w:rFonts w:asciiTheme="minorHAnsi" w:eastAsia="Times New Roman" w:hAnsiTheme="minorHAnsi" w:cs="Times New Roman"/>
        </w:rPr>
        <w:t>. The disabilities service provider also provided training on using Universal Design for Learning principles and strategies to address the varied needs of adult learners.</w:t>
      </w:r>
    </w:p>
    <w:p w14:paraId="484339AD" w14:textId="10431433" w:rsidR="00AB69CB" w:rsidRDefault="00AB69CB">
      <w:pPr>
        <w:spacing w:after="0" w:line="271" w:lineRule="auto"/>
        <w:rPr>
          <w:noProof/>
        </w:rPr>
      </w:pPr>
      <w:r>
        <w:rPr>
          <w:noProof/>
        </w:rPr>
        <w:br w:type="page"/>
      </w:r>
    </w:p>
    <w:p w14:paraId="56086C66" w14:textId="77777777" w:rsidR="00BA4342" w:rsidRPr="004C3645" w:rsidRDefault="00BA4342" w:rsidP="00082A78">
      <w:pPr>
        <w:pStyle w:val="Heading2"/>
        <w:rPr>
          <w:rFonts w:eastAsia="Times New Roman"/>
          <w:sz w:val="28"/>
          <w:szCs w:val="28"/>
        </w:rPr>
      </w:pPr>
      <w:r w:rsidRPr="004C3645">
        <w:rPr>
          <w:rFonts w:eastAsia="Times New Roman"/>
          <w:sz w:val="28"/>
          <w:szCs w:val="28"/>
        </w:rPr>
        <w:t>Section 2: Performance Data Analyses</w:t>
      </w:r>
    </w:p>
    <w:p w14:paraId="1C337AFF" w14:textId="77777777" w:rsidR="00BA4342" w:rsidRDefault="00BA4342" w:rsidP="00082A78">
      <w:pPr>
        <w:pStyle w:val="Heading3"/>
        <w:rPr>
          <w:b w:val="0"/>
          <w:i/>
          <w:color w:val="auto"/>
          <w:sz w:val="22"/>
          <w:szCs w:val="22"/>
        </w:rPr>
      </w:pPr>
      <w:r w:rsidRPr="00F10E39">
        <w:rPr>
          <w:b w:val="0"/>
          <w:i/>
          <w:color w:val="auto"/>
          <w:sz w:val="22"/>
          <w:szCs w:val="22"/>
        </w:rPr>
        <w:t xml:space="preserve">Describe how the adult education program performed in the overall assessment of core programs based on the core indicators of performance. </w:t>
      </w:r>
    </w:p>
    <w:p w14:paraId="29DB93C9" w14:textId="77777777" w:rsidR="00545104" w:rsidRPr="00A8345B" w:rsidRDefault="00545104" w:rsidP="00545104">
      <w:pPr>
        <w:spacing w:after="120"/>
        <w:rPr>
          <w:rFonts w:asciiTheme="minorHAnsi" w:hAnsiTheme="minorHAnsi" w:cs="Arial"/>
        </w:rPr>
      </w:pPr>
      <w:r w:rsidRPr="00A8345B">
        <w:rPr>
          <w:rFonts w:asciiTheme="minorHAnsi" w:hAnsiTheme="minorHAnsi" w:cs="Arial"/>
          <w:b/>
        </w:rPr>
        <w:t xml:space="preserve">Minnesota National Reporting System (NRS) Outcomes:  </w:t>
      </w:r>
      <w:r w:rsidRPr="00A8345B">
        <w:rPr>
          <w:rFonts w:asciiTheme="minorHAnsi" w:hAnsiTheme="minorHAnsi" w:cs="Arial"/>
        </w:rPr>
        <w:t>Negotiated Targets and Actual Res</w:t>
      </w:r>
      <w:r>
        <w:rPr>
          <w:rFonts w:asciiTheme="minorHAnsi" w:hAnsiTheme="minorHAnsi" w:cs="Arial"/>
        </w:rPr>
        <w:t>ults (FFYs 2014 – 2017</w:t>
      </w:r>
      <w:r w:rsidRPr="00A8345B">
        <w:rPr>
          <w:rFonts w:asciiTheme="minorHAnsi" w:hAnsiTheme="minorHAnsi" w:cs="Arial"/>
        </w:rPr>
        <w:t>)</w:t>
      </w:r>
    </w:p>
    <w:tbl>
      <w:tblPr>
        <w:tblW w:w="10525" w:type="dxa"/>
        <w:jc w:val="center"/>
        <w:tblLayout w:type="fixed"/>
        <w:tblLook w:val="0000" w:firstRow="0" w:lastRow="0" w:firstColumn="0" w:lastColumn="0" w:noHBand="0" w:noVBand="0"/>
      </w:tblPr>
      <w:tblGrid>
        <w:gridCol w:w="4135"/>
        <w:gridCol w:w="725"/>
        <w:gridCol w:w="810"/>
        <w:gridCol w:w="810"/>
        <w:gridCol w:w="810"/>
        <w:gridCol w:w="813"/>
        <w:gridCol w:w="802"/>
        <w:gridCol w:w="810"/>
        <w:gridCol w:w="810"/>
      </w:tblGrid>
      <w:tr w:rsidR="00545104" w:rsidRPr="00C01F7F" w14:paraId="2D5F59F1" w14:textId="77777777" w:rsidTr="006F577A">
        <w:trPr>
          <w:trHeight w:val="350"/>
          <w:tblHeader/>
          <w:jc w:val="center"/>
        </w:trPr>
        <w:tc>
          <w:tcPr>
            <w:tcW w:w="4135" w:type="dxa"/>
            <w:vMerge w:val="restart"/>
            <w:tcBorders>
              <w:top w:val="single" w:sz="4" w:space="0" w:color="auto"/>
              <w:left w:val="single" w:sz="4" w:space="0" w:color="auto"/>
              <w:bottom w:val="single" w:sz="8" w:space="0" w:color="000000"/>
              <w:right w:val="single" w:sz="4" w:space="0" w:color="auto"/>
            </w:tcBorders>
            <w:shd w:val="clear" w:color="auto" w:fill="4F6228"/>
            <w:vAlign w:val="center"/>
          </w:tcPr>
          <w:p w14:paraId="67C1476E" w14:textId="77777777" w:rsidR="00545104" w:rsidRPr="00C01F7F" w:rsidRDefault="00545104" w:rsidP="006F577A">
            <w:pPr>
              <w:spacing w:before="0" w:after="0"/>
              <w:rPr>
                <w:rFonts w:cs="Arial"/>
                <w:b/>
                <w:bCs/>
                <w:color w:val="FFFFFF"/>
                <w:sz w:val="20"/>
                <w:szCs w:val="20"/>
              </w:rPr>
            </w:pPr>
            <w:bookmarkStart w:id="1" w:name="RANGE!A1:K28"/>
            <w:bookmarkEnd w:id="1"/>
            <w:r w:rsidRPr="00C01F7F">
              <w:rPr>
                <w:rFonts w:cs="Arial"/>
                <w:b/>
                <w:bCs/>
                <w:color w:val="FFFFFF"/>
                <w:sz w:val="20"/>
                <w:szCs w:val="20"/>
              </w:rPr>
              <w:t>NRS Educational Functioning Level and Core Indicator Goals</w:t>
            </w:r>
          </w:p>
        </w:tc>
        <w:tc>
          <w:tcPr>
            <w:tcW w:w="1535" w:type="dxa"/>
            <w:gridSpan w:val="2"/>
            <w:tcBorders>
              <w:top w:val="single" w:sz="4" w:space="0" w:color="auto"/>
              <w:left w:val="nil"/>
              <w:bottom w:val="single" w:sz="4" w:space="0" w:color="auto"/>
              <w:right w:val="single" w:sz="4" w:space="0" w:color="auto"/>
            </w:tcBorders>
            <w:shd w:val="clear" w:color="auto" w:fill="4F6228"/>
            <w:vAlign w:val="center"/>
          </w:tcPr>
          <w:p w14:paraId="7CDE36C0" w14:textId="77777777" w:rsidR="00545104" w:rsidRPr="00C01F7F" w:rsidRDefault="00545104" w:rsidP="006F577A">
            <w:pPr>
              <w:spacing w:before="0" w:after="0"/>
              <w:jc w:val="center"/>
              <w:rPr>
                <w:rFonts w:cs="Arial"/>
                <w:b/>
                <w:bCs/>
                <w:color w:val="FFFFFF"/>
                <w:sz w:val="20"/>
                <w:szCs w:val="20"/>
              </w:rPr>
            </w:pPr>
            <w:r>
              <w:rPr>
                <w:rFonts w:cs="Arial"/>
                <w:b/>
                <w:bCs/>
                <w:color w:val="FFFFFF"/>
                <w:sz w:val="20"/>
                <w:szCs w:val="20"/>
              </w:rPr>
              <w:t>FY 2014</w:t>
            </w:r>
            <w:r w:rsidRPr="00C01F7F">
              <w:rPr>
                <w:rFonts w:cs="Arial"/>
                <w:b/>
                <w:bCs/>
                <w:color w:val="FFFFFF"/>
                <w:sz w:val="20"/>
                <w:szCs w:val="20"/>
              </w:rPr>
              <w:t>-201</w:t>
            </w:r>
            <w:r>
              <w:rPr>
                <w:rFonts w:cs="Arial"/>
                <w:b/>
                <w:bCs/>
                <w:color w:val="FFFFFF"/>
                <w:sz w:val="20"/>
                <w:szCs w:val="20"/>
              </w:rPr>
              <w:t>5</w:t>
            </w:r>
          </w:p>
        </w:tc>
        <w:tc>
          <w:tcPr>
            <w:tcW w:w="1620" w:type="dxa"/>
            <w:gridSpan w:val="2"/>
            <w:tcBorders>
              <w:top w:val="single" w:sz="4" w:space="0" w:color="auto"/>
              <w:left w:val="nil"/>
              <w:bottom w:val="single" w:sz="4" w:space="0" w:color="auto"/>
              <w:right w:val="single" w:sz="4" w:space="0" w:color="auto"/>
            </w:tcBorders>
            <w:shd w:val="clear" w:color="auto" w:fill="4F6228"/>
            <w:vAlign w:val="center"/>
          </w:tcPr>
          <w:p w14:paraId="73E76440" w14:textId="77777777" w:rsidR="00545104" w:rsidRPr="00C01F7F" w:rsidRDefault="00545104" w:rsidP="006F577A">
            <w:pPr>
              <w:spacing w:before="0" w:after="0"/>
              <w:jc w:val="center"/>
              <w:rPr>
                <w:rFonts w:cs="Arial"/>
                <w:b/>
                <w:bCs/>
                <w:color w:val="FFFFFF"/>
                <w:sz w:val="20"/>
                <w:szCs w:val="20"/>
              </w:rPr>
            </w:pPr>
            <w:r>
              <w:rPr>
                <w:rFonts w:cs="Arial"/>
                <w:b/>
                <w:bCs/>
                <w:color w:val="FFFFFF"/>
                <w:sz w:val="20"/>
                <w:szCs w:val="20"/>
              </w:rPr>
              <w:t>FY 2015</w:t>
            </w:r>
            <w:r w:rsidRPr="00C01F7F">
              <w:rPr>
                <w:rFonts w:cs="Arial"/>
                <w:b/>
                <w:bCs/>
                <w:color w:val="FFFFFF"/>
                <w:sz w:val="20"/>
                <w:szCs w:val="20"/>
              </w:rPr>
              <w:t>-201</w:t>
            </w:r>
            <w:r>
              <w:rPr>
                <w:rFonts w:cs="Arial"/>
                <w:b/>
                <w:bCs/>
                <w:color w:val="FFFFFF"/>
                <w:sz w:val="20"/>
                <w:szCs w:val="20"/>
              </w:rPr>
              <w:t>6</w:t>
            </w:r>
          </w:p>
        </w:tc>
        <w:tc>
          <w:tcPr>
            <w:tcW w:w="1615" w:type="dxa"/>
            <w:gridSpan w:val="2"/>
            <w:tcBorders>
              <w:top w:val="single" w:sz="4" w:space="0" w:color="auto"/>
              <w:left w:val="nil"/>
              <w:bottom w:val="single" w:sz="4" w:space="0" w:color="auto"/>
              <w:right w:val="single" w:sz="4" w:space="0" w:color="auto"/>
            </w:tcBorders>
            <w:shd w:val="clear" w:color="auto" w:fill="4F6228"/>
            <w:vAlign w:val="center"/>
          </w:tcPr>
          <w:p w14:paraId="0EFDD8E0" w14:textId="77777777" w:rsidR="00545104" w:rsidRPr="00C01F7F" w:rsidRDefault="00545104" w:rsidP="006F577A">
            <w:pPr>
              <w:spacing w:before="0" w:after="0"/>
              <w:jc w:val="center"/>
              <w:rPr>
                <w:rFonts w:cs="Arial"/>
                <w:b/>
                <w:bCs/>
                <w:color w:val="FFFFFF"/>
                <w:sz w:val="20"/>
                <w:szCs w:val="20"/>
              </w:rPr>
            </w:pPr>
            <w:r>
              <w:rPr>
                <w:rFonts w:cs="Arial"/>
                <w:b/>
                <w:bCs/>
                <w:color w:val="FFFFFF"/>
                <w:sz w:val="20"/>
                <w:szCs w:val="20"/>
              </w:rPr>
              <w:t>FY 2016</w:t>
            </w:r>
            <w:r w:rsidRPr="00C01F7F">
              <w:rPr>
                <w:rFonts w:cs="Arial"/>
                <w:b/>
                <w:bCs/>
                <w:color w:val="FFFFFF"/>
                <w:sz w:val="20"/>
                <w:szCs w:val="20"/>
              </w:rPr>
              <w:t>-201</w:t>
            </w:r>
            <w:r>
              <w:rPr>
                <w:rFonts w:cs="Arial"/>
                <w:b/>
                <w:bCs/>
                <w:color w:val="FFFFFF"/>
                <w:sz w:val="20"/>
                <w:szCs w:val="20"/>
              </w:rPr>
              <w:t>7</w:t>
            </w:r>
          </w:p>
        </w:tc>
        <w:tc>
          <w:tcPr>
            <w:tcW w:w="1620" w:type="dxa"/>
            <w:gridSpan w:val="2"/>
            <w:tcBorders>
              <w:top w:val="single" w:sz="4" w:space="0" w:color="auto"/>
              <w:left w:val="nil"/>
              <w:bottom w:val="single" w:sz="4" w:space="0" w:color="auto"/>
              <w:right w:val="single" w:sz="4" w:space="0" w:color="auto"/>
            </w:tcBorders>
            <w:shd w:val="clear" w:color="auto" w:fill="4F6228"/>
            <w:vAlign w:val="center"/>
          </w:tcPr>
          <w:p w14:paraId="3B75B2F6" w14:textId="77777777" w:rsidR="00545104" w:rsidRPr="00C01F7F" w:rsidRDefault="00545104" w:rsidP="006F577A">
            <w:pPr>
              <w:spacing w:before="0" w:after="0"/>
              <w:jc w:val="center"/>
              <w:rPr>
                <w:rFonts w:cs="Arial"/>
                <w:b/>
                <w:bCs/>
                <w:color w:val="FFFFFF"/>
                <w:sz w:val="20"/>
                <w:szCs w:val="20"/>
              </w:rPr>
            </w:pPr>
            <w:r>
              <w:rPr>
                <w:rFonts w:cs="Arial"/>
                <w:b/>
                <w:bCs/>
                <w:color w:val="FFFFFF"/>
                <w:sz w:val="20"/>
                <w:szCs w:val="20"/>
              </w:rPr>
              <w:t>FY 2017</w:t>
            </w:r>
            <w:r w:rsidRPr="00C01F7F">
              <w:rPr>
                <w:rFonts w:cs="Arial"/>
                <w:b/>
                <w:bCs/>
                <w:color w:val="FFFFFF"/>
                <w:sz w:val="20"/>
                <w:szCs w:val="20"/>
              </w:rPr>
              <w:t>-1</w:t>
            </w:r>
            <w:r>
              <w:rPr>
                <w:rFonts w:cs="Arial"/>
                <w:b/>
                <w:bCs/>
                <w:color w:val="FFFFFF"/>
                <w:sz w:val="20"/>
                <w:szCs w:val="20"/>
              </w:rPr>
              <w:t>8</w:t>
            </w:r>
          </w:p>
        </w:tc>
      </w:tr>
      <w:tr w:rsidR="00545104" w:rsidRPr="00C01F7F" w14:paraId="32CAC771" w14:textId="77777777" w:rsidTr="006F577A">
        <w:trPr>
          <w:trHeight w:val="601"/>
          <w:tblHeader/>
          <w:jc w:val="center"/>
        </w:trPr>
        <w:tc>
          <w:tcPr>
            <w:tcW w:w="4135" w:type="dxa"/>
            <w:vMerge/>
            <w:tcBorders>
              <w:top w:val="single" w:sz="4" w:space="0" w:color="auto"/>
              <w:left w:val="single" w:sz="4" w:space="0" w:color="auto"/>
              <w:bottom w:val="single" w:sz="8" w:space="0" w:color="000000"/>
              <w:right w:val="single" w:sz="4" w:space="0" w:color="auto"/>
            </w:tcBorders>
            <w:shd w:val="clear" w:color="auto" w:fill="4F6228"/>
            <w:vAlign w:val="center"/>
          </w:tcPr>
          <w:p w14:paraId="3E0A2C79" w14:textId="77777777" w:rsidR="00545104" w:rsidRPr="00C01F7F" w:rsidRDefault="00545104" w:rsidP="006F577A">
            <w:pPr>
              <w:spacing w:before="0" w:after="0"/>
              <w:rPr>
                <w:rFonts w:cs="Arial"/>
                <w:b/>
                <w:bCs/>
                <w:color w:val="FFFFFF"/>
                <w:sz w:val="20"/>
                <w:szCs w:val="20"/>
              </w:rPr>
            </w:pPr>
          </w:p>
        </w:tc>
        <w:tc>
          <w:tcPr>
            <w:tcW w:w="1535" w:type="dxa"/>
            <w:gridSpan w:val="2"/>
            <w:tcBorders>
              <w:top w:val="single" w:sz="4" w:space="0" w:color="auto"/>
              <w:left w:val="nil"/>
              <w:bottom w:val="single" w:sz="4" w:space="0" w:color="auto"/>
              <w:right w:val="single" w:sz="4" w:space="0" w:color="auto"/>
            </w:tcBorders>
            <w:shd w:val="clear" w:color="auto" w:fill="4F6228"/>
            <w:vAlign w:val="center"/>
          </w:tcPr>
          <w:p w14:paraId="2758E118"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 Completing Each Level/Goal</w:t>
            </w:r>
          </w:p>
        </w:tc>
        <w:tc>
          <w:tcPr>
            <w:tcW w:w="1620" w:type="dxa"/>
            <w:gridSpan w:val="2"/>
            <w:tcBorders>
              <w:top w:val="single" w:sz="4" w:space="0" w:color="auto"/>
              <w:left w:val="nil"/>
              <w:bottom w:val="single" w:sz="4" w:space="0" w:color="auto"/>
              <w:right w:val="single" w:sz="4" w:space="0" w:color="auto"/>
            </w:tcBorders>
            <w:shd w:val="clear" w:color="auto" w:fill="4F6228"/>
            <w:vAlign w:val="center"/>
          </w:tcPr>
          <w:p w14:paraId="17C025F8"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 Completing Each Level/Goal</w:t>
            </w:r>
          </w:p>
        </w:tc>
        <w:tc>
          <w:tcPr>
            <w:tcW w:w="1615" w:type="dxa"/>
            <w:gridSpan w:val="2"/>
            <w:tcBorders>
              <w:top w:val="single" w:sz="4" w:space="0" w:color="auto"/>
              <w:left w:val="nil"/>
              <w:bottom w:val="single" w:sz="4" w:space="0" w:color="auto"/>
              <w:right w:val="single" w:sz="4" w:space="0" w:color="auto"/>
            </w:tcBorders>
            <w:shd w:val="clear" w:color="auto" w:fill="4F6228"/>
            <w:vAlign w:val="center"/>
          </w:tcPr>
          <w:p w14:paraId="417D632D"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 Completing Each Level/Goal</w:t>
            </w:r>
          </w:p>
        </w:tc>
        <w:tc>
          <w:tcPr>
            <w:tcW w:w="1620" w:type="dxa"/>
            <w:gridSpan w:val="2"/>
            <w:tcBorders>
              <w:top w:val="single" w:sz="4" w:space="0" w:color="auto"/>
              <w:left w:val="nil"/>
              <w:bottom w:val="single" w:sz="4" w:space="0" w:color="auto"/>
              <w:right w:val="single" w:sz="4" w:space="0" w:color="auto"/>
            </w:tcBorders>
            <w:shd w:val="clear" w:color="auto" w:fill="4F6228"/>
            <w:vAlign w:val="center"/>
          </w:tcPr>
          <w:p w14:paraId="02528526"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 Completing Each Level/Goal</w:t>
            </w:r>
          </w:p>
        </w:tc>
      </w:tr>
      <w:tr w:rsidR="00545104" w:rsidRPr="00C01F7F" w14:paraId="0949E4C8" w14:textId="77777777" w:rsidTr="006F577A">
        <w:trPr>
          <w:trHeight w:val="322"/>
          <w:tblHeader/>
          <w:jc w:val="center"/>
        </w:trPr>
        <w:tc>
          <w:tcPr>
            <w:tcW w:w="4135" w:type="dxa"/>
            <w:vMerge/>
            <w:tcBorders>
              <w:top w:val="single" w:sz="4" w:space="0" w:color="auto"/>
              <w:left w:val="single" w:sz="4" w:space="0" w:color="auto"/>
              <w:bottom w:val="single" w:sz="4" w:space="0" w:color="auto"/>
              <w:right w:val="single" w:sz="4" w:space="0" w:color="auto"/>
            </w:tcBorders>
            <w:shd w:val="clear" w:color="auto" w:fill="4F6228"/>
            <w:vAlign w:val="center"/>
          </w:tcPr>
          <w:p w14:paraId="2851FC37" w14:textId="77777777" w:rsidR="00545104" w:rsidRPr="00C01F7F" w:rsidRDefault="00545104" w:rsidP="006F577A">
            <w:pPr>
              <w:spacing w:before="0" w:after="0"/>
              <w:rPr>
                <w:rFonts w:cs="Arial"/>
                <w:b/>
                <w:bCs/>
                <w:color w:val="FFFFFF"/>
                <w:sz w:val="20"/>
                <w:szCs w:val="20"/>
              </w:rPr>
            </w:pPr>
          </w:p>
        </w:tc>
        <w:tc>
          <w:tcPr>
            <w:tcW w:w="725" w:type="dxa"/>
            <w:tcBorders>
              <w:top w:val="nil"/>
              <w:left w:val="nil"/>
              <w:bottom w:val="single" w:sz="4" w:space="0" w:color="auto"/>
              <w:right w:val="single" w:sz="4" w:space="0" w:color="auto"/>
            </w:tcBorders>
            <w:shd w:val="clear" w:color="auto" w:fill="4F6228"/>
            <w:vAlign w:val="center"/>
          </w:tcPr>
          <w:p w14:paraId="6C45A35E"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Target</w:t>
            </w:r>
          </w:p>
        </w:tc>
        <w:tc>
          <w:tcPr>
            <w:tcW w:w="810" w:type="dxa"/>
            <w:tcBorders>
              <w:top w:val="nil"/>
              <w:left w:val="nil"/>
              <w:bottom w:val="single" w:sz="4" w:space="0" w:color="auto"/>
              <w:right w:val="single" w:sz="4" w:space="0" w:color="auto"/>
            </w:tcBorders>
            <w:shd w:val="clear" w:color="auto" w:fill="4F6228"/>
            <w:vAlign w:val="center"/>
          </w:tcPr>
          <w:p w14:paraId="469941BD"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Actual</w:t>
            </w:r>
          </w:p>
        </w:tc>
        <w:tc>
          <w:tcPr>
            <w:tcW w:w="810" w:type="dxa"/>
            <w:tcBorders>
              <w:top w:val="nil"/>
              <w:left w:val="nil"/>
              <w:bottom w:val="single" w:sz="4" w:space="0" w:color="auto"/>
              <w:right w:val="dotted" w:sz="4" w:space="0" w:color="auto"/>
            </w:tcBorders>
            <w:shd w:val="clear" w:color="auto" w:fill="4F6228"/>
            <w:vAlign w:val="center"/>
          </w:tcPr>
          <w:p w14:paraId="007BBB6B"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Target</w:t>
            </w:r>
          </w:p>
        </w:tc>
        <w:tc>
          <w:tcPr>
            <w:tcW w:w="810" w:type="dxa"/>
            <w:tcBorders>
              <w:top w:val="nil"/>
              <w:left w:val="nil"/>
              <w:bottom w:val="single" w:sz="4" w:space="0" w:color="auto"/>
              <w:right w:val="single" w:sz="4" w:space="0" w:color="auto"/>
            </w:tcBorders>
            <w:shd w:val="clear" w:color="auto" w:fill="4F6228"/>
            <w:vAlign w:val="center"/>
          </w:tcPr>
          <w:p w14:paraId="25D19D7D"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Actual</w:t>
            </w:r>
          </w:p>
        </w:tc>
        <w:tc>
          <w:tcPr>
            <w:tcW w:w="813" w:type="dxa"/>
            <w:tcBorders>
              <w:top w:val="nil"/>
              <w:left w:val="nil"/>
              <w:bottom w:val="single" w:sz="4" w:space="0" w:color="auto"/>
              <w:right w:val="single" w:sz="4" w:space="0" w:color="auto"/>
            </w:tcBorders>
            <w:shd w:val="clear" w:color="auto" w:fill="4F6228"/>
            <w:vAlign w:val="center"/>
          </w:tcPr>
          <w:p w14:paraId="75937EED" w14:textId="77777777" w:rsidR="00545104" w:rsidRPr="00C01F7F" w:rsidRDefault="00545104" w:rsidP="006F577A">
            <w:pPr>
              <w:spacing w:before="0" w:after="0"/>
              <w:jc w:val="center"/>
              <w:rPr>
                <w:rFonts w:cs="Arial"/>
                <w:bCs/>
                <w:color w:val="FFFFFF"/>
                <w:sz w:val="20"/>
                <w:szCs w:val="20"/>
              </w:rPr>
            </w:pPr>
            <w:r w:rsidRPr="00C01F7F">
              <w:rPr>
                <w:rFonts w:cs="Arial"/>
                <w:bCs/>
                <w:color w:val="FFFFFF"/>
                <w:sz w:val="20"/>
                <w:szCs w:val="20"/>
              </w:rPr>
              <w:t>Target</w:t>
            </w:r>
          </w:p>
        </w:tc>
        <w:tc>
          <w:tcPr>
            <w:tcW w:w="802" w:type="dxa"/>
            <w:tcBorders>
              <w:top w:val="nil"/>
              <w:left w:val="nil"/>
              <w:bottom w:val="single" w:sz="4" w:space="0" w:color="auto"/>
              <w:right w:val="single" w:sz="4" w:space="0" w:color="auto"/>
            </w:tcBorders>
            <w:shd w:val="clear" w:color="auto" w:fill="4F6228"/>
            <w:vAlign w:val="center"/>
          </w:tcPr>
          <w:p w14:paraId="3679507C"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Actual</w:t>
            </w:r>
          </w:p>
        </w:tc>
        <w:tc>
          <w:tcPr>
            <w:tcW w:w="810" w:type="dxa"/>
            <w:tcBorders>
              <w:top w:val="nil"/>
              <w:left w:val="nil"/>
              <w:bottom w:val="single" w:sz="4" w:space="0" w:color="auto"/>
              <w:right w:val="single" w:sz="4" w:space="0" w:color="auto"/>
            </w:tcBorders>
            <w:shd w:val="clear" w:color="auto" w:fill="4F6228"/>
            <w:vAlign w:val="center"/>
          </w:tcPr>
          <w:p w14:paraId="67116303" w14:textId="77777777" w:rsidR="00545104" w:rsidRPr="00C01F7F" w:rsidRDefault="00545104" w:rsidP="006F577A">
            <w:pPr>
              <w:spacing w:before="0" w:after="0"/>
              <w:jc w:val="center"/>
              <w:rPr>
                <w:rFonts w:cs="Arial"/>
                <w:bCs/>
                <w:color w:val="FFFFFF"/>
                <w:sz w:val="20"/>
                <w:szCs w:val="20"/>
              </w:rPr>
            </w:pPr>
            <w:r w:rsidRPr="00C01F7F">
              <w:rPr>
                <w:rFonts w:cs="Arial"/>
                <w:bCs/>
                <w:color w:val="FFFFFF"/>
                <w:sz w:val="20"/>
                <w:szCs w:val="20"/>
              </w:rPr>
              <w:t>Target</w:t>
            </w:r>
          </w:p>
        </w:tc>
        <w:tc>
          <w:tcPr>
            <w:tcW w:w="810" w:type="dxa"/>
            <w:tcBorders>
              <w:top w:val="nil"/>
              <w:left w:val="nil"/>
              <w:bottom w:val="single" w:sz="4" w:space="0" w:color="auto"/>
              <w:right w:val="single" w:sz="4" w:space="0" w:color="auto"/>
            </w:tcBorders>
            <w:shd w:val="clear" w:color="auto" w:fill="4F6228"/>
            <w:vAlign w:val="center"/>
          </w:tcPr>
          <w:p w14:paraId="21104C40" w14:textId="77777777" w:rsidR="00545104" w:rsidRPr="00C01F7F" w:rsidRDefault="00545104" w:rsidP="006F577A">
            <w:pPr>
              <w:spacing w:before="0" w:after="0"/>
              <w:jc w:val="center"/>
              <w:rPr>
                <w:rFonts w:cs="Arial"/>
                <w:color w:val="FFFFFF"/>
                <w:sz w:val="20"/>
                <w:szCs w:val="20"/>
              </w:rPr>
            </w:pPr>
            <w:r w:rsidRPr="00C01F7F">
              <w:rPr>
                <w:rFonts w:cs="Arial"/>
                <w:color w:val="FFFFFF"/>
                <w:sz w:val="20"/>
                <w:szCs w:val="20"/>
              </w:rPr>
              <w:t>Actual</w:t>
            </w:r>
          </w:p>
        </w:tc>
      </w:tr>
      <w:tr w:rsidR="00545104" w:rsidRPr="00C01F7F" w14:paraId="1643DDA2" w14:textId="77777777" w:rsidTr="006F577A">
        <w:trPr>
          <w:trHeight w:val="254"/>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2DA829A"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Beginning ABE Literacy</w:t>
            </w:r>
            <w:r>
              <w:rPr>
                <w:rFonts w:cs="Arial"/>
                <w:b/>
                <w:bCs/>
                <w:i/>
                <w:iCs/>
                <w:color w:val="000000"/>
                <w:sz w:val="20"/>
                <w:szCs w:val="20"/>
              </w:rPr>
              <w:t>/ABE 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3D145C1" w14:textId="77777777" w:rsidR="00545104" w:rsidRPr="00C01F7F" w:rsidRDefault="00545104" w:rsidP="006F577A">
            <w:pPr>
              <w:spacing w:before="0" w:after="0"/>
              <w:jc w:val="center"/>
              <w:rPr>
                <w:rFonts w:cs="Arial"/>
                <w:sz w:val="20"/>
                <w:szCs w:val="20"/>
              </w:rPr>
            </w:pPr>
            <w:r w:rsidRPr="00C01F7F">
              <w:rPr>
                <w:rFonts w:cs="Arial"/>
                <w:sz w:val="20"/>
                <w:szCs w:val="20"/>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6DE809" w14:textId="77777777" w:rsidR="00545104" w:rsidRPr="00C01F7F" w:rsidRDefault="00545104" w:rsidP="006F577A">
            <w:pPr>
              <w:spacing w:before="0" w:after="0"/>
              <w:jc w:val="center"/>
              <w:rPr>
                <w:rFonts w:cs="Arial"/>
                <w:sz w:val="20"/>
                <w:szCs w:val="20"/>
              </w:rPr>
            </w:pPr>
            <w:r w:rsidRPr="00C01F7F">
              <w:rPr>
                <w:rFonts w:cs="Arial"/>
                <w:sz w:val="20"/>
                <w:szCs w:val="20"/>
              </w:rPr>
              <w:t>78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B82D3" w14:textId="77777777" w:rsidR="00545104" w:rsidRPr="00C01F7F" w:rsidRDefault="00545104" w:rsidP="006F577A">
            <w:pPr>
              <w:spacing w:before="0" w:after="0"/>
              <w:jc w:val="center"/>
              <w:rPr>
                <w:rFonts w:cs="Arial"/>
                <w:sz w:val="20"/>
                <w:szCs w:val="20"/>
              </w:rPr>
            </w:pPr>
            <w:r w:rsidRPr="00C01F7F">
              <w:rPr>
                <w:rFonts w:cs="Arial"/>
                <w:sz w:val="20"/>
                <w:szCs w:val="20"/>
              </w:rPr>
              <w:t>67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6C586" w14:textId="77777777" w:rsidR="00545104" w:rsidRPr="00C01F7F" w:rsidRDefault="00545104" w:rsidP="006F577A">
            <w:pPr>
              <w:spacing w:before="0" w:after="0"/>
              <w:jc w:val="center"/>
              <w:rPr>
                <w:rFonts w:cs="Arial"/>
                <w:sz w:val="20"/>
                <w:szCs w:val="20"/>
              </w:rPr>
            </w:pPr>
            <w:r w:rsidRPr="00C01F7F">
              <w:rPr>
                <w:rFonts w:cs="Arial"/>
                <w:sz w:val="20"/>
                <w:szCs w:val="20"/>
              </w:rPr>
              <w:t>77</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47C99" w14:textId="77777777" w:rsidR="00545104" w:rsidRPr="00C01F7F" w:rsidRDefault="00545104" w:rsidP="006F577A">
            <w:pPr>
              <w:spacing w:before="0" w:after="0"/>
              <w:jc w:val="center"/>
              <w:rPr>
                <w:rFonts w:cs="Arial"/>
                <w:sz w:val="20"/>
                <w:szCs w:val="20"/>
              </w:rPr>
            </w:pPr>
            <w:r>
              <w:rPr>
                <w:rFonts w:cs="Arial"/>
                <w:sz w:val="20"/>
                <w:szCs w:val="20"/>
              </w:rPr>
              <w:t>78</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CC807" w14:textId="77777777" w:rsidR="00545104" w:rsidRPr="00C01F7F" w:rsidRDefault="00545104" w:rsidP="006F577A">
            <w:pPr>
              <w:spacing w:before="0" w:after="0"/>
              <w:jc w:val="center"/>
              <w:rPr>
                <w:rFonts w:cs="Arial"/>
                <w:sz w:val="20"/>
                <w:szCs w:val="20"/>
              </w:rPr>
            </w:pPr>
            <w:r>
              <w:rPr>
                <w:rFonts w:cs="Arial"/>
                <w:sz w:val="20"/>
                <w:szCs w:val="20"/>
              </w:rPr>
              <w:t>59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D2BB91" w14:textId="77777777" w:rsidR="00545104" w:rsidRPr="009378A6" w:rsidRDefault="00545104" w:rsidP="006F577A">
            <w:pPr>
              <w:spacing w:before="0" w:after="0"/>
              <w:jc w:val="center"/>
              <w:rPr>
                <w:rFonts w:cs="Arial"/>
                <w:sz w:val="20"/>
                <w:szCs w:val="20"/>
              </w:rPr>
            </w:pPr>
            <w:r w:rsidRPr="009378A6">
              <w:rPr>
                <w:rFonts w:cs="Arial"/>
                <w:sz w:val="20"/>
                <w:szCs w:val="20"/>
              </w:rPr>
              <w:t>78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26970" w14:textId="77777777" w:rsidR="00545104" w:rsidRPr="00C01F7F" w:rsidRDefault="00545104" w:rsidP="006F577A">
            <w:pPr>
              <w:spacing w:before="0" w:after="0"/>
              <w:jc w:val="center"/>
              <w:rPr>
                <w:rFonts w:cs="Arial"/>
                <w:sz w:val="20"/>
                <w:szCs w:val="20"/>
              </w:rPr>
            </w:pPr>
            <w:r>
              <w:rPr>
                <w:rFonts w:cs="Arial"/>
                <w:sz w:val="20"/>
                <w:szCs w:val="20"/>
              </w:rPr>
              <w:t>62</w:t>
            </w:r>
          </w:p>
        </w:tc>
      </w:tr>
      <w:tr w:rsidR="00545104" w:rsidRPr="00C01F7F" w14:paraId="7540771E" w14:textId="77777777" w:rsidTr="006F577A">
        <w:trPr>
          <w:trHeight w:val="250"/>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449A5190"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Beginning Basic Education</w:t>
            </w:r>
            <w:r>
              <w:rPr>
                <w:rFonts w:cs="Arial"/>
                <w:b/>
                <w:bCs/>
                <w:i/>
                <w:iCs/>
                <w:color w:val="000000"/>
                <w:sz w:val="20"/>
                <w:szCs w:val="20"/>
              </w:rPr>
              <w:t>/ABE 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F37E69D" w14:textId="77777777" w:rsidR="00545104" w:rsidRPr="00C01F7F" w:rsidRDefault="00545104" w:rsidP="006F577A">
            <w:pPr>
              <w:spacing w:before="0" w:after="0"/>
              <w:jc w:val="center"/>
              <w:rPr>
                <w:rFonts w:cs="Arial"/>
                <w:sz w:val="20"/>
                <w:szCs w:val="20"/>
              </w:rPr>
            </w:pPr>
            <w:r w:rsidRPr="00C01F7F">
              <w:rPr>
                <w:rFonts w:cs="Arial"/>
                <w:sz w:val="20"/>
                <w:szCs w:val="20"/>
              </w:rPr>
              <w:t>59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97050D" w14:textId="77777777" w:rsidR="00545104" w:rsidRPr="00C01F7F" w:rsidRDefault="00545104" w:rsidP="006F577A">
            <w:pPr>
              <w:spacing w:before="0" w:after="0"/>
              <w:jc w:val="center"/>
              <w:rPr>
                <w:rFonts w:cs="Arial"/>
                <w:sz w:val="20"/>
                <w:szCs w:val="20"/>
              </w:rPr>
            </w:pPr>
            <w:r w:rsidRPr="00C01F7F">
              <w:rPr>
                <w:rFonts w:cs="Arial"/>
                <w:sz w:val="20"/>
                <w:szCs w:val="20"/>
              </w:rPr>
              <w:t>67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9B2D8" w14:textId="77777777" w:rsidR="00545104" w:rsidRPr="00C01F7F" w:rsidRDefault="00545104" w:rsidP="006F577A">
            <w:pPr>
              <w:spacing w:before="0" w:after="0"/>
              <w:jc w:val="center"/>
              <w:rPr>
                <w:rFonts w:cs="Arial"/>
                <w:sz w:val="20"/>
                <w:szCs w:val="20"/>
              </w:rPr>
            </w:pPr>
            <w:r w:rsidRPr="00C01F7F">
              <w:rPr>
                <w:rFonts w:cs="Arial"/>
                <w:sz w:val="20"/>
                <w:szCs w:val="20"/>
              </w:rPr>
              <w:t>62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CA42" w14:textId="77777777" w:rsidR="00545104" w:rsidRPr="00C01F7F" w:rsidRDefault="00545104" w:rsidP="006F577A">
            <w:pPr>
              <w:spacing w:before="0" w:after="0"/>
              <w:jc w:val="center"/>
              <w:rPr>
                <w:rFonts w:cs="Arial"/>
                <w:sz w:val="20"/>
                <w:szCs w:val="20"/>
              </w:rPr>
            </w:pPr>
            <w:r w:rsidRPr="00C01F7F">
              <w:rPr>
                <w:rFonts w:cs="Arial"/>
                <w:sz w:val="20"/>
                <w:szCs w:val="20"/>
              </w:rPr>
              <w:t>65</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20BE2" w14:textId="77777777" w:rsidR="00545104" w:rsidRPr="00C01F7F" w:rsidRDefault="00545104" w:rsidP="006F577A">
            <w:pPr>
              <w:spacing w:before="0" w:after="0"/>
              <w:jc w:val="center"/>
              <w:rPr>
                <w:rFonts w:cs="Arial"/>
                <w:sz w:val="20"/>
                <w:szCs w:val="20"/>
              </w:rPr>
            </w:pPr>
            <w:r>
              <w:rPr>
                <w:rFonts w:cs="Arial"/>
                <w:sz w:val="20"/>
                <w:szCs w:val="20"/>
              </w:rPr>
              <w:t>67</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EC8FF" w14:textId="77777777" w:rsidR="00545104" w:rsidRPr="00C01F7F" w:rsidRDefault="00545104" w:rsidP="006F577A">
            <w:pPr>
              <w:spacing w:before="0" w:after="0"/>
              <w:jc w:val="center"/>
              <w:rPr>
                <w:rFonts w:cs="Arial"/>
                <w:sz w:val="20"/>
                <w:szCs w:val="20"/>
              </w:rPr>
            </w:pPr>
            <w:r>
              <w:rPr>
                <w:rFonts w:cs="Arial"/>
                <w:sz w:val="20"/>
                <w:szCs w:val="20"/>
              </w:rPr>
              <w:t>46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1CE0D" w14:textId="77777777" w:rsidR="00545104" w:rsidRPr="009378A6" w:rsidRDefault="00545104" w:rsidP="006F577A">
            <w:pPr>
              <w:spacing w:before="0" w:after="0"/>
              <w:jc w:val="center"/>
              <w:rPr>
                <w:rFonts w:cs="Arial"/>
                <w:sz w:val="20"/>
                <w:szCs w:val="20"/>
              </w:rPr>
            </w:pPr>
            <w:r w:rsidRPr="009378A6">
              <w:rPr>
                <w:rFonts w:cs="Arial"/>
                <w:sz w:val="20"/>
                <w:szCs w:val="20"/>
              </w:rPr>
              <w:t>67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ACCD3" w14:textId="77777777" w:rsidR="00545104" w:rsidRPr="00C01F7F" w:rsidRDefault="00545104" w:rsidP="006F577A">
            <w:pPr>
              <w:spacing w:before="0" w:after="0"/>
              <w:jc w:val="center"/>
              <w:rPr>
                <w:rFonts w:cs="Arial"/>
                <w:sz w:val="20"/>
                <w:szCs w:val="20"/>
              </w:rPr>
            </w:pPr>
            <w:r>
              <w:rPr>
                <w:rFonts w:cs="Arial"/>
                <w:sz w:val="20"/>
                <w:szCs w:val="20"/>
              </w:rPr>
              <w:t>47</w:t>
            </w:r>
          </w:p>
        </w:tc>
      </w:tr>
      <w:tr w:rsidR="00545104" w:rsidRPr="00C01F7F" w14:paraId="21731E38" w14:textId="77777777" w:rsidTr="006F577A">
        <w:trPr>
          <w:trHeight w:val="250"/>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4526AA24"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Low Intermediate Basic Education</w:t>
            </w:r>
            <w:r>
              <w:rPr>
                <w:rFonts w:cs="Arial"/>
                <w:b/>
                <w:bCs/>
                <w:i/>
                <w:iCs/>
                <w:color w:val="000000"/>
                <w:sz w:val="20"/>
                <w:szCs w:val="20"/>
              </w:rPr>
              <w:t>/ABE 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75A04CF" w14:textId="77777777" w:rsidR="00545104" w:rsidRPr="00C01F7F" w:rsidRDefault="00545104" w:rsidP="006F577A">
            <w:pPr>
              <w:spacing w:before="0" w:after="0"/>
              <w:jc w:val="center"/>
              <w:rPr>
                <w:rFonts w:cs="Arial"/>
                <w:sz w:val="20"/>
                <w:szCs w:val="20"/>
              </w:rPr>
            </w:pPr>
            <w:r w:rsidRPr="00C01F7F">
              <w:rPr>
                <w:rFonts w:cs="Arial"/>
                <w:sz w:val="20"/>
                <w:szCs w:val="20"/>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778251" w14:textId="77777777" w:rsidR="00545104" w:rsidRPr="00C01F7F" w:rsidRDefault="00545104" w:rsidP="006F577A">
            <w:pPr>
              <w:spacing w:before="0" w:after="0"/>
              <w:jc w:val="center"/>
              <w:rPr>
                <w:rFonts w:cs="Arial"/>
                <w:sz w:val="20"/>
                <w:szCs w:val="20"/>
              </w:rPr>
            </w:pPr>
            <w:r w:rsidRPr="00C01F7F">
              <w:rPr>
                <w:rFonts w:cs="Arial"/>
                <w:sz w:val="20"/>
                <w:szCs w:val="20"/>
              </w:rPr>
              <w:t>50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46DA" w14:textId="77777777" w:rsidR="00545104" w:rsidRPr="00C01F7F" w:rsidRDefault="00545104" w:rsidP="006F577A">
            <w:pPr>
              <w:spacing w:before="0" w:after="0"/>
              <w:jc w:val="center"/>
              <w:rPr>
                <w:rFonts w:cs="Arial"/>
                <w:sz w:val="20"/>
                <w:szCs w:val="20"/>
              </w:rPr>
            </w:pPr>
            <w:r w:rsidRPr="00C01F7F">
              <w:rPr>
                <w:rFonts w:cs="Arial"/>
                <w:sz w:val="20"/>
                <w:szCs w:val="20"/>
              </w:rPr>
              <w:t>55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DE279" w14:textId="77777777" w:rsidR="00545104" w:rsidRPr="00C01F7F" w:rsidRDefault="00545104" w:rsidP="006F577A">
            <w:pPr>
              <w:spacing w:before="0" w:after="0"/>
              <w:jc w:val="center"/>
              <w:rPr>
                <w:rFonts w:cs="Arial"/>
                <w:sz w:val="20"/>
                <w:szCs w:val="20"/>
              </w:rPr>
            </w:pPr>
            <w:r w:rsidRPr="00C01F7F">
              <w:rPr>
                <w:rFonts w:cs="Arial"/>
                <w:sz w:val="20"/>
                <w:szCs w:val="20"/>
              </w:rPr>
              <w:t>45</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62E86" w14:textId="77777777" w:rsidR="00545104" w:rsidRPr="00C01F7F" w:rsidRDefault="00545104" w:rsidP="006F577A">
            <w:pPr>
              <w:spacing w:before="0" w:after="0"/>
              <w:jc w:val="center"/>
              <w:rPr>
                <w:rFonts w:cs="Arial"/>
                <w:sz w:val="20"/>
                <w:szCs w:val="20"/>
              </w:rPr>
            </w:pPr>
            <w:r>
              <w:rPr>
                <w:rFonts w:cs="Arial"/>
                <w:sz w:val="20"/>
                <w:szCs w:val="20"/>
              </w:rPr>
              <w:t>51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39A2D" w14:textId="77777777" w:rsidR="00545104" w:rsidRPr="00C01F7F" w:rsidRDefault="00545104" w:rsidP="006F577A">
            <w:pPr>
              <w:spacing w:before="0" w:after="0"/>
              <w:jc w:val="center"/>
              <w:rPr>
                <w:rFonts w:cs="Arial"/>
                <w:sz w:val="20"/>
                <w:szCs w:val="20"/>
              </w:rPr>
            </w:pPr>
            <w:r>
              <w:rPr>
                <w:rFonts w:cs="Arial"/>
                <w:sz w:val="20"/>
                <w:szCs w:val="20"/>
              </w:rPr>
              <w:t>39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EA5D6" w14:textId="77777777" w:rsidR="00545104" w:rsidRPr="009378A6" w:rsidRDefault="00545104" w:rsidP="006F577A">
            <w:pPr>
              <w:spacing w:before="0" w:after="0"/>
              <w:jc w:val="center"/>
              <w:rPr>
                <w:rFonts w:cs="Arial"/>
                <w:sz w:val="20"/>
                <w:szCs w:val="20"/>
              </w:rPr>
            </w:pPr>
            <w:r w:rsidRPr="009378A6">
              <w:rPr>
                <w:rFonts w:cs="Arial"/>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CD563" w14:textId="77777777" w:rsidR="00545104" w:rsidRPr="00C01F7F" w:rsidRDefault="00545104" w:rsidP="006F577A">
            <w:pPr>
              <w:spacing w:before="0" w:after="0"/>
              <w:jc w:val="center"/>
              <w:rPr>
                <w:rFonts w:cs="Arial"/>
                <w:sz w:val="20"/>
                <w:szCs w:val="20"/>
              </w:rPr>
            </w:pPr>
            <w:r>
              <w:rPr>
                <w:rFonts w:cs="Arial"/>
                <w:sz w:val="20"/>
                <w:szCs w:val="20"/>
              </w:rPr>
              <w:t>44</w:t>
            </w:r>
          </w:p>
        </w:tc>
      </w:tr>
      <w:tr w:rsidR="00545104" w:rsidRPr="00C01F7F" w14:paraId="7305B52B" w14:textId="77777777" w:rsidTr="006F577A">
        <w:trPr>
          <w:trHeight w:val="268"/>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585B095B"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High Intermediate Basic Education</w:t>
            </w:r>
            <w:r>
              <w:rPr>
                <w:rFonts w:cs="Arial"/>
                <w:b/>
                <w:bCs/>
                <w:i/>
                <w:iCs/>
                <w:color w:val="000000"/>
                <w:sz w:val="20"/>
                <w:szCs w:val="20"/>
              </w:rPr>
              <w:t>/ABE4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782DF0C" w14:textId="77777777" w:rsidR="00545104" w:rsidRPr="00C01F7F" w:rsidRDefault="00545104" w:rsidP="006F577A">
            <w:pPr>
              <w:spacing w:before="0" w:after="0"/>
              <w:jc w:val="center"/>
              <w:rPr>
                <w:rFonts w:cs="Arial"/>
                <w:sz w:val="20"/>
                <w:szCs w:val="20"/>
              </w:rPr>
            </w:pPr>
            <w:r w:rsidRPr="00C01F7F">
              <w:rPr>
                <w:rFonts w:cs="Arial"/>
                <w:sz w:val="20"/>
                <w:szCs w:val="20"/>
              </w:rPr>
              <w:t>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B393EB" w14:textId="77777777" w:rsidR="00545104" w:rsidRPr="00C01F7F" w:rsidRDefault="00545104" w:rsidP="006F577A">
            <w:pPr>
              <w:spacing w:before="0" w:after="0"/>
              <w:jc w:val="center"/>
              <w:rPr>
                <w:rFonts w:cs="Arial"/>
                <w:sz w:val="20"/>
                <w:szCs w:val="20"/>
              </w:rPr>
            </w:pPr>
            <w:r w:rsidRPr="00C01F7F">
              <w:rPr>
                <w:rFonts w:cs="Arial"/>
                <w:sz w:val="20"/>
                <w:szCs w:val="20"/>
              </w:rPr>
              <w:t>33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E7FEE" w14:textId="77777777" w:rsidR="00545104" w:rsidRPr="00C01F7F" w:rsidRDefault="00545104" w:rsidP="006F577A">
            <w:pPr>
              <w:spacing w:before="0" w:after="0"/>
              <w:jc w:val="center"/>
              <w:rPr>
                <w:rFonts w:cs="Arial"/>
                <w:sz w:val="20"/>
                <w:szCs w:val="20"/>
              </w:rPr>
            </w:pPr>
            <w:r w:rsidRPr="00C01F7F">
              <w:rPr>
                <w:rFonts w:cs="Arial"/>
                <w:sz w:val="20"/>
                <w:szCs w:val="20"/>
              </w:rPr>
              <w:t>46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E93F8" w14:textId="77777777" w:rsidR="00545104" w:rsidRPr="00C01F7F" w:rsidRDefault="00545104" w:rsidP="006F577A">
            <w:pPr>
              <w:spacing w:before="0" w:after="0"/>
              <w:jc w:val="center"/>
              <w:rPr>
                <w:rFonts w:cs="Arial"/>
                <w:sz w:val="20"/>
                <w:szCs w:val="20"/>
              </w:rPr>
            </w:pPr>
            <w:r w:rsidRPr="00C01F7F">
              <w:rPr>
                <w:rFonts w:cs="Arial"/>
                <w:sz w:val="20"/>
                <w:szCs w:val="20"/>
              </w:rPr>
              <w:t>30</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F6802" w14:textId="77777777" w:rsidR="00545104" w:rsidRPr="00C01F7F" w:rsidRDefault="00545104" w:rsidP="006F577A">
            <w:pPr>
              <w:spacing w:before="0" w:after="0"/>
              <w:jc w:val="center"/>
              <w:rPr>
                <w:rFonts w:cs="Arial"/>
                <w:sz w:val="20"/>
                <w:szCs w:val="20"/>
              </w:rPr>
            </w:pPr>
            <w:r>
              <w:rPr>
                <w:rFonts w:cs="Arial"/>
                <w:sz w:val="20"/>
                <w:szCs w:val="20"/>
              </w:rPr>
              <w:t>34</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60989" w14:textId="77777777" w:rsidR="00545104" w:rsidRPr="00C01F7F" w:rsidRDefault="00545104" w:rsidP="006F577A">
            <w:pPr>
              <w:spacing w:before="0" w:after="0"/>
              <w:jc w:val="center"/>
              <w:rPr>
                <w:rFonts w:cs="Arial"/>
                <w:sz w:val="20"/>
                <w:szCs w:val="20"/>
              </w:rPr>
            </w:pPr>
            <w:r>
              <w:rPr>
                <w:rFonts w:cs="Arial"/>
                <w:sz w:val="20"/>
                <w:szCs w:val="20"/>
              </w:rPr>
              <w:t>36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28D3CA" w14:textId="77777777" w:rsidR="00545104" w:rsidRPr="009378A6" w:rsidRDefault="00545104" w:rsidP="006F577A">
            <w:pPr>
              <w:spacing w:before="0" w:after="0"/>
              <w:jc w:val="center"/>
              <w:rPr>
                <w:rFonts w:cs="Arial"/>
                <w:sz w:val="20"/>
                <w:szCs w:val="20"/>
              </w:rPr>
            </w:pPr>
            <w:r w:rsidRPr="009378A6">
              <w:rPr>
                <w:rFonts w:cs="Arial"/>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1D283" w14:textId="77777777" w:rsidR="00545104" w:rsidRPr="00C01F7F" w:rsidRDefault="00545104" w:rsidP="006F577A">
            <w:pPr>
              <w:spacing w:before="0" w:after="0"/>
              <w:jc w:val="center"/>
              <w:rPr>
                <w:rFonts w:cs="Arial"/>
                <w:sz w:val="20"/>
                <w:szCs w:val="20"/>
              </w:rPr>
            </w:pPr>
            <w:r>
              <w:rPr>
                <w:rFonts w:cs="Arial"/>
                <w:sz w:val="20"/>
                <w:szCs w:val="20"/>
              </w:rPr>
              <w:t>39</w:t>
            </w:r>
          </w:p>
        </w:tc>
      </w:tr>
      <w:tr w:rsidR="00545104" w:rsidRPr="00C01F7F" w14:paraId="3D8F2292" w14:textId="77777777" w:rsidTr="006F577A">
        <w:trPr>
          <w:trHeight w:val="269"/>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3D041AB2"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Low Adult Secondary</w:t>
            </w:r>
            <w:r>
              <w:rPr>
                <w:rFonts w:cs="Arial"/>
                <w:b/>
                <w:bCs/>
                <w:i/>
                <w:iCs/>
                <w:color w:val="000000"/>
                <w:sz w:val="20"/>
                <w:szCs w:val="20"/>
              </w:rPr>
              <w:t>/ABE 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181040A" w14:textId="77777777" w:rsidR="00545104" w:rsidRPr="00C01F7F" w:rsidRDefault="00545104" w:rsidP="006F577A">
            <w:pPr>
              <w:spacing w:before="0" w:after="0"/>
              <w:jc w:val="center"/>
              <w:rPr>
                <w:rFonts w:cs="Arial"/>
                <w:sz w:val="20"/>
                <w:szCs w:val="20"/>
              </w:rPr>
            </w:pPr>
            <w:r w:rsidRPr="00C01F7F">
              <w:rPr>
                <w:rFonts w:cs="Arial"/>
                <w:sz w:val="20"/>
                <w:szCs w:val="20"/>
              </w:rPr>
              <w:t>46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84EA9F" w14:textId="77777777" w:rsidR="00545104" w:rsidRPr="00C01F7F" w:rsidRDefault="00545104" w:rsidP="006F577A">
            <w:pPr>
              <w:spacing w:before="0" w:after="0"/>
              <w:jc w:val="center"/>
              <w:rPr>
                <w:rFonts w:cs="Arial"/>
                <w:sz w:val="20"/>
                <w:szCs w:val="20"/>
              </w:rPr>
            </w:pPr>
            <w:r w:rsidRPr="00C01F7F">
              <w:rPr>
                <w:rFonts w:cs="Arial"/>
                <w:sz w:val="20"/>
                <w:szCs w:val="20"/>
              </w:rPr>
              <w:t>25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9A52" w14:textId="77777777" w:rsidR="00545104" w:rsidRPr="00C01F7F" w:rsidRDefault="00545104" w:rsidP="006F577A">
            <w:pPr>
              <w:spacing w:before="0" w:after="0"/>
              <w:jc w:val="center"/>
              <w:rPr>
                <w:rFonts w:cs="Arial"/>
                <w:sz w:val="20"/>
                <w:szCs w:val="20"/>
              </w:rPr>
            </w:pPr>
            <w:r w:rsidRPr="00C01F7F">
              <w:rPr>
                <w:rFonts w:cs="Arial"/>
                <w:sz w:val="20"/>
                <w:szCs w:val="20"/>
              </w:rPr>
              <w:t>46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21D58" w14:textId="77777777" w:rsidR="00545104" w:rsidRPr="00C01F7F" w:rsidRDefault="00545104" w:rsidP="006F577A">
            <w:pPr>
              <w:spacing w:before="0" w:after="0"/>
              <w:jc w:val="center"/>
              <w:rPr>
                <w:rFonts w:cs="Arial"/>
                <w:sz w:val="20"/>
                <w:szCs w:val="20"/>
              </w:rPr>
            </w:pPr>
            <w:r w:rsidRPr="00C01F7F">
              <w:rPr>
                <w:rFonts w:cs="Arial"/>
                <w:sz w:val="20"/>
                <w:szCs w:val="20"/>
              </w:rPr>
              <w:t>22</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CA5D8" w14:textId="77777777" w:rsidR="00545104" w:rsidRPr="00C01F7F" w:rsidRDefault="00545104" w:rsidP="006F577A">
            <w:pPr>
              <w:spacing w:before="0" w:after="0"/>
              <w:jc w:val="center"/>
              <w:rPr>
                <w:rFonts w:cs="Arial"/>
                <w:sz w:val="20"/>
                <w:szCs w:val="20"/>
              </w:rPr>
            </w:pPr>
            <w:r>
              <w:rPr>
                <w:rFonts w:cs="Arial"/>
                <w:sz w:val="20"/>
                <w:szCs w:val="20"/>
              </w:rPr>
              <w:t>26</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30007" w14:textId="77777777" w:rsidR="00545104" w:rsidRPr="00C01F7F" w:rsidRDefault="00545104" w:rsidP="006F577A">
            <w:pPr>
              <w:spacing w:before="0" w:after="0"/>
              <w:jc w:val="center"/>
              <w:rPr>
                <w:rFonts w:cs="Arial"/>
                <w:sz w:val="20"/>
                <w:szCs w:val="20"/>
              </w:rPr>
            </w:pPr>
            <w:r>
              <w:rPr>
                <w:rFonts w:cs="Arial"/>
                <w:sz w:val="20"/>
                <w:szCs w:val="20"/>
              </w:rPr>
              <w:t>40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D4B4A1" w14:textId="77777777" w:rsidR="00545104" w:rsidRPr="009378A6" w:rsidRDefault="00545104" w:rsidP="006F577A">
            <w:pPr>
              <w:spacing w:before="0" w:after="0"/>
              <w:jc w:val="center"/>
              <w:rPr>
                <w:rFonts w:cs="Arial"/>
                <w:sz w:val="20"/>
                <w:szCs w:val="20"/>
              </w:rPr>
            </w:pPr>
            <w:r w:rsidRPr="009378A6">
              <w:rPr>
                <w:rFonts w:cs="Arial"/>
                <w:sz w:val="20"/>
                <w:szCs w:val="20"/>
              </w:rPr>
              <w:t>27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26526" w14:textId="77777777" w:rsidR="00545104" w:rsidRPr="00C01F7F" w:rsidRDefault="00545104" w:rsidP="006F577A">
            <w:pPr>
              <w:spacing w:before="0" w:after="0"/>
              <w:jc w:val="center"/>
              <w:rPr>
                <w:rFonts w:cs="Arial"/>
                <w:sz w:val="20"/>
                <w:szCs w:val="20"/>
              </w:rPr>
            </w:pPr>
            <w:r>
              <w:rPr>
                <w:rFonts w:cs="Arial"/>
                <w:sz w:val="20"/>
                <w:szCs w:val="20"/>
              </w:rPr>
              <w:t>41</w:t>
            </w:r>
          </w:p>
        </w:tc>
      </w:tr>
      <w:tr w:rsidR="00545104" w:rsidRPr="00C01F7F" w14:paraId="3E1ECB86" w14:textId="77777777" w:rsidTr="006F577A">
        <w:trPr>
          <w:trHeight w:val="269"/>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372E049F" w14:textId="77777777" w:rsidR="00545104" w:rsidRPr="00C01F7F" w:rsidRDefault="00545104" w:rsidP="006F577A">
            <w:pPr>
              <w:spacing w:before="0" w:after="0"/>
              <w:rPr>
                <w:rFonts w:cs="Arial"/>
                <w:b/>
                <w:bCs/>
                <w:i/>
                <w:iCs/>
                <w:color w:val="000000"/>
                <w:sz w:val="20"/>
                <w:szCs w:val="20"/>
              </w:rPr>
            </w:pPr>
            <w:r>
              <w:rPr>
                <w:rFonts w:cs="Arial"/>
                <w:b/>
                <w:bCs/>
                <w:i/>
                <w:iCs/>
                <w:color w:val="000000"/>
                <w:sz w:val="20"/>
                <w:szCs w:val="20"/>
              </w:rPr>
              <w:t>High Adult Secondary/ABE 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B740978" w14:textId="77777777" w:rsidR="00545104" w:rsidRPr="00C01F7F" w:rsidRDefault="00545104" w:rsidP="006F577A">
            <w:pPr>
              <w:spacing w:before="0" w:after="0"/>
              <w:jc w:val="center"/>
              <w:rPr>
                <w:rFonts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9C4C43" w14:textId="77777777" w:rsidR="00545104" w:rsidRPr="00C01F7F" w:rsidRDefault="00545104" w:rsidP="006F577A">
            <w:pPr>
              <w:spacing w:before="0" w:after="0"/>
              <w:jc w:val="center"/>
              <w:rPr>
                <w:rFonts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66FFE" w14:textId="77777777" w:rsidR="00545104" w:rsidRPr="00C01F7F" w:rsidRDefault="00545104" w:rsidP="006F577A">
            <w:pPr>
              <w:spacing w:before="0" w:after="0"/>
              <w:jc w:val="center"/>
              <w:rPr>
                <w:rFonts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35251" w14:textId="77777777" w:rsidR="00545104" w:rsidRPr="00C01F7F" w:rsidRDefault="00545104" w:rsidP="006F577A">
            <w:pPr>
              <w:spacing w:before="0" w:after="0"/>
              <w:jc w:val="center"/>
              <w:rPr>
                <w:rFonts w:cs="Arial"/>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CE9C" w14:textId="77777777" w:rsidR="00545104" w:rsidRPr="00C01F7F" w:rsidRDefault="00545104" w:rsidP="006F577A">
            <w:pPr>
              <w:spacing w:before="0" w:after="0"/>
              <w:jc w:val="center"/>
              <w:rPr>
                <w:rFonts w:cs="Arial"/>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800B3" w14:textId="77777777" w:rsidR="00545104" w:rsidRPr="00C01F7F" w:rsidRDefault="00545104" w:rsidP="006F577A">
            <w:pPr>
              <w:spacing w:before="0" w:after="0"/>
              <w:jc w:val="center"/>
              <w:rPr>
                <w:rFonts w:cs="Arial"/>
                <w:sz w:val="20"/>
                <w:szCs w:val="20"/>
              </w:rPr>
            </w:pPr>
            <w:r>
              <w:rPr>
                <w:rFonts w:cs="Arial"/>
                <w:sz w:val="20"/>
                <w:szCs w:val="20"/>
              </w:rPr>
              <w:t>28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5FBE8C" w14:textId="77777777" w:rsidR="00545104" w:rsidRPr="009378A6" w:rsidRDefault="00545104" w:rsidP="006F577A">
            <w:pPr>
              <w:spacing w:before="0" w:after="0"/>
              <w:jc w:val="center"/>
              <w:rPr>
                <w:rFonts w:cs="Arial"/>
                <w:sz w:val="20"/>
                <w:szCs w:val="20"/>
              </w:rPr>
            </w:pPr>
            <w:r w:rsidRPr="009378A6">
              <w:rPr>
                <w:rFonts w:cs="Arial"/>
                <w:sz w:val="20"/>
                <w:szCs w:val="20"/>
              </w:rPr>
              <w:t>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DF3CC" w14:textId="77777777" w:rsidR="00545104" w:rsidRDefault="00545104" w:rsidP="006F577A">
            <w:pPr>
              <w:spacing w:before="0" w:after="0"/>
              <w:jc w:val="center"/>
              <w:rPr>
                <w:rFonts w:cs="Arial"/>
                <w:sz w:val="20"/>
                <w:szCs w:val="20"/>
              </w:rPr>
            </w:pPr>
            <w:r>
              <w:rPr>
                <w:rFonts w:cs="Arial"/>
                <w:sz w:val="20"/>
                <w:szCs w:val="20"/>
              </w:rPr>
              <w:t>24</w:t>
            </w:r>
          </w:p>
        </w:tc>
      </w:tr>
      <w:tr w:rsidR="00545104" w:rsidRPr="00C01F7F" w14:paraId="56E3A9B6" w14:textId="77777777" w:rsidTr="006F577A">
        <w:trPr>
          <w:trHeight w:val="254"/>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3E72BB88"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Beginning ESL Literacy</w:t>
            </w:r>
            <w:r>
              <w:rPr>
                <w:rFonts w:cs="Arial"/>
                <w:b/>
                <w:bCs/>
                <w:i/>
                <w:iCs/>
                <w:color w:val="000000"/>
                <w:sz w:val="20"/>
                <w:szCs w:val="20"/>
              </w:rPr>
              <w:t>/ESL 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29120CE" w14:textId="77777777" w:rsidR="00545104" w:rsidRPr="00C01F7F" w:rsidRDefault="00545104" w:rsidP="006F577A">
            <w:pPr>
              <w:spacing w:before="0" w:after="0"/>
              <w:jc w:val="center"/>
              <w:rPr>
                <w:rFonts w:cs="Arial"/>
                <w:sz w:val="20"/>
                <w:szCs w:val="20"/>
              </w:rPr>
            </w:pPr>
            <w:r w:rsidRPr="00C01F7F">
              <w:rPr>
                <w:rFonts w:cs="Arial"/>
                <w:sz w:val="20"/>
                <w:szCs w:val="20"/>
              </w:rPr>
              <w:t>57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A454DB" w14:textId="77777777" w:rsidR="00545104" w:rsidRPr="00C01F7F" w:rsidRDefault="00545104" w:rsidP="006F577A">
            <w:pPr>
              <w:spacing w:before="0" w:after="0"/>
              <w:jc w:val="center"/>
              <w:rPr>
                <w:rFonts w:cs="Arial"/>
                <w:sz w:val="20"/>
                <w:szCs w:val="20"/>
              </w:rPr>
            </w:pPr>
            <w:r w:rsidRPr="00C01F7F">
              <w:rPr>
                <w:rFonts w:cs="Arial"/>
                <w:sz w:val="20"/>
                <w:szCs w:val="20"/>
              </w:rPr>
              <w:t>47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81D1D" w14:textId="77777777" w:rsidR="00545104" w:rsidRPr="00C01F7F" w:rsidRDefault="00545104" w:rsidP="006F577A">
            <w:pPr>
              <w:spacing w:before="0" w:after="0"/>
              <w:jc w:val="center"/>
              <w:rPr>
                <w:rFonts w:cs="Arial"/>
                <w:sz w:val="20"/>
                <w:szCs w:val="20"/>
              </w:rPr>
            </w:pPr>
            <w:r w:rsidRPr="00C01F7F">
              <w:rPr>
                <w:rFonts w:cs="Arial"/>
                <w:sz w:val="20"/>
                <w:szCs w:val="20"/>
              </w:rPr>
              <w:t>59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CD49" w14:textId="77777777" w:rsidR="00545104" w:rsidRPr="00C01F7F" w:rsidRDefault="00545104" w:rsidP="006F577A">
            <w:pPr>
              <w:spacing w:before="0" w:after="0"/>
              <w:jc w:val="center"/>
              <w:rPr>
                <w:rFonts w:cs="Arial"/>
                <w:sz w:val="20"/>
                <w:szCs w:val="20"/>
              </w:rPr>
            </w:pPr>
            <w:r w:rsidRPr="00C01F7F">
              <w:rPr>
                <w:rFonts w:cs="Arial"/>
                <w:sz w:val="20"/>
                <w:szCs w:val="20"/>
              </w:rPr>
              <w:t>45</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24A2" w14:textId="77777777" w:rsidR="00545104" w:rsidRPr="00C01F7F" w:rsidRDefault="00545104" w:rsidP="006F577A">
            <w:pPr>
              <w:spacing w:before="0" w:after="0"/>
              <w:jc w:val="center"/>
              <w:rPr>
                <w:rFonts w:cs="Arial"/>
                <w:sz w:val="20"/>
                <w:szCs w:val="20"/>
              </w:rPr>
            </w:pPr>
            <w:r>
              <w:rPr>
                <w:rFonts w:cs="Arial"/>
                <w:sz w:val="20"/>
                <w:szCs w:val="20"/>
              </w:rPr>
              <w:t>48</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3671E" w14:textId="77777777" w:rsidR="00545104" w:rsidRPr="00C01F7F" w:rsidRDefault="00545104" w:rsidP="006F577A">
            <w:pPr>
              <w:spacing w:before="0" w:after="0"/>
              <w:jc w:val="center"/>
              <w:rPr>
                <w:rFonts w:cs="Arial"/>
                <w:sz w:val="20"/>
                <w:szCs w:val="20"/>
              </w:rPr>
            </w:pPr>
            <w:r w:rsidRPr="00C01F7F">
              <w:rPr>
                <w:rFonts w:cs="Arial"/>
                <w:sz w:val="20"/>
                <w:szCs w:val="20"/>
              </w:rPr>
              <w:t>4</w:t>
            </w:r>
            <w:r>
              <w:rPr>
                <w:rFonts w:cs="Arial"/>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D7DC04" w14:textId="77777777" w:rsidR="00545104" w:rsidRPr="009378A6" w:rsidRDefault="00545104" w:rsidP="006F577A">
            <w:pPr>
              <w:spacing w:before="0" w:after="0"/>
              <w:jc w:val="center"/>
              <w:rPr>
                <w:rFonts w:cs="Arial"/>
                <w:sz w:val="20"/>
                <w:szCs w:val="20"/>
              </w:rPr>
            </w:pPr>
            <w:r w:rsidRPr="009378A6">
              <w:rPr>
                <w:rFonts w:cs="Arial"/>
                <w:sz w:val="20"/>
                <w:szCs w:val="20"/>
              </w:rPr>
              <w:t>49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05182" w14:textId="77777777" w:rsidR="00545104" w:rsidRPr="00C01F7F" w:rsidRDefault="00545104" w:rsidP="006F577A">
            <w:pPr>
              <w:spacing w:before="0" w:after="0"/>
              <w:jc w:val="center"/>
              <w:rPr>
                <w:rFonts w:cs="Arial"/>
                <w:sz w:val="20"/>
                <w:szCs w:val="20"/>
              </w:rPr>
            </w:pPr>
            <w:r>
              <w:rPr>
                <w:rFonts w:cs="Arial"/>
                <w:sz w:val="20"/>
                <w:szCs w:val="20"/>
              </w:rPr>
              <w:t>43</w:t>
            </w:r>
          </w:p>
        </w:tc>
      </w:tr>
      <w:tr w:rsidR="00545104" w:rsidRPr="00C01F7F" w14:paraId="4E2C07D0" w14:textId="77777777" w:rsidTr="006F577A">
        <w:trPr>
          <w:trHeight w:val="254"/>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76F2A1E0"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Beginning ESL(Low)</w:t>
            </w:r>
            <w:r>
              <w:rPr>
                <w:rFonts w:cs="Arial"/>
                <w:b/>
                <w:bCs/>
                <w:i/>
                <w:iCs/>
                <w:color w:val="000000"/>
                <w:sz w:val="20"/>
                <w:szCs w:val="20"/>
              </w:rPr>
              <w:t>/ESL 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55390AC1" w14:textId="77777777" w:rsidR="00545104" w:rsidRPr="00C01F7F" w:rsidRDefault="00545104" w:rsidP="006F577A">
            <w:pPr>
              <w:spacing w:before="0" w:after="0"/>
              <w:jc w:val="center"/>
              <w:rPr>
                <w:rFonts w:cs="Arial"/>
                <w:sz w:val="20"/>
                <w:szCs w:val="20"/>
              </w:rPr>
            </w:pPr>
            <w:r w:rsidRPr="00C01F7F">
              <w:rPr>
                <w:rFonts w:cs="Arial"/>
                <w:sz w:val="20"/>
                <w:szCs w:val="20"/>
              </w:rPr>
              <w:t>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5E7C09" w14:textId="77777777" w:rsidR="00545104" w:rsidRPr="00C01F7F" w:rsidRDefault="00545104" w:rsidP="006F577A">
            <w:pPr>
              <w:spacing w:before="0" w:after="0"/>
              <w:jc w:val="center"/>
              <w:rPr>
                <w:rFonts w:cs="Arial"/>
                <w:sz w:val="20"/>
                <w:szCs w:val="20"/>
              </w:rPr>
            </w:pPr>
            <w:r w:rsidRPr="00C01F7F">
              <w:rPr>
                <w:rFonts w:cs="Arial"/>
                <w:sz w:val="20"/>
                <w:szCs w:val="20"/>
              </w:rPr>
              <w:t>58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92AA8" w14:textId="77777777" w:rsidR="00545104" w:rsidRPr="00C01F7F" w:rsidRDefault="00545104" w:rsidP="006F577A">
            <w:pPr>
              <w:spacing w:before="0" w:after="0"/>
              <w:jc w:val="center"/>
              <w:rPr>
                <w:rFonts w:cs="Arial"/>
                <w:sz w:val="20"/>
                <w:szCs w:val="20"/>
              </w:rPr>
            </w:pPr>
            <w:r w:rsidRPr="00C01F7F">
              <w:rPr>
                <w:rFonts w:cs="Arial"/>
                <w:sz w:val="20"/>
                <w:szCs w:val="20"/>
              </w:rPr>
              <w:t>73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62A26" w14:textId="77777777" w:rsidR="00545104" w:rsidRPr="00C01F7F" w:rsidRDefault="00545104" w:rsidP="006F577A">
            <w:pPr>
              <w:spacing w:before="0" w:after="0"/>
              <w:jc w:val="center"/>
              <w:rPr>
                <w:rFonts w:cs="Arial"/>
                <w:sz w:val="20"/>
                <w:szCs w:val="20"/>
              </w:rPr>
            </w:pPr>
            <w:r w:rsidRPr="00C01F7F">
              <w:rPr>
                <w:rFonts w:cs="Arial"/>
                <w:sz w:val="20"/>
                <w:szCs w:val="20"/>
              </w:rPr>
              <w:t>55</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BD9B5" w14:textId="77777777" w:rsidR="00545104" w:rsidRPr="00C01F7F" w:rsidRDefault="00545104" w:rsidP="006F577A">
            <w:pPr>
              <w:spacing w:before="0" w:after="0"/>
              <w:jc w:val="center"/>
              <w:rPr>
                <w:rFonts w:cs="Arial"/>
                <w:sz w:val="20"/>
                <w:szCs w:val="20"/>
              </w:rPr>
            </w:pPr>
            <w:r>
              <w:rPr>
                <w:rFonts w:cs="Arial"/>
                <w:sz w:val="20"/>
                <w:szCs w:val="20"/>
              </w:rPr>
              <w:t>58</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BCFCB" w14:textId="77777777" w:rsidR="00545104" w:rsidRPr="00C01F7F" w:rsidRDefault="00545104" w:rsidP="006F577A">
            <w:pPr>
              <w:spacing w:before="0" w:after="0"/>
              <w:jc w:val="center"/>
              <w:rPr>
                <w:rFonts w:cs="Arial"/>
                <w:sz w:val="20"/>
                <w:szCs w:val="20"/>
              </w:rPr>
            </w:pPr>
            <w:r w:rsidRPr="00C01F7F">
              <w:rPr>
                <w:rFonts w:cs="Arial"/>
                <w:sz w:val="20"/>
                <w:szCs w:val="20"/>
              </w:rPr>
              <w:t>5</w:t>
            </w:r>
            <w:r>
              <w:rPr>
                <w:rFonts w:cs="Arial"/>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FF6CD2" w14:textId="77777777" w:rsidR="00545104" w:rsidRPr="009378A6" w:rsidRDefault="00545104" w:rsidP="006F577A">
            <w:pPr>
              <w:spacing w:before="0" w:after="0"/>
              <w:jc w:val="center"/>
              <w:rPr>
                <w:rFonts w:cs="Arial"/>
                <w:sz w:val="20"/>
                <w:szCs w:val="20"/>
              </w:rPr>
            </w:pPr>
            <w:r w:rsidRPr="009378A6">
              <w:rPr>
                <w:rFonts w:cs="Arial"/>
                <w:sz w:val="20"/>
                <w:szCs w:val="20"/>
              </w:rPr>
              <w:t>58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E9877" w14:textId="77777777" w:rsidR="00545104" w:rsidRPr="00C01F7F" w:rsidRDefault="00545104" w:rsidP="006F577A">
            <w:pPr>
              <w:spacing w:before="0" w:after="0"/>
              <w:jc w:val="center"/>
              <w:rPr>
                <w:rFonts w:cs="Arial"/>
                <w:sz w:val="20"/>
                <w:szCs w:val="20"/>
              </w:rPr>
            </w:pPr>
            <w:r>
              <w:rPr>
                <w:rFonts w:cs="Arial"/>
                <w:sz w:val="20"/>
                <w:szCs w:val="20"/>
              </w:rPr>
              <w:t>53</w:t>
            </w:r>
          </w:p>
        </w:tc>
      </w:tr>
      <w:tr w:rsidR="00545104" w:rsidRPr="00C01F7F" w14:paraId="029880CC" w14:textId="77777777" w:rsidTr="006F577A">
        <w:trPr>
          <w:trHeight w:val="254"/>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0A3496B3"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Beginning ESL High</w:t>
            </w:r>
            <w:r>
              <w:rPr>
                <w:rFonts w:cs="Arial"/>
                <w:b/>
                <w:bCs/>
                <w:i/>
                <w:iCs/>
                <w:color w:val="000000"/>
                <w:sz w:val="20"/>
                <w:szCs w:val="20"/>
              </w:rPr>
              <w:t>/ESL 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1E86063B" w14:textId="77777777" w:rsidR="00545104" w:rsidRPr="00C01F7F" w:rsidRDefault="00545104" w:rsidP="006F577A">
            <w:pPr>
              <w:spacing w:before="0" w:after="0"/>
              <w:jc w:val="center"/>
              <w:rPr>
                <w:rFonts w:cs="Arial"/>
                <w:sz w:val="20"/>
                <w:szCs w:val="20"/>
              </w:rPr>
            </w:pPr>
            <w:r w:rsidRPr="00C01F7F">
              <w:rPr>
                <w:rFonts w:cs="Arial"/>
                <w:sz w:val="20"/>
                <w:szCs w:val="20"/>
              </w:rPr>
              <w:t>62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A9B790" w14:textId="77777777" w:rsidR="00545104" w:rsidRPr="00C01F7F" w:rsidRDefault="00545104" w:rsidP="006F577A">
            <w:pPr>
              <w:spacing w:before="0" w:after="0"/>
              <w:jc w:val="center"/>
              <w:rPr>
                <w:rFonts w:cs="Arial"/>
                <w:sz w:val="20"/>
                <w:szCs w:val="20"/>
              </w:rPr>
            </w:pPr>
            <w:r w:rsidRPr="00C01F7F">
              <w:rPr>
                <w:rFonts w:cs="Arial"/>
                <w:sz w:val="20"/>
                <w:szCs w:val="20"/>
              </w:rPr>
              <w:t>50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3D6A6" w14:textId="77777777" w:rsidR="00545104" w:rsidRPr="00C01F7F" w:rsidRDefault="00545104" w:rsidP="006F577A">
            <w:pPr>
              <w:spacing w:before="0" w:after="0"/>
              <w:jc w:val="center"/>
              <w:rPr>
                <w:rFonts w:cs="Arial"/>
                <w:sz w:val="20"/>
                <w:szCs w:val="20"/>
              </w:rPr>
            </w:pPr>
            <w:r w:rsidRPr="00C01F7F">
              <w:rPr>
                <w:rFonts w:cs="Arial"/>
                <w:sz w:val="20"/>
                <w:szCs w:val="20"/>
              </w:rPr>
              <w:t>66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E4EC9" w14:textId="77777777" w:rsidR="00545104" w:rsidRPr="00C01F7F" w:rsidRDefault="00545104" w:rsidP="006F577A">
            <w:pPr>
              <w:spacing w:before="0" w:after="0"/>
              <w:jc w:val="center"/>
              <w:rPr>
                <w:rFonts w:cs="Arial"/>
                <w:sz w:val="20"/>
                <w:szCs w:val="20"/>
              </w:rPr>
            </w:pPr>
            <w:r w:rsidRPr="00C01F7F">
              <w:rPr>
                <w:rFonts w:cs="Arial"/>
                <w:sz w:val="20"/>
                <w:szCs w:val="20"/>
              </w:rPr>
              <w:t>48</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13C7F" w14:textId="77777777" w:rsidR="00545104" w:rsidRPr="00C01F7F" w:rsidRDefault="00545104" w:rsidP="006F577A">
            <w:pPr>
              <w:spacing w:before="0" w:after="0"/>
              <w:jc w:val="center"/>
              <w:rPr>
                <w:rFonts w:cs="Arial"/>
                <w:sz w:val="20"/>
                <w:szCs w:val="20"/>
              </w:rPr>
            </w:pPr>
            <w:r>
              <w:rPr>
                <w:rFonts w:cs="Arial"/>
                <w:sz w:val="20"/>
                <w:szCs w:val="20"/>
              </w:rPr>
              <w:t>51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ADF47" w14:textId="77777777" w:rsidR="00545104" w:rsidRPr="00C01F7F" w:rsidRDefault="00545104" w:rsidP="006F577A">
            <w:pPr>
              <w:spacing w:before="0" w:after="0"/>
              <w:jc w:val="center"/>
              <w:rPr>
                <w:rFonts w:cs="Arial"/>
                <w:sz w:val="20"/>
                <w:szCs w:val="20"/>
              </w:rPr>
            </w:pPr>
            <w:r w:rsidRPr="00C01F7F">
              <w:rPr>
                <w:rFonts w:cs="Arial"/>
                <w:sz w:val="20"/>
                <w:szCs w:val="20"/>
              </w:rPr>
              <w:t>4</w:t>
            </w:r>
            <w:r>
              <w:rPr>
                <w:rFonts w:cs="Arial"/>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748C79" w14:textId="77777777" w:rsidR="00545104" w:rsidRPr="009378A6" w:rsidRDefault="00545104" w:rsidP="006F577A">
            <w:pPr>
              <w:spacing w:before="0" w:after="0"/>
              <w:jc w:val="center"/>
              <w:rPr>
                <w:rFonts w:cs="Arial"/>
                <w:sz w:val="20"/>
                <w:szCs w:val="20"/>
              </w:rPr>
            </w:pPr>
            <w:r w:rsidRPr="009378A6">
              <w:rPr>
                <w:rFonts w:cs="Arial"/>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DC417" w14:textId="77777777" w:rsidR="00545104" w:rsidRPr="00C01F7F" w:rsidRDefault="00545104" w:rsidP="006F577A">
            <w:pPr>
              <w:spacing w:before="0" w:after="0"/>
              <w:jc w:val="center"/>
              <w:rPr>
                <w:rFonts w:cs="Arial"/>
                <w:sz w:val="20"/>
                <w:szCs w:val="20"/>
              </w:rPr>
            </w:pPr>
            <w:r>
              <w:rPr>
                <w:rFonts w:cs="Arial"/>
                <w:sz w:val="20"/>
                <w:szCs w:val="20"/>
              </w:rPr>
              <w:t>44</w:t>
            </w:r>
          </w:p>
        </w:tc>
      </w:tr>
      <w:tr w:rsidR="00545104" w:rsidRPr="00C01F7F" w14:paraId="47F67CDC" w14:textId="77777777" w:rsidTr="006F577A">
        <w:trPr>
          <w:trHeight w:val="254"/>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2F91CECD"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Low Intermediate ESL</w:t>
            </w:r>
            <w:r>
              <w:rPr>
                <w:rFonts w:cs="Arial"/>
                <w:b/>
                <w:bCs/>
                <w:i/>
                <w:iCs/>
                <w:color w:val="000000"/>
                <w:sz w:val="20"/>
                <w:szCs w:val="20"/>
              </w:rPr>
              <w:t>/ESL 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07B76D43" w14:textId="77777777" w:rsidR="00545104" w:rsidRPr="00C01F7F" w:rsidRDefault="00545104" w:rsidP="006F577A">
            <w:pPr>
              <w:spacing w:before="0" w:after="0"/>
              <w:jc w:val="center"/>
              <w:rPr>
                <w:rFonts w:cs="Arial"/>
                <w:sz w:val="20"/>
                <w:szCs w:val="20"/>
              </w:rPr>
            </w:pPr>
            <w:r w:rsidRPr="00C01F7F">
              <w:rPr>
                <w:rFonts w:cs="Arial"/>
                <w:sz w:val="20"/>
                <w:szCs w:val="20"/>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E76534" w14:textId="77777777" w:rsidR="00545104" w:rsidRPr="00C01F7F" w:rsidRDefault="00545104" w:rsidP="006F577A">
            <w:pPr>
              <w:spacing w:before="0" w:after="0"/>
              <w:jc w:val="center"/>
              <w:rPr>
                <w:rFonts w:cs="Arial"/>
                <w:sz w:val="20"/>
                <w:szCs w:val="20"/>
              </w:rPr>
            </w:pPr>
            <w:r w:rsidRPr="00C01F7F">
              <w:rPr>
                <w:rFonts w:cs="Arial"/>
                <w:sz w:val="20"/>
                <w:szCs w:val="20"/>
              </w:rPr>
              <w:t>38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48C5" w14:textId="77777777" w:rsidR="00545104" w:rsidRPr="00C01F7F" w:rsidRDefault="00545104" w:rsidP="006F577A">
            <w:pPr>
              <w:spacing w:before="0" w:after="0"/>
              <w:jc w:val="center"/>
              <w:rPr>
                <w:rFonts w:cs="Arial"/>
                <w:sz w:val="20"/>
                <w:szCs w:val="20"/>
              </w:rPr>
            </w:pPr>
            <w:r w:rsidRPr="00C01F7F">
              <w:rPr>
                <w:rFonts w:cs="Arial"/>
                <w:sz w:val="20"/>
                <w:szCs w:val="20"/>
              </w:rPr>
              <w:t>56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E6EFB" w14:textId="77777777" w:rsidR="00545104" w:rsidRPr="00C01F7F" w:rsidRDefault="00545104" w:rsidP="006F577A">
            <w:pPr>
              <w:spacing w:before="0" w:after="0"/>
              <w:jc w:val="center"/>
              <w:rPr>
                <w:rFonts w:cs="Arial"/>
                <w:sz w:val="20"/>
                <w:szCs w:val="20"/>
              </w:rPr>
            </w:pPr>
            <w:r w:rsidRPr="00C01F7F">
              <w:rPr>
                <w:rFonts w:cs="Arial"/>
                <w:sz w:val="20"/>
                <w:szCs w:val="20"/>
              </w:rPr>
              <w:t>37</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45C9E" w14:textId="77777777" w:rsidR="00545104" w:rsidRPr="00C01F7F" w:rsidRDefault="00545104" w:rsidP="006F577A">
            <w:pPr>
              <w:spacing w:before="0" w:after="0"/>
              <w:jc w:val="center"/>
              <w:rPr>
                <w:rFonts w:cs="Arial"/>
                <w:sz w:val="20"/>
                <w:szCs w:val="20"/>
              </w:rPr>
            </w:pPr>
            <w:r>
              <w:rPr>
                <w:rFonts w:cs="Arial"/>
                <w:sz w:val="20"/>
                <w:szCs w:val="20"/>
              </w:rPr>
              <w:t>39</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1CD2D" w14:textId="77777777" w:rsidR="00545104" w:rsidRPr="00C01F7F" w:rsidRDefault="00545104" w:rsidP="006F577A">
            <w:pPr>
              <w:spacing w:before="0" w:after="0"/>
              <w:jc w:val="center"/>
              <w:rPr>
                <w:rFonts w:cs="Arial"/>
                <w:sz w:val="20"/>
                <w:szCs w:val="20"/>
              </w:rPr>
            </w:pPr>
            <w:r w:rsidRPr="00C01F7F">
              <w:rPr>
                <w:rFonts w:cs="Arial"/>
                <w:sz w:val="20"/>
                <w:szCs w:val="20"/>
              </w:rPr>
              <w:t>3</w:t>
            </w:r>
            <w:r>
              <w:rPr>
                <w:rFonts w:cs="Arial"/>
                <w:sz w:val="20"/>
                <w:szCs w:val="20"/>
              </w:rPr>
              <w:t>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8FE87" w14:textId="77777777" w:rsidR="00545104" w:rsidRPr="009378A6" w:rsidRDefault="00545104" w:rsidP="006F577A">
            <w:pPr>
              <w:spacing w:before="0" w:after="0"/>
              <w:jc w:val="center"/>
              <w:rPr>
                <w:rFonts w:cs="Arial"/>
                <w:sz w:val="20"/>
                <w:szCs w:val="20"/>
              </w:rPr>
            </w:pPr>
            <w:r w:rsidRPr="009378A6">
              <w:rPr>
                <w:rFonts w:cs="Arial"/>
                <w:sz w:val="20"/>
                <w:szCs w:val="20"/>
              </w:rPr>
              <w:t>40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97051" w14:textId="77777777" w:rsidR="00545104" w:rsidRPr="00C01F7F" w:rsidRDefault="00545104" w:rsidP="006F577A">
            <w:pPr>
              <w:spacing w:before="0" w:after="0"/>
              <w:jc w:val="center"/>
              <w:rPr>
                <w:rFonts w:cs="Arial"/>
                <w:sz w:val="20"/>
                <w:szCs w:val="20"/>
              </w:rPr>
            </w:pPr>
            <w:r>
              <w:rPr>
                <w:rFonts w:cs="Arial"/>
                <w:sz w:val="20"/>
                <w:szCs w:val="20"/>
              </w:rPr>
              <w:t>37</w:t>
            </w:r>
          </w:p>
        </w:tc>
      </w:tr>
      <w:tr w:rsidR="00545104" w:rsidRPr="00C01F7F" w14:paraId="3187CC67" w14:textId="77777777" w:rsidTr="006F577A">
        <w:trPr>
          <w:trHeight w:val="254"/>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5620EEEB"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High Intermediate ESL</w:t>
            </w:r>
            <w:r>
              <w:rPr>
                <w:rFonts w:cs="Arial"/>
                <w:b/>
                <w:bCs/>
                <w:i/>
                <w:iCs/>
                <w:color w:val="000000"/>
                <w:sz w:val="20"/>
                <w:szCs w:val="20"/>
              </w:rPr>
              <w:t>/ESL 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487AA15C" w14:textId="77777777" w:rsidR="00545104" w:rsidRPr="00C01F7F" w:rsidRDefault="00545104" w:rsidP="006F577A">
            <w:pPr>
              <w:spacing w:before="0" w:after="0"/>
              <w:jc w:val="center"/>
              <w:rPr>
                <w:rFonts w:cs="Arial"/>
                <w:sz w:val="20"/>
                <w:szCs w:val="20"/>
              </w:rPr>
            </w:pPr>
            <w:r w:rsidRPr="00C01F7F">
              <w:rPr>
                <w:rFonts w:cs="Arial"/>
                <w:sz w:val="20"/>
                <w:szCs w:val="20"/>
              </w:rPr>
              <w:t>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38D2728" w14:textId="77777777" w:rsidR="00545104" w:rsidRPr="00C01F7F" w:rsidRDefault="00545104" w:rsidP="006F577A">
            <w:pPr>
              <w:spacing w:before="0" w:after="0"/>
              <w:jc w:val="center"/>
              <w:rPr>
                <w:rFonts w:cs="Arial"/>
                <w:sz w:val="20"/>
                <w:szCs w:val="20"/>
              </w:rPr>
            </w:pPr>
            <w:r w:rsidRPr="00C01F7F">
              <w:rPr>
                <w:rFonts w:cs="Arial"/>
                <w:sz w:val="20"/>
                <w:szCs w:val="20"/>
              </w:rPr>
              <w:t>34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3F01C" w14:textId="77777777" w:rsidR="00545104" w:rsidRPr="00C01F7F" w:rsidRDefault="00545104" w:rsidP="006F577A">
            <w:pPr>
              <w:spacing w:before="0" w:after="0"/>
              <w:jc w:val="center"/>
              <w:rPr>
                <w:rFonts w:cs="Arial"/>
                <w:sz w:val="20"/>
                <w:szCs w:val="20"/>
              </w:rPr>
            </w:pPr>
            <w:r w:rsidRPr="00C01F7F">
              <w:rPr>
                <w:rFonts w:cs="Arial"/>
                <w:sz w:val="20"/>
                <w:szCs w:val="20"/>
              </w:rPr>
              <w:t>55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F666B" w14:textId="77777777" w:rsidR="00545104" w:rsidRPr="00C01F7F" w:rsidRDefault="00545104" w:rsidP="006F577A">
            <w:pPr>
              <w:spacing w:before="0" w:after="0"/>
              <w:jc w:val="center"/>
              <w:rPr>
                <w:rFonts w:cs="Arial"/>
                <w:sz w:val="20"/>
                <w:szCs w:val="20"/>
              </w:rPr>
            </w:pPr>
            <w:r w:rsidRPr="00C01F7F">
              <w:rPr>
                <w:rFonts w:cs="Arial"/>
                <w:sz w:val="20"/>
                <w:szCs w:val="20"/>
              </w:rPr>
              <w:t>31</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907A4" w14:textId="77777777" w:rsidR="00545104" w:rsidRPr="00C01F7F" w:rsidRDefault="00545104" w:rsidP="006F577A">
            <w:pPr>
              <w:spacing w:before="0" w:after="0"/>
              <w:jc w:val="center"/>
              <w:rPr>
                <w:rFonts w:cs="Arial"/>
                <w:sz w:val="20"/>
                <w:szCs w:val="20"/>
              </w:rPr>
            </w:pPr>
            <w:r>
              <w:rPr>
                <w:rFonts w:cs="Arial"/>
                <w:sz w:val="20"/>
                <w:szCs w:val="20"/>
              </w:rPr>
              <w:t>35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6E04A" w14:textId="77777777" w:rsidR="00545104" w:rsidRPr="00C01F7F" w:rsidRDefault="00545104" w:rsidP="006F577A">
            <w:pPr>
              <w:spacing w:before="0" w:after="0"/>
              <w:jc w:val="center"/>
              <w:rPr>
                <w:rFonts w:cs="Arial"/>
                <w:sz w:val="20"/>
                <w:szCs w:val="20"/>
              </w:rPr>
            </w:pPr>
            <w:r w:rsidRPr="00C01F7F">
              <w:rPr>
                <w:rFonts w:cs="Arial"/>
                <w:sz w:val="20"/>
                <w:szCs w:val="20"/>
              </w:rPr>
              <w:t>3</w:t>
            </w:r>
            <w:r>
              <w:rPr>
                <w:rFonts w:cs="Arial"/>
                <w:sz w:val="20"/>
                <w:szCs w:val="20"/>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475C2F" w14:textId="77777777" w:rsidR="00545104" w:rsidRPr="009378A6" w:rsidRDefault="00545104" w:rsidP="006F577A">
            <w:pPr>
              <w:spacing w:before="0" w:after="0"/>
              <w:jc w:val="center"/>
              <w:rPr>
                <w:rFonts w:cs="Arial"/>
                <w:sz w:val="20"/>
                <w:szCs w:val="20"/>
              </w:rPr>
            </w:pPr>
            <w:r w:rsidRPr="009378A6">
              <w:rPr>
                <w:rFonts w:cs="Arial"/>
                <w:sz w:val="20"/>
                <w:szCs w:val="20"/>
              </w:rPr>
              <w:t>36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86718" w14:textId="77777777" w:rsidR="00545104" w:rsidRPr="00C01F7F" w:rsidRDefault="00545104" w:rsidP="006F577A">
            <w:pPr>
              <w:spacing w:before="0" w:after="0"/>
              <w:jc w:val="center"/>
              <w:rPr>
                <w:rFonts w:cs="Arial"/>
                <w:sz w:val="20"/>
                <w:szCs w:val="20"/>
              </w:rPr>
            </w:pPr>
            <w:r>
              <w:rPr>
                <w:rFonts w:cs="Arial"/>
                <w:sz w:val="20"/>
                <w:szCs w:val="20"/>
              </w:rPr>
              <w:t>32</w:t>
            </w:r>
          </w:p>
        </w:tc>
      </w:tr>
      <w:tr w:rsidR="00545104" w:rsidRPr="00C01F7F" w14:paraId="54BA093C" w14:textId="77777777" w:rsidTr="006F577A">
        <w:trPr>
          <w:trHeight w:val="254"/>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bottom"/>
          </w:tcPr>
          <w:p w14:paraId="41B9463D" w14:textId="77777777" w:rsidR="00545104" w:rsidRPr="00C01F7F" w:rsidRDefault="00545104" w:rsidP="006F577A">
            <w:pPr>
              <w:spacing w:before="0" w:after="0"/>
              <w:rPr>
                <w:rFonts w:cs="Arial"/>
                <w:b/>
                <w:bCs/>
                <w:i/>
                <w:iCs/>
                <w:color w:val="000000"/>
                <w:sz w:val="20"/>
                <w:szCs w:val="20"/>
              </w:rPr>
            </w:pPr>
            <w:r w:rsidRPr="00C01F7F">
              <w:rPr>
                <w:rFonts w:cs="Arial"/>
                <w:b/>
                <w:bCs/>
                <w:i/>
                <w:iCs/>
                <w:color w:val="000000"/>
                <w:sz w:val="20"/>
                <w:szCs w:val="20"/>
              </w:rPr>
              <w:t>Low Advanced ESL</w:t>
            </w:r>
            <w:r>
              <w:rPr>
                <w:rFonts w:cs="Arial"/>
                <w:b/>
                <w:bCs/>
                <w:i/>
                <w:iCs/>
                <w:color w:val="000000"/>
                <w:sz w:val="20"/>
                <w:szCs w:val="20"/>
              </w:rPr>
              <w:t>/ESL 6</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7BC85C30" w14:textId="77777777" w:rsidR="00545104" w:rsidRPr="00C01F7F" w:rsidRDefault="00545104" w:rsidP="006F577A">
            <w:pPr>
              <w:spacing w:before="0" w:after="0"/>
              <w:jc w:val="center"/>
              <w:rPr>
                <w:rFonts w:cs="Arial"/>
                <w:sz w:val="20"/>
                <w:szCs w:val="20"/>
              </w:rPr>
            </w:pPr>
            <w:r w:rsidRPr="00C01F7F">
              <w:rPr>
                <w:rFonts w:cs="Arial"/>
                <w:sz w:val="20"/>
                <w:szCs w:val="20"/>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8588F5" w14:textId="77777777" w:rsidR="00545104" w:rsidRPr="00C01F7F" w:rsidRDefault="00545104" w:rsidP="006F577A">
            <w:pPr>
              <w:spacing w:before="0" w:after="0"/>
              <w:jc w:val="center"/>
              <w:rPr>
                <w:rFonts w:cs="Arial"/>
                <w:sz w:val="20"/>
                <w:szCs w:val="20"/>
              </w:rPr>
            </w:pPr>
            <w:r w:rsidRPr="00C01F7F">
              <w:rPr>
                <w:rFonts w:cs="Arial"/>
                <w:sz w:val="20"/>
                <w:szCs w:val="20"/>
              </w:rPr>
              <w:t>15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41205" w14:textId="77777777" w:rsidR="00545104" w:rsidRPr="00C01F7F" w:rsidRDefault="00545104" w:rsidP="006F577A">
            <w:pPr>
              <w:spacing w:before="0" w:after="0"/>
              <w:jc w:val="center"/>
              <w:rPr>
                <w:rFonts w:cs="Arial"/>
                <w:sz w:val="20"/>
                <w:szCs w:val="20"/>
              </w:rPr>
            </w:pPr>
            <w:r w:rsidRPr="00C01F7F">
              <w:rPr>
                <w:rFonts w:cs="Arial"/>
                <w:sz w:val="20"/>
                <w:szCs w:val="20"/>
              </w:rPr>
              <w:t>33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41CB0" w14:textId="77777777" w:rsidR="00545104" w:rsidRPr="00C01F7F" w:rsidRDefault="00545104" w:rsidP="006F577A">
            <w:pPr>
              <w:spacing w:before="0" w:after="0"/>
              <w:jc w:val="center"/>
              <w:rPr>
                <w:rFonts w:cs="Arial"/>
                <w:sz w:val="20"/>
                <w:szCs w:val="20"/>
              </w:rPr>
            </w:pPr>
            <w:r w:rsidRPr="00C01F7F">
              <w:rPr>
                <w:rFonts w:cs="Arial"/>
                <w:sz w:val="20"/>
                <w:szCs w:val="20"/>
              </w:rPr>
              <w:t>14</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D61BB" w14:textId="77777777" w:rsidR="00545104" w:rsidRPr="00C01F7F" w:rsidRDefault="00545104" w:rsidP="006F577A">
            <w:pPr>
              <w:spacing w:before="0" w:after="0"/>
              <w:jc w:val="center"/>
              <w:rPr>
                <w:rFonts w:cs="Arial"/>
                <w:sz w:val="20"/>
                <w:szCs w:val="20"/>
              </w:rPr>
            </w:pPr>
            <w:r>
              <w:rPr>
                <w:rFonts w:cs="Arial"/>
                <w:sz w:val="20"/>
                <w:szCs w:val="20"/>
              </w:rPr>
              <w:t>16</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B1BF2" w14:textId="77777777" w:rsidR="00545104" w:rsidRPr="00C01F7F" w:rsidRDefault="00545104" w:rsidP="006F577A">
            <w:pPr>
              <w:spacing w:before="0" w:after="0"/>
              <w:jc w:val="center"/>
              <w:rPr>
                <w:rFonts w:cs="Arial"/>
                <w:sz w:val="20"/>
                <w:szCs w:val="20"/>
              </w:rPr>
            </w:pPr>
            <w:r>
              <w:rPr>
                <w:rFonts w:cs="Arial"/>
                <w:sz w:val="20"/>
                <w:szCs w:val="20"/>
              </w:rPr>
              <w:t>23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C0B06" w14:textId="77777777" w:rsidR="00545104" w:rsidRPr="009378A6" w:rsidRDefault="00545104" w:rsidP="006F577A">
            <w:pPr>
              <w:spacing w:before="0" w:after="0"/>
              <w:jc w:val="center"/>
              <w:rPr>
                <w:rFonts w:cs="Arial"/>
                <w:sz w:val="20"/>
                <w:szCs w:val="20"/>
              </w:rPr>
            </w:pPr>
            <w:r w:rsidRPr="009378A6">
              <w:rPr>
                <w:rFonts w:cs="Arial"/>
                <w:sz w:val="20"/>
                <w:szCs w:val="20"/>
              </w:rPr>
              <w:t>17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FC58A" w14:textId="77777777" w:rsidR="00545104" w:rsidRPr="00C01F7F" w:rsidRDefault="00545104" w:rsidP="006F577A">
            <w:pPr>
              <w:spacing w:before="0" w:after="0"/>
              <w:jc w:val="center"/>
              <w:rPr>
                <w:rFonts w:cs="Arial"/>
                <w:sz w:val="20"/>
                <w:szCs w:val="20"/>
              </w:rPr>
            </w:pPr>
            <w:r>
              <w:rPr>
                <w:rFonts w:cs="Arial"/>
                <w:sz w:val="20"/>
                <w:szCs w:val="20"/>
              </w:rPr>
              <w:t>23</w:t>
            </w:r>
          </w:p>
        </w:tc>
      </w:tr>
    </w:tbl>
    <w:p w14:paraId="3782A408" w14:textId="409959C9" w:rsidR="00545104" w:rsidRPr="00861113" w:rsidRDefault="00545104" w:rsidP="00545104">
      <w:pPr>
        <w:rPr>
          <w:rFonts w:asciiTheme="minorHAnsi" w:hAnsiTheme="minorHAnsi"/>
        </w:rPr>
      </w:pPr>
      <w:r w:rsidRPr="00A8345B">
        <w:rPr>
          <w:rFonts w:asciiTheme="minorHAnsi" w:hAnsiTheme="minorHAnsi"/>
        </w:rPr>
        <w:t>The table above provides core performance information for the past four years for Minnesota ABE programs. Minnesota’s recent results continue to reflect the exceptionally low unemployment rate (less th</w:t>
      </w:r>
      <w:r>
        <w:rPr>
          <w:rFonts w:asciiTheme="minorHAnsi" w:hAnsiTheme="minorHAnsi"/>
        </w:rPr>
        <w:t>an 3% for the past couple years),</w:t>
      </w:r>
      <w:r w:rsidRPr="00A8345B">
        <w:rPr>
          <w:rFonts w:asciiTheme="minorHAnsi" w:hAnsiTheme="minorHAnsi"/>
        </w:rPr>
        <w:t xml:space="preserve"> much lower immigration rates than in recent years and continued very low GED prep participation. The continued exceptionally low unemploymen</w:t>
      </w:r>
      <w:r>
        <w:rPr>
          <w:rFonts w:asciiTheme="minorHAnsi" w:hAnsiTheme="minorHAnsi"/>
        </w:rPr>
        <w:t>t rate</w:t>
      </w:r>
      <w:r w:rsidRPr="00A8345B">
        <w:rPr>
          <w:rFonts w:asciiTheme="minorHAnsi" w:hAnsiTheme="minorHAnsi"/>
        </w:rPr>
        <w:t xml:space="preserve"> likely also caused Minnesota to experience a decline in average hours per participant </w:t>
      </w:r>
      <w:r>
        <w:rPr>
          <w:rFonts w:asciiTheme="minorHAnsi" w:hAnsiTheme="minorHAnsi"/>
        </w:rPr>
        <w:t xml:space="preserve">for the second year in a row </w:t>
      </w:r>
      <w:r w:rsidRPr="00A8345B">
        <w:rPr>
          <w:rFonts w:asciiTheme="minorHAnsi" w:hAnsiTheme="minorHAnsi"/>
        </w:rPr>
        <w:t xml:space="preserve">after almost 20 years of steady increases. A </w:t>
      </w:r>
      <w:r>
        <w:rPr>
          <w:rFonts w:asciiTheme="minorHAnsi" w:hAnsiTheme="minorHAnsi"/>
        </w:rPr>
        <w:t xml:space="preserve">continued </w:t>
      </w:r>
      <w:r w:rsidRPr="00A8345B">
        <w:rPr>
          <w:rFonts w:asciiTheme="minorHAnsi" w:hAnsiTheme="minorHAnsi"/>
        </w:rPr>
        <w:t>bright spot in the data is that the uniform decline in level-completion/measureable skill gain (MSG) rate tha</w:t>
      </w:r>
      <w:r>
        <w:rPr>
          <w:rFonts w:asciiTheme="minorHAnsi" w:hAnsiTheme="minorHAnsi"/>
        </w:rPr>
        <w:t>t had occurred between 2014 and 2015 and was</w:t>
      </w:r>
      <w:r w:rsidRPr="00A8345B">
        <w:rPr>
          <w:rFonts w:asciiTheme="minorHAnsi" w:hAnsiTheme="minorHAnsi"/>
        </w:rPr>
        <w:t xml:space="preserve"> replaced with year over year gains in 5 of 11 levels</w:t>
      </w:r>
      <w:r>
        <w:rPr>
          <w:rFonts w:asciiTheme="minorHAnsi" w:hAnsiTheme="minorHAnsi"/>
        </w:rPr>
        <w:t xml:space="preserve"> in FY 2016 continued in FY 2017 with all ABE levels showing year over year gains</w:t>
      </w:r>
      <w:r w:rsidRPr="00A8345B">
        <w:rPr>
          <w:rFonts w:asciiTheme="minorHAnsi" w:hAnsiTheme="minorHAnsi"/>
        </w:rPr>
        <w:t xml:space="preserve">. </w:t>
      </w:r>
    </w:p>
    <w:p w14:paraId="2F6D48D4" w14:textId="4646AEB3" w:rsidR="00BA4342" w:rsidRPr="00F10E39" w:rsidRDefault="00BA4342" w:rsidP="00A8345B">
      <w:pPr>
        <w:pStyle w:val="Heading3"/>
        <w:rPr>
          <w:b w:val="0"/>
          <w:i/>
          <w:color w:val="auto"/>
          <w:sz w:val="22"/>
          <w:szCs w:val="22"/>
        </w:rPr>
      </w:pPr>
      <w:r w:rsidRPr="00F10E39">
        <w:rPr>
          <w:b w:val="0"/>
          <w:i/>
          <w:color w:val="auto"/>
          <w:sz w:val="22"/>
          <w:szCs w:val="22"/>
        </w:rPr>
        <w:t>Discuss how the assessment was used to improve quality and effectiveness of the funded eligible providers and any plans to further increase performance in future reporting years.</w:t>
      </w:r>
    </w:p>
    <w:p w14:paraId="42EE0F88" w14:textId="77777777" w:rsidR="002D34BF" w:rsidRPr="00A8345B" w:rsidRDefault="002D34BF" w:rsidP="002D34BF">
      <w:pPr>
        <w:rPr>
          <w:rFonts w:asciiTheme="minorHAnsi" w:hAnsiTheme="minorHAnsi"/>
        </w:rPr>
      </w:pPr>
      <w:r w:rsidRPr="00A8345B">
        <w:rPr>
          <w:rFonts w:asciiTheme="minorHAnsi" w:hAnsiTheme="minorHAnsi"/>
        </w:rPr>
        <w:t>The assessment results were used in assessing</w:t>
      </w:r>
      <w:r>
        <w:rPr>
          <w:rFonts w:asciiTheme="minorHAnsi" w:hAnsiTheme="minorHAnsi"/>
        </w:rPr>
        <w:t xml:space="preserve"> program quality as part of </w:t>
      </w:r>
      <w:r w:rsidRPr="00A8345B">
        <w:rPr>
          <w:rFonts w:asciiTheme="minorHAnsi" w:hAnsiTheme="minorHAnsi"/>
        </w:rPr>
        <w:t>the state grant application and review process. The core federal performance indicators are also the primary data used in Minnesota ABE Statewide Report Card and the Report Card is used to identify grantees for participation in Minnesota’s ABE Program Improvement Process. Minnesota continues to provide extensive professional development in standards implementation, instruc</w:t>
      </w:r>
      <w:r>
        <w:rPr>
          <w:rFonts w:asciiTheme="minorHAnsi" w:hAnsiTheme="minorHAnsi"/>
        </w:rPr>
        <w:t xml:space="preserve">tional methodology, instruction, </w:t>
      </w:r>
      <w:r w:rsidRPr="00A8345B">
        <w:rPr>
          <w:rFonts w:asciiTheme="minorHAnsi" w:hAnsiTheme="minorHAnsi"/>
        </w:rPr>
        <w:t xml:space="preserve">technology/distance education, use of volunteers, adult career pathway programming and contextualized instruction and </w:t>
      </w:r>
      <w:r>
        <w:rPr>
          <w:rFonts w:asciiTheme="minorHAnsi" w:hAnsiTheme="minorHAnsi"/>
        </w:rPr>
        <w:t xml:space="preserve">we </w:t>
      </w:r>
      <w:r w:rsidRPr="00A8345B">
        <w:rPr>
          <w:rFonts w:asciiTheme="minorHAnsi" w:hAnsiTheme="minorHAnsi"/>
        </w:rPr>
        <w:t xml:space="preserve">expect that the resulting improvements in program quality will </w:t>
      </w:r>
      <w:r>
        <w:rPr>
          <w:rFonts w:asciiTheme="minorHAnsi" w:hAnsiTheme="minorHAnsi"/>
        </w:rPr>
        <w:t xml:space="preserve">continue to </w:t>
      </w:r>
      <w:r w:rsidRPr="00A8345B">
        <w:rPr>
          <w:rFonts w:asciiTheme="minorHAnsi" w:hAnsiTheme="minorHAnsi"/>
        </w:rPr>
        <w:t xml:space="preserve">be reflected </w:t>
      </w:r>
      <w:r>
        <w:rPr>
          <w:rFonts w:asciiTheme="minorHAnsi" w:hAnsiTheme="minorHAnsi"/>
        </w:rPr>
        <w:t xml:space="preserve">by gains </w:t>
      </w:r>
      <w:r w:rsidRPr="00A8345B">
        <w:rPr>
          <w:rFonts w:asciiTheme="minorHAnsi" w:hAnsiTheme="minorHAnsi"/>
        </w:rPr>
        <w:t>in Minnesota’s core performance indicators.</w:t>
      </w:r>
    </w:p>
    <w:p w14:paraId="0D31316F" w14:textId="3538AB41" w:rsidR="00763461" w:rsidRPr="004C3645" w:rsidRDefault="00763461" w:rsidP="00082A78">
      <w:pPr>
        <w:pStyle w:val="Heading2"/>
        <w:rPr>
          <w:rFonts w:eastAsia="Times New Roman"/>
          <w:sz w:val="28"/>
          <w:szCs w:val="28"/>
        </w:rPr>
      </w:pPr>
      <w:r w:rsidRPr="004C3645">
        <w:rPr>
          <w:rFonts w:eastAsia="Times New Roman"/>
          <w:sz w:val="28"/>
          <w:szCs w:val="28"/>
        </w:rPr>
        <w:t>Section 3: Integration with One-stop Partners</w:t>
      </w:r>
    </w:p>
    <w:p w14:paraId="03DA49C6" w14:textId="77777777" w:rsidR="004C6CCA" w:rsidRPr="00F10E39" w:rsidRDefault="004C6CCA" w:rsidP="004C6CCA">
      <w:pPr>
        <w:pStyle w:val="Heading3"/>
        <w:rPr>
          <w:b w:val="0"/>
          <w:i/>
        </w:rPr>
      </w:pPr>
      <w:r w:rsidRPr="00F10E39">
        <w:rPr>
          <w:b w:val="0"/>
          <w:i/>
          <w:color w:val="auto"/>
          <w:sz w:val="22"/>
          <w:szCs w:val="22"/>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684CDF75" w14:textId="7C6826CB" w:rsidR="004C6CCA" w:rsidRPr="004C6CCA" w:rsidRDefault="004C6CCA" w:rsidP="004C6CCA">
      <w:pPr>
        <w:rPr>
          <w:rFonts w:asciiTheme="minorHAnsi" w:hAnsiTheme="minorHAnsi"/>
        </w:rPr>
      </w:pPr>
      <w:r w:rsidRPr="004C6CCA">
        <w:rPr>
          <w:rFonts w:asciiTheme="minorHAnsi" w:hAnsiTheme="minorHAnsi"/>
        </w:rPr>
        <w:t xml:space="preserve">The State eligible agency is the Minnesota Department of Education (MDE). MDE delegates its required one-stop roles to forty-two eligible providers. </w:t>
      </w:r>
    </w:p>
    <w:p w14:paraId="682583FD" w14:textId="77777777" w:rsidR="004C6CCA" w:rsidRPr="004C6CCA" w:rsidRDefault="004C6CCA" w:rsidP="004C6CCA">
      <w:pPr>
        <w:rPr>
          <w:rFonts w:asciiTheme="minorHAnsi" w:hAnsiTheme="minorHAnsi" w:cstheme="minorHAnsi"/>
          <w:color w:val="1A1A1A"/>
          <w:lang w:val="en"/>
        </w:rPr>
      </w:pPr>
      <w:r w:rsidRPr="004C6CCA">
        <w:rPr>
          <w:rFonts w:asciiTheme="minorHAnsi" w:hAnsiTheme="minorHAnsi" w:cstheme="minorHAnsi"/>
        </w:rPr>
        <w:t xml:space="preserve">The applicable career services that are provided in the one-stop center system vary greatly across the state. Decisions regarding which entity offers which career service is determined locally among partners. AELFA programs offer initial and comprehensive assessments, referrals to programs, and financial aid and financial literacy information. More comprehensively, the AELFA eligible providers offer workforce preparation and </w:t>
      </w:r>
      <w:r w:rsidRPr="004C6CCA">
        <w:rPr>
          <w:rFonts w:asciiTheme="minorHAnsi" w:hAnsiTheme="minorHAnsi" w:cstheme="minorHAnsi"/>
          <w:color w:val="1A1A1A"/>
          <w:lang w:val="en"/>
        </w:rPr>
        <w:t>English language acquisition. Some providers offer the education portion of an integrated education and training program.</w:t>
      </w:r>
    </w:p>
    <w:p w14:paraId="02455DC0" w14:textId="77777777" w:rsidR="004C6CCA" w:rsidRPr="004C6CCA" w:rsidRDefault="004C6CCA" w:rsidP="004C6CCA">
      <w:pPr>
        <w:rPr>
          <w:rFonts w:asciiTheme="minorHAnsi" w:hAnsiTheme="minorHAnsi"/>
        </w:rPr>
      </w:pPr>
      <w:r w:rsidRPr="004C6CCA">
        <w:rPr>
          <w:rFonts w:asciiTheme="minorHAnsi" w:hAnsiTheme="minorHAnsi"/>
        </w:rPr>
        <w:t xml:space="preserve">MDE made the decision to support infrastructure costs through local agreements. ABE providers worked with their partners in developing a Memoranda of Understanding with the one-stop system. </w:t>
      </w:r>
    </w:p>
    <w:p w14:paraId="3A2A4440" w14:textId="77777777" w:rsidR="004C6CCA" w:rsidRPr="004C6CCA" w:rsidRDefault="004C6CCA" w:rsidP="004C6CCA">
      <w:pPr>
        <w:rPr>
          <w:rFonts w:asciiTheme="minorHAnsi" w:hAnsiTheme="minorHAnsi"/>
        </w:rPr>
      </w:pPr>
      <w:r w:rsidRPr="004C6CCA">
        <w:rPr>
          <w:rFonts w:asciiTheme="minorHAnsi" w:hAnsiTheme="minorHAnsi"/>
        </w:rPr>
        <w:t>In addition to the above integration activities, all local workforce development areas have an ABE representative on the local board. ABE providers also serve on the local youth committees and some even facilitate newly formed career pathway committees.</w:t>
      </w:r>
    </w:p>
    <w:p w14:paraId="4A972C98" w14:textId="77777777" w:rsidR="004C3645" w:rsidRDefault="004C3645" w:rsidP="00082A78">
      <w:pPr>
        <w:widowControl w:val="0"/>
        <w:tabs>
          <w:tab w:val="left" w:pos="480"/>
        </w:tabs>
        <w:spacing w:before="69" w:after="0" w:line="240" w:lineRule="auto"/>
        <w:ind w:right="369"/>
        <w:rPr>
          <w:rFonts w:eastAsia="Times New Roman" w:cs="Times New Roman"/>
          <w:sz w:val="20"/>
          <w:szCs w:val="20"/>
        </w:rPr>
      </w:pPr>
    </w:p>
    <w:p w14:paraId="6CF24FE9" w14:textId="2F56E150" w:rsidR="00763461" w:rsidRPr="004C3645" w:rsidRDefault="00763461" w:rsidP="00082A78">
      <w:pPr>
        <w:widowControl w:val="0"/>
        <w:tabs>
          <w:tab w:val="left" w:pos="480"/>
        </w:tabs>
        <w:spacing w:before="69" w:after="0" w:line="240" w:lineRule="auto"/>
        <w:ind w:right="369"/>
        <w:rPr>
          <w:rFonts w:asciiTheme="minorHAnsi" w:eastAsia="Times New Roman" w:hAnsiTheme="minorHAnsi" w:cstheme="majorBidi"/>
          <w:b/>
          <w:color w:val="003865" w:themeColor="accent1"/>
          <w:sz w:val="28"/>
          <w:szCs w:val="28"/>
          <w:lang w:bidi="en-US"/>
        </w:rPr>
      </w:pPr>
      <w:r w:rsidRPr="004C3645">
        <w:rPr>
          <w:rFonts w:asciiTheme="minorHAnsi" w:eastAsia="Times New Roman" w:hAnsiTheme="minorHAnsi" w:cstheme="majorBidi"/>
          <w:b/>
          <w:color w:val="003865" w:themeColor="accent1"/>
          <w:sz w:val="28"/>
          <w:szCs w:val="28"/>
          <w:lang w:bidi="en-US"/>
        </w:rPr>
        <w:t>Section 4: Integrated English Literacy and Civics Education (IELCE) Program</w:t>
      </w:r>
      <w:r w:rsidRPr="00374FB1">
        <w:rPr>
          <w:b/>
          <w:spacing w:val="-5"/>
          <w:sz w:val="24"/>
        </w:rPr>
        <w:t xml:space="preserve"> </w:t>
      </w:r>
      <w:r w:rsidRPr="004C3645">
        <w:rPr>
          <w:rFonts w:asciiTheme="minorHAnsi" w:eastAsia="Times New Roman" w:hAnsiTheme="minorHAnsi" w:cstheme="majorBidi"/>
          <w:b/>
          <w:color w:val="003865" w:themeColor="accent1"/>
          <w:sz w:val="28"/>
          <w:szCs w:val="28"/>
          <w:lang w:bidi="en-US"/>
        </w:rPr>
        <w:t>(AEFLA Section 243)</w:t>
      </w:r>
    </w:p>
    <w:p w14:paraId="6E75D2BD" w14:textId="77777777" w:rsidR="00F70B0B" w:rsidRDefault="00F70B0B" w:rsidP="00F70B0B">
      <w:pPr>
        <w:pStyle w:val="Heading3"/>
        <w:rPr>
          <w:b w:val="0"/>
          <w:i/>
          <w:color w:val="auto"/>
          <w:sz w:val="22"/>
          <w:szCs w:val="22"/>
        </w:rPr>
      </w:pPr>
      <w:r>
        <w:rPr>
          <w:b w:val="0"/>
          <w:i/>
          <w:color w:val="auto"/>
          <w:sz w:val="22"/>
          <w:szCs w:val="22"/>
        </w:rPr>
        <w:t>Describe how the state is using funds under Section 243 to support the following activities under the IELCE program:</w:t>
      </w:r>
    </w:p>
    <w:p w14:paraId="39229778" w14:textId="77777777" w:rsidR="00F70B0B" w:rsidRDefault="00F70B0B" w:rsidP="00F70B0B">
      <w:pPr>
        <w:pStyle w:val="BodyText"/>
        <w:numPr>
          <w:ilvl w:val="0"/>
          <w:numId w:val="31"/>
        </w:numPr>
        <w:tabs>
          <w:tab w:val="left" w:pos="1180"/>
        </w:tabs>
        <w:spacing w:line="237" w:lineRule="auto"/>
        <w:ind w:right="663"/>
        <w:rPr>
          <w:rFonts w:asciiTheme="minorHAnsi" w:hAnsiTheme="minorHAnsi"/>
          <w:i/>
          <w:spacing w:val="-1"/>
          <w:sz w:val="22"/>
          <w:szCs w:val="22"/>
        </w:rPr>
      </w:pPr>
      <w:r>
        <w:rPr>
          <w:rFonts w:asciiTheme="minorHAnsi" w:hAnsiTheme="minorHAnsi"/>
          <w:i/>
          <w:spacing w:val="-1"/>
          <w:sz w:val="22"/>
          <w:szCs w:val="22"/>
        </w:rPr>
        <w:t>Describe when your State held a competition [the latest competition] for IELCE program funds and the number of grants awarded by your State to support IELCE programs.</w:t>
      </w:r>
    </w:p>
    <w:p w14:paraId="7F19A557" w14:textId="77777777" w:rsidR="00F70B0B" w:rsidRDefault="00F70B0B" w:rsidP="00F70B0B">
      <w:pPr>
        <w:pStyle w:val="BodyText"/>
        <w:spacing w:line="274" w:lineRule="exact"/>
        <w:ind w:left="0" w:right="182" w:firstLine="0"/>
        <w:rPr>
          <w:rFonts w:asciiTheme="minorHAnsi" w:hAnsiTheme="minorHAnsi"/>
          <w:color w:val="000000" w:themeColor="text2"/>
          <w:sz w:val="22"/>
          <w:szCs w:val="22"/>
        </w:rPr>
      </w:pPr>
    </w:p>
    <w:p w14:paraId="15E8F724" w14:textId="77777777" w:rsidR="00F70B0B" w:rsidRDefault="00F70B0B" w:rsidP="00F70B0B">
      <w:pPr>
        <w:pStyle w:val="BodyText"/>
        <w:tabs>
          <w:tab w:val="left" w:pos="840"/>
        </w:tabs>
        <w:spacing w:line="274" w:lineRule="exact"/>
        <w:ind w:left="0" w:right="182" w:firstLine="0"/>
        <w:rPr>
          <w:rFonts w:asciiTheme="minorHAnsi" w:hAnsiTheme="minorHAnsi"/>
          <w:b/>
          <w:color w:val="000000" w:themeColor="text2"/>
          <w:sz w:val="22"/>
          <w:szCs w:val="22"/>
        </w:rPr>
      </w:pPr>
      <w:r>
        <w:rPr>
          <w:rFonts w:asciiTheme="minorHAnsi" w:hAnsiTheme="minorHAnsi"/>
          <w:b/>
          <w:color w:val="000000" w:themeColor="text2"/>
          <w:sz w:val="22"/>
          <w:szCs w:val="22"/>
        </w:rPr>
        <w:t>2017-18 Funding:</w:t>
      </w:r>
    </w:p>
    <w:p w14:paraId="255DCF5C" w14:textId="77777777" w:rsidR="00F70B0B" w:rsidRDefault="00F70B0B" w:rsidP="00F70B0B">
      <w:pPr>
        <w:pStyle w:val="BodyText"/>
        <w:tabs>
          <w:tab w:val="left" w:pos="840"/>
        </w:tabs>
        <w:spacing w:line="274" w:lineRule="exact"/>
        <w:ind w:left="0" w:right="182" w:firstLine="0"/>
        <w:rPr>
          <w:rFonts w:asciiTheme="minorHAnsi" w:hAnsiTheme="minorHAnsi"/>
          <w:color w:val="000000" w:themeColor="text2"/>
          <w:sz w:val="22"/>
          <w:szCs w:val="22"/>
        </w:rPr>
      </w:pPr>
      <w:r>
        <w:rPr>
          <w:rFonts w:asciiTheme="minorHAnsi" w:hAnsiTheme="minorHAnsi"/>
          <w:color w:val="000000" w:themeColor="text2"/>
          <w:sz w:val="22"/>
          <w:szCs w:val="22"/>
        </w:rPr>
        <w:t xml:space="preserve">The state of Minnesota held a competition for IELCE program funds in April – June of 2017. The application and process were reviewed and approved by OCTAE staff. Nine grants were awarded. In the spring of 2018, it was determined that funding was available for three more grants. These grants began July 1, 2018. </w:t>
      </w:r>
    </w:p>
    <w:p w14:paraId="1AE8C781" w14:textId="77777777" w:rsidR="00F70B0B" w:rsidRDefault="00F70B0B" w:rsidP="00F70B0B">
      <w:pPr>
        <w:pStyle w:val="BodyText"/>
        <w:tabs>
          <w:tab w:val="left" w:pos="840"/>
        </w:tabs>
        <w:spacing w:line="274" w:lineRule="exact"/>
        <w:ind w:left="0" w:right="182" w:firstLine="0"/>
        <w:rPr>
          <w:rFonts w:asciiTheme="minorHAnsi" w:hAnsiTheme="minorHAnsi"/>
        </w:rPr>
      </w:pPr>
    </w:p>
    <w:p w14:paraId="6F3A537C" w14:textId="77777777" w:rsidR="00F70B0B" w:rsidRDefault="00F70B0B" w:rsidP="00F70B0B">
      <w:pPr>
        <w:pStyle w:val="BodyText"/>
        <w:numPr>
          <w:ilvl w:val="0"/>
          <w:numId w:val="31"/>
        </w:numPr>
        <w:tabs>
          <w:tab w:val="left" w:pos="1180"/>
        </w:tabs>
        <w:spacing w:line="237" w:lineRule="auto"/>
        <w:ind w:right="663"/>
        <w:rPr>
          <w:rFonts w:asciiTheme="minorHAnsi" w:hAnsiTheme="minorHAnsi"/>
          <w:i/>
          <w:spacing w:val="-1"/>
          <w:sz w:val="22"/>
          <w:szCs w:val="22"/>
        </w:rPr>
      </w:pPr>
      <w:r>
        <w:rPr>
          <w:rFonts w:asciiTheme="minorHAnsi" w:hAnsiTheme="minorHAnsi"/>
          <w:i/>
          <w:spacing w:val="-1"/>
          <w:sz w:val="22"/>
          <w:szCs w:val="22"/>
        </w:rPr>
        <w:t>Describe your State efforts in meeting the requirement to provide IELCE services in combination with integrated education and training activities;</w:t>
      </w:r>
    </w:p>
    <w:p w14:paraId="2BA1C205" w14:textId="77777777" w:rsidR="00F70B0B" w:rsidRDefault="00F70B0B" w:rsidP="00F70B0B">
      <w:pPr>
        <w:pStyle w:val="BodyText"/>
        <w:tabs>
          <w:tab w:val="left" w:pos="840"/>
        </w:tabs>
        <w:ind w:left="0" w:right="651" w:firstLine="0"/>
        <w:rPr>
          <w:rFonts w:asciiTheme="minorHAnsi" w:hAnsiTheme="minorHAnsi" w:cs="Arial"/>
          <w:color w:val="000000" w:themeColor="text2"/>
        </w:rPr>
      </w:pPr>
    </w:p>
    <w:p w14:paraId="779D0AF6" w14:textId="77777777" w:rsidR="00F70B0B" w:rsidRDefault="00F70B0B" w:rsidP="00F70B0B">
      <w:pPr>
        <w:pStyle w:val="BodyText"/>
        <w:tabs>
          <w:tab w:val="left" w:pos="840"/>
        </w:tabs>
        <w:ind w:left="0" w:right="651" w:firstLine="0"/>
        <w:rPr>
          <w:rFonts w:asciiTheme="minorHAnsi" w:hAnsiTheme="minorHAnsi"/>
          <w:color w:val="000000" w:themeColor="text2"/>
          <w:sz w:val="22"/>
          <w:szCs w:val="22"/>
        </w:rPr>
      </w:pPr>
      <w:r>
        <w:rPr>
          <w:rFonts w:asciiTheme="minorHAnsi" w:hAnsiTheme="minorHAnsi" w:cs="Arial"/>
          <w:color w:val="000000" w:themeColor="text2"/>
          <w:sz w:val="22"/>
          <w:szCs w:val="22"/>
        </w:rPr>
        <w:t>Consistent with Workforce Innovation and Opportunity Act (WIOA) requirements, Minnesota’s EL/Civics has transitioned to Integrated English Literacy and Civics Education (IELCE) programming. </w:t>
      </w:r>
      <w:r>
        <w:rPr>
          <w:rFonts w:asciiTheme="minorHAnsi" w:hAnsiTheme="minorHAnsi"/>
          <w:color w:val="000000" w:themeColor="text2"/>
          <w:sz w:val="22"/>
          <w:szCs w:val="22"/>
        </w:rPr>
        <w:t xml:space="preserve">All current grantees that received IELCE funds were required to use the integrated education and training approach in combination with English literacy and civics education. There have been some questions regarding what qualifies as the training piece of IET but the state is trying to work through these questions by participating in the IELCE Building Opportunities technical assistance initiative. </w:t>
      </w:r>
    </w:p>
    <w:p w14:paraId="321C089D" w14:textId="77777777" w:rsidR="00F70B0B" w:rsidRDefault="00F70B0B" w:rsidP="00F70B0B">
      <w:pPr>
        <w:pStyle w:val="BodyText"/>
        <w:tabs>
          <w:tab w:val="left" w:pos="840"/>
        </w:tabs>
        <w:ind w:left="0" w:right="651" w:firstLine="0"/>
        <w:rPr>
          <w:rFonts w:asciiTheme="minorHAnsi" w:hAnsiTheme="minorHAnsi"/>
        </w:rPr>
      </w:pPr>
    </w:p>
    <w:p w14:paraId="78834619" w14:textId="77777777" w:rsidR="00F70B0B" w:rsidRDefault="00F70B0B" w:rsidP="00F70B0B">
      <w:pPr>
        <w:pStyle w:val="BodyText"/>
        <w:numPr>
          <w:ilvl w:val="0"/>
          <w:numId w:val="31"/>
        </w:numPr>
        <w:tabs>
          <w:tab w:val="left" w:pos="1180"/>
        </w:tabs>
        <w:spacing w:line="237" w:lineRule="auto"/>
        <w:ind w:right="663"/>
        <w:rPr>
          <w:rFonts w:asciiTheme="minorHAnsi" w:hAnsiTheme="minorHAnsi"/>
          <w:i/>
          <w:spacing w:val="-1"/>
          <w:sz w:val="22"/>
          <w:szCs w:val="22"/>
        </w:rPr>
      </w:pPr>
      <w:r>
        <w:rPr>
          <w:rFonts w:asciiTheme="minorHAnsi" w:hAnsiTheme="minorHAnsi"/>
          <w:i/>
          <w:spacing w:val="-1"/>
          <w:sz w:val="22"/>
          <w:szCs w:val="22"/>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14:paraId="5F252FD5" w14:textId="77777777" w:rsidR="00F70B0B" w:rsidRDefault="00F70B0B" w:rsidP="00F70B0B">
      <w:pPr>
        <w:pStyle w:val="BodyText"/>
        <w:tabs>
          <w:tab w:val="left" w:pos="840"/>
        </w:tabs>
        <w:spacing w:before="2" w:line="237" w:lineRule="auto"/>
        <w:ind w:left="0" w:right="369" w:firstLine="0"/>
        <w:rPr>
          <w:rFonts w:asciiTheme="minorHAnsi" w:hAnsiTheme="minorHAnsi"/>
        </w:rPr>
      </w:pPr>
    </w:p>
    <w:p w14:paraId="30A8D6DF" w14:textId="77777777" w:rsidR="00F70B0B" w:rsidRDefault="00F70B0B" w:rsidP="00F70B0B">
      <w:pPr>
        <w:rPr>
          <w:rFonts w:asciiTheme="minorHAnsi" w:hAnsiTheme="minorHAnsi" w:cs="Arial"/>
          <w:color w:val="000000" w:themeColor="text2"/>
        </w:rPr>
      </w:pPr>
      <w:r>
        <w:rPr>
          <w:rFonts w:asciiTheme="minorHAnsi" w:hAnsiTheme="minorHAnsi" w:cs="Arial"/>
          <w:color w:val="000000" w:themeColor="text2"/>
        </w:rPr>
        <w:t>Through the grant process, IELCE funds programs for immigrants, refugees and other English Language Learners that include the four parts identified in WIOA:</w:t>
      </w:r>
    </w:p>
    <w:p w14:paraId="5847F058" w14:textId="77777777" w:rsidR="00F70B0B" w:rsidRDefault="00F70B0B" w:rsidP="001823B2">
      <w:pPr>
        <w:pStyle w:val="ListParagraph"/>
        <w:numPr>
          <w:ilvl w:val="0"/>
          <w:numId w:val="41"/>
        </w:numPr>
        <w:spacing w:before="0" w:after="0"/>
        <w:ind w:left="360"/>
        <w:rPr>
          <w:rFonts w:asciiTheme="minorHAnsi" w:hAnsiTheme="minorHAnsi" w:cs="Arial"/>
          <w:color w:val="000000" w:themeColor="text2"/>
        </w:rPr>
      </w:pPr>
      <w:r>
        <w:rPr>
          <w:rFonts w:asciiTheme="minorHAnsi" w:hAnsiTheme="minorHAnsi" w:cs="Arial"/>
          <w:b/>
          <w:color w:val="000000" w:themeColor="text2"/>
        </w:rPr>
        <w:t>English Language Acquisition</w:t>
      </w:r>
      <w:r>
        <w:rPr>
          <w:rFonts w:asciiTheme="minorHAnsi" w:hAnsiTheme="minorHAnsi" w:cs="Arial"/>
          <w:color w:val="000000" w:themeColor="text2"/>
        </w:rPr>
        <w:t>;</w:t>
      </w:r>
    </w:p>
    <w:p w14:paraId="5ADC36CF" w14:textId="77777777" w:rsidR="00F70B0B" w:rsidRDefault="00F70B0B" w:rsidP="001823B2">
      <w:pPr>
        <w:pStyle w:val="ListParagraph"/>
        <w:numPr>
          <w:ilvl w:val="0"/>
          <w:numId w:val="41"/>
        </w:numPr>
        <w:spacing w:before="0" w:after="0"/>
        <w:ind w:left="360"/>
        <w:rPr>
          <w:rFonts w:asciiTheme="minorHAnsi" w:hAnsiTheme="minorHAnsi" w:cs="Arial"/>
          <w:color w:val="000000" w:themeColor="text2"/>
        </w:rPr>
      </w:pPr>
      <w:r>
        <w:rPr>
          <w:rFonts w:asciiTheme="minorHAnsi" w:hAnsiTheme="minorHAnsi" w:cs="Arial"/>
          <w:b/>
          <w:color w:val="000000" w:themeColor="text2"/>
        </w:rPr>
        <w:t>Civics Education</w:t>
      </w:r>
      <w:r>
        <w:rPr>
          <w:rFonts w:asciiTheme="minorHAnsi" w:hAnsiTheme="minorHAnsi" w:cs="Arial"/>
          <w:color w:val="000000" w:themeColor="text2"/>
        </w:rPr>
        <w:t xml:space="preserve"> (in Minnesota, defined as including at least one of the 4 pillars of Civics:  U.S. Government; U.S. History; Citizenship; and Community Engagement);</w:t>
      </w:r>
    </w:p>
    <w:p w14:paraId="4D2F910B" w14:textId="77777777" w:rsidR="00F70B0B" w:rsidRDefault="00F70B0B" w:rsidP="001823B2">
      <w:pPr>
        <w:pStyle w:val="ListParagraph"/>
        <w:numPr>
          <w:ilvl w:val="0"/>
          <w:numId w:val="41"/>
        </w:numPr>
        <w:spacing w:before="0" w:after="0"/>
        <w:ind w:left="360" w:right="720"/>
        <w:rPr>
          <w:rFonts w:asciiTheme="minorHAnsi" w:hAnsiTheme="minorHAnsi"/>
          <w:color w:val="000000" w:themeColor="text2"/>
        </w:rPr>
      </w:pPr>
      <w:r>
        <w:rPr>
          <w:rFonts w:asciiTheme="minorHAnsi" w:hAnsiTheme="minorHAnsi"/>
          <w:b/>
          <w:color w:val="000000" w:themeColor="text2"/>
        </w:rPr>
        <w:t>Workforce Preparation</w:t>
      </w:r>
      <w:r>
        <w:rPr>
          <w:rFonts w:asciiTheme="minorHAnsi" w:hAnsiTheme="minorHAnsi"/>
          <w:color w:val="000000" w:themeColor="text2"/>
        </w:rPr>
        <w:t xml:space="preserve">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in Minnesota, this means embedding the Academic, Careers and Employability Skills (ACES) Transitions Integration Framework); and</w:t>
      </w:r>
    </w:p>
    <w:p w14:paraId="34DC37C7" w14:textId="77777777" w:rsidR="00F70B0B" w:rsidRDefault="00F70B0B" w:rsidP="001823B2">
      <w:pPr>
        <w:pStyle w:val="ListParagraph"/>
        <w:numPr>
          <w:ilvl w:val="0"/>
          <w:numId w:val="41"/>
        </w:numPr>
        <w:spacing w:before="0" w:after="0"/>
        <w:ind w:left="360"/>
        <w:rPr>
          <w:rFonts w:asciiTheme="minorHAnsi" w:hAnsiTheme="minorHAnsi" w:cs="Arial"/>
          <w:color w:val="000000" w:themeColor="text2"/>
        </w:rPr>
      </w:pPr>
      <w:r>
        <w:rPr>
          <w:rFonts w:asciiTheme="minorHAnsi" w:hAnsiTheme="minorHAnsi"/>
          <w:b/>
          <w:color w:val="000000" w:themeColor="text2"/>
        </w:rPr>
        <w:t>Work Training</w:t>
      </w:r>
      <w:r>
        <w:rPr>
          <w:rFonts w:asciiTheme="minorHAnsi" w:hAnsiTheme="minorHAnsi"/>
          <w:color w:val="000000" w:themeColor="text2"/>
        </w:rPr>
        <w:t xml:space="preserve"> (a service approach that provides adult education and literacy activities concurrently and contextually with workforce preparation activities and training for an occupation or occupational cluster for the purpose of educational and career advancement, which can include postsecondary preparation, training, certification courses, internships, apprenticeships, or other forms of transitions programming).</w:t>
      </w:r>
    </w:p>
    <w:p w14:paraId="7F548C87" w14:textId="77777777" w:rsidR="00F70B0B" w:rsidRDefault="00F70B0B" w:rsidP="00F70B0B">
      <w:pPr>
        <w:ind w:left="360"/>
        <w:rPr>
          <w:rFonts w:asciiTheme="minorHAnsi" w:hAnsiTheme="minorHAnsi" w:cs="Arial"/>
          <w:color w:val="000000" w:themeColor="text2"/>
        </w:rPr>
      </w:pPr>
      <w:r>
        <w:rPr>
          <w:rFonts w:asciiTheme="minorHAnsi" w:hAnsiTheme="minorHAnsi" w:cs="Arial"/>
          <w:color w:val="000000" w:themeColor="text2"/>
        </w:rPr>
        <w:t>These four parts were required in the grant application and were essential elements to receive a grant. Applications were rated and selected on a competitive basis to alignment with local, regional and state WIOA plans, preparing adults for in-demand occupations and career pathways, and quality of IET programming to allow local focus on collaborating with the workforce development system partners, including one-stop centers, employers, and postsecondary institutions.</w:t>
      </w:r>
    </w:p>
    <w:p w14:paraId="69A022EF" w14:textId="77777777" w:rsidR="00F70B0B" w:rsidRDefault="00F70B0B" w:rsidP="00F70B0B">
      <w:pPr>
        <w:ind w:left="360"/>
        <w:rPr>
          <w:rFonts w:asciiTheme="minorHAnsi" w:hAnsiTheme="minorHAnsi" w:cs="Arial"/>
          <w:color w:val="000000" w:themeColor="text2"/>
        </w:rPr>
      </w:pPr>
      <w:r w:rsidRPr="005B425A">
        <w:rPr>
          <w:rFonts w:asciiTheme="minorHAnsi" w:hAnsiTheme="minorHAnsi" w:cs="Arial"/>
          <w:color w:val="000000" w:themeColor="text2"/>
        </w:rPr>
        <w:t xml:space="preserve">The main challenge Minnesota faces in developing IELCE programming </w:t>
      </w:r>
      <w:r>
        <w:rPr>
          <w:rFonts w:asciiTheme="minorHAnsi" w:hAnsiTheme="minorHAnsi" w:cs="Arial"/>
          <w:color w:val="000000" w:themeColor="text2"/>
        </w:rPr>
        <w:t>is identifying in demand industries and occupations that lead to economic self-sufficiency for NRS ESL levels 1-6. Since IELCE grantees must offer IET and since IET must fit into a career pathway and since a career pathway must end in at least one postsecondary credential it seems to be a stretch for the majority of English language learners in current programming. We have been trying some job shadowing and other training opportunities.</w:t>
      </w:r>
    </w:p>
    <w:p w14:paraId="3F690976" w14:textId="77777777" w:rsidR="00F70B0B" w:rsidRDefault="00F70B0B" w:rsidP="00F70B0B">
      <w:pPr>
        <w:pStyle w:val="BodyText"/>
        <w:tabs>
          <w:tab w:val="left" w:pos="840"/>
        </w:tabs>
        <w:spacing w:before="2" w:line="237" w:lineRule="auto"/>
        <w:ind w:left="0" w:right="369" w:firstLine="0"/>
        <w:rPr>
          <w:rFonts w:asciiTheme="minorHAnsi" w:hAnsiTheme="minorHAnsi"/>
        </w:rPr>
      </w:pPr>
    </w:p>
    <w:p w14:paraId="3B9CB727" w14:textId="77777777" w:rsidR="00F70B0B" w:rsidRDefault="00F70B0B" w:rsidP="00F70B0B">
      <w:pPr>
        <w:pStyle w:val="BodyText"/>
        <w:numPr>
          <w:ilvl w:val="0"/>
          <w:numId w:val="31"/>
        </w:numPr>
        <w:tabs>
          <w:tab w:val="left" w:pos="1180"/>
        </w:tabs>
        <w:spacing w:line="237" w:lineRule="auto"/>
        <w:ind w:right="663"/>
        <w:rPr>
          <w:rFonts w:asciiTheme="minorHAnsi" w:hAnsiTheme="minorHAnsi"/>
          <w:i/>
          <w:spacing w:val="-1"/>
          <w:sz w:val="22"/>
          <w:szCs w:val="22"/>
        </w:rPr>
      </w:pPr>
      <w:r>
        <w:rPr>
          <w:rFonts w:asciiTheme="minorHAnsi" w:hAnsiTheme="minorHAnsi"/>
          <w:i/>
          <w:spacing w:val="-1"/>
          <w:sz w:val="22"/>
          <w:szCs w:val="22"/>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062B315B" w14:textId="77777777" w:rsidR="00F70B0B" w:rsidRDefault="00F70B0B" w:rsidP="00F70B0B">
      <w:pPr>
        <w:spacing w:after="0"/>
        <w:rPr>
          <w:rFonts w:asciiTheme="minorHAnsi" w:hAnsiTheme="minorHAnsi" w:cs="Arial"/>
          <w:color w:val="000000" w:themeColor="text2"/>
        </w:rPr>
      </w:pPr>
      <w:r>
        <w:rPr>
          <w:rFonts w:asciiTheme="minorHAnsi" w:hAnsiTheme="minorHAnsi" w:cs="Arial"/>
          <w:color w:val="000000" w:themeColor="text2"/>
        </w:rPr>
        <w:t xml:space="preserve">The Minnesota Department of Education is working with the Minnesota Department of Employment and Economic Development to: </w:t>
      </w:r>
    </w:p>
    <w:p w14:paraId="42112FE6" w14:textId="77777777" w:rsidR="00F70B0B" w:rsidRDefault="00F70B0B" w:rsidP="00F70B0B">
      <w:pPr>
        <w:pStyle w:val="ListParagraph"/>
        <w:numPr>
          <w:ilvl w:val="0"/>
          <w:numId w:val="37"/>
        </w:numPr>
        <w:spacing w:before="0" w:after="0"/>
        <w:ind w:left="360"/>
        <w:rPr>
          <w:rFonts w:asciiTheme="minorHAnsi" w:hAnsiTheme="minorHAnsi" w:cs="Arial"/>
          <w:color w:val="000000" w:themeColor="text2"/>
        </w:rPr>
      </w:pPr>
      <w:r>
        <w:rPr>
          <w:rFonts w:asciiTheme="minorHAnsi" w:hAnsiTheme="minorHAnsi" w:cs="Arial"/>
          <w:color w:val="000000" w:themeColor="text2"/>
        </w:rPr>
        <w:t>Utilize market analysis to identify in-demand industries that will be reflected in state, regional and local WIOA plans;</w:t>
      </w:r>
    </w:p>
    <w:p w14:paraId="28675B1B" w14:textId="77777777" w:rsidR="00F70B0B" w:rsidRDefault="00F70B0B" w:rsidP="00F70B0B">
      <w:pPr>
        <w:pStyle w:val="ListParagraph"/>
        <w:numPr>
          <w:ilvl w:val="0"/>
          <w:numId w:val="37"/>
        </w:numPr>
        <w:spacing w:before="0" w:after="0"/>
        <w:ind w:left="360"/>
        <w:rPr>
          <w:rFonts w:asciiTheme="minorHAnsi" w:hAnsiTheme="minorHAnsi" w:cs="Arial"/>
          <w:color w:val="000000" w:themeColor="text2"/>
        </w:rPr>
      </w:pPr>
      <w:r>
        <w:rPr>
          <w:rFonts w:asciiTheme="minorHAnsi" w:hAnsiTheme="minorHAnsi" w:cs="Arial"/>
          <w:color w:val="000000" w:themeColor="text2"/>
        </w:rPr>
        <w:t>Work on determining how unsubsidized employment can be tracked statewide and reported both at a state- and local-level through data matching agreements; and</w:t>
      </w:r>
    </w:p>
    <w:p w14:paraId="201ED867" w14:textId="77777777" w:rsidR="00F70B0B" w:rsidRDefault="00F70B0B" w:rsidP="00F70B0B">
      <w:pPr>
        <w:pStyle w:val="ListParagraph"/>
        <w:numPr>
          <w:ilvl w:val="0"/>
          <w:numId w:val="37"/>
        </w:numPr>
        <w:spacing w:before="0" w:after="0"/>
        <w:ind w:left="360"/>
        <w:rPr>
          <w:rFonts w:asciiTheme="minorHAnsi" w:hAnsiTheme="minorHAnsi" w:cs="Arial"/>
          <w:color w:val="000000" w:themeColor="text2"/>
        </w:rPr>
      </w:pPr>
      <w:r>
        <w:rPr>
          <w:rFonts w:asciiTheme="minorHAnsi" w:hAnsiTheme="minorHAnsi" w:cs="Arial"/>
          <w:color w:val="000000" w:themeColor="text2"/>
        </w:rPr>
        <w:t>Train local programs on understanding Integrated Education and Training.</w:t>
      </w:r>
    </w:p>
    <w:p w14:paraId="5A60A6BB" w14:textId="77777777" w:rsidR="00F70B0B" w:rsidRDefault="00F70B0B" w:rsidP="00F70B0B">
      <w:pPr>
        <w:spacing w:after="0"/>
        <w:rPr>
          <w:rFonts w:asciiTheme="minorHAnsi" w:hAnsiTheme="minorHAnsi" w:cs="Arial"/>
          <w:color w:val="000000" w:themeColor="text2"/>
        </w:rPr>
      </w:pPr>
      <w:r>
        <w:rPr>
          <w:rFonts w:asciiTheme="minorHAnsi" w:hAnsiTheme="minorHAnsi" w:cs="Arial"/>
          <w:color w:val="000000" w:themeColor="text2"/>
        </w:rPr>
        <w:t>Grantees reported challenges in developing IELCE and IET programming and integrating with their workforce partners. From our grantees, this was due to: the need for more intensive resources; need for additional time to develop programming; partners focused on developing local and regional WIOA plans but not yet ready to implement strategies with IELCE grantees; low numbers due to low unemployment in Minnesota; and partners having numerous recent staffing changes. With those lessons learned, we are considering moving to a 3-year competitive grant cycle starting in 2019 to allow for more comprehensive collaborating and sustainable program development, as partners are now ready to implement the WIOA plan strategies.</w:t>
      </w:r>
    </w:p>
    <w:p w14:paraId="0D765D84" w14:textId="77777777" w:rsidR="00EC41EB" w:rsidRDefault="00EC41EB" w:rsidP="00E77118">
      <w:pPr>
        <w:spacing w:after="0"/>
        <w:rPr>
          <w:rFonts w:asciiTheme="minorHAnsi" w:eastAsia="Times New Roman" w:hAnsiTheme="minorHAnsi" w:cstheme="majorBidi"/>
          <w:b/>
          <w:color w:val="003865" w:themeColor="accent1"/>
          <w:sz w:val="28"/>
          <w:szCs w:val="28"/>
          <w:lang w:bidi="en-US"/>
        </w:rPr>
      </w:pPr>
    </w:p>
    <w:p w14:paraId="13E4E629" w14:textId="51C7E9F2" w:rsidR="00552B0F" w:rsidRPr="00E77118" w:rsidRDefault="00552B0F" w:rsidP="00E77118">
      <w:pPr>
        <w:spacing w:after="0"/>
        <w:rPr>
          <w:rFonts w:asciiTheme="minorHAnsi" w:hAnsiTheme="minorHAnsi" w:cs="Arial"/>
          <w:color w:val="000000" w:themeColor="text2"/>
        </w:rPr>
      </w:pPr>
      <w:r w:rsidRPr="004C3645">
        <w:rPr>
          <w:rFonts w:asciiTheme="minorHAnsi" w:eastAsia="Times New Roman" w:hAnsiTheme="minorHAnsi" w:cstheme="majorBidi"/>
          <w:b/>
          <w:color w:val="003865" w:themeColor="accent1"/>
          <w:sz w:val="28"/>
          <w:szCs w:val="28"/>
          <w:lang w:bidi="en-US"/>
        </w:rPr>
        <w:t>Section 5: Adult Education Standards</w:t>
      </w:r>
    </w:p>
    <w:sdt>
      <w:sdtPr>
        <w:rPr>
          <w:rFonts w:asciiTheme="minorHAnsi" w:eastAsia="Times New Roman" w:hAnsiTheme="minorHAnsi" w:cstheme="majorBidi"/>
          <w:b/>
          <w:color w:val="003865" w:themeColor="accent1"/>
          <w:sz w:val="28"/>
          <w:szCs w:val="28"/>
          <w:lang w:bidi="en-US"/>
        </w:rPr>
        <w:id w:val="10729564"/>
        <w:docPartObj>
          <w:docPartGallery w:val="Cover Pages"/>
          <w:docPartUnique/>
        </w:docPartObj>
      </w:sdtPr>
      <w:sdtEndPr/>
      <w:sdtContent>
        <w:p w14:paraId="0F645BCD" w14:textId="2DAA6FB8" w:rsidR="00F70B0B" w:rsidRPr="00D64713" w:rsidRDefault="00F70B0B" w:rsidP="00F70B0B">
          <w:pPr>
            <w:spacing w:after="0"/>
            <w:rPr>
              <w:rFonts w:asciiTheme="minorHAnsi" w:hAnsiTheme="minorHAnsi" w:cs="Arial"/>
            </w:rPr>
          </w:pPr>
          <w:r w:rsidRPr="00D64713">
            <w:rPr>
              <w:rFonts w:asciiTheme="minorHAnsi" w:hAnsiTheme="minorHAnsi" w:cs="Arial"/>
            </w:rPr>
            <w:t xml:space="preserve">Minnesota has adopted three sets of content standards for Adult Basic Education (ABE): 1) the College and Career Readiness Standards for Adult Education (CCRS) for English Language Arts/Literacy and Mathematics; 2) the MN ACES Transitions Integration Framework (TIF) (available at </w:t>
          </w:r>
          <w:hyperlink r:id="rId21" w:history="1">
            <w:r w:rsidRPr="00D64713">
              <w:rPr>
                <w:rStyle w:val="Hyperlink"/>
                <w:rFonts w:asciiTheme="minorHAnsi" w:hAnsiTheme="minorHAnsi" w:cs="Arial"/>
              </w:rPr>
              <w:t>http://atlasabe.org/professional/transitions</w:t>
            </w:r>
          </w:hyperlink>
          <w:r w:rsidRPr="00D64713">
            <w:rPr>
              <w:rFonts w:asciiTheme="minorHAnsi" w:hAnsiTheme="minorHAnsi" w:cs="Arial"/>
            </w:rPr>
            <w:t xml:space="preserve">) for professional or “soft skills”; and 3) the </w:t>
          </w:r>
          <w:proofErr w:type="spellStart"/>
          <w:r w:rsidRPr="00D64713">
            <w:rPr>
              <w:rFonts w:asciiTheme="minorHAnsi" w:hAnsiTheme="minorHAnsi" w:cs="Arial"/>
            </w:rPr>
            <w:t>Northstar</w:t>
          </w:r>
          <w:proofErr w:type="spellEnd"/>
          <w:r w:rsidRPr="00D64713">
            <w:rPr>
              <w:rFonts w:asciiTheme="minorHAnsi" w:hAnsiTheme="minorHAnsi" w:cs="Arial"/>
            </w:rPr>
            <w:t xml:space="preserve"> Digital Literacy Standards (available at </w:t>
          </w:r>
          <w:hyperlink r:id="rId22" w:history="1">
            <w:r w:rsidRPr="00D64713">
              <w:rPr>
                <w:rStyle w:val="Hyperlink"/>
                <w:rFonts w:asciiTheme="minorHAnsi" w:hAnsiTheme="minorHAnsi" w:cs="Arial"/>
              </w:rPr>
              <w:t>www.digitalliteracyassessment.org</w:t>
            </w:r>
          </w:hyperlink>
          <w:r w:rsidRPr="00D64713">
            <w:rPr>
              <w:rFonts w:asciiTheme="minorHAnsi" w:hAnsiTheme="minorHAnsi" w:cs="Arial"/>
            </w:rPr>
            <w:t xml:space="preserve">) for digital literacy skills. </w:t>
          </w:r>
        </w:p>
        <w:p w14:paraId="18228524" w14:textId="77777777" w:rsidR="00F70B0B" w:rsidRPr="00D64713" w:rsidRDefault="00F70B0B" w:rsidP="00F70B0B">
          <w:pPr>
            <w:rPr>
              <w:rFonts w:asciiTheme="minorHAnsi" w:hAnsiTheme="minorHAnsi"/>
            </w:rPr>
          </w:pPr>
          <w:r w:rsidRPr="00D64713">
            <w:rPr>
              <w:rFonts w:asciiTheme="minorHAnsi" w:hAnsiTheme="minorHAnsi"/>
            </w:rPr>
            <w:t xml:space="preserve">Minnesota has adopted the English Language Arts Common Core State Standards for K-12. While the Minnesota K-12 Mathematics standards were developed prior to the Common Core and are not due to be revised until 2020, it has been determined that they have a strong alignment with the Common Core. The College and Career Readiness Standards for Adult Education being used for Minnesota ABE are drawn from the Common Core State Standards, and therefore have strong alignment with the Minnesota K-12 standards. </w:t>
          </w:r>
        </w:p>
        <w:p w14:paraId="7F5A7C5B" w14:textId="7052893A" w:rsidR="00F70B0B" w:rsidRPr="00D64713" w:rsidRDefault="00F70B0B" w:rsidP="00F70B0B">
          <w:pPr>
            <w:rPr>
              <w:rFonts w:asciiTheme="minorHAnsi" w:hAnsiTheme="minorHAnsi"/>
            </w:rPr>
          </w:pPr>
          <w:r w:rsidRPr="00D64713">
            <w:rPr>
              <w:rFonts w:asciiTheme="minorHAnsi" w:hAnsiTheme="minorHAnsi"/>
              <w:i/>
            </w:rPr>
            <w:t>CCRS Foundations</w:t>
          </w:r>
          <w:r w:rsidRPr="00D64713">
            <w:rPr>
              <w:rFonts w:asciiTheme="minorHAnsi" w:hAnsiTheme="minorHAnsi"/>
            </w:rPr>
            <w:t>, introductory six-hour standards workshops providing an overview of the CCR ELA or Math standards and associated instructional shifts, were offered at a variety of statewide conferences, including the A</w:t>
          </w:r>
          <w:r w:rsidR="001823B2">
            <w:rPr>
              <w:rFonts w:asciiTheme="minorHAnsi" w:hAnsiTheme="minorHAnsi"/>
            </w:rPr>
            <w:t>ugust 2017 ABE Summer Institute and</w:t>
          </w:r>
          <w:r w:rsidRPr="00D64713">
            <w:rPr>
              <w:rFonts w:asciiTheme="minorHAnsi" w:hAnsiTheme="minorHAnsi"/>
            </w:rPr>
            <w:t xml:space="preserve"> the January 2018 Language and Literacy Institute. In addition, practitioners were able to access a CCRS Foundations online course.</w:t>
          </w:r>
        </w:p>
        <w:p w14:paraId="4D61BDCC" w14:textId="77777777" w:rsidR="00F70B0B" w:rsidRPr="00D64713" w:rsidRDefault="00F70B0B" w:rsidP="00F70B0B">
          <w:pPr>
            <w:rPr>
              <w:rFonts w:asciiTheme="minorHAnsi" w:hAnsiTheme="minorHAnsi"/>
            </w:rPr>
          </w:pPr>
          <w:r w:rsidRPr="00D64713">
            <w:rPr>
              <w:rFonts w:asciiTheme="minorHAnsi" w:hAnsiTheme="minorHAnsi"/>
            </w:rPr>
            <w:t xml:space="preserve">From March 2015 to September 2016, Minnesota participated in the OCTAE-sponsored </w:t>
          </w:r>
          <w:r w:rsidRPr="00D64713">
            <w:rPr>
              <w:rFonts w:asciiTheme="minorHAnsi" w:hAnsiTheme="minorHAnsi"/>
              <w:i/>
            </w:rPr>
            <w:t xml:space="preserve">College and Career Readiness Standards-in-Action </w:t>
          </w:r>
          <w:r w:rsidRPr="00D64713">
            <w:rPr>
              <w:rFonts w:asciiTheme="minorHAnsi" w:hAnsiTheme="minorHAnsi"/>
            </w:rPr>
            <w:t xml:space="preserve">initiative. As a result of that participation and subsequent pilots, a year-long </w:t>
          </w:r>
          <w:r w:rsidRPr="00D64713">
            <w:rPr>
              <w:rFonts w:asciiTheme="minorHAnsi" w:hAnsiTheme="minorHAnsi"/>
              <w:i/>
            </w:rPr>
            <w:t>CCRS Implementation Cohort Training</w:t>
          </w:r>
          <w:r w:rsidRPr="00D64713">
            <w:rPr>
              <w:rFonts w:asciiTheme="minorHAnsi" w:hAnsiTheme="minorHAnsi"/>
            </w:rPr>
            <w:t xml:space="preserve"> was designed to support implementation of the standards at the local program level. In 2017-18, approximately 52 staff from 12 programs were accepted to participate in the cohort. Through a combination of workshops, webinars, online communication, and local implementation activities, teams learned to evaluate and improve the CCRS-alignment of lessons, resources, assignments, and instruction.  In addition, they developed a multi-year CCRS implementation plan for their program, and provided leadership and training for standards implementation to their colleagues. These programs are continuing to receive technical assistance and training to support their standards implementation efforts. </w:t>
          </w:r>
        </w:p>
        <w:p w14:paraId="47D44680" w14:textId="77777777" w:rsidR="00F70B0B" w:rsidRDefault="00F70B0B" w:rsidP="00F70B0B">
          <w:pPr>
            <w:autoSpaceDE w:val="0"/>
            <w:autoSpaceDN w:val="0"/>
            <w:adjustRightInd w:val="0"/>
            <w:spacing w:before="0" w:after="0" w:line="240" w:lineRule="auto"/>
            <w:rPr>
              <w:rFonts w:asciiTheme="minorHAnsi" w:hAnsiTheme="minorHAnsi"/>
            </w:rPr>
          </w:pPr>
          <w:r w:rsidRPr="00D64713">
            <w:rPr>
              <w:rFonts w:asciiTheme="minorHAnsi" w:hAnsiTheme="minorHAnsi"/>
            </w:rPr>
            <w:t>Approximately 38 staff from 7 programs were accepted to the 2018-19</w:t>
          </w:r>
          <w:r w:rsidRPr="00D64713">
            <w:rPr>
              <w:rFonts w:asciiTheme="minorHAnsi" w:hAnsiTheme="minorHAnsi"/>
              <w:i/>
            </w:rPr>
            <w:t xml:space="preserve"> CCRS Implementation Cohort Training </w:t>
          </w:r>
          <w:r w:rsidRPr="00D64713">
            <w:rPr>
              <w:rFonts w:asciiTheme="minorHAnsi" w:hAnsiTheme="minorHAnsi"/>
            </w:rPr>
            <w:t xml:space="preserve">and are currently participating. A </w:t>
          </w:r>
          <w:r w:rsidRPr="00D64713">
            <w:rPr>
              <w:rFonts w:asciiTheme="minorHAnsi" w:hAnsiTheme="minorHAnsi"/>
              <w:i/>
            </w:rPr>
            <w:t>CCRS Implementation Cohort Training</w:t>
          </w:r>
          <w:r w:rsidRPr="00D64713">
            <w:rPr>
              <w:rFonts w:asciiTheme="minorHAnsi" w:hAnsiTheme="minorHAnsi"/>
            </w:rPr>
            <w:t xml:space="preserve"> will likely be held each year until all consortia have received training, or as long as there is a perceived need.  Components of the training are also being delivered at other training venues for those who cannot commit to the full-year cohort experience.</w:t>
          </w:r>
        </w:p>
        <w:p w14:paraId="10A43DFE" w14:textId="77777777" w:rsidR="00F70B0B" w:rsidRDefault="00F70B0B" w:rsidP="00F70B0B">
          <w:pPr>
            <w:autoSpaceDE w:val="0"/>
            <w:autoSpaceDN w:val="0"/>
            <w:adjustRightInd w:val="0"/>
            <w:spacing w:before="0" w:after="0" w:line="240" w:lineRule="auto"/>
            <w:rPr>
              <w:rFonts w:asciiTheme="minorHAnsi" w:hAnsiTheme="minorHAnsi"/>
            </w:rPr>
          </w:pPr>
        </w:p>
        <w:p w14:paraId="3B755270" w14:textId="2051E861" w:rsidR="00F70B0B" w:rsidRDefault="00F70B0B" w:rsidP="001823B2">
          <w:pPr>
            <w:spacing w:after="0" w:line="271" w:lineRule="auto"/>
            <w:rPr>
              <w:rFonts w:asciiTheme="minorHAnsi" w:hAnsiTheme="minorHAnsi"/>
            </w:rPr>
          </w:pPr>
        </w:p>
        <w:p w14:paraId="0A2FDDC1" w14:textId="35A18626" w:rsidR="00552B0F" w:rsidRPr="004C3645" w:rsidRDefault="009957EB" w:rsidP="00F70B0B">
          <w:pPr>
            <w:autoSpaceDE w:val="0"/>
            <w:autoSpaceDN w:val="0"/>
            <w:adjustRightInd w:val="0"/>
            <w:spacing w:before="0" w:after="0" w:line="240" w:lineRule="auto"/>
            <w:rPr>
              <w:rFonts w:asciiTheme="minorHAnsi" w:eastAsia="Times New Roman" w:hAnsiTheme="minorHAnsi" w:cstheme="majorBidi"/>
              <w:b/>
              <w:color w:val="003865" w:themeColor="accent1"/>
              <w:sz w:val="28"/>
              <w:szCs w:val="28"/>
              <w:lang w:bidi="en-US"/>
            </w:rPr>
          </w:pPr>
          <w:r>
            <w:rPr>
              <w:rFonts w:asciiTheme="minorHAnsi" w:eastAsia="Times New Roman" w:hAnsiTheme="minorHAnsi" w:cstheme="majorBidi"/>
              <w:b/>
              <w:color w:val="003865" w:themeColor="accent1"/>
              <w:sz w:val="28"/>
              <w:szCs w:val="28"/>
              <w:lang w:bidi="en-US"/>
            </w:rPr>
            <w:t>S</w:t>
          </w:r>
          <w:r w:rsidR="00552B0F" w:rsidRPr="004C3645">
            <w:rPr>
              <w:rFonts w:asciiTheme="minorHAnsi" w:eastAsia="Times New Roman" w:hAnsiTheme="minorHAnsi" w:cstheme="majorBidi"/>
              <w:b/>
              <w:color w:val="003865" w:themeColor="accent1"/>
              <w:sz w:val="28"/>
              <w:szCs w:val="28"/>
              <w:lang w:bidi="en-US"/>
            </w:rPr>
            <w:t>ection 6:  Programs for Corrections Education and the Education of Other Institutionalized Individuals (AEFLA Section 225)</w:t>
          </w:r>
        </w:p>
      </w:sdtContent>
    </w:sdt>
    <w:p w14:paraId="1053C99E" w14:textId="77777777" w:rsidR="00857666" w:rsidRPr="00B569D0" w:rsidRDefault="00857666" w:rsidP="00857666">
      <w:pPr>
        <w:pStyle w:val="Heading3"/>
        <w:rPr>
          <w:b w:val="0"/>
          <w:i/>
          <w:color w:val="auto"/>
          <w:sz w:val="22"/>
          <w:szCs w:val="22"/>
        </w:rPr>
      </w:pPr>
      <w:r w:rsidRPr="00F10E39">
        <w:rPr>
          <w:b w:val="0"/>
          <w:i/>
          <w:color w:val="auto"/>
          <w:sz w:val="22"/>
          <w:szCs w:val="22"/>
        </w:rPr>
        <w:t xml:space="preserve">What was the relative rate of recidivism for criminal offenders served? Please describe the methods and factors used in </w:t>
      </w:r>
      <w:r w:rsidRPr="00B569D0">
        <w:rPr>
          <w:b w:val="0"/>
          <w:i/>
          <w:color w:val="auto"/>
          <w:sz w:val="22"/>
          <w:szCs w:val="22"/>
        </w:rPr>
        <w:t>calculating the rate for this reporting period.</w:t>
      </w:r>
    </w:p>
    <w:p w14:paraId="796A705C" w14:textId="77777777" w:rsidR="00857666" w:rsidRPr="00024DFA" w:rsidRDefault="00857666" w:rsidP="00857666">
      <w:pPr>
        <w:rPr>
          <w:rFonts w:asciiTheme="minorHAnsi" w:hAnsiTheme="minorHAnsi"/>
          <w:color w:val="000000" w:themeColor="text2"/>
        </w:rPr>
      </w:pPr>
      <w:r w:rsidRPr="00B569D0">
        <w:rPr>
          <w:rFonts w:asciiTheme="minorHAnsi" w:hAnsiTheme="minorHAnsi"/>
          <w:color w:val="000000" w:themeColor="text2"/>
        </w:rPr>
        <w:t xml:space="preserve">The Minnesota Department of Corrections (MN DOC) houses approximately 9,849 adult male and female offenders. 94.6% are held in state prisons, and the remaining 5.4% reside either in county jails, a state juvenile facility, or other facilities. Roughly 27% of </w:t>
      </w:r>
      <w:r>
        <w:rPr>
          <w:rFonts w:asciiTheme="minorHAnsi" w:hAnsiTheme="minorHAnsi"/>
          <w:color w:val="000000" w:themeColor="text2"/>
        </w:rPr>
        <w:t>people in corrections in Minnesota</w:t>
      </w:r>
      <w:r w:rsidRPr="00B569D0">
        <w:rPr>
          <w:rFonts w:asciiTheme="minorHAnsi" w:hAnsiTheme="minorHAnsi"/>
          <w:color w:val="000000" w:themeColor="text2"/>
        </w:rPr>
        <w:t xml:space="preserve"> do not have a secondary credential. In the 2017-18 program year, 22 of Minnesota’s 41 AEFLA grantees offered services in correctional settings including 9 state prisons and at least 21 county jails. 9,162 offender enrollees were served in Minnesota; 5,403 participants were served with 5,791 total periods of participation. Enrollees in corrections ABE programs generated 850,706 contact hours. 38.40% of Minnesota’s correctional ABE participants</w:t>
      </w:r>
      <w:r w:rsidRPr="00024DFA">
        <w:rPr>
          <w:rFonts w:asciiTheme="minorHAnsi" w:hAnsiTheme="minorHAnsi"/>
          <w:color w:val="000000" w:themeColor="text2"/>
        </w:rPr>
        <w:t xml:space="preserve"> and </w:t>
      </w:r>
      <w:r>
        <w:rPr>
          <w:rFonts w:asciiTheme="minorHAnsi" w:hAnsiTheme="minorHAnsi"/>
          <w:color w:val="000000" w:themeColor="text2"/>
        </w:rPr>
        <w:t>35.94</w:t>
      </w:r>
      <w:r w:rsidRPr="00024DFA">
        <w:rPr>
          <w:rFonts w:asciiTheme="minorHAnsi" w:hAnsiTheme="minorHAnsi"/>
          <w:color w:val="000000" w:themeColor="text2"/>
        </w:rPr>
        <w:t xml:space="preserve">% of correctional periods of participation achieved a measurable skill gain. </w:t>
      </w:r>
    </w:p>
    <w:p w14:paraId="036581F2" w14:textId="77777777" w:rsidR="00857666" w:rsidRPr="00024DFA" w:rsidRDefault="00857666" w:rsidP="00857666">
      <w:pPr>
        <w:rPr>
          <w:rFonts w:asciiTheme="minorHAnsi" w:hAnsiTheme="minorHAnsi"/>
          <w:color w:val="000000" w:themeColor="text2"/>
        </w:rPr>
      </w:pPr>
      <w:r w:rsidRPr="00024DFA">
        <w:rPr>
          <w:rFonts w:asciiTheme="minorHAnsi" w:hAnsiTheme="minorHAnsi"/>
          <w:color w:val="000000" w:themeColor="text2"/>
        </w:rPr>
        <w:t>Demographics of AEFLA partici</w:t>
      </w:r>
      <w:r>
        <w:rPr>
          <w:rFonts w:asciiTheme="minorHAnsi" w:hAnsiTheme="minorHAnsi"/>
          <w:color w:val="000000" w:themeColor="text2"/>
        </w:rPr>
        <w:t xml:space="preserve">pants in Minnesota correctional facilities are as follows: </w:t>
      </w:r>
      <w:r w:rsidRPr="00024DFA">
        <w:rPr>
          <w:rFonts w:asciiTheme="minorHAnsi" w:hAnsiTheme="minorHAnsi"/>
          <w:i/>
          <w:color w:val="000000" w:themeColor="text2"/>
        </w:rPr>
        <w:t>Gender</w:t>
      </w:r>
      <w:r w:rsidRPr="00024DFA">
        <w:rPr>
          <w:rFonts w:asciiTheme="minorHAnsi" w:hAnsiTheme="minorHAnsi"/>
          <w:color w:val="000000" w:themeColor="text2"/>
        </w:rPr>
        <w:t xml:space="preserve">: </w:t>
      </w:r>
      <w:r>
        <w:rPr>
          <w:rFonts w:asciiTheme="minorHAnsi" w:hAnsiTheme="minorHAnsi"/>
          <w:color w:val="000000" w:themeColor="text2"/>
        </w:rPr>
        <w:t>83</w:t>
      </w:r>
      <w:r w:rsidRPr="00024DFA">
        <w:rPr>
          <w:rFonts w:asciiTheme="minorHAnsi" w:hAnsiTheme="minorHAnsi"/>
          <w:color w:val="000000" w:themeColor="text2"/>
        </w:rPr>
        <w:t xml:space="preserve">% male, </w:t>
      </w:r>
      <w:r>
        <w:rPr>
          <w:rFonts w:asciiTheme="minorHAnsi" w:hAnsiTheme="minorHAnsi"/>
          <w:color w:val="000000" w:themeColor="text2"/>
        </w:rPr>
        <w:t>17</w:t>
      </w:r>
      <w:r w:rsidRPr="00024DFA">
        <w:rPr>
          <w:rFonts w:asciiTheme="minorHAnsi" w:hAnsiTheme="minorHAnsi"/>
          <w:color w:val="000000" w:themeColor="text2"/>
        </w:rPr>
        <w:t>% female</w:t>
      </w:r>
      <w:r>
        <w:rPr>
          <w:rFonts w:asciiTheme="minorHAnsi" w:hAnsiTheme="minorHAnsi"/>
          <w:color w:val="000000" w:themeColor="text2"/>
        </w:rPr>
        <w:t xml:space="preserve">; </w:t>
      </w:r>
      <w:r w:rsidRPr="00024DFA">
        <w:rPr>
          <w:rFonts w:asciiTheme="minorHAnsi" w:hAnsiTheme="minorHAnsi"/>
          <w:i/>
          <w:color w:val="000000" w:themeColor="text2"/>
        </w:rPr>
        <w:t>Ethnicity</w:t>
      </w:r>
      <w:r w:rsidRPr="00024DFA">
        <w:rPr>
          <w:rFonts w:asciiTheme="minorHAnsi" w:hAnsiTheme="minorHAnsi"/>
          <w:color w:val="000000" w:themeColor="text2"/>
        </w:rPr>
        <w:t xml:space="preserve">: </w:t>
      </w:r>
      <w:r>
        <w:rPr>
          <w:rFonts w:asciiTheme="minorHAnsi" w:hAnsiTheme="minorHAnsi"/>
          <w:color w:val="000000" w:themeColor="text2"/>
        </w:rPr>
        <w:t>12</w:t>
      </w:r>
      <w:r w:rsidRPr="00024DFA">
        <w:rPr>
          <w:rFonts w:asciiTheme="minorHAnsi" w:hAnsiTheme="minorHAnsi"/>
          <w:color w:val="000000" w:themeColor="text2"/>
        </w:rPr>
        <w:t xml:space="preserve">% American Indian/Alaskan Native, </w:t>
      </w:r>
      <w:r>
        <w:rPr>
          <w:rFonts w:asciiTheme="minorHAnsi" w:hAnsiTheme="minorHAnsi"/>
          <w:color w:val="000000" w:themeColor="text2"/>
        </w:rPr>
        <w:t>3</w:t>
      </w:r>
      <w:r w:rsidRPr="00024DFA">
        <w:rPr>
          <w:rFonts w:asciiTheme="minorHAnsi" w:hAnsiTheme="minorHAnsi"/>
          <w:color w:val="000000" w:themeColor="text2"/>
        </w:rPr>
        <w:t xml:space="preserve">% Asian, </w:t>
      </w:r>
      <w:r>
        <w:rPr>
          <w:rFonts w:asciiTheme="minorHAnsi" w:hAnsiTheme="minorHAnsi"/>
          <w:color w:val="000000" w:themeColor="text2"/>
        </w:rPr>
        <w:t>33</w:t>
      </w:r>
      <w:r w:rsidRPr="00024DFA">
        <w:rPr>
          <w:rFonts w:asciiTheme="minorHAnsi" w:hAnsiTheme="minorHAnsi"/>
          <w:color w:val="000000" w:themeColor="text2"/>
        </w:rPr>
        <w:t xml:space="preserve">% Black/African American – non-Hispanic, </w:t>
      </w:r>
      <w:r>
        <w:rPr>
          <w:rFonts w:asciiTheme="minorHAnsi" w:hAnsiTheme="minorHAnsi"/>
          <w:color w:val="000000" w:themeColor="text2"/>
        </w:rPr>
        <w:t>12</w:t>
      </w:r>
      <w:r w:rsidRPr="00024DFA">
        <w:rPr>
          <w:rFonts w:asciiTheme="minorHAnsi" w:hAnsiTheme="minorHAnsi"/>
          <w:color w:val="000000" w:themeColor="text2"/>
        </w:rPr>
        <w:t xml:space="preserve">% Hispanic/Latino, less than 1% Native Hawaiian/Pacific Islander, </w:t>
      </w:r>
      <w:r>
        <w:rPr>
          <w:rFonts w:asciiTheme="minorHAnsi" w:hAnsiTheme="minorHAnsi"/>
          <w:color w:val="000000" w:themeColor="text2"/>
        </w:rPr>
        <w:t>37</w:t>
      </w:r>
      <w:r w:rsidRPr="00024DFA">
        <w:rPr>
          <w:rFonts w:asciiTheme="minorHAnsi" w:hAnsiTheme="minorHAnsi"/>
          <w:color w:val="000000" w:themeColor="text2"/>
        </w:rPr>
        <w:t>% White, non-Hispanic</w:t>
      </w:r>
      <w:r>
        <w:rPr>
          <w:rFonts w:asciiTheme="minorHAnsi" w:hAnsiTheme="minorHAnsi"/>
          <w:color w:val="000000" w:themeColor="text2"/>
        </w:rPr>
        <w:t xml:space="preserve">, and 3% two or more races; </w:t>
      </w:r>
      <w:r w:rsidRPr="00024DFA">
        <w:rPr>
          <w:rFonts w:asciiTheme="minorHAnsi" w:hAnsiTheme="minorHAnsi"/>
          <w:i/>
          <w:color w:val="000000" w:themeColor="text2"/>
        </w:rPr>
        <w:t>Programming Estimates</w:t>
      </w:r>
      <w:r w:rsidRPr="00024DFA">
        <w:rPr>
          <w:rFonts w:asciiTheme="minorHAnsi" w:hAnsiTheme="minorHAnsi"/>
          <w:color w:val="000000" w:themeColor="text2"/>
        </w:rPr>
        <w:t xml:space="preserve">: </w:t>
      </w:r>
      <w:r>
        <w:rPr>
          <w:rFonts w:asciiTheme="minorHAnsi" w:hAnsiTheme="minorHAnsi"/>
          <w:color w:val="000000" w:themeColor="text2"/>
        </w:rPr>
        <w:t>71</w:t>
      </w:r>
      <w:r w:rsidRPr="00024DFA">
        <w:rPr>
          <w:rFonts w:asciiTheme="minorHAnsi" w:hAnsiTheme="minorHAnsi"/>
          <w:color w:val="000000" w:themeColor="text2"/>
        </w:rPr>
        <w:t xml:space="preserve">% Adult Education and Literacy Program Participants, </w:t>
      </w:r>
      <w:r>
        <w:rPr>
          <w:rFonts w:asciiTheme="minorHAnsi" w:hAnsiTheme="minorHAnsi"/>
          <w:color w:val="000000" w:themeColor="text2"/>
        </w:rPr>
        <w:t>25</w:t>
      </w:r>
      <w:r w:rsidRPr="00024DFA">
        <w:rPr>
          <w:rFonts w:asciiTheme="minorHAnsi" w:hAnsiTheme="minorHAnsi"/>
          <w:color w:val="000000" w:themeColor="text2"/>
        </w:rPr>
        <w:t>% Secondary Credential and Career Pathway Program Participants, and 4.0% English Language Acquisition Program Participants.</w:t>
      </w:r>
    </w:p>
    <w:p w14:paraId="6836D297" w14:textId="77777777" w:rsidR="00857666" w:rsidRPr="00024DFA" w:rsidRDefault="00857666" w:rsidP="00857666">
      <w:pPr>
        <w:rPr>
          <w:rFonts w:asciiTheme="minorHAnsi" w:hAnsiTheme="minorHAnsi"/>
          <w:color w:val="000000" w:themeColor="text2"/>
        </w:rPr>
      </w:pPr>
      <w:r w:rsidRPr="00024DFA">
        <w:rPr>
          <w:rFonts w:asciiTheme="minorHAnsi" w:hAnsiTheme="minorHAnsi"/>
          <w:color w:val="000000" w:themeColor="text2"/>
        </w:rPr>
        <w:t xml:space="preserve">MN DOC has an education-first policy, which means that </w:t>
      </w:r>
      <w:r>
        <w:rPr>
          <w:rFonts w:asciiTheme="minorHAnsi" w:hAnsiTheme="minorHAnsi"/>
          <w:color w:val="000000" w:themeColor="text2"/>
        </w:rPr>
        <w:t>offenders</w:t>
      </w:r>
      <w:r w:rsidRPr="00024DFA">
        <w:rPr>
          <w:rFonts w:asciiTheme="minorHAnsi" w:hAnsiTheme="minorHAnsi"/>
          <w:color w:val="000000" w:themeColor="text2"/>
        </w:rPr>
        <w:t xml:space="preserve"> who do not have a high school diploma or GED are required to enroll in </w:t>
      </w:r>
      <w:r>
        <w:rPr>
          <w:rFonts w:asciiTheme="minorHAnsi" w:hAnsiTheme="minorHAnsi"/>
          <w:color w:val="000000" w:themeColor="text2"/>
        </w:rPr>
        <w:t>ABE</w:t>
      </w:r>
      <w:r w:rsidRPr="00024DFA">
        <w:rPr>
          <w:rFonts w:asciiTheme="minorHAnsi" w:hAnsiTheme="minorHAnsi"/>
          <w:color w:val="000000" w:themeColor="text2"/>
        </w:rPr>
        <w:t xml:space="preserve"> and achieve a high school credential before being eligible for work programs. MN DOC offers intensive educational </w:t>
      </w:r>
      <w:r>
        <w:rPr>
          <w:rFonts w:asciiTheme="minorHAnsi" w:hAnsiTheme="minorHAnsi"/>
          <w:color w:val="000000" w:themeColor="text2"/>
        </w:rPr>
        <w:t xml:space="preserve">and training </w:t>
      </w:r>
      <w:r w:rsidRPr="00024DFA">
        <w:rPr>
          <w:rFonts w:asciiTheme="minorHAnsi" w:hAnsiTheme="minorHAnsi"/>
          <w:color w:val="000000" w:themeColor="text2"/>
        </w:rPr>
        <w:t xml:space="preserve">programming </w:t>
      </w:r>
      <w:r>
        <w:rPr>
          <w:rFonts w:asciiTheme="minorHAnsi" w:hAnsiTheme="minorHAnsi"/>
          <w:color w:val="000000" w:themeColor="text2"/>
        </w:rPr>
        <w:t>which</w:t>
      </w:r>
      <w:r w:rsidRPr="00024DFA">
        <w:rPr>
          <w:rFonts w:asciiTheme="minorHAnsi" w:hAnsiTheme="minorHAnsi"/>
          <w:color w:val="000000" w:themeColor="text2"/>
        </w:rPr>
        <w:t xml:space="preserve"> connects to postsecondary </w:t>
      </w:r>
      <w:r>
        <w:rPr>
          <w:rFonts w:asciiTheme="minorHAnsi" w:hAnsiTheme="minorHAnsi"/>
          <w:color w:val="000000" w:themeColor="text2"/>
        </w:rPr>
        <w:t>career pathways</w:t>
      </w:r>
      <w:r w:rsidRPr="00024DFA">
        <w:rPr>
          <w:rFonts w:asciiTheme="minorHAnsi" w:hAnsiTheme="minorHAnsi"/>
          <w:color w:val="000000" w:themeColor="text2"/>
        </w:rPr>
        <w:t xml:space="preserve">. MN DOC also </w:t>
      </w:r>
      <w:r>
        <w:rPr>
          <w:rFonts w:asciiTheme="minorHAnsi" w:hAnsiTheme="minorHAnsi"/>
          <w:color w:val="000000" w:themeColor="text2"/>
        </w:rPr>
        <w:t>offers mental health services</w:t>
      </w:r>
      <w:r w:rsidRPr="00024DFA">
        <w:rPr>
          <w:rFonts w:asciiTheme="minorHAnsi" w:hAnsiTheme="minorHAnsi"/>
          <w:color w:val="000000" w:themeColor="text2"/>
        </w:rPr>
        <w:t xml:space="preserve">, and </w:t>
      </w:r>
      <w:r>
        <w:rPr>
          <w:rFonts w:asciiTheme="minorHAnsi" w:hAnsiTheme="minorHAnsi"/>
          <w:color w:val="000000" w:themeColor="text2"/>
        </w:rPr>
        <w:t>other support services that facilitate stability</w:t>
      </w:r>
      <w:r w:rsidRPr="00024DFA">
        <w:rPr>
          <w:rFonts w:asciiTheme="minorHAnsi" w:hAnsiTheme="minorHAnsi"/>
          <w:color w:val="000000" w:themeColor="text2"/>
        </w:rPr>
        <w:t>. These policies and strategies promotes a robust system of ABE within Minnesota prisons. MN DOC funds their education programs with ABE funding and also with supplemental corrections funding.</w:t>
      </w:r>
    </w:p>
    <w:p w14:paraId="1A39D51B" w14:textId="77777777" w:rsidR="00857666" w:rsidRPr="00024DFA" w:rsidRDefault="00857666" w:rsidP="00857666">
      <w:pPr>
        <w:rPr>
          <w:rFonts w:asciiTheme="minorHAnsi" w:hAnsiTheme="minorHAnsi"/>
          <w:color w:val="000000" w:themeColor="text2"/>
        </w:rPr>
      </w:pPr>
      <w:r w:rsidRPr="00024DFA">
        <w:rPr>
          <w:rFonts w:asciiTheme="minorHAnsi" w:hAnsiTheme="minorHAnsi"/>
          <w:color w:val="000000" w:themeColor="text2"/>
        </w:rPr>
        <w:t xml:space="preserve">MN DOC education staff have been trained and are leading the field in implementing the state ABE content standards. In addition, the Minnesota correctional facilities have led the implementation of the state standard adult high school diploma. </w:t>
      </w:r>
      <w:r>
        <w:rPr>
          <w:rFonts w:asciiTheme="minorHAnsi" w:hAnsiTheme="minorHAnsi"/>
          <w:color w:val="000000" w:themeColor="text2"/>
        </w:rPr>
        <w:t>126</w:t>
      </w:r>
      <w:r w:rsidRPr="00024DFA">
        <w:rPr>
          <w:rFonts w:asciiTheme="minorHAnsi" w:hAnsiTheme="minorHAnsi"/>
          <w:color w:val="000000" w:themeColor="text2"/>
        </w:rPr>
        <w:t xml:space="preserve"> Standard Adult High School Diplomas issued in 201</w:t>
      </w:r>
      <w:r>
        <w:rPr>
          <w:rFonts w:asciiTheme="minorHAnsi" w:hAnsiTheme="minorHAnsi"/>
          <w:color w:val="000000" w:themeColor="text2"/>
        </w:rPr>
        <w:t>7</w:t>
      </w:r>
      <w:r w:rsidRPr="00024DFA">
        <w:rPr>
          <w:rFonts w:asciiTheme="minorHAnsi" w:hAnsiTheme="minorHAnsi"/>
          <w:color w:val="000000" w:themeColor="text2"/>
        </w:rPr>
        <w:t>-1</w:t>
      </w:r>
      <w:r>
        <w:rPr>
          <w:rFonts w:asciiTheme="minorHAnsi" w:hAnsiTheme="minorHAnsi"/>
          <w:color w:val="000000" w:themeColor="text2"/>
        </w:rPr>
        <w:t>8</w:t>
      </w:r>
      <w:r w:rsidRPr="00024DFA">
        <w:rPr>
          <w:rFonts w:asciiTheme="minorHAnsi" w:hAnsiTheme="minorHAnsi"/>
          <w:color w:val="000000" w:themeColor="text2"/>
        </w:rPr>
        <w:t xml:space="preserve"> were earned by ABE students in Minnesota correctional facilities. ABE students in Minnesota’s correctional facilities also perform well on the GED exam with </w:t>
      </w:r>
      <w:r>
        <w:rPr>
          <w:rFonts w:asciiTheme="minorHAnsi" w:hAnsiTheme="minorHAnsi"/>
          <w:color w:val="000000" w:themeColor="text2"/>
        </w:rPr>
        <w:t>520</w:t>
      </w:r>
      <w:r w:rsidRPr="00024DFA">
        <w:rPr>
          <w:rFonts w:asciiTheme="minorHAnsi" w:hAnsiTheme="minorHAnsi"/>
          <w:color w:val="000000" w:themeColor="text2"/>
        </w:rPr>
        <w:t xml:space="preserve"> test-based high school equivalency diplomas issued in 201</w:t>
      </w:r>
      <w:r>
        <w:rPr>
          <w:rFonts w:asciiTheme="minorHAnsi" w:hAnsiTheme="minorHAnsi"/>
          <w:color w:val="000000" w:themeColor="text2"/>
        </w:rPr>
        <w:t>7</w:t>
      </w:r>
      <w:r w:rsidRPr="00024DFA">
        <w:rPr>
          <w:rFonts w:asciiTheme="minorHAnsi" w:hAnsiTheme="minorHAnsi"/>
          <w:color w:val="000000" w:themeColor="text2"/>
        </w:rPr>
        <w:t>-1</w:t>
      </w:r>
      <w:r>
        <w:rPr>
          <w:rFonts w:asciiTheme="minorHAnsi" w:hAnsiTheme="minorHAnsi"/>
          <w:color w:val="000000" w:themeColor="text2"/>
        </w:rPr>
        <w:t>8</w:t>
      </w:r>
      <w:r w:rsidRPr="00024DFA">
        <w:rPr>
          <w:rFonts w:asciiTheme="minorHAnsi" w:hAnsiTheme="minorHAnsi"/>
          <w:color w:val="000000" w:themeColor="text2"/>
        </w:rPr>
        <w:t xml:space="preserve">. The GED passing rate for MN DOC programs is </w:t>
      </w:r>
      <w:r>
        <w:rPr>
          <w:rFonts w:asciiTheme="minorHAnsi" w:hAnsiTheme="minorHAnsi"/>
          <w:color w:val="000000" w:themeColor="text2"/>
        </w:rPr>
        <w:t>88</w:t>
      </w:r>
      <w:r w:rsidRPr="00024DFA">
        <w:rPr>
          <w:rFonts w:asciiTheme="minorHAnsi" w:hAnsiTheme="minorHAnsi"/>
          <w:color w:val="000000" w:themeColor="text2"/>
        </w:rPr>
        <w:t xml:space="preserve">%, one of the highest in nation, according to GED Testing Service. Beyond secondary credentials, MN DOC is implementing in-demand career pathway programming for students who have or achieve a diploma to work towards a postsecondary degree or training while still incarcerated. </w:t>
      </w:r>
    </w:p>
    <w:p w14:paraId="37B13604" w14:textId="77777777" w:rsidR="00857666" w:rsidRPr="00024DFA" w:rsidRDefault="00857666" w:rsidP="00857666">
      <w:pPr>
        <w:rPr>
          <w:rFonts w:asciiTheme="minorHAnsi" w:hAnsiTheme="minorHAnsi"/>
          <w:color w:val="000000" w:themeColor="text2"/>
        </w:rPr>
      </w:pPr>
      <w:r w:rsidRPr="00024DFA">
        <w:rPr>
          <w:rFonts w:asciiTheme="minorHAnsi" w:hAnsiTheme="minorHAnsi"/>
          <w:color w:val="000000" w:themeColor="text2"/>
        </w:rPr>
        <w:t xml:space="preserve">MN DOC utilizes the federal recidivism rate calculation, based on a three-year follow up period after release from prison. Minnesota’s rate of recidivism is 25%, according to MN DOC in the latest data available. In a 2013 study, obtaining secondary credentials helped offenders gain employment upon release but did not have a major impact on reducing recidivism. Obtaining postsecondary credentials in corrections resulted in reduced recidivism, higher numbers of hours worked, and increased wages. Obtaining a postsecondary credential reduced </w:t>
      </w:r>
      <w:proofErr w:type="spellStart"/>
      <w:r w:rsidRPr="00024DFA">
        <w:rPr>
          <w:rFonts w:asciiTheme="minorHAnsi" w:hAnsiTheme="minorHAnsi"/>
          <w:color w:val="000000" w:themeColor="text2"/>
        </w:rPr>
        <w:t>rearrest</w:t>
      </w:r>
      <w:proofErr w:type="spellEnd"/>
      <w:r w:rsidRPr="00024DFA">
        <w:rPr>
          <w:rFonts w:asciiTheme="minorHAnsi" w:hAnsiTheme="minorHAnsi"/>
          <w:color w:val="000000" w:themeColor="text2"/>
        </w:rPr>
        <w:t xml:space="preserve"> by 14%, reconviction by 16%, and new offen</w:t>
      </w:r>
      <w:r>
        <w:rPr>
          <w:rFonts w:asciiTheme="minorHAnsi" w:hAnsiTheme="minorHAnsi"/>
          <w:color w:val="000000" w:themeColor="text2"/>
        </w:rPr>
        <w:t>s</w:t>
      </w:r>
      <w:r w:rsidRPr="00024DFA">
        <w:rPr>
          <w:rFonts w:asciiTheme="minorHAnsi" w:hAnsiTheme="minorHAnsi"/>
          <w:color w:val="000000" w:themeColor="text2"/>
        </w:rPr>
        <w:t xml:space="preserve">e </w:t>
      </w:r>
      <w:proofErr w:type="spellStart"/>
      <w:r w:rsidRPr="00024DFA">
        <w:rPr>
          <w:rFonts w:asciiTheme="minorHAnsi" w:hAnsiTheme="minorHAnsi"/>
          <w:color w:val="000000" w:themeColor="text2"/>
        </w:rPr>
        <w:t>reincarceration</w:t>
      </w:r>
      <w:proofErr w:type="spellEnd"/>
      <w:r w:rsidRPr="00024DFA">
        <w:rPr>
          <w:rFonts w:asciiTheme="minorHAnsi" w:hAnsiTheme="minorHAnsi"/>
          <w:color w:val="000000" w:themeColor="text2"/>
        </w:rPr>
        <w:t xml:space="preserve"> by 24%. </w:t>
      </w:r>
    </w:p>
    <w:p w14:paraId="2471FCB0" w14:textId="77777777" w:rsidR="00857666" w:rsidRPr="00BA4342" w:rsidRDefault="00857666" w:rsidP="00857666">
      <w:r w:rsidRPr="00024DFA">
        <w:rPr>
          <w:rFonts w:asciiTheme="minorHAnsi" w:hAnsiTheme="minorHAnsi"/>
          <w:color w:val="000000" w:themeColor="text2"/>
        </w:rPr>
        <w:t xml:space="preserve">A </w:t>
      </w:r>
      <w:hyperlink r:id="rId23" w:history="1">
        <w:r w:rsidRPr="00024DFA">
          <w:rPr>
            <w:rStyle w:val="Hyperlink"/>
            <w:rFonts w:asciiTheme="minorHAnsi" w:hAnsiTheme="minorHAnsi"/>
          </w:rPr>
          <w:t>longitudinal study conducted with the Minnesota Department of Corrections</w:t>
        </w:r>
      </w:hyperlink>
      <w:r w:rsidRPr="00024DFA">
        <w:rPr>
          <w:rFonts w:asciiTheme="minorHAnsi" w:hAnsiTheme="minorHAnsi"/>
          <w:color w:val="000000" w:themeColor="text2"/>
        </w:rPr>
        <w:t xml:space="preserve"> “evaluated the effectiveness of prison-based educational programming by examining the effects of obtaining secondary and post-secondary degrees on recidivism and post-release employment outcomes among offenders.” The study found that “obtaining a secondary degree in prison significantly increased the odds of securing post-release employment by 59 percent.” And that “earning a post-secondary degree in prison… was associated with greater number of hours worked, higher overall wages, and less recidivism.” This study was completed with offenders released in 2007 and 2008, which gives enough time to determine meaningful outcomes post-release. For learners served in corrections systems during this program year, it is difficult to determine recidivism rates as many are still incarcerated and others have been released only recently.</w:t>
      </w:r>
    </w:p>
    <w:p w14:paraId="695AF493" w14:textId="1CB2BEF0" w:rsidR="00552B0F" w:rsidRPr="00F10E39" w:rsidRDefault="00552B0F" w:rsidP="00857666">
      <w:pPr>
        <w:pStyle w:val="Heading3"/>
        <w:rPr>
          <w:b w:val="0"/>
          <w:i/>
          <w:color w:val="auto"/>
          <w:sz w:val="22"/>
          <w:szCs w:val="22"/>
        </w:rPr>
      </w:pPr>
    </w:p>
    <w:sectPr w:rsidR="00552B0F" w:rsidRPr="00F10E39" w:rsidSect="003576DA">
      <w:headerReference w:type="default" r:id="rId24"/>
      <w:footerReference w:type="default" r:id="rId25"/>
      <w:footerReference w:type="first" r:id="rId26"/>
      <w:type w:val="continuous"/>
      <w:pgSz w:w="12240" w:h="15840" w:code="1"/>
      <w:pgMar w:top="1440" w:right="1080" w:bottom="81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FEDD0" w14:textId="77777777" w:rsidR="004C3645" w:rsidRDefault="004C3645" w:rsidP="00D91FF4">
      <w:r>
        <w:separator/>
      </w:r>
    </w:p>
  </w:endnote>
  <w:endnote w:type="continuationSeparator" w:id="0">
    <w:p w14:paraId="1E4AB1E6" w14:textId="77777777" w:rsidR="004C3645" w:rsidRDefault="004C364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43269"/>
      <w:docPartObj>
        <w:docPartGallery w:val="Page Numbers (Bottom of Page)"/>
        <w:docPartUnique/>
      </w:docPartObj>
    </w:sdtPr>
    <w:sdtEndPr>
      <w:rPr>
        <w:noProof/>
      </w:rPr>
    </w:sdtEndPr>
    <w:sdtContent>
      <w:p w14:paraId="05E617DE" w14:textId="766E8D59" w:rsidR="00630F52" w:rsidRDefault="00630F52">
        <w:pPr>
          <w:pStyle w:val="Footer"/>
          <w:jc w:val="center"/>
        </w:pPr>
        <w:r>
          <w:fldChar w:fldCharType="begin"/>
        </w:r>
        <w:r>
          <w:instrText xml:space="preserve"> PAGE   \* MERGEFORMAT </w:instrText>
        </w:r>
        <w:r>
          <w:fldChar w:fldCharType="separate"/>
        </w:r>
        <w:r w:rsidR="000674A8">
          <w:rPr>
            <w:noProof/>
          </w:rPr>
          <w:t>10</w:t>
        </w:r>
        <w:r>
          <w:rPr>
            <w:noProof/>
          </w:rPr>
          <w:fldChar w:fldCharType="end"/>
        </w:r>
      </w:p>
    </w:sdtContent>
  </w:sdt>
  <w:p w14:paraId="4E83B51F" w14:textId="77777777" w:rsidR="00630F52" w:rsidRDefault="00630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F39B" w14:textId="77777777" w:rsidR="004C3645" w:rsidRPr="00B437C8" w:rsidRDefault="004C3645"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8E84" w14:textId="77777777" w:rsidR="004C3645" w:rsidRDefault="004C3645" w:rsidP="00D91FF4">
      <w:r>
        <w:separator/>
      </w:r>
    </w:p>
  </w:footnote>
  <w:footnote w:type="continuationSeparator" w:id="0">
    <w:p w14:paraId="72E2DF37" w14:textId="77777777" w:rsidR="004C3645" w:rsidRDefault="004C3645"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21B0" w14:textId="77777777" w:rsidR="00630F52" w:rsidRDefault="00630F52">
    <w:pPr>
      <w:pStyle w:val="Header"/>
    </w:pPr>
  </w:p>
  <w:p w14:paraId="73902BC2" w14:textId="77777777" w:rsidR="00630F52" w:rsidRDefault="00630F52">
    <w:pPr>
      <w:pStyle w:val="Header"/>
    </w:pPr>
  </w:p>
  <w:p w14:paraId="48A9D36C" w14:textId="0368B6C3" w:rsidR="00630F52" w:rsidRDefault="00630F52">
    <w:pPr>
      <w:pStyle w:val="Header"/>
    </w:pPr>
    <w:r w:rsidRPr="00630F52">
      <w:t>Minnesota Adult Education Annual AEFLA Perf</w:t>
    </w:r>
    <w:r>
      <w:t>ormance Report, Program Year 2017-2018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1.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B12AEA"/>
    <w:multiLevelType w:val="hybridMultilevel"/>
    <w:tmpl w:val="26FCF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4D57"/>
    <w:multiLevelType w:val="hybridMultilevel"/>
    <w:tmpl w:val="943EBA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AC3F54"/>
    <w:multiLevelType w:val="hybridMultilevel"/>
    <w:tmpl w:val="551EE64A"/>
    <w:lvl w:ilvl="0" w:tplc="40DECF3C">
      <w:start w:val="1"/>
      <w:numFmt w:val="bullet"/>
      <w:lvlText w:val=""/>
      <w:lvlJc w:val="left"/>
      <w:pPr>
        <w:ind w:left="840" w:hanging="360"/>
      </w:pPr>
      <w:rPr>
        <w:rFonts w:ascii="Symbol" w:eastAsia="Symbol" w:hAnsi="Symbol" w:hint="default"/>
        <w:sz w:val="24"/>
        <w:szCs w:val="24"/>
      </w:rPr>
    </w:lvl>
    <w:lvl w:ilvl="1" w:tplc="B92ED262">
      <w:start w:val="1"/>
      <w:numFmt w:val="bullet"/>
      <w:lvlText w:val="•"/>
      <w:lvlJc w:val="left"/>
      <w:pPr>
        <w:ind w:left="1714" w:hanging="360"/>
      </w:pPr>
      <w:rPr>
        <w:rFonts w:hint="default"/>
      </w:rPr>
    </w:lvl>
    <w:lvl w:ilvl="2" w:tplc="ABD0F496">
      <w:start w:val="1"/>
      <w:numFmt w:val="bullet"/>
      <w:lvlText w:val="•"/>
      <w:lvlJc w:val="left"/>
      <w:pPr>
        <w:ind w:left="2588" w:hanging="360"/>
      </w:pPr>
      <w:rPr>
        <w:rFonts w:hint="default"/>
      </w:rPr>
    </w:lvl>
    <w:lvl w:ilvl="3" w:tplc="D86C4346">
      <w:start w:val="1"/>
      <w:numFmt w:val="bullet"/>
      <w:lvlText w:val="•"/>
      <w:lvlJc w:val="left"/>
      <w:pPr>
        <w:ind w:left="3462" w:hanging="360"/>
      </w:pPr>
      <w:rPr>
        <w:rFonts w:hint="default"/>
      </w:rPr>
    </w:lvl>
    <w:lvl w:ilvl="4" w:tplc="30EADA9C">
      <w:start w:val="1"/>
      <w:numFmt w:val="bullet"/>
      <w:lvlText w:val="•"/>
      <w:lvlJc w:val="left"/>
      <w:pPr>
        <w:ind w:left="4336" w:hanging="360"/>
      </w:pPr>
      <w:rPr>
        <w:rFonts w:hint="default"/>
      </w:rPr>
    </w:lvl>
    <w:lvl w:ilvl="5" w:tplc="156E8060">
      <w:start w:val="1"/>
      <w:numFmt w:val="bullet"/>
      <w:lvlText w:val="•"/>
      <w:lvlJc w:val="left"/>
      <w:pPr>
        <w:ind w:left="5210" w:hanging="360"/>
      </w:pPr>
      <w:rPr>
        <w:rFonts w:hint="default"/>
      </w:rPr>
    </w:lvl>
    <w:lvl w:ilvl="6" w:tplc="5C50CB4A">
      <w:start w:val="1"/>
      <w:numFmt w:val="bullet"/>
      <w:lvlText w:val="•"/>
      <w:lvlJc w:val="left"/>
      <w:pPr>
        <w:ind w:left="6084" w:hanging="360"/>
      </w:pPr>
      <w:rPr>
        <w:rFonts w:hint="default"/>
      </w:rPr>
    </w:lvl>
    <w:lvl w:ilvl="7" w:tplc="638ED260">
      <w:start w:val="1"/>
      <w:numFmt w:val="bullet"/>
      <w:lvlText w:val="•"/>
      <w:lvlJc w:val="left"/>
      <w:pPr>
        <w:ind w:left="6958" w:hanging="360"/>
      </w:pPr>
      <w:rPr>
        <w:rFonts w:hint="default"/>
      </w:rPr>
    </w:lvl>
    <w:lvl w:ilvl="8" w:tplc="521EB6C2">
      <w:start w:val="1"/>
      <w:numFmt w:val="bullet"/>
      <w:lvlText w:val="•"/>
      <w:lvlJc w:val="left"/>
      <w:pPr>
        <w:ind w:left="7832" w:hanging="360"/>
      </w:pPr>
      <w:rPr>
        <w:rFonts w:hint="default"/>
      </w:r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38B6DBA"/>
    <w:multiLevelType w:val="hybridMultilevel"/>
    <w:tmpl w:val="F7B46E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C08A7"/>
    <w:multiLevelType w:val="hybridMultilevel"/>
    <w:tmpl w:val="1E9E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06AE4"/>
    <w:multiLevelType w:val="hybridMultilevel"/>
    <w:tmpl w:val="7982DF42"/>
    <w:lvl w:ilvl="0" w:tplc="04090001">
      <w:start w:val="1"/>
      <w:numFmt w:val="bullet"/>
      <w:lvlText w:val=""/>
      <w:lvlJc w:val="left"/>
      <w:pPr>
        <w:ind w:left="360" w:hanging="360"/>
      </w:pPr>
      <w:rPr>
        <w:rFonts w:ascii="Symbol" w:hAnsi="Symbol" w:hint="default"/>
        <w:b/>
        <w:bCs/>
        <w:sz w:val="24"/>
        <w:szCs w:val="24"/>
      </w:rPr>
    </w:lvl>
    <w:lvl w:ilvl="1" w:tplc="04090001">
      <w:start w:val="1"/>
      <w:numFmt w:val="bullet"/>
      <w:lvlText w:val=""/>
      <w:lvlJc w:val="left"/>
      <w:pPr>
        <w:ind w:left="820" w:hanging="360"/>
      </w:pPr>
      <w:rPr>
        <w:rFonts w:ascii="Symbol" w:hAnsi="Symbol" w:hint="default"/>
        <w:spacing w:val="-1"/>
        <w:sz w:val="24"/>
        <w:szCs w:val="24"/>
      </w:rPr>
    </w:lvl>
    <w:lvl w:ilvl="2" w:tplc="E87672A8">
      <w:start w:val="1"/>
      <w:numFmt w:val="bullet"/>
      <w:lvlText w:val=""/>
      <w:lvlJc w:val="left"/>
      <w:pPr>
        <w:ind w:left="1180" w:hanging="360"/>
      </w:pPr>
      <w:rPr>
        <w:rFonts w:ascii="Symbol" w:eastAsia="Symbol" w:hAnsi="Symbol" w:hint="default"/>
        <w:sz w:val="24"/>
        <w:szCs w:val="24"/>
      </w:rPr>
    </w:lvl>
    <w:lvl w:ilvl="3" w:tplc="39B2DE30">
      <w:start w:val="1"/>
      <w:numFmt w:val="bullet"/>
      <w:lvlText w:val="•"/>
      <w:lvlJc w:val="left"/>
      <w:pPr>
        <w:ind w:left="2227" w:hanging="360"/>
      </w:pPr>
      <w:rPr>
        <w:rFonts w:hint="default"/>
      </w:rPr>
    </w:lvl>
    <w:lvl w:ilvl="4" w:tplc="61C07036">
      <w:start w:val="1"/>
      <w:numFmt w:val="bullet"/>
      <w:lvlText w:val="•"/>
      <w:lvlJc w:val="left"/>
      <w:pPr>
        <w:ind w:left="3275" w:hanging="360"/>
      </w:pPr>
      <w:rPr>
        <w:rFonts w:hint="default"/>
      </w:rPr>
    </w:lvl>
    <w:lvl w:ilvl="5" w:tplc="53322AD4">
      <w:start w:val="1"/>
      <w:numFmt w:val="bullet"/>
      <w:lvlText w:val="•"/>
      <w:lvlJc w:val="left"/>
      <w:pPr>
        <w:ind w:left="4322" w:hanging="360"/>
      </w:pPr>
      <w:rPr>
        <w:rFonts w:hint="default"/>
      </w:rPr>
    </w:lvl>
    <w:lvl w:ilvl="6" w:tplc="903820B0">
      <w:start w:val="1"/>
      <w:numFmt w:val="bullet"/>
      <w:lvlText w:val="•"/>
      <w:lvlJc w:val="left"/>
      <w:pPr>
        <w:ind w:left="5370" w:hanging="360"/>
      </w:pPr>
      <w:rPr>
        <w:rFonts w:hint="default"/>
      </w:rPr>
    </w:lvl>
    <w:lvl w:ilvl="7" w:tplc="8AD6D2EC">
      <w:start w:val="1"/>
      <w:numFmt w:val="bullet"/>
      <w:lvlText w:val="•"/>
      <w:lvlJc w:val="left"/>
      <w:pPr>
        <w:ind w:left="6417" w:hanging="360"/>
      </w:pPr>
      <w:rPr>
        <w:rFonts w:hint="default"/>
      </w:rPr>
    </w:lvl>
    <w:lvl w:ilvl="8" w:tplc="37A8A76A">
      <w:start w:val="1"/>
      <w:numFmt w:val="bullet"/>
      <w:lvlText w:val="•"/>
      <w:lvlJc w:val="left"/>
      <w:pPr>
        <w:ind w:left="7465" w:hanging="360"/>
      </w:pPr>
      <w:rPr>
        <w:rFont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D1E57"/>
    <w:multiLevelType w:val="hybridMultilevel"/>
    <w:tmpl w:val="5ECE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971E62"/>
    <w:multiLevelType w:val="multilevel"/>
    <w:tmpl w:val="975E5B3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57A64"/>
    <w:multiLevelType w:val="hybridMultilevel"/>
    <w:tmpl w:val="B604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F229D"/>
    <w:multiLevelType w:val="hybridMultilevel"/>
    <w:tmpl w:val="23886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AD352C"/>
    <w:multiLevelType w:val="hybridMultilevel"/>
    <w:tmpl w:val="EC7CE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1"/>
  </w:num>
  <w:num w:numId="4">
    <w:abstractNumId w:val="26"/>
  </w:num>
  <w:num w:numId="5">
    <w:abstractNumId w:val="20"/>
  </w:num>
  <w:num w:numId="6">
    <w:abstractNumId w:val="5"/>
  </w:num>
  <w:num w:numId="7">
    <w:abstractNumId w:val="14"/>
  </w:num>
  <w:num w:numId="8">
    <w:abstractNumId w:val="9"/>
  </w:num>
  <w:num w:numId="9">
    <w:abstractNumId w:val="12"/>
  </w:num>
  <w:num w:numId="10">
    <w:abstractNumId w:val="2"/>
  </w:num>
  <w:num w:numId="11">
    <w:abstractNumId w:val="2"/>
  </w:num>
  <w:num w:numId="12">
    <w:abstractNumId w:val="32"/>
  </w:num>
  <w:num w:numId="13">
    <w:abstractNumId w:val="34"/>
  </w:num>
  <w:num w:numId="14">
    <w:abstractNumId w:val="18"/>
  </w:num>
  <w:num w:numId="15">
    <w:abstractNumId w:val="2"/>
  </w:num>
  <w:num w:numId="16">
    <w:abstractNumId w:val="34"/>
  </w:num>
  <w:num w:numId="17">
    <w:abstractNumId w:val="18"/>
  </w:num>
  <w:num w:numId="18">
    <w:abstractNumId w:val="11"/>
  </w:num>
  <w:num w:numId="19">
    <w:abstractNumId w:val="6"/>
  </w:num>
  <w:num w:numId="20">
    <w:abstractNumId w:val="1"/>
  </w:num>
  <w:num w:numId="21">
    <w:abstractNumId w:val="0"/>
  </w:num>
  <w:num w:numId="22">
    <w:abstractNumId w:val="10"/>
  </w:num>
  <w:num w:numId="23">
    <w:abstractNumId w:val="23"/>
  </w:num>
  <w:num w:numId="24">
    <w:abstractNumId w:val="27"/>
  </w:num>
  <w:num w:numId="25">
    <w:abstractNumId w:val="27"/>
  </w:num>
  <w:num w:numId="26">
    <w:abstractNumId w:val="28"/>
  </w:num>
  <w:num w:numId="27">
    <w:abstractNumId w:val="13"/>
  </w:num>
  <w:num w:numId="28">
    <w:abstractNumId w:val="8"/>
  </w:num>
  <w:num w:numId="29">
    <w:abstractNumId w:val="16"/>
  </w:num>
  <w:num w:numId="30">
    <w:abstractNumId w:val="29"/>
  </w:num>
  <w:num w:numId="31">
    <w:abstractNumId w:val="22"/>
  </w:num>
  <w:num w:numId="32">
    <w:abstractNumId w:val="24"/>
  </w:num>
  <w:num w:numId="33">
    <w:abstractNumId w:val="19"/>
  </w:num>
  <w:num w:numId="34">
    <w:abstractNumId w:val="33"/>
  </w:num>
  <w:num w:numId="35">
    <w:abstractNumId w:val="17"/>
  </w:num>
  <w:num w:numId="36">
    <w:abstractNumId w:val="4"/>
  </w:num>
  <w:num w:numId="37">
    <w:abstractNumId w:val="15"/>
  </w:num>
  <w:num w:numId="38">
    <w:abstractNumId w:val="30"/>
  </w:num>
  <w:num w:numId="39">
    <w:abstractNumId w:val="25"/>
  </w:num>
  <w:num w:numId="40">
    <w:abstractNumId w:val="2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42"/>
    <w:rsid w:val="000003C4"/>
    <w:rsid w:val="00002DEC"/>
    <w:rsid w:val="000065AC"/>
    <w:rsid w:val="00006A0A"/>
    <w:rsid w:val="000136DE"/>
    <w:rsid w:val="00021F9D"/>
    <w:rsid w:val="00024DFA"/>
    <w:rsid w:val="00040C79"/>
    <w:rsid w:val="00064B90"/>
    <w:rsid w:val="000674A8"/>
    <w:rsid w:val="000722DA"/>
    <w:rsid w:val="0007374A"/>
    <w:rsid w:val="00077A06"/>
    <w:rsid w:val="00080404"/>
    <w:rsid w:val="00082A78"/>
    <w:rsid w:val="00084742"/>
    <w:rsid w:val="000857CA"/>
    <w:rsid w:val="000B0A75"/>
    <w:rsid w:val="000B2E68"/>
    <w:rsid w:val="000C3708"/>
    <w:rsid w:val="000C3761"/>
    <w:rsid w:val="000C7373"/>
    <w:rsid w:val="000E313B"/>
    <w:rsid w:val="000E3E9D"/>
    <w:rsid w:val="000F4BB1"/>
    <w:rsid w:val="0010426A"/>
    <w:rsid w:val="00135082"/>
    <w:rsid w:val="00135DC7"/>
    <w:rsid w:val="0014665B"/>
    <w:rsid w:val="00147ED1"/>
    <w:rsid w:val="001500D6"/>
    <w:rsid w:val="00157C41"/>
    <w:rsid w:val="0016050A"/>
    <w:rsid w:val="0016451B"/>
    <w:rsid w:val="001661D9"/>
    <w:rsid w:val="001708EC"/>
    <w:rsid w:val="001823B2"/>
    <w:rsid w:val="001925A8"/>
    <w:rsid w:val="00195373"/>
    <w:rsid w:val="0019673D"/>
    <w:rsid w:val="00197518"/>
    <w:rsid w:val="00197F44"/>
    <w:rsid w:val="001A46BB"/>
    <w:rsid w:val="001B6FD0"/>
    <w:rsid w:val="001B7D48"/>
    <w:rsid w:val="001C3208"/>
    <w:rsid w:val="001C55E0"/>
    <w:rsid w:val="001E5573"/>
    <w:rsid w:val="001E5ECF"/>
    <w:rsid w:val="00211CA3"/>
    <w:rsid w:val="00212F08"/>
    <w:rsid w:val="00222A49"/>
    <w:rsid w:val="0022552E"/>
    <w:rsid w:val="00227E68"/>
    <w:rsid w:val="00232F7C"/>
    <w:rsid w:val="0023444B"/>
    <w:rsid w:val="00236CB0"/>
    <w:rsid w:val="00257AF5"/>
    <w:rsid w:val="00261247"/>
    <w:rsid w:val="00264652"/>
    <w:rsid w:val="00264F45"/>
    <w:rsid w:val="0026674F"/>
    <w:rsid w:val="00270DF1"/>
    <w:rsid w:val="00280071"/>
    <w:rsid w:val="002807DF"/>
    <w:rsid w:val="00282084"/>
    <w:rsid w:val="00291052"/>
    <w:rsid w:val="002A12EA"/>
    <w:rsid w:val="002B57CC"/>
    <w:rsid w:val="002B5E79"/>
    <w:rsid w:val="002C0859"/>
    <w:rsid w:val="002C4D0D"/>
    <w:rsid w:val="002D34BF"/>
    <w:rsid w:val="002E7098"/>
    <w:rsid w:val="002F1947"/>
    <w:rsid w:val="00306D94"/>
    <w:rsid w:val="003125DF"/>
    <w:rsid w:val="00330A0B"/>
    <w:rsid w:val="00335736"/>
    <w:rsid w:val="003473F2"/>
    <w:rsid w:val="003563D2"/>
    <w:rsid w:val="003576DA"/>
    <w:rsid w:val="00376FA5"/>
    <w:rsid w:val="00377673"/>
    <w:rsid w:val="003A1479"/>
    <w:rsid w:val="003A1813"/>
    <w:rsid w:val="003B7D82"/>
    <w:rsid w:val="003C03D3"/>
    <w:rsid w:val="003C4644"/>
    <w:rsid w:val="003C5BE3"/>
    <w:rsid w:val="003F5F5F"/>
    <w:rsid w:val="00410A0E"/>
    <w:rsid w:val="00413A7C"/>
    <w:rsid w:val="004141DD"/>
    <w:rsid w:val="00443DC4"/>
    <w:rsid w:val="00461804"/>
    <w:rsid w:val="004643F7"/>
    <w:rsid w:val="00466810"/>
    <w:rsid w:val="0047706A"/>
    <w:rsid w:val="004816B5"/>
    <w:rsid w:val="00483DD2"/>
    <w:rsid w:val="00494E6F"/>
    <w:rsid w:val="004A1B4D"/>
    <w:rsid w:val="004A58DD"/>
    <w:rsid w:val="004A6119"/>
    <w:rsid w:val="004A7047"/>
    <w:rsid w:val="004B47DC"/>
    <w:rsid w:val="004C341B"/>
    <w:rsid w:val="004C3645"/>
    <w:rsid w:val="004C3961"/>
    <w:rsid w:val="004C6CCA"/>
    <w:rsid w:val="004E3DF6"/>
    <w:rsid w:val="004E75B3"/>
    <w:rsid w:val="004F04BA"/>
    <w:rsid w:val="004F0EFF"/>
    <w:rsid w:val="004F70DF"/>
    <w:rsid w:val="0050093F"/>
    <w:rsid w:val="00514788"/>
    <w:rsid w:val="005426C4"/>
    <w:rsid w:val="0054371B"/>
    <w:rsid w:val="00545104"/>
    <w:rsid w:val="00552B0F"/>
    <w:rsid w:val="0056615E"/>
    <w:rsid w:val="005666F2"/>
    <w:rsid w:val="0057515F"/>
    <w:rsid w:val="005764FB"/>
    <w:rsid w:val="0058227B"/>
    <w:rsid w:val="005A58A3"/>
    <w:rsid w:val="005B2DDF"/>
    <w:rsid w:val="005B4AE7"/>
    <w:rsid w:val="005B53B0"/>
    <w:rsid w:val="005B57C7"/>
    <w:rsid w:val="005C16D8"/>
    <w:rsid w:val="005D4207"/>
    <w:rsid w:val="005D4525"/>
    <w:rsid w:val="005D45B3"/>
    <w:rsid w:val="005E3FC1"/>
    <w:rsid w:val="005F6005"/>
    <w:rsid w:val="005F65C6"/>
    <w:rsid w:val="00601B3F"/>
    <w:rsid w:val="006064AB"/>
    <w:rsid w:val="00621BD2"/>
    <w:rsid w:val="00622BB5"/>
    <w:rsid w:val="00630F52"/>
    <w:rsid w:val="00651DB5"/>
    <w:rsid w:val="00652D74"/>
    <w:rsid w:val="00655345"/>
    <w:rsid w:val="0065683E"/>
    <w:rsid w:val="006722E3"/>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6739"/>
    <w:rsid w:val="0074778B"/>
    <w:rsid w:val="00760DE2"/>
    <w:rsid w:val="00763461"/>
    <w:rsid w:val="0077225E"/>
    <w:rsid w:val="007857F7"/>
    <w:rsid w:val="00793F48"/>
    <w:rsid w:val="007B35B2"/>
    <w:rsid w:val="007D1FFF"/>
    <w:rsid w:val="007D42A0"/>
    <w:rsid w:val="007E3AE7"/>
    <w:rsid w:val="007E685C"/>
    <w:rsid w:val="007F6108"/>
    <w:rsid w:val="007F7097"/>
    <w:rsid w:val="008065BE"/>
    <w:rsid w:val="00806678"/>
    <w:rsid w:val="008067A6"/>
    <w:rsid w:val="008140CC"/>
    <w:rsid w:val="008177BC"/>
    <w:rsid w:val="008251B3"/>
    <w:rsid w:val="00844F1D"/>
    <w:rsid w:val="00846F64"/>
    <w:rsid w:val="0084731A"/>
    <w:rsid w:val="0084749F"/>
    <w:rsid w:val="00857666"/>
    <w:rsid w:val="00861113"/>
    <w:rsid w:val="00864202"/>
    <w:rsid w:val="00871D4D"/>
    <w:rsid w:val="008A76FD"/>
    <w:rsid w:val="008B5443"/>
    <w:rsid w:val="008B7A1E"/>
    <w:rsid w:val="008C7EEB"/>
    <w:rsid w:val="008D0DEF"/>
    <w:rsid w:val="008D2256"/>
    <w:rsid w:val="008D5E3D"/>
    <w:rsid w:val="008E09D4"/>
    <w:rsid w:val="008E3EE8"/>
    <w:rsid w:val="008F7133"/>
    <w:rsid w:val="00905AD1"/>
    <w:rsid w:val="00905BC6"/>
    <w:rsid w:val="0090737A"/>
    <w:rsid w:val="00914E3B"/>
    <w:rsid w:val="009230FB"/>
    <w:rsid w:val="0094786F"/>
    <w:rsid w:val="0096108C"/>
    <w:rsid w:val="00963BA0"/>
    <w:rsid w:val="00967764"/>
    <w:rsid w:val="009810EE"/>
    <w:rsid w:val="009837DB"/>
    <w:rsid w:val="00984CC9"/>
    <w:rsid w:val="00990E51"/>
    <w:rsid w:val="00991ED5"/>
    <w:rsid w:val="0099233F"/>
    <w:rsid w:val="009957EB"/>
    <w:rsid w:val="009B54A0"/>
    <w:rsid w:val="009C6405"/>
    <w:rsid w:val="009F2B27"/>
    <w:rsid w:val="009F3746"/>
    <w:rsid w:val="009F4885"/>
    <w:rsid w:val="009F6B2C"/>
    <w:rsid w:val="009F6D79"/>
    <w:rsid w:val="00A1774E"/>
    <w:rsid w:val="00A30799"/>
    <w:rsid w:val="00A422B0"/>
    <w:rsid w:val="00A476C1"/>
    <w:rsid w:val="00A57FE8"/>
    <w:rsid w:val="00A64ECE"/>
    <w:rsid w:val="00A66185"/>
    <w:rsid w:val="00A71CAD"/>
    <w:rsid w:val="00A731A2"/>
    <w:rsid w:val="00A827B0"/>
    <w:rsid w:val="00A827C1"/>
    <w:rsid w:val="00A8345B"/>
    <w:rsid w:val="00A835DA"/>
    <w:rsid w:val="00A92AFF"/>
    <w:rsid w:val="00A93F40"/>
    <w:rsid w:val="00A96F93"/>
    <w:rsid w:val="00AB1F46"/>
    <w:rsid w:val="00AB65FF"/>
    <w:rsid w:val="00AB69CB"/>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86054"/>
    <w:rsid w:val="00BA4342"/>
    <w:rsid w:val="00BC588A"/>
    <w:rsid w:val="00BD0E59"/>
    <w:rsid w:val="00BD4528"/>
    <w:rsid w:val="00BE0288"/>
    <w:rsid w:val="00BE3444"/>
    <w:rsid w:val="00C0453C"/>
    <w:rsid w:val="00C05A8E"/>
    <w:rsid w:val="00C12441"/>
    <w:rsid w:val="00C12D2F"/>
    <w:rsid w:val="00C277A8"/>
    <w:rsid w:val="00C309AE"/>
    <w:rsid w:val="00C365CE"/>
    <w:rsid w:val="00C417EB"/>
    <w:rsid w:val="00C528AE"/>
    <w:rsid w:val="00C67C9B"/>
    <w:rsid w:val="00C90830"/>
    <w:rsid w:val="00CA5D23"/>
    <w:rsid w:val="00CD7017"/>
    <w:rsid w:val="00CE0FEE"/>
    <w:rsid w:val="00CE45B0"/>
    <w:rsid w:val="00CE7F81"/>
    <w:rsid w:val="00CF1393"/>
    <w:rsid w:val="00CF4F3A"/>
    <w:rsid w:val="00D0014D"/>
    <w:rsid w:val="00D059F7"/>
    <w:rsid w:val="00D22819"/>
    <w:rsid w:val="00D24B3D"/>
    <w:rsid w:val="00D33929"/>
    <w:rsid w:val="00D36043"/>
    <w:rsid w:val="00D511F0"/>
    <w:rsid w:val="00D54EE5"/>
    <w:rsid w:val="00D63F82"/>
    <w:rsid w:val="00D640FC"/>
    <w:rsid w:val="00D70F7D"/>
    <w:rsid w:val="00D761F7"/>
    <w:rsid w:val="00D80F2D"/>
    <w:rsid w:val="00D851A3"/>
    <w:rsid w:val="00D91FF4"/>
    <w:rsid w:val="00D92929"/>
    <w:rsid w:val="00D93C2E"/>
    <w:rsid w:val="00D970A5"/>
    <w:rsid w:val="00DB4967"/>
    <w:rsid w:val="00DC1A1C"/>
    <w:rsid w:val="00DC22CF"/>
    <w:rsid w:val="00DE4DAA"/>
    <w:rsid w:val="00DE50CB"/>
    <w:rsid w:val="00DE6A8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4A29"/>
    <w:rsid w:val="00E76267"/>
    <w:rsid w:val="00E77118"/>
    <w:rsid w:val="00EA535B"/>
    <w:rsid w:val="00EC41EB"/>
    <w:rsid w:val="00EC579D"/>
    <w:rsid w:val="00ED5BDC"/>
    <w:rsid w:val="00ED7DAC"/>
    <w:rsid w:val="00EE361C"/>
    <w:rsid w:val="00F067A6"/>
    <w:rsid w:val="00F10E39"/>
    <w:rsid w:val="00F20B25"/>
    <w:rsid w:val="00F212F3"/>
    <w:rsid w:val="00F22BFB"/>
    <w:rsid w:val="00F278C3"/>
    <w:rsid w:val="00F3338D"/>
    <w:rsid w:val="00F446C8"/>
    <w:rsid w:val="00F55939"/>
    <w:rsid w:val="00F70B0B"/>
    <w:rsid w:val="00F70C03"/>
    <w:rsid w:val="00F73451"/>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56F39"/>
  <w15:chartTrackingRefBased/>
  <w15:docId w15:val="{EC18E849-C3E0-4EFA-A2FC-D80505AF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A4342"/>
    <w:pPr>
      <w:spacing w:after="200" w:line="276" w:lineRule="auto"/>
    </w:pPr>
    <w:rPr>
      <w:rFonts w:ascii="Arial" w:eastAsiaTheme="minorHAnsi" w:hAnsi="Arial" w:cstheme="minorBid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after="120" w:line="240" w:lineRule="auto"/>
    </w:pPr>
  </w:style>
  <w:style w:type="paragraph" w:customStyle="1" w:styleId="BulletListLevel2">
    <w:name w:val="Bullet List Level 2"/>
    <w:basedOn w:val="ListParagraph"/>
    <w:link w:val="BulletListLevel2Char"/>
    <w:qFormat/>
    <w:rsid w:val="003F5F5F"/>
    <w:pPr>
      <w:numPr>
        <w:ilvl w:val="1"/>
        <w:numId w:val="28"/>
      </w:numPr>
      <w:spacing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CommentText">
    <w:name w:val="annotation text"/>
    <w:basedOn w:val="Normal"/>
    <w:link w:val="CommentTextChar"/>
    <w:uiPriority w:val="99"/>
    <w:semiHidden/>
    <w:unhideWhenUsed/>
    <w:rsid w:val="00BA4342"/>
    <w:pPr>
      <w:spacing w:line="240" w:lineRule="auto"/>
    </w:pPr>
    <w:rPr>
      <w:sz w:val="20"/>
      <w:szCs w:val="20"/>
    </w:rPr>
  </w:style>
  <w:style w:type="character" w:customStyle="1" w:styleId="CommentTextChar">
    <w:name w:val="Comment Text Char"/>
    <w:basedOn w:val="DefaultParagraphFont"/>
    <w:link w:val="CommentText"/>
    <w:uiPriority w:val="99"/>
    <w:semiHidden/>
    <w:rsid w:val="00BA4342"/>
    <w:rPr>
      <w:rFonts w:ascii="Arial" w:eastAsiaTheme="minorHAnsi" w:hAnsi="Arial" w:cstheme="minorBidi"/>
      <w:sz w:val="20"/>
      <w:szCs w:val="20"/>
      <w:lang w:bidi="ar-SA"/>
    </w:rPr>
  </w:style>
  <w:style w:type="character" w:styleId="CommentReference">
    <w:name w:val="annotation reference"/>
    <w:basedOn w:val="DefaultParagraphFont"/>
    <w:uiPriority w:val="99"/>
    <w:semiHidden/>
    <w:unhideWhenUsed/>
    <w:rsid w:val="00BA4342"/>
    <w:rPr>
      <w:sz w:val="16"/>
      <w:szCs w:val="16"/>
    </w:rPr>
  </w:style>
  <w:style w:type="paragraph" w:styleId="BalloonText">
    <w:name w:val="Balloon Text"/>
    <w:basedOn w:val="Normal"/>
    <w:link w:val="BalloonTextChar"/>
    <w:semiHidden/>
    <w:unhideWhenUsed/>
    <w:rsid w:val="00BA43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A4342"/>
    <w:rPr>
      <w:rFonts w:ascii="Segoe UI" w:eastAsiaTheme="minorHAnsi" w:hAnsi="Segoe UI" w:cs="Segoe UI"/>
      <w:sz w:val="18"/>
      <w:szCs w:val="18"/>
      <w:lang w:bidi="ar-SA"/>
    </w:rPr>
  </w:style>
  <w:style w:type="paragraph" w:styleId="BodyText">
    <w:name w:val="Body Text"/>
    <w:basedOn w:val="Normal"/>
    <w:link w:val="BodyTextChar"/>
    <w:uiPriority w:val="1"/>
    <w:qFormat/>
    <w:rsid w:val="00BA4342"/>
    <w:pPr>
      <w:widowControl w:val="0"/>
      <w:spacing w:before="0"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A4342"/>
    <w:rPr>
      <w:rFonts w:ascii="Times New Roman" w:hAnsi="Times New Roman" w:cstheme="minorBidi"/>
      <w:sz w:val="24"/>
      <w:szCs w:val="24"/>
      <w:lang w:bidi="ar-SA"/>
    </w:rPr>
  </w:style>
  <w:style w:type="paragraph" w:styleId="Header">
    <w:name w:val="header"/>
    <w:basedOn w:val="Normal"/>
    <w:link w:val="HeaderChar"/>
    <w:uiPriority w:val="99"/>
    <w:unhideWhenUsed/>
    <w:rsid w:val="00552B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2B0F"/>
    <w:rPr>
      <w:rFonts w:ascii="Arial" w:eastAsiaTheme="minorHAnsi" w:hAnsi="Arial" w:cstheme="minorBidi"/>
      <w:lang w:bidi="ar-SA"/>
    </w:rPr>
  </w:style>
  <w:style w:type="character" w:styleId="FollowedHyperlink">
    <w:name w:val="FollowedHyperlink"/>
    <w:basedOn w:val="DefaultParagraphFont"/>
    <w:semiHidden/>
    <w:unhideWhenUsed/>
    <w:rsid w:val="00C0453C"/>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6611258">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org" TargetMode="External"/><Relationship Id="rId18" Type="http://schemas.openxmlformats.org/officeDocument/2006/relationships/hyperlink" Target="http://www.mnliteracy.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tlasabe.org/professional/transitions" TargetMode="External"/><Relationship Id="rId7" Type="http://schemas.openxmlformats.org/officeDocument/2006/relationships/settings" Target="settings.xml"/><Relationship Id="rId12" Type="http://schemas.openxmlformats.org/officeDocument/2006/relationships/hyperlink" Target="http://mnabe.org/abe-funding-grants/navigating-advising-grant" TargetMode="External"/><Relationship Id="rId17" Type="http://schemas.openxmlformats.org/officeDocument/2006/relationships/hyperlink" Target="http://www.mnabe-distancelearning.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nline.themlc.org/" TargetMode="External"/><Relationship Id="rId20" Type="http://schemas.openxmlformats.org/officeDocument/2006/relationships/hyperlink" Target="http://mn.abedisabilit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gwdb/priorities/career-pathway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nliteracy.org/techservices" TargetMode="External"/><Relationship Id="rId23" Type="http://schemas.openxmlformats.org/officeDocument/2006/relationships/hyperlink" Target="https://mn.gov/doc/assets/Prison_Education_Evaluation_Research_in_Brief_Final_tcm1089-270907.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n.abedisabiliti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tlasabe.org/resources-atlas-and-general-abe" TargetMode="External"/><Relationship Id="rId22" Type="http://schemas.openxmlformats.org/officeDocument/2006/relationships/hyperlink" Target="http://www.digitalliteracyassessment.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C1E9BE9E-DCDB-4F54-AE88-88630006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4266</Words>
  <Characters>26771</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Versaw, Jodi (MDE)</dc:creator>
  <cp:keywords/>
  <dc:description/>
  <cp:lastModifiedBy>Versaw, Jodi</cp:lastModifiedBy>
  <cp:revision>15</cp:revision>
  <cp:lastPrinted>2017-12-29T16:21:00Z</cp:lastPrinted>
  <dcterms:created xsi:type="dcterms:W3CDTF">2018-12-18T22:25:00Z</dcterms:created>
  <dcterms:modified xsi:type="dcterms:W3CDTF">2018-12-20T15:27:00Z</dcterms:modified>
</cp:coreProperties>
</file>