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311" w:rsidRDefault="00493CED" w:rsidP="00872E91">
      <w:pPr>
        <w:autoSpaceDE w:val="0"/>
        <w:autoSpaceDN w:val="0"/>
        <w:adjustRightInd w:val="0"/>
        <w:jc w:val="center"/>
        <w:rPr>
          <w:rFonts w:ascii="Tahoma" w:eastAsiaTheme="minorHAnsi" w:hAnsi="Tahoma" w:cs="Tahoma"/>
          <w:b/>
          <w:color w:val="FF0000"/>
          <w:sz w:val="52"/>
        </w:rPr>
      </w:pPr>
      <w:r w:rsidRPr="001F5F4A">
        <w:rPr>
          <w:rFonts w:ascii="Tahoma" w:hAnsi="Tahoma" w:cs="Tahoma"/>
          <w:b/>
          <w:bCs/>
          <w:noProof/>
          <w:color w:val="FF0000"/>
          <w:sz w:val="28"/>
          <w:szCs w:val="16"/>
        </w:rPr>
        <w:drawing>
          <wp:anchor distT="0" distB="0" distL="114300" distR="114300" simplePos="0" relativeHeight="251659264" behindDoc="0" locked="0" layoutInCell="1" allowOverlap="1" wp14:anchorId="2B3AE841" wp14:editId="26F41CFF">
            <wp:simplePos x="0" y="0"/>
            <wp:positionH relativeFrom="column">
              <wp:posOffset>0</wp:posOffset>
            </wp:positionH>
            <wp:positionV relativeFrom="paragraph">
              <wp:posOffset>8255</wp:posOffset>
            </wp:positionV>
            <wp:extent cx="1666875" cy="581025"/>
            <wp:effectExtent l="0" t="0" r="9525" b="9525"/>
            <wp:wrapNone/>
            <wp:docPr id="2" name="Picture 1" descr="CreatingSuccessLogo_Primary.jpg"/>
            <wp:cNvGraphicFramePr/>
            <a:graphic xmlns:a="http://schemas.openxmlformats.org/drawingml/2006/main">
              <a:graphicData uri="http://schemas.openxmlformats.org/drawingml/2006/picture">
                <pic:pic xmlns:pic="http://schemas.openxmlformats.org/drawingml/2006/picture">
                  <pic:nvPicPr>
                    <pic:cNvPr id="6" name="Picture 5" descr="CreatingSuccessLogo_Primary.jpg"/>
                    <pic:cNvPicPr/>
                  </pic:nvPicPr>
                  <pic:blipFill>
                    <a:blip r:embed="rId8" cstate="print"/>
                    <a:stretch>
                      <a:fillRect/>
                    </a:stretch>
                  </pic:blipFill>
                  <pic:spPr>
                    <a:xfrm>
                      <a:off x="0" y="0"/>
                      <a:ext cx="1666875" cy="581025"/>
                    </a:xfrm>
                    <a:prstGeom prst="rect">
                      <a:avLst/>
                    </a:prstGeom>
                  </pic:spPr>
                </pic:pic>
              </a:graphicData>
            </a:graphic>
          </wp:anchor>
        </w:drawing>
      </w:r>
    </w:p>
    <w:p w:rsidR="00872E91" w:rsidRPr="001F5F4A" w:rsidRDefault="00872E91" w:rsidP="00872E91">
      <w:pPr>
        <w:autoSpaceDE w:val="0"/>
        <w:autoSpaceDN w:val="0"/>
        <w:adjustRightInd w:val="0"/>
        <w:jc w:val="center"/>
        <w:rPr>
          <w:rFonts w:ascii="Tahoma" w:eastAsiaTheme="minorHAnsi" w:hAnsi="Tahoma" w:cs="Tahoma"/>
          <w:b/>
          <w:color w:val="FF0000"/>
          <w:sz w:val="52"/>
        </w:rPr>
      </w:pPr>
      <w:r w:rsidRPr="001F5F4A">
        <w:rPr>
          <w:rFonts w:ascii="Tahoma" w:eastAsiaTheme="minorHAnsi" w:hAnsi="Tahoma" w:cs="Tahoma"/>
          <w:b/>
          <w:color w:val="FF0000"/>
          <w:sz w:val="52"/>
        </w:rPr>
        <w:t>North Carolina</w:t>
      </w:r>
    </w:p>
    <w:p w:rsidR="00872E91" w:rsidRPr="00347280" w:rsidRDefault="00872E91" w:rsidP="00872E91">
      <w:pPr>
        <w:autoSpaceDE w:val="0"/>
        <w:autoSpaceDN w:val="0"/>
        <w:adjustRightInd w:val="0"/>
        <w:jc w:val="center"/>
        <w:rPr>
          <w:rFonts w:ascii="Tahoma" w:eastAsiaTheme="minorHAnsi" w:hAnsi="Tahoma" w:cs="Tahoma"/>
          <w:color w:val="000000"/>
          <w:sz w:val="22"/>
        </w:rPr>
      </w:pPr>
      <w:r w:rsidRPr="00347280">
        <w:rPr>
          <w:rFonts w:ascii="Tahoma" w:eastAsiaTheme="minorHAnsi" w:hAnsi="Tahoma" w:cs="Tahoma"/>
          <w:color w:val="000000"/>
          <w:sz w:val="22"/>
        </w:rPr>
        <w:t>201</w:t>
      </w:r>
      <w:r w:rsidR="00C64D96">
        <w:rPr>
          <w:rFonts w:ascii="Tahoma" w:eastAsiaTheme="minorHAnsi" w:hAnsi="Tahoma" w:cs="Tahoma"/>
          <w:color w:val="000000"/>
          <w:sz w:val="22"/>
        </w:rPr>
        <w:t>6</w:t>
      </w:r>
      <w:r w:rsidRPr="00347280">
        <w:rPr>
          <w:rFonts w:ascii="Tahoma" w:eastAsiaTheme="minorHAnsi" w:hAnsi="Tahoma" w:cs="Tahoma"/>
          <w:color w:val="000000"/>
          <w:sz w:val="22"/>
        </w:rPr>
        <w:t xml:space="preserve"> – 201</w:t>
      </w:r>
      <w:r w:rsidR="00C64D96">
        <w:rPr>
          <w:rFonts w:ascii="Tahoma" w:eastAsiaTheme="minorHAnsi" w:hAnsi="Tahoma" w:cs="Tahoma"/>
          <w:color w:val="000000"/>
          <w:sz w:val="22"/>
        </w:rPr>
        <w:t>7</w:t>
      </w:r>
      <w:r w:rsidRPr="00347280">
        <w:rPr>
          <w:rFonts w:ascii="Tahoma" w:eastAsiaTheme="minorHAnsi" w:hAnsi="Tahoma" w:cs="Tahoma"/>
          <w:color w:val="000000"/>
          <w:sz w:val="22"/>
        </w:rPr>
        <w:t xml:space="preserve"> Narrative Report </w:t>
      </w:r>
    </w:p>
    <w:p w:rsidR="00FF59F4" w:rsidRPr="0086036D" w:rsidRDefault="00FF59F4" w:rsidP="00493CED">
      <w:pPr>
        <w:tabs>
          <w:tab w:val="right" w:pos="3510"/>
          <w:tab w:val="right" w:pos="9270"/>
        </w:tabs>
        <w:autoSpaceDE w:val="0"/>
        <w:autoSpaceDN w:val="0"/>
        <w:adjustRightInd w:val="0"/>
        <w:spacing w:line="264" w:lineRule="auto"/>
        <w:ind w:left="270"/>
        <w:rPr>
          <w:rFonts w:ascii="Tahoma" w:eastAsiaTheme="minorHAnsi" w:hAnsi="Tahoma" w:cs="Tahoma"/>
          <w:b/>
          <w:color w:val="FFFFFF" w:themeColor="background1"/>
          <w:sz w:val="28"/>
          <w:shd w:val="clear" w:color="auto" w:fill="171717" w:themeFill="background2" w:themeFillShade="1A"/>
        </w:rPr>
      </w:pPr>
      <w:r w:rsidRPr="0086036D">
        <w:rPr>
          <w:rFonts w:ascii="Tahoma" w:eastAsiaTheme="minorHAnsi" w:hAnsi="Tahoma" w:cs="Tahoma"/>
          <w:b/>
          <w:color w:val="FFFFFF" w:themeColor="background1"/>
          <w:sz w:val="28"/>
          <w:shd w:val="clear" w:color="auto" w:fill="171717" w:themeFill="background2" w:themeFillShade="1A"/>
        </w:rPr>
        <w:t xml:space="preserve"> </w:t>
      </w:r>
    </w:p>
    <w:p w:rsidR="00072789" w:rsidRPr="00B678D1" w:rsidRDefault="00FF59F4" w:rsidP="00B678D1">
      <w:pPr>
        <w:tabs>
          <w:tab w:val="right" w:pos="9270"/>
        </w:tabs>
        <w:autoSpaceDE w:val="0"/>
        <w:autoSpaceDN w:val="0"/>
        <w:adjustRightInd w:val="0"/>
        <w:spacing w:line="264" w:lineRule="auto"/>
        <w:rPr>
          <w:rFonts w:ascii="Tahoma" w:eastAsiaTheme="minorHAnsi" w:hAnsi="Tahoma" w:cs="Tahoma"/>
          <w:b/>
          <w:color w:val="000000"/>
          <w:sz w:val="4"/>
          <w:szCs w:val="6"/>
          <w:u w:val="thick" w:color="BF8F00" w:themeColor="accent4" w:themeShade="BF"/>
        </w:rPr>
      </w:pPr>
      <w:r w:rsidRPr="002838ED">
        <w:rPr>
          <w:rFonts w:ascii="Tahoma" w:eastAsiaTheme="minorHAnsi" w:hAnsi="Tahoma" w:cs="Tahoma"/>
          <w:b/>
          <w:color w:val="000000"/>
          <w:sz w:val="4"/>
          <w:szCs w:val="6"/>
          <w:u w:val="thick" w:color="BF8F00" w:themeColor="accent4" w:themeShade="BF"/>
        </w:rPr>
        <w:tab/>
      </w:r>
      <w:r w:rsidR="00542A5F" w:rsidRPr="002838ED">
        <w:rPr>
          <w:rFonts w:ascii="Tahoma" w:eastAsiaTheme="minorHAnsi" w:hAnsi="Tahoma" w:cs="Tahoma"/>
          <w:b/>
          <w:color w:val="000000"/>
          <w:sz w:val="4"/>
          <w:szCs w:val="6"/>
          <w:u w:val="thick" w:color="BF8F00" w:themeColor="accent4" w:themeShade="BF"/>
        </w:rPr>
        <w:t xml:space="preserve"> </w:t>
      </w:r>
    </w:p>
    <w:p w:rsidR="00072789" w:rsidRDefault="00072789" w:rsidP="00072789"/>
    <w:p w:rsidR="0079169F" w:rsidRPr="00CC6829" w:rsidRDefault="0079169F" w:rsidP="0079169F">
      <w:pPr>
        <w:spacing w:line="259" w:lineRule="auto"/>
        <w:rPr>
          <w:rFonts w:ascii="Arial" w:hAnsi="Arial" w:cs="Arial"/>
          <w:sz w:val="20"/>
        </w:rPr>
      </w:pPr>
      <w:r w:rsidRPr="00CC6829">
        <w:rPr>
          <w:rFonts w:ascii="Arial" w:hAnsi="Arial" w:cs="Arial"/>
          <w:sz w:val="20"/>
        </w:rPr>
        <w:t>In 2016-2017 NC funded 77 providers who s</w:t>
      </w:r>
      <w:r>
        <w:rPr>
          <w:rFonts w:ascii="Arial" w:hAnsi="Arial" w:cs="Arial"/>
          <w:sz w:val="20"/>
        </w:rPr>
        <w:t xml:space="preserve">erve students in 100 counties. </w:t>
      </w:r>
      <w:r w:rsidRPr="00CC6829">
        <w:rPr>
          <w:rFonts w:ascii="Arial" w:hAnsi="Arial" w:cs="Arial"/>
          <w:sz w:val="20"/>
        </w:rPr>
        <w:t xml:space="preserve">State Leadership Activities focused on providing assistance and support to local providers on Title </w:t>
      </w:r>
      <w:proofErr w:type="spellStart"/>
      <w:r w:rsidRPr="00CC6829">
        <w:rPr>
          <w:rFonts w:ascii="Arial" w:hAnsi="Arial" w:cs="Arial"/>
          <w:sz w:val="20"/>
        </w:rPr>
        <w:t>ll</w:t>
      </w:r>
      <w:proofErr w:type="spellEnd"/>
      <w:r w:rsidRPr="00CC6829">
        <w:rPr>
          <w:rFonts w:ascii="Arial" w:hAnsi="Arial" w:cs="Arial"/>
          <w:sz w:val="20"/>
        </w:rPr>
        <w:t xml:space="preserve"> regulations and </w:t>
      </w:r>
      <w:r w:rsidR="00011D98">
        <w:rPr>
          <w:rFonts w:ascii="Arial" w:hAnsi="Arial" w:cs="Arial"/>
          <w:sz w:val="20"/>
        </w:rPr>
        <w:t xml:space="preserve">on its </w:t>
      </w:r>
      <w:r w:rsidRPr="00CC6829">
        <w:rPr>
          <w:rFonts w:ascii="Arial" w:hAnsi="Arial" w:cs="Arial"/>
          <w:sz w:val="20"/>
        </w:rPr>
        <w:t>imp</w:t>
      </w:r>
      <w:r>
        <w:rPr>
          <w:rFonts w:ascii="Arial" w:hAnsi="Arial" w:cs="Arial"/>
          <w:sz w:val="20"/>
        </w:rPr>
        <w:t xml:space="preserve">act on program practices. State leadership </w:t>
      </w:r>
      <w:r w:rsidR="00011D98">
        <w:rPr>
          <w:rFonts w:ascii="Arial" w:hAnsi="Arial" w:cs="Arial"/>
          <w:sz w:val="20"/>
        </w:rPr>
        <w:t xml:space="preserve">activities included: </w:t>
      </w:r>
      <w:r>
        <w:rPr>
          <w:rFonts w:ascii="Arial" w:hAnsi="Arial" w:cs="Arial"/>
          <w:sz w:val="20"/>
        </w:rPr>
        <w:t xml:space="preserve"> </w:t>
      </w:r>
    </w:p>
    <w:p w:rsidR="0079169F" w:rsidRPr="00E216B4" w:rsidRDefault="0079169F" w:rsidP="0079169F">
      <w:pPr>
        <w:pStyle w:val="ListParagraph"/>
        <w:numPr>
          <w:ilvl w:val="0"/>
          <w:numId w:val="21"/>
        </w:numPr>
        <w:spacing w:line="259" w:lineRule="auto"/>
        <w:rPr>
          <w:rFonts w:ascii="Arial" w:hAnsi="Arial" w:cs="Arial"/>
          <w:sz w:val="20"/>
        </w:rPr>
      </w:pPr>
      <w:r w:rsidRPr="00E216B4">
        <w:rPr>
          <w:rFonts w:ascii="Arial" w:hAnsi="Arial" w:cs="Arial"/>
          <w:sz w:val="20"/>
        </w:rPr>
        <w:t xml:space="preserve">managing data to improve performance, </w:t>
      </w:r>
    </w:p>
    <w:p w:rsidR="0079169F" w:rsidRPr="00E216B4" w:rsidRDefault="0079169F" w:rsidP="0079169F">
      <w:pPr>
        <w:pStyle w:val="ListParagraph"/>
        <w:numPr>
          <w:ilvl w:val="0"/>
          <w:numId w:val="21"/>
        </w:numPr>
        <w:spacing w:line="259" w:lineRule="auto"/>
        <w:rPr>
          <w:rFonts w:ascii="Arial" w:hAnsi="Arial" w:cs="Arial"/>
          <w:sz w:val="20"/>
        </w:rPr>
      </w:pPr>
      <w:r w:rsidRPr="00E216B4">
        <w:rPr>
          <w:rFonts w:ascii="Arial" w:hAnsi="Arial" w:cs="Arial"/>
          <w:sz w:val="20"/>
        </w:rPr>
        <w:t xml:space="preserve">partnering with local Workforce Development Boards, </w:t>
      </w:r>
    </w:p>
    <w:p w:rsidR="0079169F" w:rsidRPr="00E216B4" w:rsidRDefault="0079169F" w:rsidP="0079169F">
      <w:pPr>
        <w:pStyle w:val="ListParagraph"/>
        <w:numPr>
          <w:ilvl w:val="0"/>
          <w:numId w:val="21"/>
        </w:numPr>
        <w:spacing w:line="259" w:lineRule="auto"/>
        <w:rPr>
          <w:rFonts w:ascii="Arial" w:hAnsi="Arial" w:cs="Arial"/>
          <w:sz w:val="20"/>
        </w:rPr>
      </w:pPr>
      <w:r w:rsidRPr="00E216B4">
        <w:rPr>
          <w:rFonts w:ascii="Arial" w:hAnsi="Arial" w:cs="Arial"/>
          <w:sz w:val="20"/>
        </w:rPr>
        <w:t>models for improving student transition to postsecondary,</w:t>
      </w:r>
    </w:p>
    <w:p w:rsidR="0079169F" w:rsidRDefault="0079169F" w:rsidP="0079169F">
      <w:pPr>
        <w:pStyle w:val="ListParagraph"/>
        <w:numPr>
          <w:ilvl w:val="0"/>
          <w:numId w:val="21"/>
        </w:numPr>
        <w:spacing w:line="259" w:lineRule="auto"/>
        <w:rPr>
          <w:rFonts w:ascii="Arial" w:hAnsi="Arial" w:cs="Arial"/>
          <w:sz w:val="20"/>
        </w:rPr>
      </w:pPr>
      <w:r w:rsidRPr="00E216B4">
        <w:rPr>
          <w:rFonts w:ascii="Arial" w:hAnsi="Arial" w:cs="Arial"/>
          <w:sz w:val="20"/>
        </w:rPr>
        <w:t>creating pathways for students with disabilities</w:t>
      </w:r>
    </w:p>
    <w:p w:rsidR="00011D98" w:rsidRDefault="00011D98" w:rsidP="00C17A28">
      <w:pPr>
        <w:pStyle w:val="ListParagraph"/>
        <w:numPr>
          <w:ilvl w:val="0"/>
          <w:numId w:val="21"/>
        </w:numPr>
        <w:spacing w:line="259" w:lineRule="auto"/>
        <w:rPr>
          <w:rFonts w:ascii="Arial" w:hAnsi="Arial" w:cs="Arial"/>
          <w:sz w:val="20"/>
        </w:rPr>
      </w:pPr>
      <w:r w:rsidRPr="00011D98">
        <w:rPr>
          <w:rFonts w:ascii="Arial" w:hAnsi="Arial" w:cs="Arial"/>
          <w:sz w:val="20"/>
        </w:rPr>
        <w:t xml:space="preserve">researching and adopting web based educational curriculum to accelerate transition.  </w:t>
      </w:r>
    </w:p>
    <w:p w:rsidR="0079169F" w:rsidRPr="00011D98" w:rsidRDefault="0079169F" w:rsidP="00011D98">
      <w:pPr>
        <w:spacing w:line="259" w:lineRule="auto"/>
        <w:ind w:left="360"/>
        <w:rPr>
          <w:rFonts w:ascii="Arial" w:hAnsi="Arial" w:cs="Arial"/>
          <w:sz w:val="20"/>
        </w:rPr>
      </w:pPr>
      <w:r w:rsidRPr="00011D98">
        <w:rPr>
          <w:rFonts w:ascii="Arial" w:hAnsi="Arial" w:cs="Arial"/>
          <w:sz w:val="20"/>
        </w:rPr>
        <w:t xml:space="preserve">Key Activities: </w:t>
      </w:r>
    </w:p>
    <w:p w:rsidR="0079169F" w:rsidRPr="00011D98" w:rsidRDefault="0079169F" w:rsidP="00011D98">
      <w:pPr>
        <w:pStyle w:val="ListParagraph"/>
        <w:numPr>
          <w:ilvl w:val="0"/>
          <w:numId w:val="27"/>
        </w:numPr>
        <w:spacing w:line="259" w:lineRule="auto"/>
        <w:rPr>
          <w:rFonts w:ascii="Arial" w:hAnsi="Arial" w:cs="Arial"/>
          <w:sz w:val="20"/>
        </w:rPr>
      </w:pPr>
      <w:r w:rsidRPr="00011D98">
        <w:rPr>
          <w:rFonts w:ascii="Arial" w:hAnsi="Arial" w:cs="Arial"/>
          <w:sz w:val="20"/>
        </w:rPr>
        <w:t xml:space="preserve">Regional New Director Training – WIOA – the full day training included an overview of Title </w:t>
      </w:r>
      <w:proofErr w:type="spellStart"/>
      <w:r w:rsidRPr="00011D98">
        <w:rPr>
          <w:rFonts w:ascii="Arial" w:hAnsi="Arial" w:cs="Arial"/>
          <w:sz w:val="20"/>
        </w:rPr>
        <w:t>ll</w:t>
      </w:r>
      <w:proofErr w:type="spellEnd"/>
      <w:r w:rsidRPr="00011D98">
        <w:rPr>
          <w:rFonts w:ascii="Arial" w:hAnsi="Arial" w:cs="Arial"/>
          <w:sz w:val="20"/>
        </w:rPr>
        <w:t xml:space="preserve"> changes including a Core Partner Toolkit. </w:t>
      </w:r>
    </w:p>
    <w:p w:rsidR="0079169F" w:rsidRPr="00011D98" w:rsidRDefault="0079169F" w:rsidP="00011D98">
      <w:pPr>
        <w:pStyle w:val="ListParagraph"/>
        <w:numPr>
          <w:ilvl w:val="0"/>
          <w:numId w:val="27"/>
        </w:numPr>
        <w:spacing w:line="259" w:lineRule="auto"/>
        <w:rPr>
          <w:rFonts w:ascii="Arial" w:hAnsi="Arial" w:cs="Arial"/>
          <w:sz w:val="20"/>
        </w:rPr>
      </w:pPr>
      <w:r w:rsidRPr="00011D98">
        <w:rPr>
          <w:rFonts w:ascii="Arial" w:hAnsi="Arial" w:cs="Arial"/>
          <w:sz w:val="20"/>
        </w:rPr>
        <w:t>Regional and virtual training – Data Management System and using Data management to improve instruction</w:t>
      </w:r>
    </w:p>
    <w:p w:rsidR="00011D98" w:rsidRDefault="0079169F" w:rsidP="00011D98">
      <w:pPr>
        <w:pStyle w:val="ListParagraph"/>
        <w:numPr>
          <w:ilvl w:val="0"/>
          <w:numId w:val="27"/>
        </w:numPr>
        <w:rPr>
          <w:rFonts w:ascii="Arial" w:hAnsi="Arial" w:cs="Arial"/>
          <w:sz w:val="20"/>
        </w:rPr>
      </w:pPr>
      <w:r w:rsidRPr="00011D98">
        <w:rPr>
          <w:rFonts w:ascii="Arial" w:hAnsi="Arial" w:cs="Arial"/>
          <w:sz w:val="20"/>
        </w:rPr>
        <w:t>Developing and implementing hybrid delivery models for professional development</w:t>
      </w:r>
    </w:p>
    <w:p w:rsidR="0079169F" w:rsidRPr="00011D98" w:rsidRDefault="0079169F" w:rsidP="00011D98">
      <w:pPr>
        <w:pStyle w:val="ListParagraph"/>
        <w:numPr>
          <w:ilvl w:val="0"/>
          <w:numId w:val="27"/>
        </w:numPr>
        <w:rPr>
          <w:rFonts w:ascii="Arial" w:hAnsi="Arial" w:cs="Arial"/>
          <w:sz w:val="20"/>
        </w:rPr>
      </w:pPr>
      <w:r w:rsidRPr="00011D98">
        <w:rPr>
          <w:rFonts w:ascii="Arial" w:hAnsi="Arial" w:cs="Arial"/>
          <w:sz w:val="20"/>
        </w:rPr>
        <w:t xml:space="preserve">Developing technology applications to improve system efficiencies </w:t>
      </w:r>
      <w:r w:rsidR="00011D98">
        <w:rPr>
          <w:rFonts w:ascii="Arial" w:hAnsi="Arial" w:cs="Arial"/>
          <w:sz w:val="20"/>
        </w:rPr>
        <w:t xml:space="preserve">by creating on demand short training videos and opening an online portal for </w:t>
      </w:r>
      <w:proofErr w:type="spellStart"/>
      <w:r w:rsidR="00011D98">
        <w:rPr>
          <w:rFonts w:ascii="Arial" w:hAnsi="Arial" w:cs="Arial"/>
          <w:sz w:val="20"/>
        </w:rPr>
        <w:t>for</w:t>
      </w:r>
      <w:proofErr w:type="spellEnd"/>
      <w:r w:rsidR="00011D98">
        <w:rPr>
          <w:rFonts w:ascii="Arial" w:hAnsi="Arial" w:cs="Arial"/>
          <w:sz w:val="20"/>
        </w:rPr>
        <w:t xml:space="preserve"> resources and interaction with providers.  </w:t>
      </w:r>
    </w:p>
    <w:p w:rsidR="0079169F" w:rsidRPr="00CC6829" w:rsidRDefault="0079169F" w:rsidP="0079169F">
      <w:pPr>
        <w:ind w:firstLine="720"/>
        <w:rPr>
          <w:rFonts w:ascii="Arial" w:hAnsi="Arial" w:cs="Arial"/>
          <w:sz w:val="20"/>
        </w:rPr>
      </w:pPr>
      <w:r w:rsidRPr="00CC6829">
        <w:rPr>
          <w:rFonts w:ascii="Arial" w:hAnsi="Arial" w:cs="Arial"/>
          <w:sz w:val="20"/>
        </w:rPr>
        <w:t xml:space="preserve"> </w:t>
      </w:r>
    </w:p>
    <w:p w:rsidR="00072789" w:rsidRPr="00CC6829" w:rsidRDefault="007522DF" w:rsidP="00072789">
      <w:pPr>
        <w:pStyle w:val="Heading3"/>
        <w:ind w:left="-5"/>
        <w:rPr>
          <w:rFonts w:ascii="Arial" w:hAnsi="Arial" w:cs="Arial"/>
          <w:sz w:val="20"/>
          <w:szCs w:val="20"/>
        </w:rPr>
      </w:pPr>
      <w:r w:rsidRPr="00CC6829">
        <w:rPr>
          <w:rFonts w:ascii="Arial" w:eastAsiaTheme="minorHAnsi" w:hAnsi="Arial" w:cs="Arial"/>
          <w:noProof/>
          <w:color w:val="000000"/>
          <w:sz w:val="20"/>
          <w:szCs w:val="20"/>
          <w:u w:val="single"/>
        </w:rPr>
        <mc:AlternateContent>
          <mc:Choice Requires="wps">
            <w:drawing>
              <wp:anchor distT="0" distB="0" distL="114300" distR="114300" simplePos="0" relativeHeight="251681792" behindDoc="0" locked="0" layoutInCell="1" allowOverlap="1" wp14:anchorId="4E6E4E8D" wp14:editId="72F2EF52">
                <wp:simplePos x="0" y="0"/>
                <wp:positionH relativeFrom="margin">
                  <wp:align>left</wp:align>
                </wp:positionH>
                <wp:positionV relativeFrom="paragraph">
                  <wp:posOffset>117475</wp:posOffset>
                </wp:positionV>
                <wp:extent cx="5934075" cy="3429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3429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7522DF" w:rsidRPr="00D445FB" w:rsidRDefault="007522DF" w:rsidP="007522DF">
                            <w:pPr>
                              <w:pStyle w:val="ListParagraph"/>
                              <w:numPr>
                                <w:ilvl w:val="0"/>
                                <w:numId w:val="12"/>
                              </w:numPr>
                              <w:jc w:val="center"/>
                              <w:rPr>
                                <w:rFonts w:ascii="Tahoma" w:hAnsi="Tahoma" w:cs="Tahoma"/>
                                <w:color w:val="000000" w:themeColor="text1"/>
                                <w:sz w:val="24"/>
                                <w:szCs w:val="24"/>
                              </w:rPr>
                            </w:pPr>
                            <w:r w:rsidRPr="00014068">
                              <w:rPr>
                                <w:rFonts w:ascii="Tahoma" w:hAnsi="Tahoma" w:cs="Tahoma"/>
                                <w:color w:val="000000" w:themeColor="text1"/>
                                <w:sz w:val="24"/>
                                <w:szCs w:val="24"/>
                              </w:rPr>
                              <w:t xml:space="preserve">State Leadership </w:t>
                            </w:r>
                            <w:r w:rsidR="004D5A44" w:rsidRPr="00014068">
                              <w:rPr>
                                <w:rFonts w:ascii="Tahoma" w:hAnsi="Tahoma" w:cs="Tahoma"/>
                                <w:color w:val="000000" w:themeColor="text1"/>
                                <w:sz w:val="24"/>
                                <w:szCs w:val="24"/>
                              </w:rPr>
                              <w:t>Activities (</w:t>
                            </w:r>
                            <w:r w:rsidRPr="00014068">
                              <w:rPr>
                                <w:rFonts w:ascii="Tahoma" w:hAnsi="Tahoma" w:cs="Tahoma"/>
                                <w:color w:val="000000" w:themeColor="text1"/>
                                <w:sz w:val="24"/>
                                <w:szCs w:val="24"/>
                              </w:rPr>
                              <w:t>section 22</w:t>
                            </w:r>
                            <w:r>
                              <w:rPr>
                                <w:rFonts w:ascii="Tahoma" w:hAnsi="Tahoma" w:cs="Tahoma"/>
                                <w:color w:val="000000" w:themeColor="text1"/>
                                <w:sz w:val="24"/>
                                <w:szCs w:val="24"/>
                              </w:rPr>
                              <w:t>3</w:t>
                            </w:r>
                            <w:r w:rsidRPr="00014068">
                              <w:rPr>
                                <w:rFonts w:ascii="Tahoma" w:hAnsi="Tahoma" w:cs="Tahom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6E4E8D" id="Rectangle 11" o:spid="_x0000_s1026" style="position:absolute;left:0;text-align:left;margin-left:0;margin-top:9.25pt;width:467.25pt;height:27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" fillcolor="#d2d2d2" strokecolor="#a5a5a5" strokeweight=".5pt">
                <v:fill color2="silver" rotate="t" colors="0 #d2d2d2;.5 #c8c8c8;1 silver" focus="100%" type="gradient">
                  <o:fill v:ext="view" type="gradientUnscaled"/>
                </v:fill>
                <v:path arrowok="t"/>
                <v:textbox>
                  <w:txbxContent>
                    <w:p w:rsidR="007522DF" w:rsidRPr="00D445FB" w:rsidRDefault="007522DF" w:rsidP="007522DF">
                      <w:pPr>
                        <w:pStyle w:val="ListParagraph"/>
                        <w:numPr>
                          <w:ilvl w:val="0"/>
                          <w:numId w:val="12"/>
                        </w:numPr>
                        <w:jc w:val="center"/>
                        <w:rPr>
                          <w:rFonts w:ascii="Tahoma" w:hAnsi="Tahoma" w:cs="Tahoma"/>
                          <w:color w:val="000000" w:themeColor="text1"/>
                          <w:sz w:val="24"/>
                          <w:szCs w:val="24"/>
                        </w:rPr>
                      </w:pPr>
                      <w:r w:rsidRPr="00014068">
                        <w:rPr>
                          <w:rFonts w:ascii="Tahoma" w:hAnsi="Tahoma" w:cs="Tahoma"/>
                          <w:color w:val="000000" w:themeColor="text1"/>
                          <w:sz w:val="24"/>
                          <w:szCs w:val="24"/>
                        </w:rPr>
                        <w:t xml:space="preserve">State Leadership </w:t>
                      </w:r>
                      <w:r w:rsidR="004D5A44" w:rsidRPr="00014068">
                        <w:rPr>
                          <w:rFonts w:ascii="Tahoma" w:hAnsi="Tahoma" w:cs="Tahoma"/>
                          <w:color w:val="000000" w:themeColor="text1"/>
                          <w:sz w:val="24"/>
                          <w:szCs w:val="24"/>
                        </w:rPr>
                        <w:t>Activities (</w:t>
                      </w:r>
                      <w:r w:rsidRPr="00014068">
                        <w:rPr>
                          <w:rFonts w:ascii="Tahoma" w:hAnsi="Tahoma" w:cs="Tahoma"/>
                          <w:color w:val="000000" w:themeColor="text1"/>
                          <w:sz w:val="24"/>
                          <w:szCs w:val="24"/>
                        </w:rPr>
                        <w:t>section 22</w:t>
                      </w:r>
                      <w:r>
                        <w:rPr>
                          <w:rFonts w:ascii="Tahoma" w:hAnsi="Tahoma" w:cs="Tahoma"/>
                          <w:color w:val="000000" w:themeColor="text1"/>
                          <w:sz w:val="24"/>
                          <w:szCs w:val="24"/>
                        </w:rPr>
                        <w:t>3</w:t>
                      </w:r>
                      <w:r w:rsidRPr="00014068">
                        <w:rPr>
                          <w:rFonts w:ascii="Tahoma" w:hAnsi="Tahoma" w:cs="Tahoma"/>
                          <w:color w:val="000000" w:themeColor="text1"/>
                          <w:sz w:val="24"/>
                          <w:szCs w:val="24"/>
                        </w:rPr>
                        <w:t>)</w:t>
                      </w:r>
                    </w:p>
                  </w:txbxContent>
                </v:textbox>
                <w10:wrap anchorx="margin"/>
              </v:rect>
            </w:pict>
          </mc:Fallback>
        </mc:AlternateContent>
      </w:r>
    </w:p>
    <w:p w:rsidR="007522DF" w:rsidRPr="00CC6829" w:rsidRDefault="007522DF" w:rsidP="00072789">
      <w:pPr>
        <w:pStyle w:val="Heading3"/>
        <w:ind w:left="-5"/>
        <w:rPr>
          <w:rFonts w:ascii="Arial" w:hAnsi="Arial" w:cs="Arial"/>
          <w:sz w:val="20"/>
          <w:szCs w:val="20"/>
        </w:rPr>
      </w:pPr>
    </w:p>
    <w:p w:rsidR="007522DF" w:rsidRPr="00CC6829" w:rsidRDefault="007522DF" w:rsidP="00072789">
      <w:pPr>
        <w:pStyle w:val="Heading3"/>
        <w:ind w:left="-5"/>
        <w:rPr>
          <w:rFonts w:ascii="Arial" w:hAnsi="Arial" w:cs="Arial"/>
          <w:sz w:val="20"/>
          <w:szCs w:val="20"/>
        </w:rPr>
      </w:pPr>
    </w:p>
    <w:p w:rsidR="00436377" w:rsidRPr="006A05B3" w:rsidRDefault="00436377" w:rsidP="00436377">
      <w:pPr>
        <w:spacing w:after="3" w:line="248" w:lineRule="auto"/>
        <w:ind w:left="-5" w:right="134"/>
        <w:rPr>
          <w:rFonts w:ascii="Arial" w:hAnsi="Arial" w:cs="Arial"/>
          <w:i/>
          <w:sz w:val="20"/>
        </w:rPr>
      </w:pPr>
      <w:r w:rsidRPr="006A05B3">
        <w:rPr>
          <w:rFonts w:ascii="Arial" w:hAnsi="Arial" w:cs="Arial"/>
          <w:i/>
          <w:sz w:val="20"/>
        </w:rPr>
        <w:t xml:space="preserve">Describe how the State has used funds made available under section 223 (State Leadership activities) for each the following required activities: </w:t>
      </w:r>
    </w:p>
    <w:p w:rsidR="00072789" w:rsidRPr="006A05B3" w:rsidRDefault="00014068" w:rsidP="006A05B3">
      <w:pPr>
        <w:spacing w:after="3" w:line="248" w:lineRule="auto"/>
        <w:ind w:right="134"/>
        <w:rPr>
          <w:rFonts w:ascii="Arial" w:hAnsi="Arial" w:cs="Arial"/>
          <w:b/>
          <w:i/>
          <w:color w:val="FF0000"/>
          <w:sz w:val="20"/>
        </w:rPr>
      </w:pPr>
      <w:r w:rsidRPr="006A05B3">
        <w:rPr>
          <w:rFonts w:ascii="Arial" w:hAnsi="Arial" w:cs="Arial"/>
          <w:i/>
          <w:sz w:val="20"/>
        </w:rPr>
        <w:t xml:space="preserve">Alignment of adult education and literacy activities with other one-stop required partners to implement the strategies in the Unified or Combined State Plan as described in section 223(1)(a).  </w:t>
      </w:r>
    </w:p>
    <w:p w:rsidR="00072789" w:rsidRPr="00CC6829" w:rsidRDefault="00072789" w:rsidP="00072789">
      <w:pPr>
        <w:spacing w:after="3" w:line="248" w:lineRule="auto"/>
        <w:ind w:left="360" w:right="134"/>
        <w:rPr>
          <w:rFonts w:ascii="Arial" w:hAnsi="Arial" w:cs="Arial"/>
          <w:b/>
          <w:color w:val="FF0000"/>
          <w:sz w:val="20"/>
        </w:rPr>
      </w:pPr>
    </w:p>
    <w:p w:rsidR="00C64D96" w:rsidRPr="00CC6829" w:rsidRDefault="00072789" w:rsidP="00072789">
      <w:pPr>
        <w:spacing w:after="3" w:line="248" w:lineRule="auto"/>
        <w:ind w:right="134"/>
        <w:rPr>
          <w:rFonts w:ascii="Arial" w:hAnsi="Arial" w:cs="Arial"/>
          <w:b/>
          <w:color w:val="FF0000"/>
          <w:sz w:val="20"/>
        </w:rPr>
      </w:pPr>
      <w:r w:rsidRPr="00CC6829">
        <w:rPr>
          <w:rFonts w:ascii="Arial" w:hAnsi="Arial" w:cs="Arial"/>
          <w:color w:val="000000"/>
          <w:sz w:val="20"/>
        </w:rPr>
        <w:t xml:space="preserve">State leadership activities for section 223(1)(a) were organized around </w:t>
      </w:r>
      <w:r w:rsidR="00BC449C" w:rsidRPr="00CC6829">
        <w:rPr>
          <w:rFonts w:ascii="Arial" w:hAnsi="Arial" w:cs="Arial"/>
          <w:color w:val="000000"/>
          <w:sz w:val="20"/>
        </w:rPr>
        <w:t>five strategic areas: professional development for state staff, technical assistance</w:t>
      </w:r>
      <w:r w:rsidRPr="00CC6829">
        <w:rPr>
          <w:rFonts w:ascii="Arial" w:hAnsi="Arial" w:cs="Arial"/>
          <w:color w:val="000000"/>
          <w:sz w:val="20"/>
        </w:rPr>
        <w:t xml:space="preserve"> to providers, </w:t>
      </w:r>
      <w:r w:rsidR="00BC449C" w:rsidRPr="00CC6829">
        <w:rPr>
          <w:rFonts w:ascii="Arial" w:hAnsi="Arial" w:cs="Arial"/>
          <w:color w:val="000000"/>
          <w:sz w:val="20"/>
        </w:rPr>
        <w:t xml:space="preserve">intra-agency collaboration, inter-agency collaboration, and dissemination of best practices. </w:t>
      </w:r>
      <w:r w:rsidRPr="00CC6829">
        <w:rPr>
          <w:rFonts w:ascii="Arial" w:hAnsi="Arial" w:cs="Arial"/>
          <w:color w:val="000000"/>
          <w:sz w:val="20"/>
        </w:rPr>
        <w:t xml:space="preserve">State office team members, </w:t>
      </w:r>
      <w:r w:rsidR="00436377" w:rsidRPr="00CC6829">
        <w:rPr>
          <w:rFonts w:ascii="Arial" w:hAnsi="Arial" w:cs="Arial"/>
          <w:color w:val="000000"/>
          <w:sz w:val="20"/>
        </w:rPr>
        <w:t xml:space="preserve">participated in </w:t>
      </w:r>
      <w:r w:rsidR="00A755F8" w:rsidRPr="00CC6829">
        <w:rPr>
          <w:rFonts w:ascii="Arial" w:hAnsi="Arial" w:cs="Arial"/>
          <w:color w:val="000000"/>
          <w:sz w:val="20"/>
        </w:rPr>
        <w:t>five national</w:t>
      </w:r>
      <w:r w:rsidRPr="00CC6829">
        <w:rPr>
          <w:rFonts w:ascii="Arial" w:hAnsi="Arial" w:cs="Arial"/>
          <w:color w:val="000000"/>
          <w:sz w:val="20"/>
        </w:rPr>
        <w:t xml:space="preserve"> trainings on </w:t>
      </w:r>
      <w:r w:rsidR="00436377" w:rsidRPr="00CC6829">
        <w:rPr>
          <w:rFonts w:ascii="Arial" w:hAnsi="Arial" w:cs="Arial"/>
          <w:color w:val="000000"/>
          <w:sz w:val="20"/>
        </w:rPr>
        <w:t xml:space="preserve">aligning with one-stop centers, developing MOUs, negotiating infrastructure costs, and working with local workforce development board </w:t>
      </w:r>
      <w:r w:rsidR="005A404E" w:rsidRPr="00CC6829">
        <w:rPr>
          <w:rFonts w:ascii="Arial" w:hAnsi="Arial" w:cs="Arial"/>
          <w:color w:val="000000"/>
          <w:sz w:val="20"/>
        </w:rPr>
        <w:t>plans.</w:t>
      </w:r>
      <w:r w:rsidR="000D78A1" w:rsidRPr="00CC6829">
        <w:rPr>
          <w:rFonts w:ascii="Arial" w:hAnsi="Arial" w:cs="Arial"/>
          <w:color w:val="000000"/>
          <w:sz w:val="20"/>
        </w:rPr>
        <w:t xml:space="preserve">  This training was revised and modified for presentations to local providers</w:t>
      </w:r>
      <w:r w:rsidRPr="00CC6829">
        <w:rPr>
          <w:rFonts w:ascii="Arial" w:hAnsi="Arial" w:cs="Arial"/>
          <w:color w:val="000000"/>
          <w:sz w:val="20"/>
        </w:rPr>
        <w:t>.</w:t>
      </w:r>
      <w:r w:rsidR="000D78A1" w:rsidRPr="00CC6829">
        <w:rPr>
          <w:rFonts w:ascii="Arial" w:hAnsi="Arial" w:cs="Arial"/>
          <w:color w:val="000000"/>
          <w:sz w:val="20"/>
        </w:rPr>
        <w:t xml:space="preserve"> </w:t>
      </w:r>
    </w:p>
    <w:p w:rsidR="00C64D96" w:rsidRPr="00CC6829" w:rsidRDefault="00BC449C" w:rsidP="00C64D96">
      <w:pPr>
        <w:pStyle w:val="NormalWeb"/>
        <w:rPr>
          <w:rFonts w:ascii="Arial" w:hAnsi="Arial" w:cs="Arial"/>
          <w:color w:val="000000"/>
          <w:sz w:val="20"/>
          <w:szCs w:val="20"/>
        </w:rPr>
      </w:pPr>
      <w:r w:rsidRPr="00CC6829">
        <w:rPr>
          <w:rFonts w:ascii="Arial" w:hAnsi="Arial" w:cs="Arial"/>
          <w:color w:val="000000"/>
          <w:sz w:val="20"/>
          <w:szCs w:val="20"/>
        </w:rPr>
        <w:t>Intra-</w:t>
      </w:r>
      <w:r w:rsidR="00C64D96" w:rsidRPr="00CC6829">
        <w:rPr>
          <w:rFonts w:ascii="Arial" w:hAnsi="Arial" w:cs="Arial"/>
          <w:color w:val="000000"/>
          <w:sz w:val="20"/>
          <w:szCs w:val="20"/>
        </w:rPr>
        <w:t xml:space="preserve">agency collaboration- The Director of Compliance and Partnerships participated regularly in the system office We Align4NCWorks initiative planning and information sessions. These sessions led to increased collaboration with CTE and </w:t>
      </w:r>
      <w:r w:rsidR="000D78A1" w:rsidRPr="00CC6829">
        <w:rPr>
          <w:rFonts w:ascii="Arial" w:hAnsi="Arial" w:cs="Arial"/>
          <w:color w:val="000000"/>
          <w:sz w:val="20"/>
          <w:szCs w:val="20"/>
        </w:rPr>
        <w:t xml:space="preserve">training provider partners </w:t>
      </w:r>
      <w:r w:rsidR="00C64D96" w:rsidRPr="00CC6829">
        <w:rPr>
          <w:rFonts w:ascii="Arial" w:hAnsi="Arial" w:cs="Arial"/>
          <w:color w:val="000000"/>
          <w:sz w:val="20"/>
          <w:szCs w:val="20"/>
        </w:rPr>
        <w:t>as well as sharing of information and initiatives.  </w:t>
      </w:r>
    </w:p>
    <w:p w:rsidR="00C64D96" w:rsidRPr="00CC6829" w:rsidRDefault="00BC449C" w:rsidP="00C64D96">
      <w:pPr>
        <w:pStyle w:val="NormalWeb"/>
        <w:rPr>
          <w:rFonts w:ascii="Arial" w:hAnsi="Arial" w:cs="Arial"/>
          <w:color w:val="000000"/>
          <w:sz w:val="20"/>
          <w:szCs w:val="20"/>
        </w:rPr>
      </w:pPr>
      <w:r w:rsidRPr="00CC6829">
        <w:rPr>
          <w:rFonts w:ascii="Arial" w:hAnsi="Arial" w:cs="Arial"/>
          <w:color w:val="000000"/>
          <w:sz w:val="20"/>
          <w:szCs w:val="20"/>
        </w:rPr>
        <w:t>Inter</w:t>
      </w:r>
      <w:r w:rsidR="00C64D96" w:rsidRPr="00CC6829">
        <w:rPr>
          <w:rFonts w:ascii="Arial" w:hAnsi="Arial" w:cs="Arial"/>
          <w:color w:val="000000"/>
          <w:sz w:val="20"/>
          <w:szCs w:val="20"/>
        </w:rPr>
        <w:t>-agency collaboration- The director participated in a cross divisional national conference with personnel from CTE, Curriculum, Continuing Education and Student Services. This training conference, Next Gen Partnership, led to the implementation of their engagement process to foster collaboration with a</w:t>
      </w:r>
      <w:r w:rsidR="00F44A43">
        <w:rPr>
          <w:rFonts w:ascii="Arial" w:hAnsi="Arial" w:cs="Arial"/>
          <w:color w:val="000000"/>
          <w:sz w:val="20"/>
          <w:szCs w:val="20"/>
        </w:rPr>
        <w:t xml:space="preserve"> variety of employment sector</w:t>
      </w:r>
      <w:r w:rsidR="00C64D96" w:rsidRPr="00CC6829">
        <w:rPr>
          <w:rFonts w:ascii="Arial" w:hAnsi="Arial" w:cs="Arial"/>
          <w:color w:val="000000"/>
          <w:sz w:val="20"/>
          <w:szCs w:val="20"/>
        </w:rPr>
        <w:t xml:space="preserve">s. The process has enhanced and re-energized employer engagement and provided a platform for further collaboration with the Department of Commerce. A major emphasis has been strengthening the alignment with DHHS, particularly through VR. Joint planning has gone on throughout </w:t>
      </w:r>
      <w:r w:rsidR="00C64D96" w:rsidRPr="00CC6829">
        <w:rPr>
          <w:rFonts w:ascii="Arial" w:hAnsi="Arial" w:cs="Arial"/>
          <w:color w:val="000000"/>
          <w:sz w:val="20"/>
          <w:szCs w:val="20"/>
        </w:rPr>
        <w:lastRenderedPageBreak/>
        <w:t xml:space="preserve">the year concerning developing options for integrated employment for persons with disabilities </w:t>
      </w:r>
      <w:r w:rsidR="00935D8F" w:rsidRPr="00CC6829">
        <w:rPr>
          <w:rFonts w:ascii="Arial" w:hAnsi="Arial" w:cs="Arial"/>
          <w:color w:val="000000"/>
          <w:sz w:val="20"/>
          <w:szCs w:val="20"/>
        </w:rPr>
        <w:t>and creating</w:t>
      </w:r>
      <w:r w:rsidR="00C64D96" w:rsidRPr="00CC6829">
        <w:rPr>
          <w:rFonts w:ascii="Arial" w:hAnsi="Arial" w:cs="Arial"/>
          <w:color w:val="000000"/>
          <w:sz w:val="20"/>
          <w:szCs w:val="20"/>
        </w:rPr>
        <w:t xml:space="preserve"> and sharing best practices for successful transition for students with intellectual disabilities or other disabilities to post-secondary education. Additionally, through participation in the Education and Employment Opportunities for Students with Disabilities Advi</w:t>
      </w:r>
      <w:r w:rsidRPr="00CC6829">
        <w:rPr>
          <w:rFonts w:ascii="Arial" w:hAnsi="Arial" w:cs="Arial"/>
          <w:color w:val="000000"/>
          <w:sz w:val="20"/>
          <w:szCs w:val="20"/>
        </w:rPr>
        <w:t xml:space="preserve">sory Committee, Title II staff </w:t>
      </w:r>
      <w:r w:rsidR="00C64D96" w:rsidRPr="00CC6829">
        <w:rPr>
          <w:rFonts w:ascii="Arial" w:hAnsi="Arial" w:cs="Arial"/>
          <w:color w:val="000000"/>
          <w:sz w:val="20"/>
          <w:szCs w:val="20"/>
        </w:rPr>
        <w:t xml:space="preserve">have been working in a cross- agency team to develop legislative policy to support individuals into competitive employment and post-secondary opportunities. </w:t>
      </w:r>
    </w:p>
    <w:p w:rsidR="00BC449C" w:rsidRPr="00CC6829" w:rsidRDefault="00BC449C" w:rsidP="00C64D96">
      <w:pPr>
        <w:pStyle w:val="NormalWeb"/>
        <w:rPr>
          <w:rFonts w:ascii="Arial" w:hAnsi="Arial" w:cs="Arial"/>
          <w:color w:val="000000"/>
          <w:sz w:val="20"/>
          <w:szCs w:val="20"/>
        </w:rPr>
      </w:pPr>
      <w:r w:rsidRPr="00CC6829">
        <w:rPr>
          <w:rFonts w:ascii="Arial" w:hAnsi="Arial" w:cs="Arial"/>
          <w:color w:val="000000"/>
          <w:sz w:val="20"/>
          <w:szCs w:val="20"/>
        </w:rPr>
        <w:t>Technical assistance and dissemination of best practices webinars have been provided throughout the year. Two key venues for this dissemination of best practices were the Continuing Education Leadership Institute and the IELCE planning grant regional presentations</w:t>
      </w:r>
      <w:r w:rsidR="00011D98">
        <w:rPr>
          <w:rFonts w:ascii="Arial" w:hAnsi="Arial" w:cs="Arial"/>
          <w:color w:val="000000"/>
          <w:sz w:val="20"/>
          <w:szCs w:val="20"/>
        </w:rPr>
        <w:t xml:space="preserve">. </w:t>
      </w:r>
      <w:r w:rsidRPr="00CC6829">
        <w:rPr>
          <w:rFonts w:ascii="Arial" w:hAnsi="Arial" w:cs="Arial"/>
          <w:color w:val="000000"/>
          <w:sz w:val="20"/>
          <w:szCs w:val="20"/>
        </w:rPr>
        <w:t xml:space="preserve"> </w:t>
      </w:r>
    </w:p>
    <w:p w:rsidR="001839A4" w:rsidRPr="008376EC" w:rsidRDefault="000D78A1" w:rsidP="001839A4">
      <w:pPr>
        <w:pStyle w:val="Heading2"/>
        <w:spacing w:line="247" w:lineRule="auto"/>
        <w:rPr>
          <w:rFonts w:ascii="Arial" w:hAnsi="Arial" w:cs="Arial"/>
          <w:sz w:val="20"/>
          <w:u w:val="single"/>
          <w:lang w:val="en"/>
        </w:rPr>
      </w:pPr>
      <w:r w:rsidRPr="00CC6829">
        <w:rPr>
          <w:rFonts w:ascii="Arial" w:hAnsi="Arial" w:cs="Arial"/>
          <w:i/>
          <w:sz w:val="20"/>
        </w:rPr>
        <w:t xml:space="preserve">Establishment or operation of a high quality professional development programs as described in section 223(1)(b).  </w:t>
      </w:r>
      <w:r w:rsidR="001839A4" w:rsidRPr="008376EC">
        <w:rPr>
          <w:rFonts w:ascii="Arial" w:hAnsi="Arial" w:cs="Arial"/>
          <w:i/>
          <w:sz w:val="20"/>
        </w:rPr>
        <w:t xml:space="preserve">Establishment or operation of a high quality professional development programs as described in section 223(1)(b).   </w:t>
      </w:r>
      <w:r w:rsidR="001839A4" w:rsidRPr="008376EC">
        <w:rPr>
          <w:rFonts w:ascii="Arial" w:hAnsi="Arial" w:cs="Arial"/>
          <w:sz w:val="20"/>
          <w:u w:val="single"/>
          <w:lang w:val="en"/>
        </w:rPr>
        <w:t xml:space="preserve">Professional Development </w:t>
      </w:r>
      <w:r w:rsidR="001839A4">
        <w:rPr>
          <w:rFonts w:ascii="Arial" w:hAnsi="Arial" w:cs="Arial"/>
          <w:sz w:val="20"/>
          <w:u w:val="single"/>
          <w:lang w:val="en"/>
        </w:rPr>
        <w:t xml:space="preserve">(PD) </w:t>
      </w:r>
      <w:r w:rsidR="001839A4" w:rsidRPr="008376EC">
        <w:rPr>
          <w:rFonts w:ascii="Arial" w:hAnsi="Arial" w:cs="Arial"/>
          <w:sz w:val="20"/>
          <w:u w:val="single"/>
          <w:lang w:val="en"/>
        </w:rPr>
        <w:t xml:space="preserve">System for North Carolina </w:t>
      </w:r>
    </w:p>
    <w:p w:rsidR="001839A4" w:rsidRPr="00194BB9" w:rsidRDefault="001839A4" w:rsidP="001839A4">
      <w:pPr>
        <w:rPr>
          <w:szCs w:val="24"/>
          <w:lang w:val="en" w:eastAsia="ja-JP"/>
        </w:rPr>
      </w:pPr>
    </w:p>
    <w:p w:rsidR="00C2539C" w:rsidRDefault="00C2539C" w:rsidP="00C2539C">
      <w:pPr>
        <w:pStyle w:val="NoSpacing"/>
      </w:pPr>
      <w:r>
        <w:t xml:space="preserve">In 2012, the North Carolina Program and Professional Development Team established a credentialing system to train instructors in evidence-based teaching methodologies. These include the learning philosophies and frameworks that are unique to adult education and literacy activities. Research studies prove that the quality of instruction has the greatest impact on student performance. By program year </w:t>
      </w:r>
      <w:proofErr w:type="gramStart"/>
      <w:r>
        <w:t>2018</w:t>
      </w:r>
      <w:r w:rsidR="00011D98">
        <w:t xml:space="preserve">, </w:t>
      </w:r>
      <w:r>
        <w:t xml:space="preserve"> North</w:t>
      </w:r>
      <w:proofErr w:type="gramEnd"/>
      <w:r>
        <w:t xml:space="preserve"> Carolina requires that 75% of paid instructors in Title II-funded programs must be credentialed within two years of hire.   The credentialing process is maintained by our contract with Appalachian State University.  Courses are reviewed by NC PD staff annually to assess quality and </w:t>
      </w:r>
      <w:r w:rsidR="00011D98">
        <w:t xml:space="preserve">to ensure there is </w:t>
      </w:r>
      <w:r>
        <w:t>a sufficient blend of theory to application.  This year the main activities for this system included the following:</w:t>
      </w:r>
    </w:p>
    <w:p w:rsidR="00C2539C" w:rsidRDefault="00C2539C" w:rsidP="00C2539C">
      <w:pPr>
        <w:pStyle w:val="NoSpacing"/>
        <w:numPr>
          <w:ilvl w:val="0"/>
          <w:numId w:val="24"/>
        </w:numPr>
      </w:pPr>
      <w:r>
        <w:t>The syste</w:t>
      </w:r>
      <w:r w:rsidR="006811AA">
        <w:t>m office subject matter experts</w:t>
      </w:r>
      <w:r>
        <w:t xml:space="preserve"> redesigned and provided core courses for the NC Credential </w:t>
      </w:r>
    </w:p>
    <w:p w:rsidR="00377EB3" w:rsidRDefault="00C2539C" w:rsidP="00A93B29">
      <w:pPr>
        <w:pStyle w:val="NoSpacing"/>
        <w:numPr>
          <w:ilvl w:val="0"/>
          <w:numId w:val="24"/>
        </w:numPr>
      </w:pPr>
      <w:r>
        <w:t xml:space="preserve"> Hybrid model of delivery – A major activity this year was to redesign the credentialing courses from a face-to-face model of delivery to hybrid.  Th</w:t>
      </w:r>
      <w:r w:rsidR="00011D98">
        <w:t>e</w:t>
      </w:r>
      <w:r>
        <w:t xml:space="preserve"> goal of this project was to improve access</w:t>
      </w:r>
      <w:r w:rsidR="00377EB3">
        <w:t xml:space="preserve">, to provide a model for hybrid delivery and to allow for more reflective training.  </w:t>
      </w:r>
    </w:p>
    <w:p w:rsidR="00700B12" w:rsidRDefault="00700B12" w:rsidP="00A93B29">
      <w:pPr>
        <w:pStyle w:val="NoSpacing"/>
        <w:numPr>
          <w:ilvl w:val="0"/>
          <w:numId w:val="24"/>
        </w:numPr>
      </w:pPr>
      <w:r>
        <w:t xml:space="preserve">Development of hybrid model of delivery for ASE credential to be implemented in </w:t>
      </w:r>
      <w:r w:rsidR="00377EB3">
        <w:t xml:space="preserve">spring </w:t>
      </w:r>
      <w:r>
        <w:t>18.</w:t>
      </w:r>
    </w:p>
    <w:p w:rsidR="00C2539C" w:rsidRPr="00377EB3" w:rsidRDefault="00700B12" w:rsidP="00FC6A89">
      <w:pPr>
        <w:pStyle w:val="NoSpacing"/>
        <w:numPr>
          <w:ilvl w:val="0"/>
          <w:numId w:val="24"/>
        </w:numPr>
        <w:spacing w:after="3" w:line="248" w:lineRule="auto"/>
        <w:ind w:right="134"/>
        <w:rPr>
          <w:rFonts w:ascii="Arial" w:hAnsi="Arial" w:cs="Arial"/>
          <w:b/>
          <w:i/>
          <w:color w:val="FF0000"/>
          <w:sz w:val="20"/>
        </w:rPr>
      </w:pPr>
      <w:r>
        <w:t xml:space="preserve">Assessing Essential Components of Reading training to </w:t>
      </w:r>
      <w:r w:rsidR="00377EB3">
        <w:t xml:space="preserve">develop a more </w:t>
      </w:r>
      <w:r>
        <w:t>flexible model</w:t>
      </w:r>
      <w:r w:rsidR="00377EB3">
        <w:t xml:space="preserve"> of delivery</w:t>
      </w:r>
      <w:r>
        <w:t xml:space="preserve">. </w:t>
      </w:r>
    </w:p>
    <w:p w:rsidR="001839A4" w:rsidRPr="008376EC" w:rsidRDefault="001839A4" w:rsidP="006A05B3">
      <w:pPr>
        <w:pStyle w:val="NoSpacing"/>
        <w:rPr>
          <w:rFonts w:ascii="Arial" w:hAnsi="Arial" w:cs="Arial"/>
          <w:b/>
          <w:bCs/>
          <w:sz w:val="20"/>
          <w:lang w:val="en"/>
        </w:rPr>
      </w:pPr>
      <w:r w:rsidRPr="008376EC">
        <w:t xml:space="preserve">Below are the credentials awarded </w:t>
      </w:r>
      <w:r>
        <w:t xml:space="preserve">by NC </w:t>
      </w:r>
      <w:r w:rsidRPr="008376EC">
        <w:t xml:space="preserve">and the number of credentials earned during the 2016-2017 program year: </w:t>
      </w:r>
    </w:p>
    <w:tbl>
      <w:tblPr>
        <w:tblW w:w="8218" w:type="dxa"/>
        <w:tblInd w:w="-305" w:type="dxa"/>
        <w:tblCellMar>
          <w:left w:w="0" w:type="dxa"/>
          <w:right w:w="0" w:type="dxa"/>
        </w:tblCellMar>
        <w:tblLook w:val="04A0" w:firstRow="1" w:lastRow="0" w:firstColumn="1" w:lastColumn="0" w:noHBand="0" w:noVBand="1"/>
      </w:tblPr>
      <w:tblGrid>
        <w:gridCol w:w="3278"/>
        <w:gridCol w:w="1235"/>
        <w:gridCol w:w="1235"/>
        <w:gridCol w:w="1235"/>
        <w:gridCol w:w="1235"/>
      </w:tblGrid>
      <w:tr w:rsidR="001839A4" w:rsidRPr="008376EC" w:rsidTr="00700B12">
        <w:trPr>
          <w:trHeight w:val="417"/>
        </w:trPr>
        <w:tc>
          <w:tcPr>
            <w:tcW w:w="3278" w:type="dxa"/>
            <w:noWrap/>
            <w:tcMar>
              <w:top w:w="15" w:type="dxa"/>
              <w:left w:w="15" w:type="dxa"/>
              <w:bottom w:w="0" w:type="dxa"/>
              <w:right w:w="15" w:type="dxa"/>
            </w:tcMar>
            <w:vAlign w:val="center"/>
            <w:hideMark/>
          </w:tcPr>
          <w:p w:rsidR="001839A4" w:rsidRPr="008376EC" w:rsidRDefault="001839A4" w:rsidP="00AA3B41">
            <w:pPr>
              <w:rPr>
                <w:rFonts w:ascii="Arial" w:hAnsi="Arial" w:cs="Arial"/>
                <w:sz w:val="20"/>
              </w:rPr>
            </w:pPr>
          </w:p>
        </w:tc>
        <w:tc>
          <w:tcPr>
            <w:tcW w:w="1235" w:type="dxa"/>
            <w:tcMar>
              <w:top w:w="15" w:type="dxa"/>
              <w:left w:w="15" w:type="dxa"/>
              <w:bottom w:w="0" w:type="dxa"/>
              <w:right w:w="15" w:type="dxa"/>
            </w:tcMar>
            <w:vAlign w:val="center"/>
          </w:tcPr>
          <w:p w:rsidR="001839A4" w:rsidRPr="008376EC" w:rsidRDefault="001839A4" w:rsidP="00AA3B41">
            <w:pPr>
              <w:rPr>
                <w:rFonts w:ascii="Arial" w:hAnsi="Arial" w:cs="Arial"/>
                <w:b/>
                <w:bCs/>
                <w:color w:val="000000"/>
                <w:sz w:val="20"/>
              </w:rPr>
            </w:pPr>
          </w:p>
        </w:tc>
        <w:tc>
          <w:tcPr>
            <w:tcW w:w="1235" w:type="dxa"/>
            <w:tcMar>
              <w:top w:w="15" w:type="dxa"/>
              <w:left w:w="15" w:type="dxa"/>
              <w:bottom w:w="0" w:type="dxa"/>
              <w:right w:w="15" w:type="dxa"/>
            </w:tcMar>
            <w:vAlign w:val="center"/>
          </w:tcPr>
          <w:p w:rsidR="001839A4" w:rsidRPr="008376EC" w:rsidRDefault="001839A4" w:rsidP="00AA3B41">
            <w:pPr>
              <w:jc w:val="center"/>
              <w:rPr>
                <w:rFonts w:ascii="Arial" w:hAnsi="Arial" w:cs="Arial"/>
                <w:b/>
                <w:bCs/>
                <w:color w:val="000000"/>
                <w:sz w:val="20"/>
              </w:rPr>
            </w:pPr>
          </w:p>
        </w:tc>
        <w:tc>
          <w:tcPr>
            <w:tcW w:w="1235" w:type="dxa"/>
            <w:tcMar>
              <w:top w:w="15" w:type="dxa"/>
              <w:left w:w="15" w:type="dxa"/>
              <w:bottom w:w="0" w:type="dxa"/>
              <w:right w:w="15" w:type="dxa"/>
            </w:tcMar>
            <w:vAlign w:val="center"/>
          </w:tcPr>
          <w:p w:rsidR="001839A4" w:rsidRPr="008376EC" w:rsidRDefault="001839A4" w:rsidP="00AA3B41">
            <w:pPr>
              <w:jc w:val="center"/>
              <w:rPr>
                <w:rFonts w:ascii="Arial" w:hAnsi="Arial" w:cs="Arial"/>
                <w:b/>
                <w:bCs/>
                <w:color w:val="000000"/>
                <w:sz w:val="20"/>
              </w:rPr>
            </w:pPr>
          </w:p>
        </w:tc>
        <w:tc>
          <w:tcPr>
            <w:tcW w:w="1235" w:type="dxa"/>
            <w:tcMar>
              <w:top w:w="15" w:type="dxa"/>
              <w:left w:w="15" w:type="dxa"/>
              <w:bottom w:w="0" w:type="dxa"/>
              <w:right w:w="15" w:type="dxa"/>
            </w:tcMar>
            <w:vAlign w:val="center"/>
            <w:hideMark/>
          </w:tcPr>
          <w:p w:rsidR="001839A4" w:rsidRPr="008376EC" w:rsidRDefault="001839A4" w:rsidP="00AA3B41">
            <w:pPr>
              <w:jc w:val="center"/>
              <w:rPr>
                <w:rFonts w:ascii="Arial" w:hAnsi="Arial" w:cs="Arial"/>
                <w:b/>
                <w:bCs/>
                <w:color w:val="000000"/>
                <w:sz w:val="20"/>
              </w:rPr>
            </w:pPr>
            <w:r w:rsidRPr="008376EC">
              <w:rPr>
                <w:rFonts w:ascii="Arial" w:hAnsi="Arial" w:cs="Arial"/>
                <w:b/>
                <w:bCs/>
                <w:color w:val="000000"/>
                <w:sz w:val="20"/>
              </w:rPr>
              <w:t>Credentials</w:t>
            </w:r>
          </w:p>
          <w:p w:rsidR="001839A4" w:rsidRPr="008376EC" w:rsidRDefault="001839A4" w:rsidP="00AA3B41">
            <w:pPr>
              <w:jc w:val="center"/>
              <w:rPr>
                <w:rFonts w:ascii="Arial" w:hAnsi="Arial" w:cs="Arial"/>
                <w:b/>
                <w:bCs/>
                <w:color w:val="000000"/>
                <w:sz w:val="20"/>
              </w:rPr>
            </w:pPr>
            <w:r w:rsidRPr="008376EC">
              <w:rPr>
                <w:rFonts w:ascii="Arial" w:hAnsi="Arial" w:cs="Arial"/>
                <w:b/>
                <w:bCs/>
                <w:color w:val="000000"/>
                <w:sz w:val="20"/>
              </w:rPr>
              <w:t>Awarded</w:t>
            </w:r>
          </w:p>
        </w:tc>
      </w:tr>
      <w:tr w:rsidR="001839A4" w:rsidRPr="008376EC" w:rsidTr="00700B12">
        <w:trPr>
          <w:trHeight w:val="270"/>
        </w:trPr>
        <w:tc>
          <w:tcPr>
            <w:tcW w:w="3278" w:type="dxa"/>
            <w:noWrap/>
            <w:tcMar>
              <w:top w:w="15" w:type="dxa"/>
              <w:left w:w="15" w:type="dxa"/>
              <w:bottom w:w="0" w:type="dxa"/>
              <w:right w:w="15" w:type="dxa"/>
            </w:tcMar>
            <w:vAlign w:val="bottom"/>
            <w:hideMark/>
          </w:tcPr>
          <w:p w:rsidR="001839A4" w:rsidRPr="008376EC" w:rsidRDefault="001839A4" w:rsidP="00AA3B41">
            <w:pPr>
              <w:pStyle w:val="ListParagraph"/>
              <w:numPr>
                <w:ilvl w:val="0"/>
                <w:numId w:val="20"/>
              </w:numPr>
              <w:rPr>
                <w:rFonts w:ascii="Arial" w:hAnsi="Arial" w:cs="Arial"/>
                <w:color w:val="000000"/>
                <w:sz w:val="20"/>
                <w:szCs w:val="20"/>
              </w:rPr>
            </w:pPr>
            <w:r w:rsidRPr="008376EC">
              <w:rPr>
                <w:rFonts w:ascii="Arial" w:hAnsi="Arial" w:cs="Arial"/>
                <w:color w:val="000000"/>
                <w:sz w:val="20"/>
                <w:szCs w:val="20"/>
              </w:rPr>
              <w:t>CORE - Face-to-Face</w:t>
            </w:r>
          </w:p>
        </w:tc>
        <w:tc>
          <w:tcPr>
            <w:tcW w:w="0" w:type="auto"/>
            <w:noWrap/>
            <w:tcMar>
              <w:top w:w="15" w:type="dxa"/>
              <w:left w:w="15" w:type="dxa"/>
              <w:bottom w:w="0" w:type="dxa"/>
              <w:right w:w="15" w:type="dxa"/>
            </w:tcMar>
            <w:vAlign w:val="bottom"/>
          </w:tcPr>
          <w:p w:rsidR="001839A4" w:rsidRPr="008376EC" w:rsidRDefault="001839A4" w:rsidP="00AA3B41">
            <w:pPr>
              <w:jc w:val="center"/>
              <w:rPr>
                <w:rFonts w:ascii="Arial" w:hAnsi="Arial" w:cs="Arial"/>
                <w:color w:val="000000"/>
                <w:sz w:val="20"/>
              </w:rPr>
            </w:pPr>
          </w:p>
        </w:tc>
        <w:tc>
          <w:tcPr>
            <w:tcW w:w="0" w:type="auto"/>
            <w:noWrap/>
            <w:tcMar>
              <w:top w:w="15" w:type="dxa"/>
              <w:left w:w="15" w:type="dxa"/>
              <w:bottom w:w="0" w:type="dxa"/>
              <w:right w:w="15" w:type="dxa"/>
            </w:tcMar>
            <w:vAlign w:val="bottom"/>
          </w:tcPr>
          <w:p w:rsidR="001839A4" w:rsidRPr="008376EC" w:rsidRDefault="001839A4" w:rsidP="00AA3B41">
            <w:pPr>
              <w:jc w:val="center"/>
              <w:rPr>
                <w:rFonts w:ascii="Arial" w:hAnsi="Arial" w:cs="Arial"/>
                <w:color w:val="000000"/>
                <w:sz w:val="20"/>
              </w:rPr>
            </w:pPr>
          </w:p>
        </w:tc>
        <w:tc>
          <w:tcPr>
            <w:tcW w:w="0" w:type="auto"/>
            <w:noWrap/>
            <w:tcMar>
              <w:top w:w="15" w:type="dxa"/>
              <w:left w:w="15" w:type="dxa"/>
              <w:bottom w:w="0" w:type="dxa"/>
              <w:right w:w="15" w:type="dxa"/>
            </w:tcMar>
            <w:vAlign w:val="bottom"/>
          </w:tcPr>
          <w:p w:rsidR="001839A4" w:rsidRPr="008376EC" w:rsidRDefault="001839A4" w:rsidP="00AA3B41">
            <w:pPr>
              <w:jc w:val="center"/>
              <w:rPr>
                <w:rFonts w:ascii="Arial" w:hAnsi="Arial" w:cs="Arial"/>
                <w:color w:val="000000"/>
                <w:sz w:val="20"/>
              </w:rPr>
            </w:pPr>
          </w:p>
        </w:tc>
        <w:tc>
          <w:tcPr>
            <w:tcW w:w="0" w:type="auto"/>
            <w:noWrap/>
            <w:tcMar>
              <w:top w:w="15" w:type="dxa"/>
              <w:left w:w="15" w:type="dxa"/>
              <w:bottom w:w="0" w:type="dxa"/>
              <w:right w:w="15" w:type="dxa"/>
            </w:tcMar>
            <w:vAlign w:val="bottom"/>
            <w:hideMark/>
          </w:tcPr>
          <w:p w:rsidR="001839A4" w:rsidRPr="008376EC" w:rsidRDefault="001839A4" w:rsidP="00AA3B41">
            <w:pPr>
              <w:jc w:val="center"/>
              <w:rPr>
                <w:rFonts w:ascii="Arial" w:hAnsi="Arial" w:cs="Arial"/>
                <w:color w:val="000000"/>
                <w:sz w:val="20"/>
              </w:rPr>
            </w:pPr>
            <w:r w:rsidRPr="008376EC">
              <w:rPr>
                <w:rFonts w:ascii="Arial" w:hAnsi="Arial" w:cs="Arial"/>
                <w:color w:val="000000"/>
                <w:sz w:val="20"/>
              </w:rPr>
              <w:t>103</w:t>
            </w:r>
          </w:p>
        </w:tc>
      </w:tr>
      <w:tr w:rsidR="001839A4" w:rsidRPr="008376EC" w:rsidTr="00700B12">
        <w:trPr>
          <w:trHeight w:val="290"/>
        </w:trPr>
        <w:tc>
          <w:tcPr>
            <w:tcW w:w="3278" w:type="dxa"/>
            <w:noWrap/>
            <w:tcMar>
              <w:top w:w="15" w:type="dxa"/>
              <w:left w:w="15" w:type="dxa"/>
              <w:bottom w:w="0" w:type="dxa"/>
              <w:right w:w="15" w:type="dxa"/>
            </w:tcMar>
            <w:vAlign w:val="bottom"/>
            <w:hideMark/>
          </w:tcPr>
          <w:p w:rsidR="001839A4" w:rsidRPr="008376EC" w:rsidRDefault="001839A4" w:rsidP="00AA3B41">
            <w:pPr>
              <w:pStyle w:val="ListParagraph"/>
              <w:numPr>
                <w:ilvl w:val="0"/>
                <w:numId w:val="20"/>
              </w:numPr>
              <w:rPr>
                <w:rFonts w:ascii="Arial" w:hAnsi="Arial" w:cs="Arial"/>
                <w:color w:val="000000"/>
                <w:sz w:val="20"/>
                <w:szCs w:val="20"/>
              </w:rPr>
            </w:pPr>
            <w:r w:rsidRPr="008376EC">
              <w:rPr>
                <w:rFonts w:ascii="Arial" w:hAnsi="Arial" w:cs="Arial"/>
                <w:color w:val="000000"/>
                <w:sz w:val="20"/>
                <w:szCs w:val="20"/>
              </w:rPr>
              <w:t>CORE - Hybrid - 10-weeks</w:t>
            </w:r>
          </w:p>
        </w:tc>
        <w:tc>
          <w:tcPr>
            <w:tcW w:w="0" w:type="auto"/>
            <w:noWrap/>
            <w:tcMar>
              <w:top w:w="15" w:type="dxa"/>
              <w:left w:w="15" w:type="dxa"/>
              <w:bottom w:w="0" w:type="dxa"/>
              <w:right w:w="15" w:type="dxa"/>
            </w:tcMar>
            <w:vAlign w:val="bottom"/>
          </w:tcPr>
          <w:p w:rsidR="001839A4" w:rsidRPr="008376EC" w:rsidRDefault="001839A4" w:rsidP="00AA3B41">
            <w:pPr>
              <w:jc w:val="center"/>
              <w:rPr>
                <w:rFonts w:ascii="Arial" w:hAnsi="Arial" w:cs="Arial"/>
                <w:color w:val="000000"/>
                <w:sz w:val="20"/>
              </w:rPr>
            </w:pPr>
          </w:p>
        </w:tc>
        <w:tc>
          <w:tcPr>
            <w:tcW w:w="0" w:type="auto"/>
            <w:noWrap/>
            <w:tcMar>
              <w:top w:w="15" w:type="dxa"/>
              <w:left w:w="15" w:type="dxa"/>
              <w:bottom w:w="0" w:type="dxa"/>
              <w:right w:w="15" w:type="dxa"/>
            </w:tcMar>
            <w:vAlign w:val="bottom"/>
          </w:tcPr>
          <w:p w:rsidR="001839A4" w:rsidRPr="008376EC" w:rsidRDefault="001839A4" w:rsidP="00AA3B41">
            <w:pPr>
              <w:jc w:val="center"/>
              <w:rPr>
                <w:rFonts w:ascii="Arial" w:hAnsi="Arial" w:cs="Arial"/>
                <w:color w:val="000000"/>
                <w:sz w:val="20"/>
              </w:rPr>
            </w:pPr>
          </w:p>
        </w:tc>
        <w:tc>
          <w:tcPr>
            <w:tcW w:w="0" w:type="auto"/>
            <w:noWrap/>
            <w:tcMar>
              <w:top w:w="15" w:type="dxa"/>
              <w:left w:w="15" w:type="dxa"/>
              <w:bottom w:w="0" w:type="dxa"/>
              <w:right w:w="15" w:type="dxa"/>
            </w:tcMar>
            <w:vAlign w:val="bottom"/>
          </w:tcPr>
          <w:p w:rsidR="001839A4" w:rsidRPr="008376EC" w:rsidRDefault="001839A4" w:rsidP="00AA3B41">
            <w:pPr>
              <w:jc w:val="center"/>
              <w:rPr>
                <w:rFonts w:ascii="Arial" w:hAnsi="Arial" w:cs="Arial"/>
                <w:color w:val="000000"/>
                <w:sz w:val="20"/>
              </w:rPr>
            </w:pPr>
          </w:p>
        </w:tc>
        <w:tc>
          <w:tcPr>
            <w:tcW w:w="0" w:type="auto"/>
            <w:noWrap/>
            <w:tcMar>
              <w:top w:w="15" w:type="dxa"/>
              <w:left w:w="15" w:type="dxa"/>
              <w:bottom w:w="0" w:type="dxa"/>
              <w:right w:w="15" w:type="dxa"/>
            </w:tcMar>
            <w:vAlign w:val="bottom"/>
            <w:hideMark/>
          </w:tcPr>
          <w:p w:rsidR="001839A4" w:rsidRPr="008376EC" w:rsidRDefault="001839A4" w:rsidP="00AA3B41">
            <w:pPr>
              <w:jc w:val="center"/>
              <w:rPr>
                <w:rFonts w:ascii="Arial" w:hAnsi="Arial" w:cs="Arial"/>
                <w:color w:val="000000"/>
                <w:sz w:val="20"/>
              </w:rPr>
            </w:pPr>
            <w:r w:rsidRPr="008376EC">
              <w:rPr>
                <w:rFonts w:ascii="Arial" w:hAnsi="Arial" w:cs="Arial"/>
                <w:color w:val="000000"/>
                <w:sz w:val="20"/>
              </w:rPr>
              <w:t>28</w:t>
            </w:r>
          </w:p>
        </w:tc>
      </w:tr>
      <w:tr w:rsidR="001839A4" w:rsidRPr="008376EC" w:rsidTr="00700B12">
        <w:trPr>
          <w:trHeight w:val="237"/>
        </w:trPr>
        <w:tc>
          <w:tcPr>
            <w:tcW w:w="3278" w:type="dxa"/>
            <w:noWrap/>
            <w:tcMar>
              <w:top w:w="15" w:type="dxa"/>
              <w:left w:w="15" w:type="dxa"/>
              <w:bottom w:w="0" w:type="dxa"/>
              <w:right w:w="15" w:type="dxa"/>
            </w:tcMar>
            <w:vAlign w:val="bottom"/>
            <w:hideMark/>
          </w:tcPr>
          <w:p w:rsidR="001839A4" w:rsidRPr="008376EC" w:rsidRDefault="001839A4" w:rsidP="00AA3B41">
            <w:pPr>
              <w:pStyle w:val="ListParagraph"/>
              <w:numPr>
                <w:ilvl w:val="0"/>
                <w:numId w:val="20"/>
              </w:numPr>
              <w:rPr>
                <w:rFonts w:ascii="Arial" w:hAnsi="Arial" w:cs="Arial"/>
                <w:color w:val="000000"/>
                <w:sz w:val="20"/>
                <w:szCs w:val="20"/>
              </w:rPr>
            </w:pPr>
            <w:r w:rsidRPr="008376EC">
              <w:rPr>
                <w:rFonts w:ascii="Arial" w:hAnsi="Arial" w:cs="Arial"/>
                <w:color w:val="000000"/>
                <w:sz w:val="20"/>
                <w:szCs w:val="20"/>
              </w:rPr>
              <w:t xml:space="preserve">Adult Secondary Education </w:t>
            </w:r>
          </w:p>
        </w:tc>
        <w:tc>
          <w:tcPr>
            <w:tcW w:w="0" w:type="auto"/>
            <w:noWrap/>
            <w:tcMar>
              <w:top w:w="15" w:type="dxa"/>
              <w:left w:w="15" w:type="dxa"/>
              <w:bottom w:w="0" w:type="dxa"/>
              <w:right w:w="15" w:type="dxa"/>
            </w:tcMar>
            <w:vAlign w:val="bottom"/>
          </w:tcPr>
          <w:p w:rsidR="001839A4" w:rsidRPr="008376EC" w:rsidRDefault="001839A4" w:rsidP="00AA3B41">
            <w:pPr>
              <w:jc w:val="center"/>
              <w:rPr>
                <w:rFonts w:ascii="Arial" w:hAnsi="Arial" w:cs="Arial"/>
                <w:color w:val="000000"/>
                <w:sz w:val="20"/>
              </w:rPr>
            </w:pPr>
          </w:p>
        </w:tc>
        <w:tc>
          <w:tcPr>
            <w:tcW w:w="0" w:type="auto"/>
            <w:noWrap/>
            <w:tcMar>
              <w:top w:w="15" w:type="dxa"/>
              <w:left w:w="15" w:type="dxa"/>
              <w:bottom w:w="0" w:type="dxa"/>
              <w:right w:w="15" w:type="dxa"/>
            </w:tcMar>
            <w:vAlign w:val="bottom"/>
          </w:tcPr>
          <w:p w:rsidR="001839A4" w:rsidRPr="008376EC" w:rsidRDefault="001839A4" w:rsidP="00AA3B41">
            <w:pPr>
              <w:jc w:val="center"/>
              <w:rPr>
                <w:rFonts w:ascii="Arial" w:hAnsi="Arial" w:cs="Arial"/>
                <w:color w:val="000000"/>
                <w:sz w:val="20"/>
              </w:rPr>
            </w:pPr>
          </w:p>
        </w:tc>
        <w:tc>
          <w:tcPr>
            <w:tcW w:w="0" w:type="auto"/>
            <w:noWrap/>
            <w:tcMar>
              <w:top w:w="15" w:type="dxa"/>
              <w:left w:w="15" w:type="dxa"/>
              <w:bottom w:w="0" w:type="dxa"/>
              <w:right w:w="15" w:type="dxa"/>
            </w:tcMar>
            <w:vAlign w:val="bottom"/>
          </w:tcPr>
          <w:p w:rsidR="001839A4" w:rsidRPr="008376EC" w:rsidRDefault="001839A4" w:rsidP="00AA3B41">
            <w:pPr>
              <w:jc w:val="center"/>
              <w:rPr>
                <w:rFonts w:ascii="Arial" w:hAnsi="Arial" w:cs="Arial"/>
                <w:color w:val="000000"/>
                <w:sz w:val="20"/>
              </w:rPr>
            </w:pPr>
          </w:p>
        </w:tc>
        <w:tc>
          <w:tcPr>
            <w:tcW w:w="0" w:type="auto"/>
            <w:noWrap/>
            <w:tcMar>
              <w:top w:w="15" w:type="dxa"/>
              <w:left w:w="15" w:type="dxa"/>
              <w:bottom w:w="0" w:type="dxa"/>
              <w:right w:w="15" w:type="dxa"/>
            </w:tcMar>
            <w:vAlign w:val="bottom"/>
            <w:hideMark/>
          </w:tcPr>
          <w:p w:rsidR="001839A4" w:rsidRPr="008376EC" w:rsidRDefault="001839A4" w:rsidP="00AA3B41">
            <w:pPr>
              <w:jc w:val="center"/>
              <w:rPr>
                <w:rFonts w:ascii="Arial" w:hAnsi="Arial" w:cs="Arial"/>
                <w:color w:val="000000"/>
                <w:sz w:val="20"/>
              </w:rPr>
            </w:pPr>
            <w:r w:rsidRPr="008376EC">
              <w:rPr>
                <w:rFonts w:ascii="Arial" w:hAnsi="Arial" w:cs="Arial"/>
                <w:color w:val="000000"/>
                <w:sz w:val="20"/>
              </w:rPr>
              <w:t>54</w:t>
            </w:r>
          </w:p>
        </w:tc>
      </w:tr>
      <w:tr w:rsidR="001839A4" w:rsidRPr="008376EC" w:rsidTr="00700B12">
        <w:trPr>
          <w:trHeight w:val="263"/>
        </w:trPr>
        <w:tc>
          <w:tcPr>
            <w:tcW w:w="3278" w:type="dxa"/>
            <w:noWrap/>
            <w:tcMar>
              <w:top w:w="15" w:type="dxa"/>
              <w:left w:w="15" w:type="dxa"/>
              <w:bottom w:w="0" w:type="dxa"/>
              <w:right w:w="15" w:type="dxa"/>
            </w:tcMar>
            <w:vAlign w:val="bottom"/>
            <w:hideMark/>
          </w:tcPr>
          <w:p w:rsidR="001839A4" w:rsidRPr="008376EC" w:rsidRDefault="001839A4" w:rsidP="00AA3B41">
            <w:pPr>
              <w:pStyle w:val="ListParagraph"/>
              <w:numPr>
                <w:ilvl w:val="0"/>
                <w:numId w:val="20"/>
              </w:numPr>
              <w:rPr>
                <w:rFonts w:ascii="Arial" w:hAnsi="Arial" w:cs="Arial"/>
                <w:color w:val="000000"/>
                <w:sz w:val="20"/>
                <w:szCs w:val="20"/>
              </w:rPr>
            </w:pPr>
            <w:r w:rsidRPr="008376EC">
              <w:rPr>
                <w:rFonts w:ascii="Arial" w:hAnsi="Arial" w:cs="Arial"/>
                <w:color w:val="000000"/>
                <w:sz w:val="20"/>
                <w:szCs w:val="20"/>
              </w:rPr>
              <w:t xml:space="preserve">ESOL Specialty </w:t>
            </w:r>
          </w:p>
        </w:tc>
        <w:tc>
          <w:tcPr>
            <w:tcW w:w="0" w:type="auto"/>
            <w:noWrap/>
            <w:tcMar>
              <w:top w:w="15" w:type="dxa"/>
              <w:left w:w="15" w:type="dxa"/>
              <w:bottom w:w="0" w:type="dxa"/>
              <w:right w:w="15" w:type="dxa"/>
            </w:tcMar>
            <w:vAlign w:val="bottom"/>
          </w:tcPr>
          <w:p w:rsidR="001839A4" w:rsidRPr="008376EC" w:rsidRDefault="001839A4" w:rsidP="00AA3B41">
            <w:pPr>
              <w:jc w:val="center"/>
              <w:rPr>
                <w:rFonts w:ascii="Arial" w:hAnsi="Arial" w:cs="Arial"/>
                <w:color w:val="000000"/>
                <w:sz w:val="20"/>
              </w:rPr>
            </w:pPr>
          </w:p>
        </w:tc>
        <w:tc>
          <w:tcPr>
            <w:tcW w:w="0" w:type="auto"/>
            <w:noWrap/>
            <w:tcMar>
              <w:top w:w="15" w:type="dxa"/>
              <w:left w:w="15" w:type="dxa"/>
              <w:bottom w:w="0" w:type="dxa"/>
              <w:right w:w="15" w:type="dxa"/>
            </w:tcMar>
            <w:vAlign w:val="bottom"/>
          </w:tcPr>
          <w:p w:rsidR="001839A4" w:rsidRPr="008376EC" w:rsidRDefault="001839A4" w:rsidP="00AA3B41">
            <w:pPr>
              <w:jc w:val="center"/>
              <w:rPr>
                <w:rFonts w:ascii="Arial" w:hAnsi="Arial" w:cs="Arial"/>
                <w:color w:val="000000"/>
                <w:sz w:val="20"/>
              </w:rPr>
            </w:pPr>
          </w:p>
        </w:tc>
        <w:tc>
          <w:tcPr>
            <w:tcW w:w="0" w:type="auto"/>
            <w:noWrap/>
            <w:tcMar>
              <w:top w:w="15" w:type="dxa"/>
              <w:left w:w="15" w:type="dxa"/>
              <w:bottom w:w="0" w:type="dxa"/>
              <w:right w:w="15" w:type="dxa"/>
            </w:tcMar>
            <w:vAlign w:val="bottom"/>
          </w:tcPr>
          <w:p w:rsidR="001839A4" w:rsidRPr="008376EC" w:rsidRDefault="001839A4" w:rsidP="00AA3B41">
            <w:pPr>
              <w:jc w:val="center"/>
              <w:rPr>
                <w:rFonts w:ascii="Arial" w:hAnsi="Arial" w:cs="Arial"/>
                <w:color w:val="000000"/>
                <w:sz w:val="20"/>
              </w:rPr>
            </w:pPr>
          </w:p>
        </w:tc>
        <w:tc>
          <w:tcPr>
            <w:tcW w:w="0" w:type="auto"/>
            <w:noWrap/>
            <w:tcMar>
              <w:top w:w="15" w:type="dxa"/>
              <w:left w:w="15" w:type="dxa"/>
              <w:bottom w:w="0" w:type="dxa"/>
              <w:right w:w="15" w:type="dxa"/>
            </w:tcMar>
            <w:vAlign w:val="bottom"/>
            <w:hideMark/>
          </w:tcPr>
          <w:p w:rsidR="001839A4" w:rsidRPr="008376EC" w:rsidRDefault="001839A4" w:rsidP="00AA3B41">
            <w:pPr>
              <w:jc w:val="center"/>
              <w:rPr>
                <w:rFonts w:ascii="Arial" w:hAnsi="Arial" w:cs="Arial"/>
                <w:color w:val="000000"/>
                <w:sz w:val="20"/>
              </w:rPr>
            </w:pPr>
            <w:r w:rsidRPr="008376EC">
              <w:rPr>
                <w:rFonts w:ascii="Arial" w:hAnsi="Arial" w:cs="Arial"/>
                <w:color w:val="000000"/>
                <w:sz w:val="20"/>
              </w:rPr>
              <w:t>45</w:t>
            </w:r>
          </w:p>
        </w:tc>
      </w:tr>
      <w:tr w:rsidR="001839A4" w:rsidRPr="008376EC" w:rsidTr="00700B12">
        <w:trPr>
          <w:trHeight w:val="216"/>
        </w:trPr>
        <w:tc>
          <w:tcPr>
            <w:tcW w:w="3278" w:type="dxa"/>
            <w:noWrap/>
            <w:tcMar>
              <w:top w:w="15" w:type="dxa"/>
              <w:left w:w="15" w:type="dxa"/>
              <w:bottom w:w="0" w:type="dxa"/>
              <w:right w:w="15" w:type="dxa"/>
            </w:tcMar>
            <w:vAlign w:val="bottom"/>
            <w:hideMark/>
          </w:tcPr>
          <w:p w:rsidR="001839A4" w:rsidRPr="008376EC" w:rsidRDefault="001839A4" w:rsidP="00AA3B41">
            <w:pPr>
              <w:pStyle w:val="ListParagraph"/>
              <w:numPr>
                <w:ilvl w:val="0"/>
                <w:numId w:val="20"/>
              </w:numPr>
              <w:rPr>
                <w:rFonts w:ascii="Arial" w:hAnsi="Arial" w:cs="Arial"/>
                <w:color w:val="000000"/>
                <w:sz w:val="20"/>
                <w:szCs w:val="20"/>
              </w:rPr>
            </w:pPr>
            <w:r w:rsidRPr="008376EC">
              <w:rPr>
                <w:rFonts w:ascii="Arial" w:hAnsi="Arial" w:cs="Arial"/>
                <w:color w:val="000000"/>
                <w:sz w:val="20"/>
                <w:szCs w:val="20"/>
              </w:rPr>
              <w:t>STAR/Reading - 6 days each</w:t>
            </w:r>
          </w:p>
        </w:tc>
        <w:tc>
          <w:tcPr>
            <w:tcW w:w="0" w:type="auto"/>
            <w:noWrap/>
            <w:tcMar>
              <w:top w:w="15" w:type="dxa"/>
              <w:left w:w="15" w:type="dxa"/>
              <w:bottom w:w="0" w:type="dxa"/>
              <w:right w:w="15" w:type="dxa"/>
            </w:tcMar>
            <w:vAlign w:val="bottom"/>
          </w:tcPr>
          <w:p w:rsidR="001839A4" w:rsidRPr="008376EC" w:rsidRDefault="001839A4" w:rsidP="00AA3B41">
            <w:pPr>
              <w:jc w:val="center"/>
              <w:rPr>
                <w:rFonts w:ascii="Arial" w:hAnsi="Arial" w:cs="Arial"/>
                <w:color w:val="000000"/>
                <w:sz w:val="20"/>
              </w:rPr>
            </w:pPr>
          </w:p>
        </w:tc>
        <w:tc>
          <w:tcPr>
            <w:tcW w:w="0" w:type="auto"/>
            <w:noWrap/>
            <w:tcMar>
              <w:top w:w="15" w:type="dxa"/>
              <w:left w:w="15" w:type="dxa"/>
              <w:bottom w:w="0" w:type="dxa"/>
              <w:right w:w="15" w:type="dxa"/>
            </w:tcMar>
            <w:vAlign w:val="bottom"/>
          </w:tcPr>
          <w:p w:rsidR="001839A4" w:rsidRPr="008376EC" w:rsidRDefault="001839A4" w:rsidP="00AA3B41">
            <w:pPr>
              <w:jc w:val="center"/>
              <w:rPr>
                <w:rFonts w:ascii="Arial" w:hAnsi="Arial" w:cs="Arial"/>
                <w:color w:val="000000"/>
                <w:sz w:val="20"/>
              </w:rPr>
            </w:pPr>
          </w:p>
        </w:tc>
        <w:tc>
          <w:tcPr>
            <w:tcW w:w="0" w:type="auto"/>
            <w:noWrap/>
            <w:tcMar>
              <w:top w:w="15" w:type="dxa"/>
              <w:left w:w="15" w:type="dxa"/>
              <w:bottom w:w="0" w:type="dxa"/>
              <w:right w:w="15" w:type="dxa"/>
            </w:tcMar>
            <w:vAlign w:val="bottom"/>
          </w:tcPr>
          <w:p w:rsidR="001839A4" w:rsidRPr="008376EC" w:rsidRDefault="001839A4" w:rsidP="00AA3B41">
            <w:pPr>
              <w:jc w:val="center"/>
              <w:rPr>
                <w:rFonts w:ascii="Arial" w:hAnsi="Arial" w:cs="Arial"/>
                <w:color w:val="000000"/>
                <w:sz w:val="20"/>
              </w:rPr>
            </w:pPr>
          </w:p>
        </w:tc>
        <w:tc>
          <w:tcPr>
            <w:tcW w:w="0" w:type="auto"/>
            <w:noWrap/>
            <w:tcMar>
              <w:top w:w="15" w:type="dxa"/>
              <w:left w:w="15" w:type="dxa"/>
              <w:bottom w:w="0" w:type="dxa"/>
              <w:right w:w="15" w:type="dxa"/>
            </w:tcMar>
            <w:vAlign w:val="bottom"/>
            <w:hideMark/>
          </w:tcPr>
          <w:p w:rsidR="001839A4" w:rsidRPr="008376EC" w:rsidRDefault="001839A4" w:rsidP="00AA3B41">
            <w:pPr>
              <w:jc w:val="center"/>
              <w:rPr>
                <w:rFonts w:ascii="Arial" w:hAnsi="Arial" w:cs="Arial"/>
                <w:color w:val="000000"/>
                <w:sz w:val="20"/>
              </w:rPr>
            </w:pPr>
            <w:r w:rsidRPr="008376EC">
              <w:rPr>
                <w:rFonts w:ascii="Arial" w:hAnsi="Arial" w:cs="Arial"/>
                <w:color w:val="000000"/>
                <w:sz w:val="20"/>
              </w:rPr>
              <w:t>63</w:t>
            </w:r>
          </w:p>
        </w:tc>
      </w:tr>
    </w:tbl>
    <w:p w:rsidR="001839A4" w:rsidRDefault="001839A4" w:rsidP="001839A4">
      <w:pPr>
        <w:rPr>
          <w:rStyle w:val="Strong"/>
          <w:rFonts w:ascii="Arial" w:hAnsi="Arial" w:cs="Arial"/>
          <w:b w:val="0"/>
          <w:sz w:val="20"/>
        </w:rPr>
      </w:pPr>
      <w:r w:rsidRPr="008376EC">
        <w:rPr>
          <w:rFonts w:ascii="Arial" w:hAnsi="Arial" w:cs="Arial"/>
          <w:sz w:val="20"/>
        </w:rPr>
        <w:br w:type="textWrapping" w:clear="all"/>
      </w:r>
      <w:r>
        <w:rPr>
          <w:rStyle w:val="Strong"/>
          <w:rFonts w:ascii="Arial" w:hAnsi="Arial" w:cs="Arial"/>
          <w:b w:val="0"/>
          <w:sz w:val="20"/>
        </w:rPr>
        <w:t xml:space="preserve">In addition to the credentials supported and awarded through the NC PD System. State leadership has provided many trainings and PD opportunities that were provided via webinar, </w:t>
      </w:r>
      <w:r w:rsidR="006811AA">
        <w:rPr>
          <w:rStyle w:val="Strong"/>
          <w:rFonts w:ascii="Arial" w:hAnsi="Arial" w:cs="Arial"/>
          <w:b w:val="0"/>
          <w:sz w:val="20"/>
        </w:rPr>
        <w:t>Moodle</w:t>
      </w:r>
      <w:r>
        <w:rPr>
          <w:rStyle w:val="Strong"/>
          <w:rFonts w:ascii="Arial" w:hAnsi="Arial" w:cs="Arial"/>
          <w:b w:val="0"/>
          <w:sz w:val="20"/>
        </w:rPr>
        <w:t xml:space="preserve">, and face-to-face. A summary of those PD activities is provided below: </w:t>
      </w:r>
    </w:p>
    <w:p w:rsidR="001839A4" w:rsidRDefault="001839A4" w:rsidP="001839A4">
      <w:pPr>
        <w:rPr>
          <w:rStyle w:val="Strong"/>
          <w:rFonts w:ascii="Arial" w:hAnsi="Arial" w:cs="Arial"/>
          <w:b w:val="0"/>
          <w:sz w:val="20"/>
        </w:rPr>
      </w:pPr>
    </w:p>
    <w:p w:rsidR="001839A4" w:rsidRPr="00623526" w:rsidRDefault="001839A4" w:rsidP="001839A4">
      <w:pPr>
        <w:pStyle w:val="ListParagraph"/>
        <w:numPr>
          <w:ilvl w:val="0"/>
          <w:numId w:val="18"/>
        </w:numPr>
        <w:spacing w:after="160" w:line="256" w:lineRule="auto"/>
        <w:rPr>
          <w:rFonts w:ascii="Arial" w:hAnsi="Arial" w:cs="Arial"/>
          <w:sz w:val="20"/>
          <w:szCs w:val="20"/>
        </w:rPr>
      </w:pPr>
      <w:r w:rsidRPr="00623526">
        <w:rPr>
          <w:rFonts w:ascii="Arial" w:hAnsi="Arial" w:cs="Arial"/>
          <w:sz w:val="20"/>
          <w:szCs w:val="20"/>
        </w:rPr>
        <w:t>Community College/Community Based Organization</w:t>
      </w:r>
      <w:r>
        <w:rPr>
          <w:rFonts w:ascii="Arial" w:hAnsi="Arial" w:cs="Arial"/>
          <w:sz w:val="20"/>
          <w:szCs w:val="20"/>
        </w:rPr>
        <w:t xml:space="preserve"> site visits &amp; presentations as needed or requested to ensure continual program improvement. </w:t>
      </w:r>
    </w:p>
    <w:p w:rsidR="001839A4" w:rsidRPr="00E9380C" w:rsidRDefault="00E9380C" w:rsidP="00E9380C">
      <w:pPr>
        <w:pStyle w:val="ListParagraph"/>
        <w:numPr>
          <w:ilvl w:val="0"/>
          <w:numId w:val="18"/>
        </w:numPr>
        <w:spacing w:after="160" w:line="256" w:lineRule="auto"/>
        <w:rPr>
          <w:rFonts w:ascii="Arial" w:hAnsi="Arial" w:cs="Arial"/>
          <w:sz w:val="20"/>
          <w:szCs w:val="20"/>
        </w:rPr>
      </w:pPr>
      <w:r>
        <w:rPr>
          <w:rFonts w:ascii="Arial" w:hAnsi="Arial" w:cs="Arial"/>
          <w:sz w:val="20"/>
          <w:szCs w:val="20"/>
        </w:rPr>
        <w:t xml:space="preserve">A number of </w:t>
      </w:r>
      <w:r w:rsidR="001839A4">
        <w:rPr>
          <w:rFonts w:ascii="Arial" w:hAnsi="Arial" w:cs="Arial"/>
          <w:sz w:val="20"/>
          <w:szCs w:val="20"/>
        </w:rPr>
        <w:t xml:space="preserve">Conference Presentations </w:t>
      </w:r>
      <w:r>
        <w:rPr>
          <w:rFonts w:ascii="Arial" w:hAnsi="Arial" w:cs="Arial"/>
          <w:sz w:val="20"/>
          <w:szCs w:val="20"/>
        </w:rPr>
        <w:t>ranging in topics from transitions to program management</w:t>
      </w:r>
    </w:p>
    <w:p w:rsidR="001839A4" w:rsidRPr="00623526" w:rsidRDefault="001839A4" w:rsidP="001839A4">
      <w:pPr>
        <w:pStyle w:val="ListParagraph"/>
        <w:numPr>
          <w:ilvl w:val="0"/>
          <w:numId w:val="18"/>
        </w:numPr>
        <w:spacing w:after="160" w:line="256" w:lineRule="auto"/>
        <w:rPr>
          <w:rFonts w:ascii="Arial" w:hAnsi="Arial" w:cs="Arial"/>
          <w:sz w:val="20"/>
          <w:szCs w:val="20"/>
        </w:rPr>
      </w:pPr>
      <w:r>
        <w:rPr>
          <w:rFonts w:ascii="Arial" w:hAnsi="Arial" w:cs="Arial"/>
          <w:sz w:val="20"/>
          <w:szCs w:val="20"/>
        </w:rPr>
        <w:t>Webinars-Including such topics as financial monitoring, new LEIS form, new NRS measures, Time and Effort process</w:t>
      </w:r>
    </w:p>
    <w:p w:rsidR="001839A4" w:rsidRPr="00623526" w:rsidRDefault="001839A4" w:rsidP="001839A4">
      <w:pPr>
        <w:pStyle w:val="ListParagraph"/>
        <w:numPr>
          <w:ilvl w:val="0"/>
          <w:numId w:val="18"/>
        </w:numPr>
        <w:spacing w:after="160" w:line="256" w:lineRule="auto"/>
        <w:rPr>
          <w:rFonts w:ascii="Arial" w:hAnsi="Arial" w:cs="Arial"/>
          <w:sz w:val="20"/>
          <w:szCs w:val="20"/>
        </w:rPr>
      </w:pPr>
      <w:r w:rsidRPr="00623526">
        <w:rPr>
          <w:rFonts w:ascii="Arial" w:hAnsi="Arial" w:cs="Arial"/>
          <w:sz w:val="20"/>
          <w:szCs w:val="20"/>
        </w:rPr>
        <w:t xml:space="preserve">Development of </w:t>
      </w:r>
      <w:r w:rsidR="00C60203">
        <w:rPr>
          <w:rFonts w:ascii="Arial" w:hAnsi="Arial" w:cs="Arial"/>
          <w:sz w:val="20"/>
          <w:szCs w:val="20"/>
        </w:rPr>
        <w:t>work-</w:t>
      </w:r>
      <w:r>
        <w:rPr>
          <w:rFonts w:ascii="Arial" w:hAnsi="Arial" w:cs="Arial"/>
          <w:sz w:val="20"/>
          <w:szCs w:val="20"/>
        </w:rPr>
        <w:t>base</w:t>
      </w:r>
      <w:r w:rsidR="00C60203">
        <w:rPr>
          <w:rFonts w:ascii="Arial" w:hAnsi="Arial" w:cs="Arial"/>
          <w:sz w:val="20"/>
          <w:szCs w:val="20"/>
        </w:rPr>
        <w:t>d</w:t>
      </w:r>
      <w:r>
        <w:rPr>
          <w:rFonts w:ascii="Arial" w:hAnsi="Arial" w:cs="Arial"/>
          <w:sz w:val="20"/>
          <w:szCs w:val="20"/>
        </w:rPr>
        <w:t xml:space="preserve"> learning programs targeting students with disabilities </w:t>
      </w:r>
    </w:p>
    <w:p w:rsidR="00766930" w:rsidRPr="006A05B3" w:rsidRDefault="000D78A1" w:rsidP="00712558">
      <w:pPr>
        <w:spacing w:after="3" w:line="248" w:lineRule="auto"/>
        <w:ind w:right="134"/>
        <w:rPr>
          <w:rFonts w:ascii="Arial" w:hAnsi="Arial" w:cs="Arial"/>
          <w:i/>
          <w:color w:val="FF0000"/>
          <w:sz w:val="20"/>
        </w:rPr>
      </w:pPr>
      <w:bookmarkStart w:id="0" w:name="_Hlk501374348"/>
      <w:r w:rsidRPr="006A05B3">
        <w:rPr>
          <w:rFonts w:ascii="Arial" w:hAnsi="Arial" w:cs="Arial"/>
          <w:i/>
          <w:sz w:val="20"/>
        </w:rPr>
        <w:t xml:space="preserve">Provision of technical assistance to funded eligible providers as described in section 223(1)(c). </w:t>
      </w:r>
    </w:p>
    <w:p w:rsidR="00067DFC" w:rsidRPr="00712558" w:rsidRDefault="00067DFC" w:rsidP="00067DFC">
      <w:pPr>
        <w:spacing w:after="3" w:line="248" w:lineRule="auto"/>
        <w:ind w:left="360" w:right="134"/>
        <w:rPr>
          <w:rFonts w:ascii="Arial" w:hAnsi="Arial" w:cs="Arial"/>
          <w:b/>
          <w:i/>
          <w:color w:val="FF0000"/>
          <w:sz w:val="20"/>
        </w:rPr>
      </w:pPr>
    </w:p>
    <w:p w:rsidR="00067DFC" w:rsidRPr="00A755F8" w:rsidRDefault="00067DFC" w:rsidP="00067DFC">
      <w:pPr>
        <w:rPr>
          <w:rFonts w:ascii="Arial" w:eastAsiaTheme="minorHAnsi" w:hAnsi="Arial" w:cs="Arial"/>
          <w:bCs/>
          <w:sz w:val="20"/>
        </w:rPr>
      </w:pPr>
      <w:r w:rsidRPr="00A755F8">
        <w:rPr>
          <w:rFonts w:ascii="Arial" w:hAnsi="Arial" w:cs="Arial"/>
          <w:sz w:val="20"/>
        </w:rPr>
        <w:t>In</w:t>
      </w:r>
      <w:r w:rsidRPr="00A755F8">
        <w:rPr>
          <w:rFonts w:ascii="Arial" w:hAnsi="Arial" w:cs="Arial"/>
          <w:color w:val="FF0000"/>
          <w:sz w:val="20"/>
        </w:rPr>
        <w:t xml:space="preserve"> </w:t>
      </w:r>
      <w:r w:rsidRPr="00A755F8">
        <w:rPr>
          <w:rFonts w:ascii="Arial" w:hAnsi="Arial" w:cs="Arial"/>
          <w:sz w:val="20"/>
        </w:rPr>
        <w:t xml:space="preserve">2016-2017, the State Office formally identified three </w:t>
      </w:r>
      <w:r w:rsidRPr="00A755F8">
        <w:rPr>
          <w:rFonts w:ascii="Arial" w:eastAsiaTheme="minorHAnsi" w:hAnsi="Arial" w:cs="Arial"/>
          <w:bCs/>
          <w:sz w:val="20"/>
        </w:rPr>
        <w:t>Regional Representatives (RR) to serve approximately 25 Providers</w:t>
      </w:r>
      <w:r w:rsidR="00A27CA8">
        <w:rPr>
          <w:rFonts w:ascii="Arial" w:eastAsiaTheme="minorHAnsi" w:hAnsi="Arial" w:cs="Arial"/>
          <w:bCs/>
          <w:sz w:val="20"/>
        </w:rPr>
        <w:t xml:space="preserve"> each</w:t>
      </w:r>
      <w:r w:rsidRPr="00A755F8">
        <w:rPr>
          <w:rFonts w:ascii="Arial" w:eastAsiaTheme="minorHAnsi" w:hAnsi="Arial" w:cs="Arial"/>
          <w:bCs/>
          <w:sz w:val="20"/>
        </w:rPr>
        <w:t xml:space="preserve">. Primary responsibilities for RR is provided below: </w:t>
      </w:r>
    </w:p>
    <w:p w:rsidR="00067DFC" w:rsidRPr="00A755F8" w:rsidRDefault="00067DFC" w:rsidP="00067DFC">
      <w:pPr>
        <w:numPr>
          <w:ilvl w:val="0"/>
          <w:numId w:val="19"/>
        </w:numPr>
        <w:rPr>
          <w:rFonts w:ascii="Arial" w:hAnsi="Arial" w:cs="Arial"/>
          <w:sz w:val="20"/>
        </w:rPr>
      </w:pPr>
      <w:r w:rsidRPr="00A755F8">
        <w:rPr>
          <w:rFonts w:ascii="Arial" w:hAnsi="Arial" w:cs="Arial"/>
          <w:sz w:val="20"/>
        </w:rPr>
        <w:t xml:space="preserve">CCR first point of contact, form a professional relationship </w:t>
      </w:r>
    </w:p>
    <w:p w:rsidR="00067DFC" w:rsidRPr="00A755F8" w:rsidRDefault="00067DFC" w:rsidP="00067DFC">
      <w:pPr>
        <w:numPr>
          <w:ilvl w:val="0"/>
          <w:numId w:val="19"/>
        </w:numPr>
        <w:rPr>
          <w:rFonts w:ascii="Arial" w:hAnsi="Arial" w:cs="Arial"/>
          <w:sz w:val="20"/>
        </w:rPr>
      </w:pPr>
      <w:r w:rsidRPr="00A755F8">
        <w:rPr>
          <w:rFonts w:ascii="Arial" w:hAnsi="Arial" w:cs="Arial"/>
          <w:sz w:val="20"/>
        </w:rPr>
        <w:t>Assist, review, and provide feedback for Corrective Action plans and assist with program monitoring</w:t>
      </w:r>
    </w:p>
    <w:p w:rsidR="00067DFC" w:rsidRPr="00A755F8" w:rsidRDefault="00067DFC" w:rsidP="00067DFC">
      <w:pPr>
        <w:numPr>
          <w:ilvl w:val="0"/>
          <w:numId w:val="19"/>
        </w:numPr>
        <w:rPr>
          <w:rFonts w:ascii="Arial" w:hAnsi="Arial" w:cs="Arial"/>
          <w:sz w:val="20"/>
        </w:rPr>
      </w:pPr>
      <w:r w:rsidRPr="00A755F8">
        <w:rPr>
          <w:rFonts w:ascii="Arial" w:hAnsi="Arial" w:cs="Arial"/>
          <w:sz w:val="20"/>
        </w:rPr>
        <w:t>Attend regional meetings and facilitate trainings as needed</w:t>
      </w:r>
    </w:p>
    <w:p w:rsidR="00067DFC" w:rsidRPr="00A755F8" w:rsidRDefault="00067DFC" w:rsidP="00067DFC">
      <w:pPr>
        <w:numPr>
          <w:ilvl w:val="0"/>
          <w:numId w:val="19"/>
        </w:numPr>
        <w:rPr>
          <w:rFonts w:ascii="Arial" w:hAnsi="Arial" w:cs="Arial"/>
          <w:sz w:val="20"/>
        </w:rPr>
      </w:pPr>
      <w:r w:rsidRPr="00A755F8">
        <w:rPr>
          <w:rFonts w:ascii="Arial" w:hAnsi="Arial" w:cs="Arial"/>
          <w:sz w:val="20"/>
        </w:rPr>
        <w:t xml:space="preserve">Additional programmatic needs as requested or identified by the state or </w:t>
      </w:r>
      <w:r w:rsidR="00377EB3">
        <w:rPr>
          <w:rFonts w:ascii="Arial" w:hAnsi="Arial" w:cs="Arial"/>
          <w:sz w:val="20"/>
        </w:rPr>
        <w:t>p</w:t>
      </w:r>
      <w:r w:rsidRPr="00A755F8">
        <w:rPr>
          <w:rFonts w:ascii="Arial" w:hAnsi="Arial" w:cs="Arial"/>
          <w:sz w:val="20"/>
        </w:rPr>
        <w:t>rovider</w:t>
      </w:r>
    </w:p>
    <w:p w:rsidR="00067DFC" w:rsidRPr="00A755F8" w:rsidRDefault="00377EB3" w:rsidP="00067DFC">
      <w:pPr>
        <w:numPr>
          <w:ilvl w:val="0"/>
          <w:numId w:val="19"/>
        </w:numPr>
        <w:rPr>
          <w:rFonts w:ascii="Arial" w:hAnsi="Arial" w:cs="Arial"/>
          <w:sz w:val="20"/>
        </w:rPr>
      </w:pPr>
      <w:r>
        <w:rPr>
          <w:rFonts w:ascii="Arial" w:hAnsi="Arial" w:cs="Arial"/>
          <w:sz w:val="20"/>
        </w:rPr>
        <w:t xml:space="preserve">Review all program aspects to determine if </w:t>
      </w:r>
      <w:r w:rsidR="00067DFC" w:rsidRPr="00A755F8">
        <w:rPr>
          <w:rFonts w:ascii="Arial" w:hAnsi="Arial" w:cs="Arial"/>
          <w:sz w:val="20"/>
        </w:rPr>
        <w:t xml:space="preserve">technical assistance </w:t>
      </w:r>
      <w:r>
        <w:rPr>
          <w:rFonts w:ascii="Arial" w:hAnsi="Arial" w:cs="Arial"/>
          <w:sz w:val="20"/>
        </w:rPr>
        <w:t xml:space="preserve">is needed </w:t>
      </w:r>
      <w:r w:rsidR="00067DFC" w:rsidRPr="00A755F8">
        <w:rPr>
          <w:rFonts w:ascii="Arial" w:hAnsi="Arial" w:cs="Arial"/>
          <w:sz w:val="20"/>
        </w:rPr>
        <w:t xml:space="preserve"> </w:t>
      </w:r>
    </w:p>
    <w:p w:rsidR="00A755F8" w:rsidRPr="00A755F8" w:rsidRDefault="00A755F8" w:rsidP="00A755F8">
      <w:pPr>
        <w:rPr>
          <w:rFonts w:ascii="Arial" w:hAnsi="Arial" w:cs="Arial"/>
          <w:sz w:val="20"/>
        </w:rPr>
      </w:pPr>
      <w:r w:rsidRPr="00A755F8">
        <w:rPr>
          <w:rFonts w:ascii="Arial" w:hAnsi="Arial" w:cs="Arial"/>
          <w:sz w:val="20"/>
        </w:rPr>
        <w:t xml:space="preserve">A major emphasis this year has been on providing support </w:t>
      </w:r>
      <w:r>
        <w:rPr>
          <w:rFonts w:ascii="Arial" w:hAnsi="Arial" w:cs="Arial"/>
          <w:sz w:val="20"/>
        </w:rPr>
        <w:t xml:space="preserve">and technical assistance to </w:t>
      </w:r>
      <w:r w:rsidR="00377EB3">
        <w:rPr>
          <w:rFonts w:ascii="Arial" w:hAnsi="Arial" w:cs="Arial"/>
          <w:sz w:val="20"/>
        </w:rPr>
        <w:t>p</w:t>
      </w:r>
      <w:r>
        <w:rPr>
          <w:rFonts w:ascii="Arial" w:hAnsi="Arial" w:cs="Arial"/>
          <w:sz w:val="20"/>
        </w:rPr>
        <w:t xml:space="preserve">roviders </w:t>
      </w:r>
      <w:r w:rsidR="00377EB3">
        <w:rPr>
          <w:rFonts w:ascii="Arial" w:hAnsi="Arial" w:cs="Arial"/>
          <w:sz w:val="20"/>
        </w:rPr>
        <w:t>for implementing e</w:t>
      </w:r>
      <w:r>
        <w:rPr>
          <w:rFonts w:ascii="Arial" w:hAnsi="Arial" w:cs="Arial"/>
          <w:sz w:val="20"/>
        </w:rPr>
        <w:t xml:space="preserve">ffective transition/employment programs for </w:t>
      </w:r>
      <w:r w:rsidRPr="00A755F8">
        <w:rPr>
          <w:rFonts w:ascii="Arial" w:hAnsi="Arial" w:cs="Arial"/>
          <w:sz w:val="20"/>
        </w:rPr>
        <w:t xml:space="preserve">students with disabilities. </w:t>
      </w:r>
      <w:r w:rsidR="00DE5BAD">
        <w:rPr>
          <w:rFonts w:ascii="Arial" w:hAnsi="Arial" w:cs="Arial"/>
          <w:sz w:val="20"/>
        </w:rPr>
        <w:t xml:space="preserve">Below is a list of technical assistance or our involvement in partnership building to address this area: </w:t>
      </w:r>
    </w:p>
    <w:p w:rsidR="00A755F8" w:rsidRPr="00A755F8" w:rsidRDefault="00A755F8" w:rsidP="00A755F8">
      <w:pPr>
        <w:pStyle w:val="ListParagraph"/>
        <w:numPr>
          <w:ilvl w:val="0"/>
          <w:numId w:val="19"/>
        </w:numPr>
        <w:spacing w:after="160" w:line="259" w:lineRule="auto"/>
        <w:rPr>
          <w:rFonts w:ascii="Arial" w:hAnsi="Arial" w:cs="Arial"/>
          <w:sz w:val="20"/>
          <w:szCs w:val="20"/>
        </w:rPr>
      </w:pPr>
      <w:r w:rsidRPr="00A755F8">
        <w:rPr>
          <w:rFonts w:ascii="Arial" w:hAnsi="Arial" w:cs="Arial"/>
          <w:sz w:val="20"/>
          <w:szCs w:val="20"/>
        </w:rPr>
        <w:t>The Employment First State Leadersh</w:t>
      </w:r>
      <w:r w:rsidR="00DE5BAD">
        <w:rPr>
          <w:rFonts w:ascii="Arial" w:hAnsi="Arial" w:cs="Arial"/>
          <w:sz w:val="20"/>
          <w:szCs w:val="20"/>
        </w:rPr>
        <w:t xml:space="preserve">ip Mentor Program (EFSLMP) helped </w:t>
      </w:r>
      <w:r w:rsidR="00377EB3">
        <w:rPr>
          <w:rFonts w:ascii="Arial" w:hAnsi="Arial" w:cs="Arial"/>
          <w:sz w:val="20"/>
          <w:szCs w:val="20"/>
        </w:rPr>
        <w:t>p</w:t>
      </w:r>
      <w:r w:rsidR="00DE5BAD">
        <w:rPr>
          <w:rFonts w:ascii="Arial" w:hAnsi="Arial" w:cs="Arial"/>
          <w:sz w:val="20"/>
          <w:szCs w:val="20"/>
        </w:rPr>
        <w:t xml:space="preserve">roviders </w:t>
      </w:r>
      <w:r w:rsidRPr="00A755F8">
        <w:rPr>
          <w:rFonts w:ascii="Arial" w:hAnsi="Arial" w:cs="Arial"/>
          <w:sz w:val="20"/>
          <w:szCs w:val="20"/>
        </w:rPr>
        <w:t xml:space="preserve">pursue systems change to fully implement the Employment First approach and make supports for integrated employment the primary service provision option for people with the most significant disabilities. </w:t>
      </w:r>
    </w:p>
    <w:p w:rsidR="00A755F8" w:rsidRPr="00A755F8" w:rsidRDefault="00A755F8" w:rsidP="00A755F8">
      <w:pPr>
        <w:pStyle w:val="ListParagraph"/>
        <w:numPr>
          <w:ilvl w:val="0"/>
          <w:numId w:val="19"/>
        </w:numPr>
        <w:spacing w:after="160" w:line="259" w:lineRule="auto"/>
        <w:rPr>
          <w:rFonts w:ascii="Arial" w:hAnsi="Arial" w:cs="Arial"/>
          <w:sz w:val="20"/>
          <w:szCs w:val="20"/>
        </w:rPr>
      </w:pPr>
      <w:r w:rsidRPr="00A755F8">
        <w:rPr>
          <w:rFonts w:ascii="Arial" w:hAnsi="Arial" w:cs="Arial"/>
          <w:sz w:val="20"/>
          <w:szCs w:val="20"/>
        </w:rPr>
        <w:t>The Vision Quest Policy Team worked to develop a Unified Plan that focuses on promoting partnerships with Workforce Development in implementing Employment First while incorporating WIOA</w:t>
      </w:r>
      <w:r w:rsidR="006A05B3">
        <w:rPr>
          <w:rFonts w:ascii="Arial" w:hAnsi="Arial" w:cs="Arial"/>
          <w:sz w:val="20"/>
          <w:szCs w:val="20"/>
        </w:rPr>
        <w:t xml:space="preserve">. </w:t>
      </w:r>
      <w:r w:rsidRPr="00A755F8">
        <w:rPr>
          <w:rFonts w:ascii="Arial" w:hAnsi="Arial" w:cs="Arial"/>
          <w:sz w:val="20"/>
          <w:szCs w:val="20"/>
        </w:rPr>
        <w:t xml:space="preserve"> </w:t>
      </w:r>
    </w:p>
    <w:p w:rsidR="00A755F8" w:rsidRPr="00A755F8" w:rsidRDefault="00DE5BAD" w:rsidP="00A755F8">
      <w:pPr>
        <w:pStyle w:val="ListParagraph"/>
        <w:numPr>
          <w:ilvl w:val="0"/>
          <w:numId w:val="19"/>
        </w:numPr>
        <w:spacing w:after="160" w:line="259" w:lineRule="auto"/>
        <w:rPr>
          <w:rFonts w:ascii="Arial" w:hAnsi="Arial" w:cs="Arial"/>
          <w:sz w:val="20"/>
          <w:szCs w:val="20"/>
        </w:rPr>
      </w:pPr>
      <w:r>
        <w:rPr>
          <w:rFonts w:ascii="Arial" w:hAnsi="Arial" w:cs="Arial"/>
          <w:sz w:val="20"/>
          <w:szCs w:val="20"/>
        </w:rPr>
        <w:t xml:space="preserve">NC Member of the </w:t>
      </w:r>
      <w:r w:rsidR="00A755F8" w:rsidRPr="00A755F8">
        <w:rPr>
          <w:rFonts w:ascii="Arial" w:hAnsi="Arial" w:cs="Arial"/>
          <w:sz w:val="20"/>
          <w:szCs w:val="20"/>
        </w:rPr>
        <w:t>Post-Secon</w:t>
      </w:r>
      <w:r>
        <w:rPr>
          <w:rFonts w:ascii="Arial" w:hAnsi="Arial" w:cs="Arial"/>
          <w:sz w:val="20"/>
          <w:szCs w:val="20"/>
        </w:rPr>
        <w:t>dary Education Alliance-</w:t>
      </w:r>
      <w:r w:rsidR="00A755F8" w:rsidRPr="00A755F8">
        <w:rPr>
          <w:rFonts w:ascii="Arial" w:hAnsi="Arial" w:cs="Arial"/>
          <w:sz w:val="20"/>
          <w:szCs w:val="20"/>
        </w:rPr>
        <w:t xml:space="preserve">a collaboration between NC Higher Education System and the different state education and health and human service agencies to promote the successful transition of students with intellectual disabilities or other developmental disabilities to higher education. </w:t>
      </w:r>
    </w:p>
    <w:p w:rsidR="00A755F8" w:rsidRPr="00A755F8" w:rsidRDefault="00DE5BAD" w:rsidP="00A755F8">
      <w:pPr>
        <w:pStyle w:val="ListParagraph"/>
        <w:numPr>
          <w:ilvl w:val="0"/>
          <w:numId w:val="19"/>
        </w:numPr>
        <w:spacing w:after="160" w:line="259" w:lineRule="auto"/>
        <w:rPr>
          <w:rFonts w:ascii="Arial" w:hAnsi="Arial" w:cs="Arial"/>
          <w:sz w:val="20"/>
          <w:szCs w:val="20"/>
        </w:rPr>
      </w:pPr>
      <w:r>
        <w:rPr>
          <w:rFonts w:ascii="Arial" w:hAnsi="Arial" w:cs="Arial"/>
          <w:sz w:val="20"/>
          <w:szCs w:val="20"/>
        </w:rPr>
        <w:t xml:space="preserve">NC Representative of the </w:t>
      </w:r>
      <w:r w:rsidR="00A755F8" w:rsidRPr="00A755F8">
        <w:rPr>
          <w:rFonts w:ascii="Arial" w:hAnsi="Arial" w:cs="Arial"/>
          <w:sz w:val="20"/>
          <w:szCs w:val="20"/>
        </w:rPr>
        <w:t>Capacity Building Team: Interdisciplinary state team (DPI and VR) work together to enhance effective interagency collaboration for secondary transition programs including evidence-based intervention and implementation strategies to improve students’ postsecondary</w:t>
      </w:r>
      <w:r>
        <w:rPr>
          <w:rFonts w:ascii="Arial" w:hAnsi="Arial" w:cs="Arial"/>
          <w:sz w:val="20"/>
          <w:szCs w:val="20"/>
        </w:rPr>
        <w:t xml:space="preserve"> outcomes.</w:t>
      </w:r>
    </w:p>
    <w:p w:rsidR="00A755F8" w:rsidRPr="00A755F8" w:rsidRDefault="00DE5BAD" w:rsidP="00A755F8">
      <w:pPr>
        <w:pStyle w:val="ListParagraph"/>
        <w:numPr>
          <w:ilvl w:val="0"/>
          <w:numId w:val="19"/>
        </w:numPr>
        <w:spacing w:after="160" w:line="259" w:lineRule="auto"/>
        <w:rPr>
          <w:rFonts w:ascii="Arial" w:hAnsi="Arial" w:cs="Arial"/>
          <w:sz w:val="20"/>
          <w:szCs w:val="20"/>
        </w:rPr>
      </w:pPr>
      <w:r>
        <w:rPr>
          <w:rFonts w:ascii="Arial" w:hAnsi="Arial" w:cs="Arial"/>
          <w:sz w:val="20"/>
          <w:szCs w:val="20"/>
        </w:rPr>
        <w:t xml:space="preserve">NC Representative for </w:t>
      </w:r>
      <w:r w:rsidR="00A755F8" w:rsidRPr="00A755F8">
        <w:rPr>
          <w:rFonts w:ascii="Arial" w:hAnsi="Arial" w:cs="Arial"/>
          <w:sz w:val="20"/>
          <w:szCs w:val="20"/>
        </w:rPr>
        <w:t xml:space="preserve">Disability Services Advisory Board provides leadership, to facilitate communication in best practices and procedures statewide, and to distribute information for all disability service providers in the North Carolina Community College System. </w:t>
      </w:r>
    </w:p>
    <w:p w:rsidR="00A755F8" w:rsidRPr="00A755F8" w:rsidRDefault="00DE5BAD" w:rsidP="00A755F8">
      <w:pPr>
        <w:pStyle w:val="ListParagraph"/>
        <w:numPr>
          <w:ilvl w:val="0"/>
          <w:numId w:val="19"/>
        </w:numPr>
        <w:spacing w:after="160" w:line="259" w:lineRule="auto"/>
        <w:rPr>
          <w:rFonts w:ascii="Arial" w:hAnsi="Arial" w:cs="Arial"/>
          <w:sz w:val="20"/>
          <w:szCs w:val="20"/>
        </w:rPr>
      </w:pPr>
      <w:r>
        <w:rPr>
          <w:rFonts w:ascii="Arial" w:hAnsi="Arial" w:cs="Arial"/>
          <w:sz w:val="20"/>
          <w:szCs w:val="20"/>
        </w:rPr>
        <w:t xml:space="preserve">NC Representative of the </w:t>
      </w:r>
      <w:r w:rsidR="00A755F8" w:rsidRPr="00A755F8">
        <w:rPr>
          <w:rFonts w:ascii="Arial" w:hAnsi="Arial" w:cs="Arial"/>
          <w:sz w:val="20"/>
          <w:szCs w:val="20"/>
        </w:rPr>
        <w:t xml:space="preserve">Education and Employment Opportunities for Students with Disabilities Advisory Committee </w:t>
      </w:r>
      <w:r>
        <w:rPr>
          <w:rFonts w:ascii="Arial" w:hAnsi="Arial" w:cs="Arial"/>
          <w:sz w:val="20"/>
          <w:szCs w:val="20"/>
        </w:rPr>
        <w:t xml:space="preserve">to assist </w:t>
      </w:r>
      <w:r w:rsidR="00A755F8" w:rsidRPr="00A755F8">
        <w:rPr>
          <w:rFonts w:ascii="Arial" w:hAnsi="Arial" w:cs="Arial"/>
          <w:sz w:val="20"/>
          <w:szCs w:val="20"/>
        </w:rPr>
        <w:t>legislative policy to support individual</w:t>
      </w:r>
      <w:r>
        <w:rPr>
          <w:rFonts w:ascii="Arial" w:hAnsi="Arial" w:cs="Arial"/>
          <w:sz w:val="20"/>
          <w:szCs w:val="20"/>
        </w:rPr>
        <w:t>s</w:t>
      </w:r>
      <w:r w:rsidR="00A755F8" w:rsidRPr="00A755F8">
        <w:rPr>
          <w:rFonts w:ascii="Arial" w:hAnsi="Arial" w:cs="Arial"/>
          <w:sz w:val="20"/>
          <w:szCs w:val="20"/>
        </w:rPr>
        <w:t xml:space="preserve"> with disabilities into competitive employment and post-secondary education opportunities. </w:t>
      </w:r>
    </w:p>
    <w:p w:rsidR="00067DFC" w:rsidRPr="00A755F8" w:rsidRDefault="00067DFC" w:rsidP="00A27CA8">
      <w:pPr>
        <w:ind w:left="360"/>
        <w:rPr>
          <w:rFonts w:ascii="Arial" w:hAnsi="Arial" w:cs="Arial"/>
          <w:sz w:val="20"/>
        </w:rPr>
      </w:pPr>
      <w:r w:rsidRPr="00A755F8">
        <w:rPr>
          <w:rFonts w:ascii="Arial" w:eastAsiaTheme="minorHAnsi" w:hAnsi="Arial" w:cs="Arial"/>
          <w:sz w:val="20"/>
        </w:rPr>
        <w:t xml:space="preserve"> </w:t>
      </w:r>
      <w:bookmarkEnd w:id="0"/>
    </w:p>
    <w:p w:rsidR="00766930" w:rsidRPr="006A05B3" w:rsidRDefault="000D78A1" w:rsidP="00A755F8">
      <w:pPr>
        <w:spacing w:after="3" w:line="248" w:lineRule="auto"/>
        <w:ind w:right="134"/>
        <w:rPr>
          <w:rFonts w:ascii="Arial" w:hAnsi="Arial" w:cs="Arial"/>
          <w:i/>
          <w:sz w:val="20"/>
        </w:rPr>
      </w:pPr>
      <w:r w:rsidRPr="006A05B3">
        <w:rPr>
          <w:rFonts w:ascii="Arial" w:hAnsi="Arial" w:cs="Arial"/>
          <w:i/>
          <w:sz w:val="20"/>
        </w:rPr>
        <w:t xml:space="preserve">Monitoring and evaluation of the quality and improvement of adult education activities as described in section 223(1)(d).  </w:t>
      </w:r>
    </w:p>
    <w:p w:rsidR="00766930" w:rsidRPr="006A05B3" w:rsidRDefault="00766930" w:rsidP="000D78A1">
      <w:pPr>
        <w:spacing w:after="3" w:line="248" w:lineRule="auto"/>
        <w:ind w:left="360" w:right="134"/>
        <w:rPr>
          <w:rFonts w:ascii="Arial" w:hAnsi="Arial" w:cs="Arial"/>
          <w:color w:val="FF0000"/>
          <w:sz w:val="20"/>
        </w:rPr>
      </w:pPr>
    </w:p>
    <w:p w:rsidR="00766930" w:rsidRDefault="00766930" w:rsidP="00766930">
      <w:pPr>
        <w:pStyle w:val="NormalWeb"/>
        <w:spacing w:before="0" w:beforeAutospacing="0" w:after="0" w:afterAutospacing="0"/>
        <w:rPr>
          <w:rFonts w:ascii="Tahoma" w:hAnsi="Tahoma" w:cs="Tahoma"/>
          <w:sz w:val="20"/>
          <w:szCs w:val="20"/>
        </w:rPr>
      </w:pPr>
      <w:r w:rsidRPr="005F5FA6">
        <w:rPr>
          <w:rFonts w:ascii="Arial" w:hAnsi="Arial" w:cs="Arial"/>
          <w:sz w:val="20"/>
        </w:rPr>
        <w:t>Approximately</w:t>
      </w:r>
      <w:r>
        <w:rPr>
          <w:rFonts w:ascii="Arial" w:hAnsi="Arial" w:cs="Arial"/>
          <w:sz w:val="20"/>
        </w:rPr>
        <w:t xml:space="preserve">, twenty-one Providers were monitored during the 2016-2017 program year. This number represents 25% of North Carolina’s current providers. The </w:t>
      </w:r>
      <w:r w:rsidRPr="00513CD4">
        <w:rPr>
          <w:rFonts w:ascii="Tahoma" w:hAnsi="Tahoma" w:cs="Tahoma"/>
          <w:sz w:val="20"/>
          <w:szCs w:val="20"/>
        </w:rPr>
        <w:t>System Office staff conducted on-si</w:t>
      </w:r>
      <w:r>
        <w:rPr>
          <w:rFonts w:ascii="Tahoma" w:hAnsi="Tahoma" w:cs="Tahoma"/>
          <w:sz w:val="20"/>
          <w:szCs w:val="20"/>
        </w:rPr>
        <w:t>te program monitoring visits for</w:t>
      </w:r>
      <w:r w:rsidR="00377EB3">
        <w:rPr>
          <w:rFonts w:ascii="Tahoma" w:hAnsi="Tahoma" w:cs="Tahoma"/>
          <w:sz w:val="20"/>
          <w:szCs w:val="20"/>
        </w:rPr>
        <w:t xml:space="preserve"> </w:t>
      </w:r>
      <w:r>
        <w:rPr>
          <w:rFonts w:ascii="Tahoma" w:hAnsi="Tahoma" w:cs="Tahoma"/>
          <w:sz w:val="20"/>
          <w:szCs w:val="20"/>
        </w:rPr>
        <w:t xml:space="preserve">twenty-one </w:t>
      </w:r>
      <w:r w:rsidR="00377EB3">
        <w:rPr>
          <w:rFonts w:ascii="Tahoma" w:hAnsi="Tahoma" w:cs="Tahoma"/>
          <w:sz w:val="20"/>
          <w:szCs w:val="20"/>
        </w:rPr>
        <w:t>p</w:t>
      </w:r>
      <w:r w:rsidRPr="00513CD4">
        <w:rPr>
          <w:rFonts w:ascii="Tahoma" w:hAnsi="Tahoma" w:cs="Tahoma"/>
          <w:sz w:val="20"/>
          <w:szCs w:val="20"/>
        </w:rPr>
        <w:t>roviders located throughout t</w:t>
      </w:r>
      <w:r>
        <w:rPr>
          <w:rFonts w:ascii="Tahoma" w:hAnsi="Tahoma" w:cs="Tahoma"/>
          <w:sz w:val="20"/>
          <w:szCs w:val="20"/>
        </w:rPr>
        <w:t xml:space="preserve">he state. </w:t>
      </w:r>
      <w:r w:rsidRPr="00513CD4">
        <w:rPr>
          <w:rFonts w:ascii="Tahoma" w:hAnsi="Tahoma" w:cs="Tahoma"/>
          <w:sz w:val="20"/>
          <w:szCs w:val="20"/>
        </w:rPr>
        <w:t>All monitoring visits were based and evaluated on the required th</w:t>
      </w:r>
      <w:r>
        <w:rPr>
          <w:rFonts w:ascii="Tahoma" w:hAnsi="Tahoma" w:cs="Tahoma"/>
          <w:sz w:val="20"/>
          <w:szCs w:val="20"/>
        </w:rPr>
        <w:t xml:space="preserve">irteen considerations while focusing on three primary areas: </w:t>
      </w:r>
    </w:p>
    <w:p w:rsidR="00766930" w:rsidRDefault="00766930" w:rsidP="00766930">
      <w:pPr>
        <w:pStyle w:val="NormalWeb"/>
        <w:spacing w:before="0" w:beforeAutospacing="0" w:after="0" w:afterAutospacing="0"/>
        <w:ind w:left="720"/>
        <w:rPr>
          <w:rFonts w:ascii="Tahoma" w:hAnsi="Tahoma" w:cs="Tahoma"/>
          <w:sz w:val="20"/>
          <w:szCs w:val="20"/>
        </w:rPr>
      </w:pPr>
      <w:r>
        <w:rPr>
          <w:rFonts w:ascii="Tahoma" w:hAnsi="Tahoma" w:cs="Tahoma"/>
          <w:sz w:val="20"/>
          <w:szCs w:val="20"/>
        </w:rPr>
        <w:t>1. Program Management</w:t>
      </w:r>
    </w:p>
    <w:p w:rsidR="00766930" w:rsidRDefault="00766930" w:rsidP="00766930">
      <w:pPr>
        <w:pStyle w:val="NormalWeb"/>
        <w:spacing w:before="0" w:beforeAutospacing="0" w:after="0" w:afterAutospacing="0"/>
        <w:ind w:left="720"/>
        <w:rPr>
          <w:rFonts w:ascii="Tahoma" w:hAnsi="Tahoma" w:cs="Tahoma"/>
          <w:sz w:val="20"/>
          <w:szCs w:val="20"/>
        </w:rPr>
      </w:pPr>
      <w:r>
        <w:rPr>
          <w:rFonts w:ascii="Tahoma" w:hAnsi="Tahoma" w:cs="Tahoma"/>
          <w:sz w:val="20"/>
          <w:szCs w:val="20"/>
        </w:rPr>
        <w:t>2. Adult literacy instruction</w:t>
      </w:r>
    </w:p>
    <w:p w:rsidR="00766930" w:rsidRDefault="00766930" w:rsidP="00766930">
      <w:pPr>
        <w:pStyle w:val="NormalWeb"/>
        <w:spacing w:before="0" w:beforeAutospacing="0" w:after="0" w:afterAutospacing="0"/>
        <w:ind w:left="720"/>
        <w:rPr>
          <w:rFonts w:ascii="Tahoma" w:hAnsi="Tahoma" w:cs="Tahoma"/>
          <w:sz w:val="20"/>
          <w:szCs w:val="20"/>
        </w:rPr>
      </w:pPr>
      <w:r>
        <w:rPr>
          <w:rFonts w:ascii="Tahoma" w:hAnsi="Tahoma" w:cs="Tahoma"/>
          <w:sz w:val="20"/>
          <w:szCs w:val="20"/>
        </w:rPr>
        <w:t xml:space="preserve">3. Data quality and evaluation </w:t>
      </w:r>
    </w:p>
    <w:p w:rsidR="00766930" w:rsidRPr="00513CD4" w:rsidRDefault="00D73220" w:rsidP="00766930">
      <w:pPr>
        <w:pStyle w:val="NormalWeb"/>
        <w:spacing w:before="0" w:beforeAutospacing="0" w:after="0" w:afterAutospacing="0"/>
        <w:rPr>
          <w:rFonts w:ascii="Tahoma" w:hAnsi="Tahoma" w:cs="Tahoma"/>
          <w:sz w:val="20"/>
          <w:szCs w:val="20"/>
        </w:rPr>
      </w:pPr>
      <w:r>
        <w:rPr>
          <w:rFonts w:ascii="Tahoma" w:hAnsi="Tahoma" w:cs="Tahoma"/>
          <w:sz w:val="20"/>
          <w:szCs w:val="20"/>
        </w:rPr>
        <w:t>Follow-up concerning the CAP</w:t>
      </w:r>
      <w:r w:rsidR="00766930">
        <w:rPr>
          <w:rFonts w:ascii="Tahoma" w:hAnsi="Tahoma" w:cs="Tahoma"/>
          <w:sz w:val="20"/>
          <w:szCs w:val="20"/>
        </w:rPr>
        <w:t xml:space="preserve">s, are ongoing and are facilitated by the regional representative for that Provider. </w:t>
      </w:r>
    </w:p>
    <w:p w:rsidR="00766930" w:rsidRPr="00513CD4" w:rsidRDefault="00766930" w:rsidP="00766930">
      <w:pPr>
        <w:widowControl w:val="0"/>
        <w:autoSpaceDE w:val="0"/>
        <w:autoSpaceDN w:val="0"/>
        <w:adjustRightInd w:val="0"/>
        <w:spacing w:line="264" w:lineRule="auto"/>
        <w:ind w:left="360"/>
        <w:rPr>
          <w:rFonts w:ascii="Tahoma" w:hAnsi="Tahoma" w:cs="Tahoma"/>
          <w:sz w:val="20"/>
        </w:rPr>
      </w:pPr>
    </w:p>
    <w:p w:rsidR="00766930" w:rsidRPr="00A54F3E" w:rsidRDefault="00766930" w:rsidP="00766930">
      <w:pPr>
        <w:widowControl w:val="0"/>
        <w:autoSpaceDE w:val="0"/>
        <w:autoSpaceDN w:val="0"/>
        <w:adjustRightInd w:val="0"/>
        <w:spacing w:line="264" w:lineRule="auto"/>
        <w:rPr>
          <w:rFonts w:ascii="Tahoma" w:hAnsi="Tahoma" w:cs="Tahoma"/>
          <w:sz w:val="20"/>
        </w:rPr>
      </w:pPr>
      <w:r w:rsidRPr="00513CD4">
        <w:rPr>
          <w:rFonts w:ascii="Tahoma" w:hAnsi="Tahoma" w:cs="Tahoma"/>
          <w:sz w:val="20"/>
        </w:rPr>
        <w:t xml:space="preserve">In addition to onsite monitoring, System Office staff also monitor program accountability through annual desktop monitoring reports and quarterly interim reports.  These reports offer local programs insight that may be used to improve performance throughout the year or to generate change at the start of a new program year.  The reports also allow System Office staff to conduct red flag monitoring and technical assistance for programs who show poor performance on either a quarterly or yearly basis.  </w:t>
      </w:r>
    </w:p>
    <w:p w:rsidR="00C40AE7" w:rsidRPr="00CC6829" w:rsidRDefault="00C40AE7" w:rsidP="00C40AE7">
      <w:pPr>
        <w:spacing w:after="3" w:line="259" w:lineRule="auto"/>
        <w:ind w:right="134"/>
        <w:rPr>
          <w:rFonts w:ascii="Arial" w:hAnsi="Arial" w:cs="Arial"/>
          <w:color w:val="FF0000"/>
          <w:sz w:val="20"/>
        </w:rPr>
      </w:pPr>
    </w:p>
    <w:p w:rsidR="00C40AE7" w:rsidRPr="00377EB3" w:rsidRDefault="000D78A1" w:rsidP="00C40AE7">
      <w:pPr>
        <w:spacing w:after="3" w:line="259" w:lineRule="auto"/>
        <w:ind w:right="134"/>
        <w:rPr>
          <w:rFonts w:ascii="Arial" w:hAnsi="Arial" w:cs="Arial"/>
          <w:i/>
          <w:sz w:val="20"/>
        </w:rPr>
      </w:pPr>
      <w:r w:rsidRPr="00377EB3">
        <w:rPr>
          <w:rFonts w:ascii="Arial" w:hAnsi="Arial" w:cs="Arial"/>
          <w:i/>
          <w:sz w:val="20"/>
        </w:rPr>
        <w:t>As applicable, describe how the State has used funds for additional permissible activities described in section 223(a)(2</w:t>
      </w:r>
      <w:r w:rsidR="00C40AE7" w:rsidRPr="00377EB3">
        <w:rPr>
          <w:rFonts w:ascii="Arial" w:hAnsi="Arial" w:cs="Arial"/>
          <w:i/>
          <w:sz w:val="20"/>
        </w:rPr>
        <w:t>)</w:t>
      </w:r>
    </w:p>
    <w:p w:rsidR="000D78A1" w:rsidRPr="00CC6829" w:rsidRDefault="000D78A1" w:rsidP="00C40AE7">
      <w:pPr>
        <w:spacing w:after="3" w:line="259" w:lineRule="auto"/>
        <w:ind w:right="134"/>
        <w:rPr>
          <w:rFonts w:ascii="Arial" w:hAnsi="Arial" w:cs="Arial"/>
          <w:sz w:val="20"/>
        </w:rPr>
      </w:pPr>
      <w:r w:rsidRPr="00CC6829">
        <w:rPr>
          <w:rFonts w:ascii="Arial" w:hAnsi="Arial" w:cs="Arial"/>
          <w:sz w:val="20"/>
        </w:rPr>
        <w:t xml:space="preserve"> </w:t>
      </w:r>
    </w:p>
    <w:p w:rsidR="000B68F0" w:rsidRDefault="000D78A1" w:rsidP="000D78A1">
      <w:pPr>
        <w:spacing w:line="264" w:lineRule="auto"/>
        <w:rPr>
          <w:rFonts w:ascii="Arial" w:hAnsi="Arial" w:cs="Arial"/>
          <w:sz w:val="20"/>
        </w:rPr>
      </w:pPr>
      <w:r w:rsidRPr="00CC6829">
        <w:rPr>
          <w:rFonts w:ascii="Arial" w:hAnsi="Arial" w:cs="Arial"/>
          <w:sz w:val="20"/>
        </w:rPr>
        <w:t>During 2016-</w:t>
      </w:r>
      <w:r w:rsidR="00C40AE7" w:rsidRPr="00CC6829">
        <w:rPr>
          <w:rFonts w:ascii="Arial" w:hAnsi="Arial" w:cs="Arial"/>
          <w:sz w:val="20"/>
        </w:rPr>
        <w:t>2017 NC</w:t>
      </w:r>
      <w:r w:rsidRPr="00CC6829">
        <w:rPr>
          <w:rFonts w:ascii="Arial" w:hAnsi="Arial" w:cs="Arial"/>
          <w:sz w:val="20"/>
        </w:rPr>
        <w:t xml:space="preserve"> focused </w:t>
      </w:r>
      <w:r w:rsidR="000C7CEE" w:rsidRPr="00CC6829">
        <w:rPr>
          <w:rFonts w:ascii="Arial" w:hAnsi="Arial" w:cs="Arial"/>
          <w:sz w:val="20"/>
        </w:rPr>
        <w:t xml:space="preserve">permissible activities on initiatives of significant statewide commitment. </w:t>
      </w:r>
      <w:r w:rsidR="00377EB3">
        <w:rPr>
          <w:rFonts w:ascii="Arial" w:hAnsi="Arial" w:cs="Arial"/>
          <w:sz w:val="20"/>
        </w:rPr>
        <w:t xml:space="preserve">The overreaching theme that frames these </w:t>
      </w:r>
      <w:r w:rsidR="000C7CEE" w:rsidRPr="00CC6829">
        <w:rPr>
          <w:rFonts w:ascii="Arial" w:hAnsi="Arial" w:cs="Arial"/>
          <w:sz w:val="20"/>
        </w:rPr>
        <w:t xml:space="preserve">activities </w:t>
      </w:r>
      <w:r w:rsidR="00377EB3">
        <w:rPr>
          <w:rFonts w:ascii="Arial" w:hAnsi="Arial" w:cs="Arial"/>
          <w:sz w:val="20"/>
        </w:rPr>
        <w:t xml:space="preserve">is the use of </w:t>
      </w:r>
      <w:r w:rsidR="006E08BA">
        <w:rPr>
          <w:rFonts w:ascii="Arial" w:hAnsi="Arial" w:cs="Arial"/>
          <w:sz w:val="20"/>
        </w:rPr>
        <w:t xml:space="preserve">technology to improve data management systems to assist programs in meeting State adjusted levels of performance and to create </w:t>
      </w:r>
      <w:r w:rsidR="00B27CF8">
        <w:rPr>
          <w:rFonts w:ascii="Arial" w:hAnsi="Arial" w:cs="Arial"/>
          <w:sz w:val="20"/>
        </w:rPr>
        <w:t xml:space="preserve">guided pathways and models </w:t>
      </w:r>
      <w:r w:rsidR="006E08BA">
        <w:rPr>
          <w:rFonts w:ascii="Arial" w:hAnsi="Arial" w:cs="Arial"/>
          <w:sz w:val="20"/>
        </w:rPr>
        <w:t>for improving transition from adult education to post-secondary</w:t>
      </w:r>
      <w:r w:rsidR="00B27CF8">
        <w:rPr>
          <w:rFonts w:ascii="Arial" w:hAnsi="Arial" w:cs="Arial"/>
          <w:sz w:val="20"/>
        </w:rPr>
        <w:t xml:space="preserve">. </w:t>
      </w:r>
      <w:r w:rsidR="006E08BA">
        <w:rPr>
          <w:rFonts w:ascii="Arial" w:hAnsi="Arial" w:cs="Arial"/>
          <w:sz w:val="20"/>
        </w:rPr>
        <w:t xml:space="preserve"> </w:t>
      </w:r>
    </w:p>
    <w:p w:rsidR="000B68F0" w:rsidRDefault="000B68F0" w:rsidP="000D78A1">
      <w:pPr>
        <w:spacing w:line="264" w:lineRule="auto"/>
        <w:rPr>
          <w:rFonts w:ascii="Arial" w:hAnsi="Arial" w:cs="Arial"/>
          <w:sz w:val="20"/>
        </w:rPr>
      </w:pPr>
    </w:p>
    <w:p w:rsidR="00F91387" w:rsidRDefault="001649E6" w:rsidP="006A05B3">
      <w:pPr>
        <w:spacing w:line="264" w:lineRule="auto"/>
        <w:rPr>
          <w:rFonts w:ascii="Arial" w:hAnsi="Arial" w:cs="Arial"/>
          <w:sz w:val="20"/>
        </w:rPr>
      </w:pPr>
      <w:r w:rsidRPr="006A05B3">
        <w:rPr>
          <w:rFonts w:ascii="Arial" w:hAnsi="Arial" w:cs="Arial"/>
          <w:sz w:val="20"/>
        </w:rPr>
        <w:t xml:space="preserve">Adult Education collaborated with the community college system </w:t>
      </w:r>
      <w:r w:rsidR="00305FF8">
        <w:rPr>
          <w:rFonts w:ascii="Arial" w:hAnsi="Arial" w:cs="Arial"/>
          <w:sz w:val="20"/>
        </w:rPr>
        <w:t xml:space="preserve">in their </w:t>
      </w:r>
      <w:r w:rsidRPr="006A05B3">
        <w:rPr>
          <w:rFonts w:ascii="Arial" w:hAnsi="Arial" w:cs="Arial"/>
          <w:sz w:val="20"/>
        </w:rPr>
        <w:t xml:space="preserve">system wide </w:t>
      </w:r>
      <w:r w:rsidR="00305FF8">
        <w:rPr>
          <w:rFonts w:ascii="Arial" w:hAnsi="Arial" w:cs="Arial"/>
          <w:sz w:val="20"/>
        </w:rPr>
        <w:t xml:space="preserve">approach </w:t>
      </w:r>
      <w:r w:rsidR="00B27CF8">
        <w:rPr>
          <w:rFonts w:ascii="Arial" w:hAnsi="Arial" w:cs="Arial"/>
          <w:sz w:val="20"/>
        </w:rPr>
        <w:t xml:space="preserve">to improve </w:t>
      </w:r>
      <w:r w:rsidR="008B315B">
        <w:rPr>
          <w:rFonts w:ascii="Arial" w:hAnsi="Arial" w:cs="Arial"/>
          <w:sz w:val="20"/>
        </w:rPr>
        <w:t xml:space="preserve">college ready skills for all students in K-12 system, adult education and in community college remedial programs.  </w:t>
      </w:r>
      <w:r w:rsidR="00B27CF8">
        <w:rPr>
          <w:rFonts w:ascii="Arial" w:hAnsi="Arial" w:cs="Arial"/>
          <w:sz w:val="20"/>
        </w:rPr>
        <w:t xml:space="preserve">The plan connects K-12, community college and adult education to define college skills and knowledge needed to ensure students are college and career ready immediately upon entry into postsecondary. </w:t>
      </w:r>
      <w:r w:rsidR="008B315B">
        <w:rPr>
          <w:rFonts w:ascii="Arial" w:hAnsi="Arial" w:cs="Arial"/>
          <w:sz w:val="20"/>
        </w:rPr>
        <w:t xml:space="preserve"> </w:t>
      </w:r>
      <w:r w:rsidR="00B27CF8">
        <w:rPr>
          <w:rFonts w:ascii="Arial" w:hAnsi="Arial" w:cs="Arial"/>
          <w:sz w:val="20"/>
        </w:rPr>
        <w:t xml:space="preserve">Several initiatives are operating simultaneously </w:t>
      </w:r>
      <w:r w:rsidR="008B315B">
        <w:rPr>
          <w:rFonts w:ascii="Arial" w:hAnsi="Arial" w:cs="Arial"/>
          <w:sz w:val="20"/>
        </w:rPr>
        <w:t xml:space="preserve">to leverage partners’ resources.  </w:t>
      </w:r>
      <w:r w:rsidR="00F71851">
        <w:rPr>
          <w:rFonts w:ascii="Arial" w:hAnsi="Arial" w:cs="Arial"/>
          <w:sz w:val="20"/>
        </w:rPr>
        <w:t xml:space="preserve">NC community college system is phasing out its placement exam with multiple measures protocol.  Adult education is working </w:t>
      </w:r>
      <w:proofErr w:type="gramStart"/>
      <w:r w:rsidR="00F71851">
        <w:rPr>
          <w:rFonts w:ascii="Arial" w:hAnsi="Arial" w:cs="Arial"/>
          <w:sz w:val="20"/>
        </w:rPr>
        <w:t>on  creating</w:t>
      </w:r>
      <w:proofErr w:type="gramEnd"/>
      <w:r w:rsidR="00F71851">
        <w:rPr>
          <w:rFonts w:ascii="Arial" w:hAnsi="Arial" w:cs="Arial"/>
          <w:sz w:val="20"/>
        </w:rPr>
        <w:t xml:space="preserve"> </w:t>
      </w:r>
      <w:r w:rsidR="008B315B">
        <w:rPr>
          <w:rFonts w:ascii="Arial" w:hAnsi="Arial" w:cs="Arial"/>
          <w:sz w:val="20"/>
        </w:rPr>
        <w:t xml:space="preserve"> a multiple path to earning a NC high school diploma. This credential would be recognized by NC community colleges as </w:t>
      </w:r>
      <w:r w:rsidR="00F71851">
        <w:rPr>
          <w:rFonts w:ascii="Arial" w:hAnsi="Arial" w:cs="Arial"/>
          <w:sz w:val="20"/>
        </w:rPr>
        <w:t xml:space="preserve">part of the multiple measure for entry into college. Adult education is part of a </w:t>
      </w:r>
      <w:r w:rsidR="00F91387">
        <w:rPr>
          <w:rFonts w:ascii="Arial" w:hAnsi="Arial" w:cs="Arial"/>
          <w:sz w:val="20"/>
        </w:rPr>
        <w:t xml:space="preserve">community college system wide </w:t>
      </w:r>
      <w:r w:rsidR="00F71851">
        <w:rPr>
          <w:rFonts w:ascii="Arial" w:hAnsi="Arial" w:cs="Arial"/>
          <w:sz w:val="20"/>
        </w:rPr>
        <w:t xml:space="preserve">team to </w:t>
      </w:r>
      <w:r w:rsidR="00F91387">
        <w:rPr>
          <w:rFonts w:ascii="Arial" w:hAnsi="Arial" w:cs="Arial"/>
          <w:sz w:val="20"/>
        </w:rPr>
        <w:t xml:space="preserve">research and pilot </w:t>
      </w:r>
      <w:r w:rsidR="00F71851">
        <w:rPr>
          <w:rFonts w:ascii="Arial" w:hAnsi="Arial" w:cs="Arial"/>
          <w:sz w:val="20"/>
        </w:rPr>
        <w:t>program</w:t>
      </w:r>
      <w:r w:rsidR="00F91387">
        <w:rPr>
          <w:rFonts w:ascii="Arial" w:hAnsi="Arial" w:cs="Arial"/>
          <w:sz w:val="20"/>
        </w:rPr>
        <w:t xml:space="preserve">s and curriculum </w:t>
      </w:r>
      <w:r w:rsidR="00F71851">
        <w:rPr>
          <w:rFonts w:ascii="Arial" w:hAnsi="Arial" w:cs="Arial"/>
          <w:sz w:val="20"/>
        </w:rPr>
        <w:t xml:space="preserve">that specifically </w:t>
      </w:r>
      <w:r w:rsidR="00F91387">
        <w:rPr>
          <w:rFonts w:ascii="Arial" w:hAnsi="Arial" w:cs="Arial"/>
          <w:sz w:val="20"/>
        </w:rPr>
        <w:t xml:space="preserve">targets students at the ASE level </w:t>
      </w:r>
      <w:r w:rsidR="003454E2">
        <w:rPr>
          <w:rFonts w:ascii="Arial" w:hAnsi="Arial" w:cs="Arial"/>
          <w:sz w:val="20"/>
        </w:rPr>
        <w:t xml:space="preserve">or who are in developmental/remedial education program </w:t>
      </w:r>
      <w:r w:rsidR="00F91387">
        <w:rPr>
          <w:rFonts w:ascii="Arial" w:hAnsi="Arial" w:cs="Arial"/>
          <w:sz w:val="20"/>
        </w:rPr>
        <w:t xml:space="preserve">whose goals are to enroll in college. </w:t>
      </w:r>
      <w:r w:rsidR="003454E2">
        <w:rPr>
          <w:rFonts w:ascii="Arial" w:hAnsi="Arial" w:cs="Arial"/>
          <w:sz w:val="20"/>
        </w:rPr>
        <w:t xml:space="preserve">We are piloting a “transition” model that </w:t>
      </w:r>
      <w:r w:rsidR="00F91387">
        <w:rPr>
          <w:rFonts w:ascii="Arial" w:hAnsi="Arial" w:cs="Arial"/>
          <w:sz w:val="20"/>
        </w:rPr>
        <w:t>provide</w:t>
      </w:r>
      <w:r w:rsidR="003454E2">
        <w:rPr>
          <w:rFonts w:ascii="Arial" w:hAnsi="Arial" w:cs="Arial"/>
          <w:sz w:val="20"/>
        </w:rPr>
        <w:t>s</w:t>
      </w:r>
      <w:r w:rsidR="00F91387">
        <w:rPr>
          <w:rFonts w:ascii="Arial" w:hAnsi="Arial" w:cs="Arial"/>
          <w:sz w:val="20"/>
        </w:rPr>
        <w:t xml:space="preserve"> career contextualized online and face-to-face instruction and provide</w:t>
      </w:r>
      <w:r w:rsidR="003454E2">
        <w:rPr>
          <w:rFonts w:ascii="Arial" w:hAnsi="Arial" w:cs="Arial"/>
          <w:sz w:val="20"/>
        </w:rPr>
        <w:t>s</w:t>
      </w:r>
      <w:r w:rsidR="00F91387">
        <w:rPr>
          <w:rFonts w:ascii="Arial" w:hAnsi="Arial" w:cs="Arial"/>
          <w:sz w:val="20"/>
        </w:rPr>
        <w:t xml:space="preserve"> intensive advising on getting into and being successful in college. </w:t>
      </w:r>
    </w:p>
    <w:p w:rsidR="00F91387" w:rsidRDefault="00F91387" w:rsidP="006A05B3">
      <w:pPr>
        <w:spacing w:line="264" w:lineRule="auto"/>
        <w:rPr>
          <w:rFonts w:ascii="Arial" w:hAnsi="Arial" w:cs="Arial"/>
          <w:sz w:val="20"/>
        </w:rPr>
      </w:pPr>
    </w:p>
    <w:p w:rsidR="00823EC9" w:rsidRDefault="0012541F" w:rsidP="00823EC9">
      <w:pPr>
        <w:pStyle w:val="ListParagraph"/>
        <w:numPr>
          <w:ilvl w:val="0"/>
          <w:numId w:val="26"/>
        </w:numPr>
        <w:spacing w:line="264" w:lineRule="auto"/>
        <w:rPr>
          <w:rFonts w:ascii="Arial" w:hAnsi="Arial" w:cs="Arial"/>
          <w:sz w:val="20"/>
        </w:rPr>
      </w:pPr>
      <w:r>
        <w:rPr>
          <w:rFonts w:ascii="Arial" w:hAnsi="Arial" w:cs="Arial"/>
          <w:sz w:val="20"/>
        </w:rPr>
        <w:t xml:space="preserve">NROC </w:t>
      </w:r>
      <w:proofErr w:type="spellStart"/>
      <w:r>
        <w:rPr>
          <w:rFonts w:ascii="Arial" w:hAnsi="Arial" w:cs="Arial"/>
          <w:sz w:val="20"/>
        </w:rPr>
        <w:t>EdReady</w:t>
      </w:r>
      <w:proofErr w:type="spellEnd"/>
      <w:r>
        <w:rPr>
          <w:rFonts w:ascii="Arial" w:hAnsi="Arial" w:cs="Arial"/>
          <w:sz w:val="20"/>
        </w:rPr>
        <w:t xml:space="preserve"> Partnership - </w:t>
      </w:r>
      <w:r w:rsidR="00CB59E6">
        <w:rPr>
          <w:rFonts w:ascii="Arial" w:hAnsi="Arial" w:cs="Arial"/>
          <w:sz w:val="20"/>
        </w:rPr>
        <w:t xml:space="preserve">We are collaborating with community college partners to identify </w:t>
      </w:r>
      <w:r>
        <w:rPr>
          <w:rFonts w:ascii="Arial" w:hAnsi="Arial" w:cs="Arial"/>
          <w:sz w:val="20"/>
        </w:rPr>
        <w:t xml:space="preserve">online learning options </w:t>
      </w:r>
      <w:r w:rsidR="00F91387">
        <w:rPr>
          <w:rFonts w:ascii="Arial" w:hAnsi="Arial" w:cs="Arial"/>
          <w:sz w:val="20"/>
        </w:rPr>
        <w:t xml:space="preserve">to </w:t>
      </w:r>
      <w:r w:rsidR="00CB59E6">
        <w:rPr>
          <w:rFonts w:ascii="Arial" w:hAnsi="Arial" w:cs="Arial"/>
          <w:sz w:val="20"/>
        </w:rPr>
        <w:t>prepare students to enter directly into gateway math and English college courses</w:t>
      </w:r>
      <w:r>
        <w:rPr>
          <w:rFonts w:ascii="Arial" w:hAnsi="Arial" w:cs="Arial"/>
          <w:sz w:val="20"/>
        </w:rPr>
        <w:t xml:space="preserve"> with career awareness and a projected career path. Staff attended NROC training </w:t>
      </w:r>
      <w:r w:rsidR="00F91387">
        <w:rPr>
          <w:rFonts w:ascii="Arial" w:hAnsi="Arial" w:cs="Arial"/>
          <w:sz w:val="20"/>
        </w:rPr>
        <w:t>on their o</w:t>
      </w:r>
      <w:r w:rsidR="00F91387">
        <w:rPr>
          <w:rFonts w:ascii="Arial" w:hAnsi="Arial" w:cs="Arial"/>
          <w:sz w:val="20"/>
        </w:rPr>
        <w:t>nline programs and web based tools</w:t>
      </w:r>
      <w:r w:rsidR="00F91387">
        <w:rPr>
          <w:rFonts w:ascii="Arial" w:hAnsi="Arial" w:cs="Arial"/>
          <w:sz w:val="20"/>
        </w:rPr>
        <w:t xml:space="preserve"> </w:t>
      </w:r>
      <w:r>
        <w:rPr>
          <w:rFonts w:ascii="Arial" w:hAnsi="Arial" w:cs="Arial"/>
          <w:sz w:val="20"/>
        </w:rPr>
        <w:t xml:space="preserve">and developed a plan to 1. </w:t>
      </w:r>
      <w:r w:rsidR="00823EC9">
        <w:rPr>
          <w:rFonts w:ascii="Arial" w:hAnsi="Arial" w:cs="Arial"/>
          <w:sz w:val="20"/>
        </w:rPr>
        <w:t>e</w:t>
      </w:r>
      <w:r>
        <w:rPr>
          <w:rFonts w:ascii="Arial" w:hAnsi="Arial" w:cs="Arial"/>
          <w:sz w:val="20"/>
        </w:rPr>
        <w:t xml:space="preserve">xtend the reach of adult education to students facing barriers to attendance, 2. </w:t>
      </w:r>
      <w:r w:rsidR="00823EC9">
        <w:rPr>
          <w:rFonts w:ascii="Arial" w:hAnsi="Arial" w:cs="Arial"/>
          <w:sz w:val="20"/>
        </w:rPr>
        <w:t>p</w:t>
      </w:r>
      <w:r>
        <w:rPr>
          <w:rFonts w:ascii="Arial" w:hAnsi="Arial" w:cs="Arial"/>
          <w:sz w:val="20"/>
        </w:rPr>
        <w:t xml:space="preserve">rovide </w:t>
      </w:r>
      <w:r w:rsidR="00823EC9">
        <w:rPr>
          <w:rFonts w:ascii="Arial" w:hAnsi="Arial" w:cs="Arial"/>
          <w:sz w:val="20"/>
        </w:rPr>
        <w:t>more opportunities</w:t>
      </w:r>
      <w:r>
        <w:rPr>
          <w:rFonts w:ascii="Arial" w:hAnsi="Arial" w:cs="Arial"/>
          <w:sz w:val="20"/>
        </w:rPr>
        <w:t xml:space="preserve"> for learners to access instruction </w:t>
      </w:r>
      <w:r w:rsidR="00823EC9">
        <w:rPr>
          <w:rFonts w:ascii="Arial" w:hAnsi="Arial" w:cs="Arial"/>
          <w:sz w:val="20"/>
        </w:rPr>
        <w:t xml:space="preserve">outside of class 3. develop wraparound support for NROC’s online, media rich, personalized instruction to prepare students to transition to post-secondary occupational programs.  </w:t>
      </w:r>
    </w:p>
    <w:p w:rsidR="00525035" w:rsidRPr="002E0D9F" w:rsidRDefault="00823EC9" w:rsidP="00F60AAC">
      <w:pPr>
        <w:pStyle w:val="ListParagraph"/>
        <w:numPr>
          <w:ilvl w:val="0"/>
          <w:numId w:val="26"/>
        </w:numPr>
        <w:spacing w:line="264" w:lineRule="auto"/>
        <w:rPr>
          <w:rFonts w:ascii="Arial" w:hAnsi="Arial" w:cs="Arial"/>
          <w:sz w:val="20"/>
        </w:rPr>
      </w:pPr>
      <w:r w:rsidRPr="002E0D9F">
        <w:rPr>
          <w:rFonts w:ascii="Arial" w:hAnsi="Arial" w:cs="Arial"/>
          <w:sz w:val="20"/>
        </w:rPr>
        <w:t xml:space="preserve">Basic Skills Plus- Title </w:t>
      </w:r>
      <w:proofErr w:type="spellStart"/>
      <w:r w:rsidRPr="002E0D9F">
        <w:rPr>
          <w:rFonts w:ascii="Arial" w:hAnsi="Arial" w:cs="Arial"/>
          <w:sz w:val="20"/>
        </w:rPr>
        <w:t>ll</w:t>
      </w:r>
      <w:proofErr w:type="spellEnd"/>
      <w:r w:rsidRPr="002E0D9F">
        <w:rPr>
          <w:rFonts w:ascii="Arial" w:hAnsi="Arial" w:cs="Arial"/>
          <w:sz w:val="20"/>
        </w:rPr>
        <w:t xml:space="preserve"> </w:t>
      </w:r>
      <w:r w:rsidR="002E0D9F" w:rsidRPr="002E0D9F">
        <w:rPr>
          <w:rFonts w:ascii="Arial" w:hAnsi="Arial" w:cs="Arial"/>
          <w:sz w:val="20"/>
        </w:rPr>
        <w:t>revised policies and procedures for Basic Skills Plus to be more in keeping with Integrated Education and Training</w:t>
      </w:r>
      <w:r w:rsidR="003454E2">
        <w:rPr>
          <w:rFonts w:ascii="Arial" w:hAnsi="Arial" w:cs="Arial"/>
          <w:sz w:val="20"/>
        </w:rPr>
        <w:t xml:space="preserve"> requirements</w:t>
      </w:r>
      <w:r w:rsidR="002E0D9F" w:rsidRPr="002E0D9F">
        <w:rPr>
          <w:rFonts w:ascii="Arial" w:hAnsi="Arial" w:cs="Arial"/>
          <w:sz w:val="20"/>
        </w:rPr>
        <w:t xml:space="preserve">. </w:t>
      </w:r>
      <w:r w:rsidR="00525035" w:rsidRPr="002E0D9F">
        <w:rPr>
          <w:rFonts w:ascii="Arial" w:hAnsi="Arial" w:cs="Arial"/>
          <w:sz w:val="20"/>
        </w:rPr>
        <w:t xml:space="preserve">  </w:t>
      </w:r>
    </w:p>
    <w:p w:rsidR="00525035" w:rsidRDefault="004F5616" w:rsidP="002E0D9F">
      <w:pPr>
        <w:spacing w:line="264" w:lineRule="auto"/>
        <w:ind w:left="720"/>
        <w:rPr>
          <w:rFonts w:ascii="Arial" w:hAnsi="Arial" w:cs="Arial"/>
          <w:sz w:val="20"/>
        </w:rPr>
      </w:pPr>
      <w:r w:rsidRPr="00CC6829">
        <w:rPr>
          <w:rFonts w:ascii="Arial" w:hAnsi="Arial" w:cs="Arial"/>
          <w:sz w:val="20"/>
        </w:rPr>
        <w:t xml:space="preserve">NC adult education </w:t>
      </w:r>
      <w:r w:rsidR="000C7CEE" w:rsidRPr="00CC6829">
        <w:rPr>
          <w:rFonts w:ascii="Arial" w:hAnsi="Arial" w:cs="Arial"/>
          <w:sz w:val="20"/>
        </w:rPr>
        <w:t xml:space="preserve">is committed to improving the economic mobility of adults who lack basic academic skills and employability skills and preparing them for and </w:t>
      </w:r>
      <w:r w:rsidRPr="00CC6829">
        <w:rPr>
          <w:rFonts w:ascii="Arial" w:hAnsi="Arial" w:cs="Arial"/>
          <w:sz w:val="20"/>
        </w:rPr>
        <w:t>enrollment</w:t>
      </w:r>
      <w:r w:rsidR="000C7CEE" w:rsidRPr="00CC6829">
        <w:rPr>
          <w:rFonts w:ascii="Arial" w:hAnsi="Arial" w:cs="Arial"/>
          <w:sz w:val="20"/>
        </w:rPr>
        <w:t xml:space="preserve"> in </w:t>
      </w:r>
      <w:r w:rsidRPr="00CC6829">
        <w:rPr>
          <w:rFonts w:ascii="Arial" w:hAnsi="Arial" w:cs="Arial"/>
          <w:sz w:val="20"/>
        </w:rPr>
        <w:t xml:space="preserve">certificate or credit bearing </w:t>
      </w:r>
      <w:r w:rsidR="000C7CEE" w:rsidRPr="00CC6829">
        <w:rPr>
          <w:rFonts w:ascii="Arial" w:hAnsi="Arial" w:cs="Arial"/>
          <w:sz w:val="20"/>
        </w:rPr>
        <w:t xml:space="preserve">training in high demand industry sectors. </w:t>
      </w:r>
      <w:r w:rsidR="00CD4100" w:rsidRPr="00CC6829">
        <w:rPr>
          <w:rFonts w:ascii="Arial" w:hAnsi="Arial" w:cs="Arial"/>
          <w:sz w:val="20"/>
        </w:rPr>
        <w:t>To reach that goal, i</w:t>
      </w:r>
      <w:r w:rsidRPr="00CC6829">
        <w:rPr>
          <w:rFonts w:ascii="Arial" w:hAnsi="Arial" w:cs="Arial"/>
          <w:sz w:val="20"/>
        </w:rPr>
        <w:t xml:space="preserve">n </w:t>
      </w:r>
      <w:r w:rsidR="00712558">
        <w:rPr>
          <w:rFonts w:ascii="Arial" w:hAnsi="Arial" w:cs="Arial"/>
          <w:sz w:val="20"/>
        </w:rPr>
        <w:t>2015</w:t>
      </w:r>
      <w:r w:rsidRPr="002E0D9F">
        <w:rPr>
          <w:rFonts w:ascii="Arial" w:hAnsi="Arial" w:cs="Arial"/>
          <w:sz w:val="20"/>
        </w:rPr>
        <w:t>,</w:t>
      </w:r>
      <w:r w:rsidRPr="00CC6829">
        <w:rPr>
          <w:rFonts w:ascii="Arial" w:hAnsi="Arial" w:cs="Arial"/>
          <w:sz w:val="20"/>
        </w:rPr>
        <w:t xml:space="preserve"> NC legislated a model that </w:t>
      </w:r>
      <w:r w:rsidR="00304B36" w:rsidRPr="00CC6829">
        <w:rPr>
          <w:rFonts w:ascii="Arial" w:hAnsi="Arial" w:cs="Arial"/>
          <w:sz w:val="20"/>
        </w:rPr>
        <w:t>waives tuition</w:t>
      </w:r>
      <w:r w:rsidRPr="00CC6829">
        <w:rPr>
          <w:rFonts w:ascii="Arial" w:hAnsi="Arial" w:cs="Arial"/>
          <w:sz w:val="20"/>
        </w:rPr>
        <w:t xml:space="preserve"> </w:t>
      </w:r>
      <w:r w:rsidR="00304B36" w:rsidRPr="00CC6829">
        <w:rPr>
          <w:rFonts w:ascii="Arial" w:hAnsi="Arial" w:cs="Arial"/>
          <w:sz w:val="20"/>
        </w:rPr>
        <w:t>for credit bearing courses approved for an adult education pathway program</w:t>
      </w:r>
      <w:r w:rsidR="003454E2">
        <w:rPr>
          <w:rFonts w:ascii="Arial" w:hAnsi="Arial" w:cs="Arial"/>
          <w:sz w:val="20"/>
        </w:rPr>
        <w:t>s</w:t>
      </w:r>
      <w:r w:rsidR="00304B36" w:rsidRPr="00CC6829">
        <w:rPr>
          <w:rFonts w:ascii="Arial" w:hAnsi="Arial" w:cs="Arial"/>
          <w:sz w:val="20"/>
        </w:rPr>
        <w:t xml:space="preserve">. The program, Basic Skills Plus requires community colleges to apply for approval to offer Basic Skills Plus pathways.  </w:t>
      </w:r>
      <w:r w:rsidR="00CD4100" w:rsidRPr="00CC6829">
        <w:rPr>
          <w:rFonts w:ascii="Arial" w:hAnsi="Arial" w:cs="Arial"/>
          <w:sz w:val="20"/>
        </w:rPr>
        <w:t>In 2016-17</w:t>
      </w:r>
      <w:r w:rsidR="00304B36" w:rsidRPr="00CC6829">
        <w:rPr>
          <w:rFonts w:ascii="Arial" w:hAnsi="Arial" w:cs="Arial"/>
          <w:sz w:val="20"/>
        </w:rPr>
        <w:t xml:space="preserve">, the regulations for Basic Skills </w:t>
      </w:r>
      <w:r w:rsidR="00E53362" w:rsidRPr="00CC6829">
        <w:rPr>
          <w:rFonts w:ascii="Arial" w:hAnsi="Arial" w:cs="Arial"/>
          <w:sz w:val="20"/>
        </w:rPr>
        <w:t xml:space="preserve">Plus </w:t>
      </w:r>
      <w:r w:rsidR="00304B36" w:rsidRPr="00CC6829">
        <w:rPr>
          <w:rFonts w:ascii="Arial" w:hAnsi="Arial" w:cs="Arial"/>
          <w:sz w:val="20"/>
        </w:rPr>
        <w:t xml:space="preserve">were revised to be aligned to Title </w:t>
      </w:r>
      <w:proofErr w:type="spellStart"/>
      <w:r w:rsidR="00304B36" w:rsidRPr="00CC6829">
        <w:rPr>
          <w:rFonts w:ascii="Arial" w:hAnsi="Arial" w:cs="Arial"/>
          <w:sz w:val="20"/>
        </w:rPr>
        <w:t>ll</w:t>
      </w:r>
      <w:proofErr w:type="spellEnd"/>
      <w:r w:rsidR="00304B36" w:rsidRPr="00CC6829">
        <w:rPr>
          <w:rFonts w:ascii="Arial" w:hAnsi="Arial" w:cs="Arial"/>
          <w:sz w:val="20"/>
        </w:rPr>
        <w:t xml:space="preserve"> Integrated Education and Training model. </w:t>
      </w:r>
      <w:r w:rsidR="00E53362" w:rsidRPr="00CC6829">
        <w:rPr>
          <w:rFonts w:ascii="Arial" w:hAnsi="Arial" w:cs="Arial"/>
          <w:sz w:val="20"/>
        </w:rPr>
        <w:t xml:space="preserve">An advisory committee was convened to guide the updates, communication and training.  A </w:t>
      </w:r>
      <w:r w:rsidR="00CD4100" w:rsidRPr="00CC6829">
        <w:rPr>
          <w:rFonts w:ascii="Arial" w:hAnsi="Arial" w:cs="Arial"/>
          <w:sz w:val="20"/>
        </w:rPr>
        <w:t>state-wide</w:t>
      </w:r>
      <w:r w:rsidR="00E53362" w:rsidRPr="00CC6829">
        <w:rPr>
          <w:rFonts w:ascii="Arial" w:hAnsi="Arial" w:cs="Arial"/>
          <w:sz w:val="20"/>
        </w:rPr>
        <w:t xml:space="preserve"> survey was administered to get input on challenges, opportunities and training needs on setting up </w:t>
      </w:r>
      <w:r w:rsidR="00CD4100" w:rsidRPr="00CC6829">
        <w:rPr>
          <w:rFonts w:ascii="Arial" w:hAnsi="Arial" w:cs="Arial"/>
          <w:sz w:val="20"/>
        </w:rPr>
        <w:t xml:space="preserve">a Basic Skills Plus pathway.  Based on survey results, state staff provided training on </w:t>
      </w:r>
      <w:r w:rsidR="00E53362" w:rsidRPr="00CC6829">
        <w:rPr>
          <w:rFonts w:ascii="Arial" w:hAnsi="Arial" w:cs="Arial"/>
          <w:sz w:val="20"/>
        </w:rPr>
        <w:t xml:space="preserve">key components of </w:t>
      </w:r>
      <w:r w:rsidR="00CD4100" w:rsidRPr="00CC6829">
        <w:rPr>
          <w:rFonts w:ascii="Arial" w:hAnsi="Arial" w:cs="Arial"/>
          <w:sz w:val="20"/>
        </w:rPr>
        <w:t xml:space="preserve">Basic Skills Plus/ </w:t>
      </w:r>
      <w:r w:rsidR="00E53362" w:rsidRPr="00CC6829">
        <w:rPr>
          <w:rFonts w:ascii="Arial" w:hAnsi="Arial" w:cs="Arial"/>
          <w:sz w:val="20"/>
        </w:rPr>
        <w:t>IET</w:t>
      </w:r>
      <w:r w:rsidR="00CD4100" w:rsidRPr="00CC6829">
        <w:rPr>
          <w:rFonts w:ascii="Arial" w:hAnsi="Arial" w:cs="Arial"/>
          <w:sz w:val="20"/>
        </w:rPr>
        <w:t xml:space="preserve"> models. A web portal was created to serve as the one-point of service for Basic Skills Plus applications and resources. </w:t>
      </w:r>
    </w:p>
    <w:p w:rsidR="001626A9" w:rsidRPr="003454E2" w:rsidRDefault="006A05B3" w:rsidP="003454E2">
      <w:pPr>
        <w:pStyle w:val="ListParagraph"/>
        <w:numPr>
          <w:ilvl w:val="0"/>
          <w:numId w:val="26"/>
        </w:numPr>
        <w:spacing w:line="264" w:lineRule="auto"/>
        <w:rPr>
          <w:rFonts w:ascii="Arial" w:hAnsi="Arial" w:cs="Arial"/>
          <w:sz w:val="20"/>
        </w:rPr>
      </w:pPr>
      <w:r w:rsidRPr="003454E2">
        <w:rPr>
          <w:rFonts w:ascii="Arial" w:hAnsi="Arial" w:cs="Arial"/>
          <w:sz w:val="20"/>
        </w:rPr>
        <w:t xml:space="preserve">Data Improvement Plan - </w:t>
      </w:r>
      <w:r w:rsidR="001626A9" w:rsidRPr="003454E2">
        <w:rPr>
          <w:rFonts w:ascii="Arial" w:hAnsi="Arial" w:cs="Arial"/>
          <w:sz w:val="20"/>
        </w:rPr>
        <w:t xml:space="preserve">Major projects were launched to make programs aware of and </w:t>
      </w:r>
      <w:r w:rsidR="003454E2">
        <w:rPr>
          <w:rFonts w:ascii="Arial" w:hAnsi="Arial" w:cs="Arial"/>
          <w:sz w:val="20"/>
        </w:rPr>
        <w:t xml:space="preserve">the </w:t>
      </w:r>
      <w:r w:rsidR="001626A9" w:rsidRPr="003454E2">
        <w:rPr>
          <w:rFonts w:ascii="Arial" w:hAnsi="Arial" w:cs="Arial"/>
          <w:sz w:val="20"/>
        </w:rPr>
        <w:t xml:space="preserve">need to use data to improve performance. </w:t>
      </w:r>
    </w:p>
    <w:p w:rsidR="00F6521B" w:rsidRPr="006A05B3" w:rsidRDefault="001626A9" w:rsidP="003454E2">
      <w:pPr>
        <w:pStyle w:val="ListParagraph"/>
        <w:numPr>
          <w:ilvl w:val="0"/>
          <w:numId w:val="17"/>
        </w:numPr>
        <w:spacing w:line="264" w:lineRule="auto"/>
        <w:rPr>
          <w:rFonts w:ascii="Arial" w:hAnsi="Arial" w:cs="Arial"/>
          <w:sz w:val="20"/>
        </w:rPr>
      </w:pPr>
      <w:r w:rsidRPr="006A05B3">
        <w:rPr>
          <w:rFonts w:ascii="Arial" w:hAnsi="Arial" w:cs="Arial"/>
          <w:sz w:val="20"/>
        </w:rPr>
        <w:t xml:space="preserve">To incent performance, a Performance Based Funding committee was convened to research and develop a funding allocation method that would incent programs to improve performance on students in the lowest levels of literacy, retention and completion.  The committee representing urban, rural, large and small providers created and </w:t>
      </w:r>
      <w:r w:rsidR="00F6521B" w:rsidRPr="006A05B3">
        <w:rPr>
          <w:rFonts w:ascii="Arial" w:hAnsi="Arial" w:cs="Arial"/>
          <w:sz w:val="20"/>
        </w:rPr>
        <w:t>recommended</w:t>
      </w:r>
      <w:r w:rsidRPr="006A05B3">
        <w:rPr>
          <w:rFonts w:ascii="Arial" w:hAnsi="Arial" w:cs="Arial"/>
          <w:sz w:val="20"/>
        </w:rPr>
        <w:t xml:space="preserve"> a formula that </w:t>
      </w:r>
      <w:r w:rsidR="00F339E4" w:rsidRPr="006A05B3">
        <w:rPr>
          <w:rFonts w:ascii="Arial" w:hAnsi="Arial" w:cs="Arial"/>
          <w:sz w:val="20"/>
        </w:rPr>
        <w:t>is in process</w:t>
      </w:r>
      <w:r w:rsidR="00F6521B" w:rsidRPr="006A05B3">
        <w:rPr>
          <w:rFonts w:ascii="Arial" w:hAnsi="Arial" w:cs="Arial"/>
          <w:sz w:val="20"/>
        </w:rPr>
        <w:t xml:space="preserve"> of being approved by the NCCCS Board. </w:t>
      </w:r>
    </w:p>
    <w:p w:rsidR="001649E6" w:rsidRDefault="00F6521B" w:rsidP="001649E6">
      <w:pPr>
        <w:pStyle w:val="ListParagraph"/>
        <w:numPr>
          <w:ilvl w:val="0"/>
          <w:numId w:val="17"/>
        </w:numPr>
        <w:spacing w:line="264" w:lineRule="auto"/>
        <w:rPr>
          <w:rFonts w:ascii="Arial" w:hAnsi="Arial" w:cs="Arial"/>
          <w:sz w:val="20"/>
          <w:szCs w:val="20"/>
        </w:rPr>
      </w:pPr>
      <w:r w:rsidRPr="00CC6829">
        <w:rPr>
          <w:rFonts w:ascii="Arial" w:hAnsi="Arial" w:cs="Arial"/>
          <w:sz w:val="20"/>
          <w:szCs w:val="20"/>
        </w:rPr>
        <w:t>The NCCCS supported a complete reprograming of the current data management system to account for the new NRS guidelines.  The technology and system support team attended NRS training to ensure programming met new requirements and provide real time reports for providers to use for program improvement. Beta programs were identified to test and provide feedback on the efficiencies of new programs</w:t>
      </w:r>
      <w:r w:rsidR="001649E6">
        <w:rPr>
          <w:rFonts w:ascii="Arial" w:hAnsi="Arial" w:cs="Arial"/>
          <w:sz w:val="20"/>
          <w:szCs w:val="20"/>
        </w:rPr>
        <w:t>.</w:t>
      </w:r>
    </w:p>
    <w:p w:rsidR="00E87C05" w:rsidRPr="00CC6829" w:rsidRDefault="00E87C05" w:rsidP="00E87C05">
      <w:pPr>
        <w:spacing w:line="264" w:lineRule="auto"/>
        <w:rPr>
          <w:rFonts w:ascii="Arial" w:hAnsi="Arial" w:cs="Arial"/>
          <w:b/>
          <w:sz w:val="20"/>
        </w:rPr>
      </w:pPr>
    </w:p>
    <w:p w:rsidR="00E87C05" w:rsidRPr="00CC6829" w:rsidRDefault="00E87C05" w:rsidP="00E87C05">
      <w:pPr>
        <w:spacing w:line="264" w:lineRule="auto"/>
        <w:rPr>
          <w:rFonts w:ascii="Arial" w:hAnsi="Arial" w:cs="Arial"/>
          <w:b/>
          <w:sz w:val="20"/>
        </w:rPr>
      </w:pPr>
    </w:p>
    <w:p w:rsidR="00602904" w:rsidRPr="00CC6829" w:rsidRDefault="00602904" w:rsidP="000D78A1">
      <w:pPr>
        <w:pStyle w:val="NormalWeb"/>
        <w:spacing w:before="0" w:beforeAutospacing="0" w:after="0" w:afterAutospacing="0"/>
        <w:rPr>
          <w:rFonts w:ascii="Arial" w:hAnsi="Arial" w:cs="Arial"/>
          <w:b/>
          <w:sz w:val="20"/>
          <w:szCs w:val="20"/>
        </w:rPr>
      </w:pPr>
      <w:r w:rsidRPr="00CC6829">
        <w:rPr>
          <w:rFonts w:ascii="Arial" w:eastAsiaTheme="minorHAnsi" w:hAnsi="Arial" w:cs="Arial"/>
          <w:noProof/>
          <w:color w:val="000000"/>
          <w:sz w:val="20"/>
          <w:szCs w:val="20"/>
          <w:u w:val="single"/>
        </w:rPr>
        <mc:AlternateContent>
          <mc:Choice Requires="wps">
            <w:drawing>
              <wp:anchor distT="0" distB="0" distL="114300" distR="114300" simplePos="0" relativeHeight="251679744" behindDoc="0" locked="0" layoutInCell="1" allowOverlap="1" wp14:anchorId="39813179" wp14:editId="2C53D071">
                <wp:simplePos x="0" y="0"/>
                <wp:positionH relativeFrom="margin">
                  <wp:posOffset>0</wp:posOffset>
                </wp:positionH>
                <wp:positionV relativeFrom="paragraph">
                  <wp:posOffset>-635</wp:posOffset>
                </wp:positionV>
                <wp:extent cx="5934075" cy="3429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3429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602904" w:rsidRPr="00D445FB" w:rsidRDefault="00602904" w:rsidP="00602904">
                            <w:pPr>
                              <w:pStyle w:val="ListParagraph"/>
                              <w:jc w:val="center"/>
                              <w:rPr>
                                <w:rFonts w:ascii="Tahoma" w:hAnsi="Tahoma" w:cs="Tahoma"/>
                                <w:color w:val="000000" w:themeColor="text1"/>
                                <w:sz w:val="24"/>
                                <w:szCs w:val="24"/>
                              </w:rPr>
                            </w:pPr>
                            <w:r w:rsidRPr="00D445FB">
                              <w:rPr>
                                <w:rFonts w:ascii="Tahoma" w:hAnsi="Tahoma" w:cs="Tahoma"/>
                                <w:color w:val="000000" w:themeColor="text1"/>
                                <w:sz w:val="24"/>
                                <w:szCs w:val="24"/>
                              </w:rPr>
                              <w:t>2. Performance Data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813179" id="Rectangle 10" o:spid="_x0000_s1027" style="position:absolute;left:0;text-align:left;margin-left:0;margin-top:-.05pt;width:467.25pt;height:2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" fillcolor="#d2d2d2" strokecolor="#a5a5a5" strokeweight=".5pt">
                <v:fill color2="silver" rotate="t" colors="0 #d2d2d2;.5 #c8c8c8;1 silver" focus="100%" type="gradient">
                  <o:fill v:ext="view" type="gradientUnscaled"/>
                </v:fill>
                <v:path arrowok="t"/>
                <v:textbox>
                  <w:txbxContent>
                    <w:p w:rsidR="00602904" w:rsidRPr="00D445FB" w:rsidRDefault="00602904" w:rsidP="00602904">
                      <w:pPr>
                        <w:pStyle w:val="ListParagraph"/>
                        <w:jc w:val="center"/>
                        <w:rPr>
                          <w:rFonts w:ascii="Tahoma" w:hAnsi="Tahoma" w:cs="Tahoma"/>
                          <w:color w:val="000000" w:themeColor="text1"/>
                          <w:sz w:val="24"/>
                          <w:szCs w:val="24"/>
                        </w:rPr>
                      </w:pPr>
                      <w:r w:rsidRPr="00D445FB">
                        <w:rPr>
                          <w:rFonts w:ascii="Tahoma" w:hAnsi="Tahoma" w:cs="Tahoma"/>
                          <w:color w:val="000000" w:themeColor="text1"/>
                          <w:sz w:val="24"/>
                          <w:szCs w:val="24"/>
                        </w:rPr>
                        <w:t>2. Performance Data Analysis</w:t>
                      </w:r>
                    </w:p>
                  </w:txbxContent>
                </v:textbox>
                <w10:wrap anchorx="margin"/>
              </v:rect>
            </w:pict>
          </mc:Fallback>
        </mc:AlternateContent>
      </w:r>
    </w:p>
    <w:p w:rsidR="00BF4FAB" w:rsidRPr="00CC6829" w:rsidRDefault="00BF4FAB" w:rsidP="00BF4FAB">
      <w:pPr>
        <w:pStyle w:val="Heading3"/>
        <w:ind w:left="-5"/>
        <w:rPr>
          <w:rFonts w:ascii="Arial" w:hAnsi="Arial" w:cs="Arial"/>
          <w:color w:val="FF0000"/>
          <w:sz w:val="20"/>
          <w:szCs w:val="20"/>
        </w:rPr>
      </w:pPr>
      <w:r w:rsidRPr="00CC6829">
        <w:rPr>
          <w:rFonts w:ascii="Arial" w:hAnsi="Arial" w:cs="Arial"/>
          <w:color w:val="FF0000"/>
          <w:sz w:val="20"/>
          <w:szCs w:val="20"/>
        </w:rPr>
        <w:t xml:space="preserve"> </w:t>
      </w:r>
    </w:p>
    <w:p w:rsidR="00BF4FAB" w:rsidRPr="00CC6829" w:rsidRDefault="00BF4FAB" w:rsidP="00BF4FAB">
      <w:pPr>
        <w:spacing w:line="259" w:lineRule="auto"/>
        <w:ind w:left="360"/>
        <w:rPr>
          <w:rFonts w:ascii="Arial" w:hAnsi="Arial" w:cs="Arial"/>
          <w:b/>
          <w:sz w:val="20"/>
        </w:rPr>
      </w:pPr>
      <w:r w:rsidRPr="00CC6829">
        <w:rPr>
          <w:rFonts w:ascii="Arial" w:hAnsi="Arial" w:cs="Arial"/>
          <w:b/>
          <w:sz w:val="20"/>
        </w:rPr>
        <w:t xml:space="preserve"> </w:t>
      </w:r>
    </w:p>
    <w:p w:rsidR="00BF4FAB" w:rsidRPr="002103AC" w:rsidRDefault="00BF4FAB" w:rsidP="00BF4FAB">
      <w:pPr>
        <w:ind w:left="-5" w:right="134"/>
        <w:rPr>
          <w:rFonts w:ascii="Arial" w:hAnsi="Arial" w:cs="Arial"/>
          <w:i/>
          <w:sz w:val="20"/>
        </w:rPr>
      </w:pPr>
      <w:r w:rsidRPr="002103AC">
        <w:rPr>
          <w:rFonts w:ascii="Arial" w:hAnsi="Arial" w:cs="Arial"/>
          <w:i/>
          <w:sz w:val="20"/>
        </w:rPr>
        <w:t xml:space="preserve">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 </w:t>
      </w:r>
    </w:p>
    <w:p w:rsidR="001C0A34" w:rsidRPr="002103AC" w:rsidRDefault="001C0A34" w:rsidP="00BF4FAB">
      <w:pPr>
        <w:ind w:left="-5" w:right="134"/>
        <w:rPr>
          <w:rFonts w:ascii="Arial" w:hAnsi="Arial" w:cs="Arial"/>
          <w:i/>
          <w:sz w:val="20"/>
        </w:rPr>
      </w:pPr>
    </w:p>
    <w:p w:rsidR="001C0A34" w:rsidRPr="00431F78" w:rsidRDefault="001C0A34" w:rsidP="001C0A34">
      <w:pPr>
        <w:ind w:left="-5" w:right="134"/>
        <w:rPr>
          <w:rFonts w:ascii="Arial" w:hAnsi="Arial" w:cs="Arial"/>
          <w:sz w:val="20"/>
          <w:u w:val="single"/>
        </w:rPr>
      </w:pPr>
      <w:r w:rsidRPr="00431F78">
        <w:rPr>
          <w:rFonts w:ascii="Arial" w:hAnsi="Arial" w:cs="Arial"/>
          <w:sz w:val="20"/>
          <w:u w:val="single"/>
        </w:rPr>
        <w:t>ABE/ASE</w:t>
      </w:r>
    </w:p>
    <w:p w:rsidR="001C0A34" w:rsidRPr="00431F78" w:rsidRDefault="001C0A34" w:rsidP="001C0A34">
      <w:pPr>
        <w:ind w:left="-5" w:right="134"/>
        <w:rPr>
          <w:rFonts w:ascii="Arial" w:hAnsi="Arial" w:cs="Arial"/>
          <w:sz w:val="20"/>
        </w:rPr>
      </w:pPr>
      <w:r w:rsidRPr="00431F78">
        <w:rPr>
          <w:rFonts w:ascii="Arial" w:hAnsi="Arial" w:cs="Arial"/>
          <w:sz w:val="20"/>
        </w:rPr>
        <w:t xml:space="preserve">Our aggregate Adult Basic Education (ABE) and Adult Secondary Education (ASE) levels overall exceeded the 35% target for the 2016-17 reporting year with a performance of 36.1%.  Our ABE Levels 4 and 5 exceeded the target and ABE Levels 2 and 3 fell below the target.  Our ABE Level 1 met the target.  ABE Levels 1 through 5 performed at 36.5%.  ABE Level 6 had 32.1% MSGs.  Even with the inclusion of ABE Level 6, the 36.1% performance is a significant increase over our prior year’s 30% performance level.  </w:t>
      </w:r>
    </w:p>
    <w:p w:rsidR="001C0A34" w:rsidRPr="00431F78" w:rsidRDefault="001C0A34" w:rsidP="001C0A34">
      <w:pPr>
        <w:ind w:left="-5" w:right="134"/>
        <w:rPr>
          <w:rFonts w:ascii="Arial" w:hAnsi="Arial" w:cs="Arial"/>
          <w:sz w:val="20"/>
        </w:rPr>
      </w:pPr>
    </w:p>
    <w:p w:rsidR="001C0A34" w:rsidRPr="00431F78" w:rsidRDefault="001C0A34" w:rsidP="001C0A34">
      <w:pPr>
        <w:ind w:left="-5" w:right="134"/>
        <w:rPr>
          <w:rFonts w:ascii="Arial" w:hAnsi="Arial" w:cs="Arial"/>
          <w:sz w:val="20"/>
        </w:rPr>
      </w:pPr>
      <w:r w:rsidRPr="00431F78">
        <w:rPr>
          <w:rFonts w:ascii="Arial" w:hAnsi="Arial" w:cs="Arial"/>
          <w:sz w:val="20"/>
        </w:rPr>
        <w:t xml:space="preserve">Of the overall measurable skill gains (MSG), </w:t>
      </w:r>
      <w:r w:rsidR="007A64E0" w:rsidRPr="00431F78">
        <w:rPr>
          <w:rFonts w:ascii="Arial" w:hAnsi="Arial" w:cs="Arial"/>
          <w:sz w:val="20"/>
        </w:rPr>
        <w:t>most of</w:t>
      </w:r>
      <w:r w:rsidRPr="00431F78">
        <w:rPr>
          <w:rFonts w:ascii="Arial" w:hAnsi="Arial" w:cs="Arial"/>
          <w:sz w:val="20"/>
        </w:rPr>
        <w:t xml:space="preserve"> the gains were from pre/post-test educational functioning level (EFL) gains and secondary diploma/equivalency with approximately 22% and 10% respectively with the remaining gains from the other MSG categories.</w:t>
      </w:r>
    </w:p>
    <w:p w:rsidR="001C0A34" w:rsidRPr="00431F78" w:rsidRDefault="001C0A34" w:rsidP="001C0A34">
      <w:pPr>
        <w:ind w:right="134"/>
        <w:rPr>
          <w:rFonts w:ascii="Arial" w:hAnsi="Arial" w:cs="Arial"/>
          <w:sz w:val="20"/>
        </w:rPr>
      </w:pPr>
    </w:p>
    <w:p w:rsidR="001C0A34" w:rsidRPr="00431F78" w:rsidRDefault="001C0A34" w:rsidP="001C0A34">
      <w:pPr>
        <w:ind w:left="-5" w:right="134"/>
        <w:rPr>
          <w:rFonts w:ascii="Arial" w:hAnsi="Arial" w:cs="Arial"/>
          <w:sz w:val="20"/>
        </w:rPr>
      </w:pPr>
    </w:p>
    <w:p w:rsidR="001C0A34" w:rsidRPr="00431F78" w:rsidRDefault="001C0A34" w:rsidP="001C0A34">
      <w:pPr>
        <w:ind w:left="-5" w:right="134"/>
        <w:rPr>
          <w:rFonts w:ascii="Arial" w:hAnsi="Arial" w:cs="Arial"/>
          <w:sz w:val="20"/>
          <w:u w:val="single"/>
        </w:rPr>
      </w:pPr>
      <w:r w:rsidRPr="00431F78">
        <w:rPr>
          <w:rFonts w:ascii="Arial" w:hAnsi="Arial" w:cs="Arial"/>
          <w:sz w:val="20"/>
          <w:u w:val="single"/>
        </w:rPr>
        <w:t>ESL</w:t>
      </w:r>
    </w:p>
    <w:p w:rsidR="001C0A34" w:rsidRPr="00431F78" w:rsidRDefault="001C0A34" w:rsidP="001C0A34">
      <w:pPr>
        <w:ind w:left="-5" w:right="134"/>
        <w:rPr>
          <w:rFonts w:ascii="Arial" w:hAnsi="Arial" w:cs="Arial"/>
          <w:sz w:val="20"/>
        </w:rPr>
      </w:pPr>
      <w:r w:rsidRPr="00431F78">
        <w:rPr>
          <w:rFonts w:ascii="Arial" w:hAnsi="Arial" w:cs="Arial"/>
          <w:sz w:val="20"/>
        </w:rPr>
        <w:t>Our aggregate English as a Second Language (ESL) fell short of our 37% target for the 2016-17 year with an actual performance of 34.2%.  Our most significant shortfalls occurred at ESL Levels 2, 3 and 4.  Our ESL level 6 exceeded the target.  Our 34.2% performance was a slight improvement over the prior reporting year.</w:t>
      </w:r>
    </w:p>
    <w:p w:rsidR="001C0A34" w:rsidRPr="00431F78" w:rsidRDefault="001C0A34" w:rsidP="001C0A34">
      <w:pPr>
        <w:ind w:left="-5" w:right="134"/>
        <w:rPr>
          <w:rFonts w:ascii="Arial" w:hAnsi="Arial" w:cs="Arial"/>
          <w:sz w:val="20"/>
        </w:rPr>
      </w:pPr>
    </w:p>
    <w:p w:rsidR="001C0A34" w:rsidRPr="00431F78" w:rsidRDefault="001C0A34" w:rsidP="001C0A34">
      <w:pPr>
        <w:ind w:left="-5" w:right="134"/>
        <w:rPr>
          <w:rFonts w:ascii="Arial" w:hAnsi="Arial" w:cs="Arial"/>
          <w:sz w:val="20"/>
        </w:rPr>
      </w:pPr>
      <w:r w:rsidRPr="00431F78">
        <w:rPr>
          <w:rFonts w:ascii="Arial" w:hAnsi="Arial" w:cs="Arial"/>
          <w:sz w:val="20"/>
        </w:rPr>
        <w:t>The vast majority of the MSGs were from pre/post-testing EFL gains which accounted for approximately 33% of the gains with exit/entry into post-secondary and high school equivalency credentials accounting for the remainder.</w:t>
      </w:r>
    </w:p>
    <w:p w:rsidR="001C0A34" w:rsidRPr="00431F78" w:rsidRDefault="001C0A34" w:rsidP="001C0A34">
      <w:pPr>
        <w:ind w:left="-5" w:right="134"/>
        <w:rPr>
          <w:rFonts w:ascii="Arial" w:hAnsi="Arial" w:cs="Arial"/>
          <w:sz w:val="20"/>
        </w:rPr>
      </w:pPr>
    </w:p>
    <w:p w:rsidR="001C0A34" w:rsidRPr="00431F78" w:rsidRDefault="001C0A34" w:rsidP="001C0A34">
      <w:pPr>
        <w:ind w:left="-5" w:right="134"/>
        <w:rPr>
          <w:rFonts w:ascii="Arial" w:hAnsi="Arial" w:cs="Arial"/>
          <w:sz w:val="20"/>
        </w:rPr>
      </w:pPr>
      <w:r w:rsidRPr="00431F78">
        <w:rPr>
          <w:rFonts w:ascii="Arial" w:hAnsi="Arial" w:cs="Arial"/>
          <w:sz w:val="20"/>
        </w:rPr>
        <w:t>The additional ways that students may earn MSGs was a contributing factor to the ABE/ASE levels outperforming ESL overall.</w:t>
      </w:r>
    </w:p>
    <w:p w:rsidR="001C0A34" w:rsidRPr="00431F78" w:rsidRDefault="001C0A34" w:rsidP="001C0A34">
      <w:pPr>
        <w:ind w:left="-5" w:right="134"/>
        <w:rPr>
          <w:rFonts w:ascii="Arial" w:hAnsi="Arial" w:cs="Arial"/>
          <w:sz w:val="20"/>
        </w:rPr>
      </w:pPr>
    </w:p>
    <w:p w:rsidR="001C0A34" w:rsidRPr="00431F78" w:rsidRDefault="001C0A34" w:rsidP="001C0A34">
      <w:pPr>
        <w:ind w:left="-5" w:right="134"/>
        <w:rPr>
          <w:rFonts w:ascii="Arial" w:hAnsi="Arial" w:cs="Arial"/>
          <w:sz w:val="20"/>
          <w:u w:val="single"/>
        </w:rPr>
      </w:pPr>
      <w:r w:rsidRPr="00431F78">
        <w:rPr>
          <w:rFonts w:ascii="Arial" w:hAnsi="Arial" w:cs="Arial"/>
          <w:sz w:val="20"/>
          <w:u w:val="single"/>
        </w:rPr>
        <w:t>Combined Program Performance</w:t>
      </w:r>
    </w:p>
    <w:p w:rsidR="001C0A34" w:rsidRPr="00431F78" w:rsidRDefault="001C0A34" w:rsidP="001C0A34">
      <w:pPr>
        <w:ind w:left="-5" w:right="134"/>
        <w:rPr>
          <w:rFonts w:ascii="Arial" w:hAnsi="Arial" w:cs="Arial"/>
          <w:sz w:val="20"/>
        </w:rPr>
      </w:pPr>
      <w:r w:rsidRPr="00431F78">
        <w:rPr>
          <w:rFonts w:ascii="Arial" w:hAnsi="Arial" w:cs="Arial"/>
          <w:sz w:val="20"/>
        </w:rPr>
        <w:t>Factoring in periods of participation (</w:t>
      </w:r>
      <w:proofErr w:type="spellStart"/>
      <w:r w:rsidRPr="00431F78">
        <w:rPr>
          <w:rFonts w:ascii="Arial" w:hAnsi="Arial" w:cs="Arial"/>
          <w:sz w:val="20"/>
        </w:rPr>
        <w:t>PoP</w:t>
      </w:r>
      <w:proofErr w:type="spellEnd"/>
      <w:r w:rsidRPr="00431F78">
        <w:rPr>
          <w:rFonts w:ascii="Arial" w:hAnsi="Arial" w:cs="Arial"/>
          <w:sz w:val="20"/>
        </w:rPr>
        <w:t>) for the 2016-17 reporting year, our overall MSGs were 35.5% which was a significant improvement over the prior program year’s 31% performance, but fell slightly short of our 36% target.  Our participant population for ABE/ASE was approximately 67% and ESL accounted for 33% of our participants.   The number of participants in ABE levels 1 - 5 decreased from the prior program year with ESL and ABE Level 6 remaining consistent.  The average contact hours were also in alignment with the prior program year.</w:t>
      </w:r>
    </w:p>
    <w:p w:rsidR="001C0A34" w:rsidRPr="00431F78" w:rsidRDefault="001C0A34" w:rsidP="001C0A34">
      <w:pPr>
        <w:ind w:left="-5" w:right="134"/>
        <w:rPr>
          <w:rFonts w:ascii="Arial" w:hAnsi="Arial" w:cs="Arial"/>
          <w:sz w:val="20"/>
        </w:rPr>
      </w:pPr>
    </w:p>
    <w:p w:rsidR="001C0A34" w:rsidRPr="00431F78" w:rsidRDefault="001C0A34" w:rsidP="001C0A34">
      <w:pPr>
        <w:ind w:left="-5" w:right="134"/>
        <w:rPr>
          <w:rFonts w:ascii="Arial" w:hAnsi="Arial" w:cs="Arial"/>
          <w:sz w:val="20"/>
        </w:rPr>
      </w:pPr>
      <w:r w:rsidRPr="00431F78">
        <w:rPr>
          <w:rFonts w:ascii="Arial" w:hAnsi="Arial" w:cs="Arial"/>
          <w:sz w:val="20"/>
        </w:rPr>
        <w:t xml:space="preserve">During the 2016-17 program year, </w:t>
      </w:r>
      <w:r w:rsidR="00A07D6B" w:rsidRPr="00431F78">
        <w:rPr>
          <w:rFonts w:ascii="Arial" w:hAnsi="Arial" w:cs="Arial"/>
          <w:sz w:val="20"/>
        </w:rPr>
        <w:t xml:space="preserve">regional </w:t>
      </w:r>
      <w:r w:rsidRPr="00431F78">
        <w:rPr>
          <w:rFonts w:ascii="Arial" w:hAnsi="Arial" w:cs="Arial"/>
          <w:sz w:val="20"/>
        </w:rPr>
        <w:t xml:space="preserve">trainings were conducted </w:t>
      </w:r>
      <w:r w:rsidR="00A07D6B" w:rsidRPr="00431F78">
        <w:rPr>
          <w:rFonts w:ascii="Arial" w:hAnsi="Arial" w:cs="Arial"/>
          <w:sz w:val="20"/>
        </w:rPr>
        <w:t>to improve</w:t>
      </w:r>
      <w:r w:rsidRPr="00431F78">
        <w:rPr>
          <w:rFonts w:ascii="Arial" w:hAnsi="Arial" w:cs="Arial"/>
          <w:sz w:val="20"/>
        </w:rPr>
        <w:t xml:space="preserve"> awareness of NRS changes with an emphasis on </w:t>
      </w:r>
      <w:r w:rsidR="002103AC">
        <w:rPr>
          <w:rFonts w:ascii="Arial" w:hAnsi="Arial" w:cs="Arial"/>
          <w:sz w:val="20"/>
        </w:rPr>
        <w:t xml:space="preserve">developing </w:t>
      </w:r>
      <w:r w:rsidRPr="00431F78">
        <w:rPr>
          <w:rFonts w:ascii="Arial" w:hAnsi="Arial" w:cs="Arial"/>
          <w:sz w:val="20"/>
        </w:rPr>
        <w:t xml:space="preserve">understanding of evaluating performance especially with respect to the various performance indicators.  We have introduced and disseminated to our providers new monitoring tools and additional feedback and guidance of data analysis and program performance. </w:t>
      </w:r>
    </w:p>
    <w:p w:rsidR="001C0A34" w:rsidRPr="00431F78" w:rsidRDefault="001C0A34" w:rsidP="001C0A34">
      <w:pPr>
        <w:ind w:left="-5" w:right="134"/>
        <w:rPr>
          <w:rFonts w:ascii="Arial" w:hAnsi="Arial" w:cs="Arial"/>
          <w:sz w:val="20"/>
        </w:rPr>
      </w:pPr>
    </w:p>
    <w:p w:rsidR="001C0A34" w:rsidRPr="00431F78" w:rsidRDefault="001C0A34" w:rsidP="001C0A34">
      <w:pPr>
        <w:ind w:left="-5" w:right="134"/>
        <w:rPr>
          <w:rFonts w:ascii="Arial" w:hAnsi="Arial" w:cs="Arial"/>
          <w:sz w:val="20"/>
        </w:rPr>
      </w:pPr>
      <w:r w:rsidRPr="00431F78">
        <w:rPr>
          <w:rFonts w:ascii="Arial" w:hAnsi="Arial" w:cs="Arial"/>
          <w:sz w:val="20"/>
        </w:rPr>
        <w:t xml:space="preserve">For the 2017-18 program year, we have worked with IT to customize and enhance our student information system database.  Part of this programming includes the creation of additional tools and </w:t>
      </w:r>
      <w:r w:rsidR="001737FD">
        <w:rPr>
          <w:rFonts w:ascii="Arial" w:hAnsi="Arial" w:cs="Arial"/>
          <w:sz w:val="20"/>
        </w:rPr>
        <w:t>reports to aid providers in pro</w:t>
      </w:r>
      <w:r w:rsidRPr="00431F78">
        <w:rPr>
          <w:rFonts w:ascii="Arial" w:hAnsi="Arial" w:cs="Arial"/>
          <w:sz w:val="20"/>
        </w:rPr>
        <w:t xml:space="preserve">actively monitoring their data and performance. </w:t>
      </w:r>
      <w:r w:rsidR="00874688" w:rsidRPr="00431F78">
        <w:rPr>
          <w:rFonts w:ascii="Arial" w:hAnsi="Arial" w:cs="Arial"/>
          <w:sz w:val="20"/>
        </w:rPr>
        <w:t xml:space="preserve"> In addition, o</w:t>
      </w:r>
      <w:r w:rsidRPr="00431F78">
        <w:rPr>
          <w:rFonts w:ascii="Arial" w:hAnsi="Arial" w:cs="Arial"/>
          <w:sz w:val="20"/>
        </w:rPr>
        <w:t xml:space="preserve">ur Research and Performance Management department </w:t>
      </w:r>
      <w:r w:rsidR="00874688" w:rsidRPr="00431F78">
        <w:rPr>
          <w:rFonts w:ascii="Arial" w:hAnsi="Arial" w:cs="Arial"/>
          <w:sz w:val="20"/>
        </w:rPr>
        <w:t xml:space="preserve">is now playing an </w:t>
      </w:r>
      <w:r w:rsidRPr="00431F78">
        <w:rPr>
          <w:rFonts w:ascii="Arial" w:hAnsi="Arial" w:cs="Arial"/>
          <w:sz w:val="20"/>
        </w:rPr>
        <w:t>instrumental role in creating new data monitoring tools and evaluating performance with respect to our funding models.</w:t>
      </w:r>
    </w:p>
    <w:p w:rsidR="001C0A34" w:rsidRPr="00431F78" w:rsidRDefault="001C0A34" w:rsidP="001C0A34">
      <w:pPr>
        <w:ind w:left="-5" w:right="134"/>
        <w:rPr>
          <w:rFonts w:ascii="Arial" w:hAnsi="Arial" w:cs="Arial"/>
          <w:sz w:val="20"/>
        </w:rPr>
      </w:pPr>
    </w:p>
    <w:p w:rsidR="00072789" w:rsidRPr="00431F78" w:rsidRDefault="00BF4FAB" w:rsidP="00BF4FAB">
      <w:pPr>
        <w:spacing w:line="259" w:lineRule="auto"/>
        <w:rPr>
          <w:rFonts w:ascii="Arial" w:hAnsi="Arial" w:cs="Arial"/>
          <w:sz w:val="20"/>
        </w:rPr>
      </w:pPr>
      <w:r w:rsidRPr="00431F78">
        <w:rPr>
          <w:rFonts w:ascii="Arial" w:hAnsi="Arial" w:cs="Arial"/>
          <w:sz w:val="20"/>
        </w:rPr>
        <w:t xml:space="preserve"> </w:t>
      </w:r>
      <w:r w:rsidR="00072789" w:rsidRPr="00431F78">
        <w:rPr>
          <w:rFonts w:ascii="Arial" w:eastAsiaTheme="minorHAnsi" w:hAnsi="Arial" w:cs="Arial"/>
          <w:noProof/>
          <w:color w:val="000000"/>
          <w:sz w:val="20"/>
          <w:u w:val="single"/>
        </w:rPr>
        <mc:AlternateContent>
          <mc:Choice Requires="wps">
            <w:drawing>
              <wp:anchor distT="0" distB="0" distL="114300" distR="114300" simplePos="0" relativeHeight="251675648" behindDoc="0" locked="0" layoutInCell="1" allowOverlap="1" wp14:anchorId="26703E98" wp14:editId="3B1E01E5">
                <wp:simplePos x="0" y="0"/>
                <wp:positionH relativeFrom="margin">
                  <wp:align>left</wp:align>
                </wp:positionH>
                <wp:positionV relativeFrom="paragraph">
                  <wp:posOffset>98425</wp:posOffset>
                </wp:positionV>
                <wp:extent cx="5934075" cy="3429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3429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072789" w:rsidRPr="007C053E" w:rsidRDefault="00072789" w:rsidP="00072789">
                            <w:pPr>
                              <w:pStyle w:val="ListParagraph"/>
                              <w:jc w:val="center"/>
                              <w:rPr>
                                <w:rFonts w:ascii="Arial" w:hAnsi="Arial" w:cs="Arial"/>
                                <w:color w:val="000000" w:themeColor="text1"/>
                                <w:sz w:val="24"/>
                                <w:szCs w:val="24"/>
                              </w:rPr>
                            </w:pPr>
                            <w:r w:rsidRPr="007C053E">
                              <w:rPr>
                                <w:rFonts w:ascii="Arial" w:hAnsi="Arial" w:cs="Arial"/>
                                <w:color w:val="000000" w:themeColor="text1"/>
                                <w:sz w:val="24"/>
                                <w:szCs w:val="24"/>
                              </w:rPr>
                              <w:t xml:space="preserve">3. </w:t>
                            </w:r>
                            <w:r w:rsidRPr="007C053E">
                              <w:rPr>
                                <w:rFonts w:ascii="Arial" w:hAnsi="Arial" w:cs="Arial"/>
                                <w:sz w:val="24"/>
                                <w:szCs w:val="24"/>
                              </w:rPr>
                              <w:t>Integration with One-stop Partners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703E98" id="Rectangle 8" o:spid="_x0000_s1028" style="position:absolute;margin-left:0;margin-top:7.75pt;width:467.25pt;height:27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" fillcolor="#d2d2d2" strokecolor="#a5a5a5" strokeweight=".5pt">
                <v:fill color2="silver" rotate="t" colors="0 #d2d2d2;.5 #c8c8c8;1 silver" focus="100%" type="gradient">
                  <o:fill v:ext="view" type="gradientUnscaled"/>
                </v:fill>
                <v:path arrowok="t"/>
                <v:textbox>
                  <w:txbxContent>
                    <w:p w:rsidR="00072789" w:rsidRPr="007C053E" w:rsidRDefault="00072789" w:rsidP="00072789">
                      <w:pPr>
                        <w:pStyle w:val="ListParagraph"/>
                        <w:jc w:val="center"/>
                        <w:rPr>
                          <w:rFonts w:ascii="Arial" w:hAnsi="Arial" w:cs="Arial"/>
                          <w:color w:val="000000" w:themeColor="text1"/>
                          <w:sz w:val="24"/>
                          <w:szCs w:val="24"/>
                        </w:rPr>
                      </w:pPr>
                      <w:r w:rsidRPr="007C053E">
                        <w:rPr>
                          <w:rFonts w:ascii="Arial" w:hAnsi="Arial" w:cs="Arial"/>
                          <w:color w:val="000000" w:themeColor="text1"/>
                          <w:sz w:val="24"/>
                          <w:szCs w:val="24"/>
                        </w:rPr>
                        <w:t xml:space="preserve">3. </w:t>
                      </w:r>
                      <w:r w:rsidRPr="007C053E">
                        <w:rPr>
                          <w:rFonts w:ascii="Arial" w:hAnsi="Arial" w:cs="Arial"/>
                          <w:sz w:val="24"/>
                          <w:szCs w:val="24"/>
                        </w:rPr>
                        <w:t>Integration with One-stop Partners</w:t>
                      </w:r>
                    </w:p>
                  </w:txbxContent>
                </v:textbox>
                <w10:wrap anchorx="margin"/>
              </v:rect>
            </w:pict>
          </mc:Fallback>
        </mc:AlternateContent>
      </w:r>
    </w:p>
    <w:p w:rsidR="00BF4FAB" w:rsidRPr="00431F78" w:rsidRDefault="00BF4FAB" w:rsidP="00072789">
      <w:pPr>
        <w:pStyle w:val="Heading3"/>
        <w:rPr>
          <w:rFonts w:ascii="Arial" w:hAnsi="Arial" w:cs="Arial"/>
          <w:color w:val="FF0000"/>
          <w:sz w:val="20"/>
          <w:szCs w:val="20"/>
        </w:rPr>
      </w:pPr>
      <w:r w:rsidRPr="00431F78">
        <w:rPr>
          <w:rFonts w:ascii="Arial" w:hAnsi="Arial" w:cs="Arial"/>
          <w:sz w:val="20"/>
          <w:szCs w:val="20"/>
        </w:rPr>
        <w:tab/>
      </w:r>
      <w:r w:rsidRPr="00431F78">
        <w:rPr>
          <w:rFonts w:ascii="Arial" w:hAnsi="Arial" w:cs="Arial"/>
          <w:color w:val="FF0000"/>
          <w:sz w:val="20"/>
          <w:szCs w:val="20"/>
        </w:rPr>
        <w:t xml:space="preserve"> </w:t>
      </w:r>
    </w:p>
    <w:p w:rsidR="00BF4FAB" w:rsidRPr="00431F78" w:rsidRDefault="00BF4FAB" w:rsidP="00BF4FAB">
      <w:pPr>
        <w:spacing w:line="259" w:lineRule="auto"/>
        <w:ind w:left="360"/>
        <w:rPr>
          <w:rFonts w:ascii="Arial" w:hAnsi="Arial" w:cs="Arial"/>
          <w:sz w:val="20"/>
        </w:rPr>
      </w:pPr>
      <w:r w:rsidRPr="00431F78">
        <w:rPr>
          <w:rFonts w:ascii="Arial" w:hAnsi="Arial" w:cs="Arial"/>
          <w:b/>
          <w:sz w:val="20"/>
        </w:rPr>
        <w:t xml:space="preserve"> </w:t>
      </w:r>
    </w:p>
    <w:p w:rsidR="00BC449C" w:rsidRPr="009B480F" w:rsidRDefault="00BF4FAB" w:rsidP="00BF4FAB">
      <w:pPr>
        <w:ind w:left="-5" w:right="134"/>
        <w:rPr>
          <w:rFonts w:ascii="Arial" w:hAnsi="Arial" w:cs="Arial"/>
          <w:i/>
          <w:sz w:val="20"/>
        </w:rPr>
      </w:pPr>
      <w:r w:rsidRPr="009B480F">
        <w:rPr>
          <w:rFonts w:ascii="Arial" w:hAnsi="Arial" w:cs="Arial"/>
          <w:i/>
          <w:sz w:val="20"/>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p>
    <w:p w:rsidR="00BC449C" w:rsidRPr="00431F78" w:rsidRDefault="00BC449C" w:rsidP="00BF4FAB">
      <w:pPr>
        <w:ind w:left="-5" w:right="134"/>
        <w:rPr>
          <w:rFonts w:ascii="Arial" w:hAnsi="Arial" w:cs="Arial"/>
          <w:sz w:val="20"/>
        </w:rPr>
      </w:pPr>
    </w:p>
    <w:p w:rsidR="00BF4FAB" w:rsidRPr="00CC6829" w:rsidRDefault="00BC449C" w:rsidP="00BF4FAB">
      <w:pPr>
        <w:ind w:left="-5" w:right="134"/>
        <w:rPr>
          <w:rFonts w:ascii="Arial" w:hAnsi="Arial" w:cs="Arial"/>
          <w:sz w:val="20"/>
        </w:rPr>
      </w:pPr>
      <w:r w:rsidRPr="00431F78">
        <w:rPr>
          <w:rFonts w:ascii="Arial" w:hAnsi="Arial" w:cs="Arial"/>
          <w:sz w:val="20"/>
        </w:rPr>
        <w:t>The three agencies responsible for the core programs under WIOA- the Community College System, Department of Commerce, and Department</w:t>
      </w:r>
      <w:r w:rsidRPr="00CC6829">
        <w:rPr>
          <w:rFonts w:ascii="Arial" w:hAnsi="Arial" w:cs="Arial"/>
          <w:sz w:val="20"/>
        </w:rPr>
        <w:t xml:space="preserve"> of Health and Human Services- have worked this past year to align core programs and one-stop partner services via the </w:t>
      </w:r>
      <w:proofErr w:type="spellStart"/>
      <w:r w:rsidRPr="00CC6829">
        <w:rPr>
          <w:rFonts w:ascii="Arial" w:hAnsi="Arial" w:cs="Arial"/>
          <w:sz w:val="20"/>
        </w:rPr>
        <w:t>NCWorks</w:t>
      </w:r>
      <w:proofErr w:type="spellEnd"/>
      <w:r w:rsidRPr="00CC6829">
        <w:rPr>
          <w:rFonts w:ascii="Arial" w:hAnsi="Arial" w:cs="Arial"/>
          <w:sz w:val="20"/>
        </w:rPr>
        <w:t xml:space="preserve"> Initiative. By focusing on common goals and building on each other’s strengths, the state has begun to develop the organizational tools, structures and cross-agency protocols needed to support the vision of WIOA.</w:t>
      </w:r>
      <w:r w:rsidR="00BF4FAB" w:rsidRPr="00CC6829">
        <w:rPr>
          <w:rFonts w:ascii="Arial" w:hAnsi="Arial" w:cs="Arial"/>
          <w:sz w:val="20"/>
        </w:rPr>
        <w:t xml:space="preserve"> </w:t>
      </w:r>
    </w:p>
    <w:p w:rsidR="005317BC" w:rsidRPr="00CC6829" w:rsidRDefault="005317BC" w:rsidP="00BF4FAB">
      <w:pPr>
        <w:ind w:left="-5" w:right="134"/>
        <w:rPr>
          <w:rFonts w:ascii="Arial" w:hAnsi="Arial" w:cs="Arial"/>
          <w:sz w:val="20"/>
        </w:rPr>
      </w:pPr>
    </w:p>
    <w:p w:rsidR="005317BC" w:rsidRPr="00CC6829" w:rsidRDefault="005317BC" w:rsidP="00BF4FAB">
      <w:pPr>
        <w:ind w:left="-5" w:right="134"/>
        <w:rPr>
          <w:rFonts w:ascii="Arial" w:hAnsi="Arial" w:cs="Arial"/>
          <w:sz w:val="20"/>
        </w:rPr>
      </w:pPr>
      <w:r w:rsidRPr="00CC6829">
        <w:rPr>
          <w:rFonts w:ascii="Arial" w:hAnsi="Arial" w:cs="Arial"/>
          <w:sz w:val="20"/>
        </w:rPr>
        <w:t>NC Works Commission</w:t>
      </w:r>
      <w:r w:rsidR="00072789" w:rsidRPr="00CC6829">
        <w:rPr>
          <w:rFonts w:ascii="Arial" w:hAnsi="Arial" w:cs="Arial"/>
          <w:sz w:val="20"/>
        </w:rPr>
        <w:t xml:space="preserve"> does not have unique representation by Title </w:t>
      </w:r>
      <w:proofErr w:type="spellStart"/>
      <w:r w:rsidR="00072789" w:rsidRPr="00CC6829">
        <w:rPr>
          <w:rFonts w:ascii="Arial" w:hAnsi="Arial" w:cs="Arial"/>
          <w:sz w:val="20"/>
        </w:rPr>
        <w:t>ll</w:t>
      </w:r>
      <w:proofErr w:type="spellEnd"/>
      <w:r w:rsidR="00072789" w:rsidRPr="00CC6829">
        <w:rPr>
          <w:rFonts w:ascii="Arial" w:hAnsi="Arial" w:cs="Arial"/>
          <w:sz w:val="20"/>
        </w:rPr>
        <w:t xml:space="preserve"> on the state board</w:t>
      </w:r>
      <w:r w:rsidR="00CB5D0E" w:rsidRPr="00CC6829">
        <w:rPr>
          <w:rFonts w:ascii="Arial" w:hAnsi="Arial" w:cs="Arial"/>
          <w:sz w:val="20"/>
        </w:rPr>
        <w:t xml:space="preserve">, and only </w:t>
      </w:r>
      <w:proofErr w:type="gramStart"/>
      <w:r w:rsidR="00CB5D0E" w:rsidRPr="00CC6829">
        <w:rPr>
          <w:rFonts w:ascii="Arial" w:hAnsi="Arial" w:cs="Arial"/>
          <w:sz w:val="20"/>
        </w:rPr>
        <w:t>a  small</w:t>
      </w:r>
      <w:proofErr w:type="gramEnd"/>
      <w:r w:rsidR="00CB5D0E" w:rsidRPr="00CC6829">
        <w:rPr>
          <w:rFonts w:ascii="Arial" w:hAnsi="Arial" w:cs="Arial"/>
          <w:sz w:val="20"/>
        </w:rPr>
        <w:t xml:space="preserve"> percentage of local boards have met this requirement. </w:t>
      </w:r>
      <w:r w:rsidRPr="00CC6829">
        <w:rPr>
          <w:rFonts w:ascii="Arial" w:hAnsi="Arial" w:cs="Arial"/>
          <w:sz w:val="20"/>
        </w:rPr>
        <w:t xml:space="preserve">This requirement has been difficult to accomplish due to resistance from the commission’s lead agency, Department of Commerce. Dialogue continues in an effort to meet this requirement. </w:t>
      </w:r>
      <w:r w:rsidR="00CB5D0E" w:rsidRPr="00CC6829">
        <w:rPr>
          <w:rFonts w:ascii="Arial" w:hAnsi="Arial" w:cs="Arial"/>
          <w:sz w:val="20"/>
        </w:rPr>
        <w:t xml:space="preserve">Title </w:t>
      </w:r>
      <w:proofErr w:type="spellStart"/>
      <w:r w:rsidR="00CB5D0E" w:rsidRPr="00CC6829">
        <w:rPr>
          <w:rFonts w:ascii="Arial" w:hAnsi="Arial" w:cs="Arial"/>
          <w:sz w:val="20"/>
        </w:rPr>
        <w:t>ll</w:t>
      </w:r>
      <w:proofErr w:type="spellEnd"/>
      <w:r w:rsidR="00CB5D0E" w:rsidRPr="00CC6829">
        <w:rPr>
          <w:rFonts w:ascii="Arial" w:hAnsi="Arial" w:cs="Arial"/>
          <w:sz w:val="20"/>
        </w:rPr>
        <w:t xml:space="preserve"> did not </w:t>
      </w:r>
      <w:r w:rsidRPr="00CC6829">
        <w:rPr>
          <w:rFonts w:ascii="Arial" w:hAnsi="Arial" w:cs="Arial"/>
          <w:sz w:val="20"/>
        </w:rPr>
        <w:t>delegate</w:t>
      </w:r>
      <w:r w:rsidR="00CB5D0E" w:rsidRPr="00CC6829">
        <w:rPr>
          <w:rFonts w:ascii="Arial" w:hAnsi="Arial" w:cs="Arial"/>
          <w:sz w:val="20"/>
        </w:rPr>
        <w:t xml:space="preserve"> </w:t>
      </w:r>
      <w:r w:rsidRPr="00CC6829">
        <w:rPr>
          <w:rFonts w:ascii="Arial" w:hAnsi="Arial" w:cs="Arial"/>
          <w:sz w:val="20"/>
        </w:rPr>
        <w:t>its one-stop requirement responsibilities to local providers.</w:t>
      </w:r>
      <w:r w:rsidR="00CB5D0E" w:rsidRPr="00CC6829">
        <w:rPr>
          <w:rFonts w:ascii="Arial" w:hAnsi="Arial" w:cs="Arial"/>
          <w:sz w:val="20"/>
        </w:rPr>
        <w:t xml:space="preserve"> </w:t>
      </w:r>
    </w:p>
    <w:p w:rsidR="005317BC" w:rsidRPr="00CC6829" w:rsidRDefault="005317BC" w:rsidP="00BF4FAB">
      <w:pPr>
        <w:ind w:left="-5" w:right="134"/>
        <w:rPr>
          <w:rFonts w:ascii="Arial" w:hAnsi="Arial" w:cs="Arial"/>
          <w:sz w:val="20"/>
        </w:rPr>
      </w:pPr>
    </w:p>
    <w:p w:rsidR="005317BC" w:rsidRPr="00CC6829" w:rsidRDefault="005317BC" w:rsidP="00BF4FAB">
      <w:pPr>
        <w:ind w:left="-5" w:right="134"/>
        <w:rPr>
          <w:rFonts w:ascii="Arial" w:hAnsi="Arial" w:cs="Arial"/>
          <w:sz w:val="20"/>
        </w:rPr>
      </w:pPr>
      <w:r w:rsidRPr="00CC6829">
        <w:rPr>
          <w:rFonts w:ascii="Arial" w:hAnsi="Arial" w:cs="Arial"/>
          <w:sz w:val="20"/>
        </w:rPr>
        <w:t>Integration with One-stop partners</w:t>
      </w:r>
    </w:p>
    <w:p w:rsidR="005317BC" w:rsidRPr="00CC6829" w:rsidRDefault="005317BC" w:rsidP="00BF4FAB">
      <w:pPr>
        <w:ind w:left="-5" w:right="134"/>
        <w:rPr>
          <w:rFonts w:ascii="Arial" w:hAnsi="Arial" w:cs="Arial"/>
          <w:sz w:val="20"/>
        </w:rPr>
      </w:pPr>
      <w:r w:rsidRPr="00CC6829">
        <w:rPr>
          <w:rFonts w:ascii="Arial" w:hAnsi="Arial" w:cs="Arial"/>
          <w:sz w:val="20"/>
        </w:rPr>
        <w:t xml:space="preserve">Title II has worked through the Council of Workforce Development Board Directors to promote compliance and alignment within the one-stop system. On a survey conducted of Title II providers by the Compliance and Partnership Director, the following overview of integration with one-stop partners was compiled. </w:t>
      </w:r>
    </w:p>
    <w:p w:rsidR="005317BC" w:rsidRPr="00CC6829" w:rsidRDefault="005317BC" w:rsidP="005317BC">
      <w:pPr>
        <w:pStyle w:val="ListParagraph"/>
        <w:numPr>
          <w:ilvl w:val="0"/>
          <w:numId w:val="16"/>
        </w:numPr>
        <w:ind w:right="134"/>
        <w:rPr>
          <w:rFonts w:ascii="Arial" w:hAnsi="Arial" w:cs="Arial"/>
          <w:sz w:val="20"/>
          <w:szCs w:val="20"/>
        </w:rPr>
      </w:pPr>
      <w:r w:rsidRPr="00CC6829">
        <w:rPr>
          <w:rFonts w:ascii="Arial" w:hAnsi="Arial" w:cs="Arial"/>
          <w:sz w:val="20"/>
          <w:szCs w:val="20"/>
        </w:rPr>
        <w:t>Title II was represented on local workforce development boards by 51% of responding Title II agencies.</w:t>
      </w:r>
    </w:p>
    <w:p w:rsidR="005317BC" w:rsidRPr="00CC6829" w:rsidRDefault="005317BC" w:rsidP="005317BC">
      <w:pPr>
        <w:pStyle w:val="ListParagraph"/>
        <w:numPr>
          <w:ilvl w:val="0"/>
          <w:numId w:val="16"/>
        </w:numPr>
        <w:ind w:right="134"/>
        <w:rPr>
          <w:rFonts w:ascii="Arial" w:hAnsi="Arial" w:cs="Arial"/>
          <w:sz w:val="20"/>
          <w:szCs w:val="20"/>
        </w:rPr>
      </w:pPr>
      <w:r w:rsidRPr="00CC6829">
        <w:rPr>
          <w:rFonts w:ascii="Arial" w:hAnsi="Arial" w:cs="Arial"/>
          <w:sz w:val="20"/>
          <w:szCs w:val="20"/>
        </w:rPr>
        <w:t>A total of 73% of respondents were familiar with the local workforce plan and priorities.</w:t>
      </w:r>
    </w:p>
    <w:p w:rsidR="005317BC" w:rsidRPr="00CC6829" w:rsidRDefault="005317BC" w:rsidP="005317BC">
      <w:pPr>
        <w:pStyle w:val="ListParagraph"/>
        <w:numPr>
          <w:ilvl w:val="0"/>
          <w:numId w:val="16"/>
        </w:numPr>
        <w:ind w:right="134"/>
        <w:rPr>
          <w:rFonts w:ascii="Arial" w:hAnsi="Arial" w:cs="Arial"/>
          <w:sz w:val="20"/>
          <w:szCs w:val="20"/>
        </w:rPr>
      </w:pPr>
      <w:r w:rsidRPr="00CC6829">
        <w:rPr>
          <w:rFonts w:ascii="Arial" w:hAnsi="Arial" w:cs="Arial"/>
          <w:sz w:val="20"/>
          <w:szCs w:val="20"/>
        </w:rPr>
        <w:t>A total of 32% had an office at the one-stop.</w:t>
      </w:r>
    </w:p>
    <w:p w:rsidR="005317BC" w:rsidRPr="00CC6829" w:rsidRDefault="005317BC" w:rsidP="005317BC">
      <w:pPr>
        <w:pStyle w:val="ListParagraph"/>
        <w:numPr>
          <w:ilvl w:val="0"/>
          <w:numId w:val="16"/>
        </w:numPr>
        <w:ind w:right="134"/>
        <w:rPr>
          <w:rFonts w:ascii="Arial" w:hAnsi="Arial" w:cs="Arial"/>
          <w:sz w:val="20"/>
          <w:szCs w:val="20"/>
        </w:rPr>
      </w:pPr>
      <w:r w:rsidRPr="00CC6829">
        <w:rPr>
          <w:rFonts w:ascii="Arial" w:hAnsi="Arial" w:cs="Arial"/>
          <w:sz w:val="20"/>
          <w:szCs w:val="20"/>
        </w:rPr>
        <w:t>A total of 31% had a one-stop center located at their agency.</w:t>
      </w:r>
    </w:p>
    <w:p w:rsidR="00180079" w:rsidRPr="00CC6829" w:rsidRDefault="005317BC" w:rsidP="005317BC">
      <w:pPr>
        <w:pStyle w:val="ListParagraph"/>
        <w:numPr>
          <w:ilvl w:val="0"/>
          <w:numId w:val="16"/>
        </w:numPr>
        <w:ind w:right="134"/>
        <w:rPr>
          <w:rFonts w:ascii="Arial" w:hAnsi="Arial" w:cs="Arial"/>
          <w:sz w:val="20"/>
          <w:szCs w:val="20"/>
        </w:rPr>
      </w:pPr>
      <w:r w:rsidRPr="00CC6829">
        <w:rPr>
          <w:rFonts w:ascii="Arial" w:hAnsi="Arial" w:cs="Arial"/>
          <w:sz w:val="20"/>
          <w:szCs w:val="20"/>
        </w:rPr>
        <w:t xml:space="preserve">A total of 60% of title II providers assigned an employee to work at the one-stop on either testing, recruiting, or teaching workforce preparation classes on a regular, weekly basis. </w:t>
      </w:r>
    </w:p>
    <w:p w:rsidR="00180079" w:rsidRPr="00CC6829" w:rsidRDefault="00180079" w:rsidP="00180079">
      <w:pPr>
        <w:pStyle w:val="ListParagraph"/>
        <w:ind w:left="355" w:right="134"/>
        <w:rPr>
          <w:rFonts w:ascii="Arial" w:hAnsi="Arial" w:cs="Arial"/>
          <w:sz w:val="20"/>
          <w:szCs w:val="20"/>
        </w:rPr>
      </w:pPr>
    </w:p>
    <w:p w:rsidR="005317BC" w:rsidRPr="00CC6829" w:rsidRDefault="00180079" w:rsidP="00180079">
      <w:pPr>
        <w:ind w:right="134"/>
        <w:rPr>
          <w:rFonts w:ascii="Arial" w:hAnsi="Arial" w:cs="Arial"/>
          <w:sz w:val="20"/>
        </w:rPr>
      </w:pPr>
      <w:r w:rsidRPr="00CC6829">
        <w:rPr>
          <w:rFonts w:ascii="Arial" w:hAnsi="Arial" w:cs="Arial"/>
          <w:sz w:val="20"/>
        </w:rPr>
        <w:t>The following services are provided at the one-stop centers for the benefit of Title II students:</w:t>
      </w:r>
      <w:r w:rsidR="005317BC" w:rsidRPr="00CC6829">
        <w:rPr>
          <w:rFonts w:ascii="Arial" w:hAnsi="Arial" w:cs="Arial"/>
          <w:sz w:val="20"/>
        </w:rPr>
        <w:t xml:space="preserve"> </w:t>
      </w:r>
      <w:r w:rsidRPr="00CC6829">
        <w:rPr>
          <w:rFonts w:ascii="Arial" w:hAnsi="Arial" w:cs="Arial"/>
          <w:sz w:val="20"/>
        </w:rPr>
        <w:t>on-the-job training, internship placement, job placement, testing, career counseling, instruction, transportation, childcare, financial assistance, emergency services, workforce preparation activities, and other supportive services.</w:t>
      </w:r>
    </w:p>
    <w:p w:rsidR="00180079" w:rsidRPr="00CC6829" w:rsidRDefault="00180079" w:rsidP="00180079">
      <w:pPr>
        <w:ind w:right="134"/>
        <w:rPr>
          <w:rFonts w:ascii="Arial" w:hAnsi="Arial" w:cs="Arial"/>
          <w:sz w:val="20"/>
        </w:rPr>
      </w:pPr>
    </w:p>
    <w:p w:rsidR="00180079" w:rsidRPr="00CC6829" w:rsidRDefault="00180079" w:rsidP="00180079">
      <w:pPr>
        <w:ind w:right="134"/>
        <w:rPr>
          <w:rFonts w:ascii="Arial" w:hAnsi="Arial" w:cs="Arial"/>
          <w:sz w:val="20"/>
        </w:rPr>
      </w:pPr>
      <w:r w:rsidRPr="00CC6829">
        <w:rPr>
          <w:rFonts w:ascii="Arial" w:hAnsi="Arial" w:cs="Arial"/>
          <w:sz w:val="20"/>
        </w:rPr>
        <w:t xml:space="preserve">The infrastructure costs for local one-stops were negotiated by representatives of the one-stop system and representatives of Title II over a period of six months. The final decision was to allocate a total of 1.5% from each Title II funded agency to contribute to infrastructure costs of the system. This allocation was taken from the 5% allowable local administrative funds, thereby reducing Title II local providers’ administrative funds to 3.5% of their federal award. </w:t>
      </w:r>
    </w:p>
    <w:p w:rsidR="00BF4FAB" w:rsidRPr="00CC6829" w:rsidRDefault="00BF4FAB" w:rsidP="00BF4FAB">
      <w:pPr>
        <w:spacing w:line="259" w:lineRule="auto"/>
        <w:rPr>
          <w:rFonts w:ascii="Arial" w:hAnsi="Arial" w:cs="Arial"/>
          <w:sz w:val="20"/>
        </w:rPr>
      </w:pPr>
      <w:r w:rsidRPr="00CC6829">
        <w:rPr>
          <w:rFonts w:ascii="Arial" w:hAnsi="Arial" w:cs="Arial"/>
          <w:sz w:val="20"/>
        </w:rPr>
        <w:t xml:space="preserve"> </w:t>
      </w:r>
    </w:p>
    <w:p w:rsidR="00072789" w:rsidRPr="00CC6829" w:rsidRDefault="00712558" w:rsidP="00BF4FAB">
      <w:pPr>
        <w:spacing w:line="259" w:lineRule="auto"/>
        <w:rPr>
          <w:rFonts w:ascii="Arial" w:hAnsi="Arial" w:cs="Arial"/>
          <w:sz w:val="20"/>
        </w:rPr>
      </w:pPr>
      <w:r w:rsidRPr="00CC6829">
        <w:rPr>
          <w:rFonts w:ascii="Arial" w:eastAsiaTheme="minorHAnsi" w:hAnsi="Arial" w:cs="Arial"/>
          <w:noProof/>
          <w:color w:val="000000"/>
          <w:sz w:val="20"/>
          <w:u w:val="single"/>
        </w:rPr>
        <mc:AlternateContent>
          <mc:Choice Requires="wps">
            <w:drawing>
              <wp:anchor distT="0" distB="0" distL="114300" distR="114300" simplePos="0" relativeHeight="251673600" behindDoc="0" locked="0" layoutInCell="1" allowOverlap="1" wp14:anchorId="093B7C45" wp14:editId="7115B96B">
                <wp:simplePos x="0" y="0"/>
                <wp:positionH relativeFrom="margin">
                  <wp:posOffset>-19050</wp:posOffset>
                </wp:positionH>
                <wp:positionV relativeFrom="paragraph">
                  <wp:posOffset>52070</wp:posOffset>
                </wp:positionV>
                <wp:extent cx="5934075" cy="3429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3429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072789" w:rsidRPr="007C053E" w:rsidRDefault="00072789" w:rsidP="00072789">
                            <w:pPr>
                              <w:pStyle w:val="ListParagraph"/>
                              <w:jc w:val="center"/>
                              <w:rPr>
                                <w:rFonts w:ascii="Arial" w:hAnsi="Arial" w:cs="Arial"/>
                                <w:color w:val="000000" w:themeColor="text1"/>
                                <w:sz w:val="24"/>
                                <w:szCs w:val="24"/>
                              </w:rPr>
                            </w:pPr>
                            <w:r w:rsidRPr="007C053E">
                              <w:rPr>
                                <w:rFonts w:ascii="Arial" w:hAnsi="Arial" w:cs="Arial"/>
                                <w:color w:val="000000" w:themeColor="text1"/>
                                <w:sz w:val="24"/>
                                <w:szCs w:val="24"/>
                              </w:rPr>
                              <w:t xml:space="preserve">4. Integrated English Literacy/Civics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3B7C45" id="Rectangle 3" o:spid="_x0000_s1029" style="position:absolute;margin-left:-1.5pt;margin-top:4.1pt;width:467.25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" fillcolor="#d2d2d2" strokecolor="#a5a5a5" strokeweight=".5pt">
                <v:fill color2="silver" rotate="t" colors="0 #d2d2d2;.5 #c8c8c8;1 silver" focus="100%" type="gradient">
                  <o:fill v:ext="view" type="gradientUnscaled"/>
                </v:fill>
                <v:path arrowok="t"/>
                <v:textbox>
                  <w:txbxContent>
                    <w:p w:rsidR="00072789" w:rsidRPr="007C053E" w:rsidRDefault="00072789" w:rsidP="00072789">
                      <w:pPr>
                        <w:pStyle w:val="ListParagraph"/>
                        <w:jc w:val="center"/>
                        <w:rPr>
                          <w:rFonts w:ascii="Arial" w:hAnsi="Arial" w:cs="Arial"/>
                          <w:color w:val="000000" w:themeColor="text1"/>
                          <w:sz w:val="24"/>
                          <w:szCs w:val="24"/>
                        </w:rPr>
                      </w:pPr>
                      <w:r w:rsidRPr="007C053E">
                        <w:rPr>
                          <w:rFonts w:ascii="Arial" w:hAnsi="Arial" w:cs="Arial"/>
                          <w:color w:val="000000" w:themeColor="text1"/>
                          <w:sz w:val="24"/>
                          <w:szCs w:val="24"/>
                        </w:rPr>
                        <w:t xml:space="preserve">4. Integrated English Literacy/Civics Education    </w:t>
                      </w:r>
                    </w:p>
                  </w:txbxContent>
                </v:textbox>
                <w10:wrap anchorx="margin"/>
              </v:rect>
            </w:pict>
          </mc:Fallback>
        </mc:AlternateContent>
      </w:r>
    </w:p>
    <w:p w:rsidR="00072789" w:rsidRPr="00CC6829" w:rsidRDefault="00072789" w:rsidP="00BF4FAB">
      <w:pPr>
        <w:spacing w:line="259" w:lineRule="auto"/>
        <w:rPr>
          <w:rFonts w:ascii="Arial" w:hAnsi="Arial" w:cs="Arial"/>
          <w:sz w:val="20"/>
        </w:rPr>
      </w:pPr>
    </w:p>
    <w:p w:rsidR="00712558" w:rsidRDefault="00712558" w:rsidP="00BF4FAB">
      <w:pPr>
        <w:ind w:left="-5" w:right="134"/>
        <w:rPr>
          <w:rFonts w:ascii="Arial" w:hAnsi="Arial" w:cs="Arial"/>
          <w:sz w:val="20"/>
        </w:rPr>
      </w:pPr>
    </w:p>
    <w:p w:rsidR="00712558" w:rsidRDefault="00712558" w:rsidP="00BF4FAB">
      <w:pPr>
        <w:ind w:left="-5" w:right="134"/>
        <w:rPr>
          <w:rFonts w:ascii="Arial" w:hAnsi="Arial" w:cs="Arial"/>
          <w:sz w:val="20"/>
        </w:rPr>
      </w:pPr>
    </w:p>
    <w:p w:rsidR="00BF4FAB" w:rsidRPr="003138A8" w:rsidRDefault="00BF4FAB" w:rsidP="00BF4FAB">
      <w:pPr>
        <w:ind w:left="-5" w:right="134"/>
        <w:rPr>
          <w:rFonts w:ascii="Arial" w:hAnsi="Arial" w:cs="Arial"/>
          <w:i/>
          <w:sz w:val="20"/>
        </w:rPr>
      </w:pPr>
      <w:r w:rsidRPr="003138A8">
        <w:rPr>
          <w:rFonts w:ascii="Arial" w:hAnsi="Arial" w:cs="Arial"/>
          <w:i/>
          <w:sz w:val="20"/>
        </w:rPr>
        <w:t xml:space="preserve">Describe how the state is using funds under Section 243 to support the following activities under the IELCE program: </w:t>
      </w:r>
    </w:p>
    <w:p w:rsidR="00423D6A" w:rsidRPr="009B480F" w:rsidRDefault="00BF4FAB" w:rsidP="003138A8">
      <w:pPr>
        <w:spacing w:line="259" w:lineRule="auto"/>
        <w:rPr>
          <w:rFonts w:ascii="Arial" w:hAnsi="Arial" w:cs="Arial"/>
          <w:i/>
          <w:sz w:val="20"/>
        </w:rPr>
      </w:pPr>
      <w:r w:rsidRPr="009B480F">
        <w:rPr>
          <w:rFonts w:ascii="Arial" w:hAnsi="Arial" w:cs="Arial"/>
          <w:i/>
          <w:sz w:val="20"/>
        </w:rPr>
        <w:t xml:space="preserve">Describe when your State held a competition [the latest competition] for IELCE program funds and the number of grants awarded by your State to support IELCE programs.  </w:t>
      </w:r>
    </w:p>
    <w:p w:rsidR="00423D6A" w:rsidRDefault="00423D6A" w:rsidP="00423D6A">
      <w:pPr>
        <w:pStyle w:val="ListParagraph"/>
        <w:ind w:right="134"/>
        <w:rPr>
          <w:rFonts w:ascii="Arial" w:hAnsi="Arial" w:cs="Arial"/>
          <w:sz w:val="20"/>
        </w:rPr>
      </w:pPr>
    </w:p>
    <w:p w:rsidR="00423D6A" w:rsidRPr="003138A8" w:rsidRDefault="00423D6A" w:rsidP="003138A8">
      <w:pPr>
        <w:ind w:right="134"/>
        <w:rPr>
          <w:rFonts w:ascii="Arial" w:hAnsi="Arial" w:cs="Arial"/>
          <w:sz w:val="20"/>
        </w:rPr>
      </w:pPr>
      <w:r w:rsidRPr="003138A8">
        <w:rPr>
          <w:rFonts w:ascii="Arial" w:hAnsi="Arial" w:cs="Arial"/>
          <w:sz w:val="20"/>
        </w:rPr>
        <w:t xml:space="preserve">North Carolina was awarded a total of $1,090, 460 </w:t>
      </w:r>
      <w:r w:rsidR="00FD46CA">
        <w:rPr>
          <w:rFonts w:ascii="Arial" w:hAnsi="Arial" w:cs="Arial"/>
          <w:sz w:val="20"/>
        </w:rPr>
        <w:t xml:space="preserve">for </w:t>
      </w:r>
      <w:r w:rsidRPr="003138A8">
        <w:rPr>
          <w:rFonts w:ascii="Arial" w:hAnsi="Arial" w:cs="Arial"/>
          <w:sz w:val="20"/>
        </w:rPr>
        <w:t xml:space="preserve">Integrated English Literacy and Civics Education (IELCE) activities.  For the 2016-2017 program year, North Carolina did not hold an open competition, but continued funding to </w:t>
      </w:r>
      <w:r w:rsidR="00FD46CA">
        <w:rPr>
          <w:rFonts w:ascii="Arial" w:hAnsi="Arial" w:cs="Arial"/>
          <w:sz w:val="20"/>
        </w:rPr>
        <w:t xml:space="preserve">current providers. </w:t>
      </w:r>
      <w:r w:rsidRPr="003138A8">
        <w:rPr>
          <w:rFonts w:ascii="Arial" w:hAnsi="Arial" w:cs="Arial"/>
          <w:sz w:val="20"/>
        </w:rPr>
        <w:t xml:space="preserve">As a part of the continuation award process, programs </w:t>
      </w:r>
      <w:r w:rsidR="00FD46CA">
        <w:rPr>
          <w:rFonts w:ascii="Arial" w:hAnsi="Arial" w:cs="Arial"/>
          <w:sz w:val="20"/>
        </w:rPr>
        <w:t xml:space="preserve">were required to submit an application outlining activities IELCE requirements.  </w:t>
      </w:r>
      <w:r w:rsidRPr="003138A8">
        <w:rPr>
          <w:rFonts w:ascii="Arial" w:hAnsi="Arial" w:cs="Arial"/>
          <w:sz w:val="20"/>
        </w:rPr>
        <w:t xml:space="preserve">A total of 43 programs were approved by the North Carolina State Board of Community Colleges on July 15, 2016.  North Carolina held the last state competition for IELCE program funds during the 2013-2014 program year. </w:t>
      </w:r>
    </w:p>
    <w:p w:rsidR="003138A8" w:rsidRDefault="003138A8" w:rsidP="003138A8">
      <w:pPr>
        <w:spacing w:after="3" w:line="248" w:lineRule="auto"/>
        <w:ind w:right="134"/>
        <w:rPr>
          <w:rFonts w:ascii="Arial" w:hAnsi="Arial" w:cs="Arial"/>
          <w:sz w:val="20"/>
        </w:rPr>
      </w:pPr>
    </w:p>
    <w:p w:rsidR="00BF4FAB" w:rsidRPr="003138A8" w:rsidRDefault="00BF4FAB" w:rsidP="003138A8">
      <w:pPr>
        <w:spacing w:after="3" w:line="248" w:lineRule="auto"/>
        <w:ind w:right="134"/>
        <w:rPr>
          <w:rFonts w:ascii="Arial" w:hAnsi="Arial" w:cs="Arial"/>
          <w:i/>
          <w:sz w:val="20"/>
        </w:rPr>
      </w:pPr>
      <w:r w:rsidRPr="003138A8">
        <w:rPr>
          <w:rFonts w:ascii="Arial" w:hAnsi="Arial" w:cs="Arial"/>
          <w:i/>
          <w:sz w:val="20"/>
        </w:rPr>
        <w:t xml:space="preserve">Describe your State efforts in meeting the requirement to provide IELCE services in combination with integrated education and training activities; </w:t>
      </w:r>
    </w:p>
    <w:p w:rsidR="00423D6A" w:rsidRPr="003138A8" w:rsidRDefault="00423D6A" w:rsidP="005C33AF">
      <w:pPr>
        <w:spacing w:after="3" w:line="248" w:lineRule="auto"/>
        <w:ind w:left="720" w:right="134"/>
        <w:rPr>
          <w:rFonts w:ascii="Arial" w:hAnsi="Arial" w:cs="Arial"/>
          <w:i/>
          <w:sz w:val="20"/>
        </w:rPr>
      </w:pPr>
    </w:p>
    <w:p w:rsidR="007C053E" w:rsidRDefault="00423D6A" w:rsidP="007C053E">
      <w:pPr>
        <w:ind w:right="134"/>
        <w:rPr>
          <w:rFonts w:ascii="Arial" w:hAnsi="Arial" w:cs="Arial"/>
          <w:sz w:val="20"/>
        </w:rPr>
      </w:pPr>
      <w:r w:rsidRPr="003138A8">
        <w:rPr>
          <w:rFonts w:ascii="Arial" w:hAnsi="Arial" w:cs="Arial"/>
          <w:sz w:val="20"/>
        </w:rPr>
        <w:t xml:space="preserve">North Carolina has developed various mechanisms to implement the required Integrated Education and Training (IET) component of the Federal grant.  The programs </w:t>
      </w:r>
      <w:r w:rsidR="00B35D55">
        <w:rPr>
          <w:rFonts w:ascii="Arial" w:hAnsi="Arial" w:cs="Arial"/>
          <w:sz w:val="20"/>
        </w:rPr>
        <w:t xml:space="preserve">collaborated with community college departments that offer credit-bearing or industry recognized certificates. </w:t>
      </w:r>
      <w:r w:rsidRPr="003138A8">
        <w:rPr>
          <w:rFonts w:ascii="Arial" w:hAnsi="Arial" w:cs="Arial"/>
          <w:sz w:val="20"/>
        </w:rPr>
        <w:t xml:space="preserve">Programs have reformed their process for assisting students with career navigation and counseling.  Several programs have allotted a portion of their IELCE award to supporting a Transition Advisor position.  The Transition Advisor serves as the liaison between </w:t>
      </w:r>
      <w:r w:rsidR="00B35D55">
        <w:rPr>
          <w:rFonts w:ascii="Arial" w:hAnsi="Arial" w:cs="Arial"/>
          <w:sz w:val="20"/>
        </w:rPr>
        <w:t xml:space="preserve">the training providers, NC Works Center (American Job Centers) and other state and local agencies. </w:t>
      </w:r>
      <w:r w:rsidRPr="003138A8">
        <w:rPr>
          <w:rFonts w:ascii="Arial" w:hAnsi="Arial" w:cs="Arial"/>
          <w:sz w:val="20"/>
        </w:rPr>
        <w:t xml:space="preserve">The advisors provided IELCE students with instructions on the requirements for various career pathways.  Additionally, the advisors connected adult learners with the staff and tools required to co-enroll in specific programs.  </w:t>
      </w:r>
    </w:p>
    <w:p w:rsidR="00B35D55" w:rsidRDefault="00B35D55" w:rsidP="007C053E">
      <w:pPr>
        <w:ind w:right="134"/>
        <w:rPr>
          <w:rFonts w:ascii="Arial" w:hAnsi="Arial" w:cs="Arial"/>
          <w:sz w:val="20"/>
        </w:rPr>
      </w:pPr>
    </w:p>
    <w:p w:rsidR="00423D6A" w:rsidRPr="007C053E" w:rsidRDefault="007C053E" w:rsidP="007C053E">
      <w:pPr>
        <w:ind w:right="134"/>
        <w:rPr>
          <w:rFonts w:ascii="Arial" w:hAnsi="Arial" w:cs="Arial"/>
          <w:sz w:val="20"/>
        </w:rPr>
      </w:pPr>
      <w:r w:rsidRPr="007C053E">
        <w:rPr>
          <w:rFonts w:ascii="Arial" w:hAnsi="Arial" w:cs="Arial"/>
          <w:sz w:val="20"/>
        </w:rPr>
        <w:t>P</w:t>
      </w:r>
      <w:r w:rsidR="00423D6A" w:rsidRPr="007C053E">
        <w:rPr>
          <w:rFonts w:ascii="Arial" w:hAnsi="Arial" w:cs="Arial"/>
          <w:sz w:val="20"/>
        </w:rPr>
        <w:t xml:space="preserve">roviders have devoted a substantial amount of time to developing comprehensive curriculum that will support the IELCE program model.  During the application process, funded providers were required to report how their curriculum will directly align with the requirements of an IET program.  Several providers have developed curriculum in conjunction with local employers.  By creating curriculum with the employers, providers are able prepare students with content that is contextualized and transferable to real-world scenarios.  Additionally, during the program year providers worked in teams to streamline and disseminate best practices about curriculum and successful implementation of IET programming. </w:t>
      </w:r>
    </w:p>
    <w:p w:rsidR="007C053E" w:rsidRDefault="007C053E" w:rsidP="007C053E">
      <w:pPr>
        <w:ind w:right="134"/>
        <w:rPr>
          <w:rFonts w:ascii="Arial" w:hAnsi="Arial" w:cs="Arial"/>
          <w:sz w:val="20"/>
        </w:rPr>
      </w:pPr>
    </w:p>
    <w:p w:rsidR="00423D6A" w:rsidRPr="007C053E" w:rsidRDefault="007C053E" w:rsidP="007C053E">
      <w:pPr>
        <w:ind w:right="134"/>
        <w:rPr>
          <w:rFonts w:ascii="Arial" w:hAnsi="Arial" w:cs="Arial"/>
          <w:sz w:val="20"/>
        </w:rPr>
      </w:pPr>
      <w:r>
        <w:rPr>
          <w:rFonts w:ascii="Arial" w:hAnsi="Arial" w:cs="Arial"/>
          <w:sz w:val="20"/>
        </w:rPr>
        <w:t>P</w:t>
      </w:r>
      <w:r w:rsidR="00423D6A" w:rsidRPr="007C053E">
        <w:rPr>
          <w:rFonts w:ascii="Arial" w:hAnsi="Arial" w:cs="Arial"/>
          <w:sz w:val="20"/>
        </w:rPr>
        <w:t xml:space="preserve">roviders offered diverse types of support services.  As students co-enroll in various programs, support services must be provided to help students complete the program.  Funded providers worked with various on-site and external partners to provide support such as childcare, transportation and tutoring services to program participants.  Furthermore, several programs have expanded the number of course offerings and hours to accommodate the needs of the adult learners participating in the IELCE program.  </w:t>
      </w:r>
    </w:p>
    <w:p w:rsidR="007C053E" w:rsidRDefault="007C053E" w:rsidP="007C053E">
      <w:pPr>
        <w:spacing w:after="3" w:line="248" w:lineRule="auto"/>
        <w:ind w:right="134"/>
        <w:rPr>
          <w:rFonts w:ascii="Arial" w:hAnsi="Arial" w:cs="Arial"/>
          <w:sz w:val="20"/>
        </w:rPr>
      </w:pPr>
    </w:p>
    <w:p w:rsidR="00423D6A" w:rsidRPr="007C053E" w:rsidRDefault="00BF4FAB" w:rsidP="007C053E">
      <w:pPr>
        <w:spacing w:after="3" w:line="248" w:lineRule="auto"/>
        <w:ind w:right="134"/>
        <w:rPr>
          <w:rFonts w:ascii="Arial" w:hAnsi="Arial" w:cs="Arial"/>
          <w:i/>
          <w:sz w:val="20"/>
        </w:rPr>
      </w:pPr>
      <w:r w:rsidRPr="007C053E">
        <w:rPr>
          <w:rFonts w:ascii="Arial" w:hAnsi="Arial" w:cs="Arial"/>
          <w:i/>
          <w:sz w:val="20"/>
        </w:rPr>
        <w:t xml:space="preserve">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 </w:t>
      </w:r>
    </w:p>
    <w:p w:rsidR="007C053E" w:rsidRDefault="007C053E" w:rsidP="007C053E">
      <w:pPr>
        <w:ind w:right="134"/>
        <w:rPr>
          <w:rFonts w:ascii="Arial" w:hAnsi="Arial" w:cs="Arial"/>
          <w:sz w:val="20"/>
        </w:rPr>
      </w:pPr>
    </w:p>
    <w:p w:rsidR="00423D6A" w:rsidRPr="007C053E" w:rsidRDefault="00423D6A" w:rsidP="007C053E">
      <w:pPr>
        <w:ind w:right="134"/>
        <w:rPr>
          <w:rFonts w:ascii="Arial" w:hAnsi="Arial" w:cs="Arial"/>
          <w:sz w:val="20"/>
        </w:rPr>
      </w:pPr>
      <w:r w:rsidRPr="007C053E">
        <w:rPr>
          <w:rFonts w:ascii="Arial" w:hAnsi="Arial" w:cs="Arial"/>
          <w:sz w:val="20"/>
        </w:rPr>
        <w:t xml:space="preserve">All funded programs have completed research on the in-demand industries located in their service area.  By completing the in-demand research, providers have been able to target the employers that will directly align with specified career pathways.  To increase the number of students that are prepared to enter unsubsidized employment, providers have created unique partnerships with employers.  For example, many providers have worked with employers to develop job shadowing opportunities, field trips, guest speaker activities and on-site hiring opportunities for program participants.  Several providers have created pipelines with local employers to ensure that adult learners are able to secure employment.  Furthermore, providers have partnered with their local Small Business Centers, Workforce Development Boards and Job Corps to provide employment options for adult learners.  </w:t>
      </w:r>
    </w:p>
    <w:p w:rsidR="007C053E" w:rsidRDefault="007C053E" w:rsidP="007C053E">
      <w:pPr>
        <w:ind w:right="134"/>
        <w:rPr>
          <w:rFonts w:ascii="Arial" w:hAnsi="Arial" w:cs="Arial"/>
          <w:sz w:val="20"/>
        </w:rPr>
      </w:pPr>
    </w:p>
    <w:p w:rsidR="00423D6A" w:rsidRPr="00423D6A" w:rsidRDefault="00423D6A" w:rsidP="007C053E">
      <w:pPr>
        <w:ind w:right="134"/>
        <w:rPr>
          <w:rFonts w:ascii="Arial" w:hAnsi="Arial" w:cs="Arial"/>
          <w:sz w:val="20"/>
        </w:rPr>
      </w:pPr>
      <w:r w:rsidRPr="007C053E">
        <w:rPr>
          <w:rFonts w:ascii="Arial" w:hAnsi="Arial" w:cs="Arial"/>
          <w:sz w:val="20"/>
        </w:rPr>
        <w:t xml:space="preserve">A lesson that has been both learned and disseminated during the program year is the importance of aligning classroom content with employer needs.  Many programs have worked tirelessly to ensure that their academic content is contextualized and meets the needs of local employers.  Thus, by aligning the content with employer requirements, students acquire the skill-sets needed to fully integrate into the workforce.  </w:t>
      </w:r>
      <w:r w:rsidRPr="00423D6A">
        <w:rPr>
          <w:rFonts w:ascii="Arial" w:hAnsi="Arial" w:cs="Arial"/>
          <w:sz w:val="20"/>
        </w:rPr>
        <w:t xml:space="preserve">One of the challenges for some of the programs located in </w:t>
      </w:r>
      <w:r w:rsidR="00B35D55">
        <w:rPr>
          <w:rFonts w:ascii="Arial" w:hAnsi="Arial" w:cs="Arial"/>
          <w:sz w:val="20"/>
        </w:rPr>
        <w:t xml:space="preserve">economically depressed, </w:t>
      </w:r>
      <w:r w:rsidRPr="00423D6A">
        <w:rPr>
          <w:rFonts w:ascii="Arial" w:hAnsi="Arial" w:cs="Arial"/>
          <w:sz w:val="20"/>
        </w:rPr>
        <w:t>rural areas of the state is identifying in-demand industries</w:t>
      </w:r>
      <w:r w:rsidR="00B35D55">
        <w:rPr>
          <w:rFonts w:ascii="Arial" w:hAnsi="Arial" w:cs="Arial"/>
          <w:sz w:val="20"/>
        </w:rPr>
        <w:t xml:space="preserve"> that</w:t>
      </w:r>
      <w:r w:rsidR="000769B7">
        <w:rPr>
          <w:rFonts w:ascii="Arial" w:hAnsi="Arial" w:cs="Arial"/>
          <w:sz w:val="20"/>
        </w:rPr>
        <w:t xml:space="preserve"> provide family sustaining wages and or are </w:t>
      </w:r>
      <w:r w:rsidRPr="00423D6A">
        <w:rPr>
          <w:rFonts w:ascii="Arial" w:hAnsi="Arial" w:cs="Arial"/>
          <w:sz w:val="20"/>
        </w:rPr>
        <w:t xml:space="preserve">nationally recognized.  </w:t>
      </w:r>
    </w:p>
    <w:p w:rsidR="007C053E" w:rsidRDefault="007C053E" w:rsidP="007C053E">
      <w:pPr>
        <w:spacing w:after="3" w:line="248" w:lineRule="auto"/>
        <w:ind w:right="134"/>
        <w:rPr>
          <w:rFonts w:ascii="Arial" w:hAnsi="Arial" w:cs="Arial"/>
          <w:sz w:val="20"/>
        </w:rPr>
      </w:pPr>
    </w:p>
    <w:p w:rsidR="00BF4FAB" w:rsidRPr="007C053E" w:rsidRDefault="00BF4FAB" w:rsidP="007C053E">
      <w:pPr>
        <w:spacing w:after="3" w:line="248" w:lineRule="auto"/>
        <w:ind w:right="134"/>
        <w:rPr>
          <w:rFonts w:ascii="Arial" w:hAnsi="Arial" w:cs="Arial"/>
          <w:i/>
          <w:sz w:val="20"/>
        </w:rPr>
      </w:pPr>
      <w:r w:rsidRPr="007C053E">
        <w:rPr>
          <w:rFonts w:ascii="Arial" w:hAnsi="Arial" w:cs="Arial"/>
          <w:i/>
          <w:sz w:val="20"/>
        </w:rPr>
        <w:t xml:space="preserve">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 </w:t>
      </w:r>
    </w:p>
    <w:p w:rsidR="007C053E" w:rsidRDefault="007C053E" w:rsidP="007C053E">
      <w:pPr>
        <w:ind w:right="134"/>
        <w:rPr>
          <w:rFonts w:ascii="Arial" w:hAnsi="Arial" w:cs="Arial"/>
          <w:sz w:val="20"/>
        </w:rPr>
      </w:pPr>
    </w:p>
    <w:p w:rsidR="007C053E" w:rsidRDefault="00423D6A" w:rsidP="007C053E">
      <w:pPr>
        <w:ind w:right="134"/>
        <w:rPr>
          <w:rFonts w:ascii="Arial" w:hAnsi="Arial" w:cs="Arial"/>
          <w:sz w:val="20"/>
        </w:rPr>
      </w:pPr>
      <w:r w:rsidRPr="00812B50">
        <w:rPr>
          <w:rFonts w:ascii="Arial" w:hAnsi="Arial" w:cs="Arial"/>
          <w:sz w:val="20"/>
        </w:rPr>
        <w:t>All 43 funded IELCE providers actively</w:t>
      </w:r>
      <w:r>
        <w:rPr>
          <w:rFonts w:ascii="Arial" w:hAnsi="Arial" w:cs="Arial"/>
          <w:sz w:val="20"/>
        </w:rPr>
        <w:t xml:space="preserve"> partnered</w:t>
      </w:r>
      <w:r w:rsidRPr="00812B50">
        <w:rPr>
          <w:rFonts w:ascii="Arial" w:hAnsi="Arial" w:cs="Arial"/>
          <w:sz w:val="20"/>
        </w:rPr>
        <w:t xml:space="preserve"> with their local Workforce Development Board.  Several of the providers serve on their local Workforce Development Board and host classes at the local NC Work Centers.  The providers and workforce </w:t>
      </w:r>
      <w:r w:rsidR="000127EC">
        <w:rPr>
          <w:rFonts w:ascii="Arial" w:hAnsi="Arial" w:cs="Arial"/>
          <w:sz w:val="20"/>
        </w:rPr>
        <w:t>system</w:t>
      </w:r>
      <w:r w:rsidRPr="00812B50">
        <w:rPr>
          <w:rFonts w:ascii="Arial" w:hAnsi="Arial" w:cs="Arial"/>
          <w:sz w:val="20"/>
        </w:rPr>
        <w:t xml:space="preserve"> have created a partnership that includes assistance with marketing, recruitment and retention.  Furthermore, </w:t>
      </w:r>
      <w:r w:rsidR="000769B7">
        <w:rPr>
          <w:rFonts w:ascii="Arial" w:hAnsi="Arial" w:cs="Arial"/>
          <w:sz w:val="20"/>
        </w:rPr>
        <w:t xml:space="preserve">some </w:t>
      </w:r>
      <w:r w:rsidRPr="00812B50">
        <w:rPr>
          <w:rFonts w:ascii="Arial" w:hAnsi="Arial" w:cs="Arial"/>
          <w:sz w:val="20"/>
        </w:rPr>
        <w:t xml:space="preserve">providers have developed a strong referral network with their Workforce Development Boards and community constituents.  By creating strong partnerships, this allows students to receive both the academic and employment supports required to integrate within the workforce.  Many </w:t>
      </w:r>
      <w:r>
        <w:rPr>
          <w:rFonts w:ascii="Arial" w:hAnsi="Arial" w:cs="Arial"/>
          <w:sz w:val="20"/>
        </w:rPr>
        <w:t xml:space="preserve">of the providers have utilized </w:t>
      </w:r>
      <w:r w:rsidRPr="00812B50">
        <w:rPr>
          <w:rFonts w:ascii="Arial" w:hAnsi="Arial" w:cs="Arial"/>
          <w:sz w:val="20"/>
        </w:rPr>
        <w:t>custom designed employment curriculum such as NC Career Clusters, Working Smart, Mastering Soft Skills, Career Awareness and Employability Skills.</w:t>
      </w:r>
      <w:r w:rsidR="000769B7">
        <w:rPr>
          <w:rFonts w:ascii="Arial" w:hAnsi="Arial" w:cs="Arial"/>
          <w:sz w:val="20"/>
        </w:rPr>
        <w:t xml:space="preserve"> </w:t>
      </w:r>
      <w:r w:rsidRPr="00812B50">
        <w:rPr>
          <w:rFonts w:ascii="Arial" w:hAnsi="Arial" w:cs="Arial"/>
          <w:sz w:val="20"/>
        </w:rPr>
        <w:t xml:space="preserve">  </w:t>
      </w:r>
    </w:p>
    <w:p w:rsidR="007C053E" w:rsidRDefault="007C053E" w:rsidP="007C053E">
      <w:pPr>
        <w:ind w:right="134"/>
        <w:rPr>
          <w:rFonts w:ascii="Arial" w:hAnsi="Arial" w:cs="Arial"/>
          <w:sz w:val="20"/>
        </w:rPr>
      </w:pPr>
    </w:p>
    <w:p w:rsidR="00423D6A" w:rsidRPr="00812B50" w:rsidRDefault="00423D6A" w:rsidP="007C053E">
      <w:pPr>
        <w:ind w:right="134"/>
        <w:rPr>
          <w:rFonts w:ascii="Arial" w:hAnsi="Arial" w:cs="Arial"/>
          <w:sz w:val="20"/>
        </w:rPr>
      </w:pPr>
      <w:r w:rsidRPr="00812B50">
        <w:rPr>
          <w:rFonts w:ascii="Arial" w:hAnsi="Arial" w:cs="Arial"/>
          <w:sz w:val="20"/>
        </w:rPr>
        <w:t>To provide comprehensive oversight of the IELCE program, providers are required to submit an annual report.</w:t>
      </w:r>
      <w:r>
        <w:rPr>
          <w:rFonts w:ascii="Arial" w:hAnsi="Arial" w:cs="Arial"/>
          <w:sz w:val="20"/>
        </w:rPr>
        <w:t xml:space="preserve">  The annual report focused on the important tenets of the program to include recruitment strategies, curriculum design,</w:t>
      </w:r>
      <w:r w:rsidR="00AA68E9">
        <w:rPr>
          <w:rFonts w:ascii="Arial" w:hAnsi="Arial" w:cs="Arial"/>
          <w:sz w:val="20"/>
        </w:rPr>
        <w:t xml:space="preserve"> support services,</w:t>
      </w:r>
      <w:r>
        <w:rPr>
          <w:rFonts w:ascii="Arial" w:hAnsi="Arial" w:cs="Arial"/>
          <w:sz w:val="20"/>
        </w:rPr>
        <w:t xml:space="preserve"> implementation of IET programming</w:t>
      </w:r>
      <w:r w:rsidR="00AA68E9">
        <w:rPr>
          <w:rFonts w:ascii="Arial" w:hAnsi="Arial" w:cs="Arial"/>
          <w:sz w:val="20"/>
        </w:rPr>
        <w:t>, occupational training</w:t>
      </w:r>
      <w:r>
        <w:rPr>
          <w:rFonts w:ascii="Arial" w:hAnsi="Arial" w:cs="Arial"/>
          <w:sz w:val="20"/>
        </w:rPr>
        <w:t xml:space="preserve"> and partnership development.</w:t>
      </w:r>
      <w:r w:rsidRPr="00812B50">
        <w:rPr>
          <w:rFonts w:ascii="Arial" w:hAnsi="Arial" w:cs="Arial"/>
          <w:sz w:val="20"/>
        </w:rPr>
        <w:t xml:space="preserve">  </w:t>
      </w:r>
      <w:r w:rsidR="00414F88">
        <w:rPr>
          <w:rFonts w:ascii="Arial" w:hAnsi="Arial" w:cs="Arial"/>
          <w:sz w:val="20"/>
        </w:rPr>
        <w:t xml:space="preserve">Furthermore, during the program year, providers engaged in </w:t>
      </w:r>
      <w:r w:rsidR="002978F1">
        <w:rPr>
          <w:rFonts w:ascii="Arial" w:hAnsi="Arial" w:cs="Arial"/>
          <w:sz w:val="20"/>
        </w:rPr>
        <w:t xml:space="preserve">informational </w:t>
      </w:r>
      <w:r w:rsidR="00414F88">
        <w:rPr>
          <w:rFonts w:ascii="Arial" w:hAnsi="Arial" w:cs="Arial"/>
          <w:sz w:val="20"/>
        </w:rPr>
        <w:t xml:space="preserve">webinars </w:t>
      </w:r>
      <w:r w:rsidR="000769B7">
        <w:rPr>
          <w:rFonts w:ascii="Arial" w:hAnsi="Arial" w:cs="Arial"/>
          <w:sz w:val="20"/>
        </w:rPr>
        <w:t xml:space="preserve">in which they can share experiences and lessons learned. </w:t>
      </w:r>
      <w:r w:rsidR="00414F88">
        <w:rPr>
          <w:rFonts w:ascii="Arial" w:hAnsi="Arial" w:cs="Arial"/>
          <w:sz w:val="20"/>
        </w:rPr>
        <w:t>D</w:t>
      </w:r>
      <w:r w:rsidRPr="00812B50">
        <w:rPr>
          <w:rFonts w:ascii="Arial" w:hAnsi="Arial" w:cs="Arial"/>
          <w:sz w:val="20"/>
        </w:rPr>
        <w:t>uring the program year, each funded provider received tech</w:t>
      </w:r>
      <w:r w:rsidR="009D6CE5">
        <w:rPr>
          <w:rFonts w:ascii="Arial" w:hAnsi="Arial" w:cs="Arial"/>
          <w:sz w:val="20"/>
        </w:rPr>
        <w:t>nical assistance regarding</w:t>
      </w:r>
      <w:r w:rsidRPr="00812B50">
        <w:rPr>
          <w:rFonts w:ascii="Arial" w:hAnsi="Arial" w:cs="Arial"/>
          <w:sz w:val="20"/>
        </w:rPr>
        <w:t xml:space="preserve"> the full implementation of the IELCE program.  </w:t>
      </w:r>
      <w:r w:rsidR="00564669">
        <w:rPr>
          <w:rFonts w:ascii="Arial" w:hAnsi="Arial" w:cs="Arial"/>
          <w:sz w:val="20"/>
        </w:rPr>
        <w:t>The technical assistance focused on data quality, implementation of IET programming and proper assessments for adult learners.</w:t>
      </w:r>
    </w:p>
    <w:p w:rsidR="00423D6A" w:rsidRPr="00812B50" w:rsidRDefault="00423D6A" w:rsidP="00423D6A">
      <w:pPr>
        <w:ind w:left="720" w:right="134"/>
        <w:rPr>
          <w:rFonts w:ascii="Arial" w:hAnsi="Arial" w:cs="Arial"/>
          <w:sz w:val="20"/>
        </w:rPr>
      </w:pPr>
    </w:p>
    <w:p w:rsidR="00423D6A" w:rsidRPr="00CC6829" w:rsidRDefault="007C053E" w:rsidP="00423D6A">
      <w:pPr>
        <w:spacing w:after="3" w:line="248" w:lineRule="auto"/>
        <w:ind w:left="720" w:right="134"/>
        <w:rPr>
          <w:rFonts w:ascii="Arial" w:hAnsi="Arial" w:cs="Arial"/>
          <w:sz w:val="20"/>
        </w:rPr>
      </w:pPr>
      <w:r w:rsidRPr="00CC6829">
        <w:rPr>
          <w:rFonts w:ascii="Arial" w:eastAsiaTheme="minorHAnsi" w:hAnsi="Arial" w:cs="Arial"/>
          <w:noProof/>
          <w:color w:val="000000"/>
          <w:sz w:val="20"/>
          <w:u w:val="single"/>
        </w:rPr>
        <mc:AlternateContent>
          <mc:Choice Requires="wps">
            <w:drawing>
              <wp:anchor distT="0" distB="0" distL="114300" distR="114300" simplePos="0" relativeHeight="251677696" behindDoc="0" locked="0" layoutInCell="1" allowOverlap="1" wp14:anchorId="0DC95253" wp14:editId="18EB1E1F">
                <wp:simplePos x="0" y="0"/>
                <wp:positionH relativeFrom="margin">
                  <wp:posOffset>-76200</wp:posOffset>
                </wp:positionH>
                <wp:positionV relativeFrom="paragraph">
                  <wp:posOffset>80010</wp:posOffset>
                </wp:positionV>
                <wp:extent cx="5934075" cy="3429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3429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602904" w:rsidRPr="007C053E" w:rsidRDefault="00365681" w:rsidP="00602904">
                            <w:pPr>
                              <w:pStyle w:val="ListParagraph"/>
                              <w:jc w:val="center"/>
                              <w:rPr>
                                <w:rFonts w:ascii="Arial" w:hAnsi="Arial" w:cs="Arial"/>
                                <w:color w:val="000000" w:themeColor="text1"/>
                                <w:sz w:val="24"/>
                                <w:szCs w:val="24"/>
                              </w:rPr>
                            </w:pPr>
                            <w:r w:rsidRPr="007C053E">
                              <w:rPr>
                                <w:rFonts w:ascii="Arial" w:hAnsi="Arial" w:cs="Arial"/>
                                <w:color w:val="000000" w:themeColor="text1"/>
                                <w:sz w:val="24"/>
                                <w:szCs w:val="24"/>
                              </w:rPr>
                              <w:t xml:space="preserve">5. </w:t>
                            </w:r>
                            <w:r w:rsidR="00602904" w:rsidRPr="007C053E">
                              <w:rPr>
                                <w:rFonts w:ascii="Arial" w:hAnsi="Arial" w:cs="Arial"/>
                                <w:color w:val="000000" w:themeColor="text1"/>
                                <w:sz w:val="24"/>
                                <w:szCs w:val="24"/>
                              </w:rPr>
                              <w:t xml:space="preserve">NC Adult Content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C95253" id="Rectangle 9" o:spid="_x0000_s1030" style="position:absolute;left:0;text-align:left;margin-left:-6pt;margin-top:6.3pt;width:467.25pt;height:2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" fillcolor="#d2d2d2" strokecolor="#a5a5a5" strokeweight=".5pt">
                <v:fill color2="silver" rotate="t" colors="0 #d2d2d2;.5 #c8c8c8;1 silver" focus="100%" type="gradient">
                  <o:fill v:ext="view" type="gradientUnscaled"/>
                </v:fill>
                <v:path arrowok="t"/>
                <v:textbox>
                  <w:txbxContent>
                    <w:p w:rsidR="00602904" w:rsidRPr="007C053E" w:rsidRDefault="00365681" w:rsidP="00602904">
                      <w:pPr>
                        <w:pStyle w:val="ListParagraph"/>
                        <w:jc w:val="center"/>
                        <w:rPr>
                          <w:rFonts w:ascii="Arial" w:hAnsi="Arial" w:cs="Arial"/>
                          <w:color w:val="000000" w:themeColor="text1"/>
                          <w:sz w:val="24"/>
                          <w:szCs w:val="24"/>
                        </w:rPr>
                      </w:pPr>
                      <w:r w:rsidRPr="007C053E">
                        <w:rPr>
                          <w:rFonts w:ascii="Arial" w:hAnsi="Arial" w:cs="Arial"/>
                          <w:color w:val="000000" w:themeColor="text1"/>
                          <w:sz w:val="24"/>
                          <w:szCs w:val="24"/>
                        </w:rPr>
                        <w:t xml:space="preserve">5. </w:t>
                      </w:r>
                      <w:r w:rsidR="00602904" w:rsidRPr="007C053E">
                        <w:rPr>
                          <w:rFonts w:ascii="Arial" w:hAnsi="Arial" w:cs="Arial"/>
                          <w:color w:val="000000" w:themeColor="text1"/>
                          <w:sz w:val="24"/>
                          <w:szCs w:val="24"/>
                        </w:rPr>
                        <w:t xml:space="preserve">NC Adult Content Standards   </w:t>
                      </w:r>
                    </w:p>
                  </w:txbxContent>
                </v:textbox>
                <w10:wrap anchorx="margin"/>
              </v:rect>
            </w:pict>
          </mc:Fallback>
        </mc:AlternateContent>
      </w:r>
    </w:p>
    <w:p w:rsidR="00BF4FAB" w:rsidRPr="00CC6829" w:rsidRDefault="00BF4FAB" w:rsidP="00BF4FAB">
      <w:pPr>
        <w:spacing w:line="259" w:lineRule="auto"/>
        <w:rPr>
          <w:rFonts w:ascii="Arial" w:hAnsi="Arial" w:cs="Arial"/>
          <w:sz w:val="20"/>
        </w:rPr>
      </w:pPr>
      <w:r w:rsidRPr="00CC6829">
        <w:rPr>
          <w:rFonts w:ascii="Arial" w:hAnsi="Arial" w:cs="Arial"/>
          <w:sz w:val="20"/>
        </w:rPr>
        <w:t xml:space="preserve"> </w:t>
      </w:r>
    </w:p>
    <w:p w:rsidR="00602904" w:rsidRPr="00CC6829" w:rsidRDefault="00602904" w:rsidP="00BF4FAB">
      <w:pPr>
        <w:spacing w:line="259" w:lineRule="auto"/>
        <w:rPr>
          <w:rFonts w:ascii="Arial" w:hAnsi="Arial" w:cs="Arial"/>
          <w:sz w:val="20"/>
        </w:rPr>
      </w:pPr>
    </w:p>
    <w:p w:rsidR="00602904" w:rsidRPr="00CC6829" w:rsidRDefault="00602904" w:rsidP="00BF4FAB">
      <w:pPr>
        <w:ind w:left="-5" w:right="134"/>
        <w:rPr>
          <w:rFonts w:ascii="Arial" w:hAnsi="Arial" w:cs="Arial"/>
          <w:color w:val="C00000"/>
          <w:sz w:val="20"/>
        </w:rPr>
      </w:pPr>
      <w:r w:rsidRPr="00CC6829">
        <w:rPr>
          <w:rFonts w:ascii="Arial" w:hAnsi="Arial" w:cs="Arial"/>
          <w:color w:val="C00000"/>
          <w:sz w:val="20"/>
        </w:rPr>
        <w:t xml:space="preserve"> </w:t>
      </w:r>
    </w:p>
    <w:p w:rsidR="00BF4FAB" w:rsidRPr="00107269" w:rsidRDefault="00BF4FAB" w:rsidP="00BF4FAB">
      <w:pPr>
        <w:ind w:left="-5" w:right="134"/>
        <w:rPr>
          <w:rFonts w:ascii="Arial" w:hAnsi="Arial" w:cs="Arial"/>
          <w:i/>
          <w:sz w:val="20"/>
        </w:rPr>
      </w:pPr>
      <w:r w:rsidRPr="00107269">
        <w:rPr>
          <w:rFonts w:ascii="Arial" w:hAnsi="Arial" w:cs="Arial"/>
          <w:i/>
          <w:sz w:val="20"/>
        </w:rPr>
        <w:t xml:space="preserve">If your State has adopted new challenging K-12 standards under title I of the Elementary and Secondary Education Act of 1965, as amended, describe how your Adult Education content standards are aligned with those K-12 standards. </w:t>
      </w:r>
    </w:p>
    <w:p w:rsidR="00385B02" w:rsidRPr="00107269" w:rsidRDefault="00385B02" w:rsidP="00BF4FAB">
      <w:pPr>
        <w:ind w:left="-5" w:right="134"/>
        <w:rPr>
          <w:rFonts w:ascii="Arial" w:hAnsi="Arial" w:cs="Arial"/>
          <w:sz w:val="20"/>
        </w:rPr>
      </w:pPr>
    </w:p>
    <w:p w:rsidR="00385B02" w:rsidRPr="00CC6829" w:rsidRDefault="00385B02" w:rsidP="00385B02">
      <w:pPr>
        <w:ind w:left="-5" w:right="134"/>
        <w:rPr>
          <w:rFonts w:ascii="Arial" w:hAnsi="Arial" w:cs="Arial"/>
          <w:sz w:val="20"/>
        </w:rPr>
      </w:pPr>
      <w:r>
        <w:rPr>
          <w:rFonts w:ascii="Arial" w:hAnsi="Arial" w:cs="Arial"/>
          <w:sz w:val="20"/>
        </w:rPr>
        <w:t xml:space="preserve">The North Carolina Adult Education Content Standards (NCAECS) represent a proactive effort by North Carolina Adult Educators to ensure rigor and consistency in program content and student outcomes for adult learners across the state. There are 5 primary content areas: reading, writing, math, technology, and speaking and listening. The NCAECS range from ABE level 1 to ASE level 5. Teams of state staff, adult educators, and expertise in the field worked together to write these world-class standards that are customized for adult learners. The NCAECS were also reviewed and aligned to the College and Career Readiness Standards in 2014 as part of the OCTAE alignment project. A professional development team from North Carolina attended the Content Standards training in Arizona to ensure our NCAECS are aligned to both the K-12 &amp; CCR content standards. </w:t>
      </w:r>
    </w:p>
    <w:p w:rsidR="00385B02" w:rsidRPr="00CC6829" w:rsidRDefault="00107269" w:rsidP="00BF4FAB">
      <w:pPr>
        <w:ind w:left="-5" w:right="134"/>
        <w:rPr>
          <w:rFonts w:ascii="Arial" w:hAnsi="Arial" w:cs="Arial"/>
          <w:sz w:val="20"/>
        </w:rPr>
      </w:pPr>
      <w:r w:rsidRPr="00CC6829">
        <w:rPr>
          <w:rFonts w:ascii="Arial" w:eastAsiaTheme="minorHAnsi" w:hAnsi="Arial" w:cs="Arial"/>
          <w:noProof/>
          <w:color w:val="000000"/>
          <w:sz w:val="20"/>
          <w:u w:val="single"/>
        </w:rPr>
        <mc:AlternateContent>
          <mc:Choice Requires="wps">
            <w:drawing>
              <wp:anchor distT="0" distB="0" distL="114300" distR="114300" simplePos="0" relativeHeight="251683840" behindDoc="0" locked="0" layoutInCell="1" allowOverlap="1" wp14:anchorId="5205804C" wp14:editId="2591E857">
                <wp:simplePos x="0" y="0"/>
                <wp:positionH relativeFrom="margin">
                  <wp:posOffset>-474133</wp:posOffset>
                </wp:positionH>
                <wp:positionV relativeFrom="paragraph">
                  <wp:posOffset>125790</wp:posOffset>
                </wp:positionV>
                <wp:extent cx="7141028" cy="295124"/>
                <wp:effectExtent l="0" t="0" r="2222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1028" cy="295124"/>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E33E5C" w:rsidRPr="00ED626A" w:rsidRDefault="00E33E5C" w:rsidP="00E33E5C">
                            <w:pPr>
                              <w:pStyle w:val="Heading3"/>
                              <w:ind w:left="345" w:hanging="360"/>
                              <w:rPr>
                                <w:rFonts w:ascii="Arial" w:hAnsi="Arial" w:cs="Arial"/>
                                <w:color w:val="auto"/>
                              </w:rPr>
                            </w:pPr>
                            <w:r w:rsidRPr="00ED626A">
                              <w:rPr>
                                <w:rFonts w:ascii="Arial" w:hAnsi="Arial" w:cs="Arial"/>
                                <w:color w:val="auto"/>
                              </w:rPr>
                              <w:t>6. Programs for Corrections Education and the Education of Other Institutionalized Individuals</w:t>
                            </w:r>
                            <w:r w:rsidRPr="00ED626A">
                              <w:rPr>
                                <w:rFonts w:ascii="Arial" w:eastAsia="Times New Roman" w:hAnsi="Arial" w:cs="Arial"/>
                                <w:color w:val="auto"/>
                              </w:rPr>
                              <w:t xml:space="preserve"> </w:t>
                            </w:r>
                          </w:p>
                          <w:p w:rsidR="00E33E5C" w:rsidRPr="00C44FA9" w:rsidRDefault="00E33E5C" w:rsidP="00E33E5C">
                            <w:pPr>
                              <w:spacing w:line="259" w:lineRule="auto"/>
                              <w:ind w:left="360"/>
                              <w:rPr>
                                <w:rFonts w:ascii="Arial" w:hAnsi="Arial" w:cs="Arial"/>
                                <w:szCs w:val="24"/>
                              </w:rPr>
                            </w:pPr>
                            <w:r w:rsidRPr="00C44FA9">
                              <w:rPr>
                                <w:rFonts w:ascii="Arial" w:hAnsi="Arial" w:cs="Arial"/>
                                <w:szCs w:val="24"/>
                              </w:rPr>
                              <w:t xml:space="preserve"> </w:t>
                            </w:r>
                          </w:p>
                          <w:p w:rsidR="007522DF" w:rsidRPr="00C44FA9" w:rsidRDefault="007522DF" w:rsidP="00E33E5C">
                            <w:pPr>
                              <w:ind w:left="2610"/>
                              <w:jc w:val="center"/>
                              <w:rPr>
                                <w:rFonts w:ascii="Arial" w:hAnsi="Arial" w:cs="Arial"/>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05804C" id="Rectangle 12" o:spid="_x0000_s1031" style="position:absolute;left:0;text-align:left;margin-left:-37.35pt;margin-top:9.9pt;width:562.3pt;height:23.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" fillcolor="#d2d2d2" strokecolor="#a5a5a5" strokeweight=".5pt">
                <v:fill color2="silver" rotate="t" colors="0 #d2d2d2;.5 #c8c8c8;1 silver" focus="100%" type="gradient">
                  <o:fill v:ext="view" type="gradientUnscaled"/>
                </v:fill>
                <v:path arrowok="t"/>
                <v:textbox>
                  <w:txbxContent>
                    <w:p w:rsidR="00E33E5C" w:rsidRPr="00ED626A" w:rsidRDefault="00E33E5C" w:rsidP="00E33E5C">
                      <w:pPr>
                        <w:pStyle w:val="Heading3"/>
                        <w:ind w:left="345" w:hanging="360"/>
                        <w:rPr>
                          <w:rFonts w:ascii="Arial" w:hAnsi="Arial" w:cs="Arial"/>
                          <w:color w:val="auto"/>
                        </w:rPr>
                      </w:pPr>
                      <w:r w:rsidRPr="00ED626A">
                        <w:rPr>
                          <w:rFonts w:ascii="Arial" w:hAnsi="Arial" w:cs="Arial"/>
                          <w:color w:val="auto"/>
                        </w:rPr>
                        <w:t>6. Programs for Corrections Education and the Education of Other Institutionalized Individuals</w:t>
                      </w:r>
                      <w:r w:rsidRPr="00ED626A">
                        <w:rPr>
                          <w:rFonts w:ascii="Arial" w:eastAsia="Times New Roman" w:hAnsi="Arial" w:cs="Arial"/>
                          <w:color w:val="auto"/>
                        </w:rPr>
                        <w:t xml:space="preserve"> </w:t>
                      </w:r>
                    </w:p>
                    <w:p w:rsidR="00E33E5C" w:rsidRPr="00C44FA9" w:rsidRDefault="00E33E5C" w:rsidP="00E33E5C">
                      <w:pPr>
                        <w:spacing w:line="259" w:lineRule="auto"/>
                        <w:ind w:left="360"/>
                        <w:rPr>
                          <w:rFonts w:ascii="Arial" w:hAnsi="Arial" w:cs="Arial"/>
                          <w:szCs w:val="24"/>
                        </w:rPr>
                      </w:pPr>
                      <w:r w:rsidRPr="00C44FA9">
                        <w:rPr>
                          <w:rFonts w:ascii="Arial" w:hAnsi="Arial" w:cs="Arial"/>
                          <w:szCs w:val="24"/>
                        </w:rPr>
                        <w:t xml:space="preserve"> </w:t>
                      </w:r>
                    </w:p>
                    <w:p w:rsidR="007522DF" w:rsidRPr="00C44FA9" w:rsidRDefault="007522DF" w:rsidP="00E33E5C">
                      <w:pPr>
                        <w:ind w:left="2610"/>
                        <w:jc w:val="center"/>
                        <w:rPr>
                          <w:rFonts w:ascii="Arial" w:hAnsi="Arial" w:cs="Arial"/>
                          <w:color w:val="000000" w:themeColor="text1"/>
                          <w:szCs w:val="24"/>
                        </w:rPr>
                      </w:pPr>
                    </w:p>
                  </w:txbxContent>
                </v:textbox>
                <w10:wrap anchorx="margin"/>
              </v:rect>
            </w:pict>
          </mc:Fallback>
        </mc:AlternateContent>
      </w:r>
    </w:p>
    <w:p w:rsidR="00BF4FAB" w:rsidRPr="00CC6829" w:rsidRDefault="00BF4FAB" w:rsidP="00BF4FAB">
      <w:pPr>
        <w:spacing w:line="259" w:lineRule="auto"/>
        <w:rPr>
          <w:rFonts w:ascii="Arial" w:hAnsi="Arial" w:cs="Arial"/>
          <w:sz w:val="20"/>
        </w:rPr>
      </w:pPr>
      <w:r w:rsidRPr="00CC6829">
        <w:rPr>
          <w:rFonts w:ascii="Arial" w:hAnsi="Arial" w:cs="Arial"/>
          <w:sz w:val="20"/>
        </w:rPr>
        <w:t xml:space="preserve"> </w:t>
      </w:r>
    </w:p>
    <w:p w:rsidR="00E33E5C" w:rsidRPr="00CC6829" w:rsidRDefault="00E33E5C" w:rsidP="00E33E5C">
      <w:pPr>
        <w:spacing w:line="259" w:lineRule="auto"/>
        <w:rPr>
          <w:rFonts w:ascii="Arial" w:hAnsi="Arial" w:cs="Arial"/>
          <w:sz w:val="20"/>
        </w:rPr>
      </w:pPr>
    </w:p>
    <w:p w:rsidR="00C7074D" w:rsidRPr="00C44FA9" w:rsidRDefault="00C7074D" w:rsidP="00107269">
      <w:pPr>
        <w:spacing w:after="369"/>
        <w:ind w:right="134"/>
        <w:rPr>
          <w:rFonts w:ascii="Arial" w:hAnsi="Arial" w:cs="Arial"/>
          <w:b/>
          <w:i/>
          <w:sz w:val="20"/>
        </w:rPr>
      </w:pPr>
      <w:r w:rsidRPr="00C44FA9">
        <w:rPr>
          <w:rFonts w:ascii="Arial" w:hAnsi="Arial" w:cs="Arial"/>
          <w:i/>
          <w:sz w:val="20"/>
        </w:rPr>
        <w:t xml:space="preserve">What was the relative rate of recidivism for criminal offenders served?  Please describe the methods and factors used in calculating the rate for this reporting period. </w:t>
      </w:r>
    </w:p>
    <w:p w:rsidR="002205A5" w:rsidRPr="00107269" w:rsidRDefault="004414CC" w:rsidP="004414CC">
      <w:pPr>
        <w:rPr>
          <w:rFonts w:ascii="Arial" w:hAnsi="Arial" w:cs="Arial"/>
          <w:sz w:val="20"/>
        </w:rPr>
      </w:pPr>
      <w:r w:rsidRPr="00107269">
        <w:rPr>
          <w:rFonts w:ascii="Arial" w:hAnsi="Arial" w:cs="Arial"/>
          <w:sz w:val="20"/>
        </w:rPr>
        <w:t xml:space="preserve">Sixty percent of North Carolina’s literacy providers offered basic skills instruction </w:t>
      </w:r>
      <w:r w:rsidR="00330E25" w:rsidRPr="00107269">
        <w:rPr>
          <w:rFonts w:ascii="Arial" w:hAnsi="Arial" w:cs="Arial"/>
          <w:sz w:val="20"/>
        </w:rPr>
        <w:t>in 64</w:t>
      </w:r>
      <w:r w:rsidRPr="00107269">
        <w:rPr>
          <w:rFonts w:ascii="Arial" w:hAnsi="Arial" w:cs="Arial"/>
          <w:sz w:val="20"/>
        </w:rPr>
        <w:t xml:space="preserve"> NC Department of Public Safety (NCDPS) adult correctional facilities.  Additional educational programming was provided at seven detention centers, four local jails, and five youth development centers.  Educational programming in our correctional facilities was successful with 11% of all corrections students earning a high school equivalency credential</w:t>
      </w:r>
      <w:r w:rsidR="002205A5" w:rsidRPr="00107269">
        <w:rPr>
          <w:rFonts w:ascii="Arial" w:hAnsi="Arial" w:cs="Arial"/>
          <w:sz w:val="20"/>
        </w:rPr>
        <w:t xml:space="preserve">. </w:t>
      </w:r>
      <w:r w:rsidR="00712558" w:rsidRPr="00107269">
        <w:rPr>
          <w:rFonts w:ascii="Arial" w:hAnsi="Arial" w:cs="Arial"/>
          <w:sz w:val="20"/>
        </w:rPr>
        <w:t xml:space="preserve"> </w:t>
      </w:r>
    </w:p>
    <w:p w:rsidR="002205A5" w:rsidRPr="00107269" w:rsidRDefault="002205A5" w:rsidP="004414CC">
      <w:pPr>
        <w:rPr>
          <w:rFonts w:ascii="Arial" w:hAnsi="Arial" w:cs="Arial"/>
          <w:color w:val="000000"/>
          <w:sz w:val="20"/>
        </w:rPr>
      </w:pPr>
    </w:p>
    <w:p w:rsidR="004414CC" w:rsidRPr="00107269" w:rsidRDefault="00722E4A" w:rsidP="004414CC">
      <w:pPr>
        <w:rPr>
          <w:rFonts w:ascii="Arial" w:hAnsi="Arial" w:cs="Arial"/>
          <w:sz w:val="20"/>
        </w:rPr>
      </w:pPr>
      <w:r w:rsidRPr="00107269">
        <w:rPr>
          <w:rFonts w:ascii="Arial" w:hAnsi="Arial" w:cs="Arial"/>
          <w:sz w:val="20"/>
        </w:rPr>
        <w:t xml:space="preserve">The NCDPS housed 37,438 offenders on June 30, 2017, as reported on the Prison Month End Population table </w:t>
      </w:r>
      <w:hyperlink r:id="rId9" w:history="1">
        <w:r w:rsidRPr="00107269">
          <w:rPr>
            <w:rStyle w:val="Hyperlink"/>
            <w:rFonts w:ascii="Arial" w:hAnsi="Arial" w:cs="Arial"/>
            <w:sz w:val="20"/>
          </w:rPr>
          <w:t>http://randp.doc.state.nc.us/kimdocs/0003560.htm</w:t>
        </w:r>
      </w:hyperlink>
      <w:r w:rsidRPr="00107269">
        <w:rPr>
          <w:rFonts w:ascii="Arial" w:hAnsi="Arial" w:cs="Arial"/>
          <w:sz w:val="20"/>
        </w:rPr>
        <w:t xml:space="preserve">.  </w:t>
      </w:r>
      <w:r w:rsidR="004414CC" w:rsidRPr="00107269">
        <w:rPr>
          <w:rFonts w:ascii="Arial" w:hAnsi="Arial" w:cs="Arial"/>
          <w:sz w:val="20"/>
        </w:rPr>
        <w:t xml:space="preserve">At the direction of the North Carolina General Assembly (NCGA), the Sentencing and Policy Advisory Commission (SPAC), housed within the NC Administrative Office of the Courts (NCAOC), defines and measures the rates of recidivism for criminal offenders involved in state-supported correctional programs. </w:t>
      </w:r>
      <w:r w:rsidR="00087537" w:rsidRPr="00107269">
        <w:rPr>
          <w:rFonts w:ascii="Arial" w:hAnsi="Arial" w:cs="Arial"/>
          <w:sz w:val="20"/>
        </w:rPr>
        <w:t xml:space="preserve"> </w:t>
      </w:r>
      <w:r w:rsidR="004414CC" w:rsidRPr="00107269">
        <w:rPr>
          <w:rFonts w:ascii="Arial" w:hAnsi="Arial" w:cs="Arial"/>
          <w:sz w:val="20"/>
        </w:rPr>
        <w:t xml:space="preserve">North Carolina General Statute (N.C.G.S.) mandates the Commission to calculate and report biennially on the recidivism of offenders in the adult criminal justice and juvenile justice systems. The first report on adult recidivism required by N.C.G.S. 164-47 was published in 2000; since then, reports for adult recidivism have been calculated and published in each even-numbered year. </w:t>
      </w:r>
    </w:p>
    <w:p w:rsidR="00364209" w:rsidRPr="00107269" w:rsidRDefault="00364209" w:rsidP="004414CC">
      <w:pPr>
        <w:rPr>
          <w:rFonts w:ascii="Arial" w:hAnsi="Arial" w:cs="Arial"/>
          <w:sz w:val="20"/>
        </w:rPr>
      </w:pPr>
    </w:p>
    <w:p w:rsidR="00BE18C8" w:rsidRPr="00107269" w:rsidRDefault="004414CC" w:rsidP="00C81B8E">
      <w:pPr>
        <w:rPr>
          <w:rFonts w:ascii="Arial" w:hAnsi="Arial" w:cs="Arial"/>
          <w:sz w:val="20"/>
        </w:rPr>
      </w:pPr>
      <w:r w:rsidRPr="00107269">
        <w:rPr>
          <w:rFonts w:ascii="Arial" w:hAnsi="Arial" w:cs="Arial"/>
          <w:sz w:val="20"/>
        </w:rPr>
        <w:t xml:space="preserve">Due to the current N.C.G.S. requirements, recidivism is only calculated by the Commission and </w:t>
      </w:r>
      <w:r w:rsidR="00ED626A">
        <w:rPr>
          <w:rFonts w:ascii="Arial" w:hAnsi="Arial" w:cs="Arial"/>
          <w:sz w:val="20"/>
        </w:rPr>
        <w:t xml:space="preserve">for </w:t>
      </w:r>
      <w:r w:rsidRPr="00107269">
        <w:rPr>
          <w:rFonts w:ascii="Arial" w:hAnsi="Arial" w:cs="Arial"/>
          <w:sz w:val="20"/>
        </w:rPr>
        <w:t>only r the fiscal year that allows for the utilization of the Commission</w:t>
      </w:r>
      <w:r w:rsidR="00ED626A">
        <w:rPr>
          <w:rFonts w:ascii="Arial" w:hAnsi="Arial" w:cs="Arial"/>
          <w:sz w:val="20"/>
        </w:rPr>
        <w:t xml:space="preserve">’s </w:t>
      </w:r>
      <w:r w:rsidRPr="00107269">
        <w:rPr>
          <w:rFonts w:ascii="Arial" w:hAnsi="Arial" w:cs="Arial"/>
          <w:sz w:val="20"/>
        </w:rPr>
        <w:t xml:space="preserve">established fixed lookback period of two years. </w:t>
      </w:r>
      <w:r w:rsidR="00087537" w:rsidRPr="00107269">
        <w:rPr>
          <w:rFonts w:ascii="Arial" w:hAnsi="Arial" w:cs="Arial"/>
          <w:sz w:val="20"/>
        </w:rPr>
        <w:t>Additionally, the recidivism calculations are inclusive of all academic educational programs (non-vocational) offered, including adult literacy and post-secondary educational programs.  T</w:t>
      </w:r>
      <w:r w:rsidRPr="00107269">
        <w:rPr>
          <w:rFonts w:ascii="Arial" w:hAnsi="Arial" w:cs="Arial"/>
          <w:sz w:val="20"/>
        </w:rPr>
        <w:t xml:space="preserve">he most recent </w:t>
      </w:r>
      <w:r w:rsidR="00791B30" w:rsidRPr="00107269">
        <w:rPr>
          <w:rFonts w:ascii="Arial" w:hAnsi="Arial" w:cs="Arial"/>
          <w:sz w:val="20"/>
        </w:rPr>
        <w:t xml:space="preserve">recidivist </w:t>
      </w:r>
      <w:r w:rsidRPr="00107269">
        <w:rPr>
          <w:rFonts w:ascii="Arial" w:hAnsi="Arial" w:cs="Arial"/>
          <w:sz w:val="20"/>
        </w:rPr>
        <w:t xml:space="preserve">data </w:t>
      </w:r>
      <w:r w:rsidR="00791B30" w:rsidRPr="00107269">
        <w:rPr>
          <w:rFonts w:ascii="Arial" w:hAnsi="Arial" w:cs="Arial"/>
          <w:sz w:val="20"/>
        </w:rPr>
        <w:t xml:space="preserve">available </w:t>
      </w:r>
      <w:r w:rsidRPr="00107269">
        <w:rPr>
          <w:rFonts w:ascii="Arial" w:hAnsi="Arial" w:cs="Arial"/>
          <w:sz w:val="20"/>
        </w:rPr>
        <w:t xml:space="preserve">is </w:t>
      </w:r>
      <w:r w:rsidRPr="00ED626A">
        <w:rPr>
          <w:rFonts w:ascii="Arial" w:hAnsi="Arial" w:cs="Arial"/>
          <w:sz w:val="20"/>
        </w:rPr>
        <w:t xml:space="preserve">for </w:t>
      </w:r>
      <w:r w:rsidRPr="00ED626A">
        <w:rPr>
          <w:rFonts w:ascii="Arial" w:hAnsi="Arial" w:cs="Arial"/>
          <w:bCs/>
          <w:sz w:val="20"/>
        </w:rPr>
        <w:t>FY 2013 (July 1, 2012 – June 30, 2013)</w:t>
      </w:r>
      <w:r w:rsidRPr="00ED626A">
        <w:rPr>
          <w:rFonts w:ascii="Arial" w:hAnsi="Arial" w:cs="Arial"/>
          <w:sz w:val="20"/>
        </w:rPr>
        <w:t>,</w:t>
      </w:r>
      <w:r w:rsidRPr="00107269">
        <w:rPr>
          <w:rFonts w:ascii="Arial" w:hAnsi="Arial" w:cs="Arial"/>
          <w:sz w:val="20"/>
        </w:rPr>
        <w:t xml:space="preserve"> which was reported in April 2016. </w:t>
      </w:r>
      <w:r w:rsidR="000A32E0" w:rsidRPr="00107269">
        <w:rPr>
          <w:rFonts w:ascii="Arial" w:hAnsi="Arial" w:cs="Arial"/>
          <w:sz w:val="20"/>
        </w:rPr>
        <w:t xml:space="preserve"> </w:t>
      </w:r>
      <w:r w:rsidRPr="00107269">
        <w:rPr>
          <w:rFonts w:ascii="Arial" w:hAnsi="Arial" w:cs="Arial"/>
          <w:sz w:val="20"/>
        </w:rPr>
        <w:t>It is important to note that by statute, recidivism is only calculated every other year, and that rates are presently only calculated for adult offenders released in odd fiscal years</w:t>
      </w:r>
      <w:r w:rsidR="00ED626A">
        <w:rPr>
          <w:rFonts w:ascii="Arial" w:hAnsi="Arial" w:cs="Arial"/>
          <w:sz w:val="20"/>
        </w:rPr>
        <w:t xml:space="preserve">. </w:t>
      </w:r>
      <w:r w:rsidR="00C81B8E" w:rsidRPr="00107269">
        <w:rPr>
          <w:rFonts w:ascii="Arial" w:hAnsi="Arial" w:cs="Arial"/>
          <w:sz w:val="20"/>
        </w:rPr>
        <w:t xml:space="preserve">  </w:t>
      </w:r>
    </w:p>
    <w:p w:rsidR="00BE18C8" w:rsidRPr="00107269" w:rsidRDefault="00BE18C8" w:rsidP="00C81B8E">
      <w:pPr>
        <w:rPr>
          <w:rFonts w:ascii="Arial" w:hAnsi="Arial" w:cs="Arial"/>
          <w:sz w:val="20"/>
        </w:rPr>
      </w:pPr>
    </w:p>
    <w:p w:rsidR="002205A5" w:rsidRPr="00107269" w:rsidRDefault="00C81B8E" w:rsidP="000D7C3A">
      <w:pPr>
        <w:rPr>
          <w:rFonts w:ascii="Arial" w:hAnsi="Arial" w:cs="Arial"/>
          <w:sz w:val="20"/>
        </w:rPr>
      </w:pPr>
      <w:r w:rsidRPr="00107269">
        <w:rPr>
          <w:rFonts w:ascii="Arial" w:hAnsi="Arial" w:cs="Arial"/>
          <w:sz w:val="20"/>
        </w:rPr>
        <w:t xml:space="preserve">The </w:t>
      </w:r>
      <w:r w:rsidR="000D7C3A" w:rsidRPr="00107269">
        <w:rPr>
          <w:rFonts w:ascii="Arial" w:hAnsi="Arial" w:cs="Arial"/>
          <w:sz w:val="20"/>
        </w:rPr>
        <w:t xml:space="preserve">NC </w:t>
      </w:r>
      <w:r w:rsidRPr="00107269">
        <w:rPr>
          <w:rFonts w:ascii="Arial" w:hAnsi="Arial" w:cs="Arial"/>
          <w:sz w:val="20"/>
        </w:rPr>
        <w:t xml:space="preserve">legislation </w:t>
      </w:r>
      <w:r w:rsidR="00BE18C8" w:rsidRPr="00107269">
        <w:rPr>
          <w:rFonts w:ascii="Arial" w:hAnsi="Arial" w:cs="Arial"/>
          <w:sz w:val="20"/>
        </w:rPr>
        <w:t xml:space="preserve">defines </w:t>
      </w:r>
      <w:r w:rsidRPr="00107269">
        <w:rPr>
          <w:rFonts w:ascii="Arial" w:hAnsi="Arial" w:cs="Arial"/>
          <w:sz w:val="20"/>
        </w:rPr>
        <w:t xml:space="preserve">recidivism </w:t>
      </w:r>
      <w:r w:rsidR="00BE18C8" w:rsidRPr="00107269">
        <w:rPr>
          <w:rFonts w:ascii="Arial" w:hAnsi="Arial" w:cs="Arial"/>
          <w:sz w:val="20"/>
        </w:rPr>
        <w:t>as “</w:t>
      </w:r>
      <w:r w:rsidRPr="00107269">
        <w:rPr>
          <w:rFonts w:ascii="Arial" w:hAnsi="Arial" w:cs="Arial"/>
          <w:sz w:val="20"/>
        </w:rPr>
        <w:t>repeat criminal behavior</w:t>
      </w:r>
      <w:r w:rsidR="00BE18C8" w:rsidRPr="00107269">
        <w:rPr>
          <w:rFonts w:ascii="Arial" w:hAnsi="Arial" w:cs="Arial"/>
          <w:sz w:val="20"/>
        </w:rPr>
        <w:t>”</w:t>
      </w:r>
      <w:r w:rsidRPr="00107269">
        <w:rPr>
          <w:rFonts w:ascii="Arial" w:hAnsi="Arial" w:cs="Arial"/>
          <w:sz w:val="20"/>
        </w:rPr>
        <w:t xml:space="preserve"> and </w:t>
      </w:r>
      <w:r w:rsidR="00BE18C8" w:rsidRPr="00107269">
        <w:rPr>
          <w:rFonts w:ascii="Arial" w:hAnsi="Arial" w:cs="Arial"/>
          <w:sz w:val="20"/>
        </w:rPr>
        <w:t xml:space="preserve">utilizes that </w:t>
      </w:r>
      <w:r w:rsidR="000D7C3A" w:rsidRPr="00107269">
        <w:rPr>
          <w:rFonts w:ascii="Arial" w:hAnsi="Arial" w:cs="Arial"/>
          <w:sz w:val="20"/>
        </w:rPr>
        <w:t xml:space="preserve">broad definition for </w:t>
      </w:r>
      <w:r w:rsidRPr="00107269">
        <w:rPr>
          <w:rFonts w:ascii="Arial" w:hAnsi="Arial" w:cs="Arial"/>
          <w:sz w:val="20"/>
        </w:rPr>
        <w:t>measuring recidivism</w:t>
      </w:r>
      <w:r w:rsidR="000D7C3A" w:rsidRPr="00107269">
        <w:rPr>
          <w:rFonts w:ascii="Arial" w:hAnsi="Arial" w:cs="Arial"/>
          <w:sz w:val="20"/>
        </w:rPr>
        <w:t xml:space="preserve"> as </w:t>
      </w:r>
      <w:r w:rsidRPr="00107269">
        <w:rPr>
          <w:rFonts w:ascii="Arial" w:hAnsi="Arial" w:cs="Arial"/>
          <w:sz w:val="20"/>
        </w:rPr>
        <w:t xml:space="preserve">a way of evaluating correctional programs and sanctions. As such, the Commission uses arrests as the primary measure of recidivism, supplemented by information on convictions and incarcerations, to assess the extent of an offender’s repeat involvement in the criminal justice system. </w:t>
      </w:r>
      <w:r w:rsidR="000D7C3A" w:rsidRPr="00107269">
        <w:rPr>
          <w:rFonts w:ascii="Arial" w:hAnsi="Arial" w:cs="Arial"/>
          <w:sz w:val="20"/>
        </w:rPr>
        <w:t xml:space="preserve"> </w:t>
      </w:r>
      <w:r w:rsidR="002205A5" w:rsidRPr="00107269">
        <w:rPr>
          <w:rFonts w:ascii="Arial" w:hAnsi="Arial" w:cs="Arial"/>
          <w:color w:val="000000"/>
          <w:sz w:val="20"/>
        </w:rPr>
        <w:t>The most recent recidivist data that NC has is for 2013</w:t>
      </w:r>
      <w:r w:rsidR="00364209" w:rsidRPr="00107269">
        <w:rPr>
          <w:rFonts w:ascii="Arial" w:hAnsi="Arial" w:cs="Arial"/>
          <w:color w:val="000000"/>
          <w:sz w:val="20"/>
        </w:rPr>
        <w:t>, as noted below:</w:t>
      </w:r>
      <w:r w:rsidR="002205A5" w:rsidRPr="00107269">
        <w:rPr>
          <w:rFonts w:ascii="Arial" w:hAnsi="Arial" w:cs="Arial"/>
          <w:color w:val="000000"/>
          <w:sz w:val="20"/>
        </w:rPr>
        <w:t xml:space="preserve"> </w:t>
      </w:r>
    </w:p>
    <w:p w:rsidR="002205A5" w:rsidRPr="00107269" w:rsidRDefault="002205A5" w:rsidP="002205A5">
      <w:pPr>
        <w:numPr>
          <w:ilvl w:val="1"/>
          <w:numId w:val="25"/>
        </w:numPr>
        <w:spacing w:before="100" w:beforeAutospacing="1" w:after="100" w:afterAutospacing="1"/>
        <w:rPr>
          <w:rFonts w:ascii="Arial" w:hAnsi="Arial" w:cs="Arial"/>
          <w:color w:val="000000"/>
          <w:sz w:val="20"/>
        </w:rPr>
      </w:pPr>
      <w:r w:rsidRPr="00107269">
        <w:rPr>
          <w:rFonts w:ascii="Arial" w:hAnsi="Arial" w:cs="Arial"/>
          <w:color w:val="000000"/>
          <w:sz w:val="20"/>
        </w:rPr>
        <w:t>48% for arrests</w:t>
      </w:r>
    </w:p>
    <w:p w:rsidR="002205A5" w:rsidRPr="00107269" w:rsidRDefault="002205A5" w:rsidP="002205A5">
      <w:pPr>
        <w:numPr>
          <w:ilvl w:val="1"/>
          <w:numId w:val="25"/>
        </w:numPr>
        <w:spacing w:before="100" w:beforeAutospacing="1" w:after="100" w:afterAutospacing="1"/>
        <w:rPr>
          <w:rFonts w:ascii="Arial" w:hAnsi="Arial" w:cs="Arial"/>
          <w:color w:val="000000"/>
          <w:sz w:val="20"/>
        </w:rPr>
      </w:pPr>
      <w:r w:rsidRPr="00107269">
        <w:rPr>
          <w:rFonts w:ascii="Arial" w:hAnsi="Arial" w:cs="Arial"/>
          <w:color w:val="000000"/>
          <w:sz w:val="20"/>
        </w:rPr>
        <w:t>26% for convicti</w:t>
      </w:r>
      <w:bookmarkStart w:id="1" w:name="_GoBack"/>
      <w:bookmarkEnd w:id="1"/>
      <w:r w:rsidRPr="00107269">
        <w:rPr>
          <w:rFonts w:ascii="Arial" w:hAnsi="Arial" w:cs="Arial"/>
          <w:color w:val="000000"/>
          <w:sz w:val="20"/>
        </w:rPr>
        <w:t>ons</w:t>
      </w:r>
    </w:p>
    <w:p w:rsidR="004414CC" w:rsidRPr="00107269" w:rsidRDefault="002205A5" w:rsidP="004414CC">
      <w:pPr>
        <w:numPr>
          <w:ilvl w:val="1"/>
          <w:numId w:val="25"/>
        </w:numPr>
        <w:spacing w:before="100" w:beforeAutospacing="1" w:after="100" w:afterAutospacing="1"/>
        <w:rPr>
          <w:rFonts w:ascii="Arial" w:hAnsi="Arial" w:cs="Arial"/>
          <w:color w:val="000000"/>
          <w:sz w:val="20"/>
        </w:rPr>
      </w:pPr>
      <w:r w:rsidRPr="00107269">
        <w:rPr>
          <w:rFonts w:ascii="Arial" w:hAnsi="Arial" w:cs="Arial"/>
          <w:color w:val="000000"/>
          <w:sz w:val="20"/>
        </w:rPr>
        <w:t>21% for incarcerations</w:t>
      </w:r>
    </w:p>
    <w:p w:rsidR="003545A3" w:rsidRPr="00107269" w:rsidRDefault="004414CC" w:rsidP="003545A3">
      <w:pPr>
        <w:rPr>
          <w:rFonts w:ascii="Arial" w:hAnsi="Arial" w:cs="Arial"/>
          <w:sz w:val="20"/>
        </w:rPr>
      </w:pPr>
      <w:r w:rsidRPr="00107269">
        <w:rPr>
          <w:rFonts w:ascii="Arial" w:hAnsi="Arial" w:cs="Arial"/>
          <w:sz w:val="20"/>
        </w:rPr>
        <w:t xml:space="preserve">NC Community College System (NCCCS) </w:t>
      </w:r>
      <w:r w:rsidR="002205A5" w:rsidRPr="00107269">
        <w:rPr>
          <w:rFonts w:ascii="Arial" w:hAnsi="Arial" w:cs="Arial"/>
          <w:sz w:val="20"/>
        </w:rPr>
        <w:t xml:space="preserve">has requested from </w:t>
      </w:r>
      <w:r w:rsidRPr="00107269">
        <w:rPr>
          <w:rFonts w:ascii="Arial" w:hAnsi="Arial" w:cs="Arial"/>
          <w:sz w:val="20"/>
        </w:rPr>
        <w:t>NC Department of Public Safety (NCDPS)</w:t>
      </w:r>
      <w:r w:rsidR="002205A5" w:rsidRPr="00107269">
        <w:rPr>
          <w:rFonts w:ascii="Arial" w:hAnsi="Arial" w:cs="Arial"/>
          <w:sz w:val="20"/>
        </w:rPr>
        <w:t xml:space="preserve">, </w:t>
      </w:r>
      <w:r w:rsidRPr="00107269">
        <w:rPr>
          <w:rFonts w:ascii="Arial" w:hAnsi="Arial" w:cs="Arial"/>
          <w:sz w:val="20"/>
        </w:rPr>
        <w:t>disaggregate</w:t>
      </w:r>
      <w:r w:rsidR="002205A5" w:rsidRPr="00107269">
        <w:rPr>
          <w:rFonts w:ascii="Arial" w:hAnsi="Arial" w:cs="Arial"/>
          <w:sz w:val="20"/>
        </w:rPr>
        <w:t xml:space="preserve">d annual </w:t>
      </w:r>
      <w:r w:rsidRPr="00107269">
        <w:rPr>
          <w:rFonts w:ascii="Arial" w:hAnsi="Arial" w:cs="Arial"/>
          <w:sz w:val="20"/>
        </w:rPr>
        <w:t>reportin</w:t>
      </w:r>
      <w:r w:rsidR="002205A5" w:rsidRPr="00107269">
        <w:rPr>
          <w:rFonts w:ascii="Arial" w:hAnsi="Arial" w:cs="Arial"/>
          <w:sz w:val="20"/>
        </w:rPr>
        <w:t>g for adult education students.</w:t>
      </w:r>
      <w:r w:rsidR="003545A3" w:rsidRPr="00107269">
        <w:rPr>
          <w:rFonts w:ascii="Arial" w:hAnsi="Arial" w:cs="Arial"/>
          <w:sz w:val="20"/>
        </w:rPr>
        <w:t xml:space="preserve">  </w:t>
      </w:r>
    </w:p>
    <w:p w:rsidR="004414CC" w:rsidRPr="00107269" w:rsidRDefault="003545A3" w:rsidP="004414CC">
      <w:pPr>
        <w:rPr>
          <w:rFonts w:ascii="Arial" w:hAnsi="Arial" w:cs="Arial"/>
          <w:sz w:val="20"/>
        </w:rPr>
      </w:pPr>
      <w:r w:rsidRPr="00107269">
        <w:rPr>
          <w:rFonts w:ascii="Arial" w:hAnsi="Arial" w:cs="Arial"/>
          <w:sz w:val="20"/>
        </w:rPr>
        <w:t xml:space="preserve"> </w:t>
      </w:r>
      <w:r w:rsidR="002205A5" w:rsidRPr="00107269">
        <w:rPr>
          <w:rFonts w:ascii="Arial" w:hAnsi="Arial" w:cs="Arial"/>
          <w:sz w:val="20"/>
        </w:rPr>
        <w:t xml:space="preserve">  </w:t>
      </w:r>
    </w:p>
    <w:sectPr w:rsidR="004414CC" w:rsidRPr="00107269" w:rsidSect="00493CED">
      <w:headerReference w:type="default" r:id="rId10"/>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527" w:rsidRDefault="00355527" w:rsidP="00145B72">
      <w:r>
        <w:separator/>
      </w:r>
    </w:p>
  </w:endnote>
  <w:endnote w:type="continuationSeparator" w:id="0">
    <w:p w:rsidR="00355527" w:rsidRDefault="00355527" w:rsidP="0014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527" w:rsidRDefault="00355527" w:rsidP="00145B72">
      <w:r>
        <w:separator/>
      </w:r>
    </w:p>
  </w:footnote>
  <w:footnote w:type="continuationSeparator" w:id="0">
    <w:p w:rsidR="00355527" w:rsidRDefault="00355527" w:rsidP="00145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150" w:rsidRDefault="00BD6150" w:rsidP="00145B72">
    <w:pPr>
      <w:pStyle w:val="Header"/>
      <w:jc w:val="right"/>
      <w:rPr>
        <w:rFonts w:ascii="Tahoma" w:hAnsi="Tahoma" w:cs="Tahoma"/>
        <w:bCs/>
        <w:sz w:val="18"/>
        <w:szCs w:val="18"/>
      </w:rPr>
    </w:pPr>
    <w:r w:rsidRPr="00872E91">
      <w:rPr>
        <w:rFonts w:ascii="Tahoma" w:hAnsi="Tahoma" w:cs="Tahoma"/>
        <w:sz w:val="18"/>
        <w:szCs w:val="18"/>
      </w:rPr>
      <w:t xml:space="preserve">Page </w:t>
    </w:r>
    <w:r w:rsidRPr="00872E91">
      <w:rPr>
        <w:rFonts w:ascii="Tahoma" w:hAnsi="Tahoma" w:cs="Tahoma"/>
        <w:bCs/>
        <w:sz w:val="18"/>
        <w:szCs w:val="18"/>
      </w:rPr>
      <w:fldChar w:fldCharType="begin"/>
    </w:r>
    <w:r w:rsidRPr="00872E91">
      <w:rPr>
        <w:rFonts w:ascii="Tahoma" w:hAnsi="Tahoma" w:cs="Tahoma"/>
        <w:bCs/>
        <w:sz w:val="18"/>
        <w:szCs w:val="18"/>
      </w:rPr>
      <w:instrText xml:space="preserve"> PAGE  \* Arabic  \* MERGEFORMAT </w:instrText>
    </w:r>
    <w:r w:rsidRPr="00872E91">
      <w:rPr>
        <w:rFonts w:ascii="Tahoma" w:hAnsi="Tahoma" w:cs="Tahoma"/>
        <w:bCs/>
        <w:sz w:val="18"/>
        <w:szCs w:val="18"/>
      </w:rPr>
      <w:fldChar w:fldCharType="separate"/>
    </w:r>
    <w:r w:rsidR="002178E7">
      <w:rPr>
        <w:rFonts w:ascii="Tahoma" w:hAnsi="Tahoma" w:cs="Tahoma"/>
        <w:bCs/>
        <w:noProof/>
        <w:sz w:val="18"/>
        <w:szCs w:val="18"/>
      </w:rPr>
      <w:t>9</w:t>
    </w:r>
    <w:r w:rsidRPr="00872E91">
      <w:rPr>
        <w:rFonts w:ascii="Tahoma" w:hAnsi="Tahoma" w:cs="Tahoma"/>
        <w:bCs/>
        <w:sz w:val="18"/>
        <w:szCs w:val="18"/>
      </w:rPr>
      <w:fldChar w:fldCharType="end"/>
    </w:r>
    <w:r w:rsidRPr="00872E91">
      <w:rPr>
        <w:rFonts w:ascii="Tahoma" w:hAnsi="Tahoma" w:cs="Tahoma"/>
        <w:sz w:val="18"/>
        <w:szCs w:val="18"/>
      </w:rPr>
      <w:t xml:space="preserve"> of </w:t>
    </w:r>
    <w:fldSimple w:instr=" NUMPAGES  \* Arabic  \* MERGEFORMAT ">
      <w:r w:rsidR="002178E7" w:rsidRPr="002178E7">
        <w:rPr>
          <w:rFonts w:ascii="Tahoma" w:hAnsi="Tahoma" w:cs="Tahoma"/>
          <w:bCs/>
          <w:noProof/>
          <w:sz w:val="18"/>
          <w:szCs w:val="18"/>
        </w:rPr>
        <w:t>9</w:t>
      </w:r>
    </w:fldSimple>
  </w:p>
  <w:p w:rsidR="00BD6150" w:rsidRDefault="00BD6150" w:rsidP="00872E91">
    <w:pPr>
      <w:pStyle w:val="Header"/>
      <w:jc w:val="center"/>
      <w:rPr>
        <w:rFonts w:ascii="Tahoma" w:hAnsi="Tahoma" w:cs="Tahoma"/>
        <w:bCs/>
        <w:sz w:val="18"/>
        <w:szCs w:val="18"/>
      </w:rPr>
    </w:pPr>
    <w:r>
      <w:rPr>
        <w:rFonts w:ascii="Tahoma" w:hAnsi="Tahoma" w:cs="Tahoma"/>
        <w:bCs/>
        <w:sz w:val="18"/>
        <w:szCs w:val="18"/>
      </w:rPr>
      <w:t xml:space="preserve">North Carolina </w:t>
    </w:r>
  </w:p>
  <w:p w:rsidR="00BD6150" w:rsidRDefault="00BD6150" w:rsidP="00872E91">
    <w:pPr>
      <w:pStyle w:val="Header"/>
      <w:jc w:val="center"/>
      <w:rPr>
        <w:rFonts w:ascii="Tahoma" w:hAnsi="Tahoma" w:cs="Tahoma"/>
        <w:bCs/>
        <w:sz w:val="18"/>
        <w:szCs w:val="18"/>
      </w:rPr>
    </w:pPr>
    <w:r>
      <w:rPr>
        <w:rFonts w:ascii="Tahoma" w:hAnsi="Tahoma" w:cs="Tahoma"/>
        <w:bCs/>
        <w:sz w:val="18"/>
        <w:szCs w:val="18"/>
      </w:rPr>
      <w:t>201</w:t>
    </w:r>
    <w:r w:rsidR="00712558">
      <w:rPr>
        <w:rFonts w:ascii="Tahoma" w:hAnsi="Tahoma" w:cs="Tahoma"/>
        <w:bCs/>
        <w:sz w:val="18"/>
        <w:szCs w:val="18"/>
      </w:rPr>
      <w:t>6</w:t>
    </w:r>
    <w:r>
      <w:rPr>
        <w:rFonts w:ascii="Tahoma" w:hAnsi="Tahoma" w:cs="Tahoma"/>
        <w:bCs/>
        <w:sz w:val="18"/>
        <w:szCs w:val="18"/>
      </w:rPr>
      <w:t xml:space="preserve"> – 201</w:t>
    </w:r>
    <w:r w:rsidR="00712558">
      <w:rPr>
        <w:rFonts w:ascii="Tahoma" w:hAnsi="Tahoma" w:cs="Tahoma"/>
        <w:bCs/>
        <w:sz w:val="18"/>
        <w:szCs w:val="18"/>
      </w:rPr>
      <w:t>7</w:t>
    </w:r>
    <w:r>
      <w:rPr>
        <w:rFonts w:ascii="Tahoma" w:hAnsi="Tahoma" w:cs="Tahoma"/>
        <w:bCs/>
        <w:sz w:val="18"/>
        <w:szCs w:val="18"/>
      </w:rPr>
      <w:t xml:space="preserve"> Narrative Report </w:t>
    </w:r>
  </w:p>
  <w:p w:rsidR="00BD6150" w:rsidRPr="00872E91" w:rsidRDefault="00BD6150" w:rsidP="00872E91">
    <w:pPr>
      <w:pStyle w:val="Header"/>
      <w:rPr>
        <w:rFonts w:ascii="Tahoma" w:hAnsi="Tahoma" w:cs="Tahoma"/>
        <w:sz w:val="18"/>
        <w:szCs w:val="18"/>
        <w:u w:val="single"/>
      </w:rPr>
    </w:pPr>
    <w:r>
      <w:rPr>
        <w:rFonts w:ascii="Tahoma" w:hAnsi="Tahoma" w:cs="Tahoma"/>
        <w:bCs/>
        <w:sz w:val="18"/>
        <w:szCs w:val="18"/>
        <w:u w:val="single"/>
      </w:rPr>
      <w:tab/>
    </w:r>
    <w:r>
      <w:rPr>
        <w:rFonts w:ascii="Tahoma" w:hAnsi="Tahoma" w:cs="Tahoma"/>
        <w:bCs/>
        <w:sz w:val="18"/>
        <w:szCs w:val="1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748"/>
    <w:multiLevelType w:val="hybridMultilevel"/>
    <w:tmpl w:val="711CAE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A2CDC"/>
    <w:multiLevelType w:val="hybridMultilevel"/>
    <w:tmpl w:val="41142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3932"/>
    <w:multiLevelType w:val="hybridMultilevel"/>
    <w:tmpl w:val="E486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18D"/>
    <w:multiLevelType w:val="hybridMultilevel"/>
    <w:tmpl w:val="06D2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6E60"/>
    <w:multiLevelType w:val="hybridMultilevel"/>
    <w:tmpl w:val="3642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E390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801129F"/>
    <w:multiLevelType w:val="hybridMultilevel"/>
    <w:tmpl w:val="0A1E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42705"/>
    <w:multiLevelType w:val="hybridMultilevel"/>
    <w:tmpl w:val="5E36C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9B27ED"/>
    <w:multiLevelType w:val="hybridMultilevel"/>
    <w:tmpl w:val="434C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06C19"/>
    <w:multiLevelType w:val="hybridMultilevel"/>
    <w:tmpl w:val="C87232A2"/>
    <w:lvl w:ilvl="0" w:tplc="745EDF52">
      <w:start w:val="1"/>
      <w:numFmt w:val="decimal"/>
      <w:lvlText w:val="%1."/>
      <w:lvlJc w:val="left"/>
      <w:pPr>
        <w:ind w:left="29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0353C"/>
    <w:multiLevelType w:val="hybridMultilevel"/>
    <w:tmpl w:val="94E0C2D8"/>
    <w:lvl w:ilvl="0" w:tplc="7FC07F48">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1" w15:restartNumberingAfterBreak="0">
    <w:nsid w:val="32DB2839"/>
    <w:multiLevelType w:val="hybridMultilevel"/>
    <w:tmpl w:val="95543488"/>
    <w:lvl w:ilvl="0" w:tplc="C0B8DB2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2B4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706064">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C08CE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DC12A2">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B2EBAE">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C809F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A8250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5E91B2">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C34A68"/>
    <w:multiLevelType w:val="hybridMultilevel"/>
    <w:tmpl w:val="9828A06A"/>
    <w:lvl w:ilvl="0" w:tplc="6EDAFD50">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4142B9"/>
    <w:multiLevelType w:val="hybridMultilevel"/>
    <w:tmpl w:val="E90C32C2"/>
    <w:lvl w:ilvl="0" w:tplc="4F863EAE">
      <w:start w:val="1"/>
      <w:numFmt w:val="decimal"/>
      <w:lvlText w:val="%1."/>
      <w:lvlJc w:val="left"/>
      <w:pPr>
        <w:ind w:left="355" w:hanging="360"/>
      </w:pPr>
      <w:rPr>
        <w:rFonts w:asciiTheme="majorHAnsi" w:hAnsiTheme="majorHAnsi" w:cstheme="majorBidi"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4" w15:restartNumberingAfterBreak="0">
    <w:nsid w:val="40717BA2"/>
    <w:multiLevelType w:val="hybridMultilevel"/>
    <w:tmpl w:val="AB76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07B94"/>
    <w:multiLevelType w:val="hybridMultilevel"/>
    <w:tmpl w:val="A7E4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E67EC"/>
    <w:multiLevelType w:val="hybridMultilevel"/>
    <w:tmpl w:val="4FDCF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80A408C"/>
    <w:multiLevelType w:val="hybridMultilevel"/>
    <w:tmpl w:val="037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82DED"/>
    <w:multiLevelType w:val="hybridMultilevel"/>
    <w:tmpl w:val="2C50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504A3"/>
    <w:multiLevelType w:val="hybridMultilevel"/>
    <w:tmpl w:val="38CE95BA"/>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ED85B11"/>
    <w:multiLevelType w:val="hybridMultilevel"/>
    <w:tmpl w:val="154E9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001A67"/>
    <w:multiLevelType w:val="hybridMultilevel"/>
    <w:tmpl w:val="2A58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D2634"/>
    <w:multiLevelType w:val="hybridMultilevel"/>
    <w:tmpl w:val="E586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B6124"/>
    <w:multiLevelType w:val="hybridMultilevel"/>
    <w:tmpl w:val="E11C7C60"/>
    <w:lvl w:ilvl="0" w:tplc="124E7C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22B8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1ACF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C36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A297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A27E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3A0A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2496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C436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8906BF2"/>
    <w:multiLevelType w:val="hybridMultilevel"/>
    <w:tmpl w:val="9176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11646"/>
    <w:multiLevelType w:val="multilevel"/>
    <w:tmpl w:val="835E2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AD67F3"/>
    <w:multiLevelType w:val="hybridMultilevel"/>
    <w:tmpl w:val="2BD6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22"/>
  </w:num>
  <w:num w:numId="5">
    <w:abstractNumId w:val="24"/>
  </w:num>
  <w:num w:numId="6">
    <w:abstractNumId w:val="17"/>
  </w:num>
  <w:num w:numId="7">
    <w:abstractNumId w:val="26"/>
  </w:num>
  <w:num w:numId="8">
    <w:abstractNumId w:val="6"/>
  </w:num>
  <w:num w:numId="9">
    <w:abstractNumId w:val="4"/>
  </w:num>
  <w:num w:numId="10">
    <w:abstractNumId w:val="21"/>
  </w:num>
  <w:num w:numId="11">
    <w:abstractNumId w:val="1"/>
  </w:num>
  <w:num w:numId="12">
    <w:abstractNumId w:val="9"/>
  </w:num>
  <w:num w:numId="13">
    <w:abstractNumId w:val="11"/>
  </w:num>
  <w:num w:numId="14">
    <w:abstractNumId w:val="13"/>
  </w:num>
  <w:num w:numId="15">
    <w:abstractNumId w:val="23"/>
  </w:num>
  <w:num w:numId="16">
    <w:abstractNumId w:val="10"/>
  </w:num>
  <w:num w:numId="17">
    <w:abstractNumId w:val="12"/>
  </w:num>
  <w:num w:numId="18">
    <w:abstractNumId w:val="16"/>
  </w:num>
  <w:num w:numId="19">
    <w:abstractNumId w:val="7"/>
  </w:num>
  <w:num w:numId="20">
    <w:abstractNumId w:val="18"/>
  </w:num>
  <w:num w:numId="21">
    <w:abstractNumId w:val="8"/>
  </w:num>
  <w:num w:numId="22">
    <w:abstractNumId w:val="20"/>
  </w:num>
  <w:num w:numId="23">
    <w:abstractNumId w:val="14"/>
  </w:num>
  <w:num w:numId="24">
    <w:abstractNumId w:val="0"/>
  </w:num>
  <w:num w:numId="25">
    <w:abstractNumId w:val="25"/>
  </w:num>
  <w:num w:numId="26">
    <w:abstractNumId w:val="3"/>
  </w:num>
  <w:num w:numId="2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C55"/>
    <w:rsid w:val="00011D98"/>
    <w:rsid w:val="000127EC"/>
    <w:rsid w:val="00014068"/>
    <w:rsid w:val="00031022"/>
    <w:rsid w:val="00054773"/>
    <w:rsid w:val="00061DD7"/>
    <w:rsid w:val="00064F3F"/>
    <w:rsid w:val="00067DFC"/>
    <w:rsid w:val="0007063F"/>
    <w:rsid w:val="00072789"/>
    <w:rsid w:val="00074730"/>
    <w:rsid w:val="000769B7"/>
    <w:rsid w:val="00085D8F"/>
    <w:rsid w:val="00087537"/>
    <w:rsid w:val="000A2921"/>
    <w:rsid w:val="000A32E0"/>
    <w:rsid w:val="000B28F1"/>
    <w:rsid w:val="000B2A27"/>
    <w:rsid w:val="000B582F"/>
    <w:rsid w:val="000B68F0"/>
    <w:rsid w:val="000C55AD"/>
    <w:rsid w:val="000C7CEE"/>
    <w:rsid w:val="000D22F1"/>
    <w:rsid w:val="000D78A1"/>
    <w:rsid w:val="000D7C3A"/>
    <w:rsid w:val="000E70F6"/>
    <w:rsid w:val="000F5A92"/>
    <w:rsid w:val="001068AB"/>
    <w:rsid w:val="00107269"/>
    <w:rsid w:val="001200C7"/>
    <w:rsid w:val="00125311"/>
    <w:rsid w:val="0012541F"/>
    <w:rsid w:val="00127055"/>
    <w:rsid w:val="00142045"/>
    <w:rsid w:val="00145B72"/>
    <w:rsid w:val="001578DA"/>
    <w:rsid w:val="001626A9"/>
    <w:rsid w:val="0016330B"/>
    <w:rsid w:val="001649E6"/>
    <w:rsid w:val="00171ED8"/>
    <w:rsid w:val="001737FD"/>
    <w:rsid w:val="00176C15"/>
    <w:rsid w:val="00180079"/>
    <w:rsid w:val="001839A4"/>
    <w:rsid w:val="001A57B7"/>
    <w:rsid w:val="001A5C55"/>
    <w:rsid w:val="001C0A34"/>
    <w:rsid w:val="001C3E32"/>
    <w:rsid w:val="001C4207"/>
    <w:rsid w:val="001C5132"/>
    <w:rsid w:val="001D14C1"/>
    <w:rsid w:val="001D56FE"/>
    <w:rsid w:val="001F3671"/>
    <w:rsid w:val="001F4F08"/>
    <w:rsid w:val="001F5F4A"/>
    <w:rsid w:val="00207807"/>
    <w:rsid w:val="002103AC"/>
    <w:rsid w:val="002178E7"/>
    <w:rsid w:val="002205A5"/>
    <w:rsid w:val="00246EBA"/>
    <w:rsid w:val="00263BFA"/>
    <w:rsid w:val="002774B8"/>
    <w:rsid w:val="002838ED"/>
    <w:rsid w:val="00283D03"/>
    <w:rsid w:val="002978F1"/>
    <w:rsid w:val="002A536B"/>
    <w:rsid w:val="002A6354"/>
    <w:rsid w:val="002C3D16"/>
    <w:rsid w:val="002E0D9F"/>
    <w:rsid w:val="002E3C34"/>
    <w:rsid w:val="002E3FE6"/>
    <w:rsid w:val="00304B36"/>
    <w:rsid w:val="003052C7"/>
    <w:rsid w:val="00305FF8"/>
    <w:rsid w:val="003138A8"/>
    <w:rsid w:val="00325070"/>
    <w:rsid w:val="00327521"/>
    <w:rsid w:val="00330E25"/>
    <w:rsid w:val="003310A5"/>
    <w:rsid w:val="003454E2"/>
    <w:rsid w:val="00347280"/>
    <w:rsid w:val="003545A3"/>
    <w:rsid w:val="00355527"/>
    <w:rsid w:val="00364209"/>
    <w:rsid w:val="00365681"/>
    <w:rsid w:val="00372552"/>
    <w:rsid w:val="00376BF8"/>
    <w:rsid w:val="00377EB3"/>
    <w:rsid w:val="00385B02"/>
    <w:rsid w:val="003D6068"/>
    <w:rsid w:val="003E05C0"/>
    <w:rsid w:val="003E4CBD"/>
    <w:rsid w:val="00403E2D"/>
    <w:rsid w:val="00414F88"/>
    <w:rsid w:val="004166E7"/>
    <w:rsid w:val="00423D6A"/>
    <w:rsid w:val="00426040"/>
    <w:rsid w:val="004307B1"/>
    <w:rsid w:val="00431F78"/>
    <w:rsid w:val="00436377"/>
    <w:rsid w:val="004414CC"/>
    <w:rsid w:val="00455716"/>
    <w:rsid w:val="00460A1B"/>
    <w:rsid w:val="00476FEA"/>
    <w:rsid w:val="0047714D"/>
    <w:rsid w:val="0048285E"/>
    <w:rsid w:val="00493CED"/>
    <w:rsid w:val="004B0F83"/>
    <w:rsid w:val="004B3911"/>
    <w:rsid w:val="004C5F93"/>
    <w:rsid w:val="004D38BA"/>
    <w:rsid w:val="004D5A44"/>
    <w:rsid w:val="004E68F2"/>
    <w:rsid w:val="004F14DB"/>
    <w:rsid w:val="004F5616"/>
    <w:rsid w:val="0050024B"/>
    <w:rsid w:val="00506C90"/>
    <w:rsid w:val="00513CD4"/>
    <w:rsid w:val="00525013"/>
    <w:rsid w:val="00525035"/>
    <w:rsid w:val="005317BC"/>
    <w:rsid w:val="00542A5F"/>
    <w:rsid w:val="0054611A"/>
    <w:rsid w:val="00547749"/>
    <w:rsid w:val="005548EC"/>
    <w:rsid w:val="005609B8"/>
    <w:rsid w:val="00562AA9"/>
    <w:rsid w:val="00564281"/>
    <w:rsid w:val="00564669"/>
    <w:rsid w:val="00570330"/>
    <w:rsid w:val="00571AF7"/>
    <w:rsid w:val="005A1E24"/>
    <w:rsid w:val="005A404E"/>
    <w:rsid w:val="005B0447"/>
    <w:rsid w:val="005C33AF"/>
    <w:rsid w:val="005C44EE"/>
    <w:rsid w:val="005C7D1D"/>
    <w:rsid w:val="005E300B"/>
    <w:rsid w:val="005E349C"/>
    <w:rsid w:val="005E6E7C"/>
    <w:rsid w:val="005F03C5"/>
    <w:rsid w:val="005F3F07"/>
    <w:rsid w:val="00602904"/>
    <w:rsid w:val="00603072"/>
    <w:rsid w:val="00604A2D"/>
    <w:rsid w:val="006068F5"/>
    <w:rsid w:val="00621CA7"/>
    <w:rsid w:val="00634536"/>
    <w:rsid w:val="00641E86"/>
    <w:rsid w:val="0067640C"/>
    <w:rsid w:val="006811AA"/>
    <w:rsid w:val="00681BAC"/>
    <w:rsid w:val="006A05B3"/>
    <w:rsid w:val="006B1A69"/>
    <w:rsid w:val="006B5620"/>
    <w:rsid w:val="006B756D"/>
    <w:rsid w:val="006C5C02"/>
    <w:rsid w:val="006E08BA"/>
    <w:rsid w:val="006E65CC"/>
    <w:rsid w:val="00700B12"/>
    <w:rsid w:val="007067E4"/>
    <w:rsid w:val="00712558"/>
    <w:rsid w:val="007151C7"/>
    <w:rsid w:val="00722E4A"/>
    <w:rsid w:val="00723BEE"/>
    <w:rsid w:val="0075209F"/>
    <w:rsid w:val="007522DF"/>
    <w:rsid w:val="0075387A"/>
    <w:rsid w:val="0075460D"/>
    <w:rsid w:val="007573F3"/>
    <w:rsid w:val="00761918"/>
    <w:rsid w:val="00762504"/>
    <w:rsid w:val="007656FE"/>
    <w:rsid w:val="00766930"/>
    <w:rsid w:val="00772276"/>
    <w:rsid w:val="0078341C"/>
    <w:rsid w:val="00787A64"/>
    <w:rsid w:val="00790A4E"/>
    <w:rsid w:val="0079169F"/>
    <w:rsid w:val="00791B30"/>
    <w:rsid w:val="007A64E0"/>
    <w:rsid w:val="007B416A"/>
    <w:rsid w:val="007B7B00"/>
    <w:rsid w:val="007C053E"/>
    <w:rsid w:val="007C22D1"/>
    <w:rsid w:val="007C26D0"/>
    <w:rsid w:val="007D1297"/>
    <w:rsid w:val="007E3FD4"/>
    <w:rsid w:val="007F69A9"/>
    <w:rsid w:val="00823EC9"/>
    <w:rsid w:val="00831259"/>
    <w:rsid w:val="00842081"/>
    <w:rsid w:val="00850D7D"/>
    <w:rsid w:val="00854ACD"/>
    <w:rsid w:val="0086036D"/>
    <w:rsid w:val="00872E91"/>
    <w:rsid w:val="00874688"/>
    <w:rsid w:val="00891C46"/>
    <w:rsid w:val="008B315B"/>
    <w:rsid w:val="008C1869"/>
    <w:rsid w:val="008C323C"/>
    <w:rsid w:val="008E5F2A"/>
    <w:rsid w:val="008E6867"/>
    <w:rsid w:val="008E729A"/>
    <w:rsid w:val="00905210"/>
    <w:rsid w:val="0092643C"/>
    <w:rsid w:val="009325FC"/>
    <w:rsid w:val="00935D8F"/>
    <w:rsid w:val="00944D83"/>
    <w:rsid w:val="00956369"/>
    <w:rsid w:val="00974E6C"/>
    <w:rsid w:val="009758B6"/>
    <w:rsid w:val="0099736D"/>
    <w:rsid w:val="009A6B7D"/>
    <w:rsid w:val="009A7435"/>
    <w:rsid w:val="009A7ABC"/>
    <w:rsid w:val="009B480F"/>
    <w:rsid w:val="009B5367"/>
    <w:rsid w:val="009C5D3A"/>
    <w:rsid w:val="009D5AB5"/>
    <w:rsid w:val="009D6CE5"/>
    <w:rsid w:val="009D6EFD"/>
    <w:rsid w:val="009E014F"/>
    <w:rsid w:val="00A019BF"/>
    <w:rsid w:val="00A07048"/>
    <w:rsid w:val="00A07D6B"/>
    <w:rsid w:val="00A16DDD"/>
    <w:rsid w:val="00A213ED"/>
    <w:rsid w:val="00A23450"/>
    <w:rsid w:val="00A237E8"/>
    <w:rsid w:val="00A27CA8"/>
    <w:rsid w:val="00A32281"/>
    <w:rsid w:val="00A43780"/>
    <w:rsid w:val="00A63D4C"/>
    <w:rsid w:val="00A6437E"/>
    <w:rsid w:val="00A7151D"/>
    <w:rsid w:val="00A755F8"/>
    <w:rsid w:val="00A767FB"/>
    <w:rsid w:val="00AA68E9"/>
    <w:rsid w:val="00AC21C2"/>
    <w:rsid w:val="00AD480B"/>
    <w:rsid w:val="00AD747C"/>
    <w:rsid w:val="00AE0B91"/>
    <w:rsid w:val="00B10B87"/>
    <w:rsid w:val="00B25039"/>
    <w:rsid w:val="00B27CF8"/>
    <w:rsid w:val="00B27D5F"/>
    <w:rsid w:val="00B35D55"/>
    <w:rsid w:val="00B36E6E"/>
    <w:rsid w:val="00B37919"/>
    <w:rsid w:val="00B50618"/>
    <w:rsid w:val="00B57AD8"/>
    <w:rsid w:val="00B678D1"/>
    <w:rsid w:val="00B83EE4"/>
    <w:rsid w:val="00BA40C9"/>
    <w:rsid w:val="00BA4A60"/>
    <w:rsid w:val="00BB2C89"/>
    <w:rsid w:val="00BC449C"/>
    <w:rsid w:val="00BD6150"/>
    <w:rsid w:val="00BE18C8"/>
    <w:rsid w:val="00BE2E74"/>
    <w:rsid w:val="00BF4FAB"/>
    <w:rsid w:val="00C064A8"/>
    <w:rsid w:val="00C07FE6"/>
    <w:rsid w:val="00C2539C"/>
    <w:rsid w:val="00C27456"/>
    <w:rsid w:val="00C33712"/>
    <w:rsid w:val="00C40AE7"/>
    <w:rsid w:val="00C418F6"/>
    <w:rsid w:val="00C43A24"/>
    <w:rsid w:val="00C44FA9"/>
    <w:rsid w:val="00C5200A"/>
    <w:rsid w:val="00C60203"/>
    <w:rsid w:val="00C64D96"/>
    <w:rsid w:val="00C7074D"/>
    <w:rsid w:val="00C7398E"/>
    <w:rsid w:val="00C804D8"/>
    <w:rsid w:val="00C81B8E"/>
    <w:rsid w:val="00CA0A5E"/>
    <w:rsid w:val="00CB59E6"/>
    <w:rsid w:val="00CB5D0E"/>
    <w:rsid w:val="00CC1C8A"/>
    <w:rsid w:val="00CC2D1F"/>
    <w:rsid w:val="00CC5D09"/>
    <w:rsid w:val="00CC634D"/>
    <w:rsid w:val="00CC6829"/>
    <w:rsid w:val="00CC79A3"/>
    <w:rsid w:val="00CD1234"/>
    <w:rsid w:val="00CD4100"/>
    <w:rsid w:val="00CF7E69"/>
    <w:rsid w:val="00D01745"/>
    <w:rsid w:val="00D3772B"/>
    <w:rsid w:val="00D40424"/>
    <w:rsid w:val="00D4225B"/>
    <w:rsid w:val="00D445FB"/>
    <w:rsid w:val="00D513C5"/>
    <w:rsid w:val="00D70D5A"/>
    <w:rsid w:val="00D73122"/>
    <w:rsid w:val="00D73220"/>
    <w:rsid w:val="00DA1397"/>
    <w:rsid w:val="00DA4731"/>
    <w:rsid w:val="00DB6985"/>
    <w:rsid w:val="00DC0A71"/>
    <w:rsid w:val="00DC1846"/>
    <w:rsid w:val="00DE5BAD"/>
    <w:rsid w:val="00DF70BB"/>
    <w:rsid w:val="00E000F2"/>
    <w:rsid w:val="00E07D71"/>
    <w:rsid w:val="00E10E6A"/>
    <w:rsid w:val="00E165DC"/>
    <w:rsid w:val="00E33E5C"/>
    <w:rsid w:val="00E53362"/>
    <w:rsid w:val="00E5338D"/>
    <w:rsid w:val="00E7536B"/>
    <w:rsid w:val="00E76B92"/>
    <w:rsid w:val="00E83064"/>
    <w:rsid w:val="00E84E6B"/>
    <w:rsid w:val="00E87C05"/>
    <w:rsid w:val="00E90685"/>
    <w:rsid w:val="00E9380C"/>
    <w:rsid w:val="00EA524E"/>
    <w:rsid w:val="00EB663B"/>
    <w:rsid w:val="00EC0DD6"/>
    <w:rsid w:val="00EC20C0"/>
    <w:rsid w:val="00EC4BAA"/>
    <w:rsid w:val="00EC60C5"/>
    <w:rsid w:val="00ED626A"/>
    <w:rsid w:val="00ED7BF6"/>
    <w:rsid w:val="00EF684D"/>
    <w:rsid w:val="00F028BB"/>
    <w:rsid w:val="00F150B2"/>
    <w:rsid w:val="00F339E4"/>
    <w:rsid w:val="00F44A43"/>
    <w:rsid w:val="00F45FB1"/>
    <w:rsid w:val="00F4673F"/>
    <w:rsid w:val="00F46BCF"/>
    <w:rsid w:val="00F53007"/>
    <w:rsid w:val="00F6521B"/>
    <w:rsid w:val="00F66F3E"/>
    <w:rsid w:val="00F6776A"/>
    <w:rsid w:val="00F67E34"/>
    <w:rsid w:val="00F71851"/>
    <w:rsid w:val="00F852AF"/>
    <w:rsid w:val="00F91387"/>
    <w:rsid w:val="00F93411"/>
    <w:rsid w:val="00FA0997"/>
    <w:rsid w:val="00FC042D"/>
    <w:rsid w:val="00FC1397"/>
    <w:rsid w:val="00FC63B1"/>
    <w:rsid w:val="00FD26F9"/>
    <w:rsid w:val="00FD46CA"/>
    <w:rsid w:val="00FE7303"/>
    <w:rsid w:val="00FF4BD6"/>
    <w:rsid w:val="00FF59F4"/>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96436"/>
  <w15:docId w15:val="{D98C326C-85C7-4606-9933-9C25F9F0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C5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831259"/>
    <w:pPr>
      <w:keepNext/>
      <w:outlineLvl w:val="1"/>
    </w:pPr>
    <w:rPr>
      <w:sz w:val="28"/>
    </w:rPr>
  </w:style>
  <w:style w:type="paragraph" w:styleId="Heading3">
    <w:name w:val="heading 3"/>
    <w:basedOn w:val="Normal"/>
    <w:next w:val="Normal"/>
    <w:link w:val="Heading3Char"/>
    <w:uiPriority w:val="9"/>
    <w:semiHidden/>
    <w:unhideWhenUsed/>
    <w:qFormat/>
    <w:rsid w:val="00014068"/>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nhideWhenUsed/>
    <w:qFormat/>
    <w:rsid w:val="0083125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uiPriority w:val="99"/>
    <w:rsid w:val="001A5C55"/>
    <w:pPr>
      <w:autoSpaceDE w:val="0"/>
      <w:autoSpaceDN w:val="0"/>
    </w:pPr>
    <w:rPr>
      <w:rFonts w:eastAsiaTheme="minorHAnsi"/>
      <w:szCs w:val="24"/>
    </w:rPr>
  </w:style>
  <w:style w:type="paragraph" w:styleId="ListParagraph">
    <w:name w:val="List Paragraph"/>
    <w:basedOn w:val="Normal"/>
    <w:uiPriority w:val="34"/>
    <w:qFormat/>
    <w:rsid w:val="001A5C55"/>
    <w:pPr>
      <w:ind w:left="720"/>
      <w:contextualSpacing/>
    </w:pPr>
    <w:rPr>
      <w:rFonts w:ascii="Calibri" w:eastAsiaTheme="minorHAnsi" w:hAnsi="Calibri"/>
      <w:sz w:val="22"/>
      <w:szCs w:val="22"/>
    </w:rPr>
  </w:style>
  <w:style w:type="table" w:styleId="TableGrid">
    <w:name w:val="Table Grid"/>
    <w:basedOn w:val="TableNormal"/>
    <w:uiPriority w:val="59"/>
    <w:rsid w:val="0003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50B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C0A71"/>
    <w:rPr>
      <w:color w:val="0563C1" w:themeColor="hyperlink"/>
      <w:u w:val="single"/>
    </w:rPr>
  </w:style>
  <w:style w:type="paragraph" w:styleId="NoSpacing">
    <w:name w:val="No Spacing"/>
    <w:uiPriority w:val="1"/>
    <w:qFormat/>
    <w:rsid w:val="00542A5F"/>
    <w:pPr>
      <w:spacing w:after="0" w:line="240" w:lineRule="auto"/>
    </w:pPr>
  </w:style>
  <w:style w:type="paragraph" w:styleId="BodyText">
    <w:name w:val="Body Text"/>
    <w:basedOn w:val="Normal"/>
    <w:link w:val="BodyTextChar"/>
    <w:semiHidden/>
    <w:rsid w:val="00542A5F"/>
    <w:pPr>
      <w:spacing w:after="240"/>
      <w:jc w:val="both"/>
    </w:pPr>
    <w:rPr>
      <w:sz w:val="20"/>
    </w:rPr>
  </w:style>
  <w:style w:type="character" w:customStyle="1" w:styleId="BodyTextChar">
    <w:name w:val="Body Text Char"/>
    <w:basedOn w:val="DefaultParagraphFont"/>
    <w:link w:val="BodyText"/>
    <w:semiHidden/>
    <w:rsid w:val="00542A5F"/>
    <w:rPr>
      <w:rFonts w:ascii="Times New Roman" w:eastAsia="Times New Roman" w:hAnsi="Times New Roman" w:cs="Times New Roman"/>
      <w:sz w:val="20"/>
      <w:szCs w:val="20"/>
    </w:rPr>
  </w:style>
  <w:style w:type="paragraph" w:customStyle="1" w:styleId="CM12">
    <w:name w:val="CM12"/>
    <w:basedOn w:val="Default"/>
    <w:next w:val="Default"/>
    <w:uiPriority w:val="99"/>
    <w:rsid w:val="00542A5F"/>
    <w:rPr>
      <w:rFonts w:ascii="Times New Roman" w:hAnsi="Times New Roman" w:cs="Times New Roman"/>
      <w:color w:val="auto"/>
    </w:rPr>
  </w:style>
  <w:style w:type="paragraph" w:customStyle="1" w:styleId="CM9">
    <w:name w:val="CM9"/>
    <w:basedOn w:val="Default"/>
    <w:next w:val="Default"/>
    <w:uiPriority w:val="99"/>
    <w:rsid w:val="00542A5F"/>
    <w:pPr>
      <w:spacing w:line="276" w:lineRule="atLeast"/>
    </w:pPr>
    <w:rPr>
      <w:rFonts w:ascii="Times New Roman" w:hAnsi="Times New Roman" w:cs="Times New Roman"/>
      <w:color w:val="auto"/>
    </w:rPr>
  </w:style>
  <w:style w:type="paragraph" w:styleId="Header">
    <w:name w:val="header"/>
    <w:basedOn w:val="Normal"/>
    <w:link w:val="HeaderChar"/>
    <w:uiPriority w:val="99"/>
    <w:unhideWhenUsed/>
    <w:rsid w:val="00145B72"/>
    <w:pPr>
      <w:tabs>
        <w:tab w:val="center" w:pos="4680"/>
        <w:tab w:val="right" w:pos="9360"/>
      </w:tabs>
    </w:pPr>
  </w:style>
  <w:style w:type="character" w:customStyle="1" w:styleId="HeaderChar">
    <w:name w:val="Header Char"/>
    <w:basedOn w:val="DefaultParagraphFont"/>
    <w:link w:val="Header"/>
    <w:uiPriority w:val="99"/>
    <w:rsid w:val="00145B7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45B72"/>
    <w:pPr>
      <w:tabs>
        <w:tab w:val="center" w:pos="4680"/>
        <w:tab w:val="right" w:pos="9360"/>
      </w:tabs>
    </w:pPr>
  </w:style>
  <w:style w:type="character" w:customStyle="1" w:styleId="FooterChar">
    <w:name w:val="Footer Char"/>
    <w:basedOn w:val="DefaultParagraphFont"/>
    <w:link w:val="Footer"/>
    <w:uiPriority w:val="99"/>
    <w:rsid w:val="00145B7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31259"/>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831259"/>
    <w:rPr>
      <w:rFonts w:ascii="Times New Roman" w:eastAsia="Times New Roman" w:hAnsi="Times New Roman" w:cs="Times New Roman"/>
      <w:b/>
      <w:bCs/>
      <w:sz w:val="24"/>
      <w:szCs w:val="20"/>
    </w:rPr>
  </w:style>
  <w:style w:type="paragraph" w:styleId="NormalWeb">
    <w:name w:val="Normal (Web)"/>
    <w:basedOn w:val="Normal"/>
    <w:uiPriority w:val="99"/>
    <w:unhideWhenUsed/>
    <w:rsid w:val="00F46BCF"/>
    <w:pPr>
      <w:spacing w:before="100" w:beforeAutospacing="1" w:after="100" w:afterAutospacing="1"/>
      <w:jc w:val="both"/>
    </w:pPr>
    <w:rPr>
      <w:szCs w:val="24"/>
    </w:rPr>
  </w:style>
  <w:style w:type="character" w:styleId="Strong">
    <w:name w:val="Strong"/>
    <w:basedOn w:val="DefaultParagraphFont"/>
    <w:uiPriority w:val="22"/>
    <w:qFormat/>
    <w:rsid w:val="000F5A92"/>
    <w:rPr>
      <w:b/>
      <w:bCs/>
    </w:rPr>
  </w:style>
  <w:style w:type="character" w:styleId="Emphasis">
    <w:name w:val="Emphasis"/>
    <w:basedOn w:val="DefaultParagraphFont"/>
    <w:uiPriority w:val="20"/>
    <w:qFormat/>
    <w:rsid w:val="000F5A92"/>
    <w:rPr>
      <w:i/>
      <w:iCs/>
    </w:rPr>
  </w:style>
  <w:style w:type="paragraph" w:styleId="BalloonText">
    <w:name w:val="Balloon Text"/>
    <w:basedOn w:val="Normal"/>
    <w:link w:val="BalloonTextChar"/>
    <w:uiPriority w:val="99"/>
    <w:semiHidden/>
    <w:unhideWhenUsed/>
    <w:rsid w:val="00455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71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014068"/>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722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9891">
      <w:bodyDiv w:val="1"/>
      <w:marLeft w:val="0"/>
      <w:marRight w:val="0"/>
      <w:marTop w:val="0"/>
      <w:marBottom w:val="0"/>
      <w:divBdr>
        <w:top w:val="none" w:sz="0" w:space="0" w:color="auto"/>
        <w:left w:val="none" w:sz="0" w:space="0" w:color="auto"/>
        <w:bottom w:val="none" w:sz="0" w:space="0" w:color="auto"/>
        <w:right w:val="none" w:sz="0" w:space="0" w:color="auto"/>
      </w:divBdr>
    </w:div>
    <w:div w:id="338121425">
      <w:bodyDiv w:val="1"/>
      <w:marLeft w:val="0"/>
      <w:marRight w:val="0"/>
      <w:marTop w:val="0"/>
      <w:marBottom w:val="0"/>
      <w:divBdr>
        <w:top w:val="none" w:sz="0" w:space="0" w:color="auto"/>
        <w:left w:val="none" w:sz="0" w:space="0" w:color="auto"/>
        <w:bottom w:val="none" w:sz="0" w:space="0" w:color="auto"/>
        <w:right w:val="none" w:sz="0" w:space="0" w:color="auto"/>
      </w:divBdr>
    </w:div>
    <w:div w:id="426117340">
      <w:bodyDiv w:val="1"/>
      <w:marLeft w:val="0"/>
      <w:marRight w:val="0"/>
      <w:marTop w:val="0"/>
      <w:marBottom w:val="0"/>
      <w:divBdr>
        <w:top w:val="none" w:sz="0" w:space="0" w:color="auto"/>
        <w:left w:val="none" w:sz="0" w:space="0" w:color="auto"/>
        <w:bottom w:val="none" w:sz="0" w:space="0" w:color="auto"/>
        <w:right w:val="none" w:sz="0" w:space="0" w:color="auto"/>
      </w:divBdr>
    </w:div>
    <w:div w:id="555549433">
      <w:bodyDiv w:val="1"/>
      <w:marLeft w:val="0"/>
      <w:marRight w:val="0"/>
      <w:marTop w:val="0"/>
      <w:marBottom w:val="0"/>
      <w:divBdr>
        <w:top w:val="none" w:sz="0" w:space="0" w:color="auto"/>
        <w:left w:val="none" w:sz="0" w:space="0" w:color="auto"/>
        <w:bottom w:val="none" w:sz="0" w:space="0" w:color="auto"/>
        <w:right w:val="none" w:sz="0" w:space="0" w:color="auto"/>
      </w:divBdr>
    </w:div>
    <w:div w:id="572088636">
      <w:bodyDiv w:val="1"/>
      <w:marLeft w:val="0"/>
      <w:marRight w:val="0"/>
      <w:marTop w:val="0"/>
      <w:marBottom w:val="0"/>
      <w:divBdr>
        <w:top w:val="none" w:sz="0" w:space="0" w:color="auto"/>
        <w:left w:val="none" w:sz="0" w:space="0" w:color="auto"/>
        <w:bottom w:val="none" w:sz="0" w:space="0" w:color="auto"/>
        <w:right w:val="none" w:sz="0" w:space="0" w:color="auto"/>
      </w:divBdr>
    </w:div>
    <w:div w:id="593519334">
      <w:bodyDiv w:val="1"/>
      <w:marLeft w:val="0"/>
      <w:marRight w:val="0"/>
      <w:marTop w:val="0"/>
      <w:marBottom w:val="0"/>
      <w:divBdr>
        <w:top w:val="none" w:sz="0" w:space="0" w:color="auto"/>
        <w:left w:val="none" w:sz="0" w:space="0" w:color="auto"/>
        <w:bottom w:val="none" w:sz="0" w:space="0" w:color="auto"/>
        <w:right w:val="none" w:sz="0" w:space="0" w:color="auto"/>
      </w:divBdr>
    </w:div>
    <w:div w:id="750662749">
      <w:bodyDiv w:val="1"/>
      <w:marLeft w:val="0"/>
      <w:marRight w:val="0"/>
      <w:marTop w:val="0"/>
      <w:marBottom w:val="0"/>
      <w:divBdr>
        <w:top w:val="none" w:sz="0" w:space="0" w:color="auto"/>
        <w:left w:val="none" w:sz="0" w:space="0" w:color="auto"/>
        <w:bottom w:val="none" w:sz="0" w:space="0" w:color="auto"/>
        <w:right w:val="none" w:sz="0" w:space="0" w:color="auto"/>
      </w:divBdr>
    </w:div>
    <w:div w:id="1283423075">
      <w:bodyDiv w:val="1"/>
      <w:marLeft w:val="0"/>
      <w:marRight w:val="0"/>
      <w:marTop w:val="0"/>
      <w:marBottom w:val="0"/>
      <w:divBdr>
        <w:top w:val="none" w:sz="0" w:space="0" w:color="auto"/>
        <w:left w:val="none" w:sz="0" w:space="0" w:color="auto"/>
        <w:bottom w:val="none" w:sz="0" w:space="0" w:color="auto"/>
        <w:right w:val="none" w:sz="0" w:space="0" w:color="auto"/>
      </w:divBdr>
    </w:div>
    <w:div w:id="1307540677">
      <w:bodyDiv w:val="1"/>
      <w:marLeft w:val="0"/>
      <w:marRight w:val="0"/>
      <w:marTop w:val="0"/>
      <w:marBottom w:val="0"/>
      <w:divBdr>
        <w:top w:val="none" w:sz="0" w:space="0" w:color="auto"/>
        <w:left w:val="none" w:sz="0" w:space="0" w:color="auto"/>
        <w:bottom w:val="none" w:sz="0" w:space="0" w:color="auto"/>
        <w:right w:val="none" w:sz="0" w:space="0" w:color="auto"/>
      </w:divBdr>
    </w:div>
    <w:div w:id="1685739214">
      <w:bodyDiv w:val="1"/>
      <w:marLeft w:val="0"/>
      <w:marRight w:val="0"/>
      <w:marTop w:val="0"/>
      <w:marBottom w:val="0"/>
      <w:divBdr>
        <w:top w:val="none" w:sz="0" w:space="0" w:color="auto"/>
        <w:left w:val="none" w:sz="0" w:space="0" w:color="auto"/>
        <w:bottom w:val="none" w:sz="0" w:space="0" w:color="auto"/>
        <w:right w:val="none" w:sz="0" w:space="0" w:color="auto"/>
      </w:divBdr>
    </w:div>
    <w:div w:id="1700662867">
      <w:bodyDiv w:val="1"/>
      <w:marLeft w:val="0"/>
      <w:marRight w:val="0"/>
      <w:marTop w:val="0"/>
      <w:marBottom w:val="0"/>
      <w:divBdr>
        <w:top w:val="none" w:sz="0" w:space="0" w:color="auto"/>
        <w:left w:val="none" w:sz="0" w:space="0" w:color="auto"/>
        <w:bottom w:val="none" w:sz="0" w:space="0" w:color="auto"/>
        <w:right w:val="none" w:sz="0" w:space="0" w:color="auto"/>
      </w:divBdr>
    </w:div>
    <w:div w:id="1792285439">
      <w:bodyDiv w:val="1"/>
      <w:marLeft w:val="0"/>
      <w:marRight w:val="0"/>
      <w:marTop w:val="0"/>
      <w:marBottom w:val="0"/>
      <w:divBdr>
        <w:top w:val="none" w:sz="0" w:space="0" w:color="auto"/>
        <w:left w:val="none" w:sz="0" w:space="0" w:color="auto"/>
        <w:bottom w:val="none" w:sz="0" w:space="0" w:color="auto"/>
        <w:right w:val="none" w:sz="0" w:space="0" w:color="auto"/>
      </w:divBdr>
    </w:div>
    <w:div w:id="1863081349">
      <w:bodyDiv w:val="1"/>
      <w:marLeft w:val="0"/>
      <w:marRight w:val="0"/>
      <w:marTop w:val="0"/>
      <w:marBottom w:val="0"/>
      <w:divBdr>
        <w:top w:val="none" w:sz="0" w:space="0" w:color="auto"/>
        <w:left w:val="none" w:sz="0" w:space="0" w:color="auto"/>
        <w:bottom w:val="none" w:sz="0" w:space="0" w:color="auto"/>
        <w:right w:val="none" w:sz="0" w:space="0" w:color="auto"/>
      </w:divBdr>
    </w:div>
    <w:div w:id="2025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andp.doc.state.nc.us/kimdocs/00035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85278-FBD5-4CAE-A0BD-235381BF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4777</Words>
  <Characters>27232</Characters>
  <Application>Microsoft Office Word</Application>
  <DocSecurity>0</DocSecurity>
  <Lines>226</Lines>
  <Paragraphs>63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t:lpstr>
      <vt:lpstr>        </vt:lpstr>
      <vt:lpstr>    Establishment or operation of a high quality professional development programs a</vt:lpstr>
      <vt:lpstr>        </vt:lpstr>
      <vt:lpstr>        </vt:lpstr>
    </vt:vector>
  </TitlesOfParts>
  <Company/>
  <LinksUpToDate>false</LinksUpToDate>
  <CharactersWithSpaces>31946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Atkinson</dc:creator>
  <cp:lastModifiedBy>Gilda Rubio-Festa</cp:lastModifiedBy>
  <cp:revision>2</cp:revision>
  <cp:lastPrinted>2017-12-19T22:20:00Z</cp:lastPrinted>
  <dcterms:created xsi:type="dcterms:W3CDTF">2017-12-20T14:01:00Z</dcterms:created>
  <dcterms:modified xsi:type="dcterms:W3CDTF">2017-12-20T14:01:00Z</dcterms:modified>
</cp:coreProperties>
</file>