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DD5A4" w14:textId="77777777" w:rsidR="00BA4342" w:rsidRPr="004C3645" w:rsidRDefault="00BA4342" w:rsidP="00BA4342">
      <w:pPr>
        <w:pStyle w:val="Heading2"/>
        <w:rPr>
          <w:rFonts w:eastAsia="Times New Roman"/>
          <w:sz w:val="28"/>
          <w:szCs w:val="28"/>
        </w:rPr>
      </w:pPr>
      <w:r w:rsidRPr="004C3645">
        <w:rPr>
          <w:rFonts w:eastAsia="Times New Roman"/>
          <w:sz w:val="28"/>
          <w:szCs w:val="28"/>
        </w:rPr>
        <w:t>Section 1: State Leadership Funds</w:t>
      </w:r>
    </w:p>
    <w:p w14:paraId="3169BEAF" w14:textId="77777777" w:rsidR="00BA4342" w:rsidRPr="00F10E39" w:rsidRDefault="00BA4342" w:rsidP="00BA4342">
      <w:pPr>
        <w:pStyle w:val="Heading3"/>
        <w:rPr>
          <w:b w:val="0"/>
          <w:i/>
          <w:color w:val="auto"/>
          <w:sz w:val="22"/>
          <w:szCs w:val="22"/>
        </w:rPr>
      </w:pPr>
      <w:r w:rsidRPr="00F10E39">
        <w:rPr>
          <w:b w:val="0"/>
          <w:i/>
          <w:color w:val="auto"/>
          <w:sz w:val="22"/>
          <w:szCs w:val="22"/>
        </w:rPr>
        <w:t>(a) Describe how the State has used funds made available under section 223 (State Leadership activities) for each the following required activities:</w:t>
      </w:r>
    </w:p>
    <w:p w14:paraId="40C50BB4" w14:textId="3D767917" w:rsidR="00BA4342" w:rsidRPr="00F10E39" w:rsidRDefault="00BA4342" w:rsidP="004C3645">
      <w:pPr>
        <w:pStyle w:val="BodyText"/>
        <w:numPr>
          <w:ilvl w:val="0"/>
          <w:numId w:val="31"/>
        </w:numPr>
        <w:tabs>
          <w:tab w:val="left" w:pos="1180"/>
        </w:tabs>
        <w:spacing w:line="238" w:lineRule="auto"/>
        <w:ind w:right="663"/>
        <w:rPr>
          <w:rFonts w:asciiTheme="minorHAnsi" w:hAnsiTheme="minorHAnsi"/>
          <w:i/>
          <w:sz w:val="22"/>
          <w:szCs w:val="22"/>
        </w:rPr>
      </w:pPr>
      <w:r w:rsidRPr="00F10E39">
        <w:rPr>
          <w:rFonts w:asciiTheme="minorHAnsi" w:hAnsiTheme="minorHAnsi"/>
          <w:i/>
          <w:spacing w:val="-1"/>
          <w:sz w:val="22"/>
          <w:szCs w:val="22"/>
        </w:rPr>
        <w:t>Alignment</w:t>
      </w:r>
      <w:r w:rsidRPr="00F10E39">
        <w:rPr>
          <w:rFonts w:asciiTheme="minorHAnsi" w:hAnsiTheme="minorHAnsi"/>
          <w:i/>
          <w:spacing w:val="-4"/>
          <w:sz w:val="22"/>
          <w:szCs w:val="22"/>
        </w:rPr>
        <w:t xml:space="preserve"> </w:t>
      </w:r>
      <w:r w:rsidRPr="00F10E39">
        <w:rPr>
          <w:rFonts w:asciiTheme="minorHAnsi" w:hAnsiTheme="minorHAnsi"/>
          <w:i/>
          <w:sz w:val="22"/>
          <w:szCs w:val="22"/>
        </w:rPr>
        <w:t>of</w:t>
      </w:r>
      <w:r w:rsidRPr="00F10E39">
        <w:rPr>
          <w:rFonts w:asciiTheme="minorHAnsi" w:hAnsiTheme="minorHAnsi"/>
          <w:i/>
          <w:spacing w:val="-5"/>
          <w:sz w:val="22"/>
          <w:szCs w:val="22"/>
        </w:rPr>
        <w:t xml:space="preserve"> </w:t>
      </w:r>
      <w:r w:rsidRPr="00F10E39">
        <w:rPr>
          <w:rFonts w:asciiTheme="minorHAnsi" w:hAnsiTheme="minorHAnsi"/>
          <w:i/>
          <w:spacing w:val="-1"/>
          <w:sz w:val="22"/>
          <w:szCs w:val="22"/>
        </w:rPr>
        <w:t>adult</w:t>
      </w:r>
      <w:r w:rsidRPr="00F10E39">
        <w:rPr>
          <w:rFonts w:asciiTheme="minorHAnsi" w:hAnsiTheme="minorHAnsi"/>
          <w:i/>
          <w:spacing w:val="-4"/>
          <w:sz w:val="22"/>
          <w:szCs w:val="22"/>
        </w:rPr>
        <w:t xml:space="preserve"> </w:t>
      </w:r>
      <w:r w:rsidRPr="00F10E39">
        <w:rPr>
          <w:rFonts w:asciiTheme="minorHAnsi" w:hAnsiTheme="minorHAnsi"/>
          <w:i/>
          <w:sz w:val="22"/>
          <w:szCs w:val="22"/>
        </w:rPr>
        <w:t>education</w:t>
      </w:r>
      <w:r w:rsidRPr="00F10E39">
        <w:rPr>
          <w:rFonts w:asciiTheme="minorHAnsi" w:hAnsiTheme="minorHAnsi"/>
          <w:i/>
          <w:spacing w:val="-4"/>
          <w:sz w:val="22"/>
          <w:szCs w:val="22"/>
        </w:rPr>
        <w:t xml:space="preserve"> </w:t>
      </w:r>
      <w:r w:rsidRPr="00F10E39">
        <w:rPr>
          <w:rFonts w:asciiTheme="minorHAnsi" w:hAnsiTheme="minorHAnsi"/>
          <w:i/>
          <w:spacing w:val="-1"/>
          <w:sz w:val="22"/>
          <w:szCs w:val="22"/>
        </w:rPr>
        <w:t>and</w:t>
      </w:r>
      <w:r w:rsidRPr="00F10E39">
        <w:rPr>
          <w:rFonts w:asciiTheme="minorHAnsi" w:hAnsiTheme="minorHAnsi"/>
          <w:i/>
          <w:spacing w:val="-4"/>
          <w:sz w:val="22"/>
          <w:szCs w:val="22"/>
        </w:rPr>
        <w:t xml:space="preserve"> </w:t>
      </w:r>
      <w:r w:rsidRPr="00F10E39">
        <w:rPr>
          <w:rFonts w:asciiTheme="minorHAnsi" w:hAnsiTheme="minorHAnsi"/>
          <w:i/>
          <w:sz w:val="22"/>
          <w:szCs w:val="22"/>
        </w:rPr>
        <w:t>literacy</w:t>
      </w:r>
      <w:r w:rsidRPr="00F10E39">
        <w:rPr>
          <w:rFonts w:asciiTheme="minorHAnsi" w:hAnsiTheme="minorHAnsi"/>
          <w:i/>
          <w:spacing w:val="-9"/>
          <w:sz w:val="22"/>
          <w:szCs w:val="22"/>
        </w:rPr>
        <w:t xml:space="preserve"> </w:t>
      </w:r>
      <w:r w:rsidRPr="00F10E39">
        <w:rPr>
          <w:rFonts w:asciiTheme="minorHAnsi" w:hAnsiTheme="minorHAnsi"/>
          <w:i/>
          <w:spacing w:val="-1"/>
          <w:sz w:val="22"/>
          <w:szCs w:val="22"/>
        </w:rPr>
        <w:t>activities</w:t>
      </w:r>
      <w:r w:rsidRPr="00F10E39">
        <w:rPr>
          <w:rFonts w:asciiTheme="minorHAnsi" w:hAnsiTheme="minorHAnsi"/>
          <w:i/>
          <w:spacing w:val="-4"/>
          <w:sz w:val="22"/>
          <w:szCs w:val="22"/>
        </w:rPr>
        <w:t xml:space="preserve"> </w:t>
      </w:r>
      <w:r w:rsidRPr="00F10E39">
        <w:rPr>
          <w:rFonts w:asciiTheme="minorHAnsi" w:hAnsiTheme="minorHAnsi"/>
          <w:i/>
          <w:spacing w:val="-1"/>
          <w:sz w:val="22"/>
          <w:szCs w:val="22"/>
        </w:rPr>
        <w:t>with</w:t>
      </w:r>
      <w:r w:rsidRPr="00F10E39">
        <w:rPr>
          <w:rFonts w:asciiTheme="minorHAnsi" w:hAnsiTheme="minorHAnsi"/>
          <w:i/>
          <w:spacing w:val="-4"/>
          <w:sz w:val="22"/>
          <w:szCs w:val="22"/>
        </w:rPr>
        <w:t xml:space="preserve"> </w:t>
      </w:r>
      <w:r w:rsidRPr="00F10E39">
        <w:rPr>
          <w:rFonts w:asciiTheme="minorHAnsi" w:hAnsiTheme="minorHAnsi"/>
          <w:i/>
          <w:spacing w:val="-1"/>
          <w:sz w:val="22"/>
          <w:szCs w:val="22"/>
        </w:rPr>
        <w:t>other</w:t>
      </w:r>
      <w:r w:rsidRPr="00F10E39">
        <w:rPr>
          <w:rFonts w:asciiTheme="minorHAnsi" w:hAnsiTheme="minorHAnsi"/>
          <w:i/>
          <w:spacing w:val="-5"/>
          <w:sz w:val="22"/>
          <w:szCs w:val="22"/>
        </w:rPr>
        <w:t xml:space="preserve"> </w:t>
      </w:r>
      <w:r w:rsidRPr="00F10E39">
        <w:rPr>
          <w:rFonts w:asciiTheme="minorHAnsi" w:hAnsiTheme="minorHAnsi"/>
          <w:i/>
          <w:spacing w:val="-1"/>
          <w:sz w:val="22"/>
          <w:szCs w:val="22"/>
        </w:rPr>
        <w:t>one-stop</w:t>
      </w:r>
      <w:r w:rsidRPr="00F10E39">
        <w:rPr>
          <w:rFonts w:asciiTheme="minorHAnsi" w:hAnsiTheme="minorHAnsi"/>
          <w:i/>
          <w:spacing w:val="-4"/>
          <w:sz w:val="22"/>
          <w:szCs w:val="22"/>
        </w:rPr>
        <w:t xml:space="preserve"> </w:t>
      </w:r>
      <w:r w:rsidRPr="00F10E39">
        <w:rPr>
          <w:rFonts w:asciiTheme="minorHAnsi" w:hAnsiTheme="minorHAnsi"/>
          <w:i/>
          <w:spacing w:val="-1"/>
          <w:sz w:val="22"/>
          <w:szCs w:val="22"/>
        </w:rPr>
        <w:t>required</w:t>
      </w:r>
      <w:r w:rsidRPr="00F10E39">
        <w:rPr>
          <w:rFonts w:asciiTheme="minorHAnsi" w:hAnsiTheme="minorHAnsi"/>
          <w:i/>
          <w:spacing w:val="79"/>
          <w:sz w:val="22"/>
          <w:szCs w:val="22"/>
        </w:rPr>
        <w:t xml:space="preserve"> </w:t>
      </w:r>
      <w:r w:rsidRPr="00F10E39">
        <w:rPr>
          <w:rFonts w:asciiTheme="minorHAnsi" w:hAnsiTheme="minorHAnsi"/>
          <w:i/>
          <w:spacing w:val="-1"/>
          <w:sz w:val="22"/>
          <w:szCs w:val="22"/>
        </w:rPr>
        <w:t>partners</w:t>
      </w:r>
      <w:r w:rsidRPr="00F10E39">
        <w:rPr>
          <w:rFonts w:asciiTheme="minorHAnsi" w:hAnsiTheme="minorHAnsi"/>
          <w:i/>
          <w:spacing w:val="-4"/>
          <w:sz w:val="22"/>
          <w:szCs w:val="22"/>
        </w:rPr>
        <w:t xml:space="preserve"> </w:t>
      </w:r>
      <w:r w:rsidRPr="00F10E39">
        <w:rPr>
          <w:rFonts w:asciiTheme="minorHAnsi" w:hAnsiTheme="minorHAnsi"/>
          <w:i/>
          <w:sz w:val="22"/>
          <w:szCs w:val="22"/>
        </w:rPr>
        <w:t>to</w:t>
      </w:r>
      <w:r w:rsidRPr="00F10E39">
        <w:rPr>
          <w:rFonts w:asciiTheme="minorHAnsi" w:hAnsiTheme="minorHAnsi"/>
          <w:i/>
          <w:spacing w:val="-4"/>
          <w:sz w:val="22"/>
          <w:szCs w:val="22"/>
        </w:rPr>
        <w:t xml:space="preserve"> </w:t>
      </w:r>
      <w:r w:rsidRPr="00F10E39">
        <w:rPr>
          <w:rFonts w:asciiTheme="minorHAnsi" w:hAnsiTheme="minorHAnsi"/>
          <w:i/>
          <w:spacing w:val="-1"/>
          <w:sz w:val="22"/>
          <w:szCs w:val="22"/>
        </w:rPr>
        <w:t>implement</w:t>
      </w:r>
      <w:r w:rsidRPr="00F10E39">
        <w:rPr>
          <w:rFonts w:asciiTheme="minorHAnsi" w:hAnsiTheme="minorHAnsi"/>
          <w:i/>
          <w:spacing w:val="-4"/>
          <w:sz w:val="22"/>
          <w:szCs w:val="22"/>
        </w:rPr>
        <w:t xml:space="preserve"> </w:t>
      </w:r>
      <w:r w:rsidRPr="00F10E39">
        <w:rPr>
          <w:rFonts w:asciiTheme="minorHAnsi" w:hAnsiTheme="minorHAnsi"/>
          <w:i/>
          <w:sz w:val="22"/>
          <w:szCs w:val="22"/>
        </w:rPr>
        <w:t>the</w:t>
      </w:r>
      <w:r w:rsidRPr="00F10E39">
        <w:rPr>
          <w:rFonts w:asciiTheme="minorHAnsi" w:hAnsiTheme="minorHAnsi"/>
          <w:i/>
          <w:spacing w:val="-5"/>
          <w:sz w:val="22"/>
          <w:szCs w:val="22"/>
        </w:rPr>
        <w:t xml:space="preserve"> </w:t>
      </w:r>
      <w:r w:rsidRPr="00F10E39">
        <w:rPr>
          <w:rFonts w:asciiTheme="minorHAnsi" w:hAnsiTheme="minorHAnsi"/>
          <w:i/>
          <w:spacing w:val="-1"/>
          <w:sz w:val="22"/>
          <w:szCs w:val="22"/>
        </w:rPr>
        <w:t>strategies</w:t>
      </w:r>
      <w:r w:rsidRPr="00F10E39">
        <w:rPr>
          <w:rFonts w:asciiTheme="minorHAnsi" w:hAnsiTheme="minorHAnsi"/>
          <w:i/>
          <w:spacing w:val="-4"/>
          <w:sz w:val="22"/>
          <w:szCs w:val="22"/>
        </w:rPr>
        <w:t xml:space="preserve"> </w:t>
      </w:r>
      <w:r w:rsidRPr="00F10E39">
        <w:rPr>
          <w:rFonts w:asciiTheme="minorHAnsi" w:hAnsiTheme="minorHAnsi"/>
          <w:i/>
          <w:sz w:val="22"/>
          <w:szCs w:val="22"/>
        </w:rPr>
        <w:t>in</w:t>
      </w:r>
      <w:r w:rsidRPr="00F10E39">
        <w:rPr>
          <w:rFonts w:asciiTheme="minorHAnsi" w:hAnsiTheme="minorHAnsi"/>
          <w:i/>
          <w:spacing w:val="-3"/>
          <w:sz w:val="22"/>
          <w:szCs w:val="22"/>
        </w:rPr>
        <w:t xml:space="preserve"> </w:t>
      </w:r>
      <w:r w:rsidRPr="00F10E39">
        <w:rPr>
          <w:rFonts w:asciiTheme="minorHAnsi" w:hAnsiTheme="minorHAnsi"/>
          <w:i/>
          <w:sz w:val="22"/>
          <w:szCs w:val="22"/>
        </w:rPr>
        <w:t>the</w:t>
      </w:r>
      <w:r w:rsidRPr="00F10E39">
        <w:rPr>
          <w:rFonts w:asciiTheme="minorHAnsi" w:hAnsiTheme="minorHAnsi"/>
          <w:i/>
          <w:spacing w:val="-5"/>
          <w:sz w:val="22"/>
          <w:szCs w:val="22"/>
        </w:rPr>
        <w:t xml:space="preserve"> </w:t>
      </w:r>
      <w:r w:rsidRPr="00F10E39">
        <w:rPr>
          <w:rFonts w:asciiTheme="minorHAnsi" w:hAnsiTheme="minorHAnsi"/>
          <w:i/>
          <w:sz w:val="22"/>
          <w:szCs w:val="22"/>
        </w:rPr>
        <w:t>Unified</w:t>
      </w:r>
      <w:r w:rsidRPr="00F10E39">
        <w:rPr>
          <w:rFonts w:asciiTheme="minorHAnsi" w:hAnsiTheme="minorHAnsi"/>
          <w:i/>
          <w:spacing w:val="-4"/>
          <w:sz w:val="22"/>
          <w:szCs w:val="22"/>
        </w:rPr>
        <w:t xml:space="preserve"> </w:t>
      </w:r>
      <w:r w:rsidRPr="00F10E39">
        <w:rPr>
          <w:rFonts w:asciiTheme="minorHAnsi" w:hAnsiTheme="minorHAnsi"/>
          <w:i/>
          <w:sz w:val="22"/>
          <w:szCs w:val="22"/>
        </w:rPr>
        <w:t>or</w:t>
      </w:r>
      <w:r w:rsidRPr="00F10E39">
        <w:rPr>
          <w:rFonts w:asciiTheme="minorHAnsi" w:hAnsiTheme="minorHAnsi"/>
          <w:i/>
          <w:spacing w:val="-5"/>
          <w:sz w:val="22"/>
          <w:szCs w:val="22"/>
        </w:rPr>
        <w:t xml:space="preserve"> </w:t>
      </w:r>
      <w:r w:rsidRPr="00F10E39">
        <w:rPr>
          <w:rFonts w:asciiTheme="minorHAnsi" w:hAnsiTheme="minorHAnsi"/>
          <w:i/>
          <w:spacing w:val="-1"/>
          <w:sz w:val="22"/>
          <w:szCs w:val="22"/>
        </w:rPr>
        <w:t>Combined</w:t>
      </w:r>
      <w:r w:rsidRPr="00F10E39">
        <w:rPr>
          <w:rFonts w:asciiTheme="minorHAnsi" w:hAnsiTheme="minorHAnsi"/>
          <w:i/>
          <w:spacing w:val="-4"/>
          <w:sz w:val="22"/>
          <w:szCs w:val="22"/>
        </w:rPr>
        <w:t xml:space="preserve"> </w:t>
      </w:r>
      <w:r w:rsidRPr="00F10E39">
        <w:rPr>
          <w:rFonts w:asciiTheme="minorHAnsi" w:hAnsiTheme="minorHAnsi"/>
          <w:i/>
          <w:spacing w:val="-1"/>
          <w:sz w:val="22"/>
          <w:szCs w:val="22"/>
        </w:rPr>
        <w:t>State</w:t>
      </w:r>
      <w:r w:rsidRPr="00F10E39">
        <w:rPr>
          <w:rFonts w:asciiTheme="minorHAnsi" w:hAnsiTheme="minorHAnsi"/>
          <w:i/>
          <w:spacing w:val="-4"/>
          <w:sz w:val="22"/>
          <w:szCs w:val="22"/>
        </w:rPr>
        <w:t xml:space="preserve"> </w:t>
      </w:r>
      <w:r w:rsidRPr="00F10E39">
        <w:rPr>
          <w:rFonts w:asciiTheme="minorHAnsi" w:hAnsiTheme="minorHAnsi"/>
          <w:i/>
          <w:spacing w:val="-1"/>
          <w:sz w:val="22"/>
          <w:szCs w:val="22"/>
        </w:rPr>
        <w:t>Plan</w:t>
      </w:r>
      <w:r w:rsidRPr="00F10E39">
        <w:rPr>
          <w:rFonts w:asciiTheme="minorHAnsi" w:hAnsiTheme="minorHAnsi"/>
          <w:i/>
          <w:spacing w:val="-4"/>
          <w:sz w:val="22"/>
          <w:szCs w:val="22"/>
        </w:rPr>
        <w:t xml:space="preserve"> </w:t>
      </w:r>
      <w:r w:rsidRPr="00F10E39">
        <w:rPr>
          <w:rFonts w:asciiTheme="minorHAnsi" w:hAnsiTheme="minorHAnsi"/>
          <w:i/>
          <w:spacing w:val="-1"/>
          <w:sz w:val="22"/>
          <w:szCs w:val="22"/>
        </w:rPr>
        <w:t>as</w:t>
      </w:r>
      <w:r w:rsidR="00A1774E">
        <w:rPr>
          <w:rFonts w:asciiTheme="minorHAnsi" w:hAnsiTheme="minorHAnsi"/>
          <w:i/>
          <w:spacing w:val="65"/>
          <w:sz w:val="22"/>
          <w:szCs w:val="22"/>
        </w:rPr>
        <w:t xml:space="preserve"> </w:t>
      </w:r>
      <w:r w:rsidRPr="00F10E39">
        <w:rPr>
          <w:rFonts w:asciiTheme="minorHAnsi" w:hAnsiTheme="minorHAnsi"/>
          <w:i/>
          <w:spacing w:val="-1"/>
          <w:sz w:val="22"/>
          <w:szCs w:val="22"/>
        </w:rPr>
        <w:t>described</w:t>
      </w:r>
      <w:r w:rsidRPr="00F10E39">
        <w:rPr>
          <w:rFonts w:asciiTheme="minorHAnsi" w:hAnsiTheme="minorHAnsi"/>
          <w:i/>
          <w:spacing w:val="-4"/>
          <w:sz w:val="22"/>
          <w:szCs w:val="22"/>
        </w:rPr>
        <w:t xml:space="preserve"> </w:t>
      </w:r>
      <w:r w:rsidRPr="00F10E39">
        <w:rPr>
          <w:rFonts w:asciiTheme="minorHAnsi" w:hAnsiTheme="minorHAnsi"/>
          <w:i/>
          <w:sz w:val="22"/>
          <w:szCs w:val="22"/>
        </w:rPr>
        <w:t>in</w:t>
      </w:r>
      <w:r w:rsidRPr="00F10E39">
        <w:rPr>
          <w:rFonts w:asciiTheme="minorHAnsi" w:hAnsiTheme="minorHAnsi"/>
          <w:i/>
          <w:spacing w:val="-4"/>
          <w:sz w:val="22"/>
          <w:szCs w:val="22"/>
        </w:rPr>
        <w:t xml:space="preserve"> </w:t>
      </w:r>
      <w:r w:rsidRPr="00F10E39">
        <w:rPr>
          <w:rFonts w:asciiTheme="minorHAnsi" w:hAnsiTheme="minorHAnsi"/>
          <w:i/>
          <w:sz w:val="22"/>
          <w:szCs w:val="22"/>
        </w:rPr>
        <w:t>section</w:t>
      </w:r>
      <w:r w:rsidRPr="00F10E39">
        <w:rPr>
          <w:rFonts w:asciiTheme="minorHAnsi" w:hAnsiTheme="minorHAnsi"/>
          <w:i/>
          <w:spacing w:val="-4"/>
          <w:sz w:val="22"/>
          <w:szCs w:val="22"/>
        </w:rPr>
        <w:t xml:space="preserve"> </w:t>
      </w:r>
      <w:r w:rsidRPr="00F10E39">
        <w:rPr>
          <w:rFonts w:asciiTheme="minorHAnsi" w:hAnsiTheme="minorHAnsi"/>
          <w:i/>
          <w:spacing w:val="-1"/>
          <w:sz w:val="22"/>
          <w:szCs w:val="22"/>
        </w:rPr>
        <w:t>223(1)(a).</w:t>
      </w:r>
    </w:p>
    <w:p w14:paraId="6819111B" w14:textId="77777777" w:rsidR="00BA4342" w:rsidRDefault="00BA4342" w:rsidP="00BA4342">
      <w:pPr>
        <w:pStyle w:val="BodyText"/>
        <w:tabs>
          <w:tab w:val="left" w:pos="1180"/>
        </w:tabs>
        <w:spacing w:line="238" w:lineRule="auto"/>
        <w:ind w:left="1180" w:right="663" w:firstLine="0"/>
        <w:rPr>
          <w:rFonts w:asciiTheme="minorHAnsi" w:hAnsiTheme="minorHAnsi"/>
        </w:rPr>
      </w:pPr>
    </w:p>
    <w:p w14:paraId="38E2F68D" w14:textId="3D475F0B" w:rsidR="00BA4342" w:rsidRPr="00374FB1" w:rsidRDefault="00BA4342" w:rsidP="00BA4342">
      <w:pPr>
        <w:rPr>
          <w:color w:val="C00000"/>
          <w:sz w:val="24"/>
          <w:szCs w:val="24"/>
        </w:rPr>
      </w:pPr>
      <w:r w:rsidRPr="004C3645">
        <w:rPr>
          <w:rFonts w:asciiTheme="minorHAnsi" w:hAnsiTheme="minorHAnsi"/>
        </w:rPr>
        <w:t>The following activities describe the state-level work around alignment with one-stop partners.</w:t>
      </w:r>
    </w:p>
    <w:p w14:paraId="76194EA5" w14:textId="77777777" w:rsidR="00BA4342" w:rsidRPr="00C0453C" w:rsidRDefault="00BA4342" w:rsidP="00C0453C">
      <w:pPr>
        <w:spacing w:after="0"/>
        <w:rPr>
          <w:rFonts w:asciiTheme="minorHAnsi" w:hAnsiTheme="minorHAnsi"/>
          <w:b/>
          <w:spacing w:val="-1"/>
        </w:rPr>
      </w:pPr>
      <w:r w:rsidRPr="00C0453C">
        <w:rPr>
          <w:rFonts w:asciiTheme="minorHAnsi" w:hAnsiTheme="minorHAnsi"/>
          <w:b/>
          <w:spacing w:val="-1"/>
        </w:rPr>
        <w:t>Governor’s Workforce Development Board Career Pathways Partnership Committee</w:t>
      </w:r>
    </w:p>
    <w:p w14:paraId="2930CBB6" w14:textId="2E04CD88" w:rsidR="00BA4342" w:rsidRPr="00C0453C" w:rsidRDefault="00BA4342" w:rsidP="00C0453C">
      <w:pPr>
        <w:spacing w:before="0"/>
        <w:rPr>
          <w:rFonts w:asciiTheme="minorHAnsi" w:hAnsiTheme="minorHAnsi"/>
          <w:spacing w:val="-1"/>
        </w:rPr>
      </w:pPr>
      <w:r w:rsidRPr="00C0453C">
        <w:rPr>
          <w:rFonts w:asciiTheme="minorHAnsi" w:hAnsiTheme="minorHAnsi"/>
          <w:spacing w:val="-1"/>
        </w:rPr>
        <w:t xml:space="preserve">The Minnesota ABE State Director and the ABE Transitions Specialist participate in quarterly </w:t>
      </w:r>
      <w:hyperlink r:id="rId11" w:history="1">
        <w:r w:rsidRPr="00C0453C">
          <w:rPr>
            <w:rFonts w:asciiTheme="minorHAnsi" w:hAnsiTheme="minorHAnsi"/>
            <w:spacing w:val="-1"/>
          </w:rPr>
          <w:t>GWDB's Career Pathways Partnership (CPP)</w:t>
        </w:r>
      </w:hyperlink>
      <w:r w:rsidRPr="00C0453C">
        <w:rPr>
          <w:rFonts w:asciiTheme="minorHAnsi" w:hAnsiTheme="minorHAnsi"/>
          <w:spacing w:val="-1"/>
        </w:rPr>
        <w:t xml:space="preserve"> meetings. This partnership provides leadership to establish and guide Minnesota's career pathways system and strategies. The CPP focuses on programming for adults that informs, connects, and develops the skills of all job seekers but it concentrates on job seekers with the greatest barriers to employment. The past two years the focus has been o</w:t>
      </w:r>
      <w:r w:rsidR="00C0453C">
        <w:rPr>
          <w:rFonts w:asciiTheme="minorHAnsi" w:hAnsiTheme="minorHAnsi"/>
          <w:spacing w:val="-1"/>
        </w:rPr>
        <w:t>n employer/business engagement.</w:t>
      </w:r>
    </w:p>
    <w:p w14:paraId="5003CC99" w14:textId="77777777" w:rsidR="00BA4342" w:rsidRPr="00C0453C" w:rsidRDefault="00BA4342" w:rsidP="00C0453C">
      <w:pPr>
        <w:spacing w:after="0"/>
        <w:rPr>
          <w:rFonts w:asciiTheme="minorHAnsi" w:hAnsiTheme="minorHAnsi"/>
          <w:b/>
          <w:spacing w:val="-1"/>
        </w:rPr>
      </w:pPr>
      <w:r w:rsidRPr="00C0453C">
        <w:rPr>
          <w:rFonts w:asciiTheme="minorHAnsi" w:hAnsiTheme="minorHAnsi"/>
          <w:b/>
          <w:spacing w:val="-1"/>
        </w:rPr>
        <w:t>Adult Basic Education/ Career and Technical Education/ Developmental Education Meetings</w:t>
      </w:r>
    </w:p>
    <w:p w14:paraId="1CE12507" w14:textId="679C7A5C" w:rsidR="00BA4342" w:rsidRPr="00C0453C" w:rsidRDefault="00BA4342" w:rsidP="00C0453C">
      <w:pPr>
        <w:spacing w:before="0"/>
        <w:rPr>
          <w:rFonts w:asciiTheme="minorHAnsi" w:hAnsiTheme="minorHAnsi"/>
          <w:spacing w:val="-1"/>
        </w:rPr>
      </w:pPr>
      <w:r w:rsidRPr="00C0453C">
        <w:rPr>
          <w:rFonts w:asciiTheme="minorHAnsi" w:hAnsiTheme="minorHAnsi"/>
          <w:spacing w:val="-1"/>
        </w:rPr>
        <w:t xml:space="preserve">The ABE Transitions Specialist participates in monthly meetings with the public postsecondary system directors of college transitions and CTE professional development. This committee plans statewide events to highlight promising practices in moving adult learners to postsecondary education. The practices focus on removing barriers to postsecondary enrollment for adult learners such as co-teaching gateway courses, preparation for the college placement assessment, articulation agreements, credit-for-prior learning and many more.  2016 Pathways to Postsecondary event showcased a </w:t>
      </w:r>
      <w:hyperlink r:id="rId12" w:history="1">
        <w:r w:rsidRPr="00C0453C">
          <w:rPr>
            <w:rStyle w:val="Hyperlink"/>
            <w:rFonts w:asciiTheme="minorHAnsi" w:hAnsiTheme="minorHAnsi"/>
          </w:rPr>
          <w:t>career pathway program in Rochester, Minnesota</w:t>
        </w:r>
      </w:hyperlink>
      <w:r w:rsidRPr="00C0453C">
        <w:rPr>
          <w:rFonts w:asciiTheme="minorHAnsi" w:hAnsiTheme="minorHAnsi"/>
          <w:spacing w:val="-1"/>
        </w:rPr>
        <w:t xml:space="preserve"> that was a finalist in the Innovations in American Government Award sponsored by the </w:t>
      </w:r>
      <w:hyperlink r:id="rId13" w:history="1">
        <w:r w:rsidRPr="00C0453C">
          <w:rPr>
            <w:rFonts w:asciiTheme="minorHAnsi" w:hAnsiTheme="minorHAnsi"/>
            <w:spacing w:val="-1"/>
          </w:rPr>
          <w:t>Ash Center for Democratic Governance and Innovation at the Kennedy School at Harvard University</w:t>
        </w:r>
      </w:hyperlink>
      <w:r w:rsidRPr="00C0453C">
        <w:rPr>
          <w:rFonts w:asciiTheme="minorHAnsi" w:hAnsiTheme="minorHAnsi"/>
          <w:spacing w:val="-1"/>
        </w:rPr>
        <w:t xml:space="preserve">. </w:t>
      </w:r>
    </w:p>
    <w:p w14:paraId="04563CB6" w14:textId="77777777" w:rsidR="00BA4342" w:rsidRPr="00C0453C" w:rsidRDefault="00BA4342" w:rsidP="00A1774E">
      <w:pPr>
        <w:spacing w:before="0" w:after="0"/>
        <w:rPr>
          <w:rFonts w:asciiTheme="minorHAnsi" w:hAnsiTheme="minorHAnsi"/>
          <w:b/>
          <w:spacing w:val="-1"/>
        </w:rPr>
      </w:pPr>
      <w:r w:rsidRPr="00C0453C">
        <w:rPr>
          <w:rFonts w:asciiTheme="minorHAnsi" w:hAnsiTheme="minorHAnsi"/>
          <w:b/>
          <w:spacing w:val="-1"/>
        </w:rPr>
        <w:t>Greater Twin Cities United Way Proposal Review</w:t>
      </w:r>
    </w:p>
    <w:p w14:paraId="3E5541BE" w14:textId="28A5B36E" w:rsidR="00BA4342" w:rsidRPr="00C0453C" w:rsidRDefault="00BA4342" w:rsidP="00A1774E">
      <w:pPr>
        <w:spacing w:before="0"/>
        <w:rPr>
          <w:rFonts w:asciiTheme="minorHAnsi" w:hAnsiTheme="minorHAnsi"/>
          <w:spacing w:val="-1"/>
        </w:rPr>
      </w:pPr>
      <w:r w:rsidRPr="00C0453C">
        <w:rPr>
          <w:rFonts w:asciiTheme="minorHAnsi" w:hAnsiTheme="minorHAnsi"/>
          <w:spacing w:val="-1"/>
        </w:rPr>
        <w:t xml:space="preserve">During the 2016-2017 program year the ABE Transitions Specialist participated as a reviewer of the Increased Earnings grant. The review process provided information on some of the challenges that community based organizations face when trying to offer career pathway programming to their clients. Many, but not all, of the </w:t>
      </w:r>
      <w:proofErr w:type="gramStart"/>
      <w:r w:rsidRPr="00C0453C">
        <w:rPr>
          <w:rFonts w:asciiTheme="minorHAnsi" w:hAnsiTheme="minorHAnsi"/>
          <w:spacing w:val="-1"/>
        </w:rPr>
        <w:t>community</w:t>
      </w:r>
      <w:proofErr w:type="gramEnd"/>
      <w:r w:rsidRPr="00C0453C">
        <w:rPr>
          <w:rFonts w:asciiTheme="minorHAnsi" w:hAnsiTheme="minorHAnsi"/>
          <w:spacing w:val="-1"/>
        </w:rPr>
        <w:t xml:space="preserve"> based programs are also providers of WIOA Title 1 services. Concerns identified by CBOs are being addressed by an </w:t>
      </w:r>
      <w:hyperlink r:id="rId14" w:history="1">
        <w:r w:rsidRPr="004F70DF">
          <w:rPr>
            <w:rStyle w:val="Hyperlink"/>
            <w:rFonts w:asciiTheme="minorHAnsi" w:hAnsiTheme="minorHAnsi"/>
          </w:rPr>
          <w:t>“on-ramp” model</w:t>
        </w:r>
      </w:hyperlink>
      <w:r w:rsidRPr="00C0453C">
        <w:rPr>
          <w:rFonts w:asciiTheme="minorHAnsi" w:hAnsiTheme="minorHAnsi"/>
          <w:spacing w:val="-1"/>
        </w:rPr>
        <w:t xml:space="preserve"> for career pathways. This model is still in development but is being designed to best meet the customer’s needs.</w:t>
      </w:r>
    </w:p>
    <w:p w14:paraId="67C7F867" w14:textId="1930FE7D" w:rsidR="00BA4342" w:rsidRPr="00C0453C" w:rsidRDefault="00BA4342" w:rsidP="00C0453C">
      <w:pPr>
        <w:spacing w:after="0"/>
        <w:rPr>
          <w:rFonts w:asciiTheme="minorHAnsi" w:hAnsiTheme="minorHAnsi"/>
          <w:b/>
          <w:spacing w:val="-1"/>
        </w:rPr>
      </w:pPr>
      <w:r w:rsidRPr="00C0453C">
        <w:rPr>
          <w:rFonts w:asciiTheme="minorHAnsi" w:hAnsiTheme="minorHAnsi"/>
          <w:b/>
          <w:spacing w:val="-1"/>
        </w:rPr>
        <w:t xml:space="preserve">Bridge to </w:t>
      </w:r>
      <w:r w:rsidR="00C0453C">
        <w:rPr>
          <w:rFonts w:asciiTheme="minorHAnsi" w:hAnsiTheme="minorHAnsi"/>
          <w:b/>
          <w:spacing w:val="-1"/>
        </w:rPr>
        <w:t>Benefits Implementation</w:t>
      </w:r>
    </w:p>
    <w:p w14:paraId="0575CB3D" w14:textId="62E0B9E6" w:rsidR="00F73451" w:rsidRPr="003576DA" w:rsidRDefault="00BA4342" w:rsidP="003576DA">
      <w:pPr>
        <w:spacing w:before="0"/>
        <w:rPr>
          <w:rFonts w:asciiTheme="minorHAnsi" w:hAnsiTheme="minorHAnsi"/>
          <w:spacing w:val="-1"/>
        </w:rPr>
      </w:pPr>
      <w:r w:rsidRPr="00C0453C">
        <w:rPr>
          <w:rFonts w:asciiTheme="minorHAnsi" w:hAnsiTheme="minorHAnsi"/>
          <w:spacing w:val="-1"/>
        </w:rPr>
        <w:t xml:space="preserve">Minnesota ABE is working with the Children’s Defense Fund to implement a program they designed called </w:t>
      </w:r>
      <w:hyperlink r:id="rId15" w:history="1">
        <w:r w:rsidRPr="004F70DF">
          <w:rPr>
            <w:rStyle w:val="Hyperlink"/>
            <w:rFonts w:asciiTheme="minorHAnsi" w:hAnsiTheme="minorHAnsi"/>
          </w:rPr>
          <w:t>Bridge to Benefits</w:t>
        </w:r>
      </w:hyperlink>
      <w:r w:rsidRPr="00C0453C">
        <w:rPr>
          <w:rFonts w:asciiTheme="minorHAnsi" w:hAnsiTheme="minorHAnsi"/>
          <w:spacing w:val="-1"/>
        </w:rPr>
        <w:t>. This is an online tool that helps link adult learners to public work support programs such as SNAP and energy assistance. These programs are essential to learners as they help support them in staying engaged and on a career pathway. Currently, several ABE programs in Minnesota are piloting Bridge to Benefits which is also being used by some Minnesota American Job Centers.</w:t>
      </w:r>
    </w:p>
    <w:p w14:paraId="415BE5AE" w14:textId="77777777" w:rsidR="003576DA" w:rsidRDefault="003576DA" w:rsidP="00C0453C">
      <w:pPr>
        <w:spacing w:after="0"/>
        <w:rPr>
          <w:rFonts w:asciiTheme="minorHAnsi" w:hAnsiTheme="minorHAnsi"/>
          <w:b/>
          <w:spacing w:val="-1"/>
        </w:rPr>
      </w:pPr>
    </w:p>
    <w:p w14:paraId="179C4A1C" w14:textId="66445327" w:rsidR="00BA4342" w:rsidRPr="00C0453C" w:rsidRDefault="00C0453C" w:rsidP="00C0453C">
      <w:pPr>
        <w:spacing w:after="0"/>
        <w:rPr>
          <w:rFonts w:asciiTheme="minorHAnsi" w:hAnsiTheme="minorHAnsi"/>
          <w:b/>
          <w:spacing w:val="-1"/>
        </w:rPr>
      </w:pPr>
      <w:r>
        <w:rPr>
          <w:rFonts w:asciiTheme="minorHAnsi" w:hAnsiTheme="minorHAnsi"/>
          <w:b/>
          <w:spacing w:val="-1"/>
        </w:rPr>
        <w:lastRenderedPageBreak/>
        <w:t>Better Together</w:t>
      </w:r>
    </w:p>
    <w:p w14:paraId="61D3D50F" w14:textId="77777777" w:rsidR="00BA4342" w:rsidRPr="00C0453C" w:rsidRDefault="00BA4342" w:rsidP="00C0453C">
      <w:pPr>
        <w:spacing w:before="0"/>
        <w:rPr>
          <w:rFonts w:asciiTheme="minorHAnsi" w:hAnsiTheme="minorHAnsi"/>
          <w:spacing w:val="-1"/>
        </w:rPr>
      </w:pPr>
      <w:r w:rsidRPr="00C0453C">
        <w:rPr>
          <w:rFonts w:asciiTheme="minorHAnsi" w:hAnsiTheme="minorHAnsi"/>
          <w:spacing w:val="-1"/>
        </w:rPr>
        <w:t xml:space="preserve">In May of 2017, workforce development (mostly WIOA Title III), public libraries, and adult education hosted their fourth </w:t>
      </w:r>
      <w:hyperlink r:id="rId16" w:history="1">
        <w:r w:rsidRPr="004F70DF">
          <w:rPr>
            <w:rStyle w:val="Hyperlink"/>
            <w:rFonts w:asciiTheme="minorHAnsi" w:hAnsiTheme="minorHAnsi"/>
          </w:rPr>
          <w:t>Better Together: Strengthening Adult Learning Communities</w:t>
        </w:r>
      </w:hyperlink>
      <w:r w:rsidRPr="00C0453C">
        <w:rPr>
          <w:rFonts w:asciiTheme="minorHAnsi" w:hAnsiTheme="minorHAnsi"/>
          <w:spacing w:val="-1"/>
        </w:rPr>
        <w:t xml:space="preserve"> event. This year it served as the preconference to the </w:t>
      </w:r>
      <w:hyperlink r:id="rId17" w:history="1">
        <w:r w:rsidRPr="004F70DF">
          <w:rPr>
            <w:rStyle w:val="Hyperlink"/>
            <w:rFonts w:asciiTheme="minorHAnsi" w:hAnsiTheme="minorHAnsi"/>
          </w:rPr>
          <w:t>Net Inclusion</w:t>
        </w:r>
      </w:hyperlink>
      <w:r w:rsidRPr="00C0453C">
        <w:rPr>
          <w:rFonts w:asciiTheme="minorHAnsi" w:hAnsiTheme="minorHAnsi"/>
          <w:spacing w:val="-1"/>
        </w:rPr>
        <w:t>. The focus was on digital literacy and how the three entities can better leverage their resources to serve low-skilled adults in our communities.</w:t>
      </w:r>
    </w:p>
    <w:p w14:paraId="16A185D4" w14:textId="07EFAF52" w:rsidR="00BA4342" w:rsidRPr="00C0453C" w:rsidRDefault="00C0453C" w:rsidP="00C0453C">
      <w:pPr>
        <w:spacing w:after="0"/>
        <w:rPr>
          <w:rFonts w:asciiTheme="minorHAnsi" w:hAnsiTheme="minorHAnsi"/>
          <w:b/>
          <w:spacing w:val="-1"/>
        </w:rPr>
      </w:pPr>
      <w:r>
        <w:rPr>
          <w:rFonts w:asciiTheme="minorHAnsi" w:hAnsiTheme="minorHAnsi"/>
          <w:b/>
          <w:spacing w:val="-1"/>
        </w:rPr>
        <w:t>Navigating and Advising Grants</w:t>
      </w:r>
    </w:p>
    <w:p w14:paraId="4D97E6A3" w14:textId="659D72E8" w:rsidR="00BA4342" w:rsidRPr="00C0453C" w:rsidRDefault="00BA4342" w:rsidP="00C0453C">
      <w:pPr>
        <w:spacing w:before="0"/>
        <w:rPr>
          <w:rFonts w:asciiTheme="minorHAnsi" w:hAnsiTheme="minorHAnsi"/>
          <w:spacing w:val="-1"/>
        </w:rPr>
      </w:pPr>
      <w:r w:rsidRPr="00C0453C">
        <w:rPr>
          <w:rFonts w:asciiTheme="minorHAnsi" w:hAnsiTheme="minorHAnsi"/>
          <w:spacing w:val="-1"/>
        </w:rPr>
        <w:t xml:space="preserve">WIOA emphasizes the career pathway model. Minnesota has been offering variations of career pathways for over a decade and the piece that has been determined essential is the “navigating” piece which is difficult to fund. The 2016 Minnesota legislature appropriated $100,000 to support </w:t>
      </w:r>
      <w:hyperlink r:id="rId18" w:history="1">
        <w:r w:rsidRPr="004F70DF">
          <w:rPr>
            <w:rStyle w:val="Hyperlink"/>
            <w:rFonts w:asciiTheme="minorHAnsi" w:hAnsiTheme="minorHAnsi"/>
          </w:rPr>
          <w:t>navigating and advising pilots</w:t>
        </w:r>
      </w:hyperlink>
      <w:r w:rsidRPr="00C0453C">
        <w:rPr>
          <w:rFonts w:asciiTheme="minorHAnsi" w:hAnsiTheme="minorHAnsi"/>
          <w:spacing w:val="-1"/>
        </w:rPr>
        <w:t xml:space="preserve">. A total of five grants were </w:t>
      </w:r>
      <w:r w:rsidR="00A1774E">
        <w:rPr>
          <w:rFonts w:asciiTheme="minorHAnsi" w:hAnsiTheme="minorHAnsi"/>
          <w:spacing w:val="-1"/>
        </w:rPr>
        <w:t>awarded</w:t>
      </w:r>
      <w:r w:rsidRPr="00C0453C">
        <w:rPr>
          <w:rFonts w:asciiTheme="minorHAnsi" w:hAnsiTheme="minorHAnsi"/>
          <w:spacing w:val="-1"/>
        </w:rPr>
        <w:t xml:space="preserve"> in November</w:t>
      </w:r>
      <w:r w:rsidR="00A1774E">
        <w:rPr>
          <w:rFonts w:asciiTheme="minorHAnsi" w:hAnsiTheme="minorHAnsi"/>
          <w:spacing w:val="-1"/>
        </w:rPr>
        <w:t>, 2016</w:t>
      </w:r>
      <w:r w:rsidRPr="00C0453C">
        <w:rPr>
          <w:rFonts w:asciiTheme="minorHAnsi" w:hAnsiTheme="minorHAnsi"/>
          <w:spacing w:val="-1"/>
        </w:rPr>
        <w:t xml:space="preserve">. </w:t>
      </w:r>
    </w:p>
    <w:p w14:paraId="5777E623" w14:textId="77777777" w:rsidR="00BA4342" w:rsidRPr="00C0453C" w:rsidRDefault="00BA4342" w:rsidP="00C0453C">
      <w:pPr>
        <w:spacing w:after="0"/>
        <w:rPr>
          <w:rFonts w:asciiTheme="minorHAnsi" w:hAnsiTheme="minorHAnsi"/>
          <w:b/>
          <w:spacing w:val="-1"/>
        </w:rPr>
      </w:pPr>
      <w:r w:rsidRPr="00C0453C">
        <w:rPr>
          <w:rFonts w:asciiTheme="minorHAnsi" w:hAnsiTheme="minorHAnsi"/>
          <w:b/>
          <w:spacing w:val="-1"/>
        </w:rPr>
        <w:t>Minnesota Career and Information System</w:t>
      </w:r>
    </w:p>
    <w:p w14:paraId="2DC4AE46" w14:textId="77777777" w:rsidR="00BA4342" w:rsidRPr="00C0453C" w:rsidRDefault="00BA4342" w:rsidP="00C0453C">
      <w:pPr>
        <w:spacing w:before="0"/>
        <w:rPr>
          <w:rFonts w:asciiTheme="minorHAnsi" w:hAnsiTheme="minorHAnsi"/>
          <w:spacing w:val="-1"/>
        </w:rPr>
      </w:pPr>
      <w:r w:rsidRPr="00C0453C">
        <w:rPr>
          <w:rFonts w:asciiTheme="minorHAnsi" w:hAnsiTheme="minorHAnsi"/>
          <w:spacing w:val="-1"/>
        </w:rPr>
        <w:t xml:space="preserve">In 2015 an adult basic education advisory task force determined the need for better guidance on employment and education goals for learners. One of the tools that was developed and is still being piloted is the </w:t>
      </w:r>
      <w:hyperlink r:id="rId19" w:history="1">
        <w:r w:rsidRPr="004F70DF">
          <w:rPr>
            <w:rStyle w:val="Hyperlink"/>
            <w:rFonts w:asciiTheme="minorHAnsi" w:hAnsiTheme="minorHAnsi"/>
          </w:rPr>
          <w:t>Minnesota Career and Information System (MCIS)</w:t>
        </w:r>
      </w:hyperlink>
      <w:r w:rsidRPr="00C0453C">
        <w:rPr>
          <w:rFonts w:asciiTheme="minorHAnsi" w:hAnsiTheme="minorHAnsi"/>
          <w:spacing w:val="-1"/>
        </w:rPr>
        <w:t>. MCIS has created a site that is tailored to better meet the needs of Adult Basic Education learners. This site includes straight forward language, less density and clear choices to help learners make better career decisions by providing accurate, comprehensive, and current career information and planning resources. All information files are linked together for seamless exploration.</w:t>
      </w:r>
    </w:p>
    <w:p w14:paraId="6D5E79EF" w14:textId="77777777" w:rsidR="00BA4342" w:rsidRPr="00C0453C" w:rsidRDefault="00BA4342" w:rsidP="00C0453C">
      <w:pPr>
        <w:spacing w:after="0"/>
        <w:rPr>
          <w:rFonts w:asciiTheme="minorHAnsi" w:hAnsiTheme="minorHAnsi"/>
          <w:b/>
          <w:spacing w:val="-1"/>
        </w:rPr>
      </w:pPr>
      <w:r w:rsidRPr="00C0453C">
        <w:rPr>
          <w:rFonts w:asciiTheme="minorHAnsi" w:hAnsiTheme="minorHAnsi"/>
          <w:b/>
          <w:spacing w:val="-1"/>
        </w:rPr>
        <w:t>Regional Transitions Coordination</w:t>
      </w:r>
    </w:p>
    <w:p w14:paraId="5C78C31A" w14:textId="2B1AFA04" w:rsidR="00BA4342" w:rsidRPr="00C0453C" w:rsidRDefault="00BA4342" w:rsidP="00C0453C">
      <w:pPr>
        <w:spacing w:before="0"/>
        <w:rPr>
          <w:rFonts w:asciiTheme="minorHAnsi" w:hAnsiTheme="minorHAnsi"/>
          <w:spacing w:val="-1"/>
        </w:rPr>
      </w:pPr>
      <w:r w:rsidRPr="00C0453C">
        <w:rPr>
          <w:rFonts w:asciiTheme="minorHAnsi" w:hAnsiTheme="minorHAnsi"/>
          <w:spacing w:val="-1"/>
        </w:rPr>
        <w:t xml:space="preserve">Minnesota has ten Adult Basic Education transitions regions. Each region has a single point of contact who facilitates the development of a regional transitions plan. This plan is created by all the local ABE managers in the region. There are several purposes for the </w:t>
      </w:r>
      <w:r w:rsidR="005F65C6">
        <w:rPr>
          <w:rFonts w:asciiTheme="minorHAnsi" w:hAnsiTheme="minorHAnsi"/>
          <w:spacing w:val="-1"/>
        </w:rPr>
        <w:t>plan</w:t>
      </w:r>
      <w:r w:rsidRPr="00C0453C">
        <w:rPr>
          <w:rFonts w:asciiTheme="minorHAnsi" w:hAnsiTheme="minorHAnsi"/>
          <w:spacing w:val="-1"/>
        </w:rPr>
        <w:t>, however, two themes are career pathway programming and relationship building between WIOA partners, CBOs, and public postsecondary institutions. It is a continuous improvement strategy toward the creation of a sustainable and effective transitions for adult learners.</w:t>
      </w:r>
    </w:p>
    <w:p w14:paraId="305A11A3" w14:textId="2F24A4B8" w:rsidR="00BA4342" w:rsidRPr="00F22BFB" w:rsidRDefault="00BA4342" w:rsidP="00F22BFB">
      <w:pPr>
        <w:pStyle w:val="BodyText"/>
        <w:numPr>
          <w:ilvl w:val="0"/>
          <w:numId w:val="31"/>
        </w:numPr>
        <w:tabs>
          <w:tab w:val="left" w:pos="1180"/>
        </w:tabs>
        <w:spacing w:line="238" w:lineRule="auto"/>
        <w:ind w:right="663"/>
        <w:rPr>
          <w:rFonts w:asciiTheme="minorHAnsi" w:hAnsiTheme="minorHAnsi"/>
          <w:i/>
          <w:spacing w:val="-1"/>
          <w:sz w:val="22"/>
          <w:szCs w:val="22"/>
        </w:rPr>
      </w:pPr>
      <w:r w:rsidRPr="00F10E39">
        <w:rPr>
          <w:rFonts w:asciiTheme="minorHAnsi" w:hAnsiTheme="minorHAnsi"/>
          <w:i/>
          <w:spacing w:val="-1"/>
          <w:sz w:val="22"/>
          <w:szCs w:val="22"/>
        </w:rPr>
        <w:t>Establishment or operation of a high quality professional development programs as described in section 223(1</w:t>
      </w:r>
      <w:proofErr w:type="gramStart"/>
      <w:r w:rsidRPr="00F10E39">
        <w:rPr>
          <w:rFonts w:asciiTheme="minorHAnsi" w:hAnsiTheme="minorHAnsi"/>
          <w:i/>
          <w:spacing w:val="-1"/>
          <w:sz w:val="22"/>
          <w:szCs w:val="22"/>
        </w:rPr>
        <w:t>)(</w:t>
      </w:r>
      <w:proofErr w:type="gramEnd"/>
      <w:r w:rsidRPr="00F10E39">
        <w:rPr>
          <w:rFonts w:asciiTheme="minorHAnsi" w:hAnsiTheme="minorHAnsi"/>
          <w:i/>
          <w:spacing w:val="-1"/>
          <w:sz w:val="22"/>
          <w:szCs w:val="22"/>
        </w:rPr>
        <w:t>b).</w:t>
      </w:r>
    </w:p>
    <w:p w14:paraId="2079FC06" w14:textId="54661CE3" w:rsidR="00BA4342" w:rsidRPr="00082A78" w:rsidRDefault="00BA4342" w:rsidP="00082A78">
      <w:pPr>
        <w:tabs>
          <w:tab w:val="left" w:pos="-1440"/>
          <w:tab w:val="left" w:pos="-720"/>
        </w:tabs>
        <w:spacing w:before="0" w:after="0" w:line="240" w:lineRule="auto"/>
        <w:ind w:right="-144"/>
        <w:rPr>
          <w:rFonts w:asciiTheme="minorHAnsi" w:eastAsia="Times New Roman" w:hAnsiTheme="minorHAnsi" w:cs="Arial"/>
        </w:rPr>
      </w:pPr>
      <w:r w:rsidRPr="00082A78">
        <w:rPr>
          <w:rFonts w:asciiTheme="minorHAnsi" w:eastAsia="Times New Roman" w:hAnsiTheme="minorHAnsi" w:cs="Arial"/>
        </w:rPr>
        <w:t xml:space="preserve">State leadership funds were used during 2016-17 to support one Minnesota Department of Education Adult Basic Education position (the professional development specialist) to coordinate statewide professional development (PD) activities and assist local ABE program staff in designing </w:t>
      </w:r>
      <w:r w:rsidR="00A1774E">
        <w:rPr>
          <w:rFonts w:asciiTheme="minorHAnsi" w:eastAsia="Times New Roman" w:hAnsiTheme="minorHAnsi" w:cs="Arial"/>
        </w:rPr>
        <w:t>and implementing effective PD. </w:t>
      </w:r>
      <w:r w:rsidRPr="00082A78">
        <w:rPr>
          <w:rFonts w:asciiTheme="minorHAnsi" w:eastAsia="Times New Roman" w:hAnsiTheme="minorHAnsi" w:cs="Arial"/>
        </w:rPr>
        <w:t>In addition, a statewide ABE professional development (PD) advisory committee convened quarterly to identify key present and future PD needs, develop PD plans and resources, identify and implement best practices in PD, and coordinate and align PD activities for an efficient and effective PD system. This advisory committee has approximately 25 members, including state ABE staff, PD providers and local ABE instructors and administrators.</w:t>
      </w:r>
    </w:p>
    <w:p w14:paraId="02C63C23" w14:textId="77777777" w:rsidR="00BA4342" w:rsidRPr="00082A78" w:rsidRDefault="00BA4342" w:rsidP="00082A78">
      <w:pPr>
        <w:tabs>
          <w:tab w:val="left" w:pos="-1440"/>
          <w:tab w:val="left" w:pos="-720"/>
        </w:tabs>
        <w:spacing w:before="0" w:after="0" w:line="240" w:lineRule="auto"/>
        <w:ind w:right="-144"/>
        <w:rPr>
          <w:rFonts w:asciiTheme="minorHAnsi" w:eastAsia="Times New Roman" w:hAnsiTheme="minorHAnsi" w:cs="Arial"/>
        </w:rPr>
      </w:pPr>
    </w:p>
    <w:p w14:paraId="1E79A264" w14:textId="30B8B817" w:rsidR="00F22BFB" w:rsidRDefault="00BA4342" w:rsidP="00082A78">
      <w:pPr>
        <w:tabs>
          <w:tab w:val="left" w:pos="-1440"/>
          <w:tab w:val="left" w:pos="-720"/>
        </w:tabs>
        <w:spacing w:before="0" w:after="0" w:line="240" w:lineRule="auto"/>
        <w:ind w:right="-144"/>
        <w:rPr>
          <w:rFonts w:asciiTheme="minorHAnsi" w:eastAsia="Times New Roman" w:hAnsiTheme="minorHAnsi" w:cs="Arial"/>
        </w:rPr>
      </w:pPr>
      <w:r w:rsidRPr="00082A78">
        <w:rPr>
          <w:rFonts w:asciiTheme="minorHAnsi" w:eastAsia="Times New Roman" w:hAnsiTheme="minorHAnsi" w:cs="Arial"/>
        </w:rPr>
        <w:t>Specific PD events conducted included:  a state summer ABE professional development conference, a new ABE staff orientation (ABE Foundations), a state adult language and literacy institute, a state ABE math institute, a state support staff conference, regional ABE trainings, assessment trainings, and volunteer trainings.   Event numbers and attendance totals for these 2016-17 trainings are listed below:</w:t>
      </w:r>
    </w:p>
    <w:p w14:paraId="1302A2C7" w14:textId="77777777" w:rsidR="00F73451" w:rsidRDefault="00F73451" w:rsidP="00082A78">
      <w:pPr>
        <w:tabs>
          <w:tab w:val="left" w:pos="-1440"/>
          <w:tab w:val="left" w:pos="-720"/>
        </w:tabs>
        <w:spacing w:before="0" w:after="0" w:line="240" w:lineRule="auto"/>
        <w:ind w:right="-144"/>
        <w:rPr>
          <w:rFonts w:asciiTheme="minorHAnsi" w:eastAsia="Times New Roman" w:hAnsiTheme="minorHAnsi" w:cs="Arial"/>
        </w:rPr>
      </w:pPr>
    </w:p>
    <w:p w14:paraId="672B67EF" w14:textId="77777777" w:rsidR="00F73451" w:rsidRDefault="00F73451" w:rsidP="00082A78">
      <w:pPr>
        <w:tabs>
          <w:tab w:val="left" w:pos="-1440"/>
          <w:tab w:val="left" w:pos="-720"/>
        </w:tabs>
        <w:spacing w:before="0" w:after="0" w:line="240" w:lineRule="auto"/>
        <w:ind w:right="-144"/>
        <w:rPr>
          <w:rFonts w:asciiTheme="minorHAnsi" w:eastAsia="Times New Roman" w:hAnsiTheme="minorHAnsi" w:cs="Arial"/>
        </w:rPr>
      </w:pPr>
    </w:p>
    <w:p w14:paraId="073F2C25" w14:textId="77777777" w:rsidR="00F73451" w:rsidRDefault="00F73451" w:rsidP="00082A78">
      <w:pPr>
        <w:tabs>
          <w:tab w:val="left" w:pos="-1440"/>
          <w:tab w:val="left" w:pos="-720"/>
        </w:tabs>
        <w:spacing w:before="0" w:after="0" w:line="240" w:lineRule="auto"/>
        <w:ind w:right="-144"/>
        <w:rPr>
          <w:rFonts w:asciiTheme="minorHAnsi" w:eastAsia="Times New Roman" w:hAnsiTheme="minorHAnsi" w:cs="Arial"/>
        </w:rPr>
      </w:pPr>
    </w:p>
    <w:p w14:paraId="1D8D45A2" w14:textId="77777777" w:rsidR="00F73451" w:rsidRDefault="00F73451" w:rsidP="00082A78">
      <w:pPr>
        <w:tabs>
          <w:tab w:val="left" w:pos="-1440"/>
          <w:tab w:val="left" w:pos="-720"/>
        </w:tabs>
        <w:spacing w:before="0" w:after="0" w:line="240" w:lineRule="auto"/>
        <w:ind w:right="-144"/>
        <w:rPr>
          <w:rFonts w:asciiTheme="minorHAnsi" w:eastAsia="Times New Roman" w:hAnsiTheme="minorHAnsi" w:cs="Arial"/>
        </w:rPr>
      </w:pPr>
    </w:p>
    <w:p w14:paraId="7D871654" w14:textId="77777777" w:rsidR="003576DA" w:rsidRPr="00082A78" w:rsidRDefault="003576DA" w:rsidP="00082A78">
      <w:pPr>
        <w:tabs>
          <w:tab w:val="left" w:pos="-1440"/>
          <w:tab w:val="left" w:pos="-720"/>
        </w:tabs>
        <w:spacing w:before="0" w:after="0" w:line="240" w:lineRule="auto"/>
        <w:ind w:right="-144"/>
        <w:rPr>
          <w:rFonts w:asciiTheme="minorHAnsi" w:eastAsia="Times New Roman" w:hAnsiTheme="minorHAnsi" w:cs="Arial"/>
        </w:rPr>
      </w:pPr>
    </w:p>
    <w:tbl>
      <w:tblPr>
        <w:tblW w:w="0" w:type="auto"/>
        <w:jc w:val="center"/>
        <w:tblCellMar>
          <w:left w:w="0" w:type="dxa"/>
          <w:right w:w="0" w:type="dxa"/>
        </w:tblCellMar>
        <w:tblLook w:val="04A0" w:firstRow="1" w:lastRow="0" w:firstColumn="1" w:lastColumn="0" w:noHBand="0" w:noVBand="1"/>
      </w:tblPr>
      <w:tblGrid>
        <w:gridCol w:w="4770"/>
        <w:gridCol w:w="1880"/>
        <w:gridCol w:w="1890"/>
      </w:tblGrid>
      <w:tr w:rsidR="00BA4342" w:rsidRPr="00377F65" w14:paraId="17246040" w14:textId="77777777" w:rsidTr="00264F45">
        <w:trPr>
          <w:jc w:val="center"/>
        </w:trPr>
        <w:tc>
          <w:tcPr>
            <w:tcW w:w="4770" w:type="dxa"/>
            <w:tcBorders>
              <w:top w:val="single" w:sz="8" w:space="0" w:color="auto"/>
              <w:left w:val="single" w:sz="8" w:space="0" w:color="auto"/>
              <w:bottom w:val="single" w:sz="8" w:space="0" w:color="auto"/>
              <w:right w:val="single" w:sz="8" w:space="0" w:color="auto"/>
            </w:tcBorders>
            <w:shd w:val="clear" w:color="auto" w:fill="4F6228"/>
            <w:tcMar>
              <w:top w:w="0" w:type="dxa"/>
              <w:left w:w="57" w:type="dxa"/>
              <w:bottom w:w="0" w:type="dxa"/>
              <w:right w:w="57" w:type="dxa"/>
            </w:tcMar>
            <w:hideMark/>
          </w:tcPr>
          <w:p w14:paraId="785D4BB4" w14:textId="77777777" w:rsidR="00BA4342" w:rsidRPr="00082A78" w:rsidRDefault="00BA4342" w:rsidP="00082A78">
            <w:pPr>
              <w:spacing w:before="0" w:after="0" w:line="240" w:lineRule="auto"/>
              <w:rPr>
                <w:rFonts w:asciiTheme="minorHAnsi" w:eastAsia="Calibri" w:hAnsiTheme="minorHAnsi" w:cs="Arial"/>
                <w:b/>
                <w:color w:val="FFFFFF"/>
              </w:rPr>
            </w:pPr>
            <w:r w:rsidRPr="00082A78">
              <w:rPr>
                <w:rFonts w:asciiTheme="minorHAnsi" w:eastAsia="Times New Roman" w:hAnsiTheme="minorHAnsi" w:cs="Arial"/>
                <w:b/>
                <w:color w:val="FFFFFF"/>
              </w:rPr>
              <w:lastRenderedPageBreak/>
              <w:t xml:space="preserve">Professional Development Event </w:t>
            </w:r>
          </w:p>
        </w:tc>
        <w:tc>
          <w:tcPr>
            <w:tcW w:w="1880" w:type="dxa"/>
            <w:tcBorders>
              <w:top w:val="single" w:sz="8" w:space="0" w:color="auto"/>
              <w:left w:val="nil"/>
              <w:bottom w:val="single" w:sz="8" w:space="0" w:color="auto"/>
              <w:right w:val="single" w:sz="8" w:space="0" w:color="auto"/>
            </w:tcBorders>
            <w:shd w:val="clear" w:color="auto" w:fill="4F6228"/>
            <w:tcMar>
              <w:top w:w="0" w:type="dxa"/>
              <w:left w:w="57" w:type="dxa"/>
              <w:bottom w:w="0" w:type="dxa"/>
              <w:right w:w="57" w:type="dxa"/>
            </w:tcMar>
            <w:hideMark/>
          </w:tcPr>
          <w:p w14:paraId="2E2E23D7" w14:textId="77777777" w:rsidR="00BA4342" w:rsidRPr="00082A78" w:rsidRDefault="00BA4342" w:rsidP="00082A78">
            <w:pPr>
              <w:spacing w:before="0" w:after="0" w:line="240" w:lineRule="auto"/>
              <w:jc w:val="center"/>
              <w:rPr>
                <w:rFonts w:asciiTheme="minorHAnsi" w:eastAsia="Calibri" w:hAnsiTheme="minorHAnsi" w:cs="Arial"/>
                <w:b/>
                <w:bCs/>
                <w:color w:val="FFFFFF"/>
              </w:rPr>
            </w:pPr>
            <w:r w:rsidRPr="00082A78">
              <w:rPr>
                <w:rFonts w:asciiTheme="minorHAnsi" w:eastAsia="Times New Roman" w:hAnsiTheme="minorHAnsi" w:cs="Arial"/>
                <w:b/>
                <w:bCs/>
                <w:color w:val="FFFFFF"/>
              </w:rPr>
              <w:t>Number of Events</w:t>
            </w:r>
          </w:p>
        </w:tc>
        <w:tc>
          <w:tcPr>
            <w:tcW w:w="1890" w:type="dxa"/>
            <w:tcBorders>
              <w:top w:val="single" w:sz="8" w:space="0" w:color="auto"/>
              <w:left w:val="nil"/>
              <w:bottom w:val="single" w:sz="8" w:space="0" w:color="auto"/>
              <w:right w:val="single" w:sz="8" w:space="0" w:color="auto"/>
            </w:tcBorders>
            <w:shd w:val="clear" w:color="auto" w:fill="4F6228"/>
            <w:tcMar>
              <w:top w:w="0" w:type="dxa"/>
              <w:left w:w="57" w:type="dxa"/>
              <w:bottom w:w="0" w:type="dxa"/>
              <w:right w:w="57" w:type="dxa"/>
            </w:tcMar>
            <w:hideMark/>
          </w:tcPr>
          <w:p w14:paraId="3B21B4DD" w14:textId="77777777" w:rsidR="00BA4342" w:rsidRPr="00082A78" w:rsidRDefault="00BA4342" w:rsidP="00082A78">
            <w:pPr>
              <w:spacing w:before="0" w:after="0" w:line="240" w:lineRule="auto"/>
              <w:jc w:val="center"/>
              <w:rPr>
                <w:rFonts w:asciiTheme="minorHAnsi" w:eastAsia="Calibri" w:hAnsiTheme="minorHAnsi" w:cs="Arial"/>
                <w:b/>
                <w:bCs/>
                <w:color w:val="FFFFFF"/>
              </w:rPr>
            </w:pPr>
            <w:r w:rsidRPr="00082A78">
              <w:rPr>
                <w:rFonts w:asciiTheme="minorHAnsi" w:eastAsia="Times New Roman" w:hAnsiTheme="minorHAnsi" w:cs="Arial"/>
                <w:b/>
                <w:bCs/>
                <w:color w:val="FFFFFF"/>
              </w:rPr>
              <w:t>Attendance</w:t>
            </w:r>
            <w:r w:rsidRPr="00082A78">
              <w:rPr>
                <w:rFonts w:asciiTheme="minorHAnsi" w:eastAsia="Calibri" w:hAnsiTheme="minorHAnsi" w:cs="Arial"/>
                <w:b/>
                <w:bCs/>
                <w:color w:val="FFFFFF"/>
              </w:rPr>
              <w:t xml:space="preserve"> </w:t>
            </w:r>
            <w:r w:rsidRPr="00082A78">
              <w:rPr>
                <w:rFonts w:asciiTheme="minorHAnsi" w:eastAsia="Times New Roman" w:hAnsiTheme="minorHAnsi" w:cs="Arial"/>
                <w:b/>
                <w:bCs/>
                <w:color w:val="FFFFFF"/>
              </w:rPr>
              <w:t>Totals</w:t>
            </w:r>
          </w:p>
        </w:tc>
      </w:tr>
      <w:tr w:rsidR="00BA4342" w:rsidRPr="00377F65" w14:paraId="26A2AA1F" w14:textId="77777777" w:rsidTr="00264F45">
        <w:trPr>
          <w:jc w:val="center"/>
        </w:trPr>
        <w:tc>
          <w:tcPr>
            <w:tcW w:w="4770"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698D222F" w14:textId="77777777" w:rsidR="00BA4342" w:rsidRPr="00082A78" w:rsidRDefault="00BA4342" w:rsidP="00082A78">
            <w:pPr>
              <w:spacing w:before="0" w:after="0" w:line="240" w:lineRule="auto"/>
              <w:rPr>
                <w:rFonts w:asciiTheme="minorHAnsi" w:eastAsia="Calibri" w:hAnsiTheme="minorHAnsi" w:cs="Arial"/>
              </w:rPr>
            </w:pPr>
            <w:r w:rsidRPr="00082A78">
              <w:rPr>
                <w:rFonts w:asciiTheme="minorHAnsi" w:eastAsia="Times New Roman" w:hAnsiTheme="minorHAnsi" w:cs="Arial"/>
              </w:rPr>
              <w:t xml:space="preserve">Statewide ABE Summer Institute  </w:t>
            </w:r>
          </w:p>
        </w:tc>
        <w:tc>
          <w:tcPr>
            <w:tcW w:w="1880" w:type="dxa"/>
            <w:tcBorders>
              <w:top w:val="nil"/>
              <w:left w:val="nil"/>
              <w:bottom w:val="single" w:sz="8" w:space="0" w:color="auto"/>
              <w:right w:val="single" w:sz="8" w:space="0" w:color="auto"/>
            </w:tcBorders>
            <w:tcMar>
              <w:top w:w="0" w:type="dxa"/>
              <w:left w:w="57" w:type="dxa"/>
              <w:bottom w:w="0" w:type="dxa"/>
              <w:right w:w="57" w:type="dxa"/>
            </w:tcMar>
            <w:hideMark/>
          </w:tcPr>
          <w:p w14:paraId="666541FC" w14:textId="77777777" w:rsidR="00BA4342" w:rsidRPr="00082A78" w:rsidRDefault="00BA4342" w:rsidP="00082A78">
            <w:pPr>
              <w:spacing w:before="0" w:after="0" w:line="240" w:lineRule="auto"/>
              <w:jc w:val="right"/>
              <w:rPr>
                <w:rFonts w:asciiTheme="minorHAnsi" w:eastAsia="Calibri" w:hAnsiTheme="minorHAnsi" w:cs="Arial"/>
              </w:rPr>
            </w:pPr>
            <w:r w:rsidRPr="00082A78">
              <w:rPr>
                <w:rFonts w:asciiTheme="minorHAnsi" w:eastAsia="Times New Roman" w:hAnsiTheme="minorHAnsi" w:cs="Arial"/>
              </w:rPr>
              <w:t>1 3-day event</w:t>
            </w:r>
          </w:p>
        </w:tc>
        <w:tc>
          <w:tcPr>
            <w:tcW w:w="1890" w:type="dxa"/>
            <w:tcBorders>
              <w:top w:val="nil"/>
              <w:left w:val="nil"/>
              <w:bottom w:val="single" w:sz="8" w:space="0" w:color="auto"/>
              <w:right w:val="single" w:sz="8" w:space="0" w:color="auto"/>
            </w:tcBorders>
            <w:tcMar>
              <w:top w:w="0" w:type="dxa"/>
              <w:left w:w="57" w:type="dxa"/>
              <w:bottom w:w="0" w:type="dxa"/>
              <w:right w:w="57" w:type="dxa"/>
            </w:tcMar>
            <w:hideMark/>
          </w:tcPr>
          <w:p w14:paraId="55A14360" w14:textId="77777777" w:rsidR="00BA4342" w:rsidRPr="00082A78" w:rsidRDefault="00BA4342" w:rsidP="00082A78">
            <w:pPr>
              <w:spacing w:before="0" w:after="0" w:line="240" w:lineRule="auto"/>
              <w:jc w:val="right"/>
              <w:rPr>
                <w:rFonts w:asciiTheme="minorHAnsi" w:eastAsia="Calibri" w:hAnsiTheme="minorHAnsi" w:cs="Arial"/>
              </w:rPr>
            </w:pPr>
            <w:r w:rsidRPr="00082A78">
              <w:rPr>
                <w:rFonts w:asciiTheme="minorHAnsi" w:eastAsia="Calibri" w:hAnsiTheme="minorHAnsi" w:cs="Arial"/>
              </w:rPr>
              <w:t>530</w:t>
            </w:r>
          </w:p>
        </w:tc>
      </w:tr>
      <w:tr w:rsidR="00BA4342" w:rsidRPr="00377F65" w14:paraId="4CB9136E" w14:textId="77777777" w:rsidTr="00264F45">
        <w:trPr>
          <w:jc w:val="center"/>
        </w:trPr>
        <w:tc>
          <w:tcPr>
            <w:tcW w:w="4770"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49651E7C" w14:textId="77777777" w:rsidR="00BA4342" w:rsidRPr="00082A78" w:rsidRDefault="00BA4342" w:rsidP="00082A78">
            <w:pPr>
              <w:spacing w:before="0" w:after="0" w:line="240" w:lineRule="auto"/>
              <w:rPr>
                <w:rFonts w:asciiTheme="minorHAnsi" w:eastAsia="Calibri" w:hAnsiTheme="minorHAnsi" w:cs="Arial"/>
              </w:rPr>
            </w:pPr>
            <w:r w:rsidRPr="00082A78">
              <w:rPr>
                <w:rFonts w:asciiTheme="minorHAnsi" w:eastAsia="Times New Roman" w:hAnsiTheme="minorHAnsi" w:cs="Arial"/>
              </w:rPr>
              <w:t>ABE Foundations</w:t>
            </w:r>
          </w:p>
        </w:tc>
        <w:tc>
          <w:tcPr>
            <w:tcW w:w="1880" w:type="dxa"/>
            <w:tcBorders>
              <w:top w:val="nil"/>
              <w:left w:val="nil"/>
              <w:bottom w:val="single" w:sz="8" w:space="0" w:color="auto"/>
              <w:right w:val="single" w:sz="8" w:space="0" w:color="auto"/>
            </w:tcBorders>
            <w:tcMar>
              <w:top w:w="0" w:type="dxa"/>
              <w:left w:w="57" w:type="dxa"/>
              <w:bottom w:w="0" w:type="dxa"/>
              <w:right w:w="57" w:type="dxa"/>
            </w:tcMar>
            <w:hideMark/>
          </w:tcPr>
          <w:p w14:paraId="474F4FDE" w14:textId="77777777" w:rsidR="00BA4342" w:rsidRPr="00082A78" w:rsidRDefault="00BA4342" w:rsidP="00082A78">
            <w:pPr>
              <w:spacing w:before="0" w:after="0" w:line="240" w:lineRule="auto"/>
              <w:jc w:val="right"/>
              <w:rPr>
                <w:rFonts w:asciiTheme="minorHAnsi" w:eastAsia="Calibri" w:hAnsiTheme="minorHAnsi" w:cs="Arial"/>
              </w:rPr>
            </w:pPr>
            <w:r w:rsidRPr="00082A78">
              <w:rPr>
                <w:rFonts w:asciiTheme="minorHAnsi" w:eastAsia="Times New Roman" w:hAnsiTheme="minorHAnsi" w:cs="Arial"/>
              </w:rPr>
              <w:t xml:space="preserve">2 </w:t>
            </w:r>
          </w:p>
        </w:tc>
        <w:tc>
          <w:tcPr>
            <w:tcW w:w="1890" w:type="dxa"/>
            <w:tcBorders>
              <w:top w:val="nil"/>
              <w:left w:val="nil"/>
              <w:bottom w:val="single" w:sz="8" w:space="0" w:color="auto"/>
              <w:right w:val="single" w:sz="8" w:space="0" w:color="auto"/>
            </w:tcBorders>
            <w:tcMar>
              <w:top w:w="0" w:type="dxa"/>
              <w:left w:w="57" w:type="dxa"/>
              <w:bottom w:w="0" w:type="dxa"/>
              <w:right w:w="57" w:type="dxa"/>
            </w:tcMar>
            <w:hideMark/>
          </w:tcPr>
          <w:p w14:paraId="48B7C2CD" w14:textId="77777777" w:rsidR="00BA4342" w:rsidRPr="00082A78" w:rsidRDefault="00BA4342" w:rsidP="00082A78">
            <w:pPr>
              <w:spacing w:before="0" w:after="0" w:line="240" w:lineRule="auto"/>
              <w:jc w:val="right"/>
              <w:rPr>
                <w:rFonts w:asciiTheme="minorHAnsi" w:eastAsia="Calibri" w:hAnsiTheme="minorHAnsi" w:cs="Arial"/>
              </w:rPr>
            </w:pPr>
            <w:r w:rsidRPr="00082A78">
              <w:rPr>
                <w:rFonts w:asciiTheme="minorHAnsi" w:eastAsia="Calibri" w:hAnsiTheme="minorHAnsi" w:cs="Arial"/>
              </w:rPr>
              <w:t>87</w:t>
            </w:r>
          </w:p>
        </w:tc>
      </w:tr>
      <w:tr w:rsidR="00BA4342" w:rsidRPr="00377F65" w14:paraId="5F0B7810" w14:textId="77777777" w:rsidTr="00264F45">
        <w:trPr>
          <w:jc w:val="center"/>
        </w:trPr>
        <w:tc>
          <w:tcPr>
            <w:tcW w:w="4770"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732B3E72" w14:textId="77777777" w:rsidR="00BA4342" w:rsidRPr="00082A78" w:rsidRDefault="00BA4342" w:rsidP="00082A78">
            <w:pPr>
              <w:spacing w:before="0" w:after="0" w:line="240" w:lineRule="auto"/>
              <w:rPr>
                <w:rFonts w:asciiTheme="minorHAnsi" w:eastAsia="Calibri" w:hAnsiTheme="minorHAnsi" w:cs="Arial"/>
              </w:rPr>
            </w:pPr>
            <w:r w:rsidRPr="00082A78">
              <w:rPr>
                <w:rFonts w:asciiTheme="minorHAnsi" w:eastAsia="Times New Roman" w:hAnsiTheme="minorHAnsi" w:cs="Arial"/>
              </w:rPr>
              <w:t>Regional Training Events</w:t>
            </w:r>
          </w:p>
        </w:tc>
        <w:tc>
          <w:tcPr>
            <w:tcW w:w="1880" w:type="dxa"/>
            <w:tcBorders>
              <w:top w:val="nil"/>
              <w:left w:val="nil"/>
              <w:bottom w:val="single" w:sz="8" w:space="0" w:color="auto"/>
              <w:right w:val="single" w:sz="8" w:space="0" w:color="auto"/>
            </w:tcBorders>
            <w:tcMar>
              <w:top w:w="0" w:type="dxa"/>
              <w:left w:w="57" w:type="dxa"/>
              <w:bottom w:w="0" w:type="dxa"/>
              <w:right w:w="57" w:type="dxa"/>
            </w:tcMar>
            <w:hideMark/>
          </w:tcPr>
          <w:p w14:paraId="5D07934C" w14:textId="77777777" w:rsidR="00BA4342" w:rsidRPr="00082A78" w:rsidRDefault="00BA4342" w:rsidP="00082A78">
            <w:pPr>
              <w:spacing w:before="0" w:after="0" w:line="240" w:lineRule="auto"/>
              <w:jc w:val="right"/>
              <w:rPr>
                <w:rFonts w:asciiTheme="minorHAnsi" w:eastAsia="Calibri" w:hAnsiTheme="minorHAnsi" w:cs="Arial"/>
              </w:rPr>
            </w:pPr>
            <w:r w:rsidRPr="00082A78">
              <w:rPr>
                <w:rFonts w:asciiTheme="minorHAnsi" w:eastAsia="Times New Roman" w:hAnsiTheme="minorHAnsi" w:cs="Arial"/>
              </w:rPr>
              <w:t>6</w:t>
            </w:r>
          </w:p>
        </w:tc>
        <w:tc>
          <w:tcPr>
            <w:tcW w:w="1890" w:type="dxa"/>
            <w:tcBorders>
              <w:top w:val="nil"/>
              <w:left w:val="nil"/>
              <w:bottom w:val="single" w:sz="8" w:space="0" w:color="auto"/>
              <w:right w:val="single" w:sz="8" w:space="0" w:color="auto"/>
            </w:tcBorders>
            <w:tcMar>
              <w:top w:w="0" w:type="dxa"/>
              <w:left w:w="57" w:type="dxa"/>
              <w:bottom w:w="0" w:type="dxa"/>
              <w:right w:w="57" w:type="dxa"/>
            </w:tcMar>
            <w:hideMark/>
          </w:tcPr>
          <w:p w14:paraId="06AABC6E" w14:textId="77777777" w:rsidR="00BA4342" w:rsidRPr="00082A78" w:rsidRDefault="00BA4342" w:rsidP="00082A78">
            <w:pPr>
              <w:spacing w:before="0" w:after="0" w:line="240" w:lineRule="auto"/>
              <w:jc w:val="right"/>
              <w:rPr>
                <w:rFonts w:asciiTheme="minorHAnsi" w:eastAsia="Calibri" w:hAnsiTheme="minorHAnsi" w:cs="Arial"/>
              </w:rPr>
            </w:pPr>
            <w:r w:rsidRPr="00082A78">
              <w:rPr>
                <w:rFonts w:asciiTheme="minorHAnsi" w:eastAsia="Times New Roman" w:hAnsiTheme="minorHAnsi" w:cs="Arial"/>
              </w:rPr>
              <w:t>404</w:t>
            </w:r>
          </w:p>
        </w:tc>
      </w:tr>
      <w:tr w:rsidR="00BA4342" w:rsidRPr="00377F65" w14:paraId="53184988" w14:textId="77777777" w:rsidTr="00264F45">
        <w:trPr>
          <w:jc w:val="center"/>
        </w:trPr>
        <w:tc>
          <w:tcPr>
            <w:tcW w:w="4770" w:type="dxa"/>
            <w:tcBorders>
              <w:top w:val="nil"/>
              <w:left w:val="single" w:sz="8" w:space="0" w:color="auto"/>
              <w:bottom w:val="single" w:sz="4" w:space="0" w:color="auto"/>
              <w:right w:val="single" w:sz="8" w:space="0" w:color="auto"/>
            </w:tcBorders>
            <w:tcMar>
              <w:top w:w="0" w:type="dxa"/>
              <w:left w:w="57" w:type="dxa"/>
              <w:bottom w:w="0" w:type="dxa"/>
              <w:right w:w="57" w:type="dxa"/>
            </w:tcMar>
            <w:hideMark/>
          </w:tcPr>
          <w:p w14:paraId="5609EF2E" w14:textId="77777777" w:rsidR="00BA4342" w:rsidRPr="00082A78" w:rsidRDefault="00BA4342" w:rsidP="00082A78">
            <w:pPr>
              <w:spacing w:before="0" w:after="0" w:line="240" w:lineRule="auto"/>
              <w:rPr>
                <w:rFonts w:asciiTheme="minorHAnsi" w:eastAsia="Calibri" w:hAnsiTheme="minorHAnsi" w:cs="Arial"/>
              </w:rPr>
            </w:pPr>
            <w:r w:rsidRPr="00082A78">
              <w:rPr>
                <w:rFonts w:asciiTheme="minorHAnsi" w:eastAsia="Times New Roman" w:hAnsiTheme="minorHAnsi" w:cs="Arial"/>
              </w:rPr>
              <w:t>Adult Language and Literacy Institute (ESL and ABE)</w:t>
            </w:r>
          </w:p>
        </w:tc>
        <w:tc>
          <w:tcPr>
            <w:tcW w:w="1880" w:type="dxa"/>
            <w:tcBorders>
              <w:top w:val="nil"/>
              <w:left w:val="nil"/>
              <w:bottom w:val="single" w:sz="4" w:space="0" w:color="auto"/>
              <w:right w:val="single" w:sz="8" w:space="0" w:color="auto"/>
            </w:tcBorders>
            <w:tcMar>
              <w:top w:w="0" w:type="dxa"/>
              <w:left w:w="57" w:type="dxa"/>
              <w:bottom w:w="0" w:type="dxa"/>
              <w:right w:w="57" w:type="dxa"/>
            </w:tcMar>
            <w:hideMark/>
          </w:tcPr>
          <w:p w14:paraId="56298ABB" w14:textId="77777777" w:rsidR="00BA4342" w:rsidRPr="00082A78" w:rsidRDefault="00BA4342" w:rsidP="00082A78">
            <w:pPr>
              <w:spacing w:before="0" w:after="0" w:line="240" w:lineRule="auto"/>
              <w:jc w:val="right"/>
              <w:rPr>
                <w:rFonts w:asciiTheme="minorHAnsi" w:eastAsia="Calibri" w:hAnsiTheme="minorHAnsi" w:cs="Arial"/>
              </w:rPr>
            </w:pPr>
            <w:r w:rsidRPr="00082A78">
              <w:rPr>
                <w:rFonts w:asciiTheme="minorHAnsi" w:eastAsia="Times New Roman" w:hAnsiTheme="minorHAnsi" w:cs="Arial"/>
              </w:rPr>
              <w:t>1 2-day event</w:t>
            </w:r>
          </w:p>
        </w:tc>
        <w:tc>
          <w:tcPr>
            <w:tcW w:w="1890" w:type="dxa"/>
            <w:tcBorders>
              <w:top w:val="nil"/>
              <w:left w:val="nil"/>
              <w:bottom w:val="single" w:sz="4" w:space="0" w:color="auto"/>
              <w:right w:val="single" w:sz="8" w:space="0" w:color="auto"/>
            </w:tcBorders>
            <w:tcMar>
              <w:top w:w="0" w:type="dxa"/>
              <w:left w:w="57" w:type="dxa"/>
              <w:bottom w:w="0" w:type="dxa"/>
              <w:right w:w="57" w:type="dxa"/>
            </w:tcMar>
            <w:hideMark/>
          </w:tcPr>
          <w:p w14:paraId="12BC0BAB" w14:textId="77777777" w:rsidR="00BA4342" w:rsidRPr="00082A78" w:rsidRDefault="00BA4342" w:rsidP="00082A78">
            <w:pPr>
              <w:spacing w:before="0" w:after="0" w:line="240" w:lineRule="auto"/>
              <w:jc w:val="right"/>
              <w:rPr>
                <w:rFonts w:asciiTheme="minorHAnsi" w:eastAsia="Calibri" w:hAnsiTheme="minorHAnsi" w:cs="Arial"/>
              </w:rPr>
            </w:pPr>
            <w:r w:rsidRPr="00082A78">
              <w:rPr>
                <w:rFonts w:asciiTheme="minorHAnsi" w:eastAsia="Calibri" w:hAnsiTheme="minorHAnsi" w:cs="Arial"/>
              </w:rPr>
              <w:t>184</w:t>
            </w:r>
          </w:p>
        </w:tc>
      </w:tr>
      <w:tr w:rsidR="00BA4342" w:rsidRPr="00377F65" w14:paraId="160580F6" w14:textId="77777777" w:rsidTr="00264F45">
        <w:trPr>
          <w:jc w:val="center"/>
        </w:trPr>
        <w:tc>
          <w:tcPr>
            <w:tcW w:w="4770" w:type="dxa"/>
            <w:tcBorders>
              <w:top w:val="nil"/>
              <w:left w:val="single" w:sz="8" w:space="0" w:color="auto"/>
              <w:bottom w:val="single" w:sz="4" w:space="0" w:color="auto"/>
              <w:right w:val="single" w:sz="8" w:space="0" w:color="auto"/>
            </w:tcBorders>
            <w:tcMar>
              <w:top w:w="0" w:type="dxa"/>
              <w:left w:w="57" w:type="dxa"/>
              <w:bottom w:w="0" w:type="dxa"/>
              <w:right w:w="57" w:type="dxa"/>
            </w:tcMar>
          </w:tcPr>
          <w:p w14:paraId="65C9B8E6" w14:textId="77777777" w:rsidR="00BA4342" w:rsidRPr="00082A78" w:rsidRDefault="00BA4342" w:rsidP="00082A78">
            <w:pPr>
              <w:spacing w:before="0" w:after="0" w:line="240" w:lineRule="auto"/>
              <w:rPr>
                <w:rFonts w:asciiTheme="minorHAnsi" w:eastAsia="Times New Roman" w:hAnsiTheme="minorHAnsi" w:cs="Arial"/>
              </w:rPr>
            </w:pPr>
            <w:r w:rsidRPr="00082A78">
              <w:rPr>
                <w:rFonts w:asciiTheme="minorHAnsi" w:eastAsia="Times New Roman" w:hAnsiTheme="minorHAnsi" w:cs="Arial"/>
              </w:rPr>
              <w:t xml:space="preserve">ABE Math Institute </w:t>
            </w:r>
          </w:p>
        </w:tc>
        <w:tc>
          <w:tcPr>
            <w:tcW w:w="1880" w:type="dxa"/>
            <w:tcBorders>
              <w:top w:val="nil"/>
              <w:left w:val="nil"/>
              <w:bottom w:val="single" w:sz="4" w:space="0" w:color="auto"/>
              <w:right w:val="single" w:sz="8" w:space="0" w:color="auto"/>
            </w:tcBorders>
            <w:tcMar>
              <w:top w:w="0" w:type="dxa"/>
              <w:left w:w="57" w:type="dxa"/>
              <w:bottom w:w="0" w:type="dxa"/>
              <w:right w:w="57" w:type="dxa"/>
            </w:tcMar>
          </w:tcPr>
          <w:p w14:paraId="06C74F3C" w14:textId="77777777" w:rsidR="00BA4342" w:rsidRPr="00082A78" w:rsidRDefault="00BA4342" w:rsidP="00082A78">
            <w:pPr>
              <w:spacing w:before="0" w:after="0" w:line="240" w:lineRule="auto"/>
              <w:jc w:val="right"/>
              <w:rPr>
                <w:rFonts w:asciiTheme="minorHAnsi" w:eastAsia="Times New Roman" w:hAnsiTheme="minorHAnsi" w:cs="Arial"/>
              </w:rPr>
            </w:pPr>
            <w:r w:rsidRPr="00082A78">
              <w:rPr>
                <w:rFonts w:asciiTheme="minorHAnsi" w:eastAsia="Times New Roman" w:hAnsiTheme="minorHAnsi" w:cs="Arial"/>
              </w:rPr>
              <w:t>1 2-day event</w:t>
            </w:r>
          </w:p>
        </w:tc>
        <w:tc>
          <w:tcPr>
            <w:tcW w:w="1890" w:type="dxa"/>
            <w:tcBorders>
              <w:top w:val="nil"/>
              <w:left w:val="nil"/>
              <w:bottom w:val="single" w:sz="4" w:space="0" w:color="auto"/>
              <w:right w:val="single" w:sz="8" w:space="0" w:color="auto"/>
            </w:tcBorders>
            <w:tcMar>
              <w:top w:w="0" w:type="dxa"/>
              <w:left w:w="57" w:type="dxa"/>
              <w:bottom w:w="0" w:type="dxa"/>
              <w:right w:w="57" w:type="dxa"/>
            </w:tcMar>
          </w:tcPr>
          <w:p w14:paraId="2737780E" w14:textId="77777777" w:rsidR="00BA4342" w:rsidRPr="00082A78" w:rsidRDefault="00BA4342" w:rsidP="00082A78">
            <w:pPr>
              <w:spacing w:before="0" w:after="0" w:line="240" w:lineRule="auto"/>
              <w:jc w:val="right"/>
              <w:rPr>
                <w:rFonts w:asciiTheme="minorHAnsi" w:eastAsia="Times New Roman" w:hAnsiTheme="minorHAnsi" w:cs="Arial"/>
              </w:rPr>
            </w:pPr>
            <w:r w:rsidRPr="00082A78">
              <w:rPr>
                <w:rFonts w:asciiTheme="minorHAnsi" w:eastAsia="Times New Roman" w:hAnsiTheme="minorHAnsi" w:cs="Arial"/>
              </w:rPr>
              <w:t>63</w:t>
            </w:r>
          </w:p>
        </w:tc>
      </w:tr>
      <w:tr w:rsidR="00BA4342" w:rsidRPr="00377F65" w14:paraId="7050311B" w14:textId="77777777" w:rsidTr="00264F45">
        <w:trPr>
          <w:jc w:val="center"/>
        </w:trPr>
        <w:tc>
          <w:tcPr>
            <w:tcW w:w="4770" w:type="dxa"/>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hideMark/>
          </w:tcPr>
          <w:p w14:paraId="6C3128F8" w14:textId="77777777" w:rsidR="00BA4342" w:rsidRPr="00082A78" w:rsidRDefault="00BA4342" w:rsidP="00082A78">
            <w:pPr>
              <w:spacing w:before="0" w:after="0" w:line="240" w:lineRule="auto"/>
              <w:rPr>
                <w:rFonts w:asciiTheme="minorHAnsi" w:eastAsia="Calibri" w:hAnsiTheme="minorHAnsi" w:cs="Arial"/>
              </w:rPr>
            </w:pPr>
            <w:r w:rsidRPr="00082A78">
              <w:rPr>
                <w:rFonts w:asciiTheme="minorHAnsi" w:eastAsia="Times New Roman" w:hAnsiTheme="minorHAnsi" w:cs="Arial"/>
              </w:rPr>
              <w:t>Support Staff Conference</w:t>
            </w:r>
          </w:p>
        </w:tc>
        <w:tc>
          <w:tcPr>
            <w:tcW w:w="1880" w:type="dxa"/>
            <w:tcBorders>
              <w:top w:val="single" w:sz="4" w:space="0" w:color="auto"/>
              <w:left w:val="nil"/>
              <w:bottom w:val="single" w:sz="8" w:space="0" w:color="auto"/>
              <w:right w:val="single" w:sz="8" w:space="0" w:color="auto"/>
            </w:tcBorders>
            <w:tcMar>
              <w:top w:w="0" w:type="dxa"/>
              <w:left w:w="57" w:type="dxa"/>
              <w:bottom w:w="0" w:type="dxa"/>
              <w:right w:w="57" w:type="dxa"/>
            </w:tcMar>
            <w:hideMark/>
          </w:tcPr>
          <w:p w14:paraId="34FD9680" w14:textId="77777777" w:rsidR="00BA4342" w:rsidRPr="00082A78" w:rsidRDefault="00BA4342" w:rsidP="00082A78">
            <w:pPr>
              <w:spacing w:before="0" w:after="0" w:line="240" w:lineRule="auto"/>
              <w:jc w:val="right"/>
              <w:rPr>
                <w:rFonts w:asciiTheme="minorHAnsi" w:eastAsia="Calibri" w:hAnsiTheme="minorHAnsi" w:cs="Arial"/>
              </w:rPr>
            </w:pPr>
            <w:r w:rsidRPr="00082A78">
              <w:rPr>
                <w:rFonts w:asciiTheme="minorHAnsi" w:eastAsia="Times New Roman" w:hAnsiTheme="minorHAnsi" w:cs="Arial"/>
              </w:rPr>
              <w:t>1 2-day event</w:t>
            </w:r>
          </w:p>
        </w:tc>
        <w:tc>
          <w:tcPr>
            <w:tcW w:w="1890" w:type="dxa"/>
            <w:tcBorders>
              <w:top w:val="single" w:sz="4" w:space="0" w:color="auto"/>
              <w:left w:val="nil"/>
              <w:bottom w:val="single" w:sz="8" w:space="0" w:color="auto"/>
              <w:right w:val="single" w:sz="8" w:space="0" w:color="auto"/>
            </w:tcBorders>
            <w:tcMar>
              <w:top w:w="0" w:type="dxa"/>
              <w:left w:w="57" w:type="dxa"/>
              <w:bottom w:w="0" w:type="dxa"/>
              <w:right w:w="57" w:type="dxa"/>
            </w:tcMar>
            <w:hideMark/>
          </w:tcPr>
          <w:p w14:paraId="7F836F42" w14:textId="77777777" w:rsidR="00BA4342" w:rsidRPr="00082A78" w:rsidRDefault="00BA4342" w:rsidP="00082A78">
            <w:pPr>
              <w:spacing w:before="0" w:after="0" w:line="240" w:lineRule="auto"/>
              <w:jc w:val="right"/>
              <w:rPr>
                <w:rFonts w:asciiTheme="minorHAnsi" w:eastAsia="Calibri" w:hAnsiTheme="minorHAnsi" w:cs="Arial"/>
              </w:rPr>
            </w:pPr>
            <w:r w:rsidRPr="00082A78">
              <w:rPr>
                <w:rFonts w:asciiTheme="minorHAnsi" w:eastAsia="Calibri" w:hAnsiTheme="minorHAnsi" w:cs="Arial"/>
              </w:rPr>
              <w:t>146</w:t>
            </w:r>
          </w:p>
        </w:tc>
      </w:tr>
      <w:tr w:rsidR="00BA4342" w:rsidRPr="00377F65" w14:paraId="40BFC2A9" w14:textId="77777777" w:rsidTr="00264F45">
        <w:trPr>
          <w:jc w:val="center"/>
        </w:trPr>
        <w:tc>
          <w:tcPr>
            <w:tcW w:w="4770" w:type="dxa"/>
            <w:tcBorders>
              <w:top w:val="nil"/>
              <w:left w:val="single" w:sz="8" w:space="0" w:color="auto"/>
              <w:bottom w:val="single" w:sz="4" w:space="0" w:color="auto"/>
              <w:right w:val="single" w:sz="8" w:space="0" w:color="auto"/>
            </w:tcBorders>
            <w:tcMar>
              <w:top w:w="0" w:type="dxa"/>
              <w:left w:w="57" w:type="dxa"/>
              <w:bottom w:w="0" w:type="dxa"/>
              <w:right w:w="57" w:type="dxa"/>
            </w:tcMar>
            <w:hideMark/>
          </w:tcPr>
          <w:p w14:paraId="4F78DC02" w14:textId="77777777" w:rsidR="00BA4342" w:rsidRPr="00082A78" w:rsidRDefault="00BA4342" w:rsidP="00082A78">
            <w:pPr>
              <w:spacing w:before="0" w:after="0" w:line="240" w:lineRule="auto"/>
              <w:rPr>
                <w:rFonts w:asciiTheme="minorHAnsi" w:eastAsia="Calibri" w:hAnsiTheme="minorHAnsi" w:cs="Arial"/>
              </w:rPr>
            </w:pPr>
            <w:r w:rsidRPr="00082A78">
              <w:rPr>
                <w:rFonts w:asciiTheme="minorHAnsi" w:eastAsia="Times New Roman" w:hAnsiTheme="minorHAnsi" w:cs="Arial"/>
              </w:rPr>
              <w:t>Assessment Trainings</w:t>
            </w:r>
          </w:p>
        </w:tc>
        <w:tc>
          <w:tcPr>
            <w:tcW w:w="1880" w:type="dxa"/>
            <w:tcBorders>
              <w:top w:val="nil"/>
              <w:left w:val="nil"/>
              <w:bottom w:val="single" w:sz="4" w:space="0" w:color="auto"/>
              <w:right w:val="single" w:sz="8" w:space="0" w:color="auto"/>
            </w:tcBorders>
            <w:tcMar>
              <w:top w:w="0" w:type="dxa"/>
              <w:left w:w="57" w:type="dxa"/>
              <w:bottom w:w="0" w:type="dxa"/>
              <w:right w:w="57" w:type="dxa"/>
            </w:tcMar>
            <w:hideMark/>
          </w:tcPr>
          <w:p w14:paraId="6A9D14A9" w14:textId="77777777" w:rsidR="00BA4342" w:rsidRPr="00082A78" w:rsidRDefault="00BA4342" w:rsidP="00082A78">
            <w:pPr>
              <w:spacing w:before="0" w:after="0" w:line="240" w:lineRule="auto"/>
              <w:jc w:val="right"/>
              <w:rPr>
                <w:rFonts w:asciiTheme="minorHAnsi" w:eastAsia="Calibri" w:hAnsiTheme="minorHAnsi" w:cs="Arial"/>
              </w:rPr>
            </w:pPr>
            <w:r w:rsidRPr="00082A78">
              <w:rPr>
                <w:rFonts w:asciiTheme="minorHAnsi" w:eastAsia="Calibri" w:hAnsiTheme="minorHAnsi" w:cs="Arial"/>
              </w:rPr>
              <w:t>24</w:t>
            </w:r>
          </w:p>
        </w:tc>
        <w:tc>
          <w:tcPr>
            <w:tcW w:w="1890" w:type="dxa"/>
            <w:tcBorders>
              <w:top w:val="nil"/>
              <w:left w:val="nil"/>
              <w:bottom w:val="single" w:sz="4" w:space="0" w:color="auto"/>
              <w:right w:val="single" w:sz="8" w:space="0" w:color="auto"/>
            </w:tcBorders>
            <w:tcMar>
              <w:top w:w="0" w:type="dxa"/>
              <w:left w:w="57" w:type="dxa"/>
              <w:bottom w:w="0" w:type="dxa"/>
              <w:right w:w="57" w:type="dxa"/>
            </w:tcMar>
            <w:hideMark/>
          </w:tcPr>
          <w:p w14:paraId="272E92BA" w14:textId="77777777" w:rsidR="00BA4342" w:rsidRPr="00082A78" w:rsidRDefault="00BA4342" w:rsidP="00082A78">
            <w:pPr>
              <w:spacing w:before="0" w:after="0" w:line="240" w:lineRule="auto"/>
              <w:jc w:val="right"/>
              <w:rPr>
                <w:rFonts w:asciiTheme="minorHAnsi" w:eastAsia="Calibri" w:hAnsiTheme="minorHAnsi" w:cs="Arial"/>
              </w:rPr>
            </w:pPr>
            <w:r w:rsidRPr="00082A78">
              <w:rPr>
                <w:rFonts w:asciiTheme="minorHAnsi" w:eastAsia="Calibri" w:hAnsiTheme="minorHAnsi" w:cs="Arial"/>
              </w:rPr>
              <w:t>385</w:t>
            </w:r>
          </w:p>
        </w:tc>
      </w:tr>
      <w:tr w:rsidR="00BA4342" w:rsidRPr="00377F65" w14:paraId="5BD9ACBB" w14:textId="77777777" w:rsidTr="00264F45">
        <w:trPr>
          <w:jc w:val="center"/>
        </w:trPr>
        <w:tc>
          <w:tcPr>
            <w:tcW w:w="4770" w:type="dxa"/>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hideMark/>
          </w:tcPr>
          <w:p w14:paraId="179BA61D" w14:textId="77777777" w:rsidR="00BA4342" w:rsidRPr="00082A78" w:rsidRDefault="00BA4342" w:rsidP="00082A78">
            <w:pPr>
              <w:spacing w:before="0" w:after="0" w:line="240" w:lineRule="auto"/>
              <w:rPr>
                <w:rFonts w:asciiTheme="minorHAnsi" w:eastAsia="Calibri" w:hAnsiTheme="minorHAnsi" w:cs="Arial"/>
              </w:rPr>
            </w:pPr>
            <w:r w:rsidRPr="00082A78">
              <w:rPr>
                <w:rFonts w:asciiTheme="minorHAnsi" w:eastAsia="Times New Roman" w:hAnsiTheme="minorHAnsi" w:cs="Arial"/>
              </w:rPr>
              <w:t>Trainings for volunteers working in ABE programs</w:t>
            </w:r>
          </w:p>
        </w:tc>
        <w:tc>
          <w:tcPr>
            <w:tcW w:w="1880" w:type="dxa"/>
            <w:tcBorders>
              <w:top w:val="single" w:sz="4" w:space="0" w:color="auto"/>
              <w:left w:val="nil"/>
              <w:bottom w:val="single" w:sz="4" w:space="0" w:color="auto"/>
              <w:right w:val="single" w:sz="8" w:space="0" w:color="auto"/>
            </w:tcBorders>
            <w:tcMar>
              <w:top w:w="0" w:type="dxa"/>
              <w:left w:w="57" w:type="dxa"/>
              <w:bottom w:w="0" w:type="dxa"/>
              <w:right w:w="57" w:type="dxa"/>
            </w:tcMar>
            <w:hideMark/>
          </w:tcPr>
          <w:p w14:paraId="49405C69" w14:textId="77777777" w:rsidR="00BA4342" w:rsidRPr="00082A78" w:rsidRDefault="00BA4342" w:rsidP="00082A78">
            <w:pPr>
              <w:spacing w:before="0" w:after="0" w:line="240" w:lineRule="auto"/>
              <w:jc w:val="right"/>
              <w:rPr>
                <w:rFonts w:asciiTheme="minorHAnsi" w:eastAsia="Calibri" w:hAnsiTheme="minorHAnsi" w:cs="Arial"/>
              </w:rPr>
            </w:pPr>
            <w:r w:rsidRPr="00082A78">
              <w:rPr>
                <w:rFonts w:asciiTheme="minorHAnsi" w:eastAsia="Calibri" w:hAnsiTheme="minorHAnsi" w:cs="Arial"/>
              </w:rPr>
              <w:t>70</w:t>
            </w:r>
          </w:p>
        </w:tc>
        <w:tc>
          <w:tcPr>
            <w:tcW w:w="1890" w:type="dxa"/>
            <w:tcBorders>
              <w:top w:val="single" w:sz="4" w:space="0" w:color="auto"/>
              <w:left w:val="nil"/>
              <w:bottom w:val="single" w:sz="4" w:space="0" w:color="auto"/>
              <w:right w:val="single" w:sz="8" w:space="0" w:color="auto"/>
            </w:tcBorders>
            <w:tcMar>
              <w:top w:w="0" w:type="dxa"/>
              <w:left w:w="57" w:type="dxa"/>
              <w:bottom w:w="0" w:type="dxa"/>
              <w:right w:w="57" w:type="dxa"/>
            </w:tcMar>
            <w:hideMark/>
          </w:tcPr>
          <w:p w14:paraId="4525F2A0" w14:textId="77777777" w:rsidR="00BA4342" w:rsidRPr="00082A78" w:rsidRDefault="00BA4342" w:rsidP="00082A78">
            <w:pPr>
              <w:spacing w:before="0" w:after="0" w:line="240" w:lineRule="auto"/>
              <w:jc w:val="right"/>
              <w:rPr>
                <w:rFonts w:asciiTheme="minorHAnsi" w:eastAsia="Times New Roman" w:hAnsiTheme="minorHAnsi" w:cs="Arial"/>
              </w:rPr>
            </w:pPr>
            <w:r w:rsidRPr="00082A78">
              <w:rPr>
                <w:rFonts w:asciiTheme="minorHAnsi" w:eastAsia="Times New Roman" w:hAnsiTheme="minorHAnsi" w:cs="Arial"/>
              </w:rPr>
              <w:t>1748</w:t>
            </w:r>
          </w:p>
        </w:tc>
      </w:tr>
      <w:tr w:rsidR="00BA4342" w:rsidRPr="00377F65" w14:paraId="2665477C" w14:textId="77777777" w:rsidTr="00264F45">
        <w:trPr>
          <w:jc w:val="center"/>
        </w:trPr>
        <w:tc>
          <w:tcPr>
            <w:tcW w:w="4770" w:type="dxa"/>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tcPr>
          <w:p w14:paraId="48C45C26" w14:textId="77777777" w:rsidR="00BA4342" w:rsidRPr="00082A78" w:rsidRDefault="00BA4342" w:rsidP="00082A78">
            <w:pPr>
              <w:spacing w:before="0" w:after="0" w:line="240" w:lineRule="auto"/>
              <w:rPr>
                <w:rFonts w:asciiTheme="minorHAnsi" w:eastAsia="Times New Roman" w:hAnsiTheme="minorHAnsi" w:cs="Arial"/>
              </w:rPr>
            </w:pPr>
            <w:r w:rsidRPr="00082A78">
              <w:rPr>
                <w:rFonts w:asciiTheme="minorHAnsi" w:eastAsia="Times New Roman" w:hAnsiTheme="minorHAnsi" w:cs="Arial"/>
              </w:rPr>
              <w:t xml:space="preserve">ABE Volunteer Management Conference </w:t>
            </w:r>
          </w:p>
        </w:tc>
        <w:tc>
          <w:tcPr>
            <w:tcW w:w="1880" w:type="dxa"/>
            <w:tcBorders>
              <w:top w:val="single" w:sz="4" w:space="0" w:color="auto"/>
              <w:left w:val="nil"/>
              <w:bottom w:val="single" w:sz="8" w:space="0" w:color="auto"/>
              <w:right w:val="single" w:sz="8" w:space="0" w:color="auto"/>
            </w:tcBorders>
            <w:tcMar>
              <w:top w:w="0" w:type="dxa"/>
              <w:left w:w="57" w:type="dxa"/>
              <w:bottom w:w="0" w:type="dxa"/>
              <w:right w:w="57" w:type="dxa"/>
            </w:tcMar>
          </w:tcPr>
          <w:p w14:paraId="300FEBF5" w14:textId="77777777" w:rsidR="00BA4342" w:rsidRPr="00082A78" w:rsidRDefault="00BA4342" w:rsidP="00082A78">
            <w:pPr>
              <w:spacing w:before="0" w:after="0" w:line="240" w:lineRule="auto"/>
              <w:jc w:val="right"/>
              <w:rPr>
                <w:rFonts w:asciiTheme="minorHAnsi" w:eastAsia="Calibri" w:hAnsiTheme="minorHAnsi" w:cs="Arial"/>
              </w:rPr>
            </w:pPr>
            <w:r w:rsidRPr="00082A78">
              <w:rPr>
                <w:rFonts w:asciiTheme="minorHAnsi" w:eastAsia="Calibri" w:hAnsiTheme="minorHAnsi" w:cs="Arial"/>
              </w:rPr>
              <w:t>1</w:t>
            </w:r>
          </w:p>
        </w:tc>
        <w:tc>
          <w:tcPr>
            <w:tcW w:w="1890" w:type="dxa"/>
            <w:tcBorders>
              <w:top w:val="single" w:sz="4" w:space="0" w:color="auto"/>
              <w:left w:val="nil"/>
              <w:bottom w:val="single" w:sz="8" w:space="0" w:color="auto"/>
              <w:right w:val="single" w:sz="8" w:space="0" w:color="auto"/>
            </w:tcBorders>
            <w:tcMar>
              <w:top w:w="0" w:type="dxa"/>
              <w:left w:w="57" w:type="dxa"/>
              <w:bottom w:w="0" w:type="dxa"/>
              <w:right w:w="57" w:type="dxa"/>
            </w:tcMar>
          </w:tcPr>
          <w:p w14:paraId="6DDBDAC9" w14:textId="77777777" w:rsidR="00BA4342" w:rsidRPr="00082A78" w:rsidRDefault="00BA4342" w:rsidP="00082A78">
            <w:pPr>
              <w:spacing w:before="0" w:after="0" w:line="240" w:lineRule="auto"/>
              <w:jc w:val="right"/>
              <w:rPr>
                <w:rFonts w:asciiTheme="minorHAnsi" w:eastAsia="Times New Roman" w:hAnsiTheme="minorHAnsi" w:cs="Arial"/>
              </w:rPr>
            </w:pPr>
            <w:r w:rsidRPr="00082A78">
              <w:rPr>
                <w:rFonts w:asciiTheme="minorHAnsi" w:eastAsia="Times New Roman" w:hAnsiTheme="minorHAnsi" w:cs="Arial"/>
              </w:rPr>
              <w:t>68</w:t>
            </w:r>
          </w:p>
        </w:tc>
      </w:tr>
    </w:tbl>
    <w:p w14:paraId="16741A45" w14:textId="77777777" w:rsidR="00BA4342" w:rsidRPr="00377F65" w:rsidRDefault="00BA4342" w:rsidP="00082A78">
      <w:pPr>
        <w:spacing w:before="0" w:after="0" w:line="240" w:lineRule="auto"/>
        <w:rPr>
          <w:rFonts w:eastAsia="Calibri" w:cs="Arial"/>
          <w:sz w:val="16"/>
          <w:szCs w:val="20"/>
        </w:rPr>
      </w:pPr>
    </w:p>
    <w:p w14:paraId="7F2081B5" w14:textId="05D45357" w:rsidR="00BA4342" w:rsidRPr="00082A78" w:rsidRDefault="00BA4342" w:rsidP="00082A78">
      <w:pPr>
        <w:spacing w:before="0" w:after="0" w:line="240" w:lineRule="auto"/>
        <w:rPr>
          <w:rFonts w:asciiTheme="minorHAnsi" w:eastAsia="Times New Roman" w:hAnsiTheme="minorHAnsi" w:cs="Arial"/>
        </w:rPr>
      </w:pPr>
      <w:r w:rsidRPr="00082A78">
        <w:rPr>
          <w:rFonts w:asciiTheme="minorHAnsi" w:eastAsia="Times New Roman" w:hAnsiTheme="minorHAnsi" w:cs="Arial"/>
        </w:rPr>
        <w:t xml:space="preserve">In addition, </w:t>
      </w:r>
      <w:r w:rsidR="004C341B">
        <w:rPr>
          <w:rFonts w:asciiTheme="minorHAnsi" w:eastAsia="Times New Roman" w:hAnsiTheme="minorHAnsi" w:cs="Arial"/>
        </w:rPr>
        <w:t>PD</w:t>
      </w:r>
      <w:r w:rsidRPr="00082A78">
        <w:rPr>
          <w:rFonts w:asciiTheme="minorHAnsi" w:eastAsia="Times New Roman" w:hAnsiTheme="minorHAnsi" w:cs="Arial"/>
        </w:rPr>
        <w:t xml:space="preserve"> was provided through a number of long-term job-embedded activities, including:</w:t>
      </w:r>
    </w:p>
    <w:p w14:paraId="1D1D093F" w14:textId="77777777" w:rsidR="00BA4342" w:rsidRPr="00746739" w:rsidRDefault="00BA4342" w:rsidP="00746739">
      <w:pPr>
        <w:pStyle w:val="ListParagraph"/>
        <w:numPr>
          <w:ilvl w:val="0"/>
          <w:numId w:val="31"/>
        </w:numPr>
        <w:spacing w:before="0" w:after="0" w:line="240" w:lineRule="auto"/>
        <w:jc w:val="both"/>
        <w:rPr>
          <w:rFonts w:asciiTheme="minorHAnsi" w:eastAsia="Times New Roman" w:hAnsiTheme="minorHAnsi" w:cs="Arial"/>
        </w:rPr>
      </w:pPr>
      <w:r w:rsidRPr="00746739">
        <w:rPr>
          <w:rFonts w:asciiTheme="minorHAnsi" w:eastAsia="Times New Roman" w:hAnsiTheme="minorHAnsi" w:cs="Arial"/>
          <w:b/>
        </w:rPr>
        <w:t>CCRS Implementation Cohort</w:t>
      </w:r>
      <w:r w:rsidRPr="00746739">
        <w:rPr>
          <w:rFonts w:asciiTheme="minorHAnsi" w:eastAsia="Times New Roman" w:hAnsiTheme="minorHAnsi" w:cs="Arial"/>
        </w:rPr>
        <w:t xml:space="preserve">: Training for local program teams focused on understanding and  implementing the College and Career Readiness Standards for Adult Education  </w:t>
      </w:r>
    </w:p>
    <w:p w14:paraId="7DF87F8A" w14:textId="77777777" w:rsidR="00BA4342" w:rsidRPr="00746739" w:rsidRDefault="00BA4342" w:rsidP="00746739">
      <w:pPr>
        <w:pStyle w:val="ListParagraph"/>
        <w:numPr>
          <w:ilvl w:val="0"/>
          <w:numId w:val="31"/>
        </w:numPr>
        <w:spacing w:before="0" w:after="0" w:line="240" w:lineRule="auto"/>
        <w:jc w:val="both"/>
        <w:rPr>
          <w:rFonts w:asciiTheme="minorHAnsi" w:eastAsia="Times New Roman" w:hAnsiTheme="minorHAnsi" w:cs="Arial"/>
        </w:rPr>
      </w:pPr>
      <w:r w:rsidRPr="00746739">
        <w:rPr>
          <w:rFonts w:asciiTheme="minorHAnsi" w:eastAsia="Times New Roman" w:hAnsiTheme="minorHAnsi" w:cs="Arial"/>
          <w:b/>
        </w:rPr>
        <w:t>STAR</w:t>
      </w:r>
      <w:r w:rsidRPr="00746739">
        <w:rPr>
          <w:rFonts w:asciiTheme="minorHAnsi" w:eastAsia="Times New Roman" w:hAnsiTheme="minorHAnsi" w:cs="Arial"/>
        </w:rPr>
        <w:t xml:space="preserve"> (</w:t>
      </w:r>
      <w:proofErr w:type="spellStart"/>
      <w:r w:rsidRPr="00746739">
        <w:rPr>
          <w:rFonts w:asciiTheme="minorHAnsi" w:eastAsia="Times New Roman" w:hAnsiTheme="minorHAnsi" w:cs="Arial"/>
        </w:rPr>
        <w:t>STudent</w:t>
      </w:r>
      <w:proofErr w:type="spellEnd"/>
      <w:r w:rsidRPr="00746739">
        <w:rPr>
          <w:rFonts w:asciiTheme="minorHAnsi" w:eastAsia="Times New Roman" w:hAnsiTheme="minorHAnsi" w:cs="Arial"/>
        </w:rPr>
        <w:t xml:space="preserve"> Achievement in Reading): Training and support for teachers of intermediate-level adult readers in effective, evidence-based practices in adult reading instruction</w:t>
      </w:r>
    </w:p>
    <w:p w14:paraId="4141C02D" w14:textId="77777777" w:rsidR="00BA4342" w:rsidRPr="00746739" w:rsidRDefault="00BA4342" w:rsidP="00746739">
      <w:pPr>
        <w:pStyle w:val="ListParagraph"/>
        <w:numPr>
          <w:ilvl w:val="0"/>
          <w:numId w:val="31"/>
        </w:numPr>
        <w:spacing w:before="0" w:after="0" w:line="240" w:lineRule="auto"/>
        <w:jc w:val="both"/>
        <w:rPr>
          <w:rFonts w:asciiTheme="minorHAnsi" w:eastAsia="Times New Roman" w:hAnsiTheme="minorHAnsi" w:cs="Arial"/>
        </w:rPr>
      </w:pPr>
      <w:r w:rsidRPr="00746739">
        <w:rPr>
          <w:rFonts w:asciiTheme="minorHAnsi" w:eastAsia="Times New Roman" w:hAnsiTheme="minorHAnsi" w:cs="Arial"/>
          <w:b/>
          <w:lang w:val="en"/>
        </w:rPr>
        <w:t>Evidence-Based Reading Instruction</w:t>
      </w:r>
      <w:r w:rsidRPr="00746739">
        <w:rPr>
          <w:rFonts w:asciiTheme="minorHAnsi" w:eastAsia="Times New Roman" w:hAnsiTheme="minorHAnsi" w:cs="Arial"/>
          <w:lang w:val="en"/>
        </w:rPr>
        <w:t xml:space="preserve"> (EBRI): </w:t>
      </w:r>
      <w:r w:rsidRPr="00746739">
        <w:rPr>
          <w:rFonts w:asciiTheme="minorHAnsi" w:eastAsia="Times New Roman" w:hAnsiTheme="minorHAnsi" w:cs="Arial"/>
        </w:rPr>
        <w:t>Study Circles and Training</w:t>
      </w:r>
      <w:r w:rsidRPr="00746739">
        <w:rPr>
          <w:rFonts w:asciiTheme="minorHAnsi" w:eastAsia="Times New Roman" w:hAnsiTheme="minorHAnsi" w:cs="Arial"/>
          <w:lang w:val="en"/>
        </w:rPr>
        <w:t xml:space="preserve"> (both in-person and online sessions)</w:t>
      </w:r>
    </w:p>
    <w:p w14:paraId="12765FAF" w14:textId="77777777" w:rsidR="00BA4342" w:rsidRPr="00746739" w:rsidRDefault="00BA4342" w:rsidP="00746739">
      <w:pPr>
        <w:pStyle w:val="ListParagraph"/>
        <w:numPr>
          <w:ilvl w:val="0"/>
          <w:numId w:val="31"/>
        </w:numPr>
        <w:spacing w:before="0" w:after="0" w:line="240" w:lineRule="auto"/>
        <w:jc w:val="both"/>
        <w:rPr>
          <w:rFonts w:asciiTheme="minorHAnsi" w:eastAsia="Times New Roman" w:hAnsiTheme="minorHAnsi" w:cs="Arial"/>
        </w:rPr>
      </w:pPr>
      <w:r w:rsidRPr="00746739">
        <w:rPr>
          <w:rFonts w:asciiTheme="minorHAnsi" w:eastAsia="Times New Roman" w:hAnsiTheme="minorHAnsi" w:cs="Arial"/>
          <w:b/>
        </w:rPr>
        <w:t>Minnesota Numeracy Initiative</w:t>
      </w:r>
      <w:r w:rsidRPr="00746739">
        <w:rPr>
          <w:rFonts w:asciiTheme="minorHAnsi" w:eastAsia="Times New Roman" w:hAnsiTheme="minorHAnsi" w:cs="Arial"/>
        </w:rPr>
        <w:t xml:space="preserve"> (MNI): Training to improve the effectiveness of math instruction for adult learners </w:t>
      </w:r>
    </w:p>
    <w:p w14:paraId="62416E2D" w14:textId="77777777" w:rsidR="00BA4342" w:rsidRPr="00746739" w:rsidRDefault="00BA4342" w:rsidP="00746739">
      <w:pPr>
        <w:pStyle w:val="ListParagraph"/>
        <w:numPr>
          <w:ilvl w:val="0"/>
          <w:numId w:val="31"/>
        </w:numPr>
        <w:spacing w:before="0" w:after="0" w:line="240" w:lineRule="auto"/>
        <w:jc w:val="both"/>
        <w:rPr>
          <w:rFonts w:asciiTheme="minorHAnsi" w:eastAsia="Times New Roman" w:hAnsiTheme="minorHAnsi" w:cs="Arial"/>
        </w:rPr>
      </w:pPr>
      <w:r w:rsidRPr="00746739">
        <w:rPr>
          <w:rFonts w:asciiTheme="minorHAnsi" w:eastAsia="Times New Roman" w:hAnsiTheme="minorHAnsi" w:cs="Arial"/>
          <w:b/>
        </w:rPr>
        <w:t>ACES</w:t>
      </w:r>
      <w:r w:rsidRPr="00746739">
        <w:rPr>
          <w:rFonts w:asciiTheme="minorHAnsi" w:eastAsia="Times New Roman" w:hAnsiTheme="minorHAnsi" w:cs="Arial"/>
        </w:rPr>
        <w:t xml:space="preserve"> (Academic, Career, and Employability Skills): Training </w:t>
      </w:r>
      <w:r w:rsidRPr="00746739">
        <w:rPr>
          <w:rFonts w:asciiTheme="minorHAnsi" w:eastAsia="Times New Roman" w:hAnsiTheme="minorHAnsi" w:cs="Arial"/>
          <w:lang w:val="en"/>
        </w:rPr>
        <w:t>to ensure that ABE programs are providing contextualized instruction integrating post-secondary education and training readiness, employability skills, and career readiness at all levels</w:t>
      </w:r>
    </w:p>
    <w:p w14:paraId="032C97A2" w14:textId="77777777" w:rsidR="00BA4342" w:rsidRPr="00746739" w:rsidRDefault="00BA4342" w:rsidP="00746739">
      <w:pPr>
        <w:pStyle w:val="ListParagraph"/>
        <w:numPr>
          <w:ilvl w:val="0"/>
          <w:numId w:val="31"/>
        </w:numPr>
        <w:spacing w:before="0" w:after="0" w:line="240" w:lineRule="auto"/>
        <w:jc w:val="both"/>
        <w:rPr>
          <w:rFonts w:asciiTheme="minorHAnsi" w:eastAsia="Times New Roman" w:hAnsiTheme="minorHAnsi" w:cs="Arial"/>
        </w:rPr>
      </w:pPr>
      <w:r w:rsidRPr="00746739">
        <w:rPr>
          <w:rFonts w:asciiTheme="minorHAnsi" w:eastAsia="Times New Roman" w:hAnsiTheme="minorHAnsi" w:cs="Arial"/>
          <w:b/>
        </w:rPr>
        <w:t>Career-focused Contextualized Basic Skills Instruction Course:</w:t>
      </w:r>
      <w:r w:rsidRPr="00746739">
        <w:rPr>
          <w:rFonts w:asciiTheme="minorHAnsi" w:eastAsia="Times New Roman" w:hAnsiTheme="minorHAnsi" w:cs="Arial"/>
        </w:rPr>
        <w:t xml:space="preserve"> Training for instructors on integrating basic skills instruction with career-focused content</w:t>
      </w:r>
    </w:p>
    <w:p w14:paraId="60C1C8D0" w14:textId="77777777" w:rsidR="00BA4342" w:rsidRPr="00746739" w:rsidRDefault="00BA4342" w:rsidP="00746739">
      <w:pPr>
        <w:pStyle w:val="ListParagraph"/>
        <w:numPr>
          <w:ilvl w:val="0"/>
          <w:numId w:val="31"/>
        </w:numPr>
        <w:spacing w:before="0" w:after="0" w:line="240" w:lineRule="auto"/>
        <w:jc w:val="both"/>
        <w:rPr>
          <w:rFonts w:asciiTheme="minorHAnsi" w:eastAsia="Times New Roman" w:hAnsiTheme="minorHAnsi" w:cs="Arial"/>
        </w:rPr>
      </w:pPr>
      <w:r w:rsidRPr="00746739">
        <w:rPr>
          <w:rFonts w:asciiTheme="minorHAnsi" w:eastAsia="Times New Roman" w:hAnsiTheme="minorHAnsi" w:cs="Arial"/>
          <w:b/>
          <w:lang w:val="en"/>
        </w:rPr>
        <w:t>Language Instruction Study Circles</w:t>
      </w:r>
      <w:r w:rsidRPr="00746739">
        <w:rPr>
          <w:rFonts w:asciiTheme="minorHAnsi" w:eastAsia="Times New Roman" w:hAnsiTheme="minorHAnsi" w:cs="Arial"/>
          <w:lang w:val="en"/>
        </w:rPr>
        <w:t xml:space="preserve">: A suite of facilitated study circles focused on 1) working with ESL learners with limited literacy, 2) integrating numeracy and language instruction, and 3) teaching pronunciation </w:t>
      </w:r>
    </w:p>
    <w:p w14:paraId="0541BECB" w14:textId="77777777" w:rsidR="00BA4342" w:rsidRPr="00082A78" w:rsidRDefault="00BA4342" w:rsidP="00082A78">
      <w:pPr>
        <w:spacing w:before="0" w:after="0" w:line="240" w:lineRule="auto"/>
        <w:jc w:val="both"/>
        <w:rPr>
          <w:rFonts w:asciiTheme="minorHAnsi" w:eastAsia="Times New Roman" w:hAnsiTheme="minorHAnsi" w:cs="Arial"/>
        </w:rPr>
      </w:pPr>
    </w:p>
    <w:p w14:paraId="46411317" w14:textId="77777777" w:rsidR="00BA4342" w:rsidRDefault="00BA4342" w:rsidP="00082A78">
      <w:pPr>
        <w:spacing w:before="0" w:after="0" w:line="240" w:lineRule="auto"/>
        <w:jc w:val="both"/>
        <w:rPr>
          <w:rFonts w:eastAsia="Times New Roman" w:cs="Arial"/>
          <w:sz w:val="20"/>
          <w:szCs w:val="20"/>
        </w:rPr>
      </w:pPr>
      <w:r w:rsidRPr="00082A78">
        <w:rPr>
          <w:rFonts w:asciiTheme="minorHAnsi" w:eastAsia="Times New Roman" w:hAnsiTheme="minorHAnsi" w:cs="Arial"/>
        </w:rPr>
        <w:t>During 2016-17, two new PD initiatives focused on building capacity for adult career pathways were developed to be delivered in 2017-18. One was designed to train and support ABE administrators in developing adult career pathway programming, and the other was designed to train and support instructors or curriculum writers in developing or strengthening adult career pathways courses. These cohort trainings are currently in progress.</w:t>
      </w:r>
      <w:r>
        <w:rPr>
          <w:rFonts w:eastAsia="Times New Roman" w:cs="Arial"/>
          <w:sz w:val="20"/>
          <w:szCs w:val="20"/>
        </w:rPr>
        <w:t xml:space="preserve"> </w:t>
      </w:r>
    </w:p>
    <w:p w14:paraId="1E64E58D" w14:textId="77777777" w:rsidR="00082A78" w:rsidRPr="00C052FB" w:rsidRDefault="00082A78" w:rsidP="00082A78">
      <w:pPr>
        <w:spacing w:before="0" w:after="0" w:line="240" w:lineRule="auto"/>
        <w:jc w:val="both"/>
        <w:rPr>
          <w:rFonts w:eastAsia="Times New Roman" w:cs="Arial"/>
          <w:sz w:val="20"/>
          <w:szCs w:val="20"/>
        </w:rPr>
      </w:pPr>
    </w:p>
    <w:p w14:paraId="49862CAD" w14:textId="77777777" w:rsidR="00BA4342" w:rsidRDefault="00BA4342" w:rsidP="00082A78">
      <w:pPr>
        <w:pStyle w:val="BodyText"/>
        <w:tabs>
          <w:tab w:val="left" w:pos="1180"/>
        </w:tabs>
        <w:spacing w:before="2"/>
        <w:ind w:left="0" w:right="393"/>
        <w:rPr>
          <w:rFonts w:asciiTheme="minorHAnsi" w:hAnsiTheme="minorHAnsi"/>
          <w:spacing w:val="-1"/>
        </w:rPr>
      </w:pPr>
    </w:p>
    <w:p w14:paraId="5F6D556F" w14:textId="77777777" w:rsidR="00BA4342" w:rsidRPr="00F10E39" w:rsidRDefault="00BA4342" w:rsidP="00082A78">
      <w:pPr>
        <w:pStyle w:val="BodyText"/>
        <w:numPr>
          <w:ilvl w:val="0"/>
          <w:numId w:val="31"/>
        </w:numPr>
        <w:tabs>
          <w:tab w:val="left" w:pos="1180"/>
        </w:tabs>
        <w:spacing w:line="238" w:lineRule="auto"/>
        <w:ind w:right="663"/>
        <w:rPr>
          <w:rFonts w:asciiTheme="minorHAnsi" w:hAnsiTheme="minorHAnsi"/>
          <w:i/>
          <w:spacing w:val="-1"/>
          <w:sz w:val="22"/>
          <w:szCs w:val="22"/>
        </w:rPr>
      </w:pPr>
      <w:r w:rsidRPr="00F10E39">
        <w:rPr>
          <w:rFonts w:asciiTheme="minorHAnsi" w:hAnsiTheme="minorHAnsi"/>
          <w:i/>
          <w:spacing w:val="-1"/>
          <w:sz w:val="22"/>
          <w:szCs w:val="22"/>
        </w:rPr>
        <w:t>Provision of technical assistance to funded eligible providers as described in section 223(1</w:t>
      </w:r>
      <w:proofErr w:type="gramStart"/>
      <w:r w:rsidRPr="00F10E39">
        <w:rPr>
          <w:rFonts w:asciiTheme="minorHAnsi" w:hAnsiTheme="minorHAnsi"/>
          <w:i/>
          <w:spacing w:val="-1"/>
          <w:sz w:val="22"/>
          <w:szCs w:val="22"/>
        </w:rPr>
        <w:t>)(</w:t>
      </w:r>
      <w:proofErr w:type="gramEnd"/>
      <w:r w:rsidRPr="00F10E39">
        <w:rPr>
          <w:rFonts w:asciiTheme="minorHAnsi" w:hAnsiTheme="minorHAnsi"/>
          <w:i/>
          <w:spacing w:val="-1"/>
          <w:sz w:val="22"/>
          <w:szCs w:val="22"/>
        </w:rPr>
        <w:t>c).</w:t>
      </w:r>
    </w:p>
    <w:p w14:paraId="46205955" w14:textId="3EFF0404" w:rsidR="004C3645" w:rsidRPr="00082A78" w:rsidRDefault="005426C4" w:rsidP="00082A78">
      <w:pPr>
        <w:autoSpaceDE w:val="0"/>
        <w:autoSpaceDN w:val="0"/>
        <w:rPr>
          <w:rFonts w:asciiTheme="minorHAnsi" w:hAnsiTheme="minorHAnsi"/>
        </w:rPr>
      </w:pPr>
      <w:r w:rsidRPr="005426C4">
        <w:rPr>
          <w:rFonts w:asciiTheme="minorHAnsi" w:hAnsiTheme="minorHAnsi"/>
        </w:rPr>
        <w:t>Federal state leadership funds are used to support state-level technical assistance and to provide administrative and professional development services necessary to operate the ABE system in Minnesota. Resources helped to provide essential areas of technical assistance, such as: maintaining the Minnesota Adult Basic Education website (</w:t>
      </w:r>
      <w:hyperlink r:id="rId20" w:history="1">
        <w:r w:rsidRPr="005426C4">
          <w:rPr>
            <w:rStyle w:val="Hyperlink"/>
            <w:rFonts w:asciiTheme="minorHAnsi" w:hAnsiTheme="minorHAnsi"/>
          </w:rPr>
          <w:t>www.mnabe.org</w:t>
        </w:r>
      </w:hyperlink>
      <w:r w:rsidRPr="005426C4">
        <w:rPr>
          <w:rFonts w:asciiTheme="minorHAnsi" w:hAnsiTheme="minorHAnsi"/>
        </w:rPr>
        <w:t xml:space="preserve"> ); providing frequent communication with local program staff through quarterly webinars, fall meetings with ABE managers, spring grant application meetings, regional Q and A sessions</w:t>
      </w:r>
      <w:r w:rsidR="00A1774E">
        <w:rPr>
          <w:rFonts w:asciiTheme="minorHAnsi" w:hAnsiTheme="minorHAnsi"/>
        </w:rPr>
        <w:t>,</w:t>
      </w:r>
      <w:r w:rsidRPr="005426C4">
        <w:rPr>
          <w:rFonts w:asciiTheme="minorHAnsi" w:hAnsiTheme="minorHAnsi"/>
        </w:rPr>
        <w:t xml:space="preserve"> and trainings at the annu</w:t>
      </w:r>
      <w:r w:rsidR="00A1774E">
        <w:rPr>
          <w:rFonts w:asciiTheme="minorHAnsi" w:hAnsiTheme="minorHAnsi"/>
        </w:rPr>
        <w:t>al ABE Summer Institute; providing</w:t>
      </w:r>
      <w:r w:rsidRPr="005426C4">
        <w:rPr>
          <w:rFonts w:asciiTheme="minorHAnsi" w:hAnsiTheme="minorHAnsi"/>
        </w:rPr>
        <w:t xml:space="preserve"> direct guidance </w:t>
      </w:r>
      <w:r w:rsidR="00A1774E">
        <w:rPr>
          <w:rFonts w:asciiTheme="minorHAnsi" w:hAnsiTheme="minorHAnsi"/>
        </w:rPr>
        <w:t>through thousands of individual</w:t>
      </w:r>
      <w:r w:rsidRPr="005426C4">
        <w:rPr>
          <w:rFonts w:asciiTheme="minorHAnsi" w:hAnsiTheme="minorHAnsi"/>
        </w:rPr>
        <w:t xml:space="preserve"> email</w:t>
      </w:r>
      <w:r w:rsidR="00A1774E">
        <w:rPr>
          <w:rFonts w:asciiTheme="minorHAnsi" w:hAnsiTheme="minorHAnsi"/>
        </w:rPr>
        <w:t>s</w:t>
      </w:r>
      <w:r w:rsidRPr="005426C4">
        <w:rPr>
          <w:rFonts w:asciiTheme="minorHAnsi" w:hAnsiTheme="minorHAnsi"/>
        </w:rPr>
        <w:t xml:space="preserve"> and calls from local program staff; </w:t>
      </w:r>
      <w:r w:rsidR="00A1774E">
        <w:rPr>
          <w:rFonts w:asciiTheme="minorHAnsi" w:hAnsiTheme="minorHAnsi"/>
        </w:rPr>
        <w:t xml:space="preserve">and </w:t>
      </w:r>
      <w:r w:rsidRPr="005426C4">
        <w:rPr>
          <w:rFonts w:asciiTheme="minorHAnsi" w:hAnsiTheme="minorHAnsi"/>
        </w:rPr>
        <w:t>disseminating a weekly electronic PD newsletter with information about training opportunities, instructional resources and promising practices.</w:t>
      </w:r>
    </w:p>
    <w:p w14:paraId="6D3FAE53" w14:textId="09870F72" w:rsidR="005426C4" w:rsidRDefault="005426C4" w:rsidP="005426C4">
      <w:pPr>
        <w:pStyle w:val="ListParagraph"/>
        <w:numPr>
          <w:ilvl w:val="0"/>
          <w:numId w:val="0"/>
        </w:numPr>
        <w:autoSpaceDE w:val="0"/>
        <w:autoSpaceDN w:val="0"/>
        <w:rPr>
          <w:rFonts w:asciiTheme="minorHAnsi" w:hAnsiTheme="minorHAnsi"/>
        </w:rPr>
      </w:pPr>
      <w:r w:rsidRPr="005426C4">
        <w:rPr>
          <w:rFonts w:asciiTheme="minorHAnsi" w:hAnsiTheme="minorHAnsi"/>
        </w:rPr>
        <w:t>Technical assistance also support</w:t>
      </w:r>
      <w:r>
        <w:rPr>
          <w:rFonts w:asciiTheme="minorHAnsi" w:hAnsiTheme="minorHAnsi"/>
        </w:rPr>
        <w:t>s</w:t>
      </w:r>
      <w:r w:rsidRPr="005426C4">
        <w:rPr>
          <w:rFonts w:asciiTheme="minorHAnsi" w:hAnsiTheme="minorHAnsi"/>
        </w:rPr>
        <w:t xml:space="preserve"> funded eligible providers in the following specific ways:</w:t>
      </w:r>
    </w:p>
    <w:p w14:paraId="29426841" w14:textId="2A555B58" w:rsidR="005426C4" w:rsidRPr="005426C4" w:rsidRDefault="00F55939" w:rsidP="005426C4">
      <w:pPr>
        <w:pStyle w:val="ListParagraph"/>
        <w:numPr>
          <w:ilvl w:val="0"/>
          <w:numId w:val="0"/>
        </w:numPr>
        <w:autoSpaceDE w:val="0"/>
        <w:autoSpaceDN w:val="0"/>
        <w:rPr>
          <w:rFonts w:asciiTheme="minorHAnsi" w:hAnsiTheme="minorHAnsi"/>
        </w:rPr>
      </w:pPr>
      <w:r>
        <w:rPr>
          <w:rFonts w:asciiTheme="minorHAnsi" w:hAnsiTheme="minorHAnsi"/>
        </w:rPr>
        <w:t>(</w:t>
      </w:r>
      <w:r w:rsidR="005426C4" w:rsidRPr="005426C4">
        <w:rPr>
          <w:rFonts w:asciiTheme="minorHAnsi" w:hAnsiTheme="minorHAnsi"/>
        </w:rPr>
        <w:t xml:space="preserve">1) Increasing the capacity of instructors and programs to provide quality instruction in the areas of reading, writing, speaking, mathematics, English language acquisition, and distance education via implementation of PD activities and associated technical assistance such as: support to programs using the STAR model; Evidence-Based Reading Instruction study circles and online courses; annual Language and Literacy Institute; Adult ESL Study Circles; Minnesota Numeracy Initiative (MNI) cohort training; Annual Math Institute; MN distance learning website; Distance Learning Basics online course; and online resource libraries in the areas of EBRI, STAR, writing, adult ESL, numeracy, adult career pathways, content standards, transitions, and project-based learning. These online resource libraries can be found at: </w:t>
      </w:r>
      <w:hyperlink r:id="rId21" w:history="1">
        <w:r w:rsidR="005426C4" w:rsidRPr="005426C4">
          <w:rPr>
            <w:rStyle w:val="Hyperlink"/>
            <w:rFonts w:asciiTheme="minorHAnsi" w:hAnsiTheme="minorHAnsi"/>
          </w:rPr>
          <w:t>http://atlasabe.org/resources-atlas-and-general-abe</w:t>
        </w:r>
      </w:hyperlink>
      <w:r w:rsidR="005426C4" w:rsidRPr="005426C4">
        <w:rPr>
          <w:rFonts w:asciiTheme="minorHAnsi" w:hAnsiTheme="minorHAnsi"/>
        </w:rPr>
        <w:t xml:space="preserve"> .</w:t>
      </w:r>
    </w:p>
    <w:p w14:paraId="0E390EC8" w14:textId="75250BCB" w:rsidR="004C3645" w:rsidRDefault="004C3645" w:rsidP="005426C4">
      <w:pPr>
        <w:pStyle w:val="ListParagraph"/>
        <w:numPr>
          <w:ilvl w:val="0"/>
          <w:numId w:val="0"/>
        </w:numPr>
        <w:autoSpaceDE w:val="0"/>
        <w:autoSpaceDN w:val="0"/>
        <w:spacing w:before="0" w:after="0" w:line="240" w:lineRule="auto"/>
        <w:ind w:left="360"/>
        <w:contextualSpacing w:val="0"/>
        <w:rPr>
          <w:sz w:val="20"/>
          <w:szCs w:val="20"/>
        </w:rPr>
      </w:pPr>
      <w:r>
        <w:rPr>
          <w:sz w:val="20"/>
          <w:szCs w:val="20"/>
        </w:rPr>
        <w:t xml:space="preserve"> </w:t>
      </w:r>
    </w:p>
    <w:p w14:paraId="3DF8B4F2" w14:textId="77777777" w:rsidR="004C3645" w:rsidRPr="00082A78" w:rsidRDefault="004C3645" w:rsidP="00082A78">
      <w:pPr>
        <w:autoSpaceDE w:val="0"/>
        <w:autoSpaceDN w:val="0"/>
        <w:rPr>
          <w:rFonts w:asciiTheme="minorHAnsi" w:hAnsiTheme="minorHAnsi"/>
        </w:rPr>
      </w:pPr>
      <w:r w:rsidRPr="00082A78">
        <w:rPr>
          <w:rFonts w:asciiTheme="minorHAnsi" w:hAnsiTheme="minorHAnsi"/>
        </w:rPr>
        <w:t>(2)  Enabling providers to establish, build upon, or maintain effective relationships with other core providers via training on navigation, integrating education with occupational training, and transition strategies for post-secondary enrollment or employment.</w:t>
      </w:r>
    </w:p>
    <w:p w14:paraId="09427ACA" w14:textId="1BB24A81" w:rsidR="004C3645" w:rsidRPr="00082A78" w:rsidRDefault="004C3645" w:rsidP="00082A78">
      <w:pPr>
        <w:autoSpaceDE w:val="0"/>
        <w:autoSpaceDN w:val="0"/>
        <w:rPr>
          <w:rFonts w:asciiTheme="minorHAnsi" w:hAnsiTheme="minorHAnsi"/>
        </w:rPr>
      </w:pPr>
      <w:r w:rsidRPr="00082A78">
        <w:rPr>
          <w:rFonts w:asciiTheme="minorHAnsi" w:hAnsiTheme="minorHAnsi"/>
        </w:rPr>
        <w:t xml:space="preserve">(3)  Using technology to improve program effectiveness through training and technical assistance focused on preparing instructors and program administrators to identify and utilize technology to enhance instruction, programming, and distance education.  The Minnesota Department of Education ABE office contracted to provide professional development in the area of </w:t>
      </w:r>
      <w:r w:rsidR="008065BE">
        <w:rPr>
          <w:rFonts w:asciiTheme="minorHAnsi" w:hAnsiTheme="minorHAnsi"/>
        </w:rPr>
        <w:t xml:space="preserve">educational </w:t>
      </w:r>
      <w:r w:rsidRPr="00082A78">
        <w:rPr>
          <w:rFonts w:asciiTheme="minorHAnsi" w:hAnsiTheme="minorHAnsi"/>
        </w:rPr>
        <w:t xml:space="preserve">technology through face-to-face and online training. More information about current technology training can be found at: </w:t>
      </w:r>
      <w:hyperlink r:id="rId22" w:history="1">
        <w:r w:rsidRPr="00082A78">
          <w:rPr>
            <w:rStyle w:val="Hyperlink"/>
            <w:rFonts w:asciiTheme="minorHAnsi" w:hAnsiTheme="minorHAnsi"/>
          </w:rPr>
          <w:t>https://mnliteracy.org/techservices</w:t>
        </w:r>
      </w:hyperlink>
      <w:r w:rsidRPr="00082A78">
        <w:rPr>
          <w:rFonts w:asciiTheme="minorHAnsi" w:hAnsiTheme="minorHAnsi"/>
        </w:rPr>
        <w:t>.</w:t>
      </w:r>
      <w:r w:rsidR="00B86054">
        <w:rPr>
          <w:rFonts w:asciiTheme="minorHAnsi" w:hAnsiTheme="minorHAnsi"/>
        </w:rPr>
        <w:t> </w:t>
      </w:r>
      <w:r w:rsidRPr="00082A78">
        <w:rPr>
          <w:rFonts w:asciiTheme="minorHAnsi" w:hAnsiTheme="minorHAnsi"/>
        </w:rPr>
        <w:t xml:space="preserve"> In addition, online training was provided in a variety of areas, including educational technology, digital literacy instruction, and distance learning.  A list of current courses available can be found at: </w:t>
      </w:r>
      <w:hyperlink r:id="rId23" w:history="1">
        <w:r w:rsidRPr="00082A78">
          <w:rPr>
            <w:rStyle w:val="Hyperlink"/>
            <w:rFonts w:asciiTheme="minorHAnsi" w:hAnsiTheme="minorHAnsi"/>
          </w:rPr>
          <w:t>http://online.themlc.org/</w:t>
        </w:r>
      </w:hyperlink>
      <w:r w:rsidRPr="00082A78">
        <w:rPr>
          <w:rFonts w:asciiTheme="minorHAnsi" w:hAnsiTheme="minorHAnsi"/>
        </w:rPr>
        <w:t xml:space="preserve">.  Training and technical assistance around distance education and digital literacy is also offered through </w:t>
      </w:r>
      <w:r w:rsidR="008065BE">
        <w:rPr>
          <w:rFonts w:asciiTheme="minorHAnsi" w:hAnsiTheme="minorHAnsi"/>
        </w:rPr>
        <w:t>the same</w:t>
      </w:r>
      <w:r w:rsidRPr="00082A78">
        <w:rPr>
          <w:rFonts w:asciiTheme="minorHAnsi" w:hAnsiTheme="minorHAnsi"/>
        </w:rPr>
        <w:t xml:space="preserve"> provider.  More information about current training and resources can be found at: </w:t>
      </w:r>
      <w:hyperlink r:id="rId24" w:history="1">
        <w:r w:rsidRPr="00082A78">
          <w:rPr>
            <w:rStyle w:val="Hyperlink"/>
            <w:rFonts w:asciiTheme="minorHAnsi" w:hAnsiTheme="minorHAnsi"/>
          </w:rPr>
          <w:t>http://www.mnabe-distancelearning.org/</w:t>
        </w:r>
      </w:hyperlink>
      <w:r w:rsidRPr="00082A78">
        <w:rPr>
          <w:rFonts w:asciiTheme="minorHAnsi" w:hAnsiTheme="minorHAnsi"/>
        </w:rPr>
        <w:t xml:space="preserve"> </w:t>
      </w:r>
    </w:p>
    <w:p w14:paraId="49ECF871" w14:textId="409E53DF" w:rsidR="00746739" w:rsidRPr="00374FB1" w:rsidRDefault="004C3645" w:rsidP="00746739">
      <w:pPr>
        <w:autoSpaceDE w:val="0"/>
        <w:autoSpaceDN w:val="0"/>
        <w:rPr>
          <w:rFonts w:asciiTheme="minorHAnsi" w:hAnsiTheme="minorHAnsi"/>
        </w:rPr>
      </w:pPr>
      <w:r w:rsidRPr="00082A78">
        <w:rPr>
          <w:rFonts w:asciiTheme="minorHAnsi" w:hAnsiTheme="minorHAnsi"/>
        </w:rPr>
        <w:t xml:space="preserve">In addition, other training and technical assistance focused on the effective use of the statewide data system to maintain accurate student data and continuously improve programming. This support was offered through face-to-face training at conferences and regional events as well as through </w:t>
      </w:r>
      <w:r w:rsidR="00B86054">
        <w:rPr>
          <w:rFonts w:asciiTheme="minorHAnsi" w:hAnsiTheme="minorHAnsi"/>
        </w:rPr>
        <w:t>online</w:t>
      </w:r>
      <w:r w:rsidRPr="00082A78">
        <w:rPr>
          <w:rFonts w:asciiTheme="minorHAnsi" w:hAnsiTheme="minorHAnsi"/>
        </w:rPr>
        <w:t xml:space="preserve"> training.</w:t>
      </w:r>
    </w:p>
    <w:p w14:paraId="723246F7" w14:textId="6923F015" w:rsidR="004C3645" w:rsidRPr="00F10E39" w:rsidRDefault="00BA4342" w:rsidP="00082A78">
      <w:pPr>
        <w:pStyle w:val="BodyText"/>
        <w:numPr>
          <w:ilvl w:val="0"/>
          <w:numId w:val="31"/>
        </w:numPr>
        <w:tabs>
          <w:tab w:val="left" w:pos="1180"/>
        </w:tabs>
        <w:spacing w:line="238" w:lineRule="auto"/>
        <w:ind w:right="663"/>
        <w:rPr>
          <w:rFonts w:asciiTheme="minorHAnsi" w:hAnsiTheme="minorHAnsi"/>
          <w:i/>
          <w:spacing w:val="-1"/>
          <w:sz w:val="22"/>
          <w:szCs w:val="22"/>
        </w:rPr>
      </w:pPr>
      <w:r w:rsidRPr="00F10E39">
        <w:rPr>
          <w:rFonts w:asciiTheme="minorHAnsi" w:hAnsiTheme="minorHAnsi"/>
          <w:i/>
          <w:spacing w:val="-1"/>
          <w:sz w:val="22"/>
          <w:szCs w:val="22"/>
        </w:rPr>
        <w:t>Monitoring and evaluation of the quality and improvement of adult education activities as described in section 223(1</w:t>
      </w:r>
      <w:proofErr w:type="gramStart"/>
      <w:r w:rsidRPr="00F10E39">
        <w:rPr>
          <w:rFonts w:asciiTheme="minorHAnsi" w:hAnsiTheme="minorHAnsi"/>
          <w:i/>
          <w:spacing w:val="-1"/>
          <w:sz w:val="22"/>
          <w:szCs w:val="22"/>
        </w:rPr>
        <w:t>)(</w:t>
      </w:r>
      <w:proofErr w:type="gramEnd"/>
      <w:r w:rsidRPr="00F10E39">
        <w:rPr>
          <w:rFonts w:asciiTheme="minorHAnsi" w:hAnsiTheme="minorHAnsi"/>
          <w:i/>
          <w:spacing w:val="-1"/>
          <w:sz w:val="22"/>
          <w:szCs w:val="22"/>
        </w:rPr>
        <w:t>d).</w:t>
      </w:r>
    </w:p>
    <w:p w14:paraId="16B1220D" w14:textId="39FFCC76" w:rsidR="00BA4342" w:rsidRPr="00082A78" w:rsidRDefault="00BA4342" w:rsidP="00C67C9B">
      <w:pPr>
        <w:autoSpaceDE w:val="0"/>
        <w:autoSpaceDN w:val="0"/>
        <w:spacing w:after="0"/>
        <w:rPr>
          <w:rFonts w:asciiTheme="minorHAnsi" w:hAnsiTheme="minorHAnsi" w:cs="Arial"/>
        </w:rPr>
      </w:pPr>
      <w:r w:rsidRPr="00082A78">
        <w:rPr>
          <w:rFonts w:asciiTheme="minorHAnsi" w:hAnsiTheme="minorHAnsi" w:cs="Arial"/>
        </w:rPr>
        <w:t xml:space="preserve">The state ABE leadership team monitored the quality of adult education </w:t>
      </w:r>
      <w:r w:rsidR="00C67C9B">
        <w:rPr>
          <w:rFonts w:asciiTheme="minorHAnsi" w:hAnsiTheme="minorHAnsi" w:cs="Arial"/>
        </w:rPr>
        <w:t>programs and activities through</w:t>
      </w:r>
      <w:r w:rsidR="00B86054">
        <w:rPr>
          <w:rFonts w:asciiTheme="minorHAnsi" w:hAnsiTheme="minorHAnsi" w:cs="Arial"/>
        </w:rPr>
        <w:t xml:space="preserve"> the following activities</w:t>
      </w:r>
      <w:r w:rsidR="00C67C9B">
        <w:rPr>
          <w:rFonts w:asciiTheme="minorHAnsi" w:hAnsiTheme="minorHAnsi" w:cs="Arial"/>
        </w:rPr>
        <w:t>: a</w:t>
      </w:r>
      <w:r w:rsidRPr="00082A78">
        <w:rPr>
          <w:rFonts w:asciiTheme="minorHAnsi" w:hAnsiTheme="minorHAnsi" w:cs="Arial"/>
        </w:rPr>
        <w:t xml:space="preserve"> competitive application process for federal AEFLA funds; </w:t>
      </w:r>
      <w:r w:rsidR="00C67C9B">
        <w:rPr>
          <w:rFonts w:asciiTheme="minorHAnsi" w:hAnsiTheme="minorHAnsi" w:cs="Arial"/>
        </w:rPr>
        <w:t>d</w:t>
      </w:r>
      <w:r w:rsidRPr="00082A78">
        <w:rPr>
          <w:rFonts w:asciiTheme="minorHAnsi" w:hAnsiTheme="minorHAnsi" w:cs="Arial"/>
        </w:rPr>
        <w:t>atabase development and training to better equip local programs and state staff to monitor local ABE data;</w:t>
      </w:r>
      <w:r w:rsidR="00C67C9B">
        <w:rPr>
          <w:rFonts w:asciiTheme="minorHAnsi" w:hAnsiTheme="minorHAnsi" w:cs="Arial"/>
        </w:rPr>
        <w:t xml:space="preserve"> s</w:t>
      </w:r>
      <w:r w:rsidRPr="00082A78">
        <w:rPr>
          <w:rFonts w:asciiTheme="minorHAnsi" w:hAnsiTheme="minorHAnsi" w:cs="Arial"/>
        </w:rPr>
        <w:t>ite visits to a number of local ABE programs based on issues identified through program reviews;</w:t>
      </w:r>
      <w:r w:rsidR="00C67C9B">
        <w:rPr>
          <w:rFonts w:asciiTheme="minorHAnsi" w:hAnsiTheme="minorHAnsi" w:cs="Arial"/>
        </w:rPr>
        <w:t xml:space="preserve"> a</w:t>
      </w:r>
      <w:r w:rsidRPr="00082A78">
        <w:rPr>
          <w:rFonts w:asciiTheme="minorHAnsi" w:hAnsiTheme="minorHAnsi" w:cs="Arial"/>
        </w:rPr>
        <w:t>nnual applications submitted by provider</w:t>
      </w:r>
      <w:r w:rsidR="00C67C9B">
        <w:rPr>
          <w:rFonts w:asciiTheme="minorHAnsi" w:hAnsiTheme="minorHAnsi" w:cs="Arial"/>
        </w:rPr>
        <w:t>s</w:t>
      </w:r>
      <w:r w:rsidRPr="00082A78">
        <w:rPr>
          <w:rFonts w:asciiTheme="minorHAnsi" w:hAnsiTheme="minorHAnsi" w:cs="Arial"/>
        </w:rPr>
        <w:t>;</w:t>
      </w:r>
      <w:r w:rsidR="00C67C9B">
        <w:rPr>
          <w:rFonts w:asciiTheme="minorHAnsi" w:hAnsiTheme="minorHAnsi" w:cs="Arial"/>
        </w:rPr>
        <w:t xml:space="preserve"> and a</w:t>
      </w:r>
      <w:r w:rsidRPr="00082A78">
        <w:rPr>
          <w:rFonts w:asciiTheme="minorHAnsi" w:hAnsiTheme="minorHAnsi" w:cs="Arial"/>
        </w:rPr>
        <w:t>n annual report card developed</w:t>
      </w:r>
      <w:r w:rsidR="00C67C9B">
        <w:rPr>
          <w:rFonts w:asciiTheme="minorHAnsi" w:hAnsiTheme="minorHAnsi" w:cs="Arial"/>
        </w:rPr>
        <w:t xml:space="preserve"> and promoted with programs. In addition, a</w:t>
      </w:r>
      <w:r w:rsidRPr="00082A78">
        <w:rPr>
          <w:rFonts w:asciiTheme="minorHAnsi" w:hAnsiTheme="minorHAnsi" w:cs="Arial"/>
        </w:rPr>
        <w:t>ccountability training was provided at the following events:  support services conference, ABE summer institute, regional events, statewide local administrator meetings, quarterly webinars, and other events upon request.</w:t>
      </w:r>
      <w:r w:rsidR="00C67C9B">
        <w:rPr>
          <w:rFonts w:asciiTheme="minorHAnsi" w:hAnsiTheme="minorHAnsi" w:cs="Arial"/>
        </w:rPr>
        <w:t xml:space="preserve"> </w:t>
      </w:r>
      <w:r w:rsidRPr="00082A78">
        <w:rPr>
          <w:rFonts w:asciiTheme="minorHAnsi" w:hAnsiTheme="minorHAnsi" w:cs="Arial"/>
        </w:rPr>
        <w:t xml:space="preserve">Additional details can be found online at:  </w:t>
      </w:r>
      <w:hyperlink r:id="rId25" w:history="1">
        <w:r w:rsidRPr="00082A78">
          <w:rPr>
            <w:rStyle w:val="Hyperlink"/>
            <w:rFonts w:asciiTheme="minorHAnsi" w:hAnsiTheme="minorHAnsi" w:cs="Arial"/>
          </w:rPr>
          <w:t>http://www.mnabe.org/program-management</w:t>
        </w:r>
      </w:hyperlink>
      <w:r w:rsidRPr="00082A78">
        <w:rPr>
          <w:rFonts w:asciiTheme="minorHAnsi" w:hAnsiTheme="minorHAnsi" w:cs="Arial"/>
        </w:rPr>
        <w:t xml:space="preserve"> </w:t>
      </w:r>
    </w:p>
    <w:p w14:paraId="24741687" w14:textId="77777777" w:rsidR="00BA4342" w:rsidRPr="00F10E39" w:rsidRDefault="00BA4342" w:rsidP="00082A78">
      <w:pPr>
        <w:pStyle w:val="Heading3"/>
        <w:rPr>
          <w:b w:val="0"/>
          <w:i/>
          <w:color w:val="auto"/>
          <w:sz w:val="22"/>
          <w:szCs w:val="22"/>
        </w:rPr>
      </w:pPr>
      <w:r w:rsidRPr="00F10E39">
        <w:rPr>
          <w:b w:val="0"/>
          <w:i/>
          <w:color w:val="auto"/>
          <w:sz w:val="22"/>
          <w:szCs w:val="22"/>
        </w:rPr>
        <w:t>(b) As applicable, describe how the State has used funds for additional permissible activities described in section 223(a</w:t>
      </w:r>
      <w:proofErr w:type="gramStart"/>
      <w:r w:rsidRPr="00F10E39">
        <w:rPr>
          <w:b w:val="0"/>
          <w:i/>
          <w:color w:val="auto"/>
          <w:sz w:val="22"/>
          <w:szCs w:val="22"/>
        </w:rPr>
        <w:t>)(</w:t>
      </w:r>
      <w:proofErr w:type="gramEnd"/>
      <w:r w:rsidRPr="00F10E39">
        <w:rPr>
          <w:b w:val="0"/>
          <w:i/>
          <w:color w:val="auto"/>
          <w:sz w:val="22"/>
          <w:szCs w:val="22"/>
        </w:rPr>
        <w:t>2).</w:t>
      </w:r>
    </w:p>
    <w:p w14:paraId="14910FAA" w14:textId="77777777" w:rsidR="00BA4342" w:rsidRPr="00746739" w:rsidRDefault="00BA4342" w:rsidP="00082A78">
      <w:pPr>
        <w:tabs>
          <w:tab w:val="left" w:pos="-1440"/>
          <w:tab w:val="left" w:pos="-720"/>
        </w:tabs>
        <w:spacing w:before="0" w:after="0" w:line="240" w:lineRule="auto"/>
        <w:ind w:right="-144"/>
        <w:rPr>
          <w:rFonts w:asciiTheme="minorHAnsi" w:eastAsia="Times New Roman" w:hAnsiTheme="minorHAnsi" w:cs="Times New Roman"/>
        </w:rPr>
      </w:pPr>
      <w:r w:rsidRPr="00746739">
        <w:rPr>
          <w:rFonts w:asciiTheme="minorHAnsi" w:eastAsia="Times New Roman" w:hAnsiTheme="minorHAnsi" w:cs="Times New Roman"/>
          <w:b/>
        </w:rPr>
        <w:t>Volunteer Training and Support</w:t>
      </w:r>
      <w:r w:rsidRPr="00746739">
        <w:rPr>
          <w:rFonts w:asciiTheme="minorHAnsi" w:eastAsia="Times New Roman" w:hAnsiTheme="minorHAnsi" w:cs="Times New Roman"/>
        </w:rPr>
        <w:t>:  As specified in the Minnesota state plan for Adult Basic Education, the Minnesota Department of Education Adult Basic Education (ABE) office continues to collaborate with and provide state leadership resources to the Minnesota Literacy Council (MLC) (</w:t>
      </w:r>
      <w:hyperlink r:id="rId26" w:history="1">
        <w:r w:rsidRPr="00746739">
          <w:rPr>
            <w:rFonts w:asciiTheme="minorHAnsi" w:eastAsia="Times New Roman" w:hAnsiTheme="minorHAnsi" w:cs="Times New Roman"/>
            <w:color w:val="0000FF"/>
            <w:u w:val="single"/>
          </w:rPr>
          <w:t>www.mnliteracy.org</w:t>
        </w:r>
      </w:hyperlink>
      <w:r w:rsidRPr="00746739">
        <w:rPr>
          <w:rFonts w:asciiTheme="minorHAnsi" w:eastAsia="Times New Roman" w:hAnsiTheme="minorHAnsi" w:cs="Times New Roman"/>
        </w:rPr>
        <w:t>) to provide literacy tutor training in Minnesota. That collaboration and support yields a substantial capacity to deliver volunteer tutor training statewide including through innovative projects such as online training.  The MLC also supports volunteer tutors through their “Tutor Tip” e-mails and website archive. Most tutors work in settings where their work supports that of a licensed ABE teacher.</w:t>
      </w:r>
    </w:p>
    <w:p w14:paraId="1C129F56" w14:textId="77777777" w:rsidR="00BA4342" w:rsidRPr="00746739" w:rsidRDefault="00BA4342" w:rsidP="00082A78">
      <w:pPr>
        <w:tabs>
          <w:tab w:val="left" w:pos="-1440"/>
          <w:tab w:val="left" w:pos="-720"/>
        </w:tabs>
        <w:spacing w:before="0" w:after="0" w:line="240" w:lineRule="auto"/>
        <w:ind w:right="-144"/>
        <w:rPr>
          <w:rFonts w:asciiTheme="minorHAnsi" w:eastAsia="Times New Roman" w:hAnsiTheme="minorHAnsi" w:cs="Times New Roman"/>
          <w:b/>
          <w:color w:val="000000"/>
        </w:rPr>
      </w:pPr>
    </w:p>
    <w:p w14:paraId="11777106" w14:textId="77777777" w:rsidR="00BA4342" w:rsidRPr="00746739" w:rsidRDefault="00BA4342" w:rsidP="00082A78">
      <w:pPr>
        <w:tabs>
          <w:tab w:val="left" w:pos="-1440"/>
          <w:tab w:val="left" w:pos="-720"/>
        </w:tabs>
        <w:spacing w:before="0" w:after="0" w:line="240" w:lineRule="auto"/>
        <w:ind w:right="-144"/>
        <w:rPr>
          <w:rFonts w:asciiTheme="minorHAnsi" w:eastAsia="Times New Roman" w:hAnsiTheme="minorHAnsi" w:cs="Times New Roman"/>
          <w:color w:val="000000"/>
        </w:rPr>
      </w:pPr>
      <w:r w:rsidRPr="00746739">
        <w:rPr>
          <w:rFonts w:asciiTheme="minorHAnsi" w:eastAsia="Times New Roman" w:hAnsiTheme="minorHAnsi" w:cs="Times New Roman"/>
          <w:b/>
          <w:color w:val="000000"/>
        </w:rPr>
        <w:t>Distance Learning and Digital Literacy:  Building Adults’ Technology Skills</w:t>
      </w:r>
      <w:r w:rsidRPr="00746739">
        <w:rPr>
          <w:rFonts w:asciiTheme="minorHAnsi" w:eastAsia="Times New Roman" w:hAnsiTheme="minorHAnsi" w:cs="Times New Roman"/>
          <w:color w:val="000000"/>
        </w:rPr>
        <w:t xml:space="preserve">: Leadership resources helped the Minnesota Literacy Council ensure that technical assistance and training was available for programs so they can help ABE </w:t>
      </w:r>
      <w:proofErr w:type="gramStart"/>
      <w:r w:rsidRPr="00746739">
        <w:rPr>
          <w:rFonts w:asciiTheme="minorHAnsi" w:eastAsia="Times New Roman" w:hAnsiTheme="minorHAnsi" w:cs="Times New Roman"/>
          <w:color w:val="000000"/>
        </w:rPr>
        <w:t>students</w:t>
      </w:r>
      <w:proofErr w:type="gramEnd"/>
      <w:r w:rsidRPr="00746739">
        <w:rPr>
          <w:rFonts w:asciiTheme="minorHAnsi" w:eastAsia="Times New Roman" w:hAnsiTheme="minorHAnsi" w:cs="Times New Roman"/>
          <w:color w:val="000000"/>
        </w:rPr>
        <w:t xml:space="preserve"> access numerous distance learning options through their local ABE sites. The Minnesota Literacy Council also conducted trainings with ABE staff to support their integration of digital literacy skill instruction and assessment of students using the </w:t>
      </w:r>
      <w:proofErr w:type="spellStart"/>
      <w:r w:rsidRPr="00746739">
        <w:rPr>
          <w:rFonts w:asciiTheme="minorHAnsi" w:eastAsia="Times New Roman" w:hAnsiTheme="minorHAnsi" w:cs="Times New Roman"/>
          <w:color w:val="000000"/>
        </w:rPr>
        <w:t>Northstar</w:t>
      </w:r>
      <w:proofErr w:type="spellEnd"/>
      <w:r w:rsidRPr="00746739">
        <w:rPr>
          <w:rFonts w:asciiTheme="minorHAnsi" w:eastAsia="Times New Roman" w:hAnsiTheme="minorHAnsi" w:cs="Times New Roman"/>
          <w:color w:val="000000"/>
        </w:rPr>
        <w:t xml:space="preserve"> Digital Literacy Standards and Assessments.</w:t>
      </w:r>
    </w:p>
    <w:p w14:paraId="2E37B14C" w14:textId="77777777" w:rsidR="00BA4342" w:rsidRPr="00746739" w:rsidRDefault="00BA4342" w:rsidP="00082A78">
      <w:pPr>
        <w:tabs>
          <w:tab w:val="left" w:pos="-1440"/>
          <w:tab w:val="left" w:pos="-720"/>
        </w:tabs>
        <w:spacing w:before="0" w:after="0" w:line="240" w:lineRule="auto"/>
        <w:ind w:right="-144"/>
        <w:rPr>
          <w:rFonts w:asciiTheme="minorHAnsi" w:eastAsia="Times New Roman" w:hAnsiTheme="minorHAnsi" w:cs="Times New Roman"/>
        </w:rPr>
      </w:pPr>
    </w:p>
    <w:p w14:paraId="29997A57" w14:textId="77777777" w:rsidR="00BA4342" w:rsidRPr="00746739" w:rsidRDefault="00BA4342" w:rsidP="00082A78">
      <w:pPr>
        <w:tabs>
          <w:tab w:val="left" w:pos="-1440"/>
          <w:tab w:val="left" w:pos="-720"/>
        </w:tabs>
        <w:spacing w:before="0" w:after="0" w:line="240" w:lineRule="auto"/>
        <w:ind w:right="-144"/>
        <w:rPr>
          <w:rFonts w:asciiTheme="minorHAnsi" w:eastAsia="Times New Roman" w:hAnsiTheme="minorHAnsi" w:cs="Times New Roman"/>
        </w:rPr>
      </w:pPr>
      <w:r w:rsidRPr="00746739">
        <w:rPr>
          <w:rFonts w:asciiTheme="minorHAnsi" w:eastAsia="Times New Roman" w:hAnsiTheme="minorHAnsi" w:cs="Times New Roman"/>
          <w:b/>
        </w:rPr>
        <w:t>Serving Students with Disabilities:</w:t>
      </w:r>
      <w:r w:rsidRPr="00746739">
        <w:rPr>
          <w:rFonts w:asciiTheme="minorHAnsi" w:eastAsia="Times New Roman" w:hAnsiTheme="minorHAnsi" w:cs="Times New Roman"/>
        </w:rPr>
        <w:t xml:space="preserve"> Leadership resources supported the delivery of professional development and technical assistance in the arena of serving adults with disabilities and maintenance of a disabilities website</w:t>
      </w:r>
      <w:hyperlink r:id="rId27">
        <w:r w:rsidRPr="00746739">
          <w:rPr>
            <w:rStyle w:val="Hyperlink"/>
            <w:rFonts w:asciiTheme="minorHAnsi" w:eastAsia="Times New Roman" w:hAnsiTheme="minorHAnsi" w:cs="Times New Roman"/>
          </w:rPr>
          <w:t xml:space="preserve"> </w:t>
        </w:r>
      </w:hyperlink>
      <w:hyperlink r:id="rId28">
        <w:r w:rsidRPr="00746739">
          <w:rPr>
            <w:rStyle w:val="Hyperlink"/>
            <w:rFonts w:asciiTheme="minorHAnsi" w:eastAsia="Times New Roman" w:hAnsiTheme="minorHAnsi" w:cs="Times New Roman"/>
          </w:rPr>
          <w:t>http://mn.abedisabilities.org</w:t>
        </w:r>
      </w:hyperlink>
      <w:r w:rsidRPr="00746739">
        <w:rPr>
          <w:rFonts w:asciiTheme="minorHAnsi" w:eastAsia="Times New Roman" w:hAnsiTheme="minorHAnsi" w:cs="Times New Roman"/>
        </w:rPr>
        <w:t>. The disabilities service provider also provided training on using Universal Design for Learning principles and strategies to address the varied needs of adult learners.</w:t>
      </w:r>
    </w:p>
    <w:p w14:paraId="484339AD" w14:textId="77777777" w:rsidR="00BA4342" w:rsidRDefault="00BA4342" w:rsidP="00082A78">
      <w:pPr>
        <w:rPr>
          <w:noProof/>
        </w:rPr>
      </w:pPr>
    </w:p>
    <w:p w14:paraId="56086C66" w14:textId="77777777" w:rsidR="00BA4342" w:rsidRPr="004C3645" w:rsidRDefault="00BA4342" w:rsidP="00082A78">
      <w:pPr>
        <w:pStyle w:val="Heading2"/>
        <w:rPr>
          <w:rFonts w:eastAsia="Times New Roman"/>
          <w:sz w:val="28"/>
          <w:szCs w:val="28"/>
        </w:rPr>
      </w:pPr>
      <w:r w:rsidRPr="004C3645">
        <w:rPr>
          <w:rFonts w:eastAsia="Times New Roman"/>
          <w:sz w:val="28"/>
          <w:szCs w:val="28"/>
        </w:rPr>
        <w:t>Section 2: Performance Data Analyses</w:t>
      </w:r>
    </w:p>
    <w:p w14:paraId="1C337AFF" w14:textId="77777777" w:rsidR="00BA4342" w:rsidRPr="00F10E39" w:rsidRDefault="00BA4342" w:rsidP="00082A78">
      <w:pPr>
        <w:pStyle w:val="Heading3"/>
        <w:rPr>
          <w:b w:val="0"/>
          <w:i/>
          <w:color w:val="auto"/>
          <w:sz w:val="22"/>
          <w:szCs w:val="22"/>
        </w:rPr>
      </w:pPr>
      <w:r w:rsidRPr="00F10E39">
        <w:rPr>
          <w:b w:val="0"/>
          <w:i/>
          <w:color w:val="auto"/>
          <w:sz w:val="22"/>
          <w:szCs w:val="22"/>
        </w:rPr>
        <w:t xml:space="preserve">Describe how the adult education program performed in the overall assessment of core programs based on the core indicators of performance. </w:t>
      </w:r>
    </w:p>
    <w:p w14:paraId="7E02385D" w14:textId="77777777" w:rsidR="00BA4342" w:rsidRPr="00A8345B" w:rsidRDefault="00BA4342" w:rsidP="00082A78">
      <w:pPr>
        <w:spacing w:after="120"/>
        <w:rPr>
          <w:rFonts w:asciiTheme="minorHAnsi" w:hAnsiTheme="minorHAnsi" w:cs="Arial"/>
        </w:rPr>
      </w:pPr>
      <w:r w:rsidRPr="00A8345B">
        <w:rPr>
          <w:rFonts w:asciiTheme="minorHAnsi" w:hAnsiTheme="minorHAnsi" w:cs="Arial"/>
          <w:b/>
        </w:rPr>
        <w:t xml:space="preserve">Minnesota National Reporting System (NRS) Outcomes:  </w:t>
      </w:r>
      <w:r w:rsidRPr="00A8345B">
        <w:rPr>
          <w:rFonts w:asciiTheme="minorHAnsi" w:hAnsiTheme="minorHAnsi" w:cs="Arial"/>
        </w:rPr>
        <w:t>Negotiated Targets and Actual Results (FFYs 2013 – 2016)</w:t>
      </w:r>
    </w:p>
    <w:tbl>
      <w:tblPr>
        <w:tblW w:w="10980" w:type="dxa"/>
        <w:jc w:val="center"/>
        <w:tblLayout w:type="fixed"/>
        <w:tblLook w:val="0000" w:firstRow="0" w:lastRow="0" w:firstColumn="0" w:lastColumn="0" w:noHBand="0" w:noVBand="0"/>
      </w:tblPr>
      <w:tblGrid>
        <w:gridCol w:w="4050"/>
        <w:gridCol w:w="810"/>
        <w:gridCol w:w="810"/>
        <w:gridCol w:w="810"/>
        <w:gridCol w:w="810"/>
        <w:gridCol w:w="813"/>
        <w:gridCol w:w="900"/>
        <w:gridCol w:w="900"/>
        <w:gridCol w:w="1077"/>
      </w:tblGrid>
      <w:tr w:rsidR="00BA4342" w:rsidRPr="00C01F7F" w14:paraId="17E5EF5C" w14:textId="77777777" w:rsidTr="00F446C8">
        <w:trPr>
          <w:trHeight w:val="350"/>
          <w:tblHeader/>
          <w:jc w:val="center"/>
        </w:trPr>
        <w:tc>
          <w:tcPr>
            <w:tcW w:w="4050" w:type="dxa"/>
            <w:vMerge w:val="restart"/>
            <w:tcBorders>
              <w:top w:val="single" w:sz="4" w:space="0" w:color="auto"/>
              <w:left w:val="single" w:sz="4" w:space="0" w:color="auto"/>
              <w:bottom w:val="single" w:sz="8" w:space="0" w:color="000000"/>
              <w:right w:val="single" w:sz="4" w:space="0" w:color="auto"/>
            </w:tcBorders>
            <w:shd w:val="clear" w:color="auto" w:fill="4F6228"/>
            <w:vAlign w:val="center"/>
          </w:tcPr>
          <w:p w14:paraId="36393CAD" w14:textId="77777777" w:rsidR="00BA4342" w:rsidRPr="00C01F7F" w:rsidRDefault="00BA4342" w:rsidP="00082A78">
            <w:pPr>
              <w:spacing w:before="0" w:after="0"/>
              <w:rPr>
                <w:rFonts w:cs="Arial"/>
                <w:b/>
                <w:bCs/>
                <w:color w:val="FFFFFF"/>
                <w:sz w:val="20"/>
                <w:szCs w:val="20"/>
              </w:rPr>
            </w:pPr>
            <w:bookmarkStart w:id="0" w:name="RANGE!A1:K28"/>
            <w:bookmarkEnd w:id="0"/>
            <w:r w:rsidRPr="00C01F7F">
              <w:rPr>
                <w:rFonts w:cs="Arial"/>
                <w:b/>
                <w:bCs/>
                <w:color w:val="FFFFFF"/>
                <w:sz w:val="20"/>
                <w:szCs w:val="20"/>
              </w:rPr>
              <w:t>NRS Educational Functioning Level and Core Indicator Goals</w:t>
            </w:r>
          </w:p>
        </w:tc>
        <w:tc>
          <w:tcPr>
            <w:tcW w:w="1620" w:type="dxa"/>
            <w:gridSpan w:val="2"/>
            <w:tcBorders>
              <w:top w:val="single" w:sz="4" w:space="0" w:color="auto"/>
              <w:left w:val="nil"/>
              <w:bottom w:val="single" w:sz="4" w:space="0" w:color="auto"/>
              <w:right w:val="single" w:sz="4" w:space="0" w:color="auto"/>
            </w:tcBorders>
            <w:shd w:val="clear" w:color="auto" w:fill="4F6228"/>
            <w:vAlign w:val="center"/>
          </w:tcPr>
          <w:p w14:paraId="4CD97A1C" w14:textId="77777777" w:rsidR="00BA4342" w:rsidRPr="00C01F7F" w:rsidRDefault="00BA4342" w:rsidP="00082A78">
            <w:pPr>
              <w:spacing w:before="0" w:after="0"/>
              <w:jc w:val="center"/>
              <w:rPr>
                <w:rFonts w:cs="Arial"/>
                <w:b/>
                <w:bCs/>
                <w:color w:val="FFFFFF"/>
                <w:sz w:val="20"/>
                <w:szCs w:val="20"/>
              </w:rPr>
            </w:pPr>
            <w:r>
              <w:rPr>
                <w:rFonts w:cs="Arial"/>
                <w:b/>
                <w:bCs/>
                <w:color w:val="FFFFFF"/>
                <w:sz w:val="20"/>
                <w:szCs w:val="20"/>
              </w:rPr>
              <w:t>FY 2013</w:t>
            </w:r>
            <w:r w:rsidRPr="00C01F7F">
              <w:rPr>
                <w:rFonts w:cs="Arial"/>
                <w:b/>
                <w:bCs/>
                <w:color w:val="FFFFFF"/>
                <w:sz w:val="20"/>
                <w:szCs w:val="20"/>
              </w:rPr>
              <w:t>-201</w:t>
            </w:r>
            <w:r>
              <w:rPr>
                <w:rFonts w:cs="Arial"/>
                <w:b/>
                <w:bCs/>
                <w:color w:val="FFFFFF"/>
                <w:sz w:val="20"/>
                <w:szCs w:val="20"/>
              </w:rPr>
              <w:t>4</w:t>
            </w:r>
          </w:p>
        </w:tc>
        <w:tc>
          <w:tcPr>
            <w:tcW w:w="1620" w:type="dxa"/>
            <w:gridSpan w:val="2"/>
            <w:tcBorders>
              <w:top w:val="single" w:sz="4" w:space="0" w:color="auto"/>
              <w:left w:val="nil"/>
              <w:bottom w:val="single" w:sz="4" w:space="0" w:color="auto"/>
              <w:right w:val="single" w:sz="4" w:space="0" w:color="auto"/>
            </w:tcBorders>
            <w:shd w:val="clear" w:color="auto" w:fill="4F6228"/>
            <w:vAlign w:val="center"/>
          </w:tcPr>
          <w:p w14:paraId="4E2E6607" w14:textId="77777777" w:rsidR="00BA4342" w:rsidRPr="00C01F7F" w:rsidRDefault="00BA4342" w:rsidP="00082A78">
            <w:pPr>
              <w:spacing w:before="0" w:after="0"/>
              <w:jc w:val="center"/>
              <w:rPr>
                <w:rFonts w:cs="Arial"/>
                <w:b/>
                <w:bCs/>
                <w:color w:val="FFFFFF"/>
                <w:sz w:val="20"/>
                <w:szCs w:val="20"/>
              </w:rPr>
            </w:pPr>
            <w:r>
              <w:rPr>
                <w:rFonts w:cs="Arial"/>
                <w:b/>
                <w:bCs/>
                <w:color w:val="FFFFFF"/>
                <w:sz w:val="20"/>
                <w:szCs w:val="20"/>
              </w:rPr>
              <w:t>FY 2014</w:t>
            </w:r>
            <w:r w:rsidRPr="00C01F7F">
              <w:rPr>
                <w:rFonts w:cs="Arial"/>
                <w:b/>
                <w:bCs/>
                <w:color w:val="FFFFFF"/>
                <w:sz w:val="20"/>
                <w:szCs w:val="20"/>
              </w:rPr>
              <w:t>-201</w:t>
            </w:r>
            <w:r>
              <w:rPr>
                <w:rFonts w:cs="Arial"/>
                <w:b/>
                <w:bCs/>
                <w:color w:val="FFFFFF"/>
                <w:sz w:val="20"/>
                <w:szCs w:val="20"/>
              </w:rPr>
              <w:t>5</w:t>
            </w:r>
          </w:p>
        </w:tc>
        <w:tc>
          <w:tcPr>
            <w:tcW w:w="1713" w:type="dxa"/>
            <w:gridSpan w:val="2"/>
            <w:tcBorders>
              <w:top w:val="single" w:sz="4" w:space="0" w:color="auto"/>
              <w:left w:val="nil"/>
              <w:bottom w:val="single" w:sz="4" w:space="0" w:color="auto"/>
              <w:right w:val="single" w:sz="4" w:space="0" w:color="auto"/>
            </w:tcBorders>
            <w:shd w:val="clear" w:color="auto" w:fill="4F6228"/>
            <w:vAlign w:val="center"/>
          </w:tcPr>
          <w:p w14:paraId="650CFCEC" w14:textId="77777777" w:rsidR="00BA4342" w:rsidRPr="00C01F7F" w:rsidRDefault="00BA4342" w:rsidP="00082A78">
            <w:pPr>
              <w:spacing w:before="0" w:after="0"/>
              <w:jc w:val="center"/>
              <w:rPr>
                <w:rFonts w:cs="Arial"/>
                <w:b/>
                <w:bCs/>
                <w:color w:val="FFFFFF"/>
                <w:sz w:val="20"/>
                <w:szCs w:val="20"/>
              </w:rPr>
            </w:pPr>
            <w:r>
              <w:rPr>
                <w:rFonts w:cs="Arial"/>
                <w:b/>
                <w:bCs/>
                <w:color w:val="FFFFFF"/>
                <w:sz w:val="20"/>
                <w:szCs w:val="20"/>
              </w:rPr>
              <w:t>FY 2015</w:t>
            </w:r>
            <w:r w:rsidRPr="00C01F7F">
              <w:rPr>
                <w:rFonts w:cs="Arial"/>
                <w:b/>
                <w:bCs/>
                <w:color w:val="FFFFFF"/>
                <w:sz w:val="20"/>
                <w:szCs w:val="20"/>
              </w:rPr>
              <w:t>-201</w:t>
            </w:r>
            <w:r>
              <w:rPr>
                <w:rFonts w:cs="Arial"/>
                <w:b/>
                <w:bCs/>
                <w:color w:val="FFFFFF"/>
                <w:sz w:val="20"/>
                <w:szCs w:val="20"/>
              </w:rPr>
              <w:t>6</w:t>
            </w:r>
          </w:p>
        </w:tc>
        <w:tc>
          <w:tcPr>
            <w:tcW w:w="1977" w:type="dxa"/>
            <w:gridSpan w:val="2"/>
            <w:tcBorders>
              <w:top w:val="single" w:sz="4" w:space="0" w:color="auto"/>
              <w:left w:val="nil"/>
              <w:bottom w:val="single" w:sz="4" w:space="0" w:color="auto"/>
              <w:right w:val="single" w:sz="4" w:space="0" w:color="auto"/>
            </w:tcBorders>
            <w:shd w:val="clear" w:color="auto" w:fill="4F6228"/>
            <w:vAlign w:val="center"/>
          </w:tcPr>
          <w:p w14:paraId="3E4FD688" w14:textId="77777777" w:rsidR="00BA4342" w:rsidRPr="00C01F7F" w:rsidRDefault="00BA4342" w:rsidP="00082A78">
            <w:pPr>
              <w:spacing w:before="0" w:after="0"/>
              <w:jc w:val="center"/>
              <w:rPr>
                <w:rFonts w:cs="Arial"/>
                <w:b/>
                <w:bCs/>
                <w:color w:val="FFFFFF"/>
                <w:sz w:val="20"/>
                <w:szCs w:val="20"/>
              </w:rPr>
            </w:pPr>
            <w:r>
              <w:rPr>
                <w:rFonts w:cs="Arial"/>
                <w:b/>
                <w:bCs/>
                <w:color w:val="FFFFFF"/>
                <w:sz w:val="20"/>
                <w:szCs w:val="20"/>
              </w:rPr>
              <w:t>FY 2016</w:t>
            </w:r>
            <w:r w:rsidRPr="00C01F7F">
              <w:rPr>
                <w:rFonts w:cs="Arial"/>
                <w:b/>
                <w:bCs/>
                <w:color w:val="FFFFFF"/>
                <w:sz w:val="20"/>
                <w:szCs w:val="20"/>
              </w:rPr>
              <w:t>-1</w:t>
            </w:r>
            <w:r>
              <w:rPr>
                <w:rFonts w:cs="Arial"/>
                <w:b/>
                <w:bCs/>
                <w:color w:val="FFFFFF"/>
                <w:sz w:val="20"/>
                <w:szCs w:val="20"/>
              </w:rPr>
              <w:t>7</w:t>
            </w:r>
          </w:p>
        </w:tc>
      </w:tr>
      <w:tr w:rsidR="00BA4342" w:rsidRPr="00C01F7F" w14:paraId="1A1FCB4A" w14:textId="77777777" w:rsidTr="00F446C8">
        <w:trPr>
          <w:trHeight w:val="601"/>
          <w:tblHeader/>
          <w:jc w:val="center"/>
        </w:trPr>
        <w:tc>
          <w:tcPr>
            <w:tcW w:w="4050" w:type="dxa"/>
            <w:vMerge/>
            <w:tcBorders>
              <w:top w:val="single" w:sz="4" w:space="0" w:color="auto"/>
              <w:left w:val="single" w:sz="4" w:space="0" w:color="auto"/>
              <w:bottom w:val="single" w:sz="8" w:space="0" w:color="000000"/>
              <w:right w:val="single" w:sz="4" w:space="0" w:color="auto"/>
            </w:tcBorders>
            <w:shd w:val="clear" w:color="auto" w:fill="4F6228"/>
            <w:vAlign w:val="center"/>
          </w:tcPr>
          <w:p w14:paraId="6B1C48A1" w14:textId="77777777" w:rsidR="00BA4342" w:rsidRPr="00C01F7F" w:rsidRDefault="00BA4342" w:rsidP="00082A78">
            <w:pPr>
              <w:spacing w:before="0" w:after="0"/>
              <w:rPr>
                <w:rFonts w:cs="Arial"/>
                <w:b/>
                <w:bCs/>
                <w:color w:val="FFFFFF"/>
                <w:sz w:val="20"/>
                <w:szCs w:val="20"/>
              </w:rPr>
            </w:pPr>
          </w:p>
        </w:tc>
        <w:tc>
          <w:tcPr>
            <w:tcW w:w="1620" w:type="dxa"/>
            <w:gridSpan w:val="2"/>
            <w:tcBorders>
              <w:top w:val="single" w:sz="4" w:space="0" w:color="auto"/>
              <w:left w:val="nil"/>
              <w:bottom w:val="single" w:sz="4" w:space="0" w:color="auto"/>
              <w:right w:val="single" w:sz="4" w:space="0" w:color="auto"/>
            </w:tcBorders>
            <w:shd w:val="clear" w:color="auto" w:fill="4F6228"/>
            <w:vAlign w:val="center"/>
          </w:tcPr>
          <w:p w14:paraId="371B28C6" w14:textId="77777777" w:rsidR="00BA4342" w:rsidRPr="00C01F7F" w:rsidRDefault="00BA4342" w:rsidP="00082A78">
            <w:pPr>
              <w:spacing w:before="0" w:after="0"/>
              <w:jc w:val="center"/>
              <w:rPr>
                <w:rFonts w:cs="Arial"/>
                <w:color w:val="FFFFFF"/>
                <w:sz w:val="20"/>
                <w:szCs w:val="20"/>
              </w:rPr>
            </w:pPr>
            <w:r w:rsidRPr="00C01F7F">
              <w:rPr>
                <w:rFonts w:cs="Arial"/>
                <w:color w:val="FFFFFF"/>
                <w:sz w:val="20"/>
                <w:szCs w:val="20"/>
              </w:rPr>
              <w:t>% Completing Each Level/Goal</w:t>
            </w:r>
          </w:p>
        </w:tc>
        <w:tc>
          <w:tcPr>
            <w:tcW w:w="1620" w:type="dxa"/>
            <w:gridSpan w:val="2"/>
            <w:tcBorders>
              <w:top w:val="single" w:sz="4" w:space="0" w:color="auto"/>
              <w:left w:val="nil"/>
              <w:bottom w:val="single" w:sz="4" w:space="0" w:color="auto"/>
              <w:right w:val="single" w:sz="4" w:space="0" w:color="auto"/>
            </w:tcBorders>
            <w:shd w:val="clear" w:color="auto" w:fill="4F6228"/>
            <w:vAlign w:val="center"/>
          </w:tcPr>
          <w:p w14:paraId="27F7F724" w14:textId="77777777" w:rsidR="00BA4342" w:rsidRPr="00C01F7F" w:rsidRDefault="00BA4342" w:rsidP="00082A78">
            <w:pPr>
              <w:spacing w:before="0" w:after="0"/>
              <w:jc w:val="center"/>
              <w:rPr>
                <w:rFonts w:cs="Arial"/>
                <w:color w:val="FFFFFF"/>
                <w:sz w:val="20"/>
                <w:szCs w:val="20"/>
              </w:rPr>
            </w:pPr>
            <w:r w:rsidRPr="00C01F7F">
              <w:rPr>
                <w:rFonts w:cs="Arial"/>
                <w:color w:val="FFFFFF"/>
                <w:sz w:val="20"/>
                <w:szCs w:val="20"/>
              </w:rPr>
              <w:t>% Completing Each Level/Goal</w:t>
            </w:r>
          </w:p>
        </w:tc>
        <w:tc>
          <w:tcPr>
            <w:tcW w:w="1713" w:type="dxa"/>
            <w:gridSpan w:val="2"/>
            <w:tcBorders>
              <w:top w:val="single" w:sz="4" w:space="0" w:color="auto"/>
              <w:left w:val="nil"/>
              <w:bottom w:val="single" w:sz="4" w:space="0" w:color="auto"/>
              <w:right w:val="single" w:sz="4" w:space="0" w:color="auto"/>
            </w:tcBorders>
            <w:shd w:val="clear" w:color="auto" w:fill="4F6228"/>
            <w:vAlign w:val="center"/>
          </w:tcPr>
          <w:p w14:paraId="6ED0F74B" w14:textId="77777777" w:rsidR="00BA4342" w:rsidRPr="00C01F7F" w:rsidRDefault="00BA4342" w:rsidP="00082A78">
            <w:pPr>
              <w:spacing w:before="0" w:after="0"/>
              <w:jc w:val="center"/>
              <w:rPr>
                <w:rFonts w:cs="Arial"/>
                <w:color w:val="FFFFFF"/>
                <w:sz w:val="20"/>
                <w:szCs w:val="20"/>
              </w:rPr>
            </w:pPr>
            <w:r w:rsidRPr="00C01F7F">
              <w:rPr>
                <w:rFonts w:cs="Arial"/>
                <w:color w:val="FFFFFF"/>
                <w:sz w:val="20"/>
                <w:szCs w:val="20"/>
              </w:rPr>
              <w:t>% Completing Each Level/Goal</w:t>
            </w:r>
          </w:p>
        </w:tc>
        <w:tc>
          <w:tcPr>
            <w:tcW w:w="1977" w:type="dxa"/>
            <w:gridSpan w:val="2"/>
            <w:tcBorders>
              <w:top w:val="single" w:sz="4" w:space="0" w:color="auto"/>
              <w:left w:val="nil"/>
              <w:bottom w:val="single" w:sz="4" w:space="0" w:color="auto"/>
              <w:right w:val="single" w:sz="4" w:space="0" w:color="auto"/>
            </w:tcBorders>
            <w:shd w:val="clear" w:color="auto" w:fill="4F6228"/>
            <w:vAlign w:val="center"/>
          </w:tcPr>
          <w:p w14:paraId="61ABE291" w14:textId="77777777" w:rsidR="00BA4342" w:rsidRPr="00C01F7F" w:rsidRDefault="00BA4342" w:rsidP="00082A78">
            <w:pPr>
              <w:spacing w:before="0" w:after="0"/>
              <w:jc w:val="center"/>
              <w:rPr>
                <w:rFonts w:cs="Arial"/>
                <w:color w:val="FFFFFF"/>
                <w:sz w:val="20"/>
                <w:szCs w:val="20"/>
              </w:rPr>
            </w:pPr>
            <w:r w:rsidRPr="00C01F7F">
              <w:rPr>
                <w:rFonts w:cs="Arial"/>
                <w:color w:val="FFFFFF"/>
                <w:sz w:val="20"/>
                <w:szCs w:val="20"/>
              </w:rPr>
              <w:t>% Completing Each Level/Goal</w:t>
            </w:r>
          </w:p>
        </w:tc>
      </w:tr>
      <w:tr w:rsidR="00BA4342" w:rsidRPr="00C01F7F" w14:paraId="6DAEAD55" w14:textId="77777777" w:rsidTr="00F446C8">
        <w:trPr>
          <w:trHeight w:val="322"/>
          <w:tblHeader/>
          <w:jc w:val="center"/>
        </w:trPr>
        <w:tc>
          <w:tcPr>
            <w:tcW w:w="4050" w:type="dxa"/>
            <w:vMerge/>
            <w:tcBorders>
              <w:top w:val="single" w:sz="4" w:space="0" w:color="auto"/>
              <w:left w:val="single" w:sz="4" w:space="0" w:color="auto"/>
              <w:bottom w:val="single" w:sz="4" w:space="0" w:color="auto"/>
              <w:right w:val="single" w:sz="4" w:space="0" w:color="auto"/>
            </w:tcBorders>
            <w:shd w:val="clear" w:color="auto" w:fill="4F6228"/>
            <w:vAlign w:val="center"/>
          </w:tcPr>
          <w:p w14:paraId="50C69DF7" w14:textId="77777777" w:rsidR="00BA4342" w:rsidRPr="00C01F7F" w:rsidRDefault="00BA4342" w:rsidP="00082A78">
            <w:pPr>
              <w:spacing w:before="0" w:after="0"/>
              <w:rPr>
                <w:rFonts w:cs="Arial"/>
                <w:b/>
                <w:bCs/>
                <w:color w:val="FFFFFF"/>
                <w:sz w:val="20"/>
                <w:szCs w:val="20"/>
              </w:rPr>
            </w:pPr>
          </w:p>
        </w:tc>
        <w:tc>
          <w:tcPr>
            <w:tcW w:w="810" w:type="dxa"/>
            <w:tcBorders>
              <w:top w:val="nil"/>
              <w:left w:val="nil"/>
              <w:bottom w:val="single" w:sz="4" w:space="0" w:color="auto"/>
              <w:right w:val="single" w:sz="4" w:space="0" w:color="auto"/>
            </w:tcBorders>
            <w:shd w:val="clear" w:color="auto" w:fill="4F6228"/>
            <w:vAlign w:val="center"/>
          </w:tcPr>
          <w:p w14:paraId="6EA6DC87" w14:textId="77777777" w:rsidR="00BA4342" w:rsidRPr="00C01F7F" w:rsidRDefault="00BA4342" w:rsidP="00082A78">
            <w:pPr>
              <w:spacing w:before="0" w:after="0"/>
              <w:jc w:val="center"/>
              <w:rPr>
                <w:rFonts w:cs="Arial"/>
                <w:color w:val="FFFFFF"/>
                <w:sz w:val="20"/>
                <w:szCs w:val="20"/>
              </w:rPr>
            </w:pPr>
            <w:r w:rsidRPr="00C01F7F">
              <w:rPr>
                <w:rFonts w:cs="Arial"/>
                <w:color w:val="FFFFFF"/>
                <w:sz w:val="20"/>
                <w:szCs w:val="20"/>
              </w:rPr>
              <w:t>Target</w:t>
            </w:r>
          </w:p>
        </w:tc>
        <w:tc>
          <w:tcPr>
            <w:tcW w:w="810" w:type="dxa"/>
            <w:tcBorders>
              <w:top w:val="nil"/>
              <w:left w:val="nil"/>
              <w:bottom w:val="single" w:sz="4" w:space="0" w:color="auto"/>
              <w:right w:val="single" w:sz="4" w:space="0" w:color="auto"/>
            </w:tcBorders>
            <w:shd w:val="clear" w:color="auto" w:fill="4F6228"/>
            <w:vAlign w:val="center"/>
          </w:tcPr>
          <w:p w14:paraId="1267120B" w14:textId="77777777" w:rsidR="00BA4342" w:rsidRPr="00C01F7F" w:rsidRDefault="00BA4342" w:rsidP="00082A78">
            <w:pPr>
              <w:spacing w:before="0" w:after="0"/>
              <w:jc w:val="center"/>
              <w:rPr>
                <w:rFonts w:cs="Arial"/>
                <w:color w:val="FFFFFF"/>
                <w:sz w:val="20"/>
                <w:szCs w:val="20"/>
              </w:rPr>
            </w:pPr>
            <w:r w:rsidRPr="00C01F7F">
              <w:rPr>
                <w:rFonts w:cs="Arial"/>
                <w:color w:val="FFFFFF"/>
                <w:sz w:val="20"/>
                <w:szCs w:val="20"/>
              </w:rPr>
              <w:t>Actual</w:t>
            </w:r>
          </w:p>
        </w:tc>
        <w:tc>
          <w:tcPr>
            <w:tcW w:w="810" w:type="dxa"/>
            <w:tcBorders>
              <w:top w:val="nil"/>
              <w:left w:val="nil"/>
              <w:bottom w:val="single" w:sz="4" w:space="0" w:color="auto"/>
              <w:right w:val="dotted" w:sz="4" w:space="0" w:color="auto"/>
            </w:tcBorders>
            <w:shd w:val="clear" w:color="auto" w:fill="4F6228"/>
            <w:vAlign w:val="center"/>
          </w:tcPr>
          <w:p w14:paraId="172BF229" w14:textId="77777777" w:rsidR="00BA4342" w:rsidRPr="00C01F7F" w:rsidRDefault="00BA4342" w:rsidP="00082A78">
            <w:pPr>
              <w:spacing w:before="0" w:after="0"/>
              <w:jc w:val="center"/>
              <w:rPr>
                <w:rFonts w:cs="Arial"/>
                <w:color w:val="FFFFFF"/>
                <w:sz w:val="20"/>
                <w:szCs w:val="20"/>
              </w:rPr>
            </w:pPr>
            <w:r w:rsidRPr="00C01F7F">
              <w:rPr>
                <w:rFonts w:cs="Arial"/>
                <w:color w:val="FFFFFF"/>
                <w:sz w:val="20"/>
                <w:szCs w:val="20"/>
              </w:rPr>
              <w:t>Target</w:t>
            </w:r>
          </w:p>
        </w:tc>
        <w:tc>
          <w:tcPr>
            <w:tcW w:w="810" w:type="dxa"/>
            <w:tcBorders>
              <w:top w:val="nil"/>
              <w:left w:val="nil"/>
              <w:bottom w:val="single" w:sz="4" w:space="0" w:color="auto"/>
              <w:right w:val="single" w:sz="4" w:space="0" w:color="auto"/>
            </w:tcBorders>
            <w:shd w:val="clear" w:color="auto" w:fill="4F6228"/>
            <w:vAlign w:val="center"/>
          </w:tcPr>
          <w:p w14:paraId="0BF5D149" w14:textId="77777777" w:rsidR="00BA4342" w:rsidRPr="00C01F7F" w:rsidRDefault="00BA4342" w:rsidP="00082A78">
            <w:pPr>
              <w:spacing w:before="0" w:after="0"/>
              <w:jc w:val="center"/>
              <w:rPr>
                <w:rFonts w:cs="Arial"/>
                <w:color w:val="FFFFFF"/>
                <w:sz w:val="20"/>
                <w:szCs w:val="20"/>
              </w:rPr>
            </w:pPr>
            <w:r w:rsidRPr="00C01F7F">
              <w:rPr>
                <w:rFonts w:cs="Arial"/>
                <w:color w:val="FFFFFF"/>
                <w:sz w:val="20"/>
                <w:szCs w:val="20"/>
              </w:rPr>
              <w:t>Actual</w:t>
            </w:r>
          </w:p>
        </w:tc>
        <w:tc>
          <w:tcPr>
            <w:tcW w:w="813" w:type="dxa"/>
            <w:tcBorders>
              <w:top w:val="nil"/>
              <w:left w:val="nil"/>
              <w:bottom w:val="single" w:sz="4" w:space="0" w:color="auto"/>
              <w:right w:val="single" w:sz="4" w:space="0" w:color="auto"/>
            </w:tcBorders>
            <w:shd w:val="clear" w:color="auto" w:fill="4F6228"/>
            <w:vAlign w:val="center"/>
          </w:tcPr>
          <w:p w14:paraId="706A8E72" w14:textId="77777777" w:rsidR="00BA4342" w:rsidRPr="00C01F7F" w:rsidRDefault="00BA4342" w:rsidP="00082A78">
            <w:pPr>
              <w:spacing w:before="0" w:after="0"/>
              <w:jc w:val="center"/>
              <w:rPr>
                <w:rFonts w:cs="Arial"/>
                <w:bCs/>
                <w:color w:val="FFFFFF"/>
                <w:sz w:val="20"/>
                <w:szCs w:val="20"/>
              </w:rPr>
            </w:pPr>
            <w:r w:rsidRPr="00C01F7F">
              <w:rPr>
                <w:rFonts w:cs="Arial"/>
                <w:bCs/>
                <w:color w:val="FFFFFF"/>
                <w:sz w:val="20"/>
                <w:szCs w:val="20"/>
              </w:rPr>
              <w:t>Target</w:t>
            </w:r>
          </w:p>
        </w:tc>
        <w:tc>
          <w:tcPr>
            <w:tcW w:w="900" w:type="dxa"/>
            <w:tcBorders>
              <w:top w:val="nil"/>
              <w:left w:val="nil"/>
              <w:bottom w:val="single" w:sz="4" w:space="0" w:color="auto"/>
              <w:right w:val="single" w:sz="4" w:space="0" w:color="auto"/>
            </w:tcBorders>
            <w:shd w:val="clear" w:color="auto" w:fill="4F6228"/>
            <w:vAlign w:val="center"/>
          </w:tcPr>
          <w:p w14:paraId="42E79CB5" w14:textId="77777777" w:rsidR="00BA4342" w:rsidRPr="00C01F7F" w:rsidRDefault="00BA4342" w:rsidP="00082A78">
            <w:pPr>
              <w:spacing w:before="0" w:after="0"/>
              <w:jc w:val="center"/>
              <w:rPr>
                <w:rFonts w:cs="Arial"/>
                <w:color w:val="FFFFFF"/>
                <w:sz w:val="20"/>
                <w:szCs w:val="20"/>
              </w:rPr>
            </w:pPr>
            <w:r w:rsidRPr="00C01F7F">
              <w:rPr>
                <w:rFonts w:cs="Arial"/>
                <w:color w:val="FFFFFF"/>
                <w:sz w:val="20"/>
                <w:szCs w:val="20"/>
              </w:rPr>
              <w:t>Actual</w:t>
            </w:r>
          </w:p>
        </w:tc>
        <w:tc>
          <w:tcPr>
            <w:tcW w:w="900" w:type="dxa"/>
            <w:tcBorders>
              <w:top w:val="nil"/>
              <w:left w:val="nil"/>
              <w:bottom w:val="single" w:sz="4" w:space="0" w:color="auto"/>
              <w:right w:val="single" w:sz="4" w:space="0" w:color="auto"/>
            </w:tcBorders>
            <w:shd w:val="clear" w:color="auto" w:fill="4F6228"/>
            <w:vAlign w:val="center"/>
          </w:tcPr>
          <w:p w14:paraId="4A7397CE" w14:textId="77777777" w:rsidR="00BA4342" w:rsidRPr="00C01F7F" w:rsidRDefault="00BA4342" w:rsidP="00082A78">
            <w:pPr>
              <w:spacing w:before="0" w:after="0"/>
              <w:jc w:val="center"/>
              <w:rPr>
                <w:rFonts w:cs="Arial"/>
                <w:bCs/>
                <w:color w:val="FFFFFF"/>
                <w:sz w:val="20"/>
                <w:szCs w:val="20"/>
              </w:rPr>
            </w:pPr>
            <w:r w:rsidRPr="00C01F7F">
              <w:rPr>
                <w:rFonts w:cs="Arial"/>
                <w:bCs/>
                <w:color w:val="FFFFFF"/>
                <w:sz w:val="20"/>
                <w:szCs w:val="20"/>
              </w:rPr>
              <w:t>Target</w:t>
            </w:r>
          </w:p>
        </w:tc>
        <w:tc>
          <w:tcPr>
            <w:tcW w:w="1077" w:type="dxa"/>
            <w:tcBorders>
              <w:top w:val="nil"/>
              <w:left w:val="nil"/>
              <w:bottom w:val="single" w:sz="4" w:space="0" w:color="auto"/>
              <w:right w:val="single" w:sz="4" w:space="0" w:color="auto"/>
            </w:tcBorders>
            <w:shd w:val="clear" w:color="auto" w:fill="4F6228"/>
            <w:vAlign w:val="center"/>
          </w:tcPr>
          <w:p w14:paraId="4F93A1B0" w14:textId="77777777" w:rsidR="00BA4342" w:rsidRPr="00C01F7F" w:rsidRDefault="00BA4342" w:rsidP="00082A78">
            <w:pPr>
              <w:spacing w:before="0" w:after="0"/>
              <w:jc w:val="center"/>
              <w:rPr>
                <w:rFonts w:cs="Arial"/>
                <w:color w:val="FFFFFF"/>
                <w:sz w:val="20"/>
                <w:szCs w:val="20"/>
              </w:rPr>
            </w:pPr>
            <w:r w:rsidRPr="00C01F7F">
              <w:rPr>
                <w:rFonts w:cs="Arial"/>
                <w:color w:val="FFFFFF"/>
                <w:sz w:val="20"/>
                <w:szCs w:val="20"/>
              </w:rPr>
              <w:t>Actual</w:t>
            </w:r>
          </w:p>
        </w:tc>
      </w:tr>
      <w:tr w:rsidR="00BA4342" w:rsidRPr="00C01F7F" w14:paraId="22D6D8FF" w14:textId="77777777" w:rsidTr="00F446C8">
        <w:trPr>
          <w:trHeight w:val="254"/>
          <w:jc w:val="center"/>
        </w:trPr>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14:paraId="613C9242" w14:textId="77777777" w:rsidR="00BA4342" w:rsidRPr="00C01F7F" w:rsidRDefault="00BA4342" w:rsidP="00082A78">
            <w:pPr>
              <w:spacing w:before="0" w:after="0"/>
              <w:rPr>
                <w:rFonts w:cs="Arial"/>
                <w:b/>
                <w:bCs/>
                <w:i/>
                <w:iCs/>
                <w:color w:val="000000"/>
                <w:sz w:val="20"/>
                <w:szCs w:val="20"/>
              </w:rPr>
            </w:pPr>
            <w:r w:rsidRPr="00C01F7F">
              <w:rPr>
                <w:rFonts w:cs="Arial"/>
                <w:b/>
                <w:bCs/>
                <w:i/>
                <w:iCs/>
                <w:color w:val="000000"/>
                <w:sz w:val="20"/>
                <w:szCs w:val="20"/>
              </w:rPr>
              <w:t>Beginning ABE Literacy</w:t>
            </w:r>
            <w:r>
              <w:rPr>
                <w:rFonts w:cs="Arial"/>
                <w:b/>
                <w:bCs/>
                <w:i/>
                <w:iCs/>
                <w:color w:val="000000"/>
                <w:sz w:val="20"/>
                <w:szCs w:val="20"/>
              </w:rPr>
              <w:t>/ABE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BC3DBE5" w14:textId="77777777" w:rsidR="00BA4342" w:rsidRPr="00C01F7F" w:rsidRDefault="00BA4342" w:rsidP="00082A78">
            <w:pPr>
              <w:spacing w:before="0" w:after="0"/>
              <w:jc w:val="center"/>
              <w:rPr>
                <w:rFonts w:cs="Arial"/>
                <w:sz w:val="20"/>
                <w:szCs w:val="20"/>
              </w:rPr>
            </w:pPr>
            <w:r w:rsidRPr="00C01F7F">
              <w:rPr>
                <w:rFonts w:cs="Arial"/>
                <w:sz w:val="20"/>
                <w:szCs w:val="20"/>
              </w:rPr>
              <w:t>64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3D7CBF0" w14:textId="77777777" w:rsidR="00BA4342" w:rsidRPr="00C01F7F" w:rsidRDefault="00BA4342" w:rsidP="00082A78">
            <w:pPr>
              <w:spacing w:before="0" w:after="0"/>
              <w:jc w:val="center"/>
              <w:rPr>
                <w:rFonts w:cs="Arial"/>
                <w:sz w:val="20"/>
                <w:szCs w:val="20"/>
              </w:rPr>
            </w:pPr>
            <w:r w:rsidRPr="00C01F7F">
              <w:rPr>
                <w:rFonts w:cs="Arial"/>
                <w:sz w:val="20"/>
                <w:szCs w:val="20"/>
              </w:rPr>
              <w:t>67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8B797D2" w14:textId="77777777" w:rsidR="00BA4342" w:rsidRPr="00C01F7F" w:rsidRDefault="00BA4342" w:rsidP="00082A78">
            <w:pPr>
              <w:spacing w:before="0" w:after="0"/>
              <w:jc w:val="center"/>
              <w:rPr>
                <w:rFonts w:cs="Arial"/>
                <w:sz w:val="20"/>
                <w:szCs w:val="20"/>
              </w:rPr>
            </w:pPr>
            <w:r w:rsidRPr="00C01F7F">
              <w:rPr>
                <w:rFonts w:cs="Arial"/>
                <w:sz w:val="20"/>
                <w:szCs w:val="20"/>
              </w:rPr>
              <w:t>67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64820C4" w14:textId="77777777" w:rsidR="00BA4342" w:rsidRPr="00C01F7F" w:rsidRDefault="00BA4342" w:rsidP="00082A78">
            <w:pPr>
              <w:spacing w:before="0" w:after="0"/>
              <w:jc w:val="center"/>
              <w:rPr>
                <w:rFonts w:cs="Arial"/>
                <w:sz w:val="20"/>
                <w:szCs w:val="20"/>
              </w:rPr>
            </w:pPr>
            <w:r w:rsidRPr="00C01F7F">
              <w:rPr>
                <w:rFonts w:cs="Arial"/>
                <w:sz w:val="20"/>
                <w:szCs w:val="20"/>
              </w:rPr>
              <w:t>78</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DD200" w14:textId="77777777" w:rsidR="00BA4342" w:rsidRPr="00C01F7F" w:rsidRDefault="00BA4342" w:rsidP="00082A78">
            <w:pPr>
              <w:spacing w:before="0" w:after="0"/>
              <w:jc w:val="center"/>
              <w:rPr>
                <w:rFonts w:cs="Arial"/>
                <w:sz w:val="20"/>
                <w:szCs w:val="20"/>
              </w:rPr>
            </w:pPr>
            <w:r w:rsidRPr="00C01F7F">
              <w:rPr>
                <w:rFonts w:cs="Arial"/>
                <w:sz w:val="20"/>
                <w:szCs w:val="20"/>
              </w:rPr>
              <w:t>67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E18D4" w14:textId="77777777" w:rsidR="00BA4342" w:rsidRPr="00C01F7F" w:rsidRDefault="00BA4342" w:rsidP="00082A78">
            <w:pPr>
              <w:spacing w:before="0" w:after="0"/>
              <w:jc w:val="center"/>
              <w:rPr>
                <w:rFonts w:cs="Arial"/>
                <w:sz w:val="20"/>
                <w:szCs w:val="20"/>
              </w:rPr>
            </w:pPr>
            <w:r w:rsidRPr="00C01F7F">
              <w:rPr>
                <w:rFonts w:cs="Arial"/>
                <w:sz w:val="20"/>
                <w:szCs w:val="20"/>
              </w:rPr>
              <w:t>77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B33CB" w14:textId="77777777" w:rsidR="00BA4342" w:rsidRPr="00C01F7F" w:rsidRDefault="00BA4342" w:rsidP="00082A78">
            <w:pPr>
              <w:spacing w:before="0" w:after="0"/>
              <w:jc w:val="center"/>
              <w:rPr>
                <w:rFonts w:cs="Arial"/>
                <w:sz w:val="20"/>
                <w:szCs w:val="20"/>
              </w:rPr>
            </w:pPr>
            <w:r>
              <w:rPr>
                <w:rFonts w:cs="Arial"/>
                <w:sz w:val="20"/>
                <w:szCs w:val="20"/>
              </w:rPr>
              <w:t>78</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E9DC2" w14:textId="77777777" w:rsidR="00BA4342" w:rsidRPr="00C01F7F" w:rsidRDefault="00BA4342" w:rsidP="00082A78">
            <w:pPr>
              <w:spacing w:before="0" w:after="0"/>
              <w:jc w:val="center"/>
              <w:rPr>
                <w:rFonts w:cs="Arial"/>
                <w:sz w:val="20"/>
                <w:szCs w:val="20"/>
              </w:rPr>
            </w:pPr>
            <w:r>
              <w:rPr>
                <w:rFonts w:cs="Arial"/>
                <w:sz w:val="20"/>
                <w:szCs w:val="20"/>
              </w:rPr>
              <w:t>59</w:t>
            </w:r>
          </w:p>
        </w:tc>
      </w:tr>
      <w:tr w:rsidR="00BA4342" w:rsidRPr="00C01F7F" w14:paraId="3B7D3385" w14:textId="77777777" w:rsidTr="00F446C8">
        <w:trPr>
          <w:trHeight w:val="250"/>
          <w:jc w:val="center"/>
        </w:trPr>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14:paraId="274F66FC" w14:textId="77777777" w:rsidR="00BA4342" w:rsidRPr="00C01F7F" w:rsidRDefault="00BA4342" w:rsidP="00082A78">
            <w:pPr>
              <w:spacing w:before="0" w:after="0"/>
              <w:rPr>
                <w:rFonts w:cs="Arial"/>
                <w:b/>
                <w:bCs/>
                <w:i/>
                <w:iCs/>
                <w:color w:val="000000"/>
                <w:sz w:val="20"/>
                <w:szCs w:val="20"/>
              </w:rPr>
            </w:pPr>
            <w:r w:rsidRPr="00C01F7F">
              <w:rPr>
                <w:rFonts w:cs="Arial"/>
                <w:b/>
                <w:bCs/>
                <w:i/>
                <w:iCs/>
                <w:color w:val="000000"/>
                <w:sz w:val="20"/>
                <w:szCs w:val="20"/>
              </w:rPr>
              <w:t>Beginning Basic Education</w:t>
            </w:r>
            <w:r>
              <w:rPr>
                <w:rFonts w:cs="Arial"/>
                <w:b/>
                <w:bCs/>
                <w:i/>
                <w:iCs/>
                <w:color w:val="000000"/>
                <w:sz w:val="20"/>
                <w:szCs w:val="20"/>
              </w:rPr>
              <w:t>/ABE 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C2E9BCD" w14:textId="77777777" w:rsidR="00BA4342" w:rsidRPr="00C01F7F" w:rsidRDefault="00BA4342" w:rsidP="00082A78">
            <w:pPr>
              <w:spacing w:before="0" w:after="0"/>
              <w:jc w:val="center"/>
              <w:rPr>
                <w:rFonts w:cs="Arial"/>
                <w:sz w:val="20"/>
                <w:szCs w:val="20"/>
              </w:rPr>
            </w:pPr>
            <w:r w:rsidRPr="00C01F7F">
              <w:rPr>
                <w:rFonts w:cs="Arial"/>
                <w:sz w:val="20"/>
                <w:szCs w:val="20"/>
              </w:rPr>
              <w:t>59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31BE18A" w14:textId="77777777" w:rsidR="00BA4342" w:rsidRPr="00C01F7F" w:rsidRDefault="00BA4342" w:rsidP="00082A78">
            <w:pPr>
              <w:spacing w:before="0" w:after="0"/>
              <w:jc w:val="center"/>
              <w:rPr>
                <w:rFonts w:cs="Arial"/>
                <w:sz w:val="20"/>
                <w:szCs w:val="20"/>
              </w:rPr>
            </w:pPr>
            <w:r w:rsidRPr="00C01F7F">
              <w:rPr>
                <w:rFonts w:cs="Arial"/>
                <w:sz w:val="20"/>
                <w:szCs w:val="20"/>
              </w:rPr>
              <w:t>62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FA82B59" w14:textId="77777777" w:rsidR="00BA4342" w:rsidRPr="00C01F7F" w:rsidRDefault="00BA4342" w:rsidP="00082A78">
            <w:pPr>
              <w:spacing w:before="0" w:after="0"/>
              <w:jc w:val="center"/>
              <w:rPr>
                <w:rFonts w:cs="Arial"/>
                <w:sz w:val="20"/>
                <w:szCs w:val="20"/>
              </w:rPr>
            </w:pPr>
            <w:r w:rsidRPr="00C01F7F">
              <w:rPr>
                <w:rFonts w:cs="Arial"/>
                <w:sz w:val="20"/>
                <w:szCs w:val="20"/>
              </w:rPr>
              <w:t>59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193C25B" w14:textId="77777777" w:rsidR="00BA4342" w:rsidRPr="00C01F7F" w:rsidRDefault="00BA4342" w:rsidP="00082A78">
            <w:pPr>
              <w:spacing w:before="0" w:after="0"/>
              <w:jc w:val="center"/>
              <w:rPr>
                <w:rFonts w:cs="Arial"/>
                <w:sz w:val="20"/>
                <w:szCs w:val="20"/>
              </w:rPr>
            </w:pPr>
            <w:r w:rsidRPr="00C01F7F">
              <w:rPr>
                <w:rFonts w:cs="Arial"/>
                <w:sz w:val="20"/>
                <w:szCs w:val="20"/>
              </w:rPr>
              <w:t>67</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412C4" w14:textId="77777777" w:rsidR="00BA4342" w:rsidRPr="00C01F7F" w:rsidRDefault="00BA4342" w:rsidP="00082A78">
            <w:pPr>
              <w:spacing w:before="0" w:after="0"/>
              <w:jc w:val="center"/>
              <w:rPr>
                <w:rFonts w:cs="Arial"/>
                <w:sz w:val="20"/>
                <w:szCs w:val="20"/>
              </w:rPr>
            </w:pPr>
            <w:r w:rsidRPr="00C01F7F">
              <w:rPr>
                <w:rFonts w:cs="Arial"/>
                <w:sz w:val="20"/>
                <w:szCs w:val="20"/>
              </w:rPr>
              <w:t>62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0F71E" w14:textId="77777777" w:rsidR="00BA4342" w:rsidRPr="00C01F7F" w:rsidRDefault="00BA4342" w:rsidP="00082A78">
            <w:pPr>
              <w:spacing w:before="0" w:after="0"/>
              <w:jc w:val="center"/>
              <w:rPr>
                <w:rFonts w:cs="Arial"/>
                <w:sz w:val="20"/>
                <w:szCs w:val="20"/>
              </w:rPr>
            </w:pPr>
            <w:r w:rsidRPr="00C01F7F">
              <w:rPr>
                <w:rFonts w:cs="Arial"/>
                <w:sz w:val="20"/>
                <w:szCs w:val="20"/>
              </w:rPr>
              <w:t>65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514EF" w14:textId="77777777" w:rsidR="00BA4342" w:rsidRPr="00C01F7F" w:rsidRDefault="00BA4342" w:rsidP="00082A78">
            <w:pPr>
              <w:spacing w:before="0" w:after="0"/>
              <w:jc w:val="center"/>
              <w:rPr>
                <w:rFonts w:cs="Arial"/>
                <w:sz w:val="20"/>
                <w:szCs w:val="20"/>
              </w:rPr>
            </w:pPr>
            <w:r>
              <w:rPr>
                <w:rFonts w:cs="Arial"/>
                <w:sz w:val="20"/>
                <w:szCs w:val="20"/>
              </w:rPr>
              <w:t>67</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10943" w14:textId="77777777" w:rsidR="00BA4342" w:rsidRPr="00C01F7F" w:rsidRDefault="00BA4342" w:rsidP="00082A78">
            <w:pPr>
              <w:spacing w:before="0" w:after="0"/>
              <w:jc w:val="center"/>
              <w:rPr>
                <w:rFonts w:cs="Arial"/>
                <w:sz w:val="20"/>
                <w:szCs w:val="20"/>
              </w:rPr>
            </w:pPr>
            <w:r>
              <w:rPr>
                <w:rFonts w:cs="Arial"/>
                <w:sz w:val="20"/>
                <w:szCs w:val="20"/>
              </w:rPr>
              <w:t>46</w:t>
            </w:r>
          </w:p>
        </w:tc>
      </w:tr>
      <w:tr w:rsidR="00BA4342" w:rsidRPr="00C01F7F" w14:paraId="2BE9A007" w14:textId="77777777" w:rsidTr="00F446C8">
        <w:trPr>
          <w:trHeight w:val="250"/>
          <w:jc w:val="center"/>
        </w:trPr>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14:paraId="4D2E499C" w14:textId="77777777" w:rsidR="00BA4342" w:rsidRPr="00C01F7F" w:rsidRDefault="00BA4342" w:rsidP="00082A78">
            <w:pPr>
              <w:spacing w:before="0" w:after="0"/>
              <w:rPr>
                <w:rFonts w:cs="Arial"/>
                <w:b/>
                <w:bCs/>
                <w:i/>
                <w:iCs/>
                <w:color w:val="000000"/>
                <w:sz w:val="20"/>
                <w:szCs w:val="20"/>
              </w:rPr>
            </w:pPr>
            <w:r w:rsidRPr="00C01F7F">
              <w:rPr>
                <w:rFonts w:cs="Arial"/>
                <w:b/>
                <w:bCs/>
                <w:i/>
                <w:iCs/>
                <w:color w:val="000000"/>
                <w:sz w:val="20"/>
                <w:szCs w:val="20"/>
              </w:rPr>
              <w:t>Low Intermediate Basic Education</w:t>
            </w:r>
            <w:r>
              <w:rPr>
                <w:rFonts w:cs="Arial"/>
                <w:b/>
                <w:bCs/>
                <w:i/>
                <w:iCs/>
                <w:color w:val="000000"/>
                <w:sz w:val="20"/>
                <w:szCs w:val="20"/>
              </w:rPr>
              <w:t>/ABE 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3CACCC7" w14:textId="77777777" w:rsidR="00BA4342" w:rsidRPr="00C01F7F" w:rsidRDefault="00BA4342" w:rsidP="00082A78">
            <w:pPr>
              <w:spacing w:before="0" w:after="0"/>
              <w:jc w:val="center"/>
              <w:rPr>
                <w:rFonts w:cs="Arial"/>
                <w:sz w:val="20"/>
                <w:szCs w:val="20"/>
              </w:rPr>
            </w:pPr>
            <w:r w:rsidRPr="00C01F7F">
              <w:rPr>
                <w:rFonts w:cs="Arial"/>
                <w:sz w:val="20"/>
                <w:szCs w:val="20"/>
              </w:rPr>
              <w:t>53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61E9F60" w14:textId="77777777" w:rsidR="00BA4342" w:rsidRPr="00C01F7F" w:rsidRDefault="00BA4342" w:rsidP="00082A78">
            <w:pPr>
              <w:spacing w:before="0" w:after="0"/>
              <w:jc w:val="center"/>
              <w:rPr>
                <w:rFonts w:cs="Arial"/>
                <w:sz w:val="20"/>
                <w:szCs w:val="20"/>
              </w:rPr>
            </w:pPr>
            <w:r w:rsidRPr="00C01F7F">
              <w:rPr>
                <w:rFonts w:cs="Arial"/>
                <w:sz w:val="20"/>
                <w:szCs w:val="20"/>
              </w:rPr>
              <w:t>54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FD4D861" w14:textId="77777777" w:rsidR="00BA4342" w:rsidRPr="00C01F7F" w:rsidRDefault="00BA4342" w:rsidP="00082A78">
            <w:pPr>
              <w:spacing w:before="0" w:after="0"/>
              <w:jc w:val="center"/>
              <w:rPr>
                <w:rFonts w:cs="Arial"/>
                <w:sz w:val="20"/>
                <w:szCs w:val="20"/>
              </w:rPr>
            </w:pPr>
            <w:r w:rsidRPr="00C01F7F">
              <w:rPr>
                <w:rFonts w:cs="Arial"/>
                <w:sz w:val="20"/>
                <w:szCs w:val="20"/>
              </w:rPr>
              <w:t>53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37DC50D" w14:textId="77777777" w:rsidR="00BA4342" w:rsidRPr="00C01F7F" w:rsidRDefault="00BA4342" w:rsidP="00082A78">
            <w:pPr>
              <w:spacing w:before="0" w:after="0"/>
              <w:jc w:val="center"/>
              <w:rPr>
                <w:rFonts w:cs="Arial"/>
                <w:sz w:val="20"/>
                <w:szCs w:val="20"/>
              </w:rPr>
            </w:pPr>
            <w:r w:rsidRPr="00C01F7F">
              <w:rPr>
                <w:rFonts w:cs="Arial"/>
                <w:sz w:val="20"/>
                <w:szCs w:val="20"/>
              </w:rPr>
              <w:t>50</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D45F5" w14:textId="77777777" w:rsidR="00BA4342" w:rsidRPr="00C01F7F" w:rsidRDefault="00BA4342" w:rsidP="00082A78">
            <w:pPr>
              <w:spacing w:before="0" w:after="0"/>
              <w:jc w:val="center"/>
              <w:rPr>
                <w:rFonts w:cs="Arial"/>
                <w:sz w:val="20"/>
                <w:szCs w:val="20"/>
              </w:rPr>
            </w:pPr>
            <w:r w:rsidRPr="00C01F7F">
              <w:rPr>
                <w:rFonts w:cs="Arial"/>
                <w:sz w:val="20"/>
                <w:szCs w:val="20"/>
              </w:rPr>
              <w:t>55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1B7B9" w14:textId="77777777" w:rsidR="00BA4342" w:rsidRPr="00C01F7F" w:rsidRDefault="00BA4342" w:rsidP="00082A78">
            <w:pPr>
              <w:spacing w:before="0" w:after="0"/>
              <w:jc w:val="center"/>
              <w:rPr>
                <w:rFonts w:cs="Arial"/>
                <w:sz w:val="20"/>
                <w:szCs w:val="20"/>
              </w:rPr>
            </w:pPr>
            <w:r w:rsidRPr="00C01F7F">
              <w:rPr>
                <w:rFonts w:cs="Arial"/>
                <w:sz w:val="20"/>
                <w:szCs w:val="20"/>
              </w:rPr>
              <w:t>45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20761" w14:textId="77777777" w:rsidR="00BA4342" w:rsidRPr="00C01F7F" w:rsidRDefault="00BA4342" w:rsidP="00082A78">
            <w:pPr>
              <w:spacing w:before="0" w:after="0"/>
              <w:jc w:val="center"/>
              <w:rPr>
                <w:rFonts w:cs="Arial"/>
                <w:sz w:val="20"/>
                <w:szCs w:val="20"/>
              </w:rPr>
            </w:pPr>
            <w:r>
              <w:rPr>
                <w:rFonts w:cs="Arial"/>
                <w:sz w:val="20"/>
                <w:szCs w:val="20"/>
              </w:rPr>
              <w:t>51</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1DF8A" w14:textId="77777777" w:rsidR="00BA4342" w:rsidRPr="00C01F7F" w:rsidRDefault="00BA4342" w:rsidP="00082A78">
            <w:pPr>
              <w:spacing w:before="0" w:after="0"/>
              <w:jc w:val="center"/>
              <w:rPr>
                <w:rFonts w:cs="Arial"/>
                <w:sz w:val="20"/>
                <w:szCs w:val="20"/>
              </w:rPr>
            </w:pPr>
            <w:r>
              <w:rPr>
                <w:rFonts w:cs="Arial"/>
                <w:sz w:val="20"/>
                <w:szCs w:val="20"/>
              </w:rPr>
              <w:t>39</w:t>
            </w:r>
          </w:p>
        </w:tc>
      </w:tr>
      <w:tr w:rsidR="00BA4342" w:rsidRPr="00C01F7F" w14:paraId="7BBA03D7" w14:textId="77777777" w:rsidTr="00F446C8">
        <w:trPr>
          <w:trHeight w:val="268"/>
          <w:jc w:val="center"/>
        </w:trPr>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14:paraId="3CACFFCA" w14:textId="77777777" w:rsidR="00BA4342" w:rsidRPr="00C01F7F" w:rsidRDefault="00BA4342" w:rsidP="00082A78">
            <w:pPr>
              <w:spacing w:before="0" w:after="0"/>
              <w:rPr>
                <w:rFonts w:cs="Arial"/>
                <w:b/>
                <w:bCs/>
                <w:i/>
                <w:iCs/>
                <w:color w:val="000000"/>
                <w:sz w:val="20"/>
                <w:szCs w:val="20"/>
              </w:rPr>
            </w:pPr>
            <w:r w:rsidRPr="00C01F7F">
              <w:rPr>
                <w:rFonts w:cs="Arial"/>
                <w:b/>
                <w:bCs/>
                <w:i/>
                <w:iCs/>
                <w:color w:val="000000"/>
                <w:sz w:val="20"/>
                <w:szCs w:val="20"/>
              </w:rPr>
              <w:t>High Intermediate Basic Education</w:t>
            </w:r>
            <w:r>
              <w:rPr>
                <w:rFonts w:cs="Arial"/>
                <w:b/>
                <w:bCs/>
                <w:i/>
                <w:iCs/>
                <w:color w:val="000000"/>
                <w:sz w:val="20"/>
                <w:szCs w:val="20"/>
              </w:rPr>
              <w:t>/ABE4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3DDBAA7" w14:textId="77777777" w:rsidR="00BA4342" w:rsidRPr="00C01F7F" w:rsidRDefault="00BA4342" w:rsidP="00082A78">
            <w:pPr>
              <w:spacing w:before="0" w:after="0"/>
              <w:jc w:val="center"/>
              <w:rPr>
                <w:rFonts w:cs="Arial"/>
                <w:sz w:val="20"/>
                <w:szCs w:val="20"/>
              </w:rPr>
            </w:pPr>
            <w:r w:rsidRPr="00C01F7F">
              <w:rPr>
                <w:rFonts w:cs="Arial"/>
                <w:sz w:val="20"/>
                <w:szCs w:val="20"/>
              </w:rPr>
              <w:t>45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C4E8370" w14:textId="77777777" w:rsidR="00BA4342" w:rsidRPr="00C01F7F" w:rsidRDefault="00BA4342" w:rsidP="00082A78">
            <w:pPr>
              <w:spacing w:before="0" w:after="0"/>
              <w:jc w:val="center"/>
              <w:rPr>
                <w:rFonts w:cs="Arial"/>
                <w:sz w:val="20"/>
                <w:szCs w:val="20"/>
              </w:rPr>
            </w:pPr>
            <w:r w:rsidRPr="00C01F7F">
              <w:rPr>
                <w:rFonts w:cs="Arial"/>
                <w:sz w:val="20"/>
                <w:szCs w:val="20"/>
              </w:rPr>
              <w:t>45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B1559AB" w14:textId="77777777" w:rsidR="00BA4342" w:rsidRPr="00C01F7F" w:rsidRDefault="00BA4342" w:rsidP="00082A78">
            <w:pPr>
              <w:spacing w:before="0" w:after="0"/>
              <w:jc w:val="center"/>
              <w:rPr>
                <w:rFonts w:cs="Arial"/>
                <w:sz w:val="20"/>
                <w:szCs w:val="20"/>
              </w:rPr>
            </w:pPr>
            <w:r w:rsidRPr="00C01F7F">
              <w:rPr>
                <w:rFonts w:cs="Arial"/>
                <w:sz w:val="20"/>
                <w:szCs w:val="20"/>
              </w:rPr>
              <w:t>45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D1DEA3C" w14:textId="77777777" w:rsidR="00BA4342" w:rsidRPr="00C01F7F" w:rsidRDefault="00BA4342" w:rsidP="00082A78">
            <w:pPr>
              <w:spacing w:before="0" w:after="0"/>
              <w:jc w:val="center"/>
              <w:rPr>
                <w:rFonts w:cs="Arial"/>
                <w:sz w:val="20"/>
                <w:szCs w:val="20"/>
              </w:rPr>
            </w:pPr>
            <w:r w:rsidRPr="00C01F7F">
              <w:rPr>
                <w:rFonts w:cs="Arial"/>
                <w:sz w:val="20"/>
                <w:szCs w:val="20"/>
              </w:rPr>
              <w:t>33</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FD609" w14:textId="77777777" w:rsidR="00BA4342" w:rsidRPr="00C01F7F" w:rsidRDefault="00BA4342" w:rsidP="00082A78">
            <w:pPr>
              <w:spacing w:before="0" w:after="0"/>
              <w:jc w:val="center"/>
              <w:rPr>
                <w:rFonts w:cs="Arial"/>
                <w:sz w:val="20"/>
                <w:szCs w:val="20"/>
              </w:rPr>
            </w:pPr>
            <w:r w:rsidRPr="00C01F7F">
              <w:rPr>
                <w:rFonts w:cs="Arial"/>
                <w:sz w:val="20"/>
                <w:szCs w:val="20"/>
              </w:rPr>
              <w:t>46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31A18" w14:textId="77777777" w:rsidR="00BA4342" w:rsidRPr="00C01F7F" w:rsidRDefault="00BA4342" w:rsidP="00082A78">
            <w:pPr>
              <w:spacing w:before="0" w:after="0"/>
              <w:jc w:val="center"/>
              <w:rPr>
                <w:rFonts w:cs="Arial"/>
                <w:sz w:val="20"/>
                <w:szCs w:val="20"/>
              </w:rPr>
            </w:pPr>
            <w:r w:rsidRPr="00C01F7F">
              <w:rPr>
                <w:rFonts w:cs="Arial"/>
                <w:sz w:val="20"/>
                <w:szCs w:val="20"/>
              </w:rPr>
              <w:t>30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CEA41" w14:textId="77777777" w:rsidR="00BA4342" w:rsidRPr="00C01F7F" w:rsidRDefault="00BA4342" w:rsidP="00082A78">
            <w:pPr>
              <w:spacing w:before="0" w:after="0"/>
              <w:jc w:val="center"/>
              <w:rPr>
                <w:rFonts w:cs="Arial"/>
                <w:sz w:val="20"/>
                <w:szCs w:val="20"/>
              </w:rPr>
            </w:pPr>
            <w:r>
              <w:rPr>
                <w:rFonts w:cs="Arial"/>
                <w:sz w:val="20"/>
                <w:szCs w:val="20"/>
              </w:rPr>
              <w:t>34</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389CB" w14:textId="77777777" w:rsidR="00BA4342" w:rsidRPr="00C01F7F" w:rsidRDefault="00BA4342" w:rsidP="00082A78">
            <w:pPr>
              <w:spacing w:before="0" w:after="0"/>
              <w:jc w:val="center"/>
              <w:rPr>
                <w:rFonts w:cs="Arial"/>
                <w:sz w:val="20"/>
                <w:szCs w:val="20"/>
              </w:rPr>
            </w:pPr>
            <w:r>
              <w:rPr>
                <w:rFonts w:cs="Arial"/>
                <w:sz w:val="20"/>
                <w:szCs w:val="20"/>
              </w:rPr>
              <w:t>36</w:t>
            </w:r>
          </w:p>
        </w:tc>
      </w:tr>
      <w:tr w:rsidR="00BA4342" w:rsidRPr="00C01F7F" w14:paraId="6F00B9CE" w14:textId="77777777" w:rsidTr="00F446C8">
        <w:trPr>
          <w:trHeight w:val="269"/>
          <w:jc w:val="center"/>
        </w:trPr>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14:paraId="2A3239CE" w14:textId="77777777" w:rsidR="00BA4342" w:rsidRPr="00C01F7F" w:rsidRDefault="00BA4342" w:rsidP="00082A78">
            <w:pPr>
              <w:spacing w:before="0" w:after="0"/>
              <w:rPr>
                <w:rFonts w:cs="Arial"/>
                <w:b/>
                <w:bCs/>
                <w:i/>
                <w:iCs/>
                <w:color w:val="000000"/>
                <w:sz w:val="20"/>
                <w:szCs w:val="20"/>
              </w:rPr>
            </w:pPr>
            <w:r w:rsidRPr="00C01F7F">
              <w:rPr>
                <w:rFonts w:cs="Arial"/>
                <w:b/>
                <w:bCs/>
                <w:i/>
                <w:iCs/>
                <w:color w:val="000000"/>
                <w:sz w:val="20"/>
                <w:szCs w:val="20"/>
              </w:rPr>
              <w:t>Low Adult Secondary</w:t>
            </w:r>
            <w:r>
              <w:rPr>
                <w:rFonts w:cs="Arial"/>
                <w:b/>
                <w:bCs/>
                <w:i/>
                <w:iCs/>
                <w:color w:val="000000"/>
                <w:sz w:val="20"/>
                <w:szCs w:val="20"/>
              </w:rPr>
              <w:t>/ABE 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3E0607C" w14:textId="77777777" w:rsidR="00BA4342" w:rsidRPr="00C01F7F" w:rsidRDefault="00BA4342" w:rsidP="00082A78">
            <w:pPr>
              <w:spacing w:before="0" w:after="0"/>
              <w:jc w:val="center"/>
              <w:rPr>
                <w:rFonts w:cs="Arial"/>
                <w:sz w:val="20"/>
                <w:szCs w:val="20"/>
              </w:rPr>
            </w:pPr>
            <w:r w:rsidRPr="00C01F7F">
              <w:rPr>
                <w:rFonts w:cs="Arial"/>
                <w:sz w:val="20"/>
                <w:szCs w:val="20"/>
              </w:rPr>
              <w:t>46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1E26E48" w14:textId="77777777" w:rsidR="00BA4342" w:rsidRPr="00C01F7F" w:rsidRDefault="00BA4342" w:rsidP="00082A78">
            <w:pPr>
              <w:spacing w:before="0" w:after="0"/>
              <w:jc w:val="center"/>
              <w:rPr>
                <w:rFonts w:cs="Arial"/>
                <w:sz w:val="20"/>
                <w:szCs w:val="20"/>
              </w:rPr>
            </w:pPr>
            <w:r w:rsidRPr="00C01F7F">
              <w:rPr>
                <w:rFonts w:cs="Arial"/>
                <w:sz w:val="20"/>
                <w:szCs w:val="20"/>
              </w:rPr>
              <w:t>44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6AD95F3" w14:textId="77777777" w:rsidR="00BA4342" w:rsidRPr="00C01F7F" w:rsidRDefault="00BA4342" w:rsidP="00082A78">
            <w:pPr>
              <w:spacing w:before="0" w:after="0"/>
              <w:jc w:val="center"/>
              <w:rPr>
                <w:rFonts w:cs="Arial"/>
                <w:sz w:val="20"/>
                <w:szCs w:val="20"/>
              </w:rPr>
            </w:pPr>
            <w:r w:rsidRPr="00C01F7F">
              <w:rPr>
                <w:rFonts w:cs="Arial"/>
                <w:sz w:val="20"/>
                <w:szCs w:val="20"/>
              </w:rPr>
              <w:t>46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C5E644A" w14:textId="77777777" w:rsidR="00BA4342" w:rsidRPr="00C01F7F" w:rsidRDefault="00BA4342" w:rsidP="00082A78">
            <w:pPr>
              <w:spacing w:before="0" w:after="0"/>
              <w:jc w:val="center"/>
              <w:rPr>
                <w:rFonts w:cs="Arial"/>
                <w:sz w:val="20"/>
                <w:szCs w:val="20"/>
              </w:rPr>
            </w:pPr>
            <w:r w:rsidRPr="00C01F7F">
              <w:rPr>
                <w:rFonts w:cs="Arial"/>
                <w:sz w:val="20"/>
                <w:szCs w:val="20"/>
              </w:rPr>
              <w:t>25</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A62FF" w14:textId="77777777" w:rsidR="00BA4342" w:rsidRPr="00C01F7F" w:rsidRDefault="00BA4342" w:rsidP="00082A78">
            <w:pPr>
              <w:spacing w:before="0" w:after="0"/>
              <w:jc w:val="center"/>
              <w:rPr>
                <w:rFonts w:cs="Arial"/>
                <w:sz w:val="20"/>
                <w:szCs w:val="20"/>
              </w:rPr>
            </w:pPr>
            <w:r w:rsidRPr="00C01F7F">
              <w:rPr>
                <w:rFonts w:cs="Arial"/>
                <w:sz w:val="20"/>
                <w:szCs w:val="20"/>
              </w:rPr>
              <w:t>46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48AA1" w14:textId="77777777" w:rsidR="00BA4342" w:rsidRPr="00C01F7F" w:rsidRDefault="00BA4342" w:rsidP="00082A78">
            <w:pPr>
              <w:spacing w:before="0" w:after="0"/>
              <w:jc w:val="center"/>
              <w:rPr>
                <w:rFonts w:cs="Arial"/>
                <w:sz w:val="20"/>
                <w:szCs w:val="20"/>
              </w:rPr>
            </w:pPr>
            <w:r w:rsidRPr="00C01F7F">
              <w:rPr>
                <w:rFonts w:cs="Arial"/>
                <w:sz w:val="20"/>
                <w:szCs w:val="20"/>
              </w:rPr>
              <w:t>22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732F4" w14:textId="77777777" w:rsidR="00BA4342" w:rsidRPr="00C01F7F" w:rsidRDefault="00BA4342" w:rsidP="00082A78">
            <w:pPr>
              <w:spacing w:before="0" w:after="0"/>
              <w:jc w:val="center"/>
              <w:rPr>
                <w:rFonts w:cs="Arial"/>
                <w:sz w:val="20"/>
                <w:szCs w:val="20"/>
              </w:rPr>
            </w:pPr>
            <w:r>
              <w:rPr>
                <w:rFonts w:cs="Arial"/>
                <w:sz w:val="20"/>
                <w:szCs w:val="20"/>
              </w:rPr>
              <w:t>26</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AAD22" w14:textId="77777777" w:rsidR="00BA4342" w:rsidRPr="00C01F7F" w:rsidRDefault="00BA4342" w:rsidP="00082A78">
            <w:pPr>
              <w:spacing w:before="0" w:after="0"/>
              <w:jc w:val="center"/>
              <w:rPr>
                <w:rFonts w:cs="Arial"/>
                <w:sz w:val="20"/>
                <w:szCs w:val="20"/>
              </w:rPr>
            </w:pPr>
            <w:r>
              <w:rPr>
                <w:rFonts w:cs="Arial"/>
                <w:sz w:val="20"/>
                <w:szCs w:val="20"/>
              </w:rPr>
              <w:t>40</w:t>
            </w:r>
          </w:p>
        </w:tc>
      </w:tr>
      <w:tr w:rsidR="00BA4342" w:rsidRPr="00C01F7F" w14:paraId="6FA3755A" w14:textId="77777777" w:rsidTr="00F446C8">
        <w:trPr>
          <w:trHeight w:val="269"/>
          <w:jc w:val="center"/>
        </w:trPr>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14:paraId="09E5067B" w14:textId="77777777" w:rsidR="00BA4342" w:rsidRPr="00C01F7F" w:rsidRDefault="00BA4342" w:rsidP="00082A78">
            <w:pPr>
              <w:spacing w:before="0" w:after="0"/>
              <w:rPr>
                <w:rFonts w:cs="Arial"/>
                <w:b/>
                <w:bCs/>
                <w:i/>
                <w:iCs/>
                <w:color w:val="000000"/>
                <w:sz w:val="20"/>
                <w:szCs w:val="20"/>
              </w:rPr>
            </w:pPr>
            <w:r>
              <w:rPr>
                <w:rFonts w:cs="Arial"/>
                <w:b/>
                <w:bCs/>
                <w:i/>
                <w:iCs/>
                <w:color w:val="000000"/>
                <w:sz w:val="20"/>
                <w:szCs w:val="20"/>
              </w:rPr>
              <w:t>High Adult Secondary/ABE 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2364CDD" w14:textId="77777777" w:rsidR="00BA4342" w:rsidRPr="00C01F7F" w:rsidRDefault="00BA4342" w:rsidP="00082A78">
            <w:pPr>
              <w:spacing w:before="0" w:after="0"/>
              <w:jc w:val="center"/>
              <w:rPr>
                <w:rFonts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82F8C41" w14:textId="77777777" w:rsidR="00BA4342" w:rsidRPr="00C01F7F" w:rsidRDefault="00BA4342" w:rsidP="00082A78">
            <w:pPr>
              <w:spacing w:before="0" w:after="0"/>
              <w:jc w:val="center"/>
              <w:rPr>
                <w:rFonts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3248EE1" w14:textId="77777777" w:rsidR="00BA4342" w:rsidRPr="00C01F7F" w:rsidRDefault="00BA4342" w:rsidP="00082A78">
            <w:pPr>
              <w:spacing w:before="0" w:after="0"/>
              <w:jc w:val="center"/>
              <w:rPr>
                <w:rFonts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C8A0B7B" w14:textId="77777777" w:rsidR="00BA4342" w:rsidRPr="00C01F7F" w:rsidRDefault="00BA4342" w:rsidP="00082A78">
            <w:pPr>
              <w:spacing w:before="0" w:after="0"/>
              <w:jc w:val="center"/>
              <w:rPr>
                <w:rFonts w:cs="Arial"/>
                <w:sz w:val="20"/>
                <w:szCs w:val="20"/>
              </w:rPr>
            </w:pP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73AF0" w14:textId="77777777" w:rsidR="00BA4342" w:rsidRPr="00C01F7F" w:rsidRDefault="00BA4342" w:rsidP="00082A78">
            <w:pPr>
              <w:spacing w:before="0" w:after="0"/>
              <w:jc w:val="center"/>
              <w:rPr>
                <w:rFonts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CDE15" w14:textId="77777777" w:rsidR="00BA4342" w:rsidRPr="00C01F7F" w:rsidRDefault="00BA4342" w:rsidP="00082A78">
            <w:pPr>
              <w:spacing w:before="0" w:after="0"/>
              <w:jc w:val="center"/>
              <w:rPr>
                <w:rFonts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09DC0" w14:textId="77777777" w:rsidR="00BA4342" w:rsidRDefault="00BA4342" w:rsidP="00082A78">
            <w:pPr>
              <w:spacing w:before="0" w:after="0"/>
              <w:jc w:val="center"/>
              <w:rPr>
                <w:rFonts w:cs="Arial"/>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0AB96" w14:textId="77777777" w:rsidR="00BA4342" w:rsidRDefault="00BA4342" w:rsidP="00082A78">
            <w:pPr>
              <w:spacing w:before="0" w:after="0"/>
              <w:jc w:val="center"/>
              <w:rPr>
                <w:rFonts w:cs="Arial"/>
                <w:sz w:val="20"/>
                <w:szCs w:val="20"/>
              </w:rPr>
            </w:pPr>
            <w:r>
              <w:rPr>
                <w:rFonts w:cs="Arial"/>
                <w:sz w:val="20"/>
                <w:szCs w:val="20"/>
              </w:rPr>
              <w:t>28</w:t>
            </w:r>
          </w:p>
        </w:tc>
      </w:tr>
      <w:tr w:rsidR="00BA4342" w:rsidRPr="00C01F7F" w14:paraId="4CB710BD" w14:textId="77777777" w:rsidTr="00F446C8">
        <w:trPr>
          <w:trHeight w:val="254"/>
          <w:jc w:val="center"/>
        </w:trPr>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14:paraId="6CD9F20E" w14:textId="77777777" w:rsidR="00BA4342" w:rsidRPr="00C01F7F" w:rsidRDefault="00BA4342" w:rsidP="00082A78">
            <w:pPr>
              <w:spacing w:before="0" w:after="0"/>
              <w:rPr>
                <w:rFonts w:cs="Arial"/>
                <w:b/>
                <w:bCs/>
                <w:i/>
                <w:iCs/>
                <w:color w:val="000000"/>
                <w:sz w:val="20"/>
                <w:szCs w:val="20"/>
              </w:rPr>
            </w:pPr>
            <w:r w:rsidRPr="00C01F7F">
              <w:rPr>
                <w:rFonts w:cs="Arial"/>
                <w:b/>
                <w:bCs/>
                <w:i/>
                <w:iCs/>
                <w:color w:val="000000"/>
                <w:sz w:val="20"/>
                <w:szCs w:val="20"/>
              </w:rPr>
              <w:t>Beginning ESL Literacy</w:t>
            </w:r>
            <w:r>
              <w:rPr>
                <w:rFonts w:cs="Arial"/>
                <w:b/>
                <w:bCs/>
                <w:i/>
                <w:iCs/>
                <w:color w:val="000000"/>
                <w:sz w:val="20"/>
                <w:szCs w:val="20"/>
              </w:rPr>
              <w:t>/ESL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02806BD" w14:textId="77777777" w:rsidR="00BA4342" w:rsidRPr="00C01F7F" w:rsidRDefault="00BA4342" w:rsidP="00082A78">
            <w:pPr>
              <w:spacing w:before="0" w:after="0"/>
              <w:jc w:val="center"/>
              <w:rPr>
                <w:rFonts w:cs="Arial"/>
                <w:sz w:val="20"/>
                <w:szCs w:val="20"/>
              </w:rPr>
            </w:pPr>
            <w:r w:rsidRPr="00C01F7F">
              <w:rPr>
                <w:rFonts w:cs="Arial"/>
                <w:sz w:val="20"/>
                <w:szCs w:val="20"/>
              </w:rPr>
              <w:t>57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A9739AF" w14:textId="77777777" w:rsidR="00BA4342" w:rsidRPr="00C01F7F" w:rsidRDefault="00BA4342" w:rsidP="00082A78">
            <w:pPr>
              <w:spacing w:before="0" w:after="0"/>
              <w:jc w:val="center"/>
              <w:rPr>
                <w:rFonts w:cs="Arial"/>
                <w:sz w:val="20"/>
                <w:szCs w:val="20"/>
              </w:rPr>
            </w:pPr>
            <w:r w:rsidRPr="00C01F7F">
              <w:rPr>
                <w:rFonts w:cs="Arial"/>
                <w:sz w:val="20"/>
                <w:szCs w:val="20"/>
              </w:rPr>
              <w:t>58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68CAAD2" w14:textId="77777777" w:rsidR="00BA4342" w:rsidRPr="00C01F7F" w:rsidRDefault="00BA4342" w:rsidP="00082A78">
            <w:pPr>
              <w:spacing w:before="0" w:after="0"/>
              <w:jc w:val="center"/>
              <w:rPr>
                <w:rFonts w:cs="Arial"/>
                <w:sz w:val="20"/>
                <w:szCs w:val="20"/>
              </w:rPr>
            </w:pPr>
            <w:r w:rsidRPr="00C01F7F">
              <w:rPr>
                <w:rFonts w:cs="Arial"/>
                <w:sz w:val="20"/>
                <w:szCs w:val="20"/>
              </w:rPr>
              <w:t>57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D81FDA1" w14:textId="77777777" w:rsidR="00BA4342" w:rsidRPr="00C01F7F" w:rsidRDefault="00BA4342" w:rsidP="00082A78">
            <w:pPr>
              <w:spacing w:before="0" w:after="0"/>
              <w:jc w:val="center"/>
              <w:rPr>
                <w:rFonts w:cs="Arial"/>
                <w:sz w:val="20"/>
                <w:szCs w:val="20"/>
              </w:rPr>
            </w:pPr>
            <w:r w:rsidRPr="00C01F7F">
              <w:rPr>
                <w:rFonts w:cs="Arial"/>
                <w:sz w:val="20"/>
                <w:szCs w:val="20"/>
              </w:rPr>
              <w:t>47</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BF683" w14:textId="77777777" w:rsidR="00BA4342" w:rsidRPr="00C01F7F" w:rsidRDefault="00BA4342" w:rsidP="00082A78">
            <w:pPr>
              <w:spacing w:before="0" w:after="0"/>
              <w:jc w:val="center"/>
              <w:rPr>
                <w:rFonts w:cs="Arial"/>
                <w:sz w:val="20"/>
                <w:szCs w:val="20"/>
              </w:rPr>
            </w:pPr>
            <w:r w:rsidRPr="00C01F7F">
              <w:rPr>
                <w:rFonts w:cs="Arial"/>
                <w:sz w:val="20"/>
                <w:szCs w:val="20"/>
              </w:rPr>
              <w:t>59</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CBE15" w14:textId="77777777" w:rsidR="00BA4342" w:rsidRPr="00C01F7F" w:rsidRDefault="00BA4342" w:rsidP="00082A78">
            <w:pPr>
              <w:spacing w:before="0" w:after="0"/>
              <w:jc w:val="center"/>
              <w:rPr>
                <w:rFonts w:cs="Arial"/>
                <w:sz w:val="20"/>
                <w:szCs w:val="20"/>
              </w:rPr>
            </w:pPr>
            <w:r w:rsidRPr="00C01F7F">
              <w:rPr>
                <w:rFonts w:cs="Arial"/>
                <w:sz w:val="20"/>
                <w:szCs w:val="20"/>
              </w:rPr>
              <w:t>45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4F1D6" w14:textId="77777777" w:rsidR="00BA4342" w:rsidRPr="00C01F7F" w:rsidRDefault="00BA4342" w:rsidP="00082A78">
            <w:pPr>
              <w:spacing w:before="0" w:after="0"/>
              <w:jc w:val="center"/>
              <w:rPr>
                <w:rFonts w:cs="Arial"/>
                <w:sz w:val="20"/>
                <w:szCs w:val="20"/>
              </w:rPr>
            </w:pPr>
            <w:r>
              <w:rPr>
                <w:rFonts w:cs="Arial"/>
                <w:sz w:val="20"/>
                <w:szCs w:val="20"/>
              </w:rPr>
              <w:t>48</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E8027" w14:textId="77777777" w:rsidR="00BA4342" w:rsidRPr="00C01F7F" w:rsidRDefault="00BA4342" w:rsidP="00082A78">
            <w:pPr>
              <w:spacing w:before="0" w:after="0"/>
              <w:jc w:val="center"/>
              <w:rPr>
                <w:rFonts w:cs="Arial"/>
                <w:sz w:val="20"/>
                <w:szCs w:val="20"/>
              </w:rPr>
            </w:pPr>
            <w:r w:rsidRPr="00C01F7F">
              <w:rPr>
                <w:rFonts w:cs="Arial"/>
                <w:sz w:val="20"/>
                <w:szCs w:val="20"/>
              </w:rPr>
              <w:t>4</w:t>
            </w:r>
            <w:r>
              <w:rPr>
                <w:rFonts w:cs="Arial"/>
                <w:sz w:val="20"/>
                <w:szCs w:val="20"/>
              </w:rPr>
              <w:t>3</w:t>
            </w:r>
          </w:p>
        </w:tc>
      </w:tr>
      <w:tr w:rsidR="00BA4342" w:rsidRPr="00C01F7F" w14:paraId="5A6054EE" w14:textId="77777777" w:rsidTr="00F446C8">
        <w:trPr>
          <w:trHeight w:val="254"/>
          <w:jc w:val="center"/>
        </w:trPr>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14:paraId="260A01D2" w14:textId="77777777" w:rsidR="00BA4342" w:rsidRPr="00C01F7F" w:rsidRDefault="00BA4342" w:rsidP="00082A78">
            <w:pPr>
              <w:spacing w:before="0" w:after="0"/>
              <w:rPr>
                <w:rFonts w:cs="Arial"/>
                <w:b/>
                <w:bCs/>
                <w:i/>
                <w:iCs/>
                <w:color w:val="000000"/>
                <w:sz w:val="20"/>
                <w:szCs w:val="20"/>
              </w:rPr>
            </w:pPr>
            <w:r w:rsidRPr="00C01F7F">
              <w:rPr>
                <w:rFonts w:cs="Arial"/>
                <w:b/>
                <w:bCs/>
                <w:i/>
                <w:iCs/>
                <w:color w:val="000000"/>
                <w:sz w:val="20"/>
                <w:szCs w:val="20"/>
              </w:rPr>
              <w:t>Beginning ESL(Low)</w:t>
            </w:r>
            <w:r>
              <w:rPr>
                <w:rFonts w:cs="Arial"/>
                <w:b/>
                <w:bCs/>
                <w:i/>
                <w:iCs/>
                <w:color w:val="000000"/>
                <w:sz w:val="20"/>
                <w:szCs w:val="20"/>
              </w:rPr>
              <w:t>/ESL 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8F4A2FD" w14:textId="77777777" w:rsidR="00BA4342" w:rsidRPr="00C01F7F" w:rsidRDefault="00BA4342" w:rsidP="00082A78">
            <w:pPr>
              <w:spacing w:before="0" w:after="0"/>
              <w:jc w:val="center"/>
              <w:rPr>
                <w:rFonts w:cs="Arial"/>
                <w:sz w:val="20"/>
                <w:szCs w:val="20"/>
              </w:rPr>
            </w:pPr>
            <w:r w:rsidRPr="00C01F7F">
              <w:rPr>
                <w:rFonts w:cs="Arial"/>
                <w:sz w:val="20"/>
                <w:szCs w:val="20"/>
              </w:rPr>
              <w:t>71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C1DAB9D" w14:textId="77777777" w:rsidR="00BA4342" w:rsidRPr="00C01F7F" w:rsidRDefault="00BA4342" w:rsidP="00082A78">
            <w:pPr>
              <w:spacing w:before="0" w:after="0"/>
              <w:jc w:val="center"/>
              <w:rPr>
                <w:rFonts w:cs="Arial"/>
                <w:sz w:val="20"/>
                <w:szCs w:val="20"/>
              </w:rPr>
            </w:pPr>
            <w:r w:rsidRPr="00C01F7F">
              <w:rPr>
                <w:rFonts w:cs="Arial"/>
                <w:sz w:val="20"/>
                <w:szCs w:val="20"/>
              </w:rPr>
              <w:t>73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94D687F" w14:textId="77777777" w:rsidR="00BA4342" w:rsidRPr="00C01F7F" w:rsidRDefault="00BA4342" w:rsidP="00082A78">
            <w:pPr>
              <w:spacing w:before="0" w:after="0"/>
              <w:jc w:val="center"/>
              <w:rPr>
                <w:rFonts w:cs="Arial"/>
                <w:sz w:val="20"/>
                <w:szCs w:val="20"/>
              </w:rPr>
            </w:pPr>
            <w:r w:rsidRPr="00C01F7F">
              <w:rPr>
                <w:rFonts w:cs="Arial"/>
                <w:sz w:val="20"/>
                <w:szCs w:val="20"/>
              </w:rPr>
              <w:t>71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9AEAE65" w14:textId="77777777" w:rsidR="00BA4342" w:rsidRPr="00C01F7F" w:rsidRDefault="00BA4342" w:rsidP="00082A78">
            <w:pPr>
              <w:spacing w:before="0" w:after="0"/>
              <w:jc w:val="center"/>
              <w:rPr>
                <w:rFonts w:cs="Arial"/>
                <w:sz w:val="20"/>
                <w:szCs w:val="20"/>
              </w:rPr>
            </w:pPr>
            <w:r w:rsidRPr="00C01F7F">
              <w:rPr>
                <w:rFonts w:cs="Arial"/>
                <w:sz w:val="20"/>
                <w:szCs w:val="20"/>
              </w:rPr>
              <w:t>58</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545DD" w14:textId="77777777" w:rsidR="00BA4342" w:rsidRPr="00C01F7F" w:rsidRDefault="00BA4342" w:rsidP="00082A78">
            <w:pPr>
              <w:spacing w:before="0" w:after="0"/>
              <w:jc w:val="center"/>
              <w:rPr>
                <w:rFonts w:cs="Arial"/>
                <w:sz w:val="20"/>
                <w:szCs w:val="20"/>
              </w:rPr>
            </w:pPr>
            <w:r w:rsidRPr="00C01F7F">
              <w:rPr>
                <w:rFonts w:cs="Arial"/>
                <w:sz w:val="20"/>
                <w:szCs w:val="20"/>
              </w:rPr>
              <w:t>73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5FBB6" w14:textId="77777777" w:rsidR="00BA4342" w:rsidRPr="00C01F7F" w:rsidRDefault="00BA4342" w:rsidP="00082A78">
            <w:pPr>
              <w:spacing w:before="0" w:after="0"/>
              <w:jc w:val="center"/>
              <w:rPr>
                <w:rFonts w:cs="Arial"/>
                <w:sz w:val="20"/>
                <w:szCs w:val="20"/>
              </w:rPr>
            </w:pPr>
            <w:r w:rsidRPr="00C01F7F">
              <w:rPr>
                <w:rFonts w:cs="Arial"/>
                <w:sz w:val="20"/>
                <w:szCs w:val="20"/>
              </w:rPr>
              <w:t>55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5973" w14:textId="77777777" w:rsidR="00BA4342" w:rsidRPr="00C01F7F" w:rsidRDefault="00BA4342" w:rsidP="00082A78">
            <w:pPr>
              <w:spacing w:before="0" w:after="0"/>
              <w:jc w:val="center"/>
              <w:rPr>
                <w:rFonts w:cs="Arial"/>
                <w:sz w:val="20"/>
                <w:szCs w:val="20"/>
              </w:rPr>
            </w:pPr>
            <w:r>
              <w:rPr>
                <w:rFonts w:cs="Arial"/>
                <w:sz w:val="20"/>
                <w:szCs w:val="20"/>
              </w:rPr>
              <w:t>58</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24C92" w14:textId="77777777" w:rsidR="00BA4342" w:rsidRPr="00C01F7F" w:rsidRDefault="00BA4342" w:rsidP="00082A78">
            <w:pPr>
              <w:spacing w:before="0" w:after="0"/>
              <w:jc w:val="center"/>
              <w:rPr>
                <w:rFonts w:cs="Arial"/>
                <w:sz w:val="20"/>
                <w:szCs w:val="20"/>
              </w:rPr>
            </w:pPr>
            <w:r w:rsidRPr="00C01F7F">
              <w:rPr>
                <w:rFonts w:cs="Arial"/>
                <w:sz w:val="20"/>
                <w:szCs w:val="20"/>
              </w:rPr>
              <w:t>5</w:t>
            </w:r>
            <w:r>
              <w:rPr>
                <w:rFonts w:cs="Arial"/>
                <w:sz w:val="20"/>
                <w:szCs w:val="20"/>
              </w:rPr>
              <w:t>4</w:t>
            </w:r>
          </w:p>
        </w:tc>
      </w:tr>
      <w:tr w:rsidR="00BA4342" w:rsidRPr="00C01F7F" w14:paraId="4828F645" w14:textId="77777777" w:rsidTr="00F446C8">
        <w:trPr>
          <w:trHeight w:val="254"/>
          <w:jc w:val="center"/>
        </w:trPr>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14:paraId="3CA70AC6" w14:textId="77777777" w:rsidR="00BA4342" w:rsidRPr="00C01F7F" w:rsidRDefault="00BA4342" w:rsidP="00082A78">
            <w:pPr>
              <w:spacing w:before="0" w:after="0"/>
              <w:rPr>
                <w:rFonts w:cs="Arial"/>
                <w:b/>
                <w:bCs/>
                <w:i/>
                <w:iCs/>
                <w:color w:val="000000"/>
                <w:sz w:val="20"/>
                <w:szCs w:val="20"/>
              </w:rPr>
            </w:pPr>
            <w:r w:rsidRPr="00C01F7F">
              <w:rPr>
                <w:rFonts w:cs="Arial"/>
                <w:b/>
                <w:bCs/>
                <w:i/>
                <w:iCs/>
                <w:color w:val="000000"/>
                <w:sz w:val="20"/>
                <w:szCs w:val="20"/>
              </w:rPr>
              <w:t>Beginning ESL High</w:t>
            </w:r>
            <w:r>
              <w:rPr>
                <w:rFonts w:cs="Arial"/>
                <w:b/>
                <w:bCs/>
                <w:i/>
                <w:iCs/>
                <w:color w:val="000000"/>
                <w:sz w:val="20"/>
                <w:szCs w:val="20"/>
              </w:rPr>
              <w:t>/ESL 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F551F60" w14:textId="77777777" w:rsidR="00BA4342" w:rsidRPr="00C01F7F" w:rsidRDefault="00BA4342" w:rsidP="00082A78">
            <w:pPr>
              <w:spacing w:before="0" w:after="0"/>
              <w:jc w:val="center"/>
              <w:rPr>
                <w:rFonts w:cs="Arial"/>
                <w:sz w:val="20"/>
                <w:szCs w:val="20"/>
              </w:rPr>
            </w:pPr>
            <w:r w:rsidRPr="00C01F7F">
              <w:rPr>
                <w:rFonts w:cs="Arial"/>
                <w:sz w:val="20"/>
                <w:szCs w:val="20"/>
              </w:rPr>
              <w:t>62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FA190B9" w14:textId="77777777" w:rsidR="00BA4342" w:rsidRPr="00C01F7F" w:rsidRDefault="00BA4342" w:rsidP="00082A78">
            <w:pPr>
              <w:spacing w:before="0" w:after="0"/>
              <w:jc w:val="center"/>
              <w:rPr>
                <w:rFonts w:cs="Arial"/>
                <w:sz w:val="20"/>
                <w:szCs w:val="20"/>
              </w:rPr>
            </w:pPr>
            <w:r w:rsidRPr="00C01F7F">
              <w:rPr>
                <w:rFonts w:cs="Arial"/>
                <w:sz w:val="20"/>
                <w:szCs w:val="20"/>
              </w:rPr>
              <w:t>65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439E3F1" w14:textId="77777777" w:rsidR="00BA4342" w:rsidRPr="00C01F7F" w:rsidRDefault="00BA4342" w:rsidP="00082A78">
            <w:pPr>
              <w:spacing w:before="0" w:after="0"/>
              <w:jc w:val="center"/>
              <w:rPr>
                <w:rFonts w:cs="Arial"/>
                <w:sz w:val="20"/>
                <w:szCs w:val="20"/>
              </w:rPr>
            </w:pPr>
            <w:r w:rsidRPr="00C01F7F">
              <w:rPr>
                <w:rFonts w:cs="Arial"/>
                <w:sz w:val="20"/>
                <w:szCs w:val="20"/>
              </w:rPr>
              <w:t>62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BEA937B" w14:textId="77777777" w:rsidR="00BA4342" w:rsidRPr="00C01F7F" w:rsidRDefault="00BA4342" w:rsidP="00082A78">
            <w:pPr>
              <w:spacing w:before="0" w:after="0"/>
              <w:jc w:val="center"/>
              <w:rPr>
                <w:rFonts w:cs="Arial"/>
                <w:sz w:val="20"/>
                <w:szCs w:val="20"/>
              </w:rPr>
            </w:pPr>
            <w:r w:rsidRPr="00C01F7F">
              <w:rPr>
                <w:rFonts w:cs="Arial"/>
                <w:sz w:val="20"/>
                <w:szCs w:val="20"/>
              </w:rPr>
              <w:t>50</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8A3FD" w14:textId="77777777" w:rsidR="00BA4342" w:rsidRPr="00C01F7F" w:rsidRDefault="00BA4342" w:rsidP="00082A78">
            <w:pPr>
              <w:spacing w:before="0" w:after="0"/>
              <w:jc w:val="center"/>
              <w:rPr>
                <w:rFonts w:cs="Arial"/>
                <w:sz w:val="20"/>
                <w:szCs w:val="20"/>
              </w:rPr>
            </w:pPr>
            <w:r w:rsidRPr="00C01F7F">
              <w:rPr>
                <w:rFonts w:cs="Arial"/>
                <w:sz w:val="20"/>
                <w:szCs w:val="20"/>
              </w:rPr>
              <w:t>66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7CD44" w14:textId="77777777" w:rsidR="00BA4342" w:rsidRPr="00C01F7F" w:rsidRDefault="00BA4342" w:rsidP="00082A78">
            <w:pPr>
              <w:spacing w:before="0" w:after="0"/>
              <w:jc w:val="center"/>
              <w:rPr>
                <w:rFonts w:cs="Arial"/>
                <w:sz w:val="20"/>
                <w:szCs w:val="20"/>
              </w:rPr>
            </w:pPr>
            <w:r w:rsidRPr="00C01F7F">
              <w:rPr>
                <w:rFonts w:cs="Arial"/>
                <w:sz w:val="20"/>
                <w:szCs w:val="20"/>
              </w:rPr>
              <w:t>48</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A97ED" w14:textId="77777777" w:rsidR="00BA4342" w:rsidRPr="00C01F7F" w:rsidRDefault="00BA4342" w:rsidP="00082A78">
            <w:pPr>
              <w:spacing w:before="0" w:after="0"/>
              <w:jc w:val="center"/>
              <w:rPr>
                <w:rFonts w:cs="Arial"/>
                <w:sz w:val="20"/>
                <w:szCs w:val="20"/>
              </w:rPr>
            </w:pPr>
            <w:r>
              <w:rPr>
                <w:rFonts w:cs="Arial"/>
                <w:sz w:val="20"/>
                <w:szCs w:val="20"/>
              </w:rPr>
              <w:t>51</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319FD" w14:textId="77777777" w:rsidR="00BA4342" w:rsidRPr="00C01F7F" w:rsidRDefault="00BA4342" w:rsidP="00082A78">
            <w:pPr>
              <w:spacing w:before="0" w:after="0"/>
              <w:jc w:val="center"/>
              <w:rPr>
                <w:rFonts w:cs="Arial"/>
                <w:sz w:val="20"/>
                <w:szCs w:val="20"/>
              </w:rPr>
            </w:pPr>
            <w:r w:rsidRPr="00C01F7F">
              <w:rPr>
                <w:rFonts w:cs="Arial"/>
                <w:sz w:val="20"/>
                <w:szCs w:val="20"/>
              </w:rPr>
              <w:t>4</w:t>
            </w:r>
            <w:r>
              <w:rPr>
                <w:rFonts w:cs="Arial"/>
                <w:sz w:val="20"/>
                <w:szCs w:val="20"/>
              </w:rPr>
              <w:t>4</w:t>
            </w:r>
          </w:p>
        </w:tc>
      </w:tr>
      <w:tr w:rsidR="00BA4342" w:rsidRPr="00C01F7F" w14:paraId="260545FC" w14:textId="77777777" w:rsidTr="00F446C8">
        <w:trPr>
          <w:trHeight w:val="254"/>
          <w:jc w:val="center"/>
        </w:trPr>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14:paraId="667C9C8A" w14:textId="77777777" w:rsidR="00BA4342" w:rsidRPr="00C01F7F" w:rsidRDefault="00BA4342" w:rsidP="00082A78">
            <w:pPr>
              <w:spacing w:before="0" w:after="0"/>
              <w:rPr>
                <w:rFonts w:cs="Arial"/>
                <w:b/>
                <w:bCs/>
                <w:i/>
                <w:iCs/>
                <w:color w:val="000000"/>
                <w:sz w:val="20"/>
                <w:szCs w:val="20"/>
              </w:rPr>
            </w:pPr>
            <w:r w:rsidRPr="00C01F7F">
              <w:rPr>
                <w:rFonts w:cs="Arial"/>
                <w:b/>
                <w:bCs/>
                <w:i/>
                <w:iCs/>
                <w:color w:val="000000"/>
                <w:sz w:val="20"/>
                <w:szCs w:val="20"/>
              </w:rPr>
              <w:t>Low Intermediate ESL</w:t>
            </w:r>
            <w:r>
              <w:rPr>
                <w:rFonts w:cs="Arial"/>
                <w:b/>
                <w:bCs/>
                <w:i/>
                <w:iCs/>
                <w:color w:val="000000"/>
                <w:sz w:val="20"/>
                <w:szCs w:val="20"/>
              </w:rPr>
              <w:t>/ESL 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58E546A" w14:textId="77777777" w:rsidR="00BA4342" w:rsidRPr="00C01F7F" w:rsidRDefault="00BA4342" w:rsidP="00082A78">
            <w:pPr>
              <w:spacing w:before="0" w:after="0"/>
              <w:jc w:val="center"/>
              <w:rPr>
                <w:rFonts w:cs="Arial"/>
                <w:sz w:val="20"/>
                <w:szCs w:val="20"/>
              </w:rPr>
            </w:pPr>
            <w:r w:rsidRPr="00C01F7F">
              <w:rPr>
                <w:rFonts w:cs="Arial"/>
                <w:sz w:val="20"/>
                <w:szCs w:val="20"/>
              </w:rPr>
              <w:t>54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0495121" w14:textId="77777777" w:rsidR="00BA4342" w:rsidRPr="00C01F7F" w:rsidRDefault="00BA4342" w:rsidP="00082A78">
            <w:pPr>
              <w:spacing w:before="0" w:after="0"/>
              <w:jc w:val="center"/>
              <w:rPr>
                <w:rFonts w:cs="Arial"/>
                <w:sz w:val="20"/>
                <w:szCs w:val="20"/>
              </w:rPr>
            </w:pPr>
            <w:r w:rsidRPr="00C01F7F">
              <w:rPr>
                <w:rFonts w:cs="Arial"/>
                <w:sz w:val="20"/>
                <w:szCs w:val="20"/>
              </w:rPr>
              <w:t>55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7BA4B09" w14:textId="77777777" w:rsidR="00BA4342" w:rsidRPr="00C01F7F" w:rsidRDefault="00BA4342" w:rsidP="00082A78">
            <w:pPr>
              <w:spacing w:before="0" w:after="0"/>
              <w:jc w:val="center"/>
              <w:rPr>
                <w:rFonts w:cs="Arial"/>
                <w:sz w:val="20"/>
                <w:szCs w:val="20"/>
              </w:rPr>
            </w:pPr>
            <w:r w:rsidRPr="00C01F7F">
              <w:rPr>
                <w:rFonts w:cs="Arial"/>
                <w:sz w:val="20"/>
                <w:szCs w:val="20"/>
              </w:rPr>
              <w:t>54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0DD6F43" w14:textId="77777777" w:rsidR="00BA4342" w:rsidRPr="00C01F7F" w:rsidRDefault="00BA4342" w:rsidP="00082A78">
            <w:pPr>
              <w:spacing w:before="0" w:after="0"/>
              <w:jc w:val="center"/>
              <w:rPr>
                <w:rFonts w:cs="Arial"/>
                <w:sz w:val="20"/>
                <w:szCs w:val="20"/>
              </w:rPr>
            </w:pPr>
            <w:r w:rsidRPr="00C01F7F">
              <w:rPr>
                <w:rFonts w:cs="Arial"/>
                <w:sz w:val="20"/>
                <w:szCs w:val="20"/>
              </w:rPr>
              <w:t>38</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232C2" w14:textId="77777777" w:rsidR="00BA4342" w:rsidRPr="00C01F7F" w:rsidRDefault="00BA4342" w:rsidP="00082A78">
            <w:pPr>
              <w:spacing w:before="0" w:after="0"/>
              <w:jc w:val="center"/>
              <w:rPr>
                <w:rFonts w:cs="Arial"/>
                <w:sz w:val="20"/>
                <w:szCs w:val="20"/>
              </w:rPr>
            </w:pPr>
            <w:r w:rsidRPr="00C01F7F">
              <w:rPr>
                <w:rFonts w:cs="Arial"/>
                <w:sz w:val="20"/>
                <w:szCs w:val="20"/>
              </w:rPr>
              <w:t>56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21904" w14:textId="77777777" w:rsidR="00BA4342" w:rsidRPr="00C01F7F" w:rsidRDefault="00BA4342" w:rsidP="00082A78">
            <w:pPr>
              <w:spacing w:before="0" w:after="0"/>
              <w:jc w:val="center"/>
              <w:rPr>
                <w:rFonts w:cs="Arial"/>
                <w:sz w:val="20"/>
                <w:szCs w:val="20"/>
              </w:rPr>
            </w:pPr>
            <w:r w:rsidRPr="00C01F7F">
              <w:rPr>
                <w:rFonts w:cs="Arial"/>
                <w:sz w:val="20"/>
                <w:szCs w:val="20"/>
              </w:rPr>
              <w:t>37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66E72" w14:textId="77777777" w:rsidR="00BA4342" w:rsidRPr="00C01F7F" w:rsidRDefault="00BA4342" w:rsidP="00082A78">
            <w:pPr>
              <w:spacing w:before="0" w:after="0"/>
              <w:jc w:val="center"/>
              <w:rPr>
                <w:rFonts w:cs="Arial"/>
                <w:sz w:val="20"/>
                <w:szCs w:val="20"/>
              </w:rPr>
            </w:pPr>
            <w:r>
              <w:rPr>
                <w:rFonts w:cs="Arial"/>
                <w:sz w:val="20"/>
                <w:szCs w:val="20"/>
              </w:rPr>
              <w:t>39</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7C38A" w14:textId="77777777" w:rsidR="00BA4342" w:rsidRPr="00C01F7F" w:rsidRDefault="00BA4342" w:rsidP="00082A78">
            <w:pPr>
              <w:spacing w:before="0" w:after="0"/>
              <w:jc w:val="center"/>
              <w:rPr>
                <w:rFonts w:cs="Arial"/>
                <w:sz w:val="20"/>
                <w:szCs w:val="20"/>
              </w:rPr>
            </w:pPr>
            <w:r w:rsidRPr="00C01F7F">
              <w:rPr>
                <w:rFonts w:cs="Arial"/>
                <w:sz w:val="20"/>
                <w:szCs w:val="20"/>
              </w:rPr>
              <w:t>3</w:t>
            </w:r>
            <w:r>
              <w:rPr>
                <w:rFonts w:cs="Arial"/>
                <w:sz w:val="20"/>
                <w:szCs w:val="20"/>
              </w:rPr>
              <w:t>8</w:t>
            </w:r>
          </w:p>
        </w:tc>
      </w:tr>
      <w:tr w:rsidR="00BA4342" w:rsidRPr="00C01F7F" w14:paraId="1CFB867F" w14:textId="77777777" w:rsidTr="00F446C8">
        <w:trPr>
          <w:trHeight w:val="254"/>
          <w:jc w:val="center"/>
        </w:trPr>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14:paraId="335AA343" w14:textId="77777777" w:rsidR="00BA4342" w:rsidRPr="00C01F7F" w:rsidRDefault="00BA4342" w:rsidP="00082A78">
            <w:pPr>
              <w:spacing w:before="0" w:after="0"/>
              <w:rPr>
                <w:rFonts w:cs="Arial"/>
                <w:b/>
                <w:bCs/>
                <w:i/>
                <w:iCs/>
                <w:color w:val="000000"/>
                <w:sz w:val="20"/>
                <w:szCs w:val="20"/>
              </w:rPr>
            </w:pPr>
            <w:r w:rsidRPr="00C01F7F">
              <w:rPr>
                <w:rFonts w:cs="Arial"/>
                <w:b/>
                <w:bCs/>
                <w:i/>
                <w:iCs/>
                <w:color w:val="000000"/>
                <w:sz w:val="20"/>
                <w:szCs w:val="20"/>
              </w:rPr>
              <w:t>High Intermediate ESL</w:t>
            </w:r>
            <w:r>
              <w:rPr>
                <w:rFonts w:cs="Arial"/>
                <w:b/>
                <w:bCs/>
                <w:i/>
                <w:iCs/>
                <w:color w:val="000000"/>
                <w:sz w:val="20"/>
                <w:szCs w:val="20"/>
              </w:rPr>
              <w:t>/ESL 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73600D8" w14:textId="77777777" w:rsidR="00BA4342" w:rsidRPr="00C01F7F" w:rsidRDefault="00BA4342" w:rsidP="00082A78">
            <w:pPr>
              <w:spacing w:before="0" w:after="0"/>
              <w:jc w:val="center"/>
              <w:rPr>
                <w:rFonts w:cs="Arial"/>
                <w:sz w:val="20"/>
                <w:szCs w:val="20"/>
              </w:rPr>
            </w:pPr>
            <w:r w:rsidRPr="00C01F7F">
              <w:rPr>
                <w:rFonts w:cs="Arial"/>
                <w:sz w:val="20"/>
                <w:szCs w:val="20"/>
              </w:rPr>
              <w:t>51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DCB22D8" w14:textId="77777777" w:rsidR="00BA4342" w:rsidRPr="00C01F7F" w:rsidRDefault="00BA4342" w:rsidP="00082A78">
            <w:pPr>
              <w:spacing w:before="0" w:after="0"/>
              <w:jc w:val="center"/>
              <w:rPr>
                <w:rFonts w:cs="Arial"/>
                <w:sz w:val="20"/>
                <w:szCs w:val="20"/>
              </w:rPr>
            </w:pPr>
            <w:r w:rsidRPr="00C01F7F">
              <w:rPr>
                <w:rFonts w:cs="Arial"/>
                <w:sz w:val="20"/>
                <w:szCs w:val="20"/>
              </w:rPr>
              <w:t>54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5047575" w14:textId="77777777" w:rsidR="00BA4342" w:rsidRPr="00C01F7F" w:rsidRDefault="00BA4342" w:rsidP="00082A78">
            <w:pPr>
              <w:spacing w:before="0" w:after="0"/>
              <w:jc w:val="center"/>
              <w:rPr>
                <w:rFonts w:cs="Arial"/>
                <w:sz w:val="20"/>
                <w:szCs w:val="20"/>
              </w:rPr>
            </w:pPr>
            <w:r w:rsidRPr="00C01F7F">
              <w:rPr>
                <w:rFonts w:cs="Arial"/>
                <w:sz w:val="20"/>
                <w:szCs w:val="20"/>
              </w:rPr>
              <w:t>51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71B0429" w14:textId="77777777" w:rsidR="00BA4342" w:rsidRPr="00C01F7F" w:rsidRDefault="00BA4342" w:rsidP="00082A78">
            <w:pPr>
              <w:spacing w:before="0" w:after="0"/>
              <w:jc w:val="center"/>
              <w:rPr>
                <w:rFonts w:cs="Arial"/>
                <w:sz w:val="20"/>
                <w:szCs w:val="20"/>
              </w:rPr>
            </w:pPr>
            <w:r w:rsidRPr="00C01F7F">
              <w:rPr>
                <w:rFonts w:cs="Arial"/>
                <w:sz w:val="20"/>
                <w:szCs w:val="20"/>
              </w:rPr>
              <w:t>34</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B7FFE" w14:textId="77777777" w:rsidR="00BA4342" w:rsidRPr="00C01F7F" w:rsidRDefault="00BA4342" w:rsidP="00082A78">
            <w:pPr>
              <w:spacing w:before="0" w:after="0"/>
              <w:jc w:val="center"/>
              <w:rPr>
                <w:rFonts w:cs="Arial"/>
                <w:sz w:val="20"/>
                <w:szCs w:val="20"/>
              </w:rPr>
            </w:pPr>
            <w:r w:rsidRPr="00C01F7F">
              <w:rPr>
                <w:rFonts w:cs="Arial"/>
                <w:sz w:val="20"/>
                <w:szCs w:val="20"/>
              </w:rPr>
              <w:t>55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A3114" w14:textId="77777777" w:rsidR="00BA4342" w:rsidRPr="00C01F7F" w:rsidRDefault="00BA4342" w:rsidP="00082A78">
            <w:pPr>
              <w:spacing w:before="0" w:after="0"/>
              <w:jc w:val="center"/>
              <w:rPr>
                <w:rFonts w:cs="Arial"/>
                <w:sz w:val="20"/>
                <w:szCs w:val="20"/>
              </w:rPr>
            </w:pPr>
            <w:r w:rsidRPr="00C01F7F">
              <w:rPr>
                <w:rFonts w:cs="Arial"/>
                <w:sz w:val="20"/>
                <w:szCs w:val="20"/>
              </w:rPr>
              <w:t>31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9A521" w14:textId="77777777" w:rsidR="00BA4342" w:rsidRPr="00C01F7F" w:rsidRDefault="00BA4342" w:rsidP="00082A78">
            <w:pPr>
              <w:spacing w:before="0" w:after="0"/>
              <w:jc w:val="center"/>
              <w:rPr>
                <w:rFonts w:cs="Arial"/>
                <w:sz w:val="20"/>
                <w:szCs w:val="20"/>
              </w:rPr>
            </w:pPr>
            <w:r>
              <w:rPr>
                <w:rFonts w:cs="Arial"/>
                <w:sz w:val="20"/>
                <w:szCs w:val="20"/>
              </w:rPr>
              <w:t>35</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CD29" w14:textId="77777777" w:rsidR="00BA4342" w:rsidRPr="00C01F7F" w:rsidRDefault="00BA4342" w:rsidP="00082A78">
            <w:pPr>
              <w:spacing w:before="0" w:after="0"/>
              <w:jc w:val="center"/>
              <w:rPr>
                <w:rFonts w:cs="Arial"/>
                <w:sz w:val="20"/>
                <w:szCs w:val="20"/>
              </w:rPr>
            </w:pPr>
            <w:r w:rsidRPr="00C01F7F">
              <w:rPr>
                <w:rFonts w:cs="Arial"/>
                <w:sz w:val="20"/>
                <w:szCs w:val="20"/>
              </w:rPr>
              <w:t>3</w:t>
            </w:r>
            <w:r>
              <w:rPr>
                <w:rFonts w:cs="Arial"/>
                <w:sz w:val="20"/>
                <w:szCs w:val="20"/>
              </w:rPr>
              <w:t>4</w:t>
            </w:r>
          </w:p>
        </w:tc>
      </w:tr>
      <w:tr w:rsidR="00BA4342" w:rsidRPr="00C01F7F" w14:paraId="2EB1B301" w14:textId="77777777" w:rsidTr="00F446C8">
        <w:trPr>
          <w:trHeight w:val="254"/>
          <w:jc w:val="center"/>
        </w:trPr>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14:paraId="78637F7D" w14:textId="77777777" w:rsidR="00BA4342" w:rsidRPr="00C01F7F" w:rsidRDefault="00BA4342" w:rsidP="00082A78">
            <w:pPr>
              <w:spacing w:before="0" w:after="0"/>
              <w:rPr>
                <w:rFonts w:cs="Arial"/>
                <w:b/>
                <w:bCs/>
                <w:i/>
                <w:iCs/>
                <w:color w:val="000000"/>
                <w:sz w:val="20"/>
                <w:szCs w:val="20"/>
              </w:rPr>
            </w:pPr>
            <w:r w:rsidRPr="00C01F7F">
              <w:rPr>
                <w:rFonts w:cs="Arial"/>
                <w:b/>
                <w:bCs/>
                <w:i/>
                <w:iCs/>
                <w:color w:val="000000"/>
                <w:sz w:val="20"/>
                <w:szCs w:val="20"/>
              </w:rPr>
              <w:t>Low Advanced ESL</w:t>
            </w:r>
            <w:r>
              <w:rPr>
                <w:rFonts w:cs="Arial"/>
                <w:b/>
                <w:bCs/>
                <w:i/>
                <w:iCs/>
                <w:color w:val="000000"/>
                <w:sz w:val="20"/>
                <w:szCs w:val="20"/>
              </w:rPr>
              <w:t>/ESL 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C1ED7F2" w14:textId="77777777" w:rsidR="00BA4342" w:rsidRPr="00C01F7F" w:rsidRDefault="00BA4342" w:rsidP="00082A78">
            <w:pPr>
              <w:spacing w:before="0" w:after="0"/>
              <w:jc w:val="center"/>
              <w:rPr>
                <w:rFonts w:cs="Arial"/>
                <w:sz w:val="20"/>
                <w:szCs w:val="20"/>
              </w:rPr>
            </w:pPr>
            <w:r w:rsidRPr="00C01F7F">
              <w:rPr>
                <w:rFonts w:cs="Arial"/>
                <w:sz w:val="20"/>
                <w:szCs w:val="20"/>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64F2A5D" w14:textId="77777777" w:rsidR="00BA4342" w:rsidRPr="00C01F7F" w:rsidRDefault="00BA4342" w:rsidP="00082A78">
            <w:pPr>
              <w:spacing w:before="0" w:after="0"/>
              <w:jc w:val="center"/>
              <w:rPr>
                <w:rFonts w:cs="Arial"/>
                <w:sz w:val="20"/>
                <w:szCs w:val="20"/>
              </w:rPr>
            </w:pPr>
            <w:r w:rsidRPr="00C01F7F">
              <w:rPr>
                <w:rFonts w:cs="Arial"/>
                <w:sz w:val="20"/>
                <w:szCs w:val="20"/>
              </w:rPr>
              <w:t>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6192E9F" w14:textId="77777777" w:rsidR="00BA4342" w:rsidRPr="00C01F7F" w:rsidRDefault="00BA4342" w:rsidP="00082A78">
            <w:pPr>
              <w:spacing w:before="0" w:after="0"/>
              <w:jc w:val="center"/>
              <w:rPr>
                <w:rFonts w:cs="Arial"/>
                <w:sz w:val="20"/>
                <w:szCs w:val="20"/>
              </w:rPr>
            </w:pPr>
            <w:r w:rsidRPr="00C01F7F">
              <w:rPr>
                <w:rFonts w:cs="Arial"/>
                <w:sz w:val="20"/>
                <w:szCs w:val="20"/>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F1E2E68" w14:textId="77777777" w:rsidR="00BA4342" w:rsidRPr="00C01F7F" w:rsidRDefault="00BA4342" w:rsidP="00082A78">
            <w:pPr>
              <w:spacing w:before="0" w:after="0"/>
              <w:jc w:val="center"/>
              <w:rPr>
                <w:rFonts w:cs="Arial"/>
                <w:sz w:val="20"/>
                <w:szCs w:val="20"/>
              </w:rPr>
            </w:pPr>
            <w:r w:rsidRPr="00C01F7F">
              <w:rPr>
                <w:rFonts w:cs="Arial"/>
                <w:sz w:val="20"/>
                <w:szCs w:val="20"/>
              </w:rPr>
              <w:t>15</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6F871" w14:textId="77777777" w:rsidR="00BA4342" w:rsidRPr="00C01F7F" w:rsidRDefault="00BA4342" w:rsidP="00082A78">
            <w:pPr>
              <w:spacing w:before="0" w:after="0"/>
              <w:jc w:val="center"/>
              <w:rPr>
                <w:rFonts w:cs="Arial"/>
                <w:sz w:val="20"/>
                <w:szCs w:val="20"/>
              </w:rPr>
            </w:pPr>
            <w:r w:rsidRPr="00C01F7F">
              <w:rPr>
                <w:rFonts w:cs="Arial"/>
                <w:sz w:val="20"/>
                <w:szCs w:val="20"/>
              </w:rPr>
              <w:t>33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5C46B" w14:textId="77777777" w:rsidR="00BA4342" w:rsidRPr="00C01F7F" w:rsidRDefault="00BA4342" w:rsidP="00082A78">
            <w:pPr>
              <w:spacing w:before="0" w:after="0"/>
              <w:jc w:val="center"/>
              <w:rPr>
                <w:rFonts w:cs="Arial"/>
                <w:sz w:val="20"/>
                <w:szCs w:val="20"/>
              </w:rPr>
            </w:pPr>
            <w:r w:rsidRPr="00C01F7F">
              <w:rPr>
                <w:rFonts w:cs="Arial"/>
                <w:sz w:val="20"/>
                <w:szCs w:val="20"/>
              </w:rPr>
              <w:t>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D0DA6" w14:textId="77777777" w:rsidR="00BA4342" w:rsidRPr="00C01F7F" w:rsidRDefault="00BA4342" w:rsidP="00082A78">
            <w:pPr>
              <w:spacing w:before="0" w:after="0"/>
              <w:jc w:val="center"/>
              <w:rPr>
                <w:rFonts w:cs="Arial"/>
                <w:sz w:val="20"/>
                <w:szCs w:val="20"/>
              </w:rPr>
            </w:pPr>
            <w:r>
              <w:rPr>
                <w:rFonts w:cs="Arial"/>
                <w:sz w:val="20"/>
                <w:szCs w:val="20"/>
              </w:rPr>
              <w:t>16</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14571" w14:textId="3415ADBC" w:rsidR="00BA4342" w:rsidRPr="00C01F7F" w:rsidRDefault="00DE6A8B" w:rsidP="00082A78">
            <w:pPr>
              <w:spacing w:before="0" w:after="0"/>
              <w:jc w:val="center"/>
              <w:rPr>
                <w:rFonts w:cs="Arial"/>
                <w:sz w:val="20"/>
                <w:szCs w:val="20"/>
              </w:rPr>
            </w:pPr>
            <w:r>
              <w:rPr>
                <w:rFonts w:cs="Arial"/>
                <w:sz w:val="20"/>
                <w:szCs w:val="20"/>
              </w:rPr>
              <w:t>23</w:t>
            </w:r>
            <w:bookmarkStart w:id="1" w:name="_GoBack"/>
            <w:bookmarkEnd w:id="1"/>
          </w:p>
        </w:tc>
      </w:tr>
      <w:tr w:rsidR="00BA4342" w:rsidRPr="00C01F7F" w14:paraId="137B5632" w14:textId="77777777" w:rsidTr="00F446C8">
        <w:trPr>
          <w:trHeight w:val="254"/>
          <w:jc w:val="center"/>
        </w:trPr>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14:paraId="722CF49E" w14:textId="77777777" w:rsidR="00BA4342" w:rsidRPr="00C01F7F" w:rsidRDefault="00BA4342" w:rsidP="00082A78">
            <w:pPr>
              <w:spacing w:before="0" w:after="0"/>
              <w:rPr>
                <w:rFonts w:cs="Arial"/>
                <w:b/>
                <w:bCs/>
                <w:i/>
                <w:iCs/>
                <w:color w:val="000000"/>
                <w:sz w:val="20"/>
                <w:szCs w:val="20"/>
              </w:rPr>
            </w:pPr>
            <w:r w:rsidRPr="00C01F7F">
              <w:rPr>
                <w:rFonts w:cs="Arial"/>
                <w:b/>
                <w:bCs/>
                <w:i/>
                <w:iCs/>
                <w:color w:val="000000"/>
                <w:sz w:val="20"/>
                <w:szCs w:val="20"/>
              </w:rPr>
              <w:t>Entered Employment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1B15606" w14:textId="77777777" w:rsidR="00BA4342" w:rsidRPr="00C01F7F" w:rsidRDefault="00BA4342" w:rsidP="00082A78">
            <w:pPr>
              <w:spacing w:before="0" w:after="0"/>
              <w:jc w:val="center"/>
              <w:rPr>
                <w:rFonts w:cs="Arial"/>
                <w:sz w:val="20"/>
                <w:szCs w:val="20"/>
              </w:rPr>
            </w:pPr>
            <w:r w:rsidRPr="00C01F7F">
              <w:rPr>
                <w:rFonts w:cs="Arial"/>
                <w:sz w:val="20"/>
                <w:szCs w:val="20"/>
              </w:rPr>
              <w:t>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B3DEB23" w14:textId="77777777" w:rsidR="00BA4342" w:rsidRPr="00C01F7F" w:rsidRDefault="00BA4342" w:rsidP="00082A78">
            <w:pPr>
              <w:spacing w:before="0" w:after="0"/>
              <w:jc w:val="center"/>
              <w:rPr>
                <w:rFonts w:cs="Arial"/>
                <w:sz w:val="20"/>
                <w:szCs w:val="20"/>
              </w:rPr>
            </w:pPr>
            <w:r w:rsidRPr="00C01F7F">
              <w:rPr>
                <w:rFonts w:cs="Arial"/>
                <w:sz w:val="20"/>
                <w:szCs w:val="20"/>
              </w:rPr>
              <w:t>44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1727815" w14:textId="77777777" w:rsidR="00BA4342" w:rsidRPr="00C01F7F" w:rsidRDefault="00BA4342" w:rsidP="00082A78">
            <w:pPr>
              <w:spacing w:before="0" w:after="0"/>
              <w:jc w:val="center"/>
              <w:rPr>
                <w:rFonts w:cs="Arial"/>
                <w:sz w:val="20"/>
                <w:szCs w:val="20"/>
              </w:rPr>
            </w:pPr>
            <w:r w:rsidRPr="00C01F7F">
              <w:rPr>
                <w:rFonts w:cs="Arial"/>
                <w:sz w:val="20"/>
                <w:szCs w:val="20"/>
              </w:rPr>
              <w:t>43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F75735A" w14:textId="77777777" w:rsidR="00BA4342" w:rsidRPr="00C01F7F" w:rsidRDefault="00BA4342" w:rsidP="00082A78">
            <w:pPr>
              <w:spacing w:before="0" w:after="0"/>
              <w:jc w:val="center"/>
              <w:rPr>
                <w:rFonts w:cs="Arial"/>
                <w:sz w:val="20"/>
                <w:szCs w:val="20"/>
              </w:rPr>
            </w:pPr>
            <w:r w:rsidRPr="00C01F7F">
              <w:rPr>
                <w:rFonts w:cs="Arial"/>
                <w:sz w:val="20"/>
                <w:szCs w:val="20"/>
              </w:rPr>
              <w:t>47</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269A" w14:textId="77777777" w:rsidR="00BA4342" w:rsidRPr="00C01F7F" w:rsidRDefault="00BA4342" w:rsidP="00082A78">
            <w:pPr>
              <w:spacing w:before="0" w:after="0"/>
              <w:jc w:val="center"/>
              <w:rPr>
                <w:rFonts w:cs="Arial"/>
                <w:sz w:val="20"/>
                <w:szCs w:val="20"/>
              </w:rPr>
            </w:pPr>
            <w:r>
              <w:rPr>
                <w:rFonts w:cs="Arial"/>
                <w:sz w:val="20"/>
                <w:szCs w:val="20"/>
              </w:rPr>
              <w:t>44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F0B2CB" w14:textId="77777777" w:rsidR="00BA4342" w:rsidRPr="00C01F7F" w:rsidRDefault="00BA4342" w:rsidP="00082A78">
            <w:pPr>
              <w:spacing w:before="0" w:after="0"/>
              <w:jc w:val="center"/>
              <w:rPr>
                <w:rFonts w:cs="Arial"/>
                <w:sz w:val="20"/>
                <w:szCs w:val="20"/>
              </w:rPr>
            </w:pPr>
            <w:r w:rsidRPr="00C01F7F">
              <w:rPr>
                <w:rFonts w:cs="Arial"/>
                <w:sz w:val="20"/>
                <w:szCs w:val="20"/>
              </w:rPr>
              <w:t>49</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7EF36" w14:textId="77777777" w:rsidR="00BA4342" w:rsidRPr="00C01F7F" w:rsidRDefault="00BA4342" w:rsidP="00082A78">
            <w:pPr>
              <w:spacing w:before="0" w:after="0"/>
              <w:jc w:val="center"/>
              <w:rPr>
                <w:rFonts w:cs="Arial"/>
                <w:sz w:val="20"/>
                <w:szCs w:val="20"/>
              </w:rPr>
            </w:pPr>
            <w:r w:rsidRPr="00C01F7F">
              <w:rPr>
                <w:rFonts w:cs="Arial"/>
                <w:sz w:val="20"/>
                <w:szCs w:val="20"/>
              </w:rPr>
              <w:t>NA</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0BFD0" w14:textId="77777777" w:rsidR="00BA4342" w:rsidRPr="00C01F7F" w:rsidRDefault="00BA4342" w:rsidP="00082A78">
            <w:pPr>
              <w:spacing w:before="0" w:after="0"/>
              <w:jc w:val="center"/>
              <w:rPr>
                <w:rFonts w:cs="Arial"/>
                <w:sz w:val="20"/>
                <w:szCs w:val="20"/>
              </w:rPr>
            </w:pPr>
            <w:r>
              <w:rPr>
                <w:rFonts w:cs="Arial"/>
                <w:sz w:val="20"/>
                <w:szCs w:val="20"/>
              </w:rPr>
              <w:t>NA</w:t>
            </w:r>
          </w:p>
        </w:tc>
      </w:tr>
      <w:tr w:rsidR="00BA4342" w:rsidRPr="00C01F7F" w14:paraId="77F97F96" w14:textId="77777777" w:rsidTr="00F446C8">
        <w:trPr>
          <w:trHeight w:val="254"/>
          <w:jc w:val="center"/>
        </w:trPr>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14:paraId="7DA68883" w14:textId="77777777" w:rsidR="00BA4342" w:rsidRPr="00C01F7F" w:rsidRDefault="00BA4342" w:rsidP="00082A78">
            <w:pPr>
              <w:spacing w:before="0" w:after="0"/>
              <w:rPr>
                <w:rFonts w:cs="Arial"/>
                <w:b/>
                <w:bCs/>
                <w:i/>
                <w:iCs/>
                <w:color w:val="000000"/>
                <w:sz w:val="20"/>
                <w:szCs w:val="20"/>
              </w:rPr>
            </w:pPr>
            <w:r w:rsidRPr="00C01F7F">
              <w:rPr>
                <w:rFonts w:cs="Arial"/>
                <w:b/>
                <w:bCs/>
                <w:i/>
                <w:iCs/>
                <w:color w:val="000000"/>
                <w:sz w:val="20"/>
                <w:szCs w:val="20"/>
              </w:rPr>
              <w:t>Retained Employment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8D00D50" w14:textId="77777777" w:rsidR="00BA4342" w:rsidRPr="00C01F7F" w:rsidRDefault="00BA4342" w:rsidP="00082A78">
            <w:pPr>
              <w:spacing w:before="0" w:after="0"/>
              <w:jc w:val="center"/>
              <w:rPr>
                <w:rFonts w:cs="Arial"/>
                <w:sz w:val="20"/>
                <w:szCs w:val="20"/>
              </w:rPr>
            </w:pPr>
            <w:r w:rsidRPr="00C01F7F">
              <w:rPr>
                <w:rFonts w:cs="Arial"/>
                <w:sz w:val="20"/>
                <w:szCs w:val="20"/>
              </w:rPr>
              <w:t>62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09B9C7D" w14:textId="77777777" w:rsidR="00BA4342" w:rsidRPr="00C01F7F" w:rsidRDefault="00BA4342" w:rsidP="00082A78">
            <w:pPr>
              <w:spacing w:before="0" w:after="0"/>
              <w:jc w:val="center"/>
              <w:rPr>
                <w:rFonts w:cs="Arial"/>
                <w:sz w:val="20"/>
                <w:szCs w:val="20"/>
              </w:rPr>
            </w:pPr>
            <w:r w:rsidRPr="00C01F7F">
              <w:rPr>
                <w:rFonts w:cs="Arial"/>
                <w:sz w:val="20"/>
                <w:szCs w:val="20"/>
              </w:rPr>
              <w:t>73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CCF4CF0" w14:textId="77777777" w:rsidR="00BA4342" w:rsidRPr="00C01F7F" w:rsidRDefault="00BA4342" w:rsidP="00082A78">
            <w:pPr>
              <w:spacing w:before="0" w:after="0"/>
              <w:jc w:val="center"/>
              <w:rPr>
                <w:rFonts w:cs="Arial"/>
                <w:sz w:val="20"/>
                <w:szCs w:val="20"/>
              </w:rPr>
            </w:pPr>
            <w:r w:rsidRPr="00C01F7F">
              <w:rPr>
                <w:rFonts w:cs="Arial"/>
                <w:sz w:val="20"/>
                <w:szCs w:val="20"/>
              </w:rPr>
              <w:t>72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7C771BF" w14:textId="77777777" w:rsidR="00BA4342" w:rsidRPr="00C01F7F" w:rsidRDefault="00BA4342" w:rsidP="00082A78">
            <w:pPr>
              <w:spacing w:before="0" w:after="0"/>
              <w:jc w:val="center"/>
              <w:rPr>
                <w:rFonts w:cs="Arial"/>
                <w:sz w:val="20"/>
                <w:szCs w:val="20"/>
              </w:rPr>
            </w:pPr>
            <w:r w:rsidRPr="00C01F7F">
              <w:rPr>
                <w:rFonts w:cs="Arial"/>
                <w:sz w:val="20"/>
                <w:szCs w:val="20"/>
              </w:rPr>
              <w:t>73</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38F11" w14:textId="77777777" w:rsidR="00BA4342" w:rsidRPr="00C01F7F" w:rsidRDefault="00BA4342" w:rsidP="00082A78">
            <w:pPr>
              <w:spacing w:before="0" w:after="0"/>
              <w:jc w:val="center"/>
              <w:rPr>
                <w:rFonts w:cs="Arial"/>
                <w:sz w:val="20"/>
                <w:szCs w:val="20"/>
              </w:rPr>
            </w:pPr>
            <w:r>
              <w:rPr>
                <w:rFonts w:cs="Arial"/>
                <w:sz w:val="20"/>
                <w:szCs w:val="20"/>
              </w:rPr>
              <w:t>73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4617C" w14:textId="77777777" w:rsidR="00BA4342" w:rsidRPr="00C01F7F" w:rsidRDefault="00BA4342" w:rsidP="00082A78">
            <w:pPr>
              <w:spacing w:before="0" w:after="0"/>
              <w:jc w:val="center"/>
              <w:rPr>
                <w:rFonts w:cs="Arial"/>
                <w:sz w:val="20"/>
                <w:szCs w:val="20"/>
              </w:rPr>
            </w:pPr>
            <w:r w:rsidRPr="00C01F7F">
              <w:rPr>
                <w:rFonts w:cs="Arial"/>
                <w:sz w:val="20"/>
                <w:szCs w:val="20"/>
              </w:rPr>
              <w:t>73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C9184" w14:textId="77777777" w:rsidR="00BA4342" w:rsidRPr="00C01F7F" w:rsidRDefault="00BA4342" w:rsidP="00082A78">
            <w:pPr>
              <w:spacing w:before="0" w:after="0"/>
              <w:jc w:val="center"/>
              <w:rPr>
                <w:rFonts w:cs="Arial"/>
                <w:sz w:val="20"/>
                <w:szCs w:val="20"/>
              </w:rPr>
            </w:pPr>
            <w:r w:rsidRPr="00C01F7F">
              <w:rPr>
                <w:rFonts w:cs="Arial"/>
                <w:sz w:val="20"/>
                <w:szCs w:val="20"/>
              </w:rPr>
              <w:t>NA</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722A8" w14:textId="77777777" w:rsidR="00BA4342" w:rsidRPr="00C01F7F" w:rsidRDefault="00BA4342" w:rsidP="00082A78">
            <w:pPr>
              <w:spacing w:before="0" w:after="0"/>
              <w:jc w:val="center"/>
              <w:rPr>
                <w:rFonts w:cs="Arial"/>
                <w:sz w:val="20"/>
                <w:szCs w:val="20"/>
              </w:rPr>
            </w:pPr>
            <w:r>
              <w:rPr>
                <w:rFonts w:cs="Arial"/>
                <w:sz w:val="20"/>
                <w:szCs w:val="20"/>
              </w:rPr>
              <w:t>NA</w:t>
            </w:r>
          </w:p>
        </w:tc>
      </w:tr>
      <w:tr w:rsidR="00BA4342" w:rsidRPr="00C01F7F" w14:paraId="01D0901A" w14:textId="77777777" w:rsidTr="00F446C8">
        <w:trPr>
          <w:trHeight w:val="268"/>
          <w:jc w:val="center"/>
        </w:trPr>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14:paraId="39A0A7A9" w14:textId="77777777" w:rsidR="00BA4342" w:rsidRPr="00C01F7F" w:rsidRDefault="00BA4342" w:rsidP="00082A78">
            <w:pPr>
              <w:spacing w:before="0" w:after="0"/>
              <w:rPr>
                <w:rFonts w:cs="Arial"/>
                <w:b/>
                <w:bCs/>
                <w:i/>
                <w:iCs/>
                <w:color w:val="000000"/>
                <w:sz w:val="20"/>
                <w:szCs w:val="20"/>
              </w:rPr>
            </w:pPr>
            <w:r w:rsidRPr="00C01F7F">
              <w:rPr>
                <w:rFonts w:cs="Arial"/>
                <w:b/>
                <w:bCs/>
                <w:i/>
                <w:iCs/>
                <w:color w:val="000000"/>
                <w:sz w:val="20"/>
                <w:szCs w:val="20"/>
              </w:rPr>
              <w:t>Receipt of Secondary Diploma or GED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34CD622" w14:textId="77777777" w:rsidR="00BA4342" w:rsidRPr="00C01F7F" w:rsidRDefault="00BA4342" w:rsidP="00082A78">
            <w:pPr>
              <w:spacing w:before="0" w:after="0"/>
              <w:jc w:val="center"/>
              <w:rPr>
                <w:rFonts w:cs="Arial"/>
                <w:sz w:val="20"/>
                <w:szCs w:val="20"/>
              </w:rPr>
            </w:pPr>
            <w:r w:rsidRPr="00C01F7F">
              <w:rPr>
                <w:rFonts w:cs="Arial"/>
                <w:sz w:val="20"/>
                <w:szCs w:val="20"/>
              </w:rPr>
              <w:t>60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5BFCB18" w14:textId="77777777" w:rsidR="00BA4342" w:rsidRPr="00C01F7F" w:rsidRDefault="00BA4342" w:rsidP="00082A78">
            <w:pPr>
              <w:spacing w:before="0" w:after="0"/>
              <w:jc w:val="center"/>
              <w:rPr>
                <w:rFonts w:cs="Arial"/>
                <w:sz w:val="20"/>
                <w:szCs w:val="20"/>
              </w:rPr>
            </w:pPr>
            <w:r w:rsidRPr="00C01F7F">
              <w:rPr>
                <w:rFonts w:cs="Arial"/>
                <w:sz w:val="20"/>
                <w:szCs w:val="20"/>
              </w:rPr>
              <w:t>82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9DF0B0B" w14:textId="77777777" w:rsidR="00BA4342" w:rsidRPr="00C01F7F" w:rsidRDefault="00BA4342" w:rsidP="00082A78">
            <w:pPr>
              <w:spacing w:before="0" w:after="0"/>
              <w:jc w:val="center"/>
              <w:rPr>
                <w:rFonts w:cs="Arial"/>
                <w:sz w:val="20"/>
                <w:szCs w:val="20"/>
              </w:rPr>
            </w:pPr>
            <w:r w:rsidRPr="00C01F7F">
              <w:rPr>
                <w:rFonts w:cs="Arial"/>
                <w:sz w:val="20"/>
                <w:szCs w:val="20"/>
              </w:rPr>
              <w:t>61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CB78F17" w14:textId="77777777" w:rsidR="00BA4342" w:rsidRPr="00C01F7F" w:rsidRDefault="00BA4342" w:rsidP="00082A78">
            <w:pPr>
              <w:spacing w:before="0" w:after="0"/>
              <w:jc w:val="center"/>
              <w:rPr>
                <w:rFonts w:cs="Arial"/>
                <w:sz w:val="20"/>
                <w:szCs w:val="20"/>
              </w:rPr>
            </w:pPr>
            <w:r w:rsidRPr="00C01F7F">
              <w:rPr>
                <w:rFonts w:cs="Arial"/>
                <w:sz w:val="20"/>
                <w:szCs w:val="20"/>
              </w:rPr>
              <w:t>75</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96D5A" w14:textId="77777777" w:rsidR="00BA4342" w:rsidRPr="00C01F7F" w:rsidRDefault="00BA4342" w:rsidP="00082A78">
            <w:pPr>
              <w:spacing w:before="0" w:after="0"/>
              <w:jc w:val="center"/>
              <w:rPr>
                <w:rFonts w:cs="Arial"/>
                <w:sz w:val="20"/>
                <w:szCs w:val="20"/>
              </w:rPr>
            </w:pPr>
            <w:r>
              <w:rPr>
                <w:rFonts w:cs="Arial"/>
                <w:sz w:val="20"/>
                <w:szCs w:val="20"/>
              </w:rPr>
              <w:t>61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4E340" w14:textId="77777777" w:rsidR="00BA4342" w:rsidRPr="00C01F7F" w:rsidRDefault="00BA4342" w:rsidP="00082A78">
            <w:pPr>
              <w:spacing w:before="0" w:after="0"/>
              <w:jc w:val="center"/>
              <w:rPr>
                <w:rFonts w:cs="Arial"/>
                <w:sz w:val="20"/>
                <w:szCs w:val="20"/>
              </w:rPr>
            </w:pPr>
            <w:r w:rsidRPr="00C01F7F">
              <w:rPr>
                <w:rFonts w:cs="Arial"/>
                <w:sz w:val="20"/>
                <w:szCs w:val="20"/>
              </w:rPr>
              <w:t>80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EC1A6" w14:textId="77777777" w:rsidR="00BA4342" w:rsidRPr="00C01F7F" w:rsidRDefault="00BA4342" w:rsidP="00082A78">
            <w:pPr>
              <w:spacing w:before="0" w:after="0"/>
              <w:jc w:val="center"/>
              <w:rPr>
                <w:rFonts w:cs="Arial"/>
                <w:sz w:val="20"/>
                <w:szCs w:val="20"/>
              </w:rPr>
            </w:pPr>
            <w:r w:rsidRPr="00C01F7F">
              <w:rPr>
                <w:rFonts w:cs="Arial"/>
                <w:sz w:val="20"/>
                <w:szCs w:val="20"/>
              </w:rPr>
              <w:t>NA</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7EE60" w14:textId="77777777" w:rsidR="00BA4342" w:rsidRPr="00C01F7F" w:rsidRDefault="00BA4342" w:rsidP="00082A78">
            <w:pPr>
              <w:spacing w:before="0" w:after="0"/>
              <w:jc w:val="center"/>
              <w:rPr>
                <w:rFonts w:cs="Arial"/>
                <w:sz w:val="20"/>
                <w:szCs w:val="20"/>
              </w:rPr>
            </w:pPr>
            <w:r>
              <w:rPr>
                <w:rFonts w:cs="Arial"/>
                <w:sz w:val="20"/>
                <w:szCs w:val="20"/>
              </w:rPr>
              <w:t>NA</w:t>
            </w:r>
          </w:p>
        </w:tc>
      </w:tr>
      <w:tr w:rsidR="00BA4342" w:rsidRPr="00C01F7F" w14:paraId="4AD7B69A" w14:textId="77777777" w:rsidTr="00F446C8">
        <w:trPr>
          <w:trHeight w:val="448"/>
          <w:jc w:val="center"/>
        </w:trPr>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14:paraId="3934E3E7" w14:textId="77777777" w:rsidR="00BA4342" w:rsidRPr="00C01F7F" w:rsidRDefault="00BA4342" w:rsidP="00082A78">
            <w:pPr>
              <w:spacing w:before="0" w:after="0"/>
              <w:rPr>
                <w:rFonts w:cs="Arial"/>
                <w:b/>
                <w:bCs/>
                <w:i/>
                <w:iCs/>
                <w:color w:val="000000"/>
                <w:sz w:val="20"/>
                <w:szCs w:val="20"/>
              </w:rPr>
            </w:pPr>
            <w:r w:rsidRPr="00C01F7F">
              <w:rPr>
                <w:rFonts w:cs="Arial"/>
                <w:b/>
                <w:bCs/>
                <w:i/>
                <w:iCs/>
                <w:color w:val="000000"/>
                <w:sz w:val="20"/>
                <w:szCs w:val="20"/>
              </w:rPr>
              <w:t>Placement in Postsecondary Education or Training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D17E013" w14:textId="77777777" w:rsidR="00BA4342" w:rsidRPr="00C01F7F" w:rsidRDefault="00BA4342" w:rsidP="00082A78">
            <w:pPr>
              <w:spacing w:before="0" w:after="0"/>
              <w:jc w:val="center"/>
              <w:rPr>
                <w:rFonts w:cs="Arial"/>
                <w:sz w:val="20"/>
                <w:szCs w:val="20"/>
              </w:rPr>
            </w:pPr>
            <w:r w:rsidRPr="00C01F7F">
              <w:rPr>
                <w:rFonts w:cs="Arial"/>
                <w:sz w:val="20"/>
                <w:szCs w:val="20"/>
              </w:rPr>
              <w:t>17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7FC0A80" w14:textId="77777777" w:rsidR="00BA4342" w:rsidRPr="00C01F7F" w:rsidRDefault="00BA4342" w:rsidP="00082A78">
            <w:pPr>
              <w:spacing w:before="0" w:after="0"/>
              <w:jc w:val="center"/>
              <w:rPr>
                <w:rFonts w:cs="Arial"/>
                <w:sz w:val="20"/>
                <w:szCs w:val="20"/>
              </w:rPr>
            </w:pPr>
            <w:r w:rsidRPr="00C01F7F">
              <w:rPr>
                <w:rFonts w:cs="Arial"/>
                <w:sz w:val="20"/>
                <w:szCs w:val="20"/>
              </w:rPr>
              <w:t>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B2BA2EB" w14:textId="77777777" w:rsidR="00BA4342" w:rsidRPr="00C01F7F" w:rsidRDefault="00BA4342" w:rsidP="00082A78">
            <w:pPr>
              <w:spacing w:before="0" w:after="0"/>
              <w:jc w:val="center"/>
              <w:rPr>
                <w:rFonts w:cs="Arial"/>
                <w:sz w:val="20"/>
                <w:szCs w:val="20"/>
              </w:rPr>
            </w:pPr>
            <w:r w:rsidRPr="00C01F7F">
              <w:rPr>
                <w:rFonts w:cs="Arial"/>
                <w:sz w:val="20"/>
                <w:szCs w:val="20"/>
              </w:rPr>
              <w:t>31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4160A14" w14:textId="77777777" w:rsidR="00BA4342" w:rsidRPr="00C01F7F" w:rsidRDefault="00BA4342" w:rsidP="00082A78">
            <w:pPr>
              <w:spacing w:before="0" w:after="0"/>
              <w:jc w:val="center"/>
              <w:rPr>
                <w:rFonts w:cs="Arial"/>
                <w:sz w:val="20"/>
                <w:szCs w:val="20"/>
              </w:rPr>
            </w:pPr>
            <w:r w:rsidRPr="00C01F7F">
              <w:rPr>
                <w:rFonts w:cs="Arial"/>
                <w:sz w:val="20"/>
                <w:szCs w:val="20"/>
              </w:rPr>
              <w:t>30</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D9314" w14:textId="77777777" w:rsidR="00BA4342" w:rsidRPr="00C01F7F" w:rsidRDefault="00BA4342" w:rsidP="00082A78">
            <w:pPr>
              <w:spacing w:before="0" w:after="0"/>
              <w:jc w:val="center"/>
              <w:rPr>
                <w:rFonts w:cs="Arial"/>
                <w:sz w:val="20"/>
                <w:szCs w:val="20"/>
              </w:rPr>
            </w:pPr>
            <w:r>
              <w:rPr>
                <w:rFonts w:cs="Arial"/>
                <w:sz w:val="20"/>
                <w:szCs w:val="20"/>
              </w:rPr>
              <w:t>32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06319" w14:textId="77777777" w:rsidR="00BA4342" w:rsidRPr="00C01F7F" w:rsidRDefault="00BA4342" w:rsidP="00082A78">
            <w:pPr>
              <w:spacing w:before="0" w:after="0"/>
              <w:jc w:val="center"/>
              <w:rPr>
                <w:rFonts w:cs="Arial"/>
                <w:sz w:val="20"/>
                <w:szCs w:val="20"/>
              </w:rPr>
            </w:pPr>
            <w:r w:rsidRPr="00C01F7F">
              <w:rPr>
                <w:rFonts w:cs="Arial"/>
                <w:sz w:val="20"/>
                <w:szCs w:val="20"/>
              </w:rPr>
              <w:t>32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6813C" w14:textId="77777777" w:rsidR="00BA4342" w:rsidRPr="00C01F7F" w:rsidRDefault="00BA4342" w:rsidP="00082A78">
            <w:pPr>
              <w:spacing w:before="0" w:after="0"/>
              <w:jc w:val="center"/>
              <w:rPr>
                <w:rFonts w:cs="Arial"/>
                <w:sz w:val="20"/>
                <w:szCs w:val="20"/>
              </w:rPr>
            </w:pPr>
            <w:r w:rsidRPr="00C01F7F">
              <w:rPr>
                <w:rFonts w:cs="Arial"/>
                <w:sz w:val="20"/>
                <w:szCs w:val="20"/>
              </w:rPr>
              <w:t>NA</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8BBC1" w14:textId="77777777" w:rsidR="00BA4342" w:rsidRPr="00C01F7F" w:rsidRDefault="00BA4342" w:rsidP="00082A78">
            <w:pPr>
              <w:spacing w:before="0" w:after="0"/>
              <w:jc w:val="center"/>
              <w:rPr>
                <w:rFonts w:cs="Arial"/>
                <w:sz w:val="20"/>
                <w:szCs w:val="20"/>
              </w:rPr>
            </w:pPr>
            <w:r>
              <w:rPr>
                <w:rFonts w:cs="Arial"/>
                <w:sz w:val="20"/>
                <w:szCs w:val="20"/>
              </w:rPr>
              <w:t>NA</w:t>
            </w:r>
          </w:p>
        </w:tc>
      </w:tr>
    </w:tbl>
    <w:p w14:paraId="50850377" w14:textId="5116EE87" w:rsidR="00BA4342" w:rsidRPr="00A8345B" w:rsidRDefault="00BA4342" w:rsidP="00082A78">
      <w:pPr>
        <w:rPr>
          <w:rFonts w:asciiTheme="minorHAnsi" w:hAnsiTheme="minorHAnsi"/>
        </w:rPr>
      </w:pPr>
      <w:r w:rsidRPr="00A8345B">
        <w:rPr>
          <w:rFonts w:asciiTheme="minorHAnsi" w:hAnsiTheme="minorHAnsi"/>
        </w:rPr>
        <w:t>The table above provides core performance information for the past four years for Minnesota ABE programs. Minnesota’s recent results continue to reflect the exceptionally low unemployment rate (less th</w:t>
      </w:r>
      <w:r w:rsidR="00B86054">
        <w:rPr>
          <w:rFonts w:asciiTheme="minorHAnsi" w:hAnsiTheme="minorHAnsi"/>
        </w:rPr>
        <w:t>an 3% for the past couple years)</w:t>
      </w:r>
      <w:r w:rsidRPr="00A8345B">
        <w:rPr>
          <w:rFonts w:asciiTheme="minorHAnsi" w:hAnsiTheme="minorHAnsi"/>
        </w:rPr>
        <w:t xml:space="preserve"> much lower immigration rates than in recent years and continued very low GED prep participation. The continued exceptionally low unemploymen</w:t>
      </w:r>
      <w:r w:rsidR="00B86054">
        <w:rPr>
          <w:rFonts w:asciiTheme="minorHAnsi" w:hAnsiTheme="minorHAnsi"/>
        </w:rPr>
        <w:t>t rate</w:t>
      </w:r>
      <w:r w:rsidRPr="00A8345B">
        <w:rPr>
          <w:rFonts w:asciiTheme="minorHAnsi" w:hAnsiTheme="minorHAnsi"/>
        </w:rPr>
        <w:t xml:space="preserve"> likely also caused Minnesota to experience a decline in average hours per participant after almost 20 years of steady increases. A bright spot in the data is that the uniform decline in level-completion/measureable skill gain (MSG) rate that occurred between 2014 and 2015 has been replaced with year over year gains in 5 of 11 levels. Some of that gain is attributable to the multiple measures that contribute to MSG, e.g. in ABE Levels 4 and 5, but some also reflect improvements in level change, e.g. ESL levels 4, 5 and 6.</w:t>
      </w:r>
    </w:p>
    <w:p w14:paraId="2F6D48D4" w14:textId="4646AEB3" w:rsidR="00BA4342" w:rsidRPr="00F10E39" w:rsidRDefault="00BA4342" w:rsidP="00A8345B">
      <w:pPr>
        <w:pStyle w:val="Heading3"/>
        <w:rPr>
          <w:b w:val="0"/>
          <w:i/>
          <w:color w:val="auto"/>
          <w:sz w:val="22"/>
          <w:szCs w:val="22"/>
        </w:rPr>
      </w:pPr>
      <w:r w:rsidRPr="00F10E39">
        <w:rPr>
          <w:b w:val="0"/>
          <w:i/>
          <w:color w:val="auto"/>
          <w:sz w:val="22"/>
          <w:szCs w:val="22"/>
        </w:rPr>
        <w:t>Discuss how the assessment was used to improve quality and effectiveness of the funded eligible providers and any plans to further increase performance in future reporting years.</w:t>
      </w:r>
    </w:p>
    <w:p w14:paraId="0E8FB806" w14:textId="77C98449" w:rsidR="00BA4342" w:rsidRPr="00A8345B" w:rsidRDefault="00BA4342" w:rsidP="00082A78">
      <w:pPr>
        <w:rPr>
          <w:rFonts w:asciiTheme="minorHAnsi" w:hAnsiTheme="minorHAnsi"/>
        </w:rPr>
      </w:pPr>
      <w:r w:rsidRPr="00A8345B">
        <w:rPr>
          <w:rFonts w:asciiTheme="minorHAnsi" w:hAnsiTheme="minorHAnsi"/>
        </w:rPr>
        <w:t>The assessment results were used in assessing program quality as part of the re-competition of federal funds and are also used for the same purpose in the state grant application and review process. The core federal performance indicators are also the primary data used in Minnesota ABE Statewide Report Card and the Report Card is used to identify grantees for participation in Minnesota’s ABE Program Improvement Process. Minnesota continues to provide extensive professional development in standards implementation, instruc</w:t>
      </w:r>
      <w:r w:rsidR="00A8345B">
        <w:rPr>
          <w:rFonts w:asciiTheme="minorHAnsi" w:hAnsiTheme="minorHAnsi"/>
        </w:rPr>
        <w:t xml:space="preserve">tional methodology, instruction, </w:t>
      </w:r>
      <w:r w:rsidRPr="00A8345B">
        <w:rPr>
          <w:rFonts w:asciiTheme="minorHAnsi" w:hAnsiTheme="minorHAnsi"/>
        </w:rPr>
        <w:t xml:space="preserve">technology/distance education, use of volunteers, adult career pathway programming and contextualized instruction and </w:t>
      </w:r>
      <w:r w:rsidR="00B86054">
        <w:rPr>
          <w:rFonts w:asciiTheme="minorHAnsi" w:hAnsiTheme="minorHAnsi"/>
        </w:rPr>
        <w:t xml:space="preserve">we </w:t>
      </w:r>
      <w:r w:rsidRPr="00A8345B">
        <w:rPr>
          <w:rFonts w:asciiTheme="minorHAnsi" w:hAnsiTheme="minorHAnsi"/>
        </w:rPr>
        <w:t>expect that the resulting improvements in program quality will be reflected in Minnesota’s core performance indicators.</w:t>
      </w:r>
    </w:p>
    <w:p w14:paraId="44767779" w14:textId="77777777" w:rsidR="00BA4342" w:rsidRDefault="00BA4342" w:rsidP="00082A78">
      <w:pPr>
        <w:rPr>
          <w:sz w:val="20"/>
        </w:rPr>
      </w:pPr>
    </w:p>
    <w:p w14:paraId="0D31316F" w14:textId="3538AB41" w:rsidR="00763461" w:rsidRPr="004C3645" w:rsidRDefault="00763461" w:rsidP="00082A78">
      <w:pPr>
        <w:pStyle w:val="Heading2"/>
        <w:rPr>
          <w:rFonts w:eastAsia="Times New Roman"/>
          <w:sz w:val="28"/>
          <w:szCs w:val="28"/>
        </w:rPr>
      </w:pPr>
      <w:r w:rsidRPr="004C3645">
        <w:rPr>
          <w:rFonts w:eastAsia="Times New Roman"/>
          <w:sz w:val="28"/>
          <w:szCs w:val="28"/>
        </w:rPr>
        <w:t>Section 3: Integration with One-stop Partners</w:t>
      </w:r>
    </w:p>
    <w:p w14:paraId="0B29C50E" w14:textId="120353DD" w:rsidR="00763461" w:rsidRPr="00F10E39" w:rsidRDefault="00763461" w:rsidP="00A8345B">
      <w:pPr>
        <w:pStyle w:val="Heading3"/>
        <w:rPr>
          <w:b w:val="0"/>
          <w:i/>
        </w:rPr>
      </w:pPr>
      <w:r w:rsidRPr="00F10E39">
        <w:rPr>
          <w:b w:val="0"/>
          <w:i/>
          <w:color w:val="auto"/>
          <w:sz w:val="22"/>
          <w:szCs w:val="22"/>
        </w:rPr>
        <w:t>Describe how the State eligible agency, as the entity responsible for meeting one-stop requirements under 34 CFR part 463, subpart J, carries out or delegates its required one-stop roles to eligible providers. Describe the applicable career services that are provided in the one-stop system. Describe how infrastructure costs are supported through State and local options.</w:t>
      </w:r>
    </w:p>
    <w:p w14:paraId="5C795398" w14:textId="352AF501" w:rsidR="00763461" w:rsidRPr="00A8345B" w:rsidRDefault="00763461" w:rsidP="00082A78">
      <w:pPr>
        <w:pStyle w:val="BodyText"/>
        <w:ind w:left="0" w:right="220" w:firstLine="0"/>
        <w:rPr>
          <w:rFonts w:asciiTheme="minorHAnsi" w:hAnsiTheme="minorHAnsi"/>
          <w:sz w:val="22"/>
          <w:szCs w:val="22"/>
        </w:rPr>
      </w:pPr>
      <w:r w:rsidRPr="00A8345B">
        <w:rPr>
          <w:rFonts w:asciiTheme="minorHAnsi" w:hAnsiTheme="minorHAnsi"/>
          <w:sz w:val="22"/>
          <w:szCs w:val="22"/>
        </w:rPr>
        <w:t xml:space="preserve">The State eligible agency is the Minnesota Department of Education (MDE). MDE delegates its required one-stop roles to forty-one eligible providers. The responsibilities and roles were delegated through the competition for AEFLA funds </w:t>
      </w:r>
      <w:r w:rsidR="00B86054">
        <w:rPr>
          <w:rFonts w:asciiTheme="minorHAnsi" w:hAnsiTheme="minorHAnsi"/>
          <w:sz w:val="22"/>
          <w:szCs w:val="22"/>
        </w:rPr>
        <w:t>carried out in spring</w:t>
      </w:r>
      <w:r w:rsidRPr="00A8345B">
        <w:rPr>
          <w:rFonts w:asciiTheme="minorHAnsi" w:hAnsiTheme="minorHAnsi"/>
          <w:sz w:val="22"/>
          <w:szCs w:val="22"/>
        </w:rPr>
        <w:t xml:space="preserve"> of 2017. </w:t>
      </w:r>
    </w:p>
    <w:p w14:paraId="3588E030" w14:textId="77777777" w:rsidR="00763461" w:rsidRPr="00A8345B" w:rsidRDefault="00763461" w:rsidP="00082A78">
      <w:pPr>
        <w:pStyle w:val="BodyText"/>
        <w:ind w:left="0" w:right="220" w:firstLine="0"/>
        <w:rPr>
          <w:rFonts w:asciiTheme="minorHAnsi" w:hAnsiTheme="minorHAnsi"/>
          <w:sz w:val="22"/>
          <w:szCs w:val="22"/>
        </w:rPr>
      </w:pPr>
    </w:p>
    <w:p w14:paraId="5F0D4F7A" w14:textId="77777777" w:rsidR="00763461" w:rsidRPr="00A8345B" w:rsidRDefault="00763461" w:rsidP="00082A78">
      <w:pPr>
        <w:pStyle w:val="BodyText"/>
        <w:ind w:left="0" w:right="220" w:firstLine="0"/>
        <w:rPr>
          <w:rFonts w:asciiTheme="minorHAnsi" w:hAnsiTheme="minorHAnsi"/>
          <w:sz w:val="22"/>
          <w:szCs w:val="22"/>
        </w:rPr>
      </w:pPr>
      <w:r w:rsidRPr="00A8345B">
        <w:rPr>
          <w:rFonts w:asciiTheme="minorHAnsi" w:hAnsiTheme="minorHAnsi"/>
          <w:sz w:val="22"/>
          <w:szCs w:val="22"/>
        </w:rPr>
        <w:t xml:space="preserve">The applicable career services that are provided in the one-stop center system vary greatly across the state. Decisions regarding how these services are offered is determined locally among partners. Outreach, intake, orientation, assessment, and referrals are all common career services offered by ABE providers. </w:t>
      </w:r>
    </w:p>
    <w:p w14:paraId="1CAEE472" w14:textId="77777777" w:rsidR="00763461" w:rsidRPr="00A8345B" w:rsidRDefault="00763461" w:rsidP="00082A78">
      <w:pPr>
        <w:pStyle w:val="BodyText"/>
        <w:ind w:left="0" w:right="220" w:firstLine="0"/>
        <w:rPr>
          <w:rFonts w:asciiTheme="minorHAnsi" w:hAnsiTheme="minorHAnsi"/>
          <w:sz w:val="22"/>
          <w:szCs w:val="22"/>
        </w:rPr>
      </w:pPr>
    </w:p>
    <w:p w14:paraId="34CB72D6" w14:textId="28090C92" w:rsidR="00763461" w:rsidRPr="00A8345B" w:rsidRDefault="00763461" w:rsidP="00082A78">
      <w:pPr>
        <w:pStyle w:val="BodyText"/>
        <w:ind w:left="0" w:right="220" w:firstLine="0"/>
        <w:rPr>
          <w:rFonts w:asciiTheme="minorHAnsi" w:hAnsiTheme="minorHAnsi"/>
          <w:sz w:val="22"/>
          <w:szCs w:val="22"/>
        </w:rPr>
      </w:pPr>
      <w:r w:rsidRPr="00A8345B">
        <w:rPr>
          <w:rFonts w:asciiTheme="minorHAnsi" w:hAnsiTheme="minorHAnsi"/>
          <w:sz w:val="22"/>
          <w:szCs w:val="22"/>
        </w:rPr>
        <w:t>This past year the focus was on strengthening referrals among all partners and co-enrolling when possible and needed. ABE worked with the Minnesota Workforce Council Association and the Department of Employment and Economic Development to</w:t>
      </w:r>
      <w:r w:rsidR="0023444B">
        <w:rPr>
          <w:rFonts w:asciiTheme="minorHAnsi" w:hAnsiTheme="minorHAnsi"/>
          <w:sz w:val="22"/>
          <w:szCs w:val="22"/>
        </w:rPr>
        <w:t xml:space="preserve"> answer five research questions: 1) </w:t>
      </w:r>
      <w:proofErr w:type="gramStart"/>
      <w:r w:rsidRPr="00A8345B">
        <w:rPr>
          <w:rFonts w:asciiTheme="minorHAnsi" w:hAnsiTheme="minorHAnsi"/>
          <w:sz w:val="22"/>
          <w:szCs w:val="22"/>
        </w:rPr>
        <w:t>How</w:t>
      </w:r>
      <w:proofErr w:type="gramEnd"/>
      <w:r w:rsidRPr="00A8345B">
        <w:rPr>
          <w:rFonts w:asciiTheme="minorHAnsi" w:hAnsiTheme="minorHAnsi"/>
          <w:sz w:val="22"/>
          <w:szCs w:val="22"/>
        </w:rPr>
        <w:t xml:space="preserve"> many instances of co-enrollment occur in a given year?</w:t>
      </w:r>
      <w:r w:rsidR="0023444B">
        <w:rPr>
          <w:rFonts w:asciiTheme="minorHAnsi" w:hAnsiTheme="minorHAnsi"/>
          <w:sz w:val="22"/>
          <w:szCs w:val="22"/>
        </w:rPr>
        <w:t xml:space="preserve"> 2) </w:t>
      </w:r>
      <w:r w:rsidRPr="00A8345B">
        <w:rPr>
          <w:rFonts w:asciiTheme="minorHAnsi" w:hAnsiTheme="minorHAnsi"/>
          <w:sz w:val="22"/>
          <w:szCs w:val="22"/>
        </w:rPr>
        <w:t>How do instances of co-enrollment vary by pro</w:t>
      </w:r>
      <w:r w:rsidR="0023444B">
        <w:rPr>
          <w:rFonts w:asciiTheme="minorHAnsi" w:hAnsiTheme="minorHAnsi"/>
          <w:sz w:val="22"/>
          <w:szCs w:val="22"/>
        </w:rPr>
        <w:t xml:space="preserve">gram and workforce service area? 3) </w:t>
      </w:r>
      <w:proofErr w:type="gramStart"/>
      <w:r w:rsidRPr="00A8345B">
        <w:rPr>
          <w:rFonts w:asciiTheme="minorHAnsi" w:hAnsiTheme="minorHAnsi"/>
          <w:sz w:val="22"/>
          <w:szCs w:val="22"/>
        </w:rPr>
        <w:t>Are</w:t>
      </w:r>
      <w:proofErr w:type="gramEnd"/>
      <w:r w:rsidRPr="00A8345B">
        <w:rPr>
          <w:rFonts w:asciiTheme="minorHAnsi" w:hAnsiTheme="minorHAnsi"/>
          <w:sz w:val="22"/>
          <w:szCs w:val="22"/>
        </w:rPr>
        <w:t xml:space="preserve"> there consortia and workforce service areas that have hi</w:t>
      </w:r>
      <w:r w:rsidR="0023444B">
        <w:rPr>
          <w:rFonts w:asciiTheme="minorHAnsi" w:hAnsiTheme="minorHAnsi"/>
          <w:sz w:val="22"/>
          <w:szCs w:val="22"/>
        </w:rPr>
        <w:t xml:space="preserve">gher instances of co-enrollment? 4) </w:t>
      </w:r>
      <w:r w:rsidRPr="00A8345B">
        <w:rPr>
          <w:rFonts w:asciiTheme="minorHAnsi" w:hAnsiTheme="minorHAnsi"/>
          <w:sz w:val="22"/>
          <w:szCs w:val="22"/>
        </w:rPr>
        <w:t>What is the sequence of co-enrollment?</w:t>
      </w:r>
      <w:r w:rsidR="0023444B">
        <w:rPr>
          <w:rFonts w:asciiTheme="minorHAnsi" w:hAnsiTheme="minorHAnsi"/>
          <w:sz w:val="22"/>
          <w:szCs w:val="22"/>
        </w:rPr>
        <w:t xml:space="preserve"> 5) </w:t>
      </w:r>
      <w:r w:rsidRPr="00A8345B">
        <w:rPr>
          <w:rFonts w:asciiTheme="minorHAnsi" w:hAnsiTheme="minorHAnsi"/>
          <w:sz w:val="22"/>
          <w:szCs w:val="22"/>
        </w:rPr>
        <w:t>Does co-enrollment vary based on the number of Title II contact hours?</w:t>
      </w:r>
      <w:r w:rsidR="0023444B">
        <w:rPr>
          <w:rFonts w:asciiTheme="minorHAnsi" w:hAnsiTheme="minorHAnsi"/>
          <w:sz w:val="22"/>
          <w:szCs w:val="22"/>
        </w:rPr>
        <w:t xml:space="preserve"> </w:t>
      </w:r>
      <w:r w:rsidRPr="00A8345B">
        <w:rPr>
          <w:rFonts w:asciiTheme="minorHAnsi" w:hAnsiTheme="minorHAnsi"/>
          <w:sz w:val="22"/>
          <w:szCs w:val="22"/>
        </w:rPr>
        <w:t>With this research completed the focus will now be on examining the practices of the one-stop systems that had strong referral/co-enrollment patterns.</w:t>
      </w:r>
    </w:p>
    <w:p w14:paraId="7C013DD3" w14:textId="77777777" w:rsidR="00763461" w:rsidRPr="00A8345B" w:rsidRDefault="00763461" w:rsidP="00082A78">
      <w:pPr>
        <w:pStyle w:val="BodyText"/>
        <w:ind w:left="0" w:right="220" w:firstLine="0"/>
        <w:rPr>
          <w:rFonts w:asciiTheme="minorHAnsi" w:hAnsiTheme="minorHAnsi"/>
          <w:sz w:val="22"/>
          <w:szCs w:val="22"/>
        </w:rPr>
      </w:pPr>
    </w:p>
    <w:p w14:paraId="56ADCFCC" w14:textId="3B6E41FA" w:rsidR="00763461" w:rsidRPr="00A8345B" w:rsidRDefault="00763461" w:rsidP="00082A78">
      <w:pPr>
        <w:pStyle w:val="BodyText"/>
        <w:ind w:left="0" w:right="220" w:firstLine="0"/>
        <w:rPr>
          <w:rFonts w:asciiTheme="minorHAnsi" w:hAnsiTheme="minorHAnsi"/>
          <w:sz w:val="22"/>
          <w:szCs w:val="22"/>
        </w:rPr>
      </w:pPr>
      <w:r w:rsidRPr="00A8345B">
        <w:rPr>
          <w:rFonts w:asciiTheme="minorHAnsi" w:hAnsiTheme="minorHAnsi"/>
          <w:sz w:val="22"/>
          <w:szCs w:val="22"/>
        </w:rPr>
        <w:t>MDE made the decision to support infrastructure costs through local agreements. ABE providers worked with their pa</w:t>
      </w:r>
      <w:r w:rsidR="00905AD1">
        <w:rPr>
          <w:rFonts w:asciiTheme="minorHAnsi" w:hAnsiTheme="minorHAnsi"/>
          <w:sz w:val="22"/>
          <w:szCs w:val="22"/>
        </w:rPr>
        <w:t>rtners in developing Memoranda</w:t>
      </w:r>
      <w:r w:rsidRPr="00A8345B">
        <w:rPr>
          <w:rFonts w:asciiTheme="minorHAnsi" w:hAnsiTheme="minorHAnsi"/>
          <w:sz w:val="22"/>
          <w:szCs w:val="22"/>
        </w:rPr>
        <w:t xml:space="preserve"> of </w:t>
      </w:r>
      <w:r w:rsidR="00905AD1">
        <w:rPr>
          <w:rFonts w:asciiTheme="minorHAnsi" w:hAnsiTheme="minorHAnsi"/>
          <w:sz w:val="22"/>
          <w:szCs w:val="22"/>
        </w:rPr>
        <w:t xml:space="preserve">Understanding with the one-stop </w:t>
      </w:r>
      <w:r w:rsidRPr="00A8345B">
        <w:rPr>
          <w:rFonts w:asciiTheme="minorHAnsi" w:hAnsiTheme="minorHAnsi"/>
          <w:sz w:val="22"/>
          <w:szCs w:val="22"/>
        </w:rPr>
        <w:t>system. Most o</w:t>
      </w:r>
      <w:r w:rsidR="00905AD1">
        <w:rPr>
          <w:rFonts w:asciiTheme="minorHAnsi" w:hAnsiTheme="minorHAnsi"/>
          <w:sz w:val="22"/>
          <w:szCs w:val="22"/>
        </w:rPr>
        <w:t>f these were in place by July 1</w:t>
      </w:r>
      <w:r w:rsidRPr="00A8345B">
        <w:rPr>
          <w:rFonts w:asciiTheme="minorHAnsi" w:hAnsiTheme="minorHAnsi"/>
          <w:sz w:val="22"/>
          <w:szCs w:val="22"/>
        </w:rPr>
        <w:t xml:space="preserve"> 2017 however the infrastructure cost agreements were given an extension until </w:t>
      </w:r>
      <w:r w:rsidR="00905AD1">
        <w:rPr>
          <w:rFonts w:asciiTheme="minorHAnsi" w:hAnsiTheme="minorHAnsi"/>
          <w:sz w:val="22"/>
          <w:szCs w:val="22"/>
        </w:rPr>
        <w:t>early</w:t>
      </w:r>
      <w:r w:rsidRPr="00A8345B">
        <w:rPr>
          <w:rFonts w:asciiTheme="minorHAnsi" w:hAnsiTheme="minorHAnsi"/>
          <w:sz w:val="22"/>
          <w:szCs w:val="22"/>
        </w:rPr>
        <w:t xml:space="preserve"> 2018. </w:t>
      </w:r>
    </w:p>
    <w:p w14:paraId="6509A098" w14:textId="77777777" w:rsidR="00763461" w:rsidRPr="00A8345B" w:rsidRDefault="00763461" w:rsidP="00082A78">
      <w:pPr>
        <w:pStyle w:val="BodyText"/>
        <w:ind w:left="0" w:right="220" w:firstLine="0"/>
        <w:rPr>
          <w:rFonts w:asciiTheme="minorHAnsi" w:hAnsiTheme="minorHAnsi"/>
          <w:sz w:val="22"/>
          <w:szCs w:val="22"/>
        </w:rPr>
      </w:pPr>
    </w:p>
    <w:p w14:paraId="3D62DF1B" w14:textId="77777777" w:rsidR="00763461" w:rsidRPr="00A8345B" w:rsidRDefault="00763461" w:rsidP="00082A78">
      <w:pPr>
        <w:pStyle w:val="BodyText"/>
        <w:ind w:left="0" w:right="220" w:firstLine="0"/>
        <w:rPr>
          <w:rFonts w:asciiTheme="minorHAnsi" w:hAnsiTheme="minorHAnsi"/>
          <w:sz w:val="22"/>
          <w:szCs w:val="22"/>
        </w:rPr>
        <w:sectPr w:rsidR="00763461" w:rsidRPr="00A8345B" w:rsidSect="003576DA">
          <w:headerReference w:type="default" r:id="rId29"/>
          <w:footerReference w:type="default" r:id="rId30"/>
          <w:type w:val="continuous"/>
          <w:pgSz w:w="12240" w:h="15840" w:code="1"/>
          <w:pgMar w:top="547" w:right="806" w:bottom="994" w:left="1080" w:header="525" w:footer="10" w:gutter="0"/>
          <w:pgNumType w:start="1"/>
          <w:cols w:space="720"/>
          <w:docGrid w:linePitch="299"/>
        </w:sectPr>
      </w:pPr>
      <w:r w:rsidRPr="00A8345B">
        <w:rPr>
          <w:rFonts w:asciiTheme="minorHAnsi" w:hAnsiTheme="minorHAnsi"/>
          <w:sz w:val="22"/>
          <w:szCs w:val="22"/>
        </w:rPr>
        <w:t xml:space="preserve">In addition to the above integration activities, all local workforce development areas have an ABE representative on the local board. ABE providers also serve on the local youth committees and some even facilitate newly formed career pathway committees. </w:t>
      </w:r>
    </w:p>
    <w:p w14:paraId="799E57B1" w14:textId="77777777" w:rsidR="004C3645" w:rsidRDefault="004C3645" w:rsidP="00082A78">
      <w:pPr>
        <w:widowControl w:val="0"/>
        <w:tabs>
          <w:tab w:val="left" w:pos="480"/>
        </w:tabs>
        <w:spacing w:before="69" w:after="0" w:line="240" w:lineRule="auto"/>
        <w:ind w:right="369"/>
        <w:rPr>
          <w:rFonts w:eastAsia="Times New Roman" w:cs="Times New Roman"/>
          <w:sz w:val="20"/>
          <w:szCs w:val="20"/>
        </w:rPr>
      </w:pPr>
      <w:bookmarkStart w:id="2" w:name="4._Integrated_English_Literacy_and_Civic"/>
      <w:bookmarkEnd w:id="2"/>
    </w:p>
    <w:p w14:paraId="4A972C98" w14:textId="77777777" w:rsidR="004C3645" w:rsidRDefault="004C3645" w:rsidP="00082A78">
      <w:pPr>
        <w:widowControl w:val="0"/>
        <w:tabs>
          <w:tab w:val="left" w:pos="480"/>
        </w:tabs>
        <w:spacing w:before="69" w:after="0" w:line="240" w:lineRule="auto"/>
        <w:ind w:right="369"/>
        <w:rPr>
          <w:rFonts w:eastAsia="Times New Roman" w:cs="Times New Roman"/>
          <w:sz w:val="20"/>
          <w:szCs w:val="20"/>
        </w:rPr>
      </w:pPr>
    </w:p>
    <w:p w14:paraId="6CF24FE9" w14:textId="2F56E150" w:rsidR="00763461" w:rsidRPr="004C3645" w:rsidRDefault="00763461" w:rsidP="00082A78">
      <w:pPr>
        <w:widowControl w:val="0"/>
        <w:tabs>
          <w:tab w:val="left" w:pos="480"/>
        </w:tabs>
        <w:spacing w:before="69" w:after="0" w:line="240" w:lineRule="auto"/>
        <w:ind w:right="369"/>
        <w:rPr>
          <w:rFonts w:asciiTheme="minorHAnsi" w:eastAsia="Times New Roman" w:hAnsiTheme="minorHAnsi" w:cstheme="majorBidi"/>
          <w:b/>
          <w:color w:val="003865" w:themeColor="accent1"/>
          <w:sz w:val="28"/>
          <w:szCs w:val="28"/>
          <w:lang w:bidi="en-US"/>
        </w:rPr>
      </w:pPr>
      <w:r w:rsidRPr="004C3645">
        <w:rPr>
          <w:rFonts w:asciiTheme="minorHAnsi" w:eastAsia="Times New Roman" w:hAnsiTheme="minorHAnsi" w:cstheme="majorBidi"/>
          <w:b/>
          <w:color w:val="003865" w:themeColor="accent1"/>
          <w:sz w:val="28"/>
          <w:szCs w:val="28"/>
          <w:lang w:bidi="en-US"/>
        </w:rPr>
        <w:t>Section 4: Integrated English Literacy and Civics Education (IELCE) Program</w:t>
      </w:r>
      <w:r w:rsidRPr="00374FB1">
        <w:rPr>
          <w:b/>
          <w:spacing w:val="-5"/>
          <w:sz w:val="24"/>
        </w:rPr>
        <w:t xml:space="preserve"> </w:t>
      </w:r>
      <w:r w:rsidRPr="004C3645">
        <w:rPr>
          <w:rFonts w:asciiTheme="minorHAnsi" w:eastAsia="Times New Roman" w:hAnsiTheme="minorHAnsi" w:cstheme="majorBidi"/>
          <w:b/>
          <w:color w:val="003865" w:themeColor="accent1"/>
          <w:sz w:val="28"/>
          <w:szCs w:val="28"/>
          <w:lang w:bidi="en-US"/>
        </w:rPr>
        <w:t>(AEFLA Section 243)</w:t>
      </w:r>
    </w:p>
    <w:p w14:paraId="77128917" w14:textId="330E9793" w:rsidR="00763461" w:rsidRPr="00F10E39" w:rsidRDefault="00763461" w:rsidP="00082A78">
      <w:pPr>
        <w:pStyle w:val="Heading3"/>
        <w:rPr>
          <w:b w:val="0"/>
          <w:i/>
          <w:color w:val="auto"/>
          <w:sz w:val="22"/>
          <w:szCs w:val="22"/>
        </w:rPr>
      </w:pPr>
      <w:r w:rsidRPr="00F10E39">
        <w:rPr>
          <w:b w:val="0"/>
          <w:i/>
          <w:color w:val="auto"/>
          <w:sz w:val="22"/>
          <w:szCs w:val="22"/>
        </w:rPr>
        <w:t>Describe how the state is using funds under Section 243 to support the following activities under the IELCE program:</w:t>
      </w:r>
    </w:p>
    <w:p w14:paraId="1D223EFA" w14:textId="77777777" w:rsidR="00763461" w:rsidRPr="00F10E39" w:rsidRDefault="00763461" w:rsidP="009F2B27">
      <w:pPr>
        <w:pStyle w:val="BodyText"/>
        <w:numPr>
          <w:ilvl w:val="0"/>
          <w:numId w:val="31"/>
        </w:numPr>
        <w:tabs>
          <w:tab w:val="left" w:pos="1180"/>
        </w:tabs>
        <w:spacing w:line="238" w:lineRule="auto"/>
        <w:ind w:right="663"/>
        <w:rPr>
          <w:rFonts w:asciiTheme="minorHAnsi" w:hAnsiTheme="minorHAnsi"/>
          <w:i/>
          <w:spacing w:val="-1"/>
          <w:sz w:val="22"/>
          <w:szCs w:val="22"/>
        </w:rPr>
      </w:pPr>
      <w:r w:rsidRPr="00F10E39">
        <w:rPr>
          <w:rFonts w:asciiTheme="minorHAnsi" w:hAnsiTheme="minorHAnsi"/>
          <w:i/>
          <w:spacing w:val="-1"/>
          <w:sz w:val="22"/>
          <w:szCs w:val="22"/>
        </w:rPr>
        <w:t>Describe when your State held a competition [the latest competition] for IELCE program funds and the number of grants awarded by your State to support IELCE programs.</w:t>
      </w:r>
    </w:p>
    <w:p w14:paraId="45D6CDF8" w14:textId="77777777" w:rsidR="00763461" w:rsidRDefault="00763461" w:rsidP="00082A78">
      <w:pPr>
        <w:pStyle w:val="BodyText"/>
        <w:tabs>
          <w:tab w:val="left" w:pos="840"/>
        </w:tabs>
        <w:spacing w:line="274" w:lineRule="exact"/>
        <w:ind w:left="0" w:right="182" w:firstLine="0"/>
        <w:rPr>
          <w:rFonts w:asciiTheme="minorHAnsi" w:hAnsiTheme="minorHAnsi"/>
          <w:color w:val="C00000"/>
        </w:rPr>
      </w:pPr>
    </w:p>
    <w:p w14:paraId="5CA87211" w14:textId="77777777" w:rsidR="00552B0F" w:rsidRPr="009F2B27" w:rsidRDefault="00552B0F" w:rsidP="00082A78">
      <w:pPr>
        <w:pStyle w:val="BodyText"/>
        <w:tabs>
          <w:tab w:val="left" w:pos="840"/>
        </w:tabs>
        <w:spacing w:line="274" w:lineRule="exact"/>
        <w:ind w:left="0" w:right="182" w:firstLine="0"/>
        <w:rPr>
          <w:rFonts w:asciiTheme="minorHAnsi" w:hAnsiTheme="minorHAnsi"/>
          <w:b/>
          <w:color w:val="000000" w:themeColor="text2"/>
          <w:sz w:val="22"/>
          <w:szCs w:val="22"/>
        </w:rPr>
      </w:pPr>
      <w:r w:rsidRPr="009F2B27">
        <w:rPr>
          <w:rFonts w:asciiTheme="minorHAnsi" w:hAnsiTheme="minorHAnsi"/>
          <w:b/>
          <w:color w:val="000000" w:themeColor="text2"/>
          <w:sz w:val="22"/>
          <w:szCs w:val="22"/>
        </w:rPr>
        <w:t>2016-17 Funding:</w:t>
      </w:r>
    </w:p>
    <w:p w14:paraId="193220EE" w14:textId="06791034" w:rsidR="00552B0F" w:rsidRDefault="00552B0F" w:rsidP="00F73451">
      <w:pPr>
        <w:pStyle w:val="BodyText"/>
        <w:spacing w:line="274" w:lineRule="exact"/>
        <w:ind w:left="0" w:right="182" w:firstLine="0"/>
        <w:rPr>
          <w:rFonts w:asciiTheme="minorHAnsi" w:hAnsiTheme="minorHAnsi" w:cs="Arial"/>
          <w:color w:val="000000" w:themeColor="text2"/>
          <w:sz w:val="22"/>
          <w:szCs w:val="22"/>
        </w:rPr>
      </w:pPr>
      <w:r w:rsidRPr="009F2B27">
        <w:rPr>
          <w:rFonts w:asciiTheme="minorHAnsi" w:hAnsiTheme="minorHAnsi"/>
          <w:color w:val="000000" w:themeColor="text2"/>
          <w:sz w:val="22"/>
          <w:szCs w:val="22"/>
        </w:rPr>
        <w:t>For 2016-17, all IELCE funds were extended for a second year to the previous year’s grantees.</w:t>
      </w:r>
      <w:r w:rsidR="009F2B27" w:rsidRPr="009F2B27">
        <w:rPr>
          <w:rFonts w:asciiTheme="minorHAnsi" w:hAnsiTheme="minorHAnsi"/>
          <w:color w:val="000000" w:themeColor="text2"/>
          <w:sz w:val="22"/>
          <w:szCs w:val="22"/>
        </w:rPr>
        <w:t xml:space="preserve"> </w:t>
      </w:r>
      <w:r w:rsidRPr="009F2B27">
        <w:rPr>
          <w:rFonts w:asciiTheme="minorHAnsi" w:hAnsiTheme="minorHAnsi" w:cs="Arial"/>
          <w:color w:val="000000" w:themeColor="text2"/>
          <w:sz w:val="22"/>
          <w:szCs w:val="22"/>
        </w:rPr>
        <w:t>The state held an IEL</w:t>
      </w:r>
      <w:r w:rsidR="009F4885">
        <w:rPr>
          <w:rFonts w:asciiTheme="minorHAnsi" w:hAnsiTheme="minorHAnsi" w:cs="Arial"/>
          <w:color w:val="000000" w:themeColor="text2"/>
          <w:sz w:val="22"/>
          <w:szCs w:val="22"/>
        </w:rPr>
        <w:t>CE</w:t>
      </w:r>
      <w:r w:rsidRPr="009F2B27">
        <w:rPr>
          <w:rFonts w:asciiTheme="minorHAnsi" w:hAnsiTheme="minorHAnsi" w:cs="Arial"/>
          <w:color w:val="000000" w:themeColor="text2"/>
          <w:sz w:val="22"/>
          <w:szCs w:val="22"/>
        </w:rPr>
        <w:t xml:space="preserve"> Competition in 2015. The 2015 competition utilized information and</w:t>
      </w:r>
      <w:r w:rsidR="00F73451">
        <w:rPr>
          <w:rFonts w:asciiTheme="minorHAnsi" w:hAnsiTheme="minorHAnsi" w:cs="Arial"/>
          <w:color w:val="000000" w:themeColor="text2"/>
          <w:sz w:val="22"/>
          <w:szCs w:val="22"/>
        </w:rPr>
        <w:t xml:space="preserve"> concepts from WIOA and resulted in 13 grantees. </w:t>
      </w:r>
    </w:p>
    <w:p w14:paraId="1A407BDC" w14:textId="77777777" w:rsidR="00F73451" w:rsidRPr="001E2B30" w:rsidRDefault="00F73451" w:rsidP="00F73451">
      <w:pPr>
        <w:pStyle w:val="BodyText"/>
        <w:spacing w:line="274" w:lineRule="exact"/>
        <w:ind w:left="0" w:right="182" w:firstLine="0"/>
        <w:rPr>
          <w:rFonts w:asciiTheme="minorHAnsi" w:hAnsiTheme="minorHAnsi"/>
          <w:color w:val="000000" w:themeColor="text2"/>
          <w:sz w:val="22"/>
          <w:szCs w:val="22"/>
        </w:rPr>
      </w:pPr>
    </w:p>
    <w:p w14:paraId="332612D8" w14:textId="77777777" w:rsidR="00552B0F" w:rsidRPr="001E2B30" w:rsidRDefault="00552B0F" w:rsidP="00082A78">
      <w:pPr>
        <w:pStyle w:val="BodyText"/>
        <w:tabs>
          <w:tab w:val="left" w:pos="840"/>
        </w:tabs>
        <w:spacing w:line="274" w:lineRule="exact"/>
        <w:ind w:left="0" w:right="182" w:firstLine="0"/>
        <w:rPr>
          <w:rFonts w:asciiTheme="minorHAnsi" w:hAnsiTheme="minorHAnsi"/>
          <w:b/>
          <w:color w:val="000000" w:themeColor="text2"/>
          <w:sz w:val="22"/>
          <w:szCs w:val="22"/>
        </w:rPr>
      </w:pPr>
      <w:r w:rsidRPr="001E2B30">
        <w:rPr>
          <w:rFonts w:asciiTheme="minorHAnsi" w:hAnsiTheme="minorHAnsi"/>
          <w:b/>
          <w:color w:val="000000" w:themeColor="text2"/>
          <w:sz w:val="22"/>
          <w:szCs w:val="22"/>
        </w:rPr>
        <w:t>2017-18 Funding:</w:t>
      </w:r>
    </w:p>
    <w:p w14:paraId="56ADADC7" w14:textId="77777777" w:rsidR="00763461" w:rsidRDefault="00552B0F" w:rsidP="00082A78">
      <w:pPr>
        <w:pStyle w:val="BodyText"/>
        <w:tabs>
          <w:tab w:val="left" w:pos="840"/>
        </w:tabs>
        <w:spacing w:line="274" w:lineRule="exact"/>
        <w:ind w:left="0" w:right="182" w:firstLine="0"/>
        <w:rPr>
          <w:rFonts w:asciiTheme="minorHAnsi" w:hAnsiTheme="minorHAnsi"/>
          <w:color w:val="000000" w:themeColor="text2"/>
          <w:sz w:val="22"/>
          <w:szCs w:val="22"/>
        </w:rPr>
      </w:pPr>
      <w:r w:rsidRPr="001E2B30">
        <w:rPr>
          <w:rFonts w:asciiTheme="minorHAnsi" w:hAnsiTheme="minorHAnsi"/>
          <w:color w:val="000000" w:themeColor="text2"/>
          <w:sz w:val="22"/>
          <w:szCs w:val="22"/>
        </w:rPr>
        <w:t>The state of Minnesota held a competition for IELCE program funds in April – June of 2017. The application and process were reviewed and approved by OCTAE staff. Nine grants were awarded.</w:t>
      </w:r>
    </w:p>
    <w:p w14:paraId="5E97AA89" w14:textId="77777777" w:rsidR="004C3645" w:rsidRPr="00374FB1" w:rsidRDefault="004C3645" w:rsidP="00082A78">
      <w:pPr>
        <w:pStyle w:val="BodyText"/>
        <w:tabs>
          <w:tab w:val="left" w:pos="840"/>
        </w:tabs>
        <w:spacing w:line="274" w:lineRule="exact"/>
        <w:ind w:left="0" w:right="182" w:firstLine="0"/>
        <w:rPr>
          <w:rFonts w:asciiTheme="minorHAnsi" w:hAnsiTheme="minorHAnsi"/>
        </w:rPr>
      </w:pPr>
    </w:p>
    <w:p w14:paraId="5FF085CE" w14:textId="77777777" w:rsidR="00552B0F" w:rsidRPr="00F10E39" w:rsidRDefault="00763461" w:rsidP="009F2B27">
      <w:pPr>
        <w:pStyle w:val="BodyText"/>
        <w:numPr>
          <w:ilvl w:val="0"/>
          <w:numId w:val="31"/>
        </w:numPr>
        <w:tabs>
          <w:tab w:val="left" w:pos="1180"/>
        </w:tabs>
        <w:spacing w:line="238" w:lineRule="auto"/>
        <w:ind w:right="663"/>
        <w:rPr>
          <w:rFonts w:asciiTheme="minorHAnsi" w:hAnsiTheme="minorHAnsi"/>
          <w:i/>
          <w:spacing w:val="-1"/>
          <w:sz w:val="22"/>
          <w:szCs w:val="22"/>
        </w:rPr>
      </w:pPr>
      <w:r w:rsidRPr="00F10E39">
        <w:rPr>
          <w:rFonts w:asciiTheme="minorHAnsi" w:hAnsiTheme="minorHAnsi"/>
          <w:i/>
          <w:spacing w:val="-1"/>
          <w:sz w:val="22"/>
          <w:szCs w:val="22"/>
        </w:rPr>
        <w:t>Describe your State efforts in meeting the requirement to provide IELCE services in combination with integrated education and training activities;</w:t>
      </w:r>
    </w:p>
    <w:p w14:paraId="00129466" w14:textId="77777777" w:rsidR="004C3645" w:rsidRDefault="004C3645" w:rsidP="00082A78">
      <w:pPr>
        <w:pStyle w:val="BodyText"/>
        <w:tabs>
          <w:tab w:val="left" w:pos="840"/>
        </w:tabs>
        <w:ind w:left="0" w:right="651" w:firstLine="0"/>
        <w:rPr>
          <w:rFonts w:asciiTheme="minorHAnsi" w:hAnsiTheme="minorHAnsi" w:cs="Arial"/>
          <w:color w:val="000000" w:themeColor="text2"/>
        </w:rPr>
      </w:pPr>
    </w:p>
    <w:p w14:paraId="1ACEE796" w14:textId="3659961D" w:rsidR="00552B0F" w:rsidRPr="009F2B27" w:rsidRDefault="00552B0F" w:rsidP="00082A78">
      <w:pPr>
        <w:pStyle w:val="BodyText"/>
        <w:tabs>
          <w:tab w:val="left" w:pos="840"/>
        </w:tabs>
        <w:ind w:left="0" w:right="651" w:firstLine="0"/>
        <w:rPr>
          <w:rFonts w:asciiTheme="minorHAnsi" w:hAnsiTheme="minorHAnsi"/>
          <w:color w:val="000000" w:themeColor="text2"/>
          <w:sz w:val="22"/>
          <w:szCs w:val="22"/>
        </w:rPr>
      </w:pPr>
      <w:r w:rsidRPr="009F2B27">
        <w:rPr>
          <w:rFonts w:asciiTheme="minorHAnsi" w:hAnsiTheme="minorHAnsi" w:cs="Arial"/>
          <w:color w:val="000000" w:themeColor="text2"/>
          <w:sz w:val="22"/>
          <w:szCs w:val="22"/>
        </w:rPr>
        <w:t xml:space="preserve">Consistent with Workforce Innovation and Opportunity Act (WIOA) requirements, Minnesota’s EL/Civics has transitioned to IEL Civics, or Integrated English </w:t>
      </w:r>
      <w:r w:rsidR="00905AD1">
        <w:rPr>
          <w:rFonts w:asciiTheme="minorHAnsi" w:hAnsiTheme="minorHAnsi" w:cs="Arial"/>
          <w:color w:val="000000" w:themeColor="text2"/>
          <w:sz w:val="22"/>
          <w:szCs w:val="22"/>
        </w:rPr>
        <w:t>Literacy</w:t>
      </w:r>
      <w:r w:rsidRPr="009F2B27">
        <w:rPr>
          <w:rFonts w:asciiTheme="minorHAnsi" w:hAnsiTheme="minorHAnsi" w:cs="Arial"/>
          <w:color w:val="000000" w:themeColor="text2"/>
          <w:sz w:val="22"/>
          <w:szCs w:val="22"/>
        </w:rPr>
        <w:t xml:space="preserve"> and Civics </w:t>
      </w:r>
      <w:r w:rsidR="00905AD1">
        <w:rPr>
          <w:rFonts w:asciiTheme="minorHAnsi" w:hAnsiTheme="minorHAnsi" w:cs="Arial"/>
          <w:color w:val="000000" w:themeColor="text2"/>
          <w:sz w:val="22"/>
          <w:szCs w:val="22"/>
        </w:rPr>
        <w:t xml:space="preserve">Education </w:t>
      </w:r>
      <w:r w:rsidRPr="009F2B27">
        <w:rPr>
          <w:rFonts w:asciiTheme="minorHAnsi" w:hAnsiTheme="minorHAnsi" w:cs="Arial"/>
          <w:color w:val="000000" w:themeColor="text2"/>
          <w:sz w:val="22"/>
          <w:szCs w:val="22"/>
        </w:rPr>
        <w:t>programming. </w:t>
      </w:r>
      <w:r w:rsidRPr="009F2B27">
        <w:rPr>
          <w:rFonts w:asciiTheme="minorHAnsi" w:hAnsiTheme="minorHAnsi"/>
          <w:color w:val="000000" w:themeColor="text2"/>
          <w:sz w:val="22"/>
          <w:szCs w:val="22"/>
        </w:rPr>
        <w:t>All current grantees that received IELCE funds were required to use the integrated education and training approach in combination with English literacy and civics education. The previous grants were also asked to use this approach, however, there was</w:t>
      </w:r>
      <w:r w:rsidR="00905AD1">
        <w:rPr>
          <w:rFonts w:asciiTheme="minorHAnsi" w:hAnsiTheme="minorHAnsi"/>
          <w:color w:val="000000" w:themeColor="text2"/>
          <w:sz w:val="22"/>
          <w:szCs w:val="22"/>
        </w:rPr>
        <w:t xml:space="preserve"> no</w:t>
      </w:r>
      <w:r w:rsidRPr="009F2B27">
        <w:rPr>
          <w:rFonts w:asciiTheme="minorHAnsi" w:hAnsiTheme="minorHAnsi"/>
          <w:color w:val="000000" w:themeColor="text2"/>
          <w:sz w:val="22"/>
          <w:szCs w:val="22"/>
        </w:rPr>
        <w:t>t as much federal guidance available at that time. The ABE office has provided several presentations on IET and will be looking at a more in-depth training on how to develop this type of programming for English language learners in 2018. Minnesota is participating in the IELCE Building Opportunities technical assistance.</w:t>
      </w:r>
    </w:p>
    <w:p w14:paraId="5A293FC6" w14:textId="77777777" w:rsidR="00552B0F" w:rsidRDefault="00552B0F" w:rsidP="00082A78">
      <w:pPr>
        <w:pStyle w:val="BodyText"/>
        <w:tabs>
          <w:tab w:val="left" w:pos="840"/>
        </w:tabs>
        <w:ind w:left="0" w:right="651" w:firstLine="0"/>
        <w:rPr>
          <w:color w:val="000000" w:themeColor="text2"/>
        </w:rPr>
      </w:pPr>
    </w:p>
    <w:p w14:paraId="7B8087A3" w14:textId="77777777" w:rsidR="00552B0F" w:rsidRPr="00552B0F" w:rsidRDefault="00552B0F" w:rsidP="00082A78">
      <w:pPr>
        <w:pStyle w:val="BodyText"/>
        <w:tabs>
          <w:tab w:val="left" w:pos="840"/>
        </w:tabs>
        <w:ind w:left="0" w:right="651" w:firstLine="0"/>
        <w:rPr>
          <w:rFonts w:asciiTheme="minorHAnsi" w:hAnsiTheme="minorHAnsi"/>
        </w:rPr>
      </w:pPr>
    </w:p>
    <w:p w14:paraId="0CE069F6" w14:textId="77777777" w:rsidR="00763461" w:rsidRPr="00F10E39" w:rsidRDefault="00763461" w:rsidP="009F2B27">
      <w:pPr>
        <w:pStyle w:val="BodyText"/>
        <w:numPr>
          <w:ilvl w:val="0"/>
          <w:numId w:val="31"/>
        </w:numPr>
        <w:tabs>
          <w:tab w:val="left" w:pos="1180"/>
        </w:tabs>
        <w:spacing w:line="238" w:lineRule="auto"/>
        <w:ind w:right="663"/>
        <w:rPr>
          <w:rFonts w:asciiTheme="minorHAnsi" w:hAnsiTheme="minorHAnsi"/>
          <w:i/>
          <w:spacing w:val="-1"/>
          <w:sz w:val="22"/>
          <w:szCs w:val="22"/>
        </w:rPr>
      </w:pPr>
      <w:r w:rsidRPr="00F10E39">
        <w:rPr>
          <w:rFonts w:asciiTheme="minorHAnsi" w:hAnsiTheme="minorHAnsi"/>
          <w:i/>
          <w:spacing w:val="-1"/>
          <w:sz w:val="22"/>
          <w:szCs w:val="22"/>
        </w:rPr>
        <w:t>Describe how the State is progressing towards program goals of preparing and placing IELCE program participants in unsubsidized employment in in-demand industries and occupations that lead to economic self-sufficiency as described in section 243(c)(1) and discuss any performance results, challenges, and lessons learned from implementing those program goals; and</w:t>
      </w:r>
    </w:p>
    <w:p w14:paraId="184DABA8" w14:textId="77777777" w:rsidR="00763461" w:rsidRDefault="00763461" w:rsidP="00082A78">
      <w:pPr>
        <w:pStyle w:val="BodyText"/>
        <w:tabs>
          <w:tab w:val="left" w:pos="840"/>
        </w:tabs>
        <w:spacing w:before="2" w:line="239" w:lineRule="auto"/>
        <w:ind w:left="0" w:right="369" w:firstLine="0"/>
        <w:rPr>
          <w:rFonts w:asciiTheme="minorHAnsi" w:hAnsiTheme="minorHAnsi"/>
        </w:rPr>
      </w:pPr>
    </w:p>
    <w:p w14:paraId="76BF02BA" w14:textId="77777777" w:rsidR="00552B0F" w:rsidRPr="009F2B27" w:rsidRDefault="00552B0F" w:rsidP="00082A78">
      <w:pPr>
        <w:rPr>
          <w:rFonts w:asciiTheme="minorHAnsi" w:hAnsiTheme="minorHAnsi" w:cs="Arial"/>
          <w:color w:val="000000" w:themeColor="text2"/>
        </w:rPr>
      </w:pPr>
      <w:r w:rsidRPr="009F2B27">
        <w:rPr>
          <w:rFonts w:asciiTheme="minorHAnsi" w:hAnsiTheme="minorHAnsi" w:cs="Arial"/>
          <w:color w:val="000000" w:themeColor="text2"/>
        </w:rPr>
        <w:t>Through the grant process, IELCE funds programs for immigrants, refugees and other English Language Learners that include the 4 parts identified in WIOA:</w:t>
      </w:r>
    </w:p>
    <w:p w14:paraId="18D88A57" w14:textId="77777777" w:rsidR="00552B0F" w:rsidRPr="009F2B27" w:rsidRDefault="00552B0F" w:rsidP="009F2B27">
      <w:pPr>
        <w:pStyle w:val="ListParagraph"/>
        <w:numPr>
          <w:ilvl w:val="0"/>
          <w:numId w:val="36"/>
        </w:numPr>
        <w:spacing w:before="0" w:after="0" w:line="240" w:lineRule="auto"/>
        <w:ind w:left="360"/>
        <w:contextualSpacing w:val="0"/>
        <w:rPr>
          <w:rFonts w:asciiTheme="minorHAnsi" w:hAnsiTheme="minorHAnsi" w:cs="Arial"/>
          <w:color w:val="000000" w:themeColor="text2"/>
        </w:rPr>
      </w:pPr>
      <w:r w:rsidRPr="009F2B27">
        <w:rPr>
          <w:rFonts w:asciiTheme="minorHAnsi" w:hAnsiTheme="minorHAnsi" w:cs="Arial"/>
          <w:b/>
          <w:color w:val="000000" w:themeColor="text2"/>
        </w:rPr>
        <w:t>English Language Acquisition</w:t>
      </w:r>
      <w:r w:rsidRPr="009F2B27">
        <w:rPr>
          <w:rFonts w:asciiTheme="minorHAnsi" w:hAnsiTheme="minorHAnsi" w:cs="Arial"/>
          <w:color w:val="000000" w:themeColor="text2"/>
        </w:rPr>
        <w:t>;</w:t>
      </w:r>
    </w:p>
    <w:p w14:paraId="463FED51" w14:textId="77777777" w:rsidR="00552B0F" w:rsidRPr="009F2B27" w:rsidRDefault="00552B0F" w:rsidP="009F2B27">
      <w:pPr>
        <w:pStyle w:val="ListParagraph"/>
        <w:numPr>
          <w:ilvl w:val="0"/>
          <w:numId w:val="36"/>
        </w:numPr>
        <w:spacing w:before="0" w:after="0" w:line="240" w:lineRule="auto"/>
        <w:ind w:left="360"/>
        <w:contextualSpacing w:val="0"/>
        <w:rPr>
          <w:rFonts w:asciiTheme="minorHAnsi" w:hAnsiTheme="minorHAnsi" w:cs="Arial"/>
          <w:color w:val="000000" w:themeColor="text2"/>
        </w:rPr>
      </w:pPr>
      <w:r w:rsidRPr="009F2B27">
        <w:rPr>
          <w:rFonts w:asciiTheme="minorHAnsi" w:hAnsiTheme="minorHAnsi" w:cs="Arial"/>
          <w:b/>
          <w:color w:val="000000" w:themeColor="text2"/>
        </w:rPr>
        <w:t>Civics Education</w:t>
      </w:r>
      <w:r w:rsidRPr="009F2B27">
        <w:rPr>
          <w:rFonts w:asciiTheme="minorHAnsi" w:hAnsiTheme="minorHAnsi" w:cs="Arial"/>
          <w:color w:val="000000" w:themeColor="text2"/>
        </w:rPr>
        <w:t xml:space="preserve"> (in Minnesota, defined as including at least one of the 4 pillars of Civics:  U.S. Government; U.S. History; Citizenship; and Community Engagement);</w:t>
      </w:r>
    </w:p>
    <w:p w14:paraId="1D8021BB" w14:textId="77777777" w:rsidR="00552B0F" w:rsidRPr="009F2B27" w:rsidRDefault="00552B0F" w:rsidP="009F2B27">
      <w:pPr>
        <w:pStyle w:val="ListParagraph"/>
        <w:numPr>
          <w:ilvl w:val="0"/>
          <w:numId w:val="36"/>
        </w:numPr>
        <w:spacing w:before="0" w:after="0" w:line="240" w:lineRule="auto"/>
        <w:ind w:left="360" w:right="720"/>
        <w:contextualSpacing w:val="0"/>
        <w:rPr>
          <w:rFonts w:asciiTheme="minorHAnsi" w:hAnsiTheme="minorHAnsi"/>
          <w:color w:val="000000" w:themeColor="text2"/>
        </w:rPr>
      </w:pPr>
      <w:r w:rsidRPr="009F2B27">
        <w:rPr>
          <w:rFonts w:asciiTheme="minorHAnsi" w:hAnsiTheme="minorHAnsi"/>
          <w:b/>
          <w:color w:val="000000" w:themeColor="text2"/>
        </w:rPr>
        <w:t>Workforce Preparation</w:t>
      </w:r>
      <w:r w:rsidRPr="009F2B27">
        <w:rPr>
          <w:rFonts w:asciiTheme="minorHAnsi" w:hAnsiTheme="minorHAnsi"/>
          <w:color w:val="000000" w:themeColor="text2"/>
        </w:rPr>
        <w:t xml:space="preserve"> (programs, or services designed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 or training, or employment; in Minnesota, this means embedding the Academic, Careers and Employability Skills (ACES) Transitions Integration Framework); and</w:t>
      </w:r>
    </w:p>
    <w:p w14:paraId="579ACC96" w14:textId="77777777" w:rsidR="00552B0F" w:rsidRPr="009F2B27" w:rsidRDefault="00552B0F" w:rsidP="009F2B27">
      <w:pPr>
        <w:pStyle w:val="ListParagraph"/>
        <w:numPr>
          <w:ilvl w:val="0"/>
          <w:numId w:val="36"/>
        </w:numPr>
        <w:spacing w:before="0" w:after="0" w:line="240" w:lineRule="auto"/>
        <w:ind w:left="360"/>
        <w:contextualSpacing w:val="0"/>
        <w:rPr>
          <w:rFonts w:asciiTheme="minorHAnsi" w:hAnsiTheme="minorHAnsi" w:cs="Arial"/>
          <w:color w:val="000000" w:themeColor="text2"/>
        </w:rPr>
      </w:pPr>
      <w:r w:rsidRPr="009F2B27">
        <w:rPr>
          <w:rFonts w:asciiTheme="minorHAnsi" w:hAnsiTheme="minorHAnsi"/>
          <w:b/>
          <w:color w:val="000000" w:themeColor="text2"/>
        </w:rPr>
        <w:t>Work Training</w:t>
      </w:r>
      <w:r w:rsidRPr="009F2B27">
        <w:rPr>
          <w:rFonts w:asciiTheme="minorHAnsi" w:hAnsiTheme="minorHAnsi"/>
          <w:color w:val="000000" w:themeColor="text2"/>
        </w:rPr>
        <w:t xml:space="preserve"> (a service approach that provides adult education and literacy activities concurrently and contextually with workforce preparation activities and training for an occupation or occupational cluster for the purpose of educational and career advancement, which can include postsecondary preparation, training, certification courses, internships, apprenticeships, or other forms of transitions programming).</w:t>
      </w:r>
    </w:p>
    <w:p w14:paraId="68A78589" w14:textId="77777777" w:rsidR="00552B0F" w:rsidRPr="009F2B27" w:rsidRDefault="00552B0F" w:rsidP="009F2B27">
      <w:pPr>
        <w:ind w:left="360"/>
        <w:rPr>
          <w:rFonts w:asciiTheme="minorHAnsi" w:hAnsiTheme="minorHAnsi" w:cs="Arial"/>
          <w:color w:val="000000" w:themeColor="text2"/>
        </w:rPr>
      </w:pPr>
      <w:r w:rsidRPr="009F2B27">
        <w:rPr>
          <w:rFonts w:asciiTheme="minorHAnsi" w:hAnsiTheme="minorHAnsi" w:cs="Arial"/>
          <w:color w:val="000000" w:themeColor="text2"/>
        </w:rPr>
        <w:t>These four parts were required in the grant application and were essential elements to receive a grant. Applications were rated and selected on a competitive basis to alignment with local, regional and state WIOA plans, preparing adults for in-demand occupations and career pathways, and quality of IET programming to allow local focus on collaborating with the workforce development system partners, including one-stop centers, employers, and postsecondary institutions.</w:t>
      </w:r>
    </w:p>
    <w:p w14:paraId="7F7C8FAB" w14:textId="77777777" w:rsidR="00763461" w:rsidRPr="00374FB1" w:rsidRDefault="00763461" w:rsidP="00082A78">
      <w:pPr>
        <w:pStyle w:val="BodyText"/>
        <w:tabs>
          <w:tab w:val="left" w:pos="840"/>
        </w:tabs>
        <w:spacing w:before="2" w:line="239" w:lineRule="auto"/>
        <w:ind w:left="0" w:right="369" w:firstLine="0"/>
        <w:rPr>
          <w:rFonts w:asciiTheme="minorHAnsi" w:hAnsiTheme="minorHAnsi"/>
        </w:rPr>
      </w:pPr>
    </w:p>
    <w:p w14:paraId="68A07EA4" w14:textId="77777777" w:rsidR="00763461" w:rsidRPr="00F10E39" w:rsidRDefault="00763461" w:rsidP="009F2B27">
      <w:pPr>
        <w:pStyle w:val="BodyText"/>
        <w:numPr>
          <w:ilvl w:val="0"/>
          <w:numId w:val="31"/>
        </w:numPr>
        <w:tabs>
          <w:tab w:val="left" w:pos="1180"/>
        </w:tabs>
        <w:spacing w:line="238" w:lineRule="auto"/>
        <w:ind w:right="663"/>
        <w:rPr>
          <w:rFonts w:asciiTheme="minorHAnsi" w:hAnsiTheme="minorHAnsi"/>
          <w:i/>
          <w:spacing w:val="-1"/>
          <w:sz w:val="22"/>
          <w:szCs w:val="22"/>
        </w:rPr>
      </w:pPr>
      <w:r w:rsidRPr="00F10E39">
        <w:rPr>
          <w:rFonts w:asciiTheme="minorHAnsi" w:hAnsiTheme="minorHAnsi"/>
          <w:i/>
          <w:spacing w:val="-1"/>
          <w:sz w:val="22"/>
          <w:szCs w:val="22"/>
        </w:rPr>
        <w:t>Describe how the State is progressing towards program goals of ensuring that IELCE program activities are integrated with the local workforce development system and its functions as described in section 243(c)(2) and discuss any performance results, challenges, and lessons learned from implementing those program goals.</w:t>
      </w:r>
    </w:p>
    <w:p w14:paraId="70274C97" w14:textId="25E0A224" w:rsidR="00552B0F" w:rsidRPr="009F2B27" w:rsidRDefault="00552B0F" w:rsidP="003576DA">
      <w:pPr>
        <w:spacing w:after="0"/>
        <w:rPr>
          <w:rFonts w:asciiTheme="minorHAnsi" w:hAnsiTheme="minorHAnsi" w:cs="Arial"/>
          <w:color w:val="000000" w:themeColor="text2"/>
        </w:rPr>
      </w:pPr>
      <w:r w:rsidRPr="009F2B27">
        <w:rPr>
          <w:rFonts w:asciiTheme="minorHAnsi" w:hAnsiTheme="minorHAnsi" w:cs="Arial"/>
          <w:color w:val="000000" w:themeColor="text2"/>
        </w:rPr>
        <w:t xml:space="preserve">The Minnesota Department of Education is working with the </w:t>
      </w:r>
      <w:r w:rsidR="00905AD1">
        <w:rPr>
          <w:rFonts w:asciiTheme="minorHAnsi" w:hAnsiTheme="minorHAnsi" w:cs="Arial"/>
          <w:color w:val="000000" w:themeColor="text2"/>
        </w:rPr>
        <w:t xml:space="preserve">Minnesota </w:t>
      </w:r>
      <w:r w:rsidRPr="009F2B27">
        <w:rPr>
          <w:rFonts w:asciiTheme="minorHAnsi" w:hAnsiTheme="minorHAnsi" w:cs="Arial"/>
          <w:color w:val="000000" w:themeColor="text2"/>
        </w:rPr>
        <w:t xml:space="preserve">Department of Employment and Economic Development to: </w:t>
      </w:r>
    </w:p>
    <w:p w14:paraId="2EB23617" w14:textId="2D31E647" w:rsidR="00552B0F" w:rsidRPr="009F2B27" w:rsidRDefault="009F4885" w:rsidP="009F2B27">
      <w:pPr>
        <w:pStyle w:val="ListParagraph"/>
        <w:numPr>
          <w:ilvl w:val="0"/>
          <w:numId w:val="37"/>
        </w:numPr>
        <w:spacing w:before="0" w:after="0"/>
        <w:ind w:left="360"/>
        <w:contextualSpacing w:val="0"/>
        <w:rPr>
          <w:rFonts w:asciiTheme="minorHAnsi" w:hAnsiTheme="minorHAnsi" w:cs="Arial"/>
          <w:color w:val="000000" w:themeColor="text2"/>
        </w:rPr>
      </w:pPr>
      <w:r>
        <w:rPr>
          <w:rFonts w:asciiTheme="minorHAnsi" w:hAnsiTheme="minorHAnsi" w:cs="Arial"/>
          <w:color w:val="000000" w:themeColor="text2"/>
        </w:rPr>
        <w:t>Utilize market analysis to i</w:t>
      </w:r>
      <w:r w:rsidR="00552B0F" w:rsidRPr="009F2B27">
        <w:rPr>
          <w:rFonts w:asciiTheme="minorHAnsi" w:hAnsiTheme="minorHAnsi" w:cs="Arial"/>
          <w:color w:val="000000" w:themeColor="text2"/>
        </w:rPr>
        <w:t>dentify in-demand industries that will be reflected in state, regional and local WIOA plans;</w:t>
      </w:r>
    </w:p>
    <w:p w14:paraId="05D1E64D" w14:textId="77777777" w:rsidR="00552B0F" w:rsidRPr="009F2B27" w:rsidRDefault="00552B0F" w:rsidP="009F2B27">
      <w:pPr>
        <w:pStyle w:val="ListParagraph"/>
        <w:numPr>
          <w:ilvl w:val="0"/>
          <w:numId w:val="37"/>
        </w:numPr>
        <w:spacing w:before="0" w:after="0"/>
        <w:ind w:left="360"/>
        <w:contextualSpacing w:val="0"/>
        <w:rPr>
          <w:rFonts w:asciiTheme="minorHAnsi" w:hAnsiTheme="minorHAnsi" w:cs="Arial"/>
          <w:color w:val="000000" w:themeColor="text2"/>
        </w:rPr>
      </w:pPr>
      <w:r w:rsidRPr="009F2B27">
        <w:rPr>
          <w:rFonts w:asciiTheme="minorHAnsi" w:hAnsiTheme="minorHAnsi" w:cs="Arial"/>
          <w:color w:val="000000" w:themeColor="text2"/>
        </w:rPr>
        <w:t>Work on determining how unsubsidized employment can be tracked statewide and reported both at a state- and local-level through data matching agreements; and</w:t>
      </w:r>
    </w:p>
    <w:p w14:paraId="607CD88F" w14:textId="77777777" w:rsidR="00552B0F" w:rsidRPr="009F2B27" w:rsidRDefault="00552B0F" w:rsidP="009F2B27">
      <w:pPr>
        <w:pStyle w:val="ListParagraph"/>
        <w:numPr>
          <w:ilvl w:val="0"/>
          <w:numId w:val="37"/>
        </w:numPr>
        <w:spacing w:before="0" w:after="0"/>
        <w:ind w:left="360"/>
        <w:contextualSpacing w:val="0"/>
        <w:rPr>
          <w:rFonts w:asciiTheme="minorHAnsi" w:hAnsiTheme="minorHAnsi" w:cs="Arial"/>
          <w:color w:val="000000" w:themeColor="text2"/>
        </w:rPr>
      </w:pPr>
      <w:r w:rsidRPr="009F2B27">
        <w:rPr>
          <w:rFonts w:asciiTheme="minorHAnsi" w:hAnsiTheme="minorHAnsi" w:cs="Arial"/>
          <w:color w:val="000000" w:themeColor="text2"/>
        </w:rPr>
        <w:t>Train local programs on understanding Integrated Education and Training.</w:t>
      </w:r>
    </w:p>
    <w:p w14:paraId="5180B5B6" w14:textId="77777777" w:rsidR="00E77118" w:rsidRDefault="00552B0F" w:rsidP="00E77118">
      <w:pPr>
        <w:spacing w:after="0"/>
        <w:rPr>
          <w:rFonts w:asciiTheme="minorHAnsi" w:hAnsiTheme="minorHAnsi" w:cs="Arial"/>
          <w:color w:val="000000" w:themeColor="text2"/>
        </w:rPr>
      </w:pPr>
      <w:r w:rsidRPr="009F2B27">
        <w:rPr>
          <w:rFonts w:asciiTheme="minorHAnsi" w:hAnsiTheme="minorHAnsi" w:cs="Arial"/>
          <w:color w:val="000000" w:themeColor="text2"/>
        </w:rPr>
        <w:t xml:space="preserve">2016-17 IELCE grantees served 1,797 participants and an estimated 50.4% of participants earned a measurable skill gain. They reported challenges in developing IELCE and IET programming and integrating with their workforce partners. From </w:t>
      </w:r>
      <w:r w:rsidR="00E77118">
        <w:rPr>
          <w:rFonts w:asciiTheme="minorHAnsi" w:hAnsiTheme="minorHAnsi" w:cs="Arial"/>
          <w:color w:val="000000" w:themeColor="text2"/>
        </w:rPr>
        <w:t xml:space="preserve">our grantees, this was due to: the need for </w:t>
      </w:r>
      <w:r w:rsidRPr="009F2B27">
        <w:rPr>
          <w:rFonts w:asciiTheme="minorHAnsi" w:hAnsiTheme="minorHAnsi" w:cs="Arial"/>
          <w:color w:val="000000" w:themeColor="text2"/>
        </w:rPr>
        <w:t xml:space="preserve">more intensive resources; </w:t>
      </w:r>
      <w:r w:rsidR="00E77118">
        <w:rPr>
          <w:rFonts w:asciiTheme="minorHAnsi" w:hAnsiTheme="minorHAnsi" w:cs="Arial"/>
          <w:color w:val="000000" w:themeColor="text2"/>
        </w:rPr>
        <w:t>need for additional time</w:t>
      </w:r>
      <w:r w:rsidRPr="009F2B27">
        <w:rPr>
          <w:rFonts w:asciiTheme="minorHAnsi" w:hAnsiTheme="minorHAnsi" w:cs="Arial"/>
          <w:color w:val="000000" w:themeColor="text2"/>
        </w:rPr>
        <w:t xml:space="preserve"> to develop</w:t>
      </w:r>
      <w:r w:rsidR="00E77118">
        <w:rPr>
          <w:rFonts w:asciiTheme="minorHAnsi" w:hAnsiTheme="minorHAnsi" w:cs="Arial"/>
          <w:color w:val="000000" w:themeColor="text2"/>
        </w:rPr>
        <w:t xml:space="preserve"> programming</w:t>
      </w:r>
      <w:r w:rsidRPr="009F2B27">
        <w:rPr>
          <w:rFonts w:asciiTheme="minorHAnsi" w:hAnsiTheme="minorHAnsi" w:cs="Arial"/>
          <w:color w:val="000000" w:themeColor="text2"/>
        </w:rPr>
        <w:t>; partners focused on developing local and regional WIOA plans but not yet ready to implement strategies with IELCE grantees; low numbers due to low unemployment in Minnesota; and partners having numerous recent staffing changes.</w:t>
      </w:r>
      <w:r w:rsidR="009F2B27">
        <w:rPr>
          <w:rFonts w:asciiTheme="minorHAnsi" w:hAnsiTheme="minorHAnsi" w:cs="Arial"/>
          <w:color w:val="000000" w:themeColor="text2"/>
        </w:rPr>
        <w:t xml:space="preserve"> </w:t>
      </w:r>
      <w:r w:rsidRPr="009F2B27">
        <w:rPr>
          <w:rFonts w:asciiTheme="minorHAnsi" w:hAnsiTheme="minorHAnsi" w:cs="Arial"/>
          <w:color w:val="000000" w:themeColor="text2"/>
        </w:rPr>
        <w:t>With those lessons learned, we are considering moving to a 3-year competitive grant cycle starting in 2019 to allow for more comprehensive partnering and sustainable program development as partners are now ready to implement the WIOA plan strategies.</w:t>
      </w:r>
    </w:p>
    <w:p w14:paraId="0D765D84" w14:textId="77777777" w:rsidR="00EC41EB" w:rsidRDefault="00EC41EB" w:rsidP="00E77118">
      <w:pPr>
        <w:spacing w:after="0"/>
        <w:rPr>
          <w:rFonts w:asciiTheme="minorHAnsi" w:eastAsia="Times New Roman" w:hAnsiTheme="minorHAnsi" w:cstheme="majorBidi"/>
          <w:b/>
          <w:color w:val="003865" w:themeColor="accent1"/>
          <w:sz w:val="28"/>
          <w:szCs w:val="28"/>
          <w:lang w:bidi="en-US"/>
        </w:rPr>
      </w:pPr>
    </w:p>
    <w:p w14:paraId="13E4E629" w14:textId="51C7E9F2" w:rsidR="00552B0F" w:rsidRPr="00E77118" w:rsidRDefault="00552B0F" w:rsidP="00E77118">
      <w:pPr>
        <w:spacing w:after="0"/>
        <w:rPr>
          <w:rFonts w:asciiTheme="minorHAnsi" w:hAnsiTheme="minorHAnsi" w:cs="Arial"/>
          <w:color w:val="000000" w:themeColor="text2"/>
        </w:rPr>
      </w:pPr>
      <w:r w:rsidRPr="004C3645">
        <w:rPr>
          <w:rFonts w:asciiTheme="minorHAnsi" w:eastAsia="Times New Roman" w:hAnsiTheme="minorHAnsi" w:cstheme="majorBidi"/>
          <w:b/>
          <w:color w:val="003865" w:themeColor="accent1"/>
          <w:sz w:val="28"/>
          <w:szCs w:val="28"/>
          <w:lang w:bidi="en-US"/>
        </w:rPr>
        <w:t>Section 5: Adult Education Standards</w:t>
      </w:r>
    </w:p>
    <w:p w14:paraId="4F5E7F19" w14:textId="77777777" w:rsidR="00552B0F" w:rsidRPr="00E74A29" w:rsidRDefault="00552B0F" w:rsidP="00082A78">
      <w:pPr>
        <w:rPr>
          <w:rFonts w:asciiTheme="minorHAnsi" w:hAnsiTheme="minorHAnsi" w:cs="Arial"/>
        </w:rPr>
      </w:pPr>
      <w:r w:rsidRPr="00E74A29">
        <w:rPr>
          <w:rFonts w:asciiTheme="minorHAnsi" w:hAnsiTheme="minorHAnsi" w:cs="Arial"/>
        </w:rPr>
        <w:t xml:space="preserve">Minnesota has adopted three sets of content standards for Adult Basic Education (ABE): 1) the College and Career Readiness Standards for Adult Education (CCRS) for English Language Arts/Literacy and Mathematics; 2) the MN ACES Transitions Integration Framework (TIF) (available at </w:t>
      </w:r>
      <w:hyperlink r:id="rId31" w:history="1">
        <w:r w:rsidRPr="00E74A29">
          <w:rPr>
            <w:rStyle w:val="Hyperlink"/>
            <w:rFonts w:asciiTheme="minorHAnsi" w:hAnsiTheme="minorHAnsi" w:cs="Arial"/>
          </w:rPr>
          <w:t>http://atlasabe.org/professional/transitions</w:t>
        </w:r>
      </w:hyperlink>
      <w:r w:rsidRPr="00E74A29">
        <w:rPr>
          <w:rFonts w:asciiTheme="minorHAnsi" w:hAnsiTheme="minorHAnsi" w:cs="Arial"/>
        </w:rPr>
        <w:t xml:space="preserve">) for professional or “soft skills”; and 3) the </w:t>
      </w:r>
      <w:proofErr w:type="spellStart"/>
      <w:r w:rsidRPr="00E74A29">
        <w:rPr>
          <w:rFonts w:asciiTheme="minorHAnsi" w:hAnsiTheme="minorHAnsi" w:cs="Arial"/>
        </w:rPr>
        <w:t>Northstar</w:t>
      </w:r>
      <w:proofErr w:type="spellEnd"/>
      <w:r w:rsidRPr="00E74A29">
        <w:rPr>
          <w:rFonts w:asciiTheme="minorHAnsi" w:hAnsiTheme="minorHAnsi" w:cs="Arial"/>
        </w:rPr>
        <w:t xml:space="preserve"> Digital Literacy Standards (available at </w:t>
      </w:r>
      <w:hyperlink r:id="rId32" w:history="1">
        <w:r w:rsidRPr="00E74A29">
          <w:rPr>
            <w:rStyle w:val="Hyperlink"/>
            <w:rFonts w:asciiTheme="minorHAnsi" w:hAnsiTheme="minorHAnsi" w:cs="Arial"/>
          </w:rPr>
          <w:t>www.digitalliteracyassessment.org</w:t>
        </w:r>
      </w:hyperlink>
      <w:r w:rsidRPr="00E74A29">
        <w:rPr>
          <w:rFonts w:asciiTheme="minorHAnsi" w:hAnsiTheme="minorHAnsi" w:cs="Arial"/>
        </w:rPr>
        <w:t xml:space="preserve">) for digital literacy skills. </w:t>
      </w:r>
    </w:p>
    <w:p w14:paraId="773EB181" w14:textId="77777777" w:rsidR="00552B0F" w:rsidRPr="00E74A29" w:rsidRDefault="00552B0F" w:rsidP="00082A78">
      <w:pPr>
        <w:rPr>
          <w:rFonts w:asciiTheme="minorHAnsi" w:hAnsiTheme="minorHAnsi"/>
        </w:rPr>
      </w:pPr>
      <w:r w:rsidRPr="00E74A29">
        <w:rPr>
          <w:rFonts w:asciiTheme="minorHAnsi" w:hAnsiTheme="minorHAnsi"/>
        </w:rPr>
        <w:t xml:space="preserve">Minnesota has adopted the English Language Arts Common Core State Standards for K-12. While the Minnesota K-12 Mathematics standards were developed prior to the Common Core and are not due to be revised until 2020, it has been determined that they have a strong alignment with the Common Core. The College and Career Readiness Standards for Adult Education being used for Minnesota ABE are drawn from the Common Core State Standards, and therefore have strong alignment with the Minnesota K-12 standards. </w:t>
      </w:r>
    </w:p>
    <w:p w14:paraId="3B2C9062" w14:textId="1CA3E68E" w:rsidR="00552B0F" w:rsidRPr="00E74A29" w:rsidRDefault="00552B0F" w:rsidP="00082A78">
      <w:pPr>
        <w:rPr>
          <w:rFonts w:asciiTheme="minorHAnsi" w:hAnsiTheme="minorHAnsi"/>
        </w:rPr>
      </w:pPr>
      <w:r w:rsidRPr="00E74A29">
        <w:rPr>
          <w:rFonts w:asciiTheme="minorHAnsi" w:hAnsiTheme="minorHAnsi"/>
          <w:i/>
        </w:rPr>
        <w:t>CCRS Foundations</w:t>
      </w:r>
      <w:r w:rsidRPr="00E74A29">
        <w:rPr>
          <w:rFonts w:asciiTheme="minorHAnsi" w:hAnsiTheme="minorHAnsi"/>
        </w:rPr>
        <w:t>, introductory six-hour standards workshops providing an overview of the CCR ELA or Math standards and associated instructional shifts, were offered at a variety of statewide conferences, including the August 2016 ABE Summer Institute, the January 2017 Language and Literacy Institute, and the 2017 ABE Math Institute. In addition, practitioners were able to access a CCRS Foundations online course.</w:t>
      </w:r>
    </w:p>
    <w:p w14:paraId="37ABD672" w14:textId="77777777" w:rsidR="00552B0F" w:rsidRPr="00E74A29" w:rsidRDefault="00552B0F" w:rsidP="00082A78">
      <w:pPr>
        <w:rPr>
          <w:rFonts w:asciiTheme="minorHAnsi" w:hAnsiTheme="minorHAnsi"/>
        </w:rPr>
      </w:pPr>
      <w:r w:rsidRPr="00E74A29">
        <w:rPr>
          <w:rFonts w:asciiTheme="minorHAnsi" w:hAnsiTheme="minorHAnsi"/>
        </w:rPr>
        <w:t xml:space="preserve">From March 2015 to September 2016, Minnesota participated in the OCTAE-sponsored </w:t>
      </w:r>
      <w:r w:rsidRPr="00E74A29">
        <w:rPr>
          <w:rFonts w:asciiTheme="minorHAnsi" w:hAnsiTheme="minorHAnsi"/>
          <w:i/>
        </w:rPr>
        <w:t xml:space="preserve">College and Career Readiness Standards-in-Action </w:t>
      </w:r>
      <w:r w:rsidRPr="00E74A29">
        <w:rPr>
          <w:rFonts w:asciiTheme="minorHAnsi" w:hAnsiTheme="minorHAnsi"/>
        </w:rPr>
        <w:t xml:space="preserve">initiative. As a result of that participation and subsequent pilots, a year-long </w:t>
      </w:r>
      <w:r w:rsidRPr="00E74A29">
        <w:rPr>
          <w:rFonts w:asciiTheme="minorHAnsi" w:hAnsiTheme="minorHAnsi"/>
          <w:i/>
        </w:rPr>
        <w:t>CCRS Implementation Cohort Training</w:t>
      </w:r>
      <w:r w:rsidRPr="00E74A29">
        <w:rPr>
          <w:rFonts w:asciiTheme="minorHAnsi" w:hAnsiTheme="minorHAnsi"/>
        </w:rPr>
        <w:t xml:space="preserve"> was designed to support implementation of the standards at the local program level. In 2016-17, approximately 60 staff from 14 programs were accepted to participate in the cohort. Through a combination of workshops, webinars, online communication, and local implementation activities, teams learned to evaluate and improve the CCRS-alignment of lessons, resources, assignments, and instruction.  In addition, they developed a multi-year CCRS implementation plan for their program, and provided leadership and training for standards implementation to their colleagues. These programs are continuing to receive technical assistance and training to support their standards implementation efforts. </w:t>
      </w:r>
    </w:p>
    <w:p w14:paraId="209927F9" w14:textId="56D0A888" w:rsidR="00552B0F" w:rsidRPr="00E74A29" w:rsidRDefault="00552B0F" w:rsidP="00082A78">
      <w:pPr>
        <w:rPr>
          <w:rFonts w:asciiTheme="minorHAnsi" w:hAnsiTheme="minorHAnsi"/>
        </w:rPr>
      </w:pPr>
      <w:r w:rsidRPr="00E74A29">
        <w:rPr>
          <w:rFonts w:asciiTheme="minorHAnsi" w:hAnsiTheme="minorHAnsi"/>
        </w:rPr>
        <w:t>Approximately 50 staff from 12 programs were accepted to the 2017-18</w:t>
      </w:r>
      <w:r w:rsidRPr="00E74A29">
        <w:rPr>
          <w:rFonts w:asciiTheme="minorHAnsi" w:hAnsiTheme="minorHAnsi"/>
          <w:i/>
        </w:rPr>
        <w:t xml:space="preserve"> CCRS Implementation Cohort Training </w:t>
      </w:r>
      <w:r w:rsidRPr="00E74A29">
        <w:rPr>
          <w:rFonts w:asciiTheme="minorHAnsi" w:hAnsiTheme="minorHAnsi"/>
        </w:rPr>
        <w:t>and</w:t>
      </w:r>
      <w:r w:rsidR="00E74A29">
        <w:rPr>
          <w:rFonts w:asciiTheme="minorHAnsi" w:hAnsiTheme="minorHAnsi"/>
        </w:rPr>
        <w:t xml:space="preserve"> are currently participating. </w:t>
      </w:r>
      <w:r w:rsidRPr="00E74A29">
        <w:rPr>
          <w:rFonts w:asciiTheme="minorHAnsi" w:hAnsiTheme="minorHAnsi"/>
        </w:rPr>
        <w:t xml:space="preserve">A </w:t>
      </w:r>
      <w:r w:rsidRPr="00E74A29">
        <w:rPr>
          <w:rFonts w:asciiTheme="minorHAnsi" w:hAnsiTheme="minorHAnsi"/>
          <w:i/>
        </w:rPr>
        <w:t>CCRS Implementation Cohort Training</w:t>
      </w:r>
      <w:r w:rsidRPr="00E74A29">
        <w:rPr>
          <w:rFonts w:asciiTheme="minorHAnsi" w:hAnsiTheme="minorHAnsi"/>
        </w:rPr>
        <w:t xml:space="preserve"> will likely be held each year until all consortia have received training, or as long as there is a perceived need.  Components of the training are also being delivered at other training venues</w:t>
      </w:r>
      <w:r w:rsidR="00871D4D">
        <w:rPr>
          <w:rFonts w:asciiTheme="minorHAnsi" w:hAnsiTheme="minorHAnsi"/>
        </w:rPr>
        <w:t xml:space="preserve"> for</w:t>
      </w:r>
      <w:r w:rsidRPr="00E74A29">
        <w:rPr>
          <w:rFonts w:asciiTheme="minorHAnsi" w:hAnsiTheme="minorHAnsi"/>
        </w:rPr>
        <w:t xml:space="preserve"> those who cannot commit to the full-year cohort experience.</w:t>
      </w:r>
    </w:p>
    <w:sdt>
      <w:sdtPr>
        <w:rPr>
          <w:rFonts w:asciiTheme="minorHAnsi" w:eastAsia="Times New Roman" w:hAnsiTheme="minorHAnsi" w:cstheme="majorBidi"/>
          <w:b/>
          <w:color w:val="003865" w:themeColor="accent1"/>
          <w:sz w:val="28"/>
          <w:szCs w:val="28"/>
          <w:lang w:bidi="en-US"/>
        </w:rPr>
        <w:id w:val="10729564"/>
        <w:docPartObj>
          <w:docPartGallery w:val="Cover Pages"/>
          <w:docPartUnique/>
        </w:docPartObj>
      </w:sdtPr>
      <w:sdtEndPr/>
      <w:sdtContent>
        <w:p w14:paraId="221CC69B" w14:textId="77777777" w:rsidR="00EC41EB" w:rsidRDefault="00EC41EB" w:rsidP="00082A78">
          <w:pPr>
            <w:widowControl w:val="0"/>
            <w:tabs>
              <w:tab w:val="left" w:pos="480"/>
            </w:tabs>
            <w:spacing w:before="69" w:after="0" w:line="240" w:lineRule="auto"/>
            <w:ind w:right="369"/>
            <w:rPr>
              <w:rFonts w:asciiTheme="minorHAnsi" w:eastAsia="Times New Roman" w:hAnsiTheme="minorHAnsi" w:cstheme="majorBidi"/>
              <w:b/>
              <w:color w:val="003865" w:themeColor="accent1"/>
              <w:sz w:val="28"/>
              <w:szCs w:val="28"/>
              <w:lang w:bidi="en-US"/>
            </w:rPr>
          </w:pPr>
        </w:p>
        <w:p w14:paraId="0A2FDDC1" w14:textId="44FBF064" w:rsidR="00552B0F" w:rsidRPr="004C3645" w:rsidRDefault="009957EB" w:rsidP="00082A78">
          <w:pPr>
            <w:widowControl w:val="0"/>
            <w:tabs>
              <w:tab w:val="left" w:pos="480"/>
            </w:tabs>
            <w:spacing w:before="69" w:after="0" w:line="240" w:lineRule="auto"/>
            <w:ind w:right="369"/>
            <w:rPr>
              <w:rFonts w:asciiTheme="minorHAnsi" w:eastAsia="Times New Roman" w:hAnsiTheme="minorHAnsi" w:cstheme="majorBidi"/>
              <w:b/>
              <w:color w:val="003865" w:themeColor="accent1"/>
              <w:sz w:val="28"/>
              <w:szCs w:val="28"/>
              <w:lang w:bidi="en-US"/>
            </w:rPr>
          </w:pPr>
          <w:r>
            <w:rPr>
              <w:rFonts w:asciiTheme="minorHAnsi" w:eastAsia="Times New Roman" w:hAnsiTheme="minorHAnsi" w:cstheme="majorBidi"/>
              <w:b/>
              <w:color w:val="003865" w:themeColor="accent1"/>
              <w:sz w:val="28"/>
              <w:szCs w:val="28"/>
              <w:lang w:bidi="en-US"/>
            </w:rPr>
            <w:t>S</w:t>
          </w:r>
          <w:r w:rsidR="00552B0F" w:rsidRPr="004C3645">
            <w:rPr>
              <w:rFonts w:asciiTheme="minorHAnsi" w:eastAsia="Times New Roman" w:hAnsiTheme="minorHAnsi" w:cstheme="majorBidi"/>
              <w:b/>
              <w:color w:val="003865" w:themeColor="accent1"/>
              <w:sz w:val="28"/>
              <w:szCs w:val="28"/>
              <w:lang w:bidi="en-US"/>
            </w:rPr>
            <w:t>ection 6:  Programs for Corrections Education and the Education of Other Institutionalized Individuals (AEFLA Section 225)</w:t>
          </w:r>
        </w:p>
      </w:sdtContent>
    </w:sdt>
    <w:p w14:paraId="695AF493" w14:textId="77777777" w:rsidR="00552B0F" w:rsidRPr="00F10E39" w:rsidRDefault="00552B0F" w:rsidP="00082A78">
      <w:pPr>
        <w:pStyle w:val="Heading3"/>
        <w:rPr>
          <w:b w:val="0"/>
          <w:i/>
          <w:color w:val="auto"/>
          <w:sz w:val="22"/>
          <w:szCs w:val="22"/>
        </w:rPr>
      </w:pPr>
      <w:r w:rsidRPr="00F10E39">
        <w:rPr>
          <w:b w:val="0"/>
          <w:i/>
          <w:color w:val="auto"/>
          <w:sz w:val="22"/>
          <w:szCs w:val="22"/>
        </w:rPr>
        <w:t>What was the relative rate of recidivism for criminal offenders served? Please describe the methods and factors used in calculating the rate for this reporting period.</w:t>
      </w:r>
    </w:p>
    <w:p w14:paraId="1397D4F1" w14:textId="5892307C" w:rsidR="00552B0F" w:rsidRPr="00024DFA" w:rsidRDefault="00552B0F" w:rsidP="00082A78">
      <w:pPr>
        <w:rPr>
          <w:rFonts w:asciiTheme="minorHAnsi" w:hAnsiTheme="minorHAnsi"/>
          <w:color w:val="000000" w:themeColor="text2"/>
        </w:rPr>
      </w:pPr>
      <w:r w:rsidRPr="00024DFA">
        <w:rPr>
          <w:rFonts w:asciiTheme="minorHAnsi" w:hAnsiTheme="minorHAnsi"/>
          <w:color w:val="000000" w:themeColor="text2"/>
        </w:rPr>
        <w:t>The Minnesota Department of Corrections (MN DOC) houses approximatel</w:t>
      </w:r>
      <w:r w:rsidR="0014665B">
        <w:rPr>
          <w:rFonts w:asciiTheme="minorHAnsi" w:hAnsiTheme="minorHAnsi"/>
          <w:color w:val="000000" w:themeColor="text2"/>
        </w:rPr>
        <w:t xml:space="preserve">y 10,105 adult male and female offenders. </w:t>
      </w:r>
      <w:r w:rsidRPr="00024DFA">
        <w:rPr>
          <w:rFonts w:asciiTheme="minorHAnsi" w:hAnsiTheme="minorHAnsi"/>
          <w:color w:val="000000" w:themeColor="text2"/>
        </w:rPr>
        <w:t xml:space="preserve">Ninety-three percent are held in </w:t>
      </w:r>
      <w:r w:rsidR="003576DA">
        <w:rPr>
          <w:rFonts w:asciiTheme="minorHAnsi" w:hAnsiTheme="minorHAnsi"/>
          <w:color w:val="000000" w:themeColor="text2"/>
        </w:rPr>
        <w:t>state prisons</w:t>
      </w:r>
      <w:r w:rsidRPr="00024DFA">
        <w:rPr>
          <w:rFonts w:asciiTheme="minorHAnsi" w:hAnsiTheme="minorHAnsi"/>
          <w:color w:val="000000" w:themeColor="text2"/>
        </w:rPr>
        <w:t xml:space="preserve">, and the remaining 7% reside either in county jails, </w:t>
      </w:r>
      <w:r w:rsidR="003576DA">
        <w:rPr>
          <w:rFonts w:asciiTheme="minorHAnsi" w:hAnsiTheme="minorHAnsi"/>
          <w:color w:val="000000" w:themeColor="text2"/>
        </w:rPr>
        <w:t>a</w:t>
      </w:r>
      <w:r w:rsidRPr="00024DFA">
        <w:rPr>
          <w:rFonts w:asciiTheme="minorHAnsi" w:hAnsiTheme="minorHAnsi"/>
          <w:color w:val="000000" w:themeColor="text2"/>
        </w:rPr>
        <w:t xml:space="preserve"> state juvenile facility, or other facilities. 40% of offenders do not have a secondary credential. In the 2016-17 program year, 22 of Minnesota’s 41 AEFLA grantees offered se</w:t>
      </w:r>
      <w:r w:rsidR="0014665B">
        <w:rPr>
          <w:rFonts w:asciiTheme="minorHAnsi" w:hAnsiTheme="minorHAnsi"/>
          <w:color w:val="000000" w:themeColor="text2"/>
        </w:rPr>
        <w:t xml:space="preserve">rvices in correctional settings including 9 state prisons </w:t>
      </w:r>
      <w:r w:rsidRPr="00024DFA">
        <w:rPr>
          <w:rFonts w:asciiTheme="minorHAnsi" w:hAnsiTheme="minorHAnsi"/>
          <w:color w:val="000000" w:themeColor="text2"/>
        </w:rPr>
        <w:t>and at le</w:t>
      </w:r>
      <w:r w:rsidR="0014665B">
        <w:rPr>
          <w:rFonts w:asciiTheme="minorHAnsi" w:hAnsiTheme="minorHAnsi"/>
          <w:color w:val="000000" w:themeColor="text2"/>
        </w:rPr>
        <w:t>ast 21 county jails</w:t>
      </w:r>
      <w:r w:rsidRPr="00024DFA">
        <w:rPr>
          <w:rFonts w:asciiTheme="minorHAnsi" w:hAnsiTheme="minorHAnsi"/>
          <w:color w:val="000000" w:themeColor="text2"/>
        </w:rPr>
        <w:t xml:space="preserve">. 9,359 offender enrollees were served in Minnesota; 6,142 participants were served with 6,533 total periods of participation. 4,208 (69%) were in the state prison system for at least part of the year. 39.92% of Minnesota’s correctional ABE participants and 37.59% of correctional periods of participation achieved a measurable skill gain. </w:t>
      </w:r>
    </w:p>
    <w:p w14:paraId="6A1987B4" w14:textId="23AED3F0" w:rsidR="00552B0F" w:rsidRPr="00024DFA" w:rsidRDefault="00552B0F" w:rsidP="0014665B">
      <w:pPr>
        <w:rPr>
          <w:rFonts w:asciiTheme="minorHAnsi" w:hAnsiTheme="minorHAnsi"/>
          <w:color w:val="000000" w:themeColor="text2"/>
        </w:rPr>
      </w:pPr>
      <w:r w:rsidRPr="00024DFA">
        <w:rPr>
          <w:rFonts w:asciiTheme="minorHAnsi" w:hAnsiTheme="minorHAnsi"/>
          <w:color w:val="000000" w:themeColor="text2"/>
        </w:rPr>
        <w:t>Demographics of AEFLA partici</w:t>
      </w:r>
      <w:r w:rsidR="0014665B">
        <w:rPr>
          <w:rFonts w:asciiTheme="minorHAnsi" w:hAnsiTheme="minorHAnsi"/>
          <w:color w:val="000000" w:themeColor="text2"/>
        </w:rPr>
        <w:t xml:space="preserve">pants in state prison facilities are as follows: </w:t>
      </w:r>
      <w:r w:rsidRPr="00024DFA">
        <w:rPr>
          <w:rFonts w:asciiTheme="minorHAnsi" w:hAnsiTheme="minorHAnsi"/>
          <w:i/>
          <w:color w:val="000000" w:themeColor="text2"/>
        </w:rPr>
        <w:t>Gender</w:t>
      </w:r>
      <w:r w:rsidRPr="00024DFA">
        <w:rPr>
          <w:rFonts w:asciiTheme="minorHAnsi" w:hAnsiTheme="minorHAnsi"/>
          <w:color w:val="000000" w:themeColor="text2"/>
        </w:rPr>
        <w:t>: 89% male, 11% female</w:t>
      </w:r>
      <w:r w:rsidR="0014665B">
        <w:rPr>
          <w:rFonts w:asciiTheme="minorHAnsi" w:hAnsiTheme="minorHAnsi"/>
          <w:color w:val="000000" w:themeColor="text2"/>
        </w:rPr>
        <w:t xml:space="preserve">; </w:t>
      </w:r>
      <w:r w:rsidRPr="00024DFA">
        <w:rPr>
          <w:rFonts w:asciiTheme="minorHAnsi" w:hAnsiTheme="minorHAnsi"/>
          <w:i/>
          <w:color w:val="000000" w:themeColor="text2"/>
        </w:rPr>
        <w:t>Ethnicity</w:t>
      </w:r>
      <w:r w:rsidRPr="00024DFA">
        <w:rPr>
          <w:rFonts w:asciiTheme="minorHAnsi" w:hAnsiTheme="minorHAnsi"/>
          <w:color w:val="000000" w:themeColor="text2"/>
        </w:rPr>
        <w:t>: 10% American Indian/Alaskan Native, 3% Asian, 42% Black/African American – non-Hispanic, 9% Hispanic/Latino, less than 1% Native Hawaiian/Pacific Islander, and 36% White, non-Hispanic</w:t>
      </w:r>
      <w:r w:rsidR="0014665B">
        <w:rPr>
          <w:rFonts w:asciiTheme="minorHAnsi" w:hAnsiTheme="minorHAnsi"/>
          <w:color w:val="000000" w:themeColor="text2"/>
        </w:rPr>
        <w:t xml:space="preserve">; </w:t>
      </w:r>
      <w:r w:rsidRPr="00024DFA">
        <w:rPr>
          <w:rFonts w:asciiTheme="minorHAnsi" w:hAnsiTheme="minorHAnsi"/>
          <w:i/>
          <w:color w:val="000000" w:themeColor="text2"/>
        </w:rPr>
        <w:t>Programming Estimates</w:t>
      </w:r>
      <w:r w:rsidRPr="00024DFA">
        <w:rPr>
          <w:rFonts w:asciiTheme="minorHAnsi" w:hAnsiTheme="minorHAnsi"/>
          <w:color w:val="000000" w:themeColor="text2"/>
        </w:rPr>
        <w:t>: 79.5% Adult Education and Literacy Program Participants, 16.5% Secondary Credential and Career Pathway Program Participants, and 4.0% English Language Acquisition Program Participants.</w:t>
      </w:r>
    </w:p>
    <w:p w14:paraId="7077EE7D" w14:textId="4A934C4E" w:rsidR="00552B0F" w:rsidRPr="00024DFA" w:rsidRDefault="00552B0F" w:rsidP="00082A78">
      <w:pPr>
        <w:rPr>
          <w:rFonts w:asciiTheme="minorHAnsi" w:hAnsiTheme="minorHAnsi"/>
          <w:color w:val="000000" w:themeColor="text2"/>
        </w:rPr>
      </w:pPr>
      <w:r w:rsidRPr="00024DFA">
        <w:rPr>
          <w:rFonts w:asciiTheme="minorHAnsi" w:hAnsiTheme="minorHAnsi"/>
          <w:color w:val="000000" w:themeColor="text2"/>
        </w:rPr>
        <w:t xml:space="preserve">MN DOC has an education-first policy, which means that </w:t>
      </w:r>
      <w:r w:rsidR="00914E3B">
        <w:rPr>
          <w:rFonts w:asciiTheme="minorHAnsi" w:hAnsiTheme="minorHAnsi"/>
          <w:color w:val="000000" w:themeColor="text2"/>
        </w:rPr>
        <w:t>offenders</w:t>
      </w:r>
      <w:r w:rsidRPr="00024DFA">
        <w:rPr>
          <w:rFonts w:asciiTheme="minorHAnsi" w:hAnsiTheme="minorHAnsi"/>
          <w:color w:val="000000" w:themeColor="text2"/>
        </w:rPr>
        <w:t xml:space="preserve"> who do not have a high school diploma or GED are required to enroll in </w:t>
      </w:r>
      <w:r w:rsidR="0014665B">
        <w:rPr>
          <w:rFonts w:asciiTheme="minorHAnsi" w:hAnsiTheme="minorHAnsi"/>
          <w:color w:val="000000" w:themeColor="text2"/>
        </w:rPr>
        <w:t>ABE</w:t>
      </w:r>
      <w:r w:rsidRPr="00024DFA">
        <w:rPr>
          <w:rFonts w:asciiTheme="minorHAnsi" w:hAnsiTheme="minorHAnsi"/>
          <w:color w:val="000000" w:themeColor="text2"/>
        </w:rPr>
        <w:t xml:space="preserve"> and achieve a high school credential before being eligible for work programs. MN DOC offers intensive educational programming </w:t>
      </w:r>
      <w:r w:rsidR="00914E3B">
        <w:rPr>
          <w:rFonts w:asciiTheme="minorHAnsi" w:hAnsiTheme="minorHAnsi"/>
          <w:color w:val="000000" w:themeColor="text2"/>
        </w:rPr>
        <w:t>which</w:t>
      </w:r>
      <w:r w:rsidRPr="00024DFA">
        <w:rPr>
          <w:rFonts w:asciiTheme="minorHAnsi" w:hAnsiTheme="minorHAnsi"/>
          <w:color w:val="000000" w:themeColor="text2"/>
        </w:rPr>
        <w:t xml:space="preserve"> connects to postsecondary </w:t>
      </w:r>
      <w:r w:rsidR="00914E3B">
        <w:rPr>
          <w:rFonts w:asciiTheme="minorHAnsi" w:hAnsiTheme="minorHAnsi"/>
          <w:color w:val="000000" w:themeColor="text2"/>
        </w:rPr>
        <w:t>career pathways</w:t>
      </w:r>
      <w:r w:rsidRPr="00024DFA">
        <w:rPr>
          <w:rFonts w:asciiTheme="minorHAnsi" w:hAnsiTheme="minorHAnsi"/>
          <w:color w:val="000000" w:themeColor="text2"/>
        </w:rPr>
        <w:t xml:space="preserve">. MN DOC also </w:t>
      </w:r>
      <w:r w:rsidR="00914E3B">
        <w:rPr>
          <w:rFonts w:asciiTheme="minorHAnsi" w:hAnsiTheme="minorHAnsi"/>
          <w:color w:val="000000" w:themeColor="text2"/>
        </w:rPr>
        <w:t>offers mental health services</w:t>
      </w:r>
      <w:r w:rsidRPr="00024DFA">
        <w:rPr>
          <w:rFonts w:asciiTheme="minorHAnsi" w:hAnsiTheme="minorHAnsi"/>
          <w:color w:val="000000" w:themeColor="text2"/>
        </w:rPr>
        <w:t xml:space="preserve">, and </w:t>
      </w:r>
      <w:r w:rsidR="00914E3B">
        <w:rPr>
          <w:rFonts w:asciiTheme="minorHAnsi" w:hAnsiTheme="minorHAnsi"/>
          <w:color w:val="000000" w:themeColor="text2"/>
        </w:rPr>
        <w:t>other support services that facilitate stability</w:t>
      </w:r>
      <w:r w:rsidRPr="00024DFA">
        <w:rPr>
          <w:rFonts w:asciiTheme="minorHAnsi" w:hAnsiTheme="minorHAnsi"/>
          <w:color w:val="000000" w:themeColor="text2"/>
        </w:rPr>
        <w:t>. These policies and strategies promotes a robust system of ABE within Minnesota prisons. MN DOC funds their education programs with ABE funding and also with supplemental corrections funding.</w:t>
      </w:r>
    </w:p>
    <w:p w14:paraId="6876869F" w14:textId="412C175D" w:rsidR="00552B0F" w:rsidRPr="00024DFA" w:rsidRDefault="00552B0F" w:rsidP="00082A78">
      <w:pPr>
        <w:rPr>
          <w:rFonts w:asciiTheme="minorHAnsi" w:hAnsiTheme="minorHAnsi"/>
          <w:color w:val="000000" w:themeColor="text2"/>
        </w:rPr>
      </w:pPr>
      <w:r w:rsidRPr="00024DFA">
        <w:rPr>
          <w:rFonts w:asciiTheme="minorHAnsi" w:hAnsiTheme="minorHAnsi"/>
          <w:color w:val="000000" w:themeColor="text2"/>
        </w:rPr>
        <w:t xml:space="preserve">MN DOC education staff have been trained and are leading the field in implementing the state ABE content standards. In addition, the Minnesota correctional facilities have led the implementation of the state standard adult high school diploma. 169 Standard Adult High School Diplomas issued in 2016-17 were earned by ABE students in Minnesota correctional facilities. ABE students in Minnesota’s correctional facilities also perform well on the GED exam with 485 test-based high school equivalency diplomas issued in 2016-17. The GED passing rate for MN DOC programs is 90%, one of the highest in nation, according to GED Testing Service. Beyond secondary credentials, MN DOC is implementing in-demand career pathway programming for students who have or achieve a diploma to work towards a postsecondary degree or training while still incarcerated. </w:t>
      </w:r>
    </w:p>
    <w:p w14:paraId="261772D5" w14:textId="7DB5E3C9" w:rsidR="00552B0F" w:rsidRPr="00024DFA" w:rsidRDefault="00552B0F" w:rsidP="00082A78">
      <w:pPr>
        <w:rPr>
          <w:rFonts w:asciiTheme="minorHAnsi" w:hAnsiTheme="minorHAnsi"/>
          <w:color w:val="000000" w:themeColor="text2"/>
        </w:rPr>
      </w:pPr>
      <w:r w:rsidRPr="00024DFA">
        <w:rPr>
          <w:rFonts w:asciiTheme="minorHAnsi" w:hAnsiTheme="minorHAnsi"/>
          <w:color w:val="000000" w:themeColor="text2"/>
        </w:rPr>
        <w:t xml:space="preserve">MN DOC utilizes the federal recidivism rate calculation, based on a three-year follow up period after release from prison. Minnesota’s rate of recidivism is 25%, according to MN DOC in the latest data available. In a 2013 study, obtaining secondary credentials helped offenders gain employment upon release but did not have a major impact on reducing recidivism. Obtaining postsecondary credentials in corrections resulted in reduced recidivism, higher numbers of hours worked, and increased wages. Obtaining a postsecondary credential reduced </w:t>
      </w:r>
      <w:proofErr w:type="spellStart"/>
      <w:r w:rsidRPr="00024DFA">
        <w:rPr>
          <w:rFonts w:asciiTheme="minorHAnsi" w:hAnsiTheme="minorHAnsi"/>
          <w:color w:val="000000" w:themeColor="text2"/>
        </w:rPr>
        <w:t>rearrest</w:t>
      </w:r>
      <w:proofErr w:type="spellEnd"/>
      <w:r w:rsidRPr="00024DFA">
        <w:rPr>
          <w:rFonts w:asciiTheme="minorHAnsi" w:hAnsiTheme="minorHAnsi"/>
          <w:color w:val="000000" w:themeColor="text2"/>
        </w:rPr>
        <w:t xml:space="preserve"> by 14%, reconviction by 16%, and new offen</w:t>
      </w:r>
      <w:r w:rsidR="00CE7F81">
        <w:rPr>
          <w:rFonts w:asciiTheme="minorHAnsi" w:hAnsiTheme="minorHAnsi"/>
          <w:color w:val="000000" w:themeColor="text2"/>
        </w:rPr>
        <w:t>s</w:t>
      </w:r>
      <w:r w:rsidRPr="00024DFA">
        <w:rPr>
          <w:rFonts w:asciiTheme="minorHAnsi" w:hAnsiTheme="minorHAnsi"/>
          <w:color w:val="000000" w:themeColor="text2"/>
        </w:rPr>
        <w:t xml:space="preserve">e </w:t>
      </w:r>
      <w:proofErr w:type="spellStart"/>
      <w:r w:rsidRPr="00024DFA">
        <w:rPr>
          <w:rFonts w:asciiTheme="minorHAnsi" w:hAnsiTheme="minorHAnsi"/>
          <w:color w:val="000000" w:themeColor="text2"/>
        </w:rPr>
        <w:t>reincarceration</w:t>
      </w:r>
      <w:proofErr w:type="spellEnd"/>
      <w:r w:rsidRPr="00024DFA">
        <w:rPr>
          <w:rFonts w:asciiTheme="minorHAnsi" w:hAnsiTheme="minorHAnsi"/>
          <w:color w:val="000000" w:themeColor="text2"/>
        </w:rPr>
        <w:t xml:space="preserve"> by 24%. </w:t>
      </w:r>
    </w:p>
    <w:p w14:paraId="6C9D0C86" w14:textId="10EE5418" w:rsidR="00763461" w:rsidRPr="00BA4342" w:rsidRDefault="00552B0F" w:rsidP="00082A78">
      <w:r w:rsidRPr="00024DFA">
        <w:rPr>
          <w:rFonts w:asciiTheme="minorHAnsi" w:hAnsiTheme="minorHAnsi"/>
          <w:color w:val="000000" w:themeColor="text2"/>
        </w:rPr>
        <w:t xml:space="preserve">A </w:t>
      </w:r>
      <w:hyperlink r:id="rId33" w:history="1">
        <w:r w:rsidRPr="00024DFA">
          <w:rPr>
            <w:rStyle w:val="Hyperlink"/>
            <w:rFonts w:asciiTheme="minorHAnsi" w:hAnsiTheme="minorHAnsi"/>
          </w:rPr>
          <w:t>longitudinal study conducted with the Minnesota Department of Corrections</w:t>
        </w:r>
      </w:hyperlink>
      <w:r w:rsidRPr="00024DFA">
        <w:rPr>
          <w:rFonts w:asciiTheme="minorHAnsi" w:hAnsiTheme="minorHAnsi"/>
          <w:color w:val="000000" w:themeColor="text2"/>
        </w:rPr>
        <w:t xml:space="preserve"> “evaluated the effectiveness of prison-based educational programming by examining the effects of obtaining secondary and post-secondary degrees on recidivism and post-release employment outcomes among offenders.” The study found that “obtaining a secondary degree in prison significantly increased the odds of securing post-release employment by 59 percent.” And that “earning a post-secondary degree in prison… was associated with greater number of hours worked, higher overall wages, and less recidivism.” This study was completed with offenders released in 2007 and 2008, which gives enough time to determine meaningful outcomes post-release. For learners served in corrections systems during this program year, it is difficult to determine recidivism rates as many are still incarcerated and others have been released only recently.</w:t>
      </w:r>
    </w:p>
    <w:sectPr w:rsidR="00763461" w:rsidRPr="00BA4342" w:rsidSect="003576DA">
      <w:footerReference w:type="first" r:id="rId34"/>
      <w:type w:val="continuous"/>
      <w:pgSz w:w="12240" w:h="15840" w:code="1"/>
      <w:pgMar w:top="1440" w:right="1080" w:bottom="81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FEDD0" w14:textId="77777777" w:rsidR="004C3645" w:rsidRDefault="004C3645" w:rsidP="00D91FF4">
      <w:r>
        <w:separator/>
      </w:r>
    </w:p>
  </w:endnote>
  <w:endnote w:type="continuationSeparator" w:id="0">
    <w:p w14:paraId="1E4AB1E6" w14:textId="77777777" w:rsidR="004C3645" w:rsidRDefault="004C3645"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04587"/>
      <w:docPartObj>
        <w:docPartGallery w:val="Page Numbers (Bottom of Page)"/>
        <w:docPartUnique/>
      </w:docPartObj>
    </w:sdtPr>
    <w:sdtEndPr>
      <w:rPr>
        <w:noProof/>
      </w:rPr>
    </w:sdtEndPr>
    <w:sdtContent>
      <w:p w14:paraId="629C6EA3" w14:textId="7E3CFBF5" w:rsidR="00F73451" w:rsidRDefault="00F73451">
        <w:pPr>
          <w:pStyle w:val="Footer"/>
          <w:jc w:val="center"/>
        </w:pPr>
        <w:r>
          <w:fldChar w:fldCharType="begin"/>
        </w:r>
        <w:r>
          <w:instrText xml:space="preserve"> PAGE   \* MERGEFORMAT </w:instrText>
        </w:r>
        <w:r>
          <w:fldChar w:fldCharType="separate"/>
        </w:r>
        <w:r w:rsidR="00DE6A8B">
          <w:rPr>
            <w:noProof/>
          </w:rPr>
          <w:t>6</w:t>
        </w:r>
        <w:r>
          <w:rPr>
            <w:noProof/>
          </w:rPr>
          <w:fldChar w:fldCharType="end"/>
        </w:r>
      </w:p>
    </w:sdtContent>
  </w:sdt>
  <w:p w14:paraId="5145C581" w14:textId="77777777" w:rsidR="004C3645" w:rsidRDefault="004C3645">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CF39B" w14:textId="77777777" w:rsidR="004C3645" w:rsidRPr="00B437C8" w:rsidRDefault="004C3645"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08E84" w14:textId="77777777" w:rsidR="004C3645" w:rsidRDefault="004C3645" w:rsidP="00D91FF4">
      <w:r>
        <w:separator/>
      </w:r>
    </w:p>
  </w:footnote>
  <w:footnote w:type="continuationSeparator" w:id="0">
    <w:p w14:paraId="72E2DF37" w14:textId="77777777" w:rsidR="004C3645" w:rsidRDefault="004C3645" w:rsidP="00D91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2EE6C" w14:textId="77777777" w:rsidR="003576DA" w:rsidRDefault="003576DA" w:rsidP="003576DA">
    <w:pPr>
      <w:pStyle w:val="Header"/>
      <w:jc w:val="center"/>
    </w:pPr>
  </w:p>
  <w:p w14:paraId="1D717D34" w14:textId="77777777" w:rsidR="003576DA" w:rsidRDefault="003576DA" w:rsidP="00F73451">
    <w:pPr>
      <w:pStyle w:val="Header"/>
    </w:pPr>
  </w:p>
  <w:p w14:paraId="0D5B55A4" w14:textId="03F11E9E" w:rsidR="00F73451" w:rsidRPr="00F22BFB" w:rsidRDefault="00F73451" w:rsidP="00F73451">
    <w:pPr>
      <w:pStyle w:val="Header"/>
    </w:pPr>
    <w:r>
      <w:t>Minnesota Adult Education Annual AEFLA Performance Report, Program Year 2016- 2017</w:t>
    </w:r>
  </w:p>
  <w:p w14:paraId="3022029F" w14:textId="77777777" w:rsidR="00F73451" w:rsidRDefault="00F734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9pt;height:24.4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B12AEA"/>
    <w:multiLevelType w:val="hybridMultilevel"/>
    <w:tmpl w:val="26FCF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04D57"/>
    <w:multiLevelType w:val="hybridMultilevel"/>
    <w:tmpl w:val="943EBA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AC3F54"/>
    <w:multiLevelType w:val="hybridMultilevel"/>
    <w:tmpl w:val="551EE64A"/>
    <w:lvl w:ilvl="0" w:tplc="40DECF3C">
      <w:start w:val="1"/>
      <w:numFmt w:val="bullet"/>
      <w:lvlText w:val=""/>
      <w:lvlJc w:val="left"/>
      <w:pPr>
        <w:ind w:left="840" w:hanging="360"/>
      </w:pPr>
      <w:rPr>
        <w:rFonts w:ascii="Symbol" w:eastAsia="Symbol" w:hAnsi="Symbol" w:hint="default"/>
        <w:sz w:val="24"/>
        <w:szCs w:val="24"/>
      </w:rPr>
    </w:lvl>
    <w:lvl w:ilvl="1" w:tplc="B92ED262">
      <w:start w:val="1"/>
      <w:numFmt w:val="bullet"/>
      <w:lvlText w:val="•"/>
      <w:lvlJc w:val="left"/>
      <w:pPr>
        <w:ind w:left="1714" w:hanging="360"/>
      </w:pPr>
      <w:rPr>
        <w:rFonts w:hint="default"/>
      </w:rPr>
    </w:lvl>
    <w:lvl w:ilvl="2" w:tplc="ABD0F496">
      <w:start w:val="1"/>
      <w:numFmt w:val="bullet"/>
      <w:lvlText w:val="•"/>
      <w:lvlJc w:val="left"/>
      <w:pPr>
        <w:ind w:left="2588" w:hanging="360"/>
      </w:pPr>
      <w:rPr>
        <w:rFonts w:hint="default"/>
      </w:rPr>
    </w:lvl>
    <w:lvl w:ilvl="3" w:tplc="D86C4346">
      <w:start w:val="1"/>
      <w:numFmt w:val="bullet"/>
      <w:lvlText w:val="•"/>
      <w:lvlJc w:val="left"/>
      <w:pPr>
        <w:ind w:left="3462" w:hanging="360"/>
      </w:pPr>
      <w:rPr>
        <w:rFonts w:hint="default"/>
      </w:rPr>
    </w:lvl>
    <w:lvl w:ilvl="4" w:tplc="30EADA9C">
      <w:start w:val="1"/>
      <w:numFmt w:val="bullet"/>
      <w:lvlText w:val="•"/>
      <w:lvlJc w:val="left"/>
      <w:pPr>
        <w:ind w:left="4336" w:hanging="360"/>
      </w:pPr>
      <w:rPr>
        <w:rFonts w:hint="default"/>
      </w:rPr>
    </w:lvl>
    <w:lvl w:ilvl="5" w:tplc="156E8060">
      <w:start w:val="1"/>
      <w:numFmt w:val="bullet"/>
      <w:lvlText w:val="•"/>
      <w:lvlJc w:val="left"/>
      <w:pPr>
        <w:ind w:left="5210" w:hanging="360"/>
      </w:pPr>
      <w:rPr>
        <w:rFonts w:hint="default"/>
      </w:rPr>
    </w:lvl>
    <w:lvl w:ilvl="6" w:tplc="5C50CB4A">
      <w:start w:val="1"/>
      <w:numFmt w:val="bullet"/>
      <w:lvlText w:val="•"/>
      <w:lvlJc w:val="left"/>
      <w:pPr>
        <w:ind w:left="6084" w:hanging="360"/>
      </w:pPr>
      <w:rPr>
        <w:rFonts w:hint="default"/>
      </w:rPr>
    </w:lvl>
    <w:lvl w:ilvl="7" w:tplc="638ED260">
      <w:start w:val="1"/>
      <w:numFmt w:val="bullet"/>
      <w:lvlText w:val="•"/>
      <w:lvlJc w:val="left"/>
      <w:pPr>
        <w:ind w:left="6958" w:hanging="360"/>
      </w:pPr>
      <w:rPr>
        <w:rFonts w:hint="default"/>
      </w:rPr>
    </w:lvl>
    <w:lvl w:ilvl="8" w:tplc="521EB6C2">
      <w:start w:val="1"/>
      <w:numFmt w:val="bullet"/>
      <w:lvlText w:val="•"/>
      <w:lvlJc w:val="left"/>
      <w:pPr>
        <w:ind w:left="7832" w:hanging="360"/>
      </w:pPr>
      <w:rPr>
        <w:rFonts w:hint="default"/>
      </w:rPr>
    </w:lvl>
  </w:abstractNum>
  <w:abstractNum w:abstractNumId="18"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38B6DBA"/>
    <w:multiLevelType w:val="hybridMultilevel"/>
    <w:tmpl w:val="F7B46E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06AE4"/>
    <w:multiLevelType w:val="hybridMultilevel"/>
    <w:tmpl w:val="670EDCE4"/>
    <w:lvl w:ilvl="0" w:tplc="04090001">
      <w:start w:val="1"/>
      <w:numFmt w:val="bullet"/>
      <w:lvlText w:val=""/>
      <w:lvlJc w:val="left"/>
      <w:pPr>
        <w:ind w:left="360" w:hanging="360"/>
      </w:pPr>
      <w:rPr>
        <w:rFonts w:ascii="Symbol" w:hAnsi="Symbol" w:hint="default"/>
        <w:b/>
        <w:bCs/>
        <w:sz w:val="24"/>
        <w:szCs w:val="24"/>
      </w:rPr>
    </w:lvl>
    <w:lvl w:ilvl="1" w:tplc="04090001">
      <w:start w:val="1"/>
      <w:numFmt w:val="bullet"/>
      <w:lvlText w:val=""/>
      <w:lvlJc w:val="left"/>
      <w:pPr>
        <w:ind w:left="820" w:hanging="360"/>
      </w:pPr>
      <w:rPr>
        <w:rFonts w:ascii="Symbol" w:hAnsi="Symbol" w:hint="default"/>
        <w:spacing w:val="-1"/>
        <w:sz w:val="24"/>
        <w:szCs w:val="24"/>
      </w:rPr>
    </w:lvl>
    <w:lvl w:ilvl="2" w:tplc="E87672A8">
      <w:start w:val="1"/>
      <w:numFmt w:val="bullet"/>
      <w:lvlText w:val=""/>
      <w:lvlJc w:val="left"/>
      <w:pPr>
        <w:ind w:left="1180" w:hanging="360"/>
      </w:pPr>
      <w:rPr>
        <w:rFonts w:ascii="Symbol" w:eastAsia="Symbol" w:hAnsi="Symbol" w:hint="default"/>
        <w:sz w:val="24"/>
        <w:szCs w:val="24"/>
      </w:rPr>
    </w:lvl>
    <w:lvl w:ilvl="3" w:tplc="39B2DE30">
      <w:start w:val="1"/>
      <w:numFmt w:val="bullet"/>
      <w:lvlText w:val="•"/>
      <w:lvlJc w:val="left"/>
      <w:pPr>
        <w:ind w:left="2227" w:hanging="360"/>
      </w:pPr>
      <w:rPr>
        <w:rFonts w:hint="default"/>
      </w:rPr>
    </w:lvl>
    <w:lvl w:ilvl="4" w:tplc="61C07036">
      <w:start w:val="1"/>
      <w:numFmt w:val="bullet"/>
      <w:lvlText w:val="•"/>
      <w:lvlJc w:val="left"/>
      <w:pPr>
        <w:ind w:left="3275" w:hanging="360"/>
      </w:pPr>
      <w:rPr>
        <w:rFonts w:hint="default"/>
      </w:rPr>
    </w:lvl>
    <w:lvl w:ilvl="5" w:tplc="53322AD4">
      <w:start w:val="1"/>
      <w:numFmt w:val="bullet"/>
      <w:lvlText w:val="•"/>
      <w:lvlJc w:val="left"/>
      <w:pPr>
        <w:ind w:left="4322" w:hanging="360"/>
      </w:pPr>
      <w:rPr>
        <w:rFonts w:hint="default"/>
      </w:rPr>
    </w:lvl>
    <w:lvl w:ilvl="6" w:tplc="903820B0">
      <w:start w:val="1"/>
      <w:numFmt w:val="bullet"/>
      <w:lvlText w:val="•"/>
      <w:lvlJc w:val="left"/>
      <w:pPr>
        <w:ind w:left="5370" w:hanging="360"/>
      </w:pPr>
      <w:rPr>
        <w:rFonts w:hint="default"/>
      </w:rPr>
    </w:lvl>
    <w:lvl w:ilvl="7" w:tplc="8AD6D2EC">
      <w:start w:val="1"/>
      <w:numFmt w:val="bullet"/>
      <w:lvlText w:val="•"/>
      <w:lvlJc w:val="left"/>
      <w:pPr>
        <w:ind w:left="6417" w:hanging="360"/>
      </w:pPr>
      <w:rPr>
        <w:rFonts w:hint="default"/>
      </w:rPr>
    </w:lvl>
    <w:lvl w:ilvl="8" w:tplc="37A8A76A">
      <w:start w:val="1"/>
      <w:numFmt w:val="bullet"/>
      <w:lvlText w:val="•"/>
      <w:lvlJc w:val="left"/>
      <w:pPr>
        <w:ind w:left="7465" w:hanging="360"/>
      </w:pPr>
      <w:rPr>
        <w:rFonts w:hint="default"/>
      </w:rPr>
    </w:lvl>
  </w:abstractNum>
  <w:abstractNum w:abstractNumId="22"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ED1E57"/>
    <w:multiLevelType w:val="hybridMultilevel"/>
    <w:tmpl w:val="5ECE5D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6971E62"/>
    <w:multiLevelType w:val="multilevel"/>
    <w:tmpl w:val="975E5B3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F57A64"/>
    <w:multiLevelType w:val="hybridMultilevel"/>
    <w:tmpl w:val="B6045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FF229D"/>
    <w:multiLevelType w:val="hybridMultilevel"/>
    <w:tmpl w:val="23886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AD352C"/>
    <w:multiLevelType w:val="hybridMultilevel"/>
    <w:tmpl w:val="EC7CE2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30"/>
  </w:num>
  <w:num w:numId="4">
    <w:abstractNumId w:val="25"/>
  </w:num>
  <w:num w:numId="5">
    <w:abstractNumId w:val="20"/>
  </w:num>
  <w:num w:numId="6">
    <w:abstractNumId w:val="5"/>
  </w:num>
  <w:num w:numId="7">
    <w:abstractNumId w:val="14"/>
  </w:num>
  <w:num w:numId="8">
    <w:abstractNumId w:val="9"/>
  </w:num>
  <w:num w:numId="9">
    <w:abstractNumId w:val="12"/>
  </w:num>
  <w:num w:numId="10">
    <w:abstractNumId w:val="2"/>
  </w:num>
  <w:num w:numId="11">
    <w:abstractNumId w:val="2"/>
  </w:num>
  <w:num w:numId="12">
    <w:abstractNumId w:val="31"/>
  </w:num>
  <w:num w:numId="13">
    <w:abstractNumId w:val="33"/>
  </w:num>
  <w:num w:numId="14">
    <w:abstractNumId w:val="18"/>
  </w:num>
  <w:num w:numId="15">
    <w:abstractNumId w:val="2"/>
  </w:num>
  <w:num w:numId="16">
    <w:abstractNumId w:val="33"/>
  </w:num>
  <w:num w:numId="17">
    <w:abstractNumId w:val="18"/>
  </w:num>
  <w:num w:numId="18">
    <w:abstractNumId w:val="11"/>
  </w:num>
  <w:num w:numId="19">
    <w:abstractNumId w:val="6"/>
  </w:num>
  <w:num w:numId="20">
    <w:abstractNumId w:val="1"/>
  </w:num>
  <w:num w:numId="21">
    <w:abstractNumId w:val="0"/>
  </w:num>
  <w:num w:numId="22">
    <w:abstractNumId w:val="10"/>
  </w:num>
  <w:num w:numId="23">
    <w:abstractNumId w:val="22"/>
  </w:num>
  <w:num w:numId="24">
    <w:abstractNumId w:val="26"/>
  </w:num>
  <w:num w:numId="25">
    <w:abstractNumId w:val="26"/>
  </w:num>
  <w:num w:numId="26">
    <w:abstractNumId w:val="27"/>
  </w:num>
  <w:num w:numId="27">
    <w:abstractNumId w:val="13"/>
  </w:num>
  <w:num w:numId="28">
    <w:abstractNumId w:val="8"/>
  </w:num>
  <w:num w:numId="29">
    <w:abstractNumId w:val="16"/>
  </w:num>
  <w:num w:numId="30">
    <w:abstractNumId w:val="28"/>
  </w:num>
  <w:num w:numId="31">
    <w:abstractNumId w:val="21"/>
  </w:num>
  <w:num w:numId="32">
    <w:abstractNumId w:val="23"/>
  </w:num>
  <w:num w:numId="33">
    <w:abstractNumId w:val="19"/>
  </w:num>
  <w:num w:numId="34">
    <w:abstractNumId w:val="32"/>
  </w:num>
  <w:num w:numId="35">
    <w:abstractNumId w:val="17"/>
  </w:num>
  <w:num w:numId="36">
    <w:abstractNumId w:val="4"/>
  </w:num>
  <w:num w:numId="37">
    <w:abstractNumId w:val="15"/>
  </w:num>
  <w:num w:numId="38">
    <w:abstractNumId w:val="29"/>
  </w:num>
  <w:num w:numId="39">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42"/>
    <w:rsid w:val="000003C4"/>
    <w:rsid w:val="00002DEC"/>
    <w:rsid w:val="000065AC"/>
    <w:rsid w:val="00006A0A"/>
    <w:rsid w:val="000136DE"/>
    <w:rsid w:val="00021F9D"/>
    <w:rsid w:val="00024DFA"/>
    <w:rsid w:val="00040C79"/>
    <w:rsid w:val="00064B90"/>
    <w:rsid w:val="000722DA"/>
    <w:rsid w:val="0007374A"/>
    <w:rsid w:val="00077A06"/>
    <w:rsid w:val="00080404"/>
    <w:rsid w:val="00082A78"/>
    <w:rsid w:val="00084742"/>
    <w:rsid w:val="000B0A75"/>
    <w:rsid w:val="000B2E68"/>
    <w:rsid w:val="000C3708"/>
    <w:rsid w:val="000C3761"/>
    <w:rsid w:val="000C7373"/>
    <w:rsid w:val="000E313B"/>
    <w:rsid w:val="000E3E9D"/>
    <w:rsid w:val="000F4BB1"/>
    <w:rsid w:val="0010426A"/>
    <w:rsid w:val="00135082"/>
    <w:rsid w:val="00135DC7"/>
    <w:rsid w:val="0014665B"/>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12F08"/>
    <w:rsid w:val="00222A49"/>
    <w:rsid w:val="0022552E"/>
    <w:rsid w:val="00227E68"/>
    <w:rsid w:val="00232F7C"/>
    <w:rsid w:val="0023444B"/>
    <w:rsid w:val="00236CB0"/>
    <w:rsid w:val="00257AF5"/>
    <w:rsid w:val="00261247"/>
    <w:rsid w:val="00264652"/>
    <w:rsid w:val="00264F45"/>
    <w:rsid w:val="0026674F"/>
    <w:rsid w:val="00270DF1"/>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576DA"/>
    <w:rsid w:val="00376FA5"/>
    <w:rsid w:val="00377673"/>
    <w:rsid w:val="003A1479"/>
    <w:rsid w:val="003A1813"/>
    <w:rsid w:val="003B7D82"/>
    <w:rsid w:val="003C03D3"/>
    <w:rsid w:val="003C4644"/>
    <w:rsid w:val="003C5BE3"/>
    <w:rsid w:val="003F5F5F"/>
    <w:rsid w:val="00410A0E"/>
    <w:rsid w:val="00413A7C"/>
    <w:rsid w:val="004141DD"/>
    <w:rsid w:val="00443DC4"/>
    <w:rsid w:val="00461804"/>
    <w:rsid w:val="004643F7"/>
    <w:rsid w:val="00466810"/>
    <w:rsid w:val="0047706A"/>
    <w:rsid w:val="004816B5"/>
    <w:rsid w:val="00483DD2"/>
    <w:rsid w:val="00494E6F"/>
    <w:rsid w:val="004A1B4D"/>
    <w:rsid w:val="004A58DD"/>
    <w:rsid w:val="004A6119"/>
    <w:rsid w:val="004A7047"/>
    <w:rsid w:val="004B47DC"/>
    <w:rsid w:val="004C341B"/>
    <w:rsid w:val="004C3645"/>
    <w:rsid w:val="004C3961"/>
    <w:rsid w:val="004E3DF6"/>
    <w:rsid w:val="004E75B3"/>
    <w:rsid w:val="004F04BA"/>
    <w:rsid w:val="004F0EFF"/>
    <w:rsid w:val="004F70DF"/>
    <w:rsid w:val="0050093F"/>
    <w:rsid w:val="00514788"/>
    <w:rsid w:val="005426C4"/>
    <w:rsid w:val="0054371B"/>
    <w:rsid w:val="00552B0F"/>
    <w:rsid w:val="0056615E"/>
    <w:rsid w:val="005666F2"/>
    <w:rsid w:val="0057515F"/>
    <w:rsid w:val="005764FB"/>
    <w:rsid w:val="0058227B"/>
    <w:rsid w:val="005A58A3"/>
    <w:rsid w:val="005B2DDF"/>
    <w:rsid w:val="005B4AE7"/>
    <w:rsid w:val="005B53B0"/>
    <w:rsid w:val="005B57C7"/>
    <w:rsid w:val="005C16D8"/>
    <w:rsid w:val="005D4207"/>
    <w:rsid w:val="005D4525"/>
    <w:rsid w:val="005D45B3"/>
    <w:rsid w:val="005E3FC1"/>
    <w:rsid w:val="005F6005"/>
    <w:rsid w:val="005F65C6"/>
    <w:rsid w:val="00601B3F"/>
    <w:rsid w:val="006064AB"/>
    <w:rsid w:val="00621BD2"/>
    <w:rsid w:val="00622BB5"/>
    <w:rsid w:val="00651DB5"/>
    <w:rsid w:val="00652D74"/>
    <w:rsid w:val="00655345"/>
    <w:rsid w:val="0065683E"/>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6739"/>
    <w:rsid w:val="0074778B"/>
    <w:rsid w:val="00760DE2"/>
    <w:rsid w:val="00763461"/>
    <w:rsid w:val="0077225E"/>
    <w:rsid w:val="007857F7"/>
    <w:rsid w:val="00793F48"/>
    <w:rsid w:val="007B35B2"/>
    <w:rsid w:val="007D1FFF"/>
    <w:rsid w:val="007D42A0"/>
    <w:rsid w:val="007E685C"/>
    <w:rsid w:val="007F6108"/>
    <w:rsid w:val="007F7097"/>
    <w:rsid w:val="008065BE"/>
    <w:rsid w:val="00806678"/>
    <w:rsid w:val="008067A6"/>
    <w:rsid w:val="008140CC"/>
    <w:rsid w:val="008251B3"/>
    <w:rsid w:val="00844F1D"/>
    <w:rsid w:val="00846F64"/>
    <w:rsid w:val="0084731A"/>
    <w:rsid w:val="0084749F"/>
    <w:rsid w:val="00864202"/>
    <w:rsid w:val="00871D4D"/>
    <w:rsid w:val="008A76FD"/>
    <w:rsid w:val="008B5443"/>
    <w:rsid w:val="008B7A1E"/>
    <w:rsid w:val="008C7EEB"/>
    <w:rsid w:val="008D0DEF"/>
    <w:rsid w:val="008D2256"/>
    <w:rsid w:val="008D5E3D"/>
    <w:rsid w:val="008E09D4"/>
    <w:rsid w:val="008E3EE8"/>
    <w:rsid w:val="008F7133"/>
    <w:rsid w:val="00905AD1"/>
    <w:rsid w:val="00905BC6"/>
    <w:rsid w:val="0090737A"/>
    <w:rsid w:val="00914E3B"/>
    <w:rsid w:val="0094786F"/>
    <w:rsid w:val="0096108C"/>
    <w:rsid w:val="00963BA0"/>
    <w:rsid w:val="00967764"/>
    <w:rsid w:val="009810EE"/>
    <w:rsid w:val="009837DB"/>
    <w:rsid w:val="00984CC9"/>
    <w:rsid w:val="00990E51"/>
    <w:rsid w:val="00991ED5"/>
    <w:rsid w:val="0099233F"/>
    <w:rsid w:val="009957EB"/>
    <w:rsid w:val="009B54A0"/>
    <w:rsid w:val="009C6405"/>
    <w:rsid w:val="009F2B27"/>
    <w:rsid w:val="009F4885"/>
    <w:rsid w:val="009F6B2C"/>
    <w:rsid w:val="009F6D79"/>
    <w:rsid w:val="00A1774E"/>
    <w:rsid w:val="00A30799"/>
    <w:rsid w:val="00A476C1"/>
    <w:rsid w:val="00A57FE8"/>
    <w:rsid w:val="00A64ECE"/>
    <w:rsid w:val="00A66185"/>
    <w:rsid w:val="00A71CAD"/>
    <w:rsid w:val="00A731A2"/>
    <w:rsid w:val="00A827B0"/>
    <w:rsid w:val="00A827C1"/>
    <w:rsid w:val="00A8345B"/>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86054"/>
    <w:rsid w:val="00BA4342"/>
    <w:rsid w:val="00BC588A"/>
    <w:rsid w:val="00BD0E59"/>
    <w:rsid w:val="00BD4528"/>
    <w:rsid w:val="00BE0288"/>
    <w:rsid w:val="00BE3444"/>
    <w:rsid w:val="00C0453C"/>
    <w:rsid w:val="00C05A8E"/>
    <w:rsid w:val="00C12441"/>
    <w:rsid w:val="00C12D2F"/>
    <w:rsid w:val="00C277A8"/>
    <w:rsid w:val="00C309AE"/>
    <w:rsid w:val="00C365CE"/>
    <w:rsid w:val="00C417EB"/>
    <w:rsid w:val="00C528AE"/>
    <w:rsid w:val="00C67C9B"/>
    <w:rsid w:val="00C90830"/>
    <w:rsid w:val="00CA5D23"/>
    <w:rsid w:val="00CD7017"/>
    <w:rsid w:val="00CE0FEE"/>
    <w:rsid w:val="00CE45B0"/>
    <w:rsid w:val="00CE7F81"/>
    <w:rsid w:val="00CF1393"/>
    <w:rsid w:val="00CF4F3A"/>
    <w:rsid w:val="00D0014D"/>
    <w:rsid w:val="00D059F7"/>
    <w:rsid w:val="00D22819"/>
    <w:rsid w:val="00D24B3D"/>
    <w:rsid w:val="00D33929"/>
    <w:rsid w:val="00D36043"/>
    <w:rsid w:val="00D511F0"/>
    <w:rsid w:val="00D54EE5"/>
    <w:rsid w:val="00D63F82"/>
    <w:rsid w:val="00D640FC"/>
    <w:rsid w:val="00D70F7D"/>
    <w:rsid w:val="00D761F7"/>
    <w:rsid w:val="00D851A3"/>
    <w:rsid w:val="00D91FF4"/>
    <w:rsid w:val="00D92929"/>
    <w:rsid w:val="00D93C2E"/>
    <w:rsid w:val="00D970A5"/>
    <w:rsid w:val="00DB4967"/>
    <w:rsid w:val="00DC1A1C"/>
    <w:rsid w:val="00DC22CF"/>
    <w:rsid w:val="00DE4DAA"/>
    <w:rsid w:val="00DE50CB"/>
    <w:rsid w:val="00DE6A8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7358D"/>
    <w:rsid w:val="00E74A29"/>
    <w:rsid w:val="00E76267"/>
    <w:rsid w:val="00E77118"/>
    <w:rsid w:val="00EA535B"/>
    <w:rsid w:val="00EC41EB"/>
    <w:rsid w:val="00EC579D"/>
    <w:rsid w:val="00ED5BDC"/>
    <w:rsid w:val="00ED7DAC"/>
    <w:rsid w:val="00EE361C"/>
    <w:rsid w:val="00F067A6"/>
    <w:rsid w:val="00F10E39"/>
    <w:rsid w:val="00F20B25"/>
    <w:rsid w:val="00F212F3"/>
    <w:rsid w:val="00F22BFB"/>
    <w:rsid w:val="00F278C3"/>
    <w:rsid w:val="00F3338D"/>
    <w:rsid w:val="00F446C8"/>
    <w:rsid w:val="00F55939"/>
    <w:rsid w:val="00F70C03"/>
    <w:rsid w:val="00F73451"/>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F56F39"/>
  <w15:chartTrackingRefBased/>
  <w15:docId w15:val="{EC18E849-C3E0-4EFA-A2FC-D80505AF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BA4342"/>
    <w:pPr>
      <w:spacing w:after="200" w:line="276" w:lineRule="auto"/>
    </w:pPr>
    <w:rPr>
      <w:rFonts w:ascii="Arial" w:eastAsiaTheme="minorHAnsi" w:hAnsi="Arial" w:cstheme="minorBidi"/>
      <w:lang w:bidi="ar-SA"/>
    </w:r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aliases w:val="Indented Paragraph"/>
    <w:basedOn w:val="Normal"/>
    <w:link w:val="ListParagraphChar"/>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after="120" w:line="240" w:lineRule="auto"/>
    </w:pPr>
  </w:style>
  <w:style w:type="paragraph" w:customStyle="1" w:styleId="BulletListLevel2">
    <w:name w:val="Bullet List Level 2"/>
    <w:basedOn w:val="ListParagraph"/>
    <w:link w:val="BulletListLevel2Char"/>
    <w:qFormat/>
    <w:rsid w:val="003F5F5F"/>
    <w:pPr>
      <w:numPr>
        <w:ilvl w:val="1"/>
        <w:numId w:val="28"/>
      </w:numPr>
      <w:spacing w:after="120" w:line="240" w:lineRule="auto"/>
      <w:ind w:left="1080"/>
    </w:pPr>
  </w:style>
  <w:style w:type="character" w:customStyle="1" w:styleId="ListParagraphChar">
    <w:name w:val="List Paragraph Char"/>
    <w:aliases w:val="Indented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CommentText">
    <w:name w:val="annotation text"/>
    <w:basedOn w:val="Normal"/>
    <w:link w:val="CommentTextChar"/>
    <w:uiPriority w:val="99"/>
    <w:semiHidden/>
    <w:unhideWhenUsed/>
    <w:rsid w:val="00BA4342"/>
    <w:pPr>
      <w:spacing w:line="240" w:lineRule="auto"/>
    </w:pPr>
    <w:rPr>
      <w:sz w:val="20"/>
      <w:szCs w:val="20"/>
    </w:rPr>
  </w:style>
  <w:style w:type="character" w:customStyle="1" w:styleId="CommentTextChar">
    <w:name w:val="Comment Text Char"/>
    <w:basedOn w:val="DefaultParagraphFont"/>
    <w:link w:val="CommentText"/>
    <w:uiPriority w:val="99"/>
    <w:semiHidden/>
    <w:rsid w:val="00BA4342"/>
    <w:rPr>
      <w:rFonts w:ascii="Arial" w:eastAsiaTheme="minorHAnsi" w:hAnsi="Arial" w:cstheme="minorBidi"/>
      <w:sz w:val="20"/>
      <w:szCs w:val="20"/>
      <w:lang w:bidi="ar-SA"/>
    </w:rPr>
  </w:style>
  <w:style w:type="character" w:styleId="CommentReference">
    <w:name w:val="annotation reference"/>
    <w:basedOn w:val="DefaultParagraphFont"/>
    <w:uiPriority w:val="99"/>
    <w:semiHidden/>
    <w:unhideWhenUsed/>
    <w:rsid w:val="00BA4342"/>
    <w:rPr>
      <w:sz w:val="16"/>
      <w:szCs w:val="16"/>
    </w:rPr>
  </w:style>
  <w:style w:type="paragraph" w:styleId="BalloonText">
    <w:name w:val="Balloon Text"/>
    <w:basedOn w:val="Normal"/>
    <w:link w:val="BalloonTextChar"/>
    <w:semiHidden/>
    <w:unhideWhenUsed/>
    <w:rsid w:val="00BA43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A4342"/>
    <w:rPr>
      <w:rFonts w:ascii="Segoe UI" w:eastAsiaTheme="minorHAnsi" w:hAnsi="Segoe UI" w:cs="Segoe UI"/>
      <w:sz w:val="18"/>
      <w:szCs w:val="18"/>
      <w:lang w:bidi="ar-SA"/>
    </w:rPr>
  </w:style>
  <w:style w:type="paragraph" w:styleId="BodyText">
    <w:name w:val="Body Text"/>
    <w:basedOn w:val="Normal"/>
    <w:link w:val="BodyTextChar"/>
    <w:uiPriority w:val="1"/>
    <w:qFormat/>
    <w:rsid w:val="00BA4342"/>
    <w:pPr>
      <w:widowControl w:val="0"/>
      <w:spacing w:before="0" w:after="0" w:line="240" w:lineRule="auto"/>
      <w:ind w:left="84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A4342"/>
    <w:rPr>
      <w:rFonts w:ascii="Times New Roman" w:hAnsi="Times New Roman" w:cstheme="minorBidi"/>
      <w:sz w:val="24"/>
      <w:szCs w:val="24"/>
      <w:lang w:bidi="ar-SA"/>
    </w:rPr>
  </w:style>
  <w:style w:type="paragraph" w:styleId="Header">
    <w:name w:val="header"/>
    <w:basedOn w:val="Normal"/>
    <w:link w:val="HeaderChar"/>
    <w:uiPriority w:val="99"/>
    <w:unhideWhenUsed/>
    <w:rsid w:val="00552B0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2B0F"/>
    <w:rPr>
      <w:rFonts w:ascii="Arial" w:eastAsiaTheme="minorHAnsi" w:hAnsi="Arial" w:cstheme="minorBidi"/>
      <w:lang w:bidi="ar-SA"/>
    </w:rPr>
  </w:style>
  <w:style w:type="character" w:styleId="FollowedHyperlink">
    <w:name w:val="FollowedHyperlink"/>
    <w:basedOn w:val="DefaultParagraphFont"/>
    <w:semiHidden/>
    <w:unhideWhenUsed/>
    <w:rsid w:val="00C0453C"/>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16611258">
      <w:bodyDiv w:val="1"/>
      <w:marLeft w:val="0"/>
      <w:marRight w:val="0"/>
      <w:marTop w:val="0"/>
      <w:marBottom w:val="0"/>
      <w:divBdr>
        <w:top w:val="none" w:sz="0" w:space="0" w:color="auto"/>
        <w:left w:val="none" w:sz="0" w:space="0" w:color="auto"/>
        <w:bottom w:val="none" w:sz="0" w:space="0" w:color="auto"/>
        <w:right w:val="none" w:sz="0" w:space="0" w:color="auto"/>
      </w:divBdr>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h.harvard.edu/news/ash-center-announces-finalists-and-top-25-programs-innovations-american-government-award" TargetMode="External"/><Relationship Id="rId18" Type="http://schemas.openxmlformats.org/officeDocument/2006/relationships/hyperlink" Target="http://mnabe.org/abe-funding-grants/navigating-advising-grant" TargetMode="External"/><Relationship Id="rId26" Type="http://schemas.openxmlformats.org/officeDocument/2006/relationships/hyperlink" Target="http://www.mnliteracy.org" TargetMode="External"/><Relationship Id="rId3" Type="http://schemas.openxmlformats.org/officeDocument/2006/relationships/customXml" Target="../customXml/item3.xml"/><Relationship Id="rId21" Type="http://schemas.openxmlformats.org/officeDocument/2006/relationships/hyperlink" Target="http://atlasabe.org/resources-atlas-and-general-abe"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postbulletin.com/news/education/grant-recognizes-hawthorne-s-novel-approach/article_a06a062c-a46b-5fea-a0c9-b2fd48a2fe6e.html?utm_medium=social&amp;utm_source=email&amp;utm_campaign=user-share" TargetMode="External"/><Relationship Id="rId17" Type="http://schemas.openxmlformats.org/officeDocument/2006/relationships/hyperlink" Target="https://www.digitalinclusion.org/netinclusion2017/" TargetMode="External"/><Relationship Id="rId25" Type="http://schemas.openxmlformats.org/officeDocument/2006/relationships/hyperlink" Target="http://www.mnabe.org/program-management" TargetMode="External"/><Relationship Id="rId33" Type="http://schemas.openxmlformats.org/officeDocument/2006/relationships/hyperlink" Target="https://mn.gov/doc/assets/Prison_Education_Evaluation_Research_in_Brief_Final_tcm1089-270907.pdf" TargetMode="External"/><Relationship Id="rId2" Type="http://schemas.openxmlformats.org/officeDocument/2006/relationships/customXml" Target="../customXml/item2.xml"/><Relationship Id="rId16" Type="http://schemas.openxmlformats.org/officeDocument/2006/relationships/hyperlink" Target="http://www.mnliteracy.org/educators/better-together-strengthening-adult-learning-communities" TargetMode="External"/><Relationship Id="rId20" Type="http://schemas.openxmlformats.org/officeDocument/2006/relationships/hyperlink" Target="http://www.mnabe.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n.gov/deed/gwdb/priorities/career-pathways/" TargetMode="External"/><Relationship Id="rId24" Type="http://schemas.openxmlformats.org/officeDocument/2006/relationships/hyperlink" Target="http://www.mnabe-distancelearning.org/" TargetMode="External"/><Relationship Id="rId32" Type="http://schemas.openxmlformats.org/officeDocument/2006/relationships/hyperlink" Target="http://www.digitalliteracyassessment.org" TargetMode="External"/><Relationship Id="rId5" Type="http://schemas.openxmlformats.org/officeDocument/2006/relationships/numbering" Target="numbering.xml"/><Relationship Id="rId15" Type="http://schemas.openxmlformats.org/officeDocument/2006/relationships/hyperlink" Target="http://mn.bridgetobenefits.org/Home2" TargetMode="External"/><Relationship Id="rId23" Type="http://schemas.openxmlformats.org/officeDocument/2006/relationships/hyperlink" Target="http://online.themlc.org/" TargetMode="External"/><Relationship Id="rId28" Type="http://schemas.openxmlformats.org/officeDocument/2006/relationships/hyperlink" Target="http://mn.abedisabilities.or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ducation.state.mn.us/MDE/dse/ccs/MCIS/" TargetMode="External"/><Relationship Id="rId31" Type="http://schemas.openxmlformats.org/officeDocument/2006/relationships/hyperlink" Target="http://atlasabe.org/professional/transi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spwin.org/wp-content/uploads/2016/04/Career-Pathways-On-Ramp-FINAL2.pdf" TargetMode="External"/><Relationship Id="rId22" Type="http://schemas.openxmlformats.org/officeDocument/2006/relationships/hyperlink" Target="https://mnliteracy.org/techservices" TargetMode="External"/><Relationship Id="rId27" Type="http://schemas.openxmlformats.org/officeDocument/2006/relationships/hyperlink" Target="http://mn.abedisabilities.org/" TargetMode="External"/><Relationship Id="rId30" Type="http://schemas.openxmlformats.org/officeDocument/2006/relationships/footer" Target="footer1.xm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EDFB91-972A-4B43-9315-0FB8963558F5}">
  <ds:schemaRef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BC01C9DD-3167-4D0D-8001-210E6707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10</Pages>
  <Words>4807</Words>
  <Characters>30312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35049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Versaw, Jodi (MDE)</dc:creator>
  <cp:keywords/>
  <dc:description/>
  <cp:lastModifiedBy>Versaw, Jodi</cp:lastModifiedBy>
  <cp:revision>37</cp:revision>
  <cp:lastPrinted>2017-12-29T16:21:00Z</cp:lastPrinted>
  <dcterms:created xsi:type="dcterms:W3CDTF">2017-12-28T18:37:00Z</dcterms:created>
  <dcterms:modified xsi:type="dcterms:W3CDTF">2017-12-29T19:03:00Z</dcterms:modified>
</cp:coreProperties>
</file>