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992" w:rsidRPr="004A4716" w:rsidRDefault="00764992" w:rsidP="00764992">
      <w:pPr>
        <w:rPr>
          <w:rFonts w:ascii="Times New Roman" w:hAnsi="Times New Roman" w:cs="Times New Roman"/>
          <w:b/>
          <w:sz w:val="23"/>
          <w:szCs w:val="23"/>
        </w:rPr>
      </w:pPr>
      <w:bookmarkStart w:id="0" w:name="_GoBack"/>
      <w:bookmarkEnd w:id="0"/>
      <w:r w:rsidRPr="004A4716">
        <w:rPr>
          <w:rFonts w:ascii="Times New Roman" w:hAnsi="Times New Roman" w:cs="Times New Roman"/>
          <w:b/>
          <w:sz w:val="23"/>
          <w:szCs w:val="23"/>
        </w:rPr>
        <w:t xml:space="preserve">Louisiana Narrative Report </w:t>
      </w:r>
      <w:r w:rsidR="009B652D" w:rsidRPr="004A4716">
        <w:rPr>
          <w:rFonts w:ascii="Times New Roman" w:hAnsi="Times New Roman" w:cs="Times New Roman"/>
          <w:b/>
          <w:sz w:val="23"/>
          <w:szCs w:val="23"/>
        </w:rPr>
        <w:t>2016-2017</w:t>
      </w:r>
    </w:p>
    <w:p w:rsidR="00764992" w:rsidRPr="004A4716" w:rsidRDefault="00764992" w:rsidP="00764992">
      <w:pPr>
        <w:rPr>
          <w:rFonts w:ascii="Times New Roman" w:hAnsi="Times New Roman" w:cs="Times New Roman"/>
          <w:b/>
          <w:sz w:val="23"/>
          <w:szCs w:val="23"/>
        </w:rPr>
      </w:pPr>
      <w:r w:rsidRPr="004A4716">
        <w:rPr>
          <w:rFonts w:ascii="Times New Roman" w:hAnsi="Times New Roman" w:cs="Times New Roman"/>
          <w:b/>
          <w:sz w:val="23"/>
          <w:szCs w:val="23"/>
        </w:rPr>
        <w:t>Introduction:</w:t>
      </w:r>
    </w:p>
    <w:p w:rsidR="00291C73" w:rsidRPr="004A4716" w:rsidRDefault="00F721CB" w:rsidP="00291C73">
      <w:pPr>
        <w:spacing w:after="0" w:line="240" w:lineRule="auto"/>
        <w:contextualSpacing/>
        <w:rPr>
          <w:rFonts w:ascii="Times New Roman" w:hAnsi="Times New Roman" w:cs="Times New Roman"/>
          <w:sz w:val="23"/>
          <w:szCs w:val="23"/>
        </w:rPr>
      </w:pPr>
      <w:r w:rsidRPr="004A4716">
        <w:rPr>
          <w:rFonts w:ascii="Times New Roman" w:hAnsi="Times New Roman" w:cs="Times New Roman"/>
          <w:bCs/>
          <w:sz w:val="23"/>
          <w:szCs w:val="23"/>
        </w:rPr>
        <w:t xml:space="preserve">The </w:t>
      </w:r>
      <w:r w:rsidR="00733A69" w:rsidRPr="004A4716">
        <w:rPr>
          <w:rFonts w:ascii="Times New Roman" w:eastAsia="Times New Roman" w:hAnsi="Times New Roman" w:cs="Times New Roman"/>
          <w:i/>
          <w:sz w:val="23"/>
          <w:szCs w:val="23"/>
        </w:rPr>
        <w:t xml:space="preserve">WIOA State </w:t>
      </w:r>
      <w:r w:rsidR="0033673B" w:rsidRPr="004A4716">
        <w:rPr>
          <w:rFonts w:ascii="Times New Roman" w:eastAsia="Times New Roman" w:hAnsi="Times New Roman" w:cs="Times New Roman"/>
          <w:i/>
          <w:sz w:val="23"/>
          <w:szCs w:val="23"/>
        </w:rPr>
        <w:t>Plan for the State of Louisiana</w:t>
      </w:r>
      <w:r w:rsidR="00733A69" w:rsidRPr="004A4716">
        <w:rPr>
          <w:rFonts w:ascii="Times New Roman" w:eastAsia="Times New Roman" w:hAnsi="Times New Roman" w:cs="Times New Roman"/>
          <w:sz w:val="23"/>
          <w:szCs w:val="23"/>
        </w:rPr>
        <w:t xml:space="preserve"> is </w:t>
      </w:r>
      <w:r w:rsidR="00733A69" w:rsidRPr="004A4716">
        <w:rPr>
          <w:rFonts w:ascii="Times New Roman" w:hAnsi="Times New Roman" w:cs="Times New Roman"/>
          <w:sz w:val="23"/>
          <w:szCs w:val="23"/>
        </w:rPr>
        <w:t>built on the notion of recasting the expectations of our most important natural resource - our people</w:t>
      </w:r>
      <w:r w:rsidR="00733A69" w:rsidRPr="004A4716">
        <w:rPr>
          <w:rFonts w:ascii="Times New Roman" w:hAnsi="Times New Roman" w:cs="Times New Roman"/>
          <w:bCs/>
          <w:sz w:val="23"/>
          <w:szCs w:val="23"/>
        </w:rPr>
        <w:t xml:space="preserve">.  Louisiana’s comprehensive adult education system will align </w:t>
      </w:r>
      <w:r w:rsidR="00730B7F" w:rsidRPr="004A4716">
        <w:rPr>
          <w:rFonts w:ascii="Times New Roman" w:hAnsi="Times New Roman" w:cs="Times New Roman"/>
          <w:sz w:val="23"/>
          <w:szCs w:val="23"/>
        </w:rPr>
        <w:t>workforce, education and economic development systems to support access to high-quality, comprehensive workforce services for all individuals, including those with significant barriers to employment.</w:t>
      </w:r>
      <w:r w:rsidR="00730B7F" w:rsidRPr="004A4716">
        <w:rPr>
          <w:rFonts w:ascii="Times New Roman" w:hAnsi="Times New Roman" w:cs="Times New Roman"/>
          <w:bCs/>
          <w:sz w:val="23"/>
          <w:szCs w:val="23"/>
        </w:rPr>
        <w:t xml:space="preserve"> </w:t>
      </w:r>
      <w:r w:rsidR="00595E81" w:rsidRPr="004A4716">
        <w:rPr>
          <w:rFonts w:ascii="Times New Roman" w:hAnsi="Times New Roman" w:cs="Times New Roman"/>
          <w:bCs/>
          <w:sz w:val="23"/>
          <w:szCs w:val="23"/>
        </w:rPr>
        <w:t>Partnerships will</w:t>
      </w:r>
      <w:r w:rsidR="00733A69" w:rsidRPr="004A4716">
        <w:rPr>
          <w:rFonts w:ascii="Times New Roman" w:hAnsi="Times New Roman" w:cs="Times New Roman"/>
          <w:bCs/>
          <w:sz w:val="23"/>
          <w:szCs w:val="23"/>
        </w:rPr>
        <w:t xml:space="preserve"> build the foundation for efficient and effective coordination</w:t>
      </w:r>
      <w:r w:rsidR="00595E81" w:rsidRPr="004A4716">
        <w:rPr>
          <w:rFonts w:ascii="Times New Roman" w:hAnsi="Times New Roman" w:cs="Times New Roman"/>
          <w:bCs/>
          <w:sz w:val="23"/>
          <w:szCs w:val="23"/>
        </w:rPr>
        <w:t xml:space="preserve"> of services</w:t>
      </w:r>
      <w:r w:rsidR="00733A69" w:rsidRPr="004A4716">
        <w:rPr>
          <w:rFonts w:ascii="Times New Roman" w:hAnsi="Times New Roman" w:cs="Times New Roman"/>
          <w:bCs/>
          <w:sz w:val="23"/>
          <w:szCs w:val="23"/>
        </w:rPr>
        <w:t xml:space="preserve"> </w:t>
      </w:r>
      <w:r w:rsidR="00ED46C7" w:rsidRPr="004A4716">
        <w:rPr>
          <w:rFonts w:ascii="Times New Roman" w:hAnsi="Times New Roman" w:cs="Times New Roman"/>
          <w:bCs/>
          <w:sz w:val="23"/>
          <w:szCs w:val="23"/>
        </w:rPr>
        <w:t>to</w:t>
      </w:r>
      <w:r w:rsidR="00595E81" w:rsidRPr="004A4716">
        <w:rPr>
          <w:rFonts w:ascii="Times New Roman" w:hAnsi="Times New Roman" w:cs="Times New Roman"/>
          <w:bCs/>
          <w:sz w:val="23"/>
          <w:szCs w:val="23"/>
        </w:rPr>
        <w:t xml:space="preserve"> </w:t>
      </w:r>
      <w:r w:rsidR="00733A69" w:rsidRPr="004A4716">
        <w:rPr>
          <w:rFonts w:ascii="Times New Roman" w:hAnsi="Times New Roman" w:cs="Times New Roman"/>
          <w:bCs/>
          <w:sz w:val="23"/>
          <w:szCs w:val="23"/>
        </w:rPr>
        <w:t>deliver seamless, customer–focused services to</w:t>
      </w:r>
      <w:r w:rsidR="00EA236D" w:rsidRPr="004A4716">
        <w:rPr>
          <w:rFonts w:ascii="Times New Roman" w:hAnsi="Times New Roman" w:cs="Times New Roman"/>
          <w:bCs/>
          <w:sz w:val="23"/>
          <w:szCs w:val="23"/>
        </w:rPr>
        <w:t xml:space="preserve"> prevent duplication of service</w:t>
      </w:r>
      <w:r w:rsidR="00012E61" w:rsidRPr="004A4716">
        <w:rPr>
          <w:rFonts w:ascii="Times New Roman" w:hAnsi="Times New Roman" w:cs="Times New Roman"/>
          <w:bCs/>
          <w:sz w:val="23"/>
          <w:szCs w:val="23"/>
        </w:rPr>
        <w:t xml:space="preserve"> and</w:t>
      </w:r>
      <w:r w:rsidR="00EA236D" w:rsidRPr="004A4716">
        <w:rPr>
          <w:rFonts w:ascii="Times New Roman" w:hAnsi="Times New Roman" w:cs="Times New Roman"/>
          <w:sz w:val="23"/>
          <w:szCs w:val="23"/>
        </w:rPr>
        <w:t xml:space="preserve"> prepare our students with the skills necessary to compete for family sustainable employment and be contributing members in their communities. </w:t>
      </w:r>
    </w:p>
    <w:p w:rsidR="00252968" w:rsidRPr="004A4716" w:rsidRDefault="00252968" w:rsidP="00252968">
      <w:pPr>
        <w:spacing w:after="0" w:line="240" w:lineRule="auto"/>
        <w:contextualSpacing/>
        <w:rPr>
          <w:rFonts w:ascii="Times New Roman" w:hAnsi="Times New Roman" w:cs="Times New Roman"/>
          <w:sz w:val="23"/>
          <w:szCs w:val="23"/>
        </w:rPr>
      </w:pPr>
    </w:p>
    <w:p w:rsidR="00291C73" w:rsidRPr="004A4716" w:rsidRDefault="00ED46C7" w:rsidP="005673CA">
      <w:pPr>
        <w:spacing w:after="0" w:line="240" w:lineRule="auto"/>
        <w:contextualSpacing/>
        <w:rPr>
          <w:rFonts w:ascii="Times New Roman" w:hAnsi="Times New Roman" w:cs="Times New Roman"/>
          <w:sz w:val="23"/>
          <w:szCs w:val="23"/>
        </w:rPr>
      </w:pPr>
      <w:r w:rsidRPr="004A4716">
        <w:rPr>
          <w:rFonts w:ascii="Times New Roman" w:hAnsi="Times New Roman" w:cs="Times New Roman"/>
          <w:sz w:val="23"/>
          <w:szCs w:val="23"/>
        </w:rPr>
        <w:t>I</w:t>
      </w:r>
      <w:r w:rsidR="00252968" w:rsidRPr="004A4716">
        <w:rPr>
          <w:rFonts w:ascii="Times New Roman" w:hAnsi="Times New Roman" w:cs="Times New Roman"/>
          <w:sz w:val="23"/>
          <w:szCs w:val="23"/>
        </w:rPr>
        <w:t xml:space="preserve">n Louisiana, Titles I, III </w:t>
      </w:r>
      <w:r w:rsidRPr="004A4716">
        <w:rPr>
          <w:rFonts w:ascii="Times New Roman" w:hAnsi="Times New Roman" w:cs="Times New Roman"/>
          <w:sz w:val="23"/>
          <w:szCs w:val="23"/>
        </w:rPr>
        <w:t xml:space="preserve">and IV </w:t>
      </w:r>
      <w:r w:rsidR="00252968" w:rsidRPr="004A4716">
        <w:rPr>
          <w:rFonts w:ascii="Times New Roman" w:hAnsi="Times New Roman" w:cs="Times New Roman"/>
          <w:sz w:val="23"/>
          <w:szCs w:val="23"/>
        </w:rPr>
        <w:t>are under the administration of the Louisi</w:t>
      </w:r>
      <w:r w:rsidR="00831DEF" w:rsidRPr="004A4716">
        <w:rPr>
          <w:rFonts w:ascii="Times New Roman" w:hAnsi="Times New Roman" w:cs="Times New Roman"/>
          <w:sz w:val="23"/>
          <w:szCs w:val="23"/>
        </w:rPr>
        <w:t>ana Workforce Commission (LWC) while t</w:t>
      </w:r>
      <w:r w:rsidR="00B135A6" w:rsidRPr="004A4716">
        <w:rPr>
          <w:rFonts w:ascii="Times New Roman" w:hAnsi="Times New Roman" w:cs="Times New Roman"/>
          <w:sz w:val="23"/>
          <w:szCs w:val="23"/>
        </w:rPr>
        <w:t xml:space="preserve">he Louisiana Community and Technical College System (LCTCS) </w:t>
      </w:r>
      <w:r w:rsidR="00831DEF" w:rsidRPr="004A4716">
        <w:rPr>
          <w:rFonts w:ascii="Times New Roman" w:hAnsi="Times New Roman" w:cs="Times New Roman"/>
          <w:sz w:val="23"/>
          <w:szCs w:val="23"/>
        </w:rPr>
        <w:t>is responsible</w:t>
      </w:r>
      <w:r w:rsidR="00B135A6" w:rsidRPr="004A4716">
        <w:rPr>
          <w:rFonts w:ascii="Times New Roman" w:hAnsi="Times New Roman" w:cs="Times New Roman"/>
          <w:sz w:val="23"/>
          <w:szCs w:val="23"/>
        </w:rPr>
        <w:t xml:space="preserve"> for </w:t>
      </w:r>
      <w:r w:rsidR="00831DEF" w:rsidRPr="004A4716">
        <w:rPr>
          <w:rFonts w:ascii="Times New Roman" w:hAnsi="Times New Roman" w:cs="Times New Roman"/>
          <w:sz w:val="23"/>
          <w:szCs w:val="23"/>
        </w:rPr>
        <w:t xml:space="preserve">the administration of </w:t>
      </w:r>
      <w:r w:rsidR="00B135A6" w:rsidRPr="004A4716">
        <w:rPr>
          <w:rFonts w:ascii="Times New Roman" w:hAnsi="Times New Roman" w:cs="Times New Roman"/>
          <w:sz w:val="23"/>
          <w:szCs w:val="23"/>
        </w:rPr>
        <w:t>Title II adult education</w:t>
      </w:r>
      <w:r w:rsidR="00831DEF" w:rsidRPr="004A4716">
        <w:rPr>
          <w:rFonts w:ascii="Times New Roman" w:hAnsi="Times New Roman" w:cs="Times New Roman"/>
          <w:sz w:val="23"/>
          <w:szCs w:val="23"/>
        </w:rPr>
        <w:t xml:space="preserve">.  </w:t>
      </w:r>
      <w:r w:rsidR="00697F12" w:rsidRPr="004A4716">
        <w:rPr>
          <w:rFonts w:ascii="Times New Roman" w:hAnsi="Times New Roman" w:cs="Times New Roman"/>
          <w:sz w:val="23"/>
          <w:szCs w:val="23"/>
        </w:rPr>
        <w:t xml:space="preserve">The </w:t>
      </w:r>
      <w:r w:rsidR="00831DEF" w:rsidRPr="004A4716">
        <w:rPr>
          <w:rFonts w:ascii="Times New Roman" w:hAnsi="Times New Roman" w:cs="Times New Roman"/>
          <w:sz w:val="23"/>
          <w:szCs w:val="23"/>
        </w:rPr>
        <w:t xml:space="preserve">governance </w:t>
      </w:r>
      <w:r w:rsidR="00697F12" w:rsidRPr="004A4716">
        <w:rPr>
          <w:rFonts w:ascii="Times New Roman" w:hAnsi="Times New Roman" w:cs="Times New Roman"/>
          <w:sz w:val="23"/>
          <w:szCs w:val="23"/>
        </w:rPr>
        <w:t>of adult education under LCTCS</w:t>
      </w:r>
      <w:r w:rsidR="00637C39" w:rsidRPr="004A4716">
        <w:rPr>
          <w:rFonts w:ascii="Times New Roman" w:hAnsi="Times New Roman" w:cs="Times New Roman"/>
          <w:sz w:val="23"/>
          <w:szCs w:val="23"/>
        </w:rPr>
        <w:t xml:space="preserve"> </w:t>
      </w:r>
      <w:r w:rsidR="00F721CB" w:rsidRPr="004A4716">
        <w:rPr>
          <w:rFonts w:ascii="Times New Roman" w:hAnsi="Times New Roman" w:cs="Times New Roman"/>
          <w:sz w:val="23"/>
          <w:szCs w:val="23"/>
        </w:rPr>
        <w:t xml:space="preserve">has </w:t>
      </w:r>
      <w:r w:rsidR="00443E2B" w:rsidRPr="004A4716">
        <w:rPr>
          <w:rFonts w:ascii="Times New Roman" w:hAnsi="Times New Roman" w:cs="Times New Roman"/>
          <w:sz w:val="23"/>
          <w:szCs w:val="23"/>
        </w:rPr>
        <w:t xml:space="preserve">maintained </w:t>
      </w:r>
      <w:r w:rsidR="00F721CB" w:rsidRPr="004A4716">
        <w:rPr>
          <w:rFonts w:ascii="Times New Roman" w:hAnsi="Times New Roman" w:cs="Times New Roman"/>
          <w:sz w:val="23"/>
          <w:szCs w:val="23"/>
        </w:rPr>
        <w:t xml:space="preserve">the focus </w:t>
      </w:r>
      <w:r w:rsidR="00443E2B" w:rsidRPr="004A4716">
        <w:rPr>
          <w:rFonts w:ascii="Times New Roman" w:hAnsi="Times New Roman" w:cs="Times New Roman"/>
          <w:sz w:val="23"/>
          <w:szCs w:val="23"/>
        </w:rPr>
        <w:t>of</w:t>
      </w:r>
      <w:r w:rsidR="00F721CB" w:rsidRPr="004A4716">
        <w:rPr>
          <w:rFonts w:ascii="Times New Roman" w:hAnsi="Times New Roman" w:cs="Times New Roman"/>
          <w:sz w:val="23"/>
          <w:szCs w:val="23"/>
        </w:rPr>
        <w:t xml:space="preserve"> </w:t>
      </w:r>
      <w:r w:rsidR="001F78B2" w:rsidRPr="004A4716">
        <w:rPr>
          <w:rFonts w:ascii="Times New Roman" w:hAnsi="Times New Roman" w:cs="Times New Roman"/>
          <w:sz w:val="23"/>
          <w:szCs w:val="23"/>
        </w:rPr>
        <w:t>the adult education delivery model</w:t>
      </w:r>
      <w:r w:rsidR="00443E2B" w:rsidRPr="004A4716">
        <w:rPr>
          <w:rFonts w:ascii="Times New Roman" w:hAnsi="Times New Roman" w:cs="Times New Roman"/>
          <w:sz w:val="23"/>
          <w:szCs w:val="23"/>
        </w:rPr>
        <w:t xml:space="preserve"> to</w:t>
      </w:r>
      <w:r w:rsidR="001F78B2" w:rsidRPr="004A4716">
        <w:rPr>
          <w:rFonts w:ascii="Times New Roman" w:hAnsi="Times New Roman" w:cs="Times New Roman"/>
          <w:sz w:val="23"/>
          <w:szCs w:val="23"/>
        </w:rPr>
        <w:t xml:space="preserve"> </w:t>
      </w:r>
      <w:r w:rsidR="00443E2B" w:rsidRPr="004A4716">
        <w:rPr>
          <w:rFonts w:ascii="Times New Roman" w:hAnsi="Times New Roman" w:cs="Times New Roman"/>
          <w:sz w:val="23"/>
          <w:szCs w:val="23"/>
        </w:rPr>
        <w:t>serve eligible</w:t>
      </w:r>
      <w:r w:rsidR="00637C39" w:rsidRPr="004A4716">
        <w:rPr>
          <w:rFonts w:ascii="Times New Roman" w:hAnsi="Times New Roman" w:cs="Times New Roman"/>
          <w:sz w:val="23"/>
          <w:szCs w:val="23"/>
        </w:rPr>
        <w:t xml:space="preserve"> </w:t>
      </w:r>
      <w:r w:rsidR="001F78B2" w:rsidRPr="004A4716">
        <w:rPr>
          <w:rFonts w:ascii="Times New Roman" w:hAnsi="Times New Roman" w:cs="Times New Roman"/>
          <w:sz w:val="23"/>
          <w:szCs w:val="23"/>
        </w:rPr>
        <w:t>adults</w:t>
      </w:r>
      <w:r w:rsidR="00637C39" w:rsidRPr="004A4716">
        <w:rPr>
          <w:rFonts w:ascii="Times New Roman" w:hAnsi="Times New Roman" w:cs="Times New Roman"/>
          <w:sz w:val="23"/>
          <w:szCs w:val="23"/>
        </w:rPr>
        <w:t xml:space="preserve"> </w:t>
      </w:r>
      <w:r w:rsidR="00547BA7" w:rsidRPr="004A4716">
        <w:rPr>
          <w:rFonts w:ascii="Times New Roman" w:hAnsi="Times New Roman" w:cs="Times New Roman"/>
          <w:sz w:val="23"/>
          <w:szCs w:val="23"/>
        </w:rPr>
        <w:t>but encouraged</w:t>
      </w:r>
      <w:r w:rsidR="004A6C31" w:rsidRPr="004A4716">
        <w:rPr>
          <w:rFonts w:ascii="Times New Roman" w:hAnsi="Times New Roman" w:cs="Times New Roman"/>
          <w:sz w:val="23"/>
          <w:szCs w:val="23"/>
        </w:rPr>
        <w:t xml:space="preserve"> the K-12</w:t>
      </w:r>
      <w:r w:rsidR="00637C39" w:rsidRPr="004A4716">
        <w:rPr>
          <w:rFonts w:ascii="Times New Roman" w:hAnsi="Times New Roman" w:cs="Times New Roman"/>
          <w:sz w:val="23"/>
          <w:szCs w:val="23"/>
        </w:rPr>
        <w:t xml:space="preserve"> system</w:t>
      </w:r>
      <w:r w:rsidR="00443E2B" w:rsidRPr="004A4716">
        <w:rPr>
          <w:rFonts w:ascii="Times New Roman" w:hAnsi="Times New Roman" w:cs="Times New Roman"/>
          <w:sz w:val="23"/>
          <w:szCs w:val="23"/>
        </w:rPr>
        <w:t xml:space="preserve"> to focus on </w:t>
      </w:r>
      <w:r w:rsidR="0003241C" w:rsidRPr="004A4716">
        <w:rPr>
          <w:rFonts w:ascii="Times New Roman" w:hAnsi="Times New Roman" w:cs="Times New Roman"/>
          <w:sz w:val="23"/>
          <w:szCs w:val="23"/>
        </w:rPr>
        <w:t xml:space="preserve">providing educational services to </w:t>
      </w:r>
      <w:r w:rsidR="00443E2B" w:rsidRPr="004A4716">
        <w:rPr>
          <w:rFonts w:ascii="Times New Roman" w:hAnsi="Times New Roman" w:cs="Times New Roman"/>
          <w:sz w:val="23"/>
          <w:szCs w:val="23"/>
        </w:rPr>
        <w:t>minors</w:t>
      </w:r>
      <w:r w:rsidR="00637C39" w:rsidRPr="004A4716">
        <w:rPr>
          <w:rFonts w:ascii="Times New Roman" w:hAnsi="Times New Roman" w:cs="Times New Roman"/>
          <w:sz w:val="23"/>
          <w:szCs w:val="23"/>
        </w:rPr>
        <w:t>.  During the fiscal year, 1 in 5 Adul</w:t>
      </w:r>
      <w:r w:rsidR="005E7249" w:rsidRPr="004A4716">
        <w:rPr>
          <w:rFonts w:ascii="Times New Roman" w:hAnsi="Times New Roman" w:cs="Times New Roman"/>
          <w:sz w:val="23"/>
          <w:szCs w:val="23"/>
        </w:rPr>
        <w:t xml:space="preserve">t Basic Education (ABE) students served were </w:t>
      </w:r>
      <w:r w:rsidR="00637C39" w:rsidRPr="004A4716">
        <w:rPr>
          <w:rFonts w:ascii="Times New Roman" w:hAnsi="Times New Roman" w:cs="Times New Roman"/>
          <w:sz w:val="23"/>
          <w:szCs w:val="23"/>
        </w:rPr>
        <w:t xml:space="preserve">under 19 years of age (NRS Table 3) compared to </w:t>
      </w:r>
      <w:r w:rsidR="00547BA7" w:rsidRPr="004A4716">
        <w:rPr>
          <w:rFonts w:ascii="Times New Roman" w:hAnsi="Times New Roman" w:cs="Times New Roman"/>
          <w:sz w:val="23"/>
          <w:szCs w:val="23"/>
        </w:rPr>
        <w:t xml:space="preserve">previous </w:t>
      </w:r>
      <w:r w:rsidR="00AB1B86" w:rsidRPr="004A4716">
        <w:rPr>
          <w:rFonts w:ascii="Times New Roman" w:hAnsi="Times New Roman" w:cs="Times New Roman"/>
          <w:sz w:val="23"/>
          <w:szCs w:val="23"/>
        </w:rPr>
        <w:t>years</w:t>
      </w:r>
      <w:r w:rsidR="00547BA7" w:rsidRPr="004A4716">
        <w:rPr>
          <w:rFonts w:ascii="Times New Roman" w:hAnsi="Times New Roman" w:cs="Times New Roman"/>
          <w:sz w:val="23"/>
          <w:szCs w:val="23"/>
        </w:rPr>
        <w:t xml:space="preserve"> where </w:t>
      </w:r>
      <w:r w:rsidR="00637C39" w:rsidRPr="004A4716">
        <w:rPr>
          <w:rFonts w:ascii="Times New Roman" w:hAnsi="Times New Roman" w:cs="Times New Roman"/>
          <w:sz w:val="23"/>
          <w:szCs w:val="23"/>
        </w:rPr>
        <w:t>1 in 4 studen</w:t>
      </w:r>
      <w:r w:rsidR="00547BA7" w:rsidRPr="004A4716">
        <w:rPr>
          <w:rFonts w:ascii="Times New Roman" w:hAnsi="Times New Roman" w:cs="Times New Roman"/>
          <w:sz w:val="23"/>
          <w:szCs w:val="23"/>
        </w:rPr>
        <w:t>ts under 19 years of age were served in adult education</w:t>
      </w:r>
      <w:r w:rsidR="00637C39" w:rsidRPr="004A4716">
        <w:rPr>
          <w:rFonts w:ascii="Times New Roman" w:hAnsi="Times New Roman" w:cs="Times New Roman"/>
          <w:sz w:val="23"/>
          <w:szCs w:val="23"/>
        </w:rPr>
        <w:t xml:space="preserve">.  </w:t>
      </w:r>
    </w:p>
    <w:p w:rsidR="005673CA" w:rsidRPr="004A4716" w:rsidRDefault="005673CA" w:rsidP="005673CA">
      <w:pPr>
        <w:spacing w:after="0" w:line="240" w:lineRule="auto"/>
        <w:contextualSpacing/>
        <w:rPr>
          <w:rFonts w:ascii="Times New Roman" w:hAnsi="Times New Roman" w:cs="Times New Roman"/>
          <w:sz w:val="23"/>
          <w:szCs w:val="23"/>
        </w:rPr>
      </w:pPr>
    </w:p>
    <w:p w:rsidR="00764992" w:rsidRPr="004A4716" w:rsidRDefault="0084047C" w:rsidP="00764992">
      <w:pPr>
        <w:rPr>
          <w:rFonts w:ascii="Times New Roman" w:hAnsi="Times New Roman" w:cs="Times New Roman"/>
          <w:sz w:val="23"/>
          <w:szCs w:val="23"/>
        </w:rPr>
      </w:pPr>
      <w:r w:rsidRPr="004A4716">
        <w:rPr>
          <w:rFonts w:ascii="Times New Roman" w:hAnsi="Times New Roman" w:cs="Times New Roman"/>
          <w:sz w:val="23"/>
          <w:szCs w:val="23"/>
        </w:rPr>
        <w:t>Louisiana’s</w:t>
      </w:r>
      <w:r w:rsidR="00764992" w:rsidRPr="004A4716">
        <w:rPr>
          <w:rFonts w:ascii="Times New Roman" w:hAnsi="Times New Roman" w:cs="Times New Roman"/>
          <w:sz w:val="23"/>
          <w:szCs w:val="23"/>
        </w:rPr>
        <w:t xml:space="preserve"> newly elected Governor</w:t>
      </w:r>
      <w:r w:rsidRPr="004A4716">
        <w:rPr>
          <w:rFonts w:ascii="Times New Roman" w:hAnsi="Times New Roman" w:cs="Times New Roman"/>
          <w:sz w:val="23"/>
          <w:szCs w:val="23"/>
        </w:rPr>
        <w:t xml:space="preserve"> </w:t>
      </w:r>
      <w:r w:rsidR="00764992" w:rsidRPr="004A4716">
        <w:rPr>
          <w:rFonts w:ascii="Times New Roman" w:hAnsi="Times New Roman" w:cs="Times New Roman"/>
          <w:sz w:val="23"/>
          <w:szCs w:val="23"/>
        </w:rPr>
        <w:t>John Bel Edwards</w:t>
      </w:r>
      <w:r w:rsidR="00167FE8" w:rsidRPr="004A4716">
        <w:rPr>
          <w:rFonts w:ascii="Times New Roman" w:hAnsi="Times New Roman" w:cs="Times New Roman"/>
          <w:sz w:val="23"/>
          <w:szCs w:val="23"/>
        </w:rPr>
        <w:t xml:space="preserve"> </w:t>
      </w:r>
      <w:r w:rsidRPr="004A4716">
        <w:rPr>
          <w:rFonts w:ascii="Times New Roman" w:hAnsi="Times New Roman" w:cs="Times New Roman"/>
          <w:sz w:val="23"/>
          <w:szCs w:val="23"/>
        </w:rPr>
        <w:t xml:space="preserve">changed </w:t>
      </w:r>
      <w:r w:rsidR="00764992" w:rsidRPr="004A4716">
        <w:rPr>
          <w:rFonts w:ascii="Times New Roman" w:hAnsi="Times New Roman" w:cs="Times New Roman"/>
          <w:sz w:val="23"/>
          <w:szCs w:val="23"/>
        </w:rPr>
        <w:t xml:space="preserve">several key cabinet appointments </w:t>
      </w:r>
      <w:r w:rsidRPr="004A4716">
        <w:rPr>
          <w:rFonts w:ascii="Times New Roman" w:hAnsi="Times New Roman" w:cs="Times New Roman"/>
          <w:sz w:val="23"/>
          <w:szCs w:val="23"/>
        </w:rPr>
        <w:t xml:space="preserve">within </w:t>
      </w:r>
      <w:r w:rsidR="00764992" w:rsidRPr="004A4716">
        <w:rPr>
          <w:rFonts w:ascii="Times New Roman" w:hAnsi="Times New Roman" w:cs="Times New Roman"/>
          <w:sz w:val="23"/>
          <w:szCs w:val="23"/>
        </w:rPr>
        <w:t>his administration</w:t>
      </w:r>
      <w:r w:rsidR="00BC089D" w:rsidRPr="004A4716">
        <w:rPr>
          <w:rFonts w:ascii="Times New Roman" w:hAnsi="Times New Roman" w:cs="Times New Roman"/>
          <w:sz w:val="23"/>
          <w:szCs w:val="23"/>
        </w:rPr>
        <w:t>.</w:t>
      </w:r>
      <w:r w:rsidRPr="004A4716">
        <w:rPr>
          <w:rFonts w:ascii="Times New Roman" w:hAnsi="Times New Roman" w:cs="Times New Roman"/>
          <w:sz w:val="23"/>
          <w:szCs w:val="23"/>
        </w:rPr>
        <w:t xml:space="preserve"> </w:t>
      </w:r>
      <w:r w:rsidR="00BC089D" w:rsidRPr="004A4716">
        <w:rPr>
          <w:rFonts w:ascii="Times New Roman" w:hAnsi="Times New Roman" w:cs="Times New Roman"/>
          <w:sz w:val="23"/>
          <w:szCs w:val="23"/>
        </w:rPr>
        <w:t>T</w:t>
      </w:r>
      <w:r w:rsidR="00764992" w:rsidRPr="004A4716">
        <w:rPr>
          <w:rFonts w:ascii="Times New Roman" w:hAnsi="Times New Roman" w:cs="Times New Roman"/>
          <w:sz w:val="23"/>
          <w:szCs w:val="23"/>
        </w:rPr>
        <w:t xml:space="preserve">he </w:t>
      </w:r>
      <w:r w:rsidRPr="004A4716">
        <w:rPr>
          <w:rFonts w:ascii="Times New Roman" w:hAnsi="Times New Roman" w:cs="Times New Roman"/>
          <w:sz w:val="23"/>
          <w:szCs w:val="23"/>
        </w:rPr>
        <w:t>change of the Louisiana Workforce Commission</w:t>
      </w:r>
      <w:r w:rsidR="00167FE8" w:rsidRPr="004A4716">
        <w:rPr>
          <w:rFonts w:ascii="Times New Roman" w:hAnsi="Times New Roman" w:cs="Times New Roman"/>
          <w:sz w:val="23"/>
          <w:szCs w:val="23"/>
        </w:rPr>
        <w:t>’s Executive Director was</w:t>
      </w:r>
      <w:r w:rsidR="00A93CF2" w:rsidRPr="004A4716">
        <w:rPr>
          <w:rFonts w:ascii="Times New Roman" w:hAnsi="Times New Roman" w:cs="Times New Roman"/>
          <w:sz w:val="23"/>
          <w:szCs w:val="23"/>
        </w:rPr>
        <w:t xml:space="preserve"> the most challenging in regards to the shift in the workforce development vision and </w:t>
      </w:r>
      <w:r w:rsidR="005673CA" w:rsidRPr="004A4716">
        <w:rPr>
          <w:rFonts w:ascii="Times New Roman" w:hAnsi="Times New Roman" w:cs="Times New Roman"/>
          <w:sz w:val="23"/>
          <w:szCs w:val="23"/>
        </w:rPr>
        <w:t xml:space="preserve">in the </w:t>
      </w:r>
      <w:r w:rsidR="00A93CF2" w:rsidRPr="004A4716">
        <w:rPr>
          <w:rFonts w:ascii="Times New Roman" w:hAnsi="Times New Roman" w:cs="Times New Roman"/>
          <w:sz w:val="23"/>
          <w:szCs w:val="23"/>
        </w:rPr>
        <w:t>state-level staff partnerships that had developed since the inception of Workforce Innovation and Opportunity Act (WIOA</w:t>
      </w:r>
      <w:r w:rsidR="001D45FA" w:rsidRPr="004A4716">
        <w:rPr>
          <w:rFonts w:ascii="Times New Roman" w:hAnsi="Times New Roman" w:cs="Times New Roman"/>
          <w:sz w:val="23"/>
          <w:szCs w:val="23"/>
        </w:rPr>
        <w:t>) in</w:t>
      </w:r>
      <w:r w:rsidR="00A93CF2" w:rsidRPr="004A4716">
        <w:rPr>
          <w:rFonts w:ascii="Times New Roman" w:hAnsi="Times New Roman" w:cs="Times New Roman"/>
          <w:sz w:val="23"/>
          <w:szCs w:val="23"/>
        </w:rPr>
        <w:t xml:space="preserve"> 2014.  </w:t>
      </w:r>
      <w:r w:rsidR="00764992" w:rsidRPr="004A4716">
        <w:rPr>
          <w:rFonts w:ascii="Times New Roman" w:hAnsi="Times New Roman" w:cs="Times New Roman"/>
          <w:sz w:val="23"/>
          <w:szCs w:val="23"/>
        </w:rPr>
        <w:t>During th</w:t>
      </w:r>
      <w:r w:rsidR="00A93CF2" w:rsidRPr="004A4716">
        <w:rPr>
          <w:rFonts w:ascii="Times New Roman" w:hAnsi="Times New Roman" w:cs="Times New Roman"/>
          <w:sz w:val="23"/>
          <w:szCs w:val="23"/>
        </w:rPr>
        <w:t>e high-level transition</w:t>
      </w:r>
      <w:r w:rsidR="00764992" w:rsidRPr="004A4716">
        <w:rPr>
          <w:rFonts w:ascii="Times New Roman" w:hAnsi="Times New Roman" w:cs="Times New Roman"/>
          <w:sz w:val="23"/>
          <w:szCs w:val="23"/>
        </w:rPr>
        <w:t xml:space="preserve">, all mandatory partners worked diligently to compose </w:t>
      </w:r>
      <w:r w:rsidR="006234C2" w:rsidRPr="004A4716">
        <w:rPr>
          <w:rFonts w:ascii="Times New Roman" w:hAnsi="Times New Roman" w:cs="Times New Roman"/>
          <w:sz w:val="23"/>
          <w:szCs w:val="23"/>
        </w:rPr>
        <w:t xml:space="preserve">the framework and content for Louisiana’s plan under WIOA. </w:t>
      </w:r>
      <w:r w:rsidR="00764992" w:rsidRPr="004A4716">
        <w:rPr>
          <w:rFonts w:ascii="Times New Roman" w:hAnsi="Times New Roman" w:cs="Times New Roman"/>
          <w:sz w:val="23"/>
          <w:szCs w:val="23"/>
        </w:rPr>
        <w:t>The result was a comprehensive workforce training blueprint that recognizes each partnering agency’s role and scope in an attempt to realize the intent of the WIOA law – a comprehensive training system that reduces duplication of programming and increases quality of services to Louisianans. In this time</w:t>
      </w:r>
      <w:r w:rsidR="001728CB" w:rsidRPr="004A4716">
        <w:rPr>
          <w:rFonts w:ascii="Times New Roman" w:hAnsi="Times New Roman" w:cs="Times New Roman"/>
          <w:sz w:val="23"/>
          <w:szCs w:val="23"/>
        </w:rPr>
        <w:t>,</w:t>
      </w:r>
      <w:r w:rsidR="00764992" w:rsidRPr="004A4716">
        <w:rPr>
          <w:rFonts w:ascii="Times New Roman" w:hAnsi="Times New Roman" w:cs="Times New Roman"/>
          <w:sz w:val="23"/>
          <w:szCs w:val="23"/>
        </w:rPr>
        <w:t xml:space="preserve"> Louisiana also faced unprecedented fiscal pressures of state budget shortfall.</w:t>
      </w:r>
    </w:p>
    <w:p w:rsidR="00764992" w:rsidRPr="004A4716" w:rsidRDefault="00A93CF2" w:rsidP="00764992">
      <w:pPr>
        <w:rPr>
          <w:rFonts w:ascii="Times New Roman" w:hAnsi="Times New Roman" w:cs="Times New Roman"/>
          <w:sz w:val="23"/>
          <w:szCs w:val="23"/>
        </w:rPr>
      </w:pPr>
      <w:r w:rsidRPr="004A4716">
        <w:rPr>
          <w:rFonts w:ascii="Times New Roman" w:hAnsi="Times New Roman" w:cs="Times New Roman"/>
          <w:sz w:val="23"/>
          <w:szCs w:val="23"/>
        </w:rPr>
        <w:t>Amid</w:t>
      </w:r>
      <w:r w:rsidR="00764992" w:rsidRPr="004A4716">
        <w:rPr>
          <w:rFonts w:ascii="Times New Roman" w:hAnsi="Times New Roman" w:cs="Times New Roman"/>
          <w:sz w:val="23"/>
          <w:szCs w:val="23"/>
        </w:rPr>
        <w:t xml:space="preserve"> the state’s budget crisis</w:t>
      </w:r>
      <w:r w:rsidRPr="004A4716">
        <w:rPr>
          <w:rFonts w:ascii="Times New Roman" w:hAnsi="Times New Roman" w:cs="Times New Roman"/>
          <w:sz w:val="23"/>
          <w:szCs w:val="23"/>
        </w:rPr>
        <w:t xml:space="preserve">, </w:t>
      </w:r>
      <w:r w:rsidR="00764992" w:rsidRPr="004A4716">
        <w:rPr>
          <w:rFonts w:ascii="Times New Roman" w:hAnsi="Times New Roman" w:cs="Times New Roman"/>
          <w:sz w:val="23"/>
          <w:szCs w:val="23"/>
        </w:rPr>
        <w:t xml:space="preserve">possible mid-year budget cuts </w:t>
      </w:r>
      <w:r w:rsidR="00000C2C" w:rsidRPr="004A4716">
        <w:rPr>
          <w:rFonts w:ascii="Times New Roman" w:hAnsi="Times New Roman" w:cs="Times New Roman"/>
          <w:sz w:val="23"/>
          <w:szCs w:val="23"/>
        </w:rPr>
        <w:t>were announced.</w:t>
      </w:r>
      <w:r w:rsidR="00764992" w:rsidRPr="004A4716">
        <w:rPr>
          <w:rFonts w:ascii="Times New Roman" w:hAnsi="Times New Roman" w:cs="Times New Roman"/>
          <w:sz w:val="23"/>
          <w:szCs w:val="23"/>
        </w:rPr>
        <w:t xml:space="preserve">  Fortunately, higher education, which includes adult education, was not cut as severely as anticipated.  Louisiana’s adult education community learned a valuable lesson in communicating the return-on-investment of programs like WRU.</w:t>
      </w:r>
    </w:p>
    <w:p w:rsidR="00764992" w:rsidRPr="004A4716" w:rsidRDefault="00A0280C" w:rsidP="00764992">
      <w:pPr>
        <w:rPr>
          <w:rFonts w:ascii="Times New Roman" w:hAnsi="Times New Roman" w:cs="Times New Roman"/>
          <w:sz w:val="23"/>
          <w:szCs w:val="23"/>
        </w:rPr>
      </w:pPr>
      <w:r w:rsidRPr="004A4716">
        <w:rPr>
          <w:rFonts w:ascii="Times New Roman" w:hAnsi="Times New Roman" w:cs="Times New Roman"/>
          <w:sz w:val="23"/>
          <w:szCs w:val="23"/>
        </w:rPr>
        <w:t xml:space="preserve">During fiscal year 2016-2017, adult education continued to operate under Workforce Investment Act (WIA) authority </w:t>
      </w:r>
      <w:r w:rsidR="00764992" w:rsidRPr="004A4716">
        <w:rPr>
          <w:rFonts w:ascii="Times New Roman" w:hAnsi="Times New Roman" w:cs="Times New Roman"/>
          <w:sz w:val="23"/>
          <w:szCs w:val="23"/>
        </w:rPr>
        <w:t xml:space="preserve">which allowed the established provider network to strengthen and expand services throughout the state as we began the journey of transitioning to WIOA activities. Comprehensive foundational services provided the opportunity for individuals to move toward self-sufficiency by providing high quality basic skills instruction, secondary credential attainment, and transitional services that lead to a seamless matriculation to post-secondary enrollment, technical skill mastery, and industry recognized credentialing resulting in family sustainable employment. Statewide enrollment for FY </w:t>
      </w:r>
      <w:r w:rsidR="009B652D" w:rsidRPr="004A4716">
        <w:rPr>
          <w:rFonts w:ascii="Times New Roman" w:hAnsi="Times New Roman" w:cs="Times New Roman"/>
          <w:sz w:val="23"/>
          <w:szCs w:val="23"/>
        </w:rPr>
        <w:t xml:space="preserve">2016-2017 </w:t>
      </w:r>
      <w:r w:rsidR="00764992" w:rsidRPr="004A4716">
        <w:rPr>
          <w:rFonts w:ascii="Times New Roman" w:hAnsi="Times New Roman" w:cs="Times New Roman"/>
          <w:sz w:val="23"/>
          <w:szCs w:val="23"/>
        </w:rPr>
        <w:t xml:space="preserve">increased by </w:t>
      </w:r>
      <w:r w:rsidR="00000C2C" w:rsidRPr="004A4716">
        <w:rPr>
          <w:rFonts w:ascii="Times New Roman" w:hAnsi="Times New Roman" w:cs="Times New Roman"/>
          <w:sz w:val="23"/>
          <w:szCs w:val="23"/>
        </w:rPr>
        <w:t xml:space="preserve">13.8% </w:t>
      </w:r>
      <w:r w:rsidR="00764992" w:rsidRPr="004A4716">
        <w:rPr>
          <w:rFonts w:ascii="Times New Roman" w:hAnsi="Times New Roman" w:cs="Times New Roman"/>
          <w:sz w:val="23"/>
          <w:szCs w:val="23"/>
        </w:rPr>
        <w:t xml:space="preserve">with overall performance increasing </w:t>
      </w:r>
      <w:r w:rsidR="00FE59BD" w:rsidRPr="004A4716">
        <w:rPr>
          <w:rFonts w:ascii="Times New Roman" w:hAnsi="Times New Roman" w:cs="Times New Roman"/>
          <w:sz w:val="23"/>
          <w:szCs w:val="23"/>
        </w:rPr>
        <w:t xml:space="preserve">to </w:t>
      </w:r>
      <w:r w:rsidR="002D7067" w:rsidRPr="004A4716">
        <w:rPr>
          <w:rFonts w:ascii="Times New Roman" w:hAnsi="Times New Roman" w:cs="Times New Roman"/>
          <w:sz w:val="23"/>
          <w:szCs w:val="23"/>
        </w:rPr>
        <w:t xml:space="preserve">50.1% </w:t>
      </w:r>
      <w:r w:rsidR="00FE59BD" w:rsidRPr="004A4716">
        <w:rPr>
          <w:rFonts w:ascii="Times New Roman" w:hAnsi="Times New Roman" w:cs="Times New Roman"/>
          <w:sz w:val="23"/>
          <w:szCs w:val="23"/>
        </w:rPr>
        <w:t xml:space="preserve"> </w:t>
      </w:r>
      <w:r w:rsidR="00764992" w:rsidRPr="004A4716">
        <w:rPr>
          <w:rFonts w:ascii="Times New Roman" w:hAnsi="Times New Roman" w:cs="Times New Roman"/>
          <w:sz w:val="23"/>
          <w:szCs w:val="23"/>
        </w:rPr>
        <w:t xml:space="preserve">for students completing a level </w:t>
      </w:r>
      <w:r w:rsidR="000E08F6" w:rsidRPr="004A4716">
        <w:rPr>
          <w:rFonts w:ascii="Times New Roman" w:hAnsi="Times New Roman" w:cs="Times New Roman"/>
          <w:sz w:val="23"/>
          <w:szCs w:val="23"/>
        </w:rPr>
        <w:t xml:space="preserve">which is an increase of 2.4% over the previous fiscal year </w:t>
      </w:r>
      <w:r w:rsidR="00764992" w:rsidRPr="004A4716">
        <w:rPr>
          <w:rFonts w:ascii="Times New Roman" w:hAnsi="Times New Roman" w:cs="Times New Roman"/>
          <w:sz w:val="23"/>
          <w:szCs w:val="23"/>
        </w:rPr>
        <w:t xml:space="preserve">(NRS Table 4). Performance increases can be attributed to the establishment of WRU 2020 (Louisiana, Title II, five year strategic plan) that outlined enrollment priorities, a focused professional development plan, targeted technical assistance, and a better understanding and effective application of the College and Career Readiness (CCR) </w:t>
      </w:r>
      <w:r w:rsidR="00764992" w:rsidRPr="004A4716">
        <w:rPr>
          <w:rFonts w:ascii="Times New Roman" w:hAnsi="Times New Roman" w:cs="Times New Roman"/>
          <w:sz w:val="23"/>
          <w:szCs w:val="23"/>
        </w:rPr>
        <w:lastRenderedPageBreak/>
        <w:t>standards. Capability and familiarity with the WRU data management system also contributed to local programs being able to better use data to make decisions.</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A commitment by the LCTCS and its W</w:t>
      </w:r>
      <w:r w:rsidR="00C80932" w:rsidRPr="004A4716">
        <w:rPr>
          <w:rFonts w:ascii="Times New Roman" w:hAnsi="Times New Roman" w:cs="Times New Roman"/>
          <w:sz w:val="23"/>
          <w:szCs w:val="23"/>
        </w:rPr>
        <w:t>R</w:t>
      </w:r>
      <w:r w:rsidRPr="004A4716">
        <w:rPr>
          <w:rFonts w:ascii="Times New Roman" w:hAnsi="Times New Roman" w:cs="Times New Roman"/>
          <w:sz w:val="23"/>
          <w:szCs w:val="23"/>
        </w:rPr>
        <w:t xml:space="preserve">U provider network to deliver quality adult education and literacy services that are research-based best practices to the citizens of Louisiana remains strong as </w:t>
      </w:r>
      <w:r w:rsidR="00C80932" w:rsidRPr="004A4716">
        <w:rPr>
          <w:rFonts w:ascii="Times New Roman" w:hAnsi="Times New Roman" w:cs="Times New Roman"/>
          <w:sz w:val="23"/>
          <w:szCs w:val="23"/>
        </w:rPr>
        <w:t>demonstrated by</w:t>
      </w:r>
      <w:r w:rsidRPr="004A4716">
        <w:rPr>
          <w:rFonts w:ascii="Times New Roman" w:hAnsi="Times New Roman" w:cs="Times New Roman"/>
          <w:sz w:val="23"/>
          <w:szCs w:val="23"/>
        </w:rPr>
        <w:t xml:space="preserve"> significant improvement of measurable skill gains (MSG) in all National Reporting System (NRS) recognized categories. A concentrated commitment to improve performance and exceed national averages is further </w:t>
      </w:r>
      <w:r w:rsidR="00C80932" w:rsidRPr="004A4716">
        <w:rPr>
          <w:rFonts w:ascii="Times New Roman" w:hAnsi="Times New Roman" w:cs="Times New Roman"/>
          <w:sz w:val="23"/>
          <w:szCs w:val="23"/>
        </w:rPr>
        <w:t xml:space="preserve">demonstrated </w:t>
      </w:r>
      <w:r w:rsidRPr="004A4716">
        <w:rPr>
          <w:rFonts w:ascii="Times New Roman" w:hAnsi="Times New Roman" w:cs="Times New Roman"/>
          <w:sz w:val="23"/>
          <w:szCs w:val="23"/>
        </w:rPr>
        <w:t xml:space="preserve">in Louisiana’s academic performance data showing that </w:t>
      </w:r>
      <w:r w:rsidR="002D7067" w:rsidRPr="004A4716">
        <w:rPr>
          <w:rFonts w:ascii="Times New Roman" w:hAnsi="Times New Roman" w:cs="Times New Roman"/>
          <w:sz w:val="23"/>
          <w:szCs w:val="23"/>
        </w:rPr>
        <w:t xml:space="preserve">78.1% </w:t>
      </w:r>
      <w:r w:rsidRPr="004A4716">
        <w:rPr>
          <w:rFonts w:ascii="Times New Roman" w:hAnsi="Times New Roman" w:cs="Times New Roman"/>
          <w:sz w:val="23"/>
          <w:szCs w:val="23"/>
        </w:rPr>
        <w:t xml:space="preserve">of the students post-tested completed an educational functioning level (EFL) on NRS Table 4B. </w:t>
      </w:r>
    </w:p>
    <w:p w:rsidR="00872861" w:rsidRPr="004A4716" w:rsidRDefault="006114A7" w:rsidP="00335F38">
      <w:pPr>
        <w:spacing w:after="0" w:line="240" w:lineRule="auto"/>
        <w:contextualSpacing/>
        <w:rPr>
          <w:rFonts w:ascii="Times New Roman" w:hAnsi="Times New Roman" w:cs="Times New Roman"/>
          <w:sz w:val="23"/>
          <w:szCs w:val="23"/>
        </w:rPr>
      </w:pPr>
      <w:r w:rsidRPr="004A4716">
        <w:rPr>
          <w:rFonts w:ascii="Times New Roman" w:hAnsi="Times New Roman" w:cs="Times New Roman"/>
          <w:sz w:val="23"/>
          <w:szCs w:val="23"/>
        </w:rPr>
        <w:t xml:space="preserve">In March 2017, </w:t>
      </w:r>
      <w:r w:rsidR="00335F38" w:rsidRPr="004A4716">
        <w:rPr>
          <w:rFonts w:ascii="Times New Roman" w:hAnsi="Times New Roman" w:cs="Times New Roman"/>
          <w:sz w:val="23"/>
          <w:szCs w:val="23"/>
        </w:rPr>
        <w:t xml:space="preserve">Louisiana Community and Technical College System (LCTCS), </w:t>
      </w:r>
      <w:proofErr w:type="spellStart"/>
      <w:r w:rsidR="00335F38" w:rsidRPr="004A4716">
        <w:rPr>
          <w:rFonts w:ascii="Times New Roman" w:hAnsi="Times New Roman" w:cs="Times New Roman"/>
          <w:sz w:val="23"/>
          <w:szCs w:val="23"/>
        </w:rPr>
        <w:t>WorkReady</w:t>
      </w:r>
      <w:proofErr w:type="spellEnd"/>
      <w:r w:rsidR="00335F38" w:rsidRPr="004A4716">
        <w:rPr>
          <w:rFonts w:ascii="Times New Roman" w:hAnsi="Times New Roman" w:cs="Times New Roman"/>
          <w:sz w:val="23"/>
          <w:szCs w:val="23"/>
        </w:rPr>
        <w:t xml:space="preserve"> U (WRU) </w:t>
      </w:r>
      <w:r w:rsidRPr="004A4716">
        <w:rPr>
          <w:rFonts w:ascii="Times New Roman" w:hAnsi="Times New Roman" w:cs="Times New Roman"/>
          <w:sz w:val="23"/>
          <w:szCs w:val="23"/>
        </w:rPr>
        <w:t>released</w:t>
      </w:r>
      <w:r w:rsidR="00335F38" w:rsidRPr="004A4716">
        <w:rPr>
          <w:rFonts w:ascii="Times New Roman" w:hAnsi="Times New Roman" w:cs="Times New Roman"/>
          <w:sz w:val="23"/>
          <w:szCs w:val="23"/>
        </w:rPr>
        <w:t xml:space="preserve"> a competiti</w:t>
      </w:r>
      <w:r w:rsidR="00064110" w:rsidRPr="004A4716">
        <w:rPr>
          <w:rFonts w:ascii="Times New Roman" w:hAnsi="Times New Roman" w:cs="Times New Roman"/>
          <w:sz w:val="23"/>
          <w:szCs w:val="23"/>
        </w:rPr>
        <w:t>ve Request for Proposal (RFP), grant a</w:t>
      </w:r>
      <w:r w:rsidR="00335F38" w:rsidRPr="004A4716">
        <w:rPr>
          <w:rFonts w:ascii="Times New Roman" w:hAnsi="Times New Roman" w:cs="Times New Roman"/>
          <w:sz w:val="23"/>
          <w:szCs w:val="23"/>
        </w:rPr>
        <w:t>pplication, to award multi-year funding to eligible agencies through the Workforce Innovation and Opportunity Act of 2014: Title II; the Adult Education and Family Literacy Act (AEFLA) and State Adu</w:t>
      </w:r>
      <w:r w:rsidR="00392B08" w:rsidRPr="004A4716">
        <w:rPr>
          <w:rFonts w:ascii="Times New Roman" w:hAnsi="Times New Roman" w:cs="Times New Roman"/>
          <w:sz w:val="23"/>
          <w:szCs w:val="23"/>
        </w:rPr>
        <w:t xml:space="preserve">lt Education funds. </w:t>
      </w:r>
      <w:r w:rsidR="00335F38" w:rsidRPr="004A4716">
        <w:rPr>
          <w:rFonts w:ascii="Times New Roman" w:hAnsi="Times New Roman" w:cs="Times New Roman"/>
          <w:sz w:val="23"/>
          <w:szCs w:val="23"/>
        </w:rPr>
        <w:t xml:space="preserve"> </w:t>
      </w:r>
      <w:r w:rsidR="00392B08" w:rsidRPr="004A4716">
        <w:rPr>
          <w:rFonts w:ascii="Times New Roman" w:hAnsi="Times New Roman" w:cs="Times New Roman"/>
          <w:sz w:val="23"/>
          <w:szCs w:val="23"/>
        </w:rPr>
        <w:t>Funding allocations, made available through WIOA Section 231</w:t>
      </w:r>
      <w:r w:rsidR="00121404" w:rsidRPr="004A4716">
        <w:rPr>
          <w:rFonts w:ascii="Times New Roman" w:hAnsi="Times New Roman" w:cs="Times New Roman"/>
          <w:sz w:val="23"/>
          <w:szCs w:val="23"/>
        </w:rPr>
        <w:t xml:space="preserve">, </w:t>
      </w:r>
      <w:r w:rsidR="00392B08" w:rsidRPr="004A4716">
        <w:rPr>
          <w:rFonts w:ascii="Times New Roman" w:hAnsi="Times New Roman" w:cs="Times New Roman"/>
          <w:sz w:val="23"/>
          <w:szCs w:val="23"/>
        </w:rPr>
        <w:t xml:space="preserve">243 </w:t>
      </w:r>
      <w:r w:rsidR="00121404" w:rsidRPr="004A4716">
        <w:rPr>
          <w:rFonts w:ascii="Times New Roman" w:hAnsi="Times New Roman" w:cs="Times New Roman"/>
          <w:sz w:val="23"/>
          <w:szCs w:val="23"/>
        </w:rPr>
        <w:t>and 225</w:t>
      </w:r>
      <w:r w:rsidR="00ED2DE4" w:rsidRPr="004A4716">
        <w:rPr>
          <w:rFonts w:ascii="Times New Roman" w:hAnsi="Times New Roman" w:cs="Times New Roman"/>
          <w:sz w:val="23"/>
          <w:szCs w:val="23"/>
        </w:rPr>
        <w:t xml:space="preserve"> </w:t>
      </w:r>
      <w:r w:rsidR="00392B08" w:rsidRPr="004A4716">
        <w:rPr>
          <w:rFonts w:ascii="Times New Roman" w:hAnsi="Times New Roman" w:cs="Times New Roman"/>
          <w:sz w:val="23"/>
          <w:szCs w:val="23"/>
        </w:rPr>
        <w:t xml:space="preserve">were based on regional data derived from the American Community Survey, demonstrated need for service, and demonstrated program effectiveness in each of the eight Louisiana Workforce regions.  </w:t>
      </w:r>
      <w:r w:rsidR="00696BEC" w:rsidRPr="004A4716">
        <w:rPr>
          <w:rFonts w:ascii="Times New Roman" w:hAnsi="Times New Roman" w:cs="Times New Roman"/>
          <w:sz w:val="23"/>
          <w:szCs w:val="23"/>
        </w:rPr>
        <w:t xml:space="preserve">The </w:t>
      </w:r>
      <w:r w:rsidR="00A4556F" w:rsidRPr="004A4716">
        <w:rPr>
          <w:rFonts w:ascii="Times New Roman" w:hAnsi="Times New Roman" w:cs="Times New Roman"/>
          <w:sz w:val="23"/>
          <w:szCs w:val="23"/>
        </w:rPr>
        <w:t xml:space="preserve">strategic </w:t>
      </w:r>
      <w:r w:rsidR="00696BEC" w:rsidRPr="004A4716">
        <w:rPr>
          <w:rFonts w:ascii="Times New Roman" w:hAnsi="Times New Roman" w:cs="Times New Roman"/>
          <w:sz w:val="23"/>
          <w:szCs w:val="23"/>
        </w:rPr>
        <w:t>distribution of funding</w:t>
      </w:r>
      <w:r w:rsidR="00650AFA" w:rsidRPr="004A4716">
        <w:rPr>
          <w:rFonts w:ascii="Times New Roman" w:eastAsia="Calibri" w:hAnsi="Times New Roman" w:cs="Times New Roman"/>
          <w:sz w:val="23"/>
          <w:szCs w:val="23"/>
          <w:lang w:eastAsia="x-none"/>
        </w:rPr>
        <w:t xml:space="preserve"> with</w:t>
      </w:r>
      <w:r w:rsidR="00696BEC" w:rsidRPr="004A4716">
        <w:rPr>
          <w:rFonts w:ascii="Times New Roman" w:eastAsia="Calibri" w:hAnsi="Times New Roman" w:cs="Times New Roman"/>
          <w:sz w:val="23"/>
          <w:szCs w:val="23"/>
          <w:lang w:eastAsia="x-none"/>
        </w:rPr>
        <w:t>in</w:t>
      </w:r>
      <w:r w:rsidR="00650AFA" w:rsidRPr="004A4716">
        <w:rPr>
          <w:rFonts w:ascii="Times New Roman" w:eastAsia="Calibri" w:hAnsi="Times New Roman" w:cs="Times New Roman"/>
          <w:sz w:val="23"/>
          <w:szCs w:val="23"/>
          <w:lang w:eastAsia="x-none"/>
        </w:rPr>
        <w:t xml:space="preserve"> the eight geographical regions strengthen</w:t>
      </w:r>
      <w:r w:rsidR="00A4556F" w:rsidRPr="004A4716">
        <w:rPr>
          <w:rFonts w:ascii="Times New Roman" w:eastAsia="Calibri" w:hAnsi="Times New Roman" w:cs="Times New Roman"/>
          <w:sz w:val="23"/>
          <w:szCs w:val="23"/>
          <w:lang w:eastAsia="x-none"/>
        </w:rPr>
        <w:t>s</w:t>
      </w:r>
      <w:r w:rsidR="00650AFA" w:rsidRPr="004A4716">
        <w:rPr>
          <w:rFonts w:ascii="Times New Roman" w:eastAsia="Calibri" w:hAnsi="Times New Roman" w:cs="Times New Roman"/>
          <w:sz w:val="23"/>
          <w:szCs w:val="23"/>
          <w:lang w:eastAsia="x-none"/>
        </w:rPr>
        <w:t xml:space="preserve"> alignment of workforce development, education, and economic development programs with regional economic development strategies to meet the needs of local and regional employers.  </w:t>
      </w:r>
      <w:r w:rsidR="00872861" w:rsidRPr="004A4716">
        <w:rPr>
          <w:rFonts w:ascii="Times New Roman" w:hAnsi="Times New Roman" w:cs="Times New Roman"/>
          <w:sz w:val="23"/>
          <w:szCs w:val="23"/>
        </w:rPr>
        <w:t>The grant cycle</w:t>
      </w:r>
      <w:r w:rsidR="00064110" w:rsidRPr="004A4716">
        <w:rPr>
          <w:rFonts w:ascii="Times New Roman" w:hAnsi="Times New Roman" w:cs="Times New Roman"/>
          <w:sz w:val="23"/>
          <w:szCs w:val="23"/>
        </w:rPr>
        <w:t xml:space="preserve"> is</w:t>
      </w:r>
      <w:r w:rsidR="00872861" w:rsidRPr="004A4716">
        <w:rPr>
          <w:rFonts w:ascii="Times New Roman" w:hAnsi="Times New Roman" w:cs="Times New Roman"/>
          <w:sz w:val="23"/>
          <w:szCs w:val="23"/>
        </w:rPr>
        <w:t xml:space="preserve"> a minimum of three years, and all </w:t>
      </w:r>
      <w:r w:rsidRPr="004A4716">
        <w:rPr>
          <w:rFonts w:ascii="Times New Roman" w:hAnsi="Times New Roman" w:cs="Times New Roman"/>
          <w:sz w:val="23"/>
          <w:szCs w:val="23"/>
        </w:rPr>
        <w:t>funded applicants</w:t>
      </w:r>
      <w:r w:rsidR="00872861" w:rsidRPr="004A4716">
        <w:rPr>
          <w:rFonts w:ascii="Times New Roman" w:hAnsi="Times New Roman" w:cs="Times New Roman"/>
          <w:sz w:val="23"/>
          <w:szCs w:val="23"/>
        </w:rPr>
        <w:t xml:space="preserve"> </w:t>
      </w:r>
      <w:r w:rsidR="00064110" w:rsidRPr="004A4716">
        <w:rPr>
          <w:rFonts w:ascii="Times New Roman" w:hAnsi="Times New Roman" w:cs="Times New Roman"/>
          <w:sz w:val="23"/>
          <w:szCs w:val="23"/>
        </w:rPr>
        <w:t>are</w:t>
      </w:r>
      <w:r w:rsidR="00872861" w:rsidRPr="004A4716">
        <w:rPr>
          <w:rFonts w:ascii="Times New Roman" w:hAnsi="Times New Roman" w:cs="Times New Roman"/>
          <w:sz w:val="23"/>
          <w:szCs w:val="23"/>
        </w:rPr>
        <w:t xml:space="preserve"> subject to the same funding cycle: Year One – July 1, 2017 through June 30, 2018; Year Two-July 1, 2018 through June 30, 2019; Year Three-July 1, 2019 through June 30, 2020.</w:t>
      </w:r>
    </w:p>
    <w:p w:rsidR="00872861" w:rsidRPr="004A4716" w:rsidRDefault="00872861" w:rsidP="00335F38">
      <w:pPr>
        <w:spacing w:after="0" w:line="240" w:lineRule="auto"/>
        <w:contextualSpacing/>
        <w:rPr>
          <w:rFonts w:ascii="Times New Roman" w:hAnsi="Times New Roman" w:cs="Times New Roman"/>
          <w:sz w:val="23"/>
          <w:szCs w:val="23"/>
        </w:rPr>
      </w:pPr>
    </w:p>
    <w:p w:rsidR="00872861" w:rsidRPr="004A4716" w:rsidRDefault="00CC3C3C" w:rsidP="00335F38">
      <w:pPr>
        <w:spacing w:after="0" w:line="240" w:lineRule="auto"/>
        <w:contextualSpacing/>
        <w:rPr>
          <w:rFonts w:ascii="Times New Roman" w:hAnsi="Times New Roman" w:cs="Times New Roman"/>
          <w:sz w:val="23"/>
          <w:szCs w:val="23"/>
        </w:rPr>
      </w:pPr>
      <w:r w:rsidRPr="004A4716">
        <w:rPr>
          <w:rFonts w:ascii="Times New Roman" w:hAnsi="Times New Roman" w:cs="Times New Roman"/>
          <w:sz w:val="23"/>
          <w:szCs w:val="23"/>
        </w:rPr>
        <w:t>The</w:t>
      </w:r>
      <w:r w:rsidR="00335F38" w:rsidRPr="004A4716">
        <w:rPr>
          <w:rFonts w:ascii="Times New Roman" w:hAnsi="Times New Roman" w:cs="Times New Roman"/>
          <w:sz w:val="23"/>
          <w:szCs w:val="23"/>
        </w:rPr>
        <w:t xml:space="preserve"> full and open competition </w:t>
      </w:r>
      <w:r w:rsidR="009211D3" w:rsidRPr="004A4716">
        <w:rPr>
          <w:rFonts w:ascii="Times New Roman" w:hAnsi="Times New Roman" w:cs="Times New Roman"/>
          <w:sz w:val="23"/>
          <w:szCs w:val="23"/>
        </w:rPr>
        <w:t>was</w:t>
      </w:r>
      <w:r w:rsidR="00335F38" w:rsidRPr="004A4716">
        <w:rPr>
          <w:rFonts w:ascii="Times New Roman" w:hAnsi="Times New Roman" w:cs="Times New Roman"/>
          <w:sz w:val="23"/>
          <w:szCs w:val="23"/>
        </w:rPr>
        <w:t xml:space="preserve"> consistent with the stan</w:t>
      </w:r>
      <w:r w:rsidR="009211D3" w:rsidRPr="004A4716">
        <w:rPr>
          <w:rFonts w:ascii="Times New Roman" w:hAnsi="Times New Roman" w:cs="Times New Roman"/>
          <w:sz w:val="23"/>
          <w:szCs w:val="23"/>
        </w:rPr>
        <w:t>dards of Subpart C, CFR 200.319 and any eligible provider</w:t>
      </w:r>
      <w:r w:rsidR="002A43A5" w:rsidRPr="004A4716">
        <w:rPr>
          <w:rFonts w:ascii="Times New Roman" w:hAnsi="Times New Roman" w:cs="Times New Roman"/>
          <w:sz w:val="23"/>
          <w:szCs w:val="23"/>
        </w:rPr>
        <w:t>, as</w:t>
      </w:r>
      <w:r w:rsidR="00335F38" w:rsidRPr="004A4716">
        <w:rPr>
          <w:rFonts w:ascii="Times New Roman" w:hAnsi="Times New Roman" w:cs="Times New Roman"/>
          <w:sz w:val="23"/>
          <w:szCs w:val="23"/>
        </w:rPr>
        <w:t xml:space="preserve"> </w:t>
      </w:r>
      <w:r w:rsidR="002A43A5" w:rsidRPr="004A4716">
        <w:rPr>
          <w:rFonts w:ascii="Times New Roman" w:hAnsi="Times New Roman" w:cs="Times New Roman"/>
          <w:sz w:val="23"/>
          <w:szCs w:val="23"/>
        </w:rPr>
        <w:t xml:space="preserve">defined in WIOA, </w:t>
      </w:r>
      <w:r w:rsidR="009211D3" w:rsidRPr="004A4716">
        <w:rPr>
          <w:rFonts w:ascii="Times New Roman" w:hAnsi="Times New Roman" w:cs="Times New Roman"/>
          <w:sz w:val="23"/>
          <w:szCs w:val="23"/>
        </w:rPr>
        <w:t>had</w:t>
      </w:r>
      <w:r w:rsidR="00335F38" w:rsidRPr="004A4716">
        <w:rPr>
          <w:rFonts w:ascii="Times New Roman" w:hAnsi="Times New Roman" w:cs="Times New Roman"/>
          <w:sz w:val="23"/>
          <w:szCs w:val="23"/>
        </w:rPr>
        <w:t xml:space="preserve"> direct and equitable access</w:t>
      </w:r>
      <w:r w:rsidR="009211D3" w:rsidRPr="004A4716">
        <w:rPr>
          <w:rFonts w:ascii="Times New Roman" w:hAnsi="Times New Roman" w:cs="Times New Roman"/>
          <w:sz w:val="23"/>
          <w:szCs w:val="23"/>
        </w:rPr>
        <w:t xml:space="preserve"> to apply and compete for grant funds to provide</w:t>
      </w:r>
      <w:r w:rsidR="002A43A5" w:rsidRPr="004A4716">
        <w:rPr>
          <w:rFonts w:ascii="Times New Roman" w:hAnsi="Times New Roman" w:cs="Times New Roman"/>
          <w:sz w:val="23"/>
          <w:szCs w:val="23"/>
        </w:rPr>
        <w:t xml:space="preserve"> eligible individuals </w:t>
      </w:r>
      <w:r w:rsidR="00335F38" w:rsidRPr="004A4716">
        <w:rPr>
          <w:rFonts w:ascii="Times New Roman" w:hAnsi="Times New Roman" w:cs="Times New Roman"/>
          <w:sz w:val="23"/>
          <w:szCs w:val="23"/>
        </w:rPr>
        <w:t>with educational opportunities that:  (1) assist adults who are parents or family members to obtain the education and skills that—(a) are necessary to becoming full partners in the educational development of their children; and (b) lead to sustainable improvements in the economic opportunities for their family; (2) assist adults to become literate and obtain the knowledge and skills necessary for employment and economic self-sufficiency; (3) assist adults in attaining a secondary school diploma and in the transition to postsecondary education and training, including through career pathways; and (4) assist immigrants and other individuals who are English language learners in: (a) improving their; (</w:t>
      </w:r>
      <w:proofErr w:type="spellStart"/>
      <w:r w:rsidR="00335F38" w:rsidRPr="004A4716">
        <w:rPr>
          <w:rFonts w:ascii="Times New Roman" w:hAnsi="Times New Roman" w:cs="Times New Roman"/>
          <w:sz w:val="23"/>
          <w:szCs w:val="23"/>
        </w:rPr>
        <w:t>i</w:t>
      </w:r>
      <w:proofErr w:type="spellEnd"/>
      <w:r w:rsidR="00335F38" w:rsidRPr="004A4716">
        <w:rPr>
          <w:rFonts w:ascii="Times New Roman" w:hAnsi="Times New Roman" w:cs="Times New Roman"/>
          <w:sz w:val="23"/>
          <w:szCs w:val="23"/>
        </w:rPr>
        <w:t>) reading, writing, speaking, and comprehension skills in English; and (ii) mathematics skills; and (b) acquiring an understanding of the American System of Government, individual freedom, and the responsibilities of citizenship.</w:t>
      </w:r>
      <w:r w:rsidR="00872861" w:rsidRPr="004A4716">
        <w:rPr>
          <w:rFonts w:ascii="Times New Roman" w:hAnsi="Times New Roman" w:cs="Times New Roman"/>
          <w:sz w:val="23"/>
          <w:szCs w:val="23"/>
        </w:rPr>
        <w:t xml:space="preserve"> </w:t>
      </w:r>
    </w:p>
    <w:p w:rsidR="00872861" w:rsidRPr="004A4716" w:rsidRDefault="00872861" w:rsidP="00335F38">
      <w:pPr>
        <w:spacing w:after="0" w:line="240" w:lineRule="auto"/>
        <w:contextualSpacing/>
        <w:rPr>
          <w:rFonts w:ascii="Times New Roman" w:hAnsi="Times New Roman" w:cs="Times New Roman"/>
          <w:sz w:val="23"/>
          <w:szCs w:val="23"/>
        </w:rPr>
      </w:pPr>
    </w:p>
    <w:p w:rsidR="00FD4F96" w:rsidRPr="004A4716" w:rsidRDefault="00A54A18" w:rsidP="00BC1171">
      <w:pPr>
        <w:spacing w:after="0" w:line="240" w:lineRule="auto"/>
        <w:rPr>
          <w:rFonts w:ascii="Times New Roman" w:eastAsia="Calibri" w:hAnsi="Times New Roman" w:cs="Times New Roman"/>
          <w:sz w:val="23"/>
          <w:szCs w:val="23"/>
          <w:lang w:val="x-none" w:eastAsia="x-none"/>
        </w:rPr>
      </w:pPr>
      <w:r w:rsidRPr="004A4716">
        <w:rPr>
          <w:rFonts w:ascii="Times New Roman" w:hAnsi="Times New Roman" w:cs="Times New Roman"/>
          <w:sz w:val="23"/>
          <w:szCs w:val="23"/>
        </w:rPr>
        <w:t>A</w:t>
      </w:r>
      <w:r w:rsidR="00872861" w:rsidRPr="004A4716">
        <w:rPr>
          <w:rFonts w:ascii="Times New Roman" w:hAnsi="Times New Roman" w:cs="Times New Roman"/>
          <w:sz w:val="23"/>
          <w:szCs w:val="23"/>
        </w:rPr>
        <w:t xml:space="preserve">pplicants were required to </w:t>
      </w:r>
      <w:r w:rsidR="00872861" w:rsidRPr="004A4716">
        <w:rPr>
          <w:rFonts w:ascii="Times New Roman" w:eastAsia="Times New Roman" w:hAnsi="Times New Roman" w:cs="Times New Roman"/>
          <w:sz w:val="23"/>
          <w:szCs w:val="23"/>
        </w:rPr>
        <w:t>align services with approved local workforce development plan</w:t>
      </w:r>
      <w:r w:rsidR="005C0C78" w:rsidRPr="004A4716">
        <w:rPr>
          <w:rFonts w:ascii="Times New Roman" w:eastAsia="Times New Roman" w:hAnsi="Times New Roman" w:cs="Times New Roman"/>
          <w:sz w:val="23"/>
          <w:szCs w:val="23"/>
        </w:rPr>
        <w:t>s</w:t>
      </w:r>
      <w:r w:rsidR="00872861" w:rsidRPr="004A4716">
        <w:rPr>
          <w:rFonts w:ascii="Times New Roman" w:eastAsia="Times New Roman" w:hAnsi="Times New Roman" w:cs="Times New Roman"/>
          <w:sz w:val="23"/>
          <w:szCs w:val="23"/>
        </w:rPr>
        <w:t xml:space="preserve">, </w:t>
      </w:r>
      <w:r w:rsidR="00872861" w:rsidRPr="004A4716">
        <w:rPr>
          <w:rFonts w:ascii="Times New Roman" w:hAnsi="Times New Roman" w:cs="Times New Roman"/>
          <w:sz w:val="23"/>
          <w:szCs w:val="23"/>
        </w:rPr>
        <w:t xml:space="preserve">establish collaborations with partners </w:t>
      </w:r>
      <w:r w:rsidR="00225833" w:rsidRPr="004A4716">
        <w:rPr>
          <w:rFonts w:ascii="Times New Roman" w:hAnsi="Times New Roman" w:cs="Times New Roman"/>
          <w:sz w:val="23"/>
          <w:szCs w:val="23"/>
        </w:rPr>
        <w:t>in a joint effort to provide</w:t>
      </w:r>
      <w:r w:rsidR="00872861" w:rsidRPr="004A4716">
        <w:rPr>
          <w:rFonts w:ascii="Times New Roman" w:hAnsi="Times New Roman" w:cs="Times New Roman"/>
          <w:sz w:val="23"/>
          <w:szCs w:val="23"/>
        </w:rPr>
        <w:t xml:space="preserve"> quality comprehensive educational services and access to a comprehensive workforce develo</w:t>
      </w:r>
      <w:r w:rsidR="002A43A5" w:rsidRPr="004A4716">
        <w:rPr>
          <w:rFonts w:ascii="Times New Roman" w:hAnsi="Times New Roman" w:cs="Times New Roman"/>
          <w:sz w:val="23"/>
          <w:szCs w:val="23"/>
        </w:rPr>
        <w:t xml:space="preserve">pment system </w:t>
      </w:r>
      <w:r w:rsidR="00A2760A" w:rsidRPr="004A4716">
        <w:rPr>
          <w:rFonts w:ascii="Times New Roman" w:hAnsi="Times New Roman" w:cs="Times New Roman"/>
          <w:sz w:val="23"/>
          <w:szCs w:val="23"/>
        </w:rPr>
        <w:t>that would</w:t>
      </w:r>
      <w:r w:rsidR="002A43A5" w:rsidRPr="004A4716">
        <w:rPr>
          <w:rFonts w:ascii="Times New Roman" w:eastAsia="Calibri" w:hAnsi="Times New Roman" w:cs="Times New Roman"/>
          <w:sz w:val="23"/>
          <w:szCs w:val="23"/>
          <w:lang w:val="x-none" w:eastAsia="x-none"/>
        </w:rPr>
        <w:t xml:space="preserve"> expand and leverage deliverable services beyond those provided solely through WRU state/federal funding</w:t>
      </w:r>
      <w:r w:rsidR="0075256C" w:rsidRPr="004A4716">
        <w:rPr>
          <w:rFonts w:ascii="Times New Roman" w:eastAsia="Calibri" w:hAnsi="Times New Roman" w:cs="Times New Roman"/>
          <w:sz w:val="23"/>
          <w:szCs w:val="23"/>
          <w:lang w:eastAsia="x-none"/>
        </w:rPr>
        <w:t xml:space="preserve"> for adult learners</w:t>
      </w:r>
      <w:r w:rsidR="002A43A5" w:rsidRPr="004A4716">
        <w:rPr>
          <w:rFonts w:ascii="Times New Roman" w:eastAsia="Calibri" w:hAnsi="Times New Roman" w:cs="Times New Roman"/>
          <w:sz w:val="23"/>
          <w:szCs w:val="23"/>
          <w:lang w:val="x-none" w:eastAsia="x-none"/>
        </w:rPr>
        <w:t>.</w:t>
      </w:r>
      <w:r w:rsidR="005D0C0D" w:rsidRPr="004A4716">
        <w:rPr>
          <w:rFonts w:ascii="Times New Roman" w:eastAsia="Calibri" w:hAnsi="Times New Roman" w:cs="Times New Roman"/>
          <w:sz w:val="23"/>
          <w:szCs w:val="23"/>
          <w:lang w:eastAsia="x-none"/>
        </w:rPr>
        <w:t xml:space="preserve">   </w:t>
      </w:r>
      <w:r w:rsidRPr="004A4716">
        <w:rPr>
          <w:rFonts w:ascii="Times New Roman" w:eastAsia="Calibri" w:hAnsi="Times New Roman" w:cs="Times New Roman"/>
          <w:sz w:val="23"/>
          <w:szCs w:val="23"/>
          <w:lang w:eastAsia="x-none"/>
        </w:rPr>
        <w:t xml:space="preserve"> </w:t>
      </w:r>
    </w:p>
    <w:p w:rsidR="00812E28" w:rsidRPr="004A4716" w:rsidRDefault="00812E28" w:rsidP="00335F38">
      <w:pPr>
        <w:spacing w:after="0" w:line="240" w:lineRule="auto"/>
        <w:rPr>
          <w:rFonts w:ascii="Times New Roman" w:eastAsia="Calibri" w:hAnsi="Times New Roman" w:cs="Times New Roman"/>
          <w:sz w:val="23"/>
          <w:szCs w:val="23"/>
          <w:lang w:val="x-none" w:eastAsia="x-none"/>
        </w:rPr>
      </w:pPr>
    </w:p>
    <w:p w:rsidR="00335F38" w:rsidRPr="004A4716" w:rsidRDefault="00BC1171" w:rsidP="00D45CDE">
      <w:pPr>
        <w:spacing w:after="0" w:line="240" w:lineRule="auto"/>
        <w:rPr>
          <w:rFonts w:ascii="Times New Roman" w:eastAsia="Calibri" w:hAnsi="Times New Roman" w:cs="Times New Roman"/>
          <w:noProof/>
          <w:sz w:val="23"/>
          <w:szCs w:val="23"/>
        </w:rPr>
      </w:pPr>
      <w:r w:rsidRPr="004A4716">
        <w:rPr>
          <w:rFonts w:ascii="Times New Roman" w:eastAsia="Times New Roman" w:hAnsi="Times New Roman" w:cs="Times New Roman"/>
          <w:sz w:val="23"/>
          <w:szCs w:val="23"/>
        </w:rPr>
        <w:t xml:space="preserve">As a result of the </w:t>
      </w:r>
      <w:r w:rsidR="003B6931" w:rsidRPr="004A4716">
        <w:rPr>
          <w:rFonts w:ascii="Times New Roman" w:eastAsia="Times New Roman" w:hAnsi="Times New Roman" w:cs="Times New Roman"/>
          <w:sz w:val="23"/>
          <w:szCs w:val="23"/>
        </w:rPr>
        <w:t xml:space="preserve">competitive </w:t>
      </w:r>
      <w:r w:rsidRPr="004A4716">
        <w:rPr>
          <w:rFonts w:ascii="Times New Roman" w:eastAsia="Times New Roman" w:hAnsi="Times New Roman" w:cs="Times New Roman"/>
          <w:sz w:val="23"/>
          <w:szCs w:val="23"/>
        </w:rPr>
        <w:t xml:space="preserve">application </w:t>
      </w:r>
      <w:r w:rsidR="00E21DF5" w:rsidRPr="004A4716">
        <w:rPr>
          <w:rFonts w:ascii="Times New Roman" w:eastAsia="Times New Roman" w:hAnsi="Times New Roman" w:cs="Times New Roman"/>
          <w:sz w:val="23"/>
          <w:szCs w:val="23"/>
        </w:rPr>
        <w:t>process, the</w:t>
      </w:r>
      <w:r w:rsidR="006148B0" w:rsidRPr="004A4716">
        <w:rPr>
          <w:rFonts w:ascii="Times New Roman" w:eastAsia="Times New Roman" w:hAnsi="Times New Roman" w:cs="Times New Roman"/>
          <w:sz w:val="23"/>
          <w:szCs w:val="23"/>
        </w:rPr>
        <w:t xml:space="preserve"> WRU network will </w:t>
      </w:r>
      <w:r w:rsidR="001270D1" w:rsidRPr="004A4716">
        <w:rPr>
          <w:rFonts w:ascii="Times New Roman" w:eastAsia="Times New Roman" w:hAnsi="Times New Roman" w:cs="Times New Roman"/>
          <w:sz w:val="23"/>
          <w:szCs w:val="23"/>
        </w:rPr>
        <w:t>include a total of</w:t>
      </w:r>
      <w:r w:rsidR="00812E28" w:rsidRPr="004A4716">
        <w:rPr>
          <w:rFonts w:ascii="Times New Roman" w:eastAsia="Times New Roman" w:hAnsi="Times New Roman" w:cs="Times New Roman"/>
          <w:sz w:val="23"/>
          <w:szCs w:val="23"/>
        </w:rPr>
        <w:t xml:space="preserve"> </w:t>
      </w:r>
      <w:r w:rsidR="00E21DF5" w:rsidRPr="004A4716">
        <w:rPr>
          <w:rFonts w:ascii="Times New Roman" w:eastAsia="Times New Roman" w:hAnsi="Times New Roman" w:cs="Times New Roman"/>
          <w:sz w:val="23"/>
          <w:szCs w:val="23"/>
        </w:rPr>
        <w:t>twenty-eight (28) funded organizations: twenty-six (26)</w:t>
      </w:r>
      <w:r w:rsidR="001270D1" w:rsidRPr="004A4716">
        <w:rPr>
          <w:rFonts w:ascii="Times New Roman" w:eastAsia="Times New Roman" w:hAnsi="Times New Roman" w:cs="Times New Roman"/>
          <w:sz w:val="23"/>
          <w:szCs w:val="23"/>
        </w:rPr>
        <w:t xml:space="preserve"> </w:t>
      </w:r>
      <w:r w:rsidR="00E21DF5" w:rsidRPr="004A4716">
        <w:rPr>
          <w:rFonts w:ascii="Times New Roman" w:eastAsia="Calibri" w:hAnsi="Times New Roman" w:cs="Times New Roman"/>
          <w:noProof/>
          <w:sz w:val="23"/>
          <w:szCs w:val="23"/>
        </w:rPr>
        <w:t>Adult Education and Literacy programs</w:t>
      </w:r>
      <w:r w:rsidR="006148B0" w:rsidRPr="004A4716">
        <w:rPr>
          <w:rFonts w:ascii="Times New Roman" w:eastAsia="Times New Roman" w:hAnsi="Times New Roman" w:cs="Times New Roman"/>
          <w:sz w:val="23"/>
          <w:szCs w:val="23"/>
        </w:rPr>
        <w:t xml:space="preserve">, </w:t>
      </w:r>
      <w:r w:rsidR="001270D1" w:rsidRPr="004A4716">
        <w:rPr>
          <w:rFonts w:ascii="Times New Roman" w:eastAsia="Times New Roman" w:hAnsi="Times New Roman" w:cs="Times New Roman"/>
          <w:sz w:val="23"/>
          <w:szCs w:val="23"/>
        </w:rPr>
        <w:t xml:space="preserve">eight </w:t>
      </w:r>
      <w:r w:rsidR="003B6931" w:rsidRPr="004A4716">
        <w:rPr>
          <w:rFonts w:ascii="Times New Roman" w:eastAsia="Times New Roman" w:hAnsi="Times New Roman" w:cs="Times New Roman"/>
          <w:sz w:val="23"/>
          <w:szCs w:val="23"/>
        </w:rPr>
        <w:t xml:space="preserve">(8) </w:t>
      </w:r>
      <w:r w:rsidR="001270D1" w:rsidRPr="004A4716">
        <w:rPr>
          <w:rFonts w:ascii="Times New Roman" w:eastAsia="Times New Roman" w:hAnsi="Times New Roman" w:cs="Times New Roman"/>
          <w:sz w:val="23"/>
          <w:szCs w:val="23"/>
        </w:rPr>
        <w:t xml:space="preserve">IET/IELCE pilot programs; </w:t>
      </w:r>
      <w:r w:rsidR="00E21DF5" w:rsidRPr="004A4716">
        <w:rPr>
          <w:rFonts w:ascii="Times New Roman" w:eastAsia="Times New Roman" w:hAnsi="Times New Roman" w:cs="Times New Roman"/>
          <w:sz w:val="23"/>
          <w:szCs w:val="23"/>
        </w:rPr>
        <w:t xml:space="preserve">six </w:t>
      </w:r>
      <w:r w:rsidR="003B6931" w:rsidRPr="004A4716">
        <w:rPr>
          <w:rFonts w:ascii="Times New Roman" w:eastAsia="Times New Roman" w:hAnsi="Times New Roman" w:cs="Times New Roman"/>
          <w:sz w:val="23"/>
          <w:szCs w:val="23"/>
        </w:rPr>
        <w:t xml:space="preserve">(6) </w:t>
      </w:r>
      <w:r w:rsidR="00812E28" w:rsidRPr="004A4716">
        <w:rPr>
          <w:rFonts w:ascii="Times New Roman" w:eastAsia="Calibri" w:hAnsi="Times New Roman" w:cs="Times New Roman"/>
          <w:noProof/>
          <w:sz w:val="23"/>
          <w:szCs w:val="23"/>
        </w:rPr>
        <w:t>Corrections Education and Education of Other Institutionalized Individuals</w:t>
      </w:r>
      <w:r w:rsidR="000C1DB0" w:rsidRPr="004A4716">
        <w:rPr>
          <w:rFonts w:ascii="Times New Roman" w:eastAsia="Times New Roman" w:hAnsi="Times New Roman" w:cs="Times New Roman"/>
          <w:sz w:val="23"/>
          <w:szCs w:val="23"/>
        </w:rPr>
        <w:t xml:space="preserve"> providing services in 2017-2018.</w:t>
      </w:r>
      <w:r w:rsidR="006148B0" w:rsidRPr="004A4716">
        <w:rPr>
          <w:rFonts w:ascii="Times New Roman" w:eastAsia="Times New Roman" w:hAnsi="Times New Roman" w:cs="Times New Roman"/>
          <w:sz w:val="23"/>
          <w:szCs w:val="23"/>
        </w:rPr>
        <w:t xml:space="preserve"> </w:t>
      </w:r>
    </w:p>
    <w:p w:rsidR="00D45CDE" w:rsidRPr="004A4716" w:rsidRDefault="00D45CDE" w:rsidP="00D45CDE">
      <w:pPr>
        <w:spacing w:after="0" w:line="240" w:lineRule="auto"/>
        <w:rPr>
          <w:rFonts w:ascii="Times New Roman" w:eastAsia="Calibri" w:hAnsi="Times New Roman" w:cs="Times New Roman"/>
          <w:noProof/>
          <w:sz w:val="23"/>
          <w:szCs w:val="23"/>
        </w:rPr>
      </w:pPr>
    </w:p>
    <w:p w:rsidR="00764992" w:rsidRPr="004A4716" w:rsidRDefault="00764992" w:rsidP="00764992">
      <w:pPr>
        <w:rPr>
          <w:rFonts w:ascii="Times New Roman" w:hAnsi="Times New Roman" w:cs="Times New Roman"/>
          <w:b/>
          <w:sz w:val="23"/>
          <w:szCs w:val="23"/>
        </w:rPr>
      </w:pPr>
      <w:r w:rsidRPr="004A4716">
        <w:rPr>
          <w:rFonts w:ascii="Times New Roman" w:hAnsi="Times New Roman" w:cs="Times New Roman"/>
          <w:b/>
          <w:sz w:val="23"/>
          <w:szCs w:val="23"/>
        </w:rPr>
        <w:t>State Leadership Funds:</w:t>
      </w:r>
    </w:p>
    <w:p w:rsidR="00764992" w:rsidRPr="004A4716" w:rsidRDefault="00764992" w:rsidP="00764992">
      <w:pPr>
        <w:rPr>
          <w:rFonts w:ascii="Times New Roman" w:hAnsi="Times New Roman" w:cs="Times New Roman"/>
          <w:sz w:val="23"/>
          <w:szCs w:val="23"/>
        </w:rPr>
      </w:pPr>
      <w:proofErr w:type="spellStart"/>
      <w:r w:rsidRPr="004A4716">
        <w:rPr>
          <w:rFonts w:ascii="Times New Roman" w:hAnsi="Times New Roman" w:cs="Times New Roman"/>
          <w:sz w:val="23"/>
          <w:szCs w:val="23"/>
        </w:rPr>
        <w:t>WorkReady</w:t>
      </w:r>
      <w:proofErr w:type="spellEnd"/>
      <w:r w:rsidRPr="004A4716">
        <w:rPr>
          <w:rFonts w:ascii="Times New Roman" w:hAnsi="Times New Roman" w:cs="Times New Roman"/>
          <w:sz w:val="23"/>
          <w:szCs w:val="23"/>
        </w:rPr>
        <w:t xml:space="preserve"> U continued to work with local stakeholders and other partnering agencies to facilitate new methods of service delivery, increase secondary credential attainment opportunities, expand </w:t>
      </w:r>
      <w:r w:rsidRPr="004A4716">
        <w:rPr>
          <w:rFonts w:ascii="Times New Roman" w:hAnsi="Times New Roman" w:cs="Times New Roman"/>
          <w:sz w:val="23"/>
          <w:szCs w:val="23"/>
        </w:rPr>
        <w:lastRenderedPageBreak/>
        <w:t>instructional content and delivery techniques to include college and career readiness standards, utilize technology to enhance educational opportunities, transition from career pathway pilot initiatives to Integrated Education and Training (IET) opportunities thr</w:t>
      </w:r>
      <w:r w:rsidR="0057050E" w:rsidRPr="004A4716">
        <w:rPr>
          <w:rFonts w:ascii="Times New Roman" w:hAnsi="Times New Roman" w:cs="Times New Roman"/>
          <w:sz w:val="23"/>
          <w:szCs w:val="23"/>
        </w:rPr>
        <w:t xml:space="preserve">ough Louisiana Career Pathways.  </w:t>
      </w:r>
      <w:r w:rsidRPr="004A4716">
        <w:rPr>
          <w:rFonts w:ascii="Times New Roman" w:hAnsi="Times New Roman" w:cs="Times New Roman"/>
          <w:sz w:val="23"/>
          <w:szCs w:val="23"/>
        </w:rPr>
        <w:t xml:space="preserve">Building capacity in Louisiana’s adult education programs focuses on the following five areas: connecting assessment and accountability; developing new models for service delivery and outreach; expanding the use of technology as a tool for teaching and learning; and developing </w:t>
      </w:r>
      <w:r w:rsidR="00D879CA" w:rsidRPr="004A4716">
        <w:rPr>
          <w:rFonts w:ascii="Times New Roman" w:hAnsi="Times New Roman" w:cs="Times New Roman"/>
          <w:sz w:val="23"/>
          <w:szCs w:val="23"/>
        </w:rPr>
        <w:t xml:space="preserve">professionalism of personnel. </w:t>
      </w:r>
      <w:r w:rsidRPr="004A4716">
        <w:rPr>
          <w:rFonts w:ascii="Times New Roman" w:hAnsi="Times New Roman" w:cs="Times New Roman"/>
          <w:sz w:val="23"/>
          <w:szCs w:val="23"/>
        </w:rPr>
        <w:tab/>
      </w:r>
      <w:r w:rsidRPr="004A4716">
        <w:rPr>
          <w:rFonts w:ascii="Times New Roman" w:hAnsi="Times New Roman" w:cs="Times New Roman"/>
          <w:sz w:val="23"/>
          <w:szCs w:val="23"/>
        </w:rPr>
        <w:tab/>
      </w:r>
      <w:r w:rsidRPr="004A4716">
        <w:rPr>
          <w:rFonts w:ascii="Times New Roman" w:hAnsi="Times New Roman" w:cs="Times New Roman"/>
          <w:sz w:val="23"/>
          <w:szCs w:val="23"/>
        </w:rPr>
        <w:tab/>
      </w:r>
      <w:r w:rsidRPr="004A4716">
        <w:rPr>
          <w:rFonts w:ascii="Times New Roman" w:hAnsi="Times New Roman" w:cs="Times New Roman"/>
          <w:sz w:val="23"/>
          <w:szCs w:val="23"/>
        </w:rPr>
        <w:tab/>
      </w:r>
      <w:r w:rsidRPr="004A4716">
        <w:rPr>
          <w:rFonts w:ascii="Times New Roman" w:hAnsi="Times New Roman" w:cs="Times New Roman"/>
          <w:sz w:val="23"/>
          <w:szCs w:val="23"/>
        </w:rPr>
        <w:tab/>
      </w:r>
      <w:r w:rsidRPr="004A4716">
        <w:rPr>
          <w:rFonts w:ascii="Times New Roman" w:hAnsi="Times New Roman" w:cs="Times New Roman"/>
          <w:sz w:val="23"/>
          <w:szCs w:val="23"/>
        </w:rPr>
        <w:tab/>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 xml:space="preserve">During FY </w:t>
      </w:r>
      <w:r w:rsidR="002D7067" w:rsidRPr="004A4716">
        <w:rPr>
          <w:rFonts w:ascii="Times New Roman" w:hAnsi="Times New Roman" w:cs="Times New Roman"/>
          <w:sz w:val="23"/>
          <w:szCs w:val="23"/>
        </w:rPr>
        <w:t>2016-</w:t>
      </w:r>
      <w:r w:rsidR="007142A0" w:rsidRPr="004A4716">
        <w:rPr>
          <w:rFonts w:ascii="Times New Roman" w:hAnsi="Times New Roman" w:cs="Times New Roman"/>
          <w:sz w:val="23"/>
          <w:szCs w:val="23"/>
        </w:rPr>
        <w:t>2017,</w:t>
      </w:r>
      <w:r w:rsidR="00B0088E" w:rsidRPr="004A4716">
        <w:rPr>
          <w:rFonts w:ascii="Times New Roman" w:hAnsi="Times New Roman" w:cs="Times New Roman"/>
          <w:sz w:val="23"/>
          <w:szCs w:val="23"/>
        </w:rPr>
        <w:t xml:space="preserve"> WR</w:t>
      </w:r>
      <w:r w:rsidRPr="004A4716">
        <w:rPr>
          <w:rFonts w:ascii="Times New Roman" w:hAnsi="Times New Roman" w:cs="Times New Roman"/>
          <w:sz w:val="23"/>
          <w:szCs w:val="23"/>
        </w:rPr>
        <w:t xml:space="preserve">U was dedicated to challenging the status quo and supporting innovative services based on the needs of the provider network to fully implement the WRU vision and mission. Leadership funds were used to support the following: Regional Resource Centers (RRC) which serve as epicenters of a three pronged approach to professional development delivery activities throughout Louisiana; CCR standards implementation; and English as a Second Language (ESL) program expansion. </w:t>
      </w:r>
    </w:p>
    <w:p w:rsidR="00764992" w:rsidRPr="004A4716" w:rsidRDefault="00764992" w:rsidP="00764992">
      <w:pPr>
        <w:rPr>
          <w:rFonts w:ascii="Times New Roman" w:hAnsi="Times New Roman" w:cs="Times New Roman"/>
          <w:b/>
          <w:sz w:val="23"/>
          <w:szCs w:val="23"/>
        </w:rPr>
      </w:pPr>
      <w:r w:rsidRPr="004A4716">
        <w:rPr>
          <w:rFonts w:ascii="Times New Roman" w:hAnsi="Times New Roman" w:cs="Times New Roman"/>
          <w:b/>
          <w:sz w:val="23"/>
          <w:szCs w:val="23"/>
        </w:rPr>
        <w:t>Goal 1: To connect assessment and accountability</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 xml:space="preserve">State Leadership funds were utilized to promote assessment policy awareness, professional development for data quality, policy compliance monitoring, in addition to added focus on using data for decisions, retention techniques, and overall best-practices for instructional delivery. </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Accountability in adult education in Louisiana is framed by WIOA and the National Reporting System (NRS)</w:t>
      </w:r>
      <w:r w:rsidR="00E95238" w:rsidRPr="004A4716">
        <w:rPr>
          <w:rFonts w:ascii="Times New Roman" w:hAnsi="Times New Roman" w:cs="Times New Roman"/>
          <w:sz w:val="23"/>
          <w:szCs w:val="23"/>
        </w:rPr>
        <w:t xml:space="preserve">.  </w:t>
      </w:r>
      <w:r w:rsidRPr="004A4716">
        <w:rPr>
          <w:rFonts w:ascii="Times New Roman" w:hAnsi="Times New Roman" w:cs="Times New Roman"/>
          <w:sz w:val="23"/>
          <w:szCs w:val="23"/>
        </w:rPr>
        <w:t xml:space="preserve">State Leadership funds are being used to continue development for enhancing the web-based data collection/management system that is used by all federally-funded adult education programs.  </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The following are activities and initiatives used to connect assessment and accountability in Louisiana as referenced in the State Plan for Title II of WIOA.</w:t>
      </w:r>
    </w:p>
    <w:p w:rsidR="00764992" w:rsidRPr="004A4716" w:rsidRDefault="00764992" w:rsidP="00764992">
      <w:pPr>
        <w:pStyle w:val="ListParagraph"/>
        <w:numPr>
          <w:ilvl w:val="0"/>
          <w:numId w:val="6"/>
        </w:numPr>
        <w:rPr>
          <w:rFonts w:ascii="Times New Roman" w:hAnsi="Times New Roman" w:cs="Times New Roman"/>
          <w:sz w:val="23"/>
          <w:szCs w:val="23"/>
        </w:rPr>
      </w:pPr>
      <w:r w:rsidRPr="004A4716">
        <w:rPr>
          <w:rFonts w:ascii="Times New Roman" w:hAnsi="Times New Roman" w:cs="Times New Roman"/>
          <w:sz w:val="23"/>
          <w:szCs w:val="23"/>
        </w:rPr>
        <w:t>The LCTCS adopted a performance-based funding formula for adult education that is aligned to performance indica</w:t>
      </w:r>
      <w:r w:rsidR="00D61719" w:rsidRPr="004A4716">
        <w:rPr>
          <w:rFonts w:ascii="Times New Roman" w:hAnsi="Times New Roman" w:cs="Times New Roman"/>
          <w:sz w:val="23"/>
          <w:szCs w:val="23"/>
        </w:rPr>
        <w:t>tors with the NRS and WR</w:t>
      </w:r>
      <w:r w:rsidRPr="004A4716">
        <w:rPr>
          <w:rFonts w:ascii="Times New Roman" w:hAnsi="Times New Roman" w:cs="Times New Roman"/>
          <w:sz w:val="23"/>
          <w:szCs w:val="23"/>
        </w:rPr>
        <w:t xml:space="preserve">U prioritized outcomes.  </w:t>
      </w:r>
    </w:p>
    <w:p w:rsidR="00764992" w:rsidRPr="004A4716" w:rsidRDefault="00764992" w:rsidP="00764992">
      <w:pPr>
        <w:pStyle w:val="ListParagraph"/>
        <w:numPr>
          <w:ilvl w:val="0"/>
          <w:numId w:val="6"/>
        </w:numPr>
        <w:rPr>
          <w:rFonts w:ascii="Times New Roman" w:hAnsi="Times New Roman" w:cs="Times New Roman"/>
          <w:sz w:val="23"/>
          <w:szCs w:val="23"/>
        </w:rPr>
      </w:pPr>
      <w:r w:rsidRPr="004A4716">
        <w:rPr>
          <w:rFonts w:ascii="Times New Roman" w:hAnsi="Times New Roman" w:cs="Times New Roman"/>
          <w:sz w:val="23"/>
          <w:szCs w:val="23"/>
        </w:rPr>
        <w:t xml:space="preserve">Louisiana continued its commitment to reach the “harder to teach” adult learners who are most in need by targeting federal funds to students working below an 8.9 grade level equivalent.  During the fiscal year, approximately </w:t>
      </w:r>
      <w:r w:rsidR="00A616E4" w:rsidRPr="004A4716">
        <w:rPr>
          <w:rFonts w:ascii="Times New Roman" w:hAnsi="Times New Roman" w:cs="Times New Roman"/>
          <w:sz w:val="23"/>
          <w:szCs w:val="23"/>
        </w:rPr>
        <w:t xml:space="preserve">91% </w:t>
      </w:r>
      <w:r w:rsidRPr="004A4716">
        <w:rPr>
          <w:rFonts w:ascii="Times New Roman" w:hAnsi="Times New Roman" w:cs="Times New Roman"/>
          <w:sz w:val="23"/>
          <w:szCs w:val="23"/>
        </w:rPr>
        <w:t xml:space="preserve">of the total students served were the “harder to teach” adult learners who are most in need of foundational skills: </w:t>
      </w:r>
      <w:r w:rsidR="00A616E4" w:rsidRPr="004A4716">
        <w:rPr>
          <w:rFonts w:ascii="Times New Roman" w:hAnsi="Times New Roman" w:cs="Times New Roman"/>
          <w:sz w:val="23"/>
          <w:szCs w:val="23"/>
        </w:rPr>
        <w:t xml:space="preserve">73% </w:t>
      </w:r>
      <w:r w:rsidRPr="004A4716">
        <w:rPr>
          <w:rFonts w:ascii="Times New Roman" w:hAnsi="Times New Roman" w:cs="Times New Roman"/>
          <w:sz w:val="23"/>
          <w:szCs w:val="23"/>
        </w:rPr>
        <w:t xml:space="preserve">of the students served were ABE level students and </w:t>
      </w:r>
      <w:r w:rsidR="00A616E4" w:rsidRPr="004A4716">
        <w:rPr>
          <w:rFonts w:ascii="Times New Roman" w:hAnsi="Times New Roman" w:cs="Times New Roman"/>
          <w:sz w:val="23"/>
          <w:szCs w:val="23"/>
        </w:rPr>
        <w:t xml:space="preserve">18% </w:t>
      </w:r>
      <w:r w:rsidRPr="004A4716">
        <w:rPr>
          <w:rFonts w:ascii="Times New Roman" w:hAnsi="Times New Roman" w:cs="Times New Roman"/>
          <w:sz w:val="23"/>
          <w:szCs w:val="23"/>
        </w:rPr>
        <w:t>of the students served were ESL level students</w:t>
      </w:r>
      <w:r w:rsidR="00F91661" w:rsidRPr="004A4716">
        <w:rPr>
          <w:rFonts w:ascii="Times New Roman" w:hAnsi="Times New Roman" w:cs="Times New Roman"/>
          <w:sz w:val="23"/>
          <w:szCs w:val="23"/>
        </w:rPr>
        <w:t>.</w:t>
      </w:r>
      <w:r w:rsidRPr="004A4716">
        <w:rPr>
          <w:rFonts w:ascii="Times New Roman" w:hAnsi="Times New Roman" w:cs="Times New Roman"/>
          <w:sz w:val="23"/>
          <w:szCs w:val="23"/>
        </w:rPr>
        <w:t xml:space="preserve"> (NRS Tables 1&amp;3).</w:t>
      </w:r>
      <w:r w:rsidR="00F57C87" w:rsidRPr="004A4716">
        <w:rPr>
          <w:rFonts w:ascii="Times New Roman" w:hAnsi="Times New Roman" w:cs="Times New Roman"/>
          <w:sz w:val="23"/>
          <w:szCs w:val="23"/>
        </w:rPr>
        <w:t xml:space="preserve"> </w:t>
      </w:r>
    </w:p>
    <w:p w:rsidR="00764992" w:rsidRPr="004A4716" w:rsidRDefault="00764992" w:rsidP="00764992">
      <w:pPr>
        <w:pStyle w:val="ListParagraph"/>
        <w:numPr>
          <w:ilvl w:val="0"/>
          <w:numId w:val="6"/>
        </w:numPr>
        <w:rPr>
          <w:rFonts w:ascii="Times New Roman" w:hAnsi="Times New Roman" w:cs="Times New Roman"/>
          <w:sz w:val="23"/>
          <w:szCs w:val="23"/>
        </w:rPr>
      </w:pPr>
      <w:r w:rsidRPr="004A4716">
        <w:rPr>
          <w:rFonts w:ascii="Times New Roman" w:hAnsi="Times New Roman" w:cs="Times New Roman"/>
          <w:sz w:val="23"/>
          <w:szCs w:val="23"/>
        </w:rPr>
        <w:t>The LCTCS’s monitoring procedures included analysis of data and program performance through mo</w:t>
      </w:r>
      <w:r w:rsidR="00564346" w:rsidRPr="004A4716">
        <w:rPr>
          <w:rFonts w:ascii="Times New Roman" w:hAnsi="Times New Roman" w:cs="Times New Roman"/>
          <w:sz w:val="23"/>
          <w:szCs w:val="23"/>
        </w:rPr>
        <w:t xml:space="preserve">nthly data submissions and </w:t>
      </w:r>
      <w:r w:rsidRPr="004A4716">
        <w:rPr>
          <w:rFonts w:ascii="Times New Roman" w:hAnsi="Times New Roman" w:cs="Times New Roman"/>
          <w:sz w:val="23"/>
          <w:szCs w:val="23"/>
        </w:rPr>
        <w:t xml:space="preserve">desk reviews. Based upon desk reviews, state staff requested local data documentation according to a risk assessment determination.  Follow-up onsite visits were conducted when warranted.  </w:t>
      </w:r>
    </w:p>
    <w:p w:rsidR="00764992" w:rsidRPr="004A4716" w:rsidRDefault="00764992" w:rsidP="00764992">
      <w:pPr>
        <w:pStyle w:val="ListParagraph"/>
        <w:numPr>
          <w:ilvl w:val="0"/>
          <w:numId w:val="6"/>
        </w:numPr>
        <w:rPr>
          <w:rFonts w:ascii="Times New Roman" w:hAnsi="Times New Roman" w:cs="Times New Roman"/>
          <w:sz w:val="23"/>
          <w:szCs w:val="23"/>
        </w:rPr>
      </w:pPr>
      <w:r w:rsidRPr="004A4716">
        <w:rPr>
          <w:rFonts w:ascii="Times New Roman" w:hAnsi="Times New Roman" w:cs="Times New Roman"/>
          <w:sz w:val="23"/>
          <w:szCs w:val="23"/>
        </w:rPr>
        <w:t xml:space="preserve">During </w:t>
      </w:r>
      <w:r w:rsidR="00F57C87" w:rsidRPr="004A4716">
        <w:rPr>
          <w:rFonts w:ascii="Times New Roman" w:hAnsi="Times New Roman" w:cs="Times New Roman"/>
          <w:sz w:val="23"/>
          <w:szCs w:val="23"/>
        </w:rPr>
        <w:t>2016-2017</w:t>
      </w:r>
      <w:r w:rsidRPr="004A4716">
        <w:rPr>
          <w:rFonts w:ascii="Times New Roman" w:hAnsi="Times New Roman" w:cs="Times New Roman"/>
          <w:sz w:val="23"/>
          <w:szCs w:val="23"/>
        </w:rPr>
        <w:t>, Louisiana’s onsite monitoring instrument and philosophy utilized a risk-assessment model that incorporates six vital modules - data, recruitment/retention, classroom activities, records/reports, partnerships, and finance in an effort to model the USDE/OCTAE instrument and place emphasis on what is valued an</w:t>
      </w:r>
      <w:r w:rsidR="00B62E92" w:rsidRPr="004A4716">
        <w:rPr>
          <w:rFonts w:ascii="Times New Roman" w:hAnsi="Times New Roman" w:cs="Times New Roman"/>
          <w:sz w:val="23"/>
          <w:szCs w:val="23"/>
        </w:rPr>
        <w:t>d consistent with the WR</w:t>
      </w:r>
      <w:r w:rsidRPr="004A4716">
        <w:rPr>
          <w:rFonts w:ascii="Times New Roman" w:hAnsi="Times New Roman" w:cs="Times New Roman"/>
          <w:sz w:val="23"/>
          <w:szCs w:val="23"/>
        </w:rPr>
        <w:t>U blueprint.  Onsite visits included an examination of student files, student attendance records, and program data submitted through the statewide data management system. Monitoring reports were prepared after each onsite monitoring visit. Sites that were non-compliant/had findings received recommendations for program improvements.  Programs were given 30 days to prepare and submit a written plan of action describing the plan of resolution. State staff were assigned to ensure all plans are adhered to and non-compliance addressed in a detailed follow-up process to ensure that a resolution has been determined and put into effect.</w:t>
      </w:r>
    </w:p>
    <w:p w:rsidR="00764992" w:rsidRPr="004A4716" w:rsidRDefault="00764992" w:rsidP="00764992">
      <w:pPr>
        <w:pStyle w:val="ListParagraph"/>
        <w:numPr>
          <w:ilvl w:val="0"/>
          <w:numId w:val="6"/>
        </w:numPr>
        <w:rPr>
          <w:rFonts w:ascii="Times New Roman" w:hAnsi="Times New Roman" w:cs="Times New Roman"/>
          <w:sz w:val="23"/>
          <w:szCs w:val="23"/>
        </w:rPr>
      </w:pPr>
      <w:r w:rsidRPr="004A4716">
        <w:rPr>
          <w:rFonts w:ascii="Times New Roman" w:hAnsi="Times New Roman" w:cs="Times New Roman"/>
          <w:sz w:val="23"/>
          <w:szCs w:val="23"/>
        </w:rPr>
        <w:t xml:space="preserve">Technical assistance was ongoing to all projects, with a focus on and follow-up given to sites with indicated findings and low performance outcomes.  Future funding may be impacted for sub-grantees who fail to meet corrective compliance measures or continue to perform poorly. </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WRU continued to utilize established techniques for providing technical assistance to programs.  The three procedures included: performance target negotiations, development of a risk assessment model and enhancing the quarterly review process.  Program performance negotiations jointly analyzed individual program data and established baseline performance goals for the fiscal year.  The risk assessment model was used to identify programs with low performance data and guided the State in providing targeted technical assistance. Enhanced quarterly reviews included a red, yellow, green risk analysis that ranked and highlighted performance in NRS core measures, target population and adherence to the assessment policy.  This system was put in place to help both WRU and program staff identify areas for improvement, technical assistance, and professional development.</w:t>
      </w:r>
    </w:p>
    <w:p w:rsidR="00764992" w:rsidRPr="004A4716" w:rsidRDefault="00764992" w:rsidP="00764992">
      <w:pPr>
        <w:pStyle w:val="ListParagraph"/>
        <w:numPr>
          <w:ilvl w:val="0"/>
          <w:numId w:val="5"/>
        </w:numPr>
        <w:rPr>
          <w:rFonts w:ascii="Times New Roman" w:hAnsi="Times New Roman" w:cs="Times New Roman"/>
          <w:sz w:val="23"/>
          <w:szCs w:val="23"/>
        </w:rPr>
      </w:pPr>
      <w:r w:rsidRPr="004A4716">
        <w:rPr>
          <w:rFonts w:ascii="Times New Roman" w:hAnsi="Times New Roman" w:cs="Times New Roman"/>
          <w:sz w:val="23"/>
          <w:szCs w:val="23"/>
        </w:rPr>
        <w:t xml:space="preserve">The LCTCS Internal Audit Division conducted onsite fiscal monitoring during FY </w:t>
      </w:r>
      <w:r w:rsidR="00F57C87" w:rsidRPr="004A4716">
        <w:rPr>
          <w:rFonts w:ascii="Times New Roman" w:hAnsi="Times New Roman" w:cs="Times New Roman"/>
          <w:sz w:val="23"/>
          <w:szCs w:val="23"/>
        </w:rPr>
        <w:t>2016-2017</w:t>
      </w:r>
      <w:r w:rsidRPr="004A4716">
        <w:rPr>
          <w:rFonts w:ascii="Times New Roman" w:hAnsi="Times New Roman" w:cs="Times New Roman"/>
          <w:sz w:val="23"/>
          <w:szCs w:val="23"/>
        </w:rPr>
        <w:t xml:space="preserve">.  Based upon fiscal desk audits which examined program budgets and reimbursement claims, a risk assessment was determined.  Onsite visits were scheduled with identified recipients to determine if expenses were reasonable, allocable, and allowable as required by the U.S. Education Department’s Office of Inspector General (OIG), Office of Career, Technical and Adult Education (OCTAE), AEFLA, the Education Department General Administrative Regulations (EDGAR), and the Uniform Administrative Requirements, Cost Principles and Audit Requirements for Federal Awards (2 C.F.R. Part 200 or Part 200).  </w:t>
      </w:r>
    </w:p>
    <w:p w:rsidR="00764992" w:rsidRPr="004A4716" w:rsidRDefault="00267E7B" w:rsidP="00764992">
      <w:pPr>
        <w:pStyle w:val="ListParagraph"/>
        <w:numPr>
          <w:ilvl w:val="0"/>
          <w:numId w:val="5"/>
        </w:numPr>
        <w:rPr>
          <w:rFonts w:ascii="Times New Roman" w:hAnsi="Times New Roman" w:cs="Times New Roman"/>
          <w:sz w:val="23"/>
          <w:szCs w:val="23"/>
        </w:rPr>
      </w:pPr>
      <w:r w:rsidRPr="004A4716">
        <w:rPr>
          <w:rFonts w:ascii="Times New Roman" w:hAnsi="Times New Roman" w:cs="Times New Roman"/>
          <w:sz w:val="23"/>
          <w:szCs w:val="23"/>
        </w:rPr>
        <w:t>Providers were trained on the WR</w:t>
      </w:r>
      <w:r w:rsidR="00764992" w:rsidRPr="004A4716">
        <w:rPr>
          <w:rFonts w:ascii="Times New Roman" w:hAnsi="Times New Roman" w:cs="Times New Roman"/>
          <w:sz w:val="23"/>
          <w:szCs w:val="23"/>
        </w:rPr>
        <w:t xml:space="preserve">U Recipient Grant Management Handbook. The purpose of the handbook is to provide recipients with a single point of reference for managing/expending all federal </w:t>
      </w:r>
      <w:r w:rsidRPr="004A4716">
        <w:rPr>
          <w:rFonts w:ascii="Times New Roman" w:hAnsi="Times New Roman" w:cs="Times New Roman"/>
          <w:sz w:val="23"/>
          <w:szCs w:val="23"/>
        </w:rPr>
        <w:t>AEFLA</w:t>
      </w:r>
      <w:r w:rsidR="00764992" w:rsidRPr="004A4716">
        <w:rPr>
          <w:rFonts w:ascii="Times New Roman" w:hAnsi="Times New Roman" w:cs="Times New Roman"/>
          <w:sz w:val="23"/>
          <w:szCs w:val="23"/>
        </w:rPr>
        <w:t xml:space="preserve"> funds and to set forth the policies, procedures and guidelines intended to assist in the proper administration programs at the local level.  The handbook provides programmatic information on how AEFLA funds are to be used at the local level.  It includes information on the process used by the Louisiana Community and Technical College System (LCTCS) to review budget information; the process by which successful applicants request reimbursement; how to determine whether a cost is allowable; required fiscal and programmatic reports and their respective due dates; and t</w:t>
      </w:r>
      <w:r w:rsidR="0027182A" w:rsidRPr="004A4716">
        <w:rPr>
          <w:rFonts w:ascii="Times New Roman" w:hAnsi="Times New Roman" w:cs="Times New Roman"/>
          <w:sz w:val="23"/>
          <w:szCs w:val="23"/>
        </w:rPr>
        <w:t>he process used by WRU</w:t>
      </w:r>
      <w:r w:rsidR="00764992" w:rsidRPr="004A4716">
        <w:rPr>
          <w:rFonts w:ascii="Times New Roman" w:hAnsi="Times New Roman" w:cs="Times New Roman"/>
          <w:sz w:val="23"/>
          <w:szCs w:val="23"/>
        </w:rPr>
        <w:t xml:space="preserve"> to monitor eligible recipients for compliance.  </w:t>
      </w:r>
    </w:p>
    <w:p w:rsidR="00764992" w:rsidRPr="004A4716" w:rsidRDefault="00764992" w:rsidP="00764992">
      <w:pPr>
        <w:rPr>
          <w:rFonts w:ascii="Times New Roman" w:hAnsi="Times New Roman" w:cs="Times New Roman"/>
          <w:b/>
          <w:sz w:val="23"/>
          <w:szCs w:val="23"/>
        </w:rPr>
      </w:pPr>
      <w:r w:rsidRPr="004A4716">
        <w:rPr>
          <w:rFonts w:ascii="Times New Roman" w:hAnsi="Times New Roman" w:cs="Times New Roman"/>
          <w:b/>
          <w:sz w:val="23"/>
          <w:szCs w:val="23"/>
        </w:rPr>
        <w:t>Goal 2: To develop new models for service delivery and outreach</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 xml:space="preserve">The Louisiana Adult Education Program student demographics for FY </w:t>
      </w:r>
      <w:r w:rsidR="00F57C87" w:rsidRPr="004A4716">
        <w:rPr>
          <w:rFonts w:ascii="Times New Roman" w:hAnsi="Times New Roman" w:cs="Times New Roman"/>
          <w:sz w:val="23"/>
          <w:szCs w:val="23"/>
        </w:rPr>
        <w:t xml:space="preserve">2016-2017 </w:t>
      </w:r>
      <w:r w:rsidRPr="004A4716">
        <w:rPr>
          <w:rFonts w:ascii="Times New Roman" w:hAnsi="Times New Roman" w:cs="Times New Roman"/>
          <w:sz w:val="23"/>
          <w:szCs w:val="23"/>
        </w:rPr>
        <w:t xml:space="preserve">consisted of </w:t>
      </w:r>
      <w:r w:rsidR="00F57C87" w:rsidRPr="004A4716">
        <w:rPr>
          <w:rFonts w:ascii="Times New Roman" w:hAnsi="Times New Roman" w:cs="Times New Roman"/>
          <w:sz w:val="23"/>
          <w:szCs w:val="23"/>
        </w:rPr>
        <w:t xml:space="preserve">73% </w:t>
      </w:r>
      <w:r w:rsidRPr="004A4716">
        <w:rPr>
          <w:rFonts w:ascii="Times New Roman" w:hAnsi="Times New Roman" w:cs="Times New Roman"/>
          <w:sz w:val="23"/>
          <w:szCs w:val="23"/>
        </w:rPr>
        <w:t xml:space="preserve">adult basic education (ABE) students </w:t>
      </w:r>
      <w:r w:rsidR="00F57C87" w:rsidRPr="004A4716">
        <w:rPr>
          <w:rFonts w:ascii="Times New Roman" w:hAnsi="Times New Roman" w:cs="Times New Roman"/>
          <w:sz w:val="23"/>
          <w:szCs w:val="23"/>
        </w:rPr>
        <w:t>9%</w:t>
      </w:r>
      <w:r w:rsidRPr="004A4716">
        <w:rPr>
          <w:rFonts w:ascii="Times New Roman" w:hAnsi="Times New Roman" w:cs="Times New Roman"/>
          <w:sz w:val="23"/>
          <w:szCs w:val="23"/>
        </w:rPr>
        <w:t xml:space="preserve"> adult secondary education (ASE), and </w:t>
      </w:r>
      <w:r w:rsidR="00F57C87" w:rsidRPr="004A4716">
        <w:rPr>
          <w:rFonts w:ascii="Times New Roman" w:hAnsi="Times New Roman" w:cs="Times New Roman"/>
          <w:sz w:val="23"/>
          <w:szCs w:val="23"/>
        </w:rPr>
        <w:t xml:space="preserve">18% </w:t>
      </w:r>
      <w:r w:rsidRPr="004A4716">
        <w:rPr>
          <w:rFonts w:ascii="Times New Roman" w:hAnsi="Times New Roman" w:cs="Times New Roman"/>
          <w:sz w:val="23"/>
          <w:szCs w:val="23"/>
        </w:rPr>
        <w:t>English-as-a-Second Language (ESL) students (NRS Tables 1&amp;3). Louisiana is at a cross road as the economy rebounds and the skills gap wid</w:t>
      </w:r>
      <w:r w:rsidR="008E596D" w:rsidRPr="004A4716">
        <w:rPr>
          <w:rFonts w:ascii="Times New Roman" w:hAnsi="Times New Roman" w:cs="Times New Roman"/>
          <w:sz w:val="23"/>
          <w:szCs w:val="23"/>
        </w:rPr>
        <w:t>ens in the workforce. WR</w:t>
      </w:r>
      <w:r w:rsidRPr="004A4716">
        <w:rPr>
          <w:rFonts w:ascii="Times New Roman" w:hAnsi="Times New Roman" w:cs="Times New Roman"/>
          <w:sz w:val="23"/>
          <w:szCs w:val="23"/>
        </w:rPr>
        <w:t>U is committed to serving all undereducated and underemployed citizens to meet the growing workforce needs and provide opportunity to family sustainable employment.</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Leadership funds were used to support grants to scale innovative practices</w:t>
      </w:r>
      <w:r w:rsidR="00357E4E" w:rsidRPr="004A4716">
        <w:rPr>
          <w:rFonts w:ascii="Times New Roman" w:hAnsi="Times New Roman" w:cs="Times New Roman"/>
          <w:sz w:val="23"/>
          <w:szCs w:val="23"/>
        </w:rPr>
        <w:t xml:space="preserve">, local program implementation and continuous improvement, integration, alignment </w:t>
      </w:r>
      <w:r w:rsidR="007C5C0E" w:rsidRPr="004A4716">
        <w:rPr>
          <w:rFonts w:ascii="Times New Roman" w:hAnsi="Times New Roman" w:cs="Times New Roman"/>
          <w:sz w:val="23"/>
          <w:szCs w:val="23"/>
        </w:rPr>
        <w:t xml:space="preserve">and </w:t>
      </w:r>
      <w:r w:rsidR="00357E4E" w:rsidRPr="004A4716">
        <w:rPr>
          <w:rFonts w:ascii="Times New Roman" w:hAnsi="Times New Roman" w:cs="Times New Roman"/>
          <w:sz w:val="23"/>
          <w:szCs w:val="23"/>
        </w:rPr>
        <w:t xml:space="preserve">capacity building </w:t>
      </w:r>
      <w:r w:rsidR="007C5C0E" w:rsidRPr="004A4716">
        <w:rPr>
          <w:rFonts w:ascii="Times New Roman" w:hAnsi="Times New Roman" w:cs="Times New Roman"/>
          <w:sz w:val="23"/>
          <w:szCs w:val="23"/>
        </w:rPr>
        <w:t xml:space="preserve">activities within our network and </w:t>
      </w:r>
      <w:r w:rsidR="00357E4E" w:rsidRPr="004A4716">
        <w:rPr>
          <w:rFonts w:ascii="Times New Roman" w:hAnsi="Times New Roman" w:cs="Times New Roman"/>
          <w:sz w:val="23"/>
          <w:szCs w:val="23"/>
        </w:rPr>
        <w:t>with the workforce system</w:t>
      </w:r>
      <w:r w:rsidR="007C5C0E" w:rsidRPr="004A4716">
        <w:rPr>
          <w:rFonts w:ascii="Times New Roman" w:hAnsi="Times New Roman" w:cs="Times New Roman"/>
          <w:sz w:val="23"/>
          <w:szCs w:val="23"/>
        </w:rPr>
        <w:t>.</w:t>
      </w:r>
    </w:p>
    <w:p w:rsidR="008C0AC9" w:rsidRPr="004A4716" w:rsidRDefault="008C0AC9" w:rsidP="00764992">
      <w:pPr>
        <w:rPr>
          <w:rFonts w:ascii="Times New Roman" w:hAnsi="Times New Roman" w:cs="Times New Roman"/>
          <w:sz w:val="23"/>
          <w:szCs w:val="23"/>
        </w:rPr>
      </w:pPr>
    </w:p>
    <w:p w:rsidR="00764992" w:rsidRPr="004A4716" w:rsidRDefault="00764992" w:rsidP="00764992">
      <w:pPr>
        <w:rPr>
          <w:rFonts w:ascii="Times New Roman" w:hAnsi="Times New Roman" w:cs="Times New Roman"/>
          <w:b/>
          <w:sz w:val="23"/>
          <w:szCs w:val="23"/>
        </w:rPr>
      </w:pPr>
      <w:r w:rsidRPr="004A4716">
        <w:rPr>
          <w:rFonts w:ascii="Times New Roman" w:hAnsi="Times New Roman" w:cs="Times New Roman"/>
          <w:b/>
          <w:sz w:val="23"/>
          <w:szCs w:val="23"/>
        </w:rPr>
        <w:t>Goal 3: To expand the use of technology as a tool for teaching and learning</w:t>
      </w:r>
    </w:p>
    <w:p w:rsidR="005E266F" w:rsidRPr="004A4716" w:rsidRDefault="00764992" w:rsidP="00645295">
      <w:pPr>
        <w:rPr>
          <w:rFonts w:ascii="Times New Roman" w:eastAsia="Times New Roman" w:hAnsi="Times New Roman" w:cs="Times New Roman"/>
          <w:sz w:val="23"/>
          <w:szCs w:val="23"/>
        </w:rPr>
      </w:pPr>
      <w:proofErr w:type="spellStart"/>
      <w:r w:rsidRPr="004A4716">
        <w:rPr>
          <w:rFonts w:ascii="Times New Roman" w:hAnsi="Times New Roman" w:cs="Times New Roman"/>
          <w:sz w:val="23"/>
          <w:szCs w:val="23"/>
        </w:rPr>
        <w:t>WorkReady</w:t>
      </w:r>
      <w:proofErr w:type="spellEnd"/>
      <w:r w:rsidRPr="004A4716">
        <w:rPr>
          <w:rFonts w:ascii="Times New Roman" w:hAnsi="Times New Roman" w:cs="Times New Roman"/>
          <w:sz w:val="23"/>
          <w:szCs w:val="23"/>
        </w:rPr>
        <w:t xml:space="preserve"> U strives to improve upon and expand the opportunities that are available to adult education providers and students by offering multiple outlets for the increased use of technology in the classroom</w:t>
      </w:r>
      <w:r w:rsidR="005E266F" w:rsidRPr="004A4716">
        <w:rPr>
          <w:rFonts w:ascii="Times New Roman" w:hAnsi="Times New Roman" w:cs="Times New Roman"/>
          <w:sz w:val="23"/>
          <w:szCs w:val="23"/>
        </w:rPr>
        <w:t>.  The online platform, Canvas,</w:t>
      </w:r>
      <w:r w:rsidRPr="004A4716">
        <w:rPr>
          <w:rFonts w:ascii="Times New Roman" w:hAnsi="Times New Roman" w:cs="Times New Roman"/>
          <w:sz w:val="23"/>
          <w:szCs w:val="23"/>
        </w:rPr>
        <w:t xml:space="preserve"> </w:t>
      </w:r>
      <w:r w:rsidR="005E266F" w:rsidRPr="004A4716">
        <w:rPr>
          <w:rFonts w:ascii="Times New Roman" w:hAnsi="Times New Roman" w:cs="Times New Roman"/>
          <w:sz w:val="23"/>
          <w:szCs w:val="23"/>
        </w:rPr>
        <w:t>maintained</w:t>
      </w:r>
      <w:r w:rsidRPr="004A4716">
        <w:rPr>
          <w:rFonts w:ascii="Times New Roman" w:hAnsi="Times New Roman" w:cs="Times New Roman"/>
          <w:sz w:val="23"/>
          <w:szCs w:val="23"/>
        </w:rPr>
        <w:t xml:space="preserve"> </w:t>
      </w:r>
      <w:r w:rsidR="005E266F" w:rsidRPr="004A4716">
        <w:rPr>
          <w:rFonts w:ascii="Times New Roman" w:eastAsia="Times New Roman" w:hAnsi="Times New Roman" w:cs="Times New Roman"/>
          <w:sz w:val="23"/>
          <w:szCs w:val="23"/>
        </w:rPr>
        <w:t>interactive courses that supported the WRU mission to expand integrate</w:t>
      </w:r>
      <w:r w:rsidR="00EE2F31" w:rsidRPr="004A4716">
        <w:rPr>
          <w:rFonts w:ascii="Times New Roman" w:eastAsia="Times New Roman" w:hAnsi="Times New Roman" w:cs="Times New Roman"/>
          <w:sz w:val="23"/>
          <w:szCs w:val="23"/>
        </w:rPr>
        <w:t>d</w:t>
      </w:r>
      <w:r w:rsidR="005E266F" w:rsidRPr="004A4716">
        <w:rPr>
          <w:rFonts w:ascii="Times New Roman" w:eastAsia="Times New Roman" w:hAnsi="Times New Roman" w:cs="Times New Roman"/>
          <w:sz w:val="23"/>
          <w:szCs w:val="23"/>
        </w:rPr>
        <w:t xml:space="preserve"> career pathway instructional delivery, utilize</w:t>
      </w:r>
      <w:r w:rsidR="005E266F" w:rsidRPr="004A4716">
        <w:rPr>
          <w:rFonts w:ascii="Times New Roman" w:eastAsia="Times New Roman" w:hAnsi="Times New Roman" w:cs="Times New Roman"/>
          <w:i/>
          <w:sz w:val="23"/>
          <w:szCs w:val="23"/>
        </w:rPr>
        <w:t xml:space="preserve"> College and Career Readiness Standards for Adult Education (CCRS)</w:t>
      </w:r>
      <w:r w:rsidR="005E266F" w:rsidRPr="004A4716">
        <w:rPr>
          <w:rFonts w:ascii="Times New Roman" w:eastAsia="Times New Roman" w:hAnsi="Times New Roman" w:cs="Times New Roman"/>
          <w:sz w:val="23"/>
          <w:szCs w:val="23"/>
        </w:rPr>
        <w:t xml:space="preserve"> as the framework for instruction in the WRU classroom, </w:t>
      </w:r>
      <w:proofErr w:type="gramStart"/>
      <w:r w:rsidR="00DE0A21" w:rsidRPr="004A4716">
        <w:rPr>
          <w:rFonts w:ascii="Times New Roman" w:eastAsia="Times New Roman" w:hAnsi="Times New Roman" w:cs="Times New Roman"/>
          <w:sz w:val="23"/>
          <w:szCs w:val="23"/>
        </w:rPr>
        <w:t>provide</w:t>
      </w:r>
      <w:proofErr w:type="gramEnd"/>
      <w:r w:rsidR="005E266F" w:rsidRPr="004A4716">
        <w:rPr>
          <w:rFonts w:ascii="Times New Roman" w:eastAsia="Times New Roman" w:hAnsi="Times New Roman" w:cs="Times New Roman"/>
          <w:sz w:val="23"/>
          <w:szCs w:val="23"/>
        </w:rPr>
        <w:t xml:space="preserve"> </w:t>
      </w:r>
      <w:r w:rsidR="00757606" w:rsidRPr="004A4716">
        <w:rPr>
          <w:rFonts w:ascii="Times New Roman" w:hAnsi="Times New Roman" w:cs="Times New Roman"/>
          <w:sz w:val="23"/>
          <w:szCs w:val="23"/>
        </w:rPr>
        <w:t xml:space="preserve">adult education </w:t>
      </w:r>
      <w:r w:rsidR="00645295" w:rsidRPr="004A4716">
        <w:rPr>
          <w:rFonts w:ascii="Times New Roman" w:hAnsi="Times New Roman" w:cs="Times New Roman"/>
          <w:sz w:val="23"/>
          <w:szCs w:val="23"/>
        </w:rPr>
        <w:t>teacher certification course</w:t>
      </w:r>
      <w:r w:rsidR="000F23C6" w:rsidRPr="004A4716">
        <w:rPr>
          <w:rFonts w:ascii="Times New Roman" w:hAnsi="Times New Roman" w:cs="Times New Roman"/>
          <w:sz w:val="23"/>
          <w:szCs w:val="23"/>
        </w:rPr>
        <w:t>s</w:t>
      </w:r>
      <w:r w:rsidR="00645295" w:rsidRPr="004A4716">
        <w:rPr>
          <w:rFonts w:ascii="Times New Roman" w:hAnsi="Times New Roman" w:cs="Times New Roman"/>
          <w:sz w:val="23"/>
          <w:szCs w:val="23"/>
        </w:rPr>
        <w:t xml:space="preserve"> </w:t>
      </w:r>
      <w:r w:rsidRPr="004A4716">
        <w:rPr>
          <w:rFonts w:ascii="Times New Roman" w:hAnsi="Times New Roman" w:cs="Times New Roman"/>
          <w:sz w:val="23"/>
          <w:szCs w:val="23"/>
        </w:rPr>
        <w:t>and special projects</w:t>
      </w:r>
      <w:r w:rsidR="00757606" w:rsidRPr="004A4716">
        <w:rPr>
          <w:rFonts w:ascii="Times New Roman" w:hAnsi="Times New Roman" w:cs="Times New Roman"/>
          <w:sz w:val="23"/>
          <w:szCs w:val="23"/>
        </w:rPr>
        <w:t xml:space="preserve"> for WRU instructors</w:t>
      </w:r>
      <w:r w:rsidR="00EE2F31" w:rsidRPr="004A4716">
        <w:rPr>
          <w:rFonts w:ascii="Times New Roman" w:hAnsi="Times New Roman" w:cs="Times New Roman"/>
          <w:sz w:val="23"/>
          <w:szCs w:val="23"/>
        </w:rPr>
        <w:t xml:space="preserve"> and administrators</w:t>
      </w:r>
      <w:r w:rsidRPr="004A4716">
        <w:rPr>
          <w:rFonts w:ascii="Times New Roman" w:hAnsi="Times New Roman" w:cs="Times New Roman"/>
          <w:sz w:val="23"/>
          <w:szCs w:val="23"/>
        </w:rPr>
        <w:t xml:space="preserve">. </w:t>
      </w:r>
    </w:p>
    <w:p w:rsidR="00764992" w:rsidRPr="004A4716" w:rsidRDefault="00764992" w:rsidP="00645295">
      <w:pPr>
        <w:rPr>
          <w:rFonts w:ascii="Times New Roman" w:hAnsi="Times New Roman" w:cs="Times New Roman"/>
          <w:sz w:val="23"/>
          <w:szCs w:val="23"/>
        </w:rPr>
      </w:pPr>
      <w:proofErr w:type="spellStart"/>
      <w:r w:rsidRPr="004A4716">
        <w:rPr>
          <w:rFonts w:ascii="Times New Roman" w:hAnsi="Times New Roman" w:cs="Times New Roman"/>
          <w:sz w:val="23"/>
          <w:szCs w:val="23"/>
        </w:rPr>
        <w:t>WorkReady</w:t>
      </w:r>
      <w:proofErr w:type="spellEnd"/>
      <w:r w:rsidRPr="004A4716">
        <w:rPr>
          <w:rFonts w:ascii="Times New Roman" w:hAnsi="Times New Roman" w:cs="Times New Roman"/>
          <w:sz w:val="23"/>
          <w:szCs w:val="23"/>
        </w:rPr>
        <w:t xml:space="preserve"> U providers were encouraged to compete for innovation grants to further explore the limitless potential of technology in the educational space.</w:t>
      </w:r>
      <w:r w:rsidR="00805712" w:rsidRPr="004A4716">
        <w:rPr>
          <w:rFonts w:ascii="Times New Roman" w:hAnsi="Times New Roman" w:cs="Times New Roman"/>
          <w:sz w:val="23"/>
          <w:szCs w:val="23"/>
        </w:rPr>
        <w:t xml:space="preserve"> During FY</w:t>
      </w:r>
      <w:r w:rsidR="009A34DA" w:rsidRPr="004A4716">
        <w:rPr>
          <w:rFonts w:ascii="Times New Roman" w:hAnsi="Times New Roman" w:cs="Times New Roman"/>
          <w:sz w:val="23"/>
          <w:szCs w:val="23"/>
        </w:rPr>
        <w:t xml:space="preserve"> </w:t>
      </w:r>
      <w:r w:rsidR="00805712" w:rsidRPr="004A4716">
        <w:rPr>
          <w:rFonts w:ascii="Times New Roman" w:hAnsi="Times New Roman" w:cs="Times New Roman"/>
          <w:sz w:val="23"/>
          <w:szCs w:val="23"/>
        </w:rPr>
        <w:t xml:space="preserve">2016-2017, WRU moved forward with the implementation of a statewide distance learning pilot project, </w:t>
      </w:r>
      <w:proofErr w:type="spellStart"/>
      <w:r w:rsidR="00805712" w:rsidRPr="004A4716">
        <w:rPr>
          <w:rFonts w:ascii="Times New Roman" w:hAnsi="Times New Roman" w:cs="Times New Roman"/>
          <w:i/>
          <w:sz w:val="23"/>
          <w:szCs w:val="23"/>
        </w:rPr>
        <w:t>eLearn</w:t>
      </w:r>
      <w:proofErr w:type="spellEnd"/>
      <w:r w:rsidR="00805712" w:rsidRPr="004A4716">
        <w:rPr>
          <w:rFonts w:ascii="Times New Roman" w:hAnsi="Times New Roman" w:cs="Times New Roman"/>
          <w:i/>
          <w:sz w:val="23"/>
          <w:szCs w:val="23"/>
        </w:rPr>
        <w:t xml:space="preserve"> Project</w:t>
      </w:r>
      <w:r w:rsidR="00805712" w:rsidRPr="004A4716">
        <w:rPr>
          <w:rFonts w:ascii="Times New Roman" w:hAnsi="Times New Roman" w:cs="Times New Roman"/>
          <w:sz w:val="23"/>
          <w:szCs w:val="23"/>
        </w:rPr>
        <w:t xml:space="preserve">. The </w:t>
      </w:r>
      <w:proofErr w:type="spellStart"/>
      <w:r w:rsidR="00805712" w:rsidRPr="004A4716">
        <w:rPr>
          <w:rFonts w:ascii="Times New Roman" w:hAnsi="Times New Roman" w:cs="Times New Roman"/>
          <w:i/>
          <w:sz w:val="23"/>
          <w:szCs w:val="23"/>
        </w:rPr>
        <w:t>eLearn</w:t>
      </w:r>
      <w:proofErr w:type="spellEnd"/>
      <w:r w:rsidR="00805712" w:rsidRPr="004A4716">
        <w:rPr>
          <w:rFonts w:ascii="Times New Roman" w:hAnsi="Times New Roman" w:cs="Times New Roman"/>
          <w:i/>
          <w:sz w:val="23"/>
          <w:szCs w:val="23"/>
        </w:rPr>
        <w:t xml:space="preserve"> Project</w:t>
      </w:r>
      <w:r w:rsidR="00805712" w:rsidRPr="004A4716">
        <w:rPr>
          <w:rFonts w:ascii="Times New Roman" w:hAnsi="Times New Roman" w:cs="Times New Roman"/>
          <w:sz w:val="23"/>
          <w:szCs w:val="23"/>
        </w:rPr>
        <w:t xml:space="preserve"> provides an interactive comprehensive curriculum aligned with the </w:t>
      </w:r>
      <w:r w:rsidR="00805712" w:rsidRPr="004A4716">
        <w:rPr>
          <w:rFonts w:ascii="Times New Roman" w:eastAsia="Times New Roman" w:hAnsi="Times New Roman" w:cs="Times New Roman"/>
          <w:i/>
          <w:sz w:val="23"/>
          <w:szCs w:val="23"/>
        </w:rPr>
        <w:t xml:space="preserve">College and Career Readiness Standards for Adult Education (CCRS).  </w:t>
      </w:r>
      <w:r w:rsidR="00805712" w:rsidRPr="004A4716">
        <w:rPr>
          <w:rFonts w:ascii="Times New Roman" w:eastAsia="Times New Roman" w:hAnsi="Times New Roman" w:cs="Times New Roman"/>
          <w:sz w:val="23"/>
          <w:szCs w:val="23"/>
        </w:rPr>
        <w:t xml:space="preserve">The </w:t>
      </w:r>
      <w:r w:rsidR="00805712" w:rsidRPr="004A4716">
        <w:rPr>
          <w:rFonts w:ascii="Times New Roman" w:hAnsi="Times New Roman" w:cs="Times New Roman"/>
          <w:sz w:val="23"/>
          <w:szCs w:val="23"/>
        </w:rPr>
        <w:t>scope of the project is to expand service offerings and provide teaching and learning mod</w:t>
      </w:r>
      <w:r w:rsidR="00EF438E" w:rsidRPr="004A4716">
        <w:rPr>
          <w:rFonts w:ascii="Times New Roman" w:hAnsi="Times New Roman" w:cs="Times New Roman"/>
          <w:sz w:val="23"/>
          <w:szCs w:val="23"/>
        </w:rPr>
        <w:t>ules</w:t>
      </w:r>
      <w:r w:rsidR="00805712" w:rsidRPr="004A4716">
        <w:rPr>
          <w:rFonts w:ascii="Times New Roman" w:hAnsi="Times New Roman" w:cs="Times New Roman"/>
          <w:sz w:val="23"/>
          <w:szCs w:val="23"/>
        </w:rPr>
        <w:t xml:space="preserve"> in a distance or traditional classroom setting.  The long-term goal of the project is </w:t>
      </w:r>
      <w:r w:rsidR="00EF438E" w:rsidRPr="004A4716">
        <w:rPr>
          <w:rFonts w:ascii="Times New Roman" w:hAnsi="Times New Roman" w:cs="Times New Roman"/>
          <w:sz w:val="23"/>
          <w:szCs w:val="23"/>
        </w:rPr>
        <w:t xml:space="preserve">to </w:t>
      </w:r>
      <w:r w:rsidR="00805712" w:rsidRPr="004A4716">
        <w:rPr>
          <w:rFonts w:ascii="Times New Roman" w:hAnsi="Times New Roman" w:cs="Times New Roman"/>
          <w:sz w:val="23"/>
          <w:szCs w:val="23"/>
        </w:rPr>
        <w:t>develop thirteen (13) class modules that are supported by success coaches during the student</w:t>
      </w:r>
      <w:r w:rsidR="008D1A35" w:rsidRPr="004A4716">
        <w:rPr>
          <w:rFonts w:ascii="Times New Roman" w:hAnsi="Times New Roman" w:cs="Times New Roman"/>
          <w:sz w:val="23"/>
          <w:szCs w:val="23"/>
        </w:rPr>
        <w:t>s’</w:t>
      </w:r>
      <w:r w:rsidR="00805712" w:rsidRPr="004A4716">
        <w:rPr>
          <w:rFonts w:ascii="Times New Roman" w:hAnsi="Times New Roman" w:cs="Times New Roman"/>
          <w:sz w:val="23"/>
          <w:szCs w:val="23"/>
        </w:rPr>
        <w:t xml:space="preserve"> lifecycle. </w:t>
      </w:r>
      <w:r w:rsidR="00E66FE3" w:rsidRPr="004A4716">
        <w:rPr>
          <w:rFonts w:ascii="Times New Roman" w:hAnsi="Times New Roman" w:cs="Times New Roman"/>
          <w:sz w:val="23"/>
          <w:szCs w:val="23"/>
        </w:rPr>
        <w:t xml:space="preserve">The project provides the opportunity to place students at the center of learning </w:t>
      </w:r>
      <w:r w:rsidR="008D1A35" w:rsidRPr="004A4716">
        <w:rPr>
          <w:rFonts w:ascii="Times New Roman" w:hAnsi="Times New Roman" w:cs="Times New Roman"/>
          <w:sz w:val="23"/>
          <w:szCs w:val="23"/>
        </w:rPr>
        <w:t xml:space="preserve">where they have the ability </w:t>
      </w:r>
      <w:r w:rsidR="00E66FE3" w:rsidRPr="004A4716">
        <w:rPr>
          <w:rFonts w:ascii="Times New Roman" w:hAnsi="Times New Roman" w:cs="Times New Roman"/>
          <w:sz w:val="23"/>
          <w:szCs w:val="23"/>
        </w:rPr>
        <w:t xml:space="preserve">– to create, to collaborate, to reflect, and to communicate in a modern, </w:t>
      </w:r>
      <w:r w:rsidR="008D1A35" w:rsidRPr="004A4716">
        <w:rPr>
          <w:rFonts w:ascii="Times New Roman" w:hAnsi="Times New Roman" w:cs="Times New Roman"/>
          <w:sz w:val="23"/>
          <w:szCs w:val="23"/>
        </w:rPr>
        <w:t>digital</w:t>
      </w:r>
      <w:r w:rsidR="00E66FE3" w:rsidRPr="004A4716">
        <w:rPr>
          <w:rFonts w:ascii="Times New Roman" w:hAnsi="Times New Roman" w:cs="Times New Roman"/>
          <w:sz w:val="23"/>
          <w:szCs w:val="23"/>
        </w:rPr>
        <w:t xml:space="preserve"> environment.  </w:t>
      </w:r>
      <w:r w:rsidR="00EF438E" w:rsidRPr="004A4716">
        <w:rPr>
          <w:rFonts w:ascii="Times New Roman" w:hAnsi="Times New Roman" w:cs="Times New Roman"/>
          <w:sz w:val="23"/>
          <w:szCs w:val="23"/>
        </w:rPr>
        <w:t xml:space="preserve">The project will on-boarded WRU programs each quarter </w:t>
      </w:r>
      <w:r w:rsidR="00805712" w:rsidRPr="004A4716">
        <w:rPr>
          <w:rFonts w:ascii="Times New Roman" w:hAnsi="Times New Roman" w:cs="Times New Roman"/>
          <w:sz w:val="23"/>
          <w:szCs w:val="23"/>
        </w:rPr>
        <w:t xml:space="preserve">so that </w:t>
      </w:r>
      <w:r w:rsidR="00EF438E" w:rsidRPr="004A4716">
        <w:rPr>
          <w:rFonts w:ascii="Times New Roman" w:hAnsi="Times New Roman" w:cs="Times New Roman"/>
          <w:sz w:val="23"/>
          <w:szCs w:val="23"/>
        </w:rPr>
        <w:t>organizations</w:t>
      </w:r>
      <w:r w:rsidR="00805712" w:rsidRPr="004A4716">
        <w:rPr>
          <w:rFonts w:ascii="Times New Roman" w:hAnsi="Times New Roman" w:cs="Times New Roman"/>
          <w:sz w:val="23"/>
          <w:szCs w:val="23"/>
        </w:rPr>
        <w:t xml:space="preserve">, large and small, can shape the future of </w:t>
      </w:r>
      <w:r w:rsidR="00EF438E" w:rsidRPr="004A4716">
        <w:rPr>
          <w:rFonts w:ascii="Times New Roman" w:hAnsi="Times New Roman" w:cs="Times New Roman"/>
          <w:sz w:val="23"/>
          <w:szCs w:val="23"/>
        </w:rPr>
        <w:t>distance learning</w:t>
      </w:r>
      <w:r w:rsidR="00805712" w:rsidRPr="004A4716">
        <w:rPr>
          <w:rFonts w:ascii="Times New Roman" w:hAnsi="Times New Roman" w:cs="Times New Roman"/>
          <w:sz w:val="23"/>
          <w:szCs w:val="23"/>
        </w:rPr>
        <w:t xml:space="preserve"> in Louisiana. </w:t>
      </w:r>
    </w:p>
    <w:p w:rsidR="00764992" w:rsidRPr="004A4716" w:rsidRDefault="00764992" w:rsidP="00764992">
      <w:pPr>
        <w:rPr>
          <w:rFonts w:ascii="Times New Roman" w:hAnsi="Times New Roman" w:cs="Times New Roman"/>
          <w:b/>
          <w:sz w:val="23"/>
          <w:szCs w:val="23"/>
        </w:rPr>
      </w:pPr>
      <w:r w:rsidRPr="004A4716">
        <w:rPr>
          <w:rFonts w:ascii="Times New Roman" w:hAnsi="Times New Roman" w:cs="Times New Roman"/>
          <w:b/>
          <w:sz w:val="23"/>
          <w:szCs w:val="23"/>
        </w:rPr>
        <w:t>Goal 4: Professionalism of Personnel</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Louisiana had</w:t>
      </w:r>
      <w:r w:rsidR="00111093" w:rsidRPr="004A4716">
        <w:rPr>
          <w:rFonts w:ascii="Times New Roman" w:hAnsi="Times New Roman" w:cs="Times New Roman"/>
          <w:sz w:val="23"/>
          <w:szCs w:val="23"/>
        </w:rPr>
        <w:t xml:space="preserve"> </w:t>
      </w:r>
      <w:r w:rsidR="00F30220" w:rsidRPr="004A4716">
        <w:rPr>
          <w:rFonts w:ascii="Times New Roman" w:hAnsi="Times New Roman" w:cs="Times New Roman"/>
          <w:sz w:val="23"/>
          <w:szCs w:val="23"/>
        </w:rPr>
        <w:t xml:space="preserve">89 </w:t>
      </w:r>
      <w:r w:rsidRPr="004A4716">
        <w:rPr>
          <w:rFonts w:ascii="Times New Roman" w:hAnsi="Times New Roman" w:cs="Times New Roman"/>
          <w:sz w:val="23"/>
          <w:szCs w:val="23"/>
        </w:rPr>
        <w:t xml:space="preserve">local administrators/support staff, </w:t>
      </w:r>
      <w:r w:rsidR="00F30220" w:rsidRPr="004A4716">
        <w:rPr>
          <w:rFonts w:ascii="Times New Roman" w:hAnsi="Times New Roman" w:cs="Times New Roman"/>
          <w:sz w:val="23"/>
          <w:szCs w:val="23"/>
        </w:rPr>
        <w:t xml:space="preserve">507 </w:t>
      </w:r>
      <w:r w:rsidRPr="004A4716">
        <w:rPr>
          <w:rFonts w:ascii="Times New Roman" w:hAnsi="Times New Roman" w:cs="Times New Roman"/>
          <w:sz w:val="23"/>
          <w:szCs w:val="23"/>
        </w:rPr>
        <w:t xml:space="preserve">adult education instructors, </w:t>
      </w:r>
      <w:r w:rsidR="00F30220" w:rsidRPr="004A4716">
        <w:rPr>
          <w:rFonts w:ascii="Times New Roman" w:hAnsi="Times New Roman" w:cs="Times New Roman"/>
          <w:sz w:val="23"/>
          <w:szCs w:val="23"/>
        </w:rPr>
        <w:t xml:space="preserve">46 </w:t>
      </w:r>
      <w:r w:rsidRPr="004A4716">
        <w:rPr>
          <w:rFonts w:ascii="Times New Roman" w:hAnsi="Times New Roman" w:cs="Times New Roman"/>
          <w:sz w:val="23"/>
          <w:szCs w:val="23"/>
        </w:rPr>
        <w:t xml:space="preserve">instructional assistants, and </w:t>
      </w:r>
      <w:r w:rsidR="00F30220" w:rsidRPr="004A4716">
        <w:rPr>
          <w:rFonts w:ascii="Times New Roman" w:hAnsi="Times New Roman" w:cs="Times New Roman"/>
          <w:sz w:val="23"/>
          <w:szCs w:val="23"/>
        </w:rPr>
        <w:t xml:space="preserve">17 </w:t>
      </w:r>
      <w:r w:rsidRPr="004A4716">
        <w:rPr>
          <w:rFonts w:ascii="Times New Roman" w:hAnsi="Times New Roman" w:cs="Times New Roman"/>
          <w:sz w:val="23"/>
          <w:szCs w:val="23"/>
        </w:rPr>
        <w:t xml:space="preserve">counselors in FY </w:t>
      </w:r>
      <w:r w:rsidR="00F30220" w:rsidRPr="004A4716">
        <w:rPr>
          <w:rFonts w:ascii="Times New Roman" w:hAnsi="Times New Roman" w:cs="Times New Roman"/>
          <w:sz w:val="23"/>
          <w:szCs w:val="23"/>
        </w:rPr>
        <w:t xml:space="preserve">2016-2017 </w:t>
      </w:r>
      <w:r w:rsidRPr="004A4716">
        <w:rPr>
          <w:rFonts w:ascii="Times New Roman" w:hAnsi="Times New Roman" w:cs="Times New Roman"/>
          <w:sz w:val="23"/>
          <w:szCs w:val="23"/>
        </w:rPr>
        <w:t xml:space="preserve">(NRS Table 7). </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All instructional staff participated in the 8-week o</w:t>
      </w:r>
      <w:r w:rsidR="00DE4741" w:rsidRPr="004A4716">
        <w:rPr>
          <w:rFonts w:ascii="Times New Roman" w:hAnsi="Times New Roman" w:cs="Times New Roman"/>
          <w:sz w:val="23"/>
          <w:szCs w:val="23"/>
        </w:rPr>
        <w:t>nline, facilitated WRU</w:t>
      </w:r>
      <w:r w:rsidRPr="004A4716">
        <w:rPr>
          <w:rFonts w:ascii="Times New Roman" w:hAnsi="Times New Roman" w:cs="Times New Roman"/>
          <w:sz w:val="23"/>
          <w:szCs w:val="23"/>
        </w:rPr>
        <w:t xml:space="preserve"> Instructor Certification course. The course provided an introduction to teaching in adult education with a specific focus on Louisiana’s WRU program.  </w:t>
      </w:r>
    </w:p>
    <w:p w:rsidR="002B3B20" w:rsidRPr="004A4716" w:rsidRDefault="00764992" w:rsidP="00764992">
      <w:pPr>
        <w:rPr>
          <w:rFonts w:ascii="Times New Roman" w:hAnsi="Times New Roman" w:cs="Times New Roman"/>
          <w:sz w:val="23"/>
          <w:szCs w:val="23"/>
        </w:rPr>
      </w:pPr>
      <w:proofErr w:type="spellStart"/>
      <w:r w:rsidRPr="004A4716">
        <w:rPr>
          <w:rFonts w:ascii="Times New Roman" w:hAnsi="Times New Roman" w:cs="Times New Roman"/>
          <w:sz w:val="23"/>
          <w:szCs w:val="23"/>
        </w:rPr>
        <w:t>WorkReady</w:t>
      </w:r>
      <w:proofErr w:type="spellEnd"/>
      <w:r w:rsidRPr="004A4716">
        <w:rPr>
          <w:rFonts w:ascii="Times New Roman" w:hAnsi="Times New Roman" w:cs="Times New Roman"/>
          <w:sz w:val="23"/>
          <w:szCs w:val="23"/>
        </w:rPr>
        <w:t xml:space="preserve"> U continued its commitment to excellence by offering professional development activities during FY </w:t>
      </w:r>
      <w:r w:rsidR="00F30220" w:rsidRPr="004A4716">
        <w:rPr>
          <w:rFonts w:ascii="Times New Roman" w:hAnsi="Times New Roman" w:cs="Times New Roman"/>
          <w:sz w:val="23"/>
          <w:szCs w:val="23"/>
        </w:rPr>
        <w:t xml:space="preserve">2016-2017 </w:t>
      </w:r>
      <w:r w:rsidRPr="004A4716">
        <w:rPr>
          <w:rFonts w:ascii="Times New Roman" w:hAnsi="Times New Roman" w:cs="Times New Roman"/>
          <w:sz w:val="23"/>
          <w:szCs w:val="23"/>
        </w:rPr>
        <w:t>to ensure professional growth opportunities were offered to support t</w:t>
      </w:r>
      <w:r w:rsidR="0075339E" w:rsidRPr="004A4716">
        <w:rPr>
          <w:rFonts w:ascii="Times New Roman" w:hAnsi="Times New Roman" w:cs="Times New Roman"/>
          <w:sz w:val="23"/>
          <w:szCs w:val="23"/>
        </w:rPr>
        <w:t>he State Plan and the WRU vision and mission. WR</w:t>
      </w:r>
      <w:r w:rsidRPr="004A4716">
        <w:rPr>
          <w:rFonts w:ascii="Times New Roman" w:hAnsi="Times New Roman" w:cs="Times New Roman"/>
          <w:sz w:val="23"/>
          <w:szCs w:val="23"/>
        </w:rPr>
        <w:t xml:space="preserve">U state staff continued its quest to offer the highest quality professional development opportunities by consulting with national professional development experts and convening a state task force in order to streamline and focus professional development efforts on areas of value to the system - data, recruitment &amp; retention, classroom activities, records/reports, and partnerships. As a result of a professional development task force recommendation, federal leadership funds were utilized to support Regional Resource Centers. The established centers provide regionally appropriate trainings in coordination with state identified professional development priorities, resources, and mentorship opportunities throughout Louisiana.  The Regional Resource Centers provide on-site meeting rooms, resource libraries, and leadership to guide research-based adult education best practices.  </w:t>
      </w:r>
    </w:p>
    <w:p w:rsidR="00764992" w:rsidRPr="004A4716" w:rsidRDefault="00764992" w:rsidP="00764992">
      <w:pPr>
        <w:rPr>
          <w:rFonts w:ascii="Times New Roman" w:hAnsi="Times New Roman" w:cs="Times New Roman"/>
          <w:b/>
          <w:sz w:val="23"/>
          <w:szCs w:val="23"/>
        </w:rPr>
      </w:pPr>
      <w:r w:rsidRPr="004A4716">
        <w:rPr>
          <w:rFonts w:ascii="Times New Roman" w:hAnsi="Times New Roman" w:cs="Times New Roman"/>
          <w:b/>
          <w:sz w:val="23"/>
          <w:szCs w:val="23"/>
        </w:rPr>
        <w:t xml:space="preserve">Regional Resource Center (RRC) Opportunities: </w:t>
      </w:r>
    </w:p>
    <w:p w:rsidR="00764992" w:rsidRPr="004A4716" w:rsidRDefault="007B0BD0" w:rsidP="00764992">
      <w:pPr>
        <w:rPr>
          <w:rFonts w:ascii="Times New Roman" w:hAnsi="Times New Roman" w:cs="Times New Roman"/>
          <w:sz w:val="23"/>
          <w:szCs w:val="23"/>
        </w:rPr>
      </w:pPr>
      <w:proofErr w:type="spellStart"/>
      <w:r w:rsidRPr="004A4716">
        <w:rPr>
          <w:rFonts w:ascii="Times New Roman" w:hAnsi="Times New Roman" w:cs="Times New Roman"/>
          <w:sz w:val="23"/>
          <w:szCs w:val="23"/>
        </w:rPr>
        <w:t>WorkReady</w:t>
      </w:r>
      <w:proofErr w:type="spellEnd"/>
      <w:r w:rsidRPr="004A4716">
        <w:rPr>
          <w:rFonts w:ascii="Times New Roman" w:hAnsi="Times New Roman" w:cs="Times New Roman"/>
          <w:sz w:val="23"/>
          <w:szCs w:val="23"/>
        </w:rPr>
        <w:t xml:space="preserve"> U </w:t>
      </w:r>
      <w:r w:rsidR="00764992" w:rsidRPr="004A4716">
        <w:rPr>
          <w:rFonts w:ascii="Times New Roman" w:hAnsi="Times New Roman" w:cs="Times New Roman"/>
          <w:sz w:val="23"/>
          <w:szCs w:val="23"/>
        </w:rPr>
        <w:t xml:space="preserve">took a proactive approach to keeping up with national trends by providing unique professional development (PD) opportunities. Historically, WRU has underserved the English Language Learner (ELL) population and </w:t>
      </w:r>
      <w:r w:rsidR="00533889" w:rsidRPr="004A4716">
        <w:rPr>
          <w:rFonts w:ascii="Times New Roman" w:hAnsi="Times New Roman" w:cs="Times New Roman"/>
          <w:sz w:val="23"/>
          <w:szCs w:val="23"/>
        </w:rPr>
        <w:t>trailed</w:t>
      </w:r>
      <w:r w:rsidR="00764992" w:rsidRPr="004A4716">
        <w:rPr>
          <w:rFonts w:ascii="Times New Roman" w:hAnsi="Times New Roman" w:cs="Times New Roman"/>
          <w:sz w:val="23"/>
          <w:szCs w:val="23"/>
        </w:rPr>
        <w:t xml:space="preserve"> behind the national average for EFL gains with the ESL population. The performance and enrollment focus area for </w:t>
      </w:r>
      <w:r w:rsidR="00F30220" w:rsidRPr="004A4716">
        <w:rPr>
          <w:rFonts w:ascii="Times New Roman" w:hAnsi="Times New Roman" w:cs="Times New Roman"/>
          <w:sz w:val="23"/>
          <w:szCs w:val="23"/>
        </w:rPr>
        <w:t xml:space="preserve">2016-2017 </w:t>
      </w:r>
      <w:r w:rsidR="00764992" w:rsidRPr="004A4716">
        <w:rPr>
          <w:rFonts w:ascii="Times New Roman" w:hAnsi="Times New Roman" w:cs="Times New Roman"/>
          <w:sz w:val="23"/>
          <w:szCs w:val="23"/>
        </w:rPr>
        <w:t xml:space="preserve">was on increasing service to this population. </w:t>
      </w:r>
      <w:r w:rsidR="00791DC3" w:rsidRPr="004A4716">
        <w:rPr>
          <w:rFonts w:ascii="Times New Roman" w:hAnsi="Times New Roman" w:cs="Times New Roman"/>
          <w:sz w:val="23"/>
          <w:szCs w:val="23"/>
        </w:rPr>
        <w:t>During FY 16-17, t</w:t>
      </w:r>
      <w:r w:rsidR="00F30220" w:rsidRPr="004A4716">
        <w:rPr>
          <w:rFonts w:ascii="Times New Roman" w:hAnsi="Times New Roman" w:cs="Times New Roman"/>
          <w:sz w:val="23"/>
          <w:szCs w:val="23"/>
        </w:rPr>
        <w:t xml:space="preserve">he ESL population </w:t>
      </w:r>
      <w:r w:rsidR="005150E5" w:rsidRPr="004A4716">
        <w:rPr>
          <w:rFonts w:ascii="Times New Roman" w:hAnsi="Times New Roman" w:cs="Times New Roman"/>
          <w:sz w:val="23"/>
          <w:szCs w:val="23"/>
        </w:rPr>
        <w:t>enrolled</w:t>
      </w:r>
      <w:r w:rsidR="00F30220" w:rsidRPr="004A4716">
        <w:rPr>
          <w:rFonts w:ascii="Times New Roman" w:hAnsi="Times New Roman" w:cs="Times New Roman"/>
          <w:sz w:val="23"/>
          <w:szCs w:val="23"/>
        </w:rPr>
        <w:t xml:space="preserve"> </w:t>
      </w:r>
      <w:r w:rsidR="00F30A46" w:rsidRPr="004A4716">
        <w:rPr>
          <w:rFonts w:ascii="Times New Roman" w:hAnsi="Times New Roman" w:cs="Times New Roman"/>
          <w:sz w:val="23"/>
          <w:szCs w:val="23"/>
        </w:rPr>
        <w:t>with at least one hour</w:t>
      </w:r>
      <w:r w:rsidR="005150E5" w:rsidRPr="004A4716">
        <w:rPr>
          <w:rFonts w:ascii="Times New Roman" w:hAnsi="Times New Roman" w:cs="Times New Roman"/>
          <w:sz w:val="23"/>
          <w:szCs w:val="23"/>
        </w:rPr>
        <w:t xml:space="preserve"> of service</w:t>
      </w:r>
      <w:r w:rsidR="00F30A46" w:rsidRPr="004A4716">
        <w:rPr>
          <w:rFonts w:ascii="Times New Roman" w:hAnsi="Times New Roman" w:cs="Times New Roman"/>
          <w:sz w:val="23"/>
          <w:szCs w:val="23"/>
        </w:rPr>
        <w:t xml:space="preserve"> </w:t>
      </w:r>
      <w:r w:rsidR="00F30220" w:rsidRPr="004A4716">
        <w:rPr>
          <w:rFonts w:ascii="Times New Roman" w:hAnsi="Times New Roman" w:cs="Times New Roman"/>
          <w:sz w:val="23"/>
          <w:szCs w:val="23"/>
        </w:rPr>
        <w:t xml:space="preserve">increased by </w:t>
      </w:r>
      <w:r w:rsidR="000F3316" w:rsidRPr="004A4716">
        <w:rPr>
          <w:rFonts w:ascii="Times New Roman" w:hAnsi="Times New Roman" w:cs="Times New Roman"/>
          <w:sz w:val="23"/>
          <w:szCs w:val="23"/>
        </w:rPr>
        <w:t xml:space="preserve">9.4% (Program Gain Report) with the </w:t>
      </w:r>
      <w:r w:rsidR="005150E5" w:rsidRPr="004A4716">
        <w:rPr>
          <w:rFonts w:ascii="Times New Roman" w:hAnsi="Times New Roman" w:cs="Times New Roman"/>
          <w:sz w:val="23"/>
          <w:szCs w:val="23"/>
        </w:rPr>
        <w:t xml:space="preserve">number of ESL </w:t>
      </w:r>
      <w:r w:rsidR="000F3316" w:rsidRPr="004A4716">
        <w:rPr>
          <w:rFonts w:ascii="Times New Roman" w:hAnsi="Times New Roman" w:cs="Times New Roman"/>
          <w:sz w:val="23"/>
          <w:szCs w:val="23"/>
        </w:rPr>
        <w:t>participants increasing by 1.3% (Table 1 &amp; 3)</w:t>
      </w:r>
      <w:r w:rsidR="00791DC3" w:rsidRPr="004A4716">
        <w:rPr>
          <w:rFonts w:ascii="Times New Roman" w:hAnsi="Times New Roman" w:cs="Times New Roman"/>
          <w:sz w:val="23"/>
          <w:szCs w:val="23"/>
        </w:rPr>
        <w:t>.</w:t>
      </w:r>
      <w:r w:rsidR="000F3316" w:rsidRPr="004A4716">
        <w:rPr>
          <w:rFonts w:ascii="Times New Roman" w:hAnsi="Times New Roman" w:cs="Times New Roman"/>
          <w:sz w:val="23"/>
          <w:szCs w:val="23"/>
        </w:rPr>
        <w:t xml:space="preserve"> ESL students completing a level (Table 4</w:t>
      </w:r>
      <w:r w:rsidR="00791DC3" w:rsidRPr="004A4716">
        <w:rPr>
          <w:rFonts w:ascii="Times New Roman" w:hAnsi="Times New Roman" w:cs="Times New Roman"/>
          <w:sz w:val="23"/>
          <w:szCs w:val="23"/>
        </w:rPr>
        <w:t>)</w:t>
      </w:r>
      <w:r w:rsidR="000F3316" w:rsidRPr="004A4716">
        <w:rPr>
          <w:rFonts w:ascii="Times New Roman" w:hAnsi="Times New Roman" w:cs="Times New Roman"/>
          <w:sz w:val="23"/>
          <w:szCs w:val="23"/>
        </w:rPr>
        <w:t xml:space="preserve"> increased from 37.2% </w:t>
      </w:r>
      <w:r w:rsidR="00791DC3" w:rsidRPr="004A4716">
        <w:rPr>
          <w:rFonts w:ascii="Times New Roman" w:hAnsi="Times New Roman" w:cs="Times New Roman"/>
          <w:sz w:val="23"/>
          <w:szCs w:val="23"/>
        </w:rPr>
        <w:t>to 40.5% in 16-17.</w:t>
      </w:r>
      <w:r w:rsidR="000F3316" w:rsidRPr="004A4716">
        <w:rPr>
          <w:rFonts w:ascii="Times New Roman" w:hAnsi="Times New Roman" w:cs="Times New Roman"/>
          <w:sz w:val="23"/>
          <w:szCs w:val="23"/>
        </w:rPr>
        <w:t xml:space="preserve"> </w:t>
      </w:r>
    </w:p>
    <w:p w:rsidR="00764992" w:rsidRPr="004A4716" w:rsidRDefault="00764992" w:rsidP="00764992">
      <w:pPr>
        <w:rPr>
          <w:rFonts w:ascii="Times New Roman" w:hAnsi="Times New Roman" w:cs="Times New Roman"/>
          <w:sz w:val="23"/>
          <w:szCs w:val="23"/>
        </w:rPr>
      </w:pPr>
      <w:proofErr w:type="spellStart"/>
      <w:r w:rsidRPr="004A4716">
        <w:rPr>
          <w:rFonts w:ascii="Times New Roman" w:hAnsi="Times New Roman" w:cs="Times New Roman"/>
          <w:sz w:val="23"/>
          <w:szCs w:val="23"/>
        </w:rPr>
        <w:t>WorkReady</w:t>
      </w:r>
      <w:proofErr w:type="spellEnd"/>
      <w:r w:rsidRPr="004A4716">
        <w:rPr>
          <w:rFonts w:ascii="Times New Roman" w:hAnsi="Times New Roman" w:cs="Times New Roman"/>
          <w:sz w:val="23"/>
          <w:szCs w:val="23"/>
        </w:rPr>
        <w:t xml:space="preserve"> U was accepted to participate in the LINCS ESL Pro Project on </w:t>
      </w:r>
      <w:r w:rsidRPr="004A4716">
        <w:rPr>
          <w:rFonts w:ascii="Times New Roman" w:hAnsi="Times New Roman" w:cs="Times New Roman"/>
          <w:i/>
          <w:sz w:val="23"/>
          <w:szCs w:val="23"/>
        </w:rPr>
        <w:t>Meeting the Language Needs of Today’s Adult English Language Learner</w:t>
      </w:r>
      <w:r w:rsidRPr="004A4716">
        <w:rPr>
          <w:rFonts w:ascii="Times New Roman" w:hAnsi="Times New Roman" w:cs="Times New Roman"/>
          <w:sz w:val="23"/>
          <w:szCs w:val="23"/>
        </w:rPr>
        <w:t>. Twenty instructors were selected through an application process to build a Community of Practice (</w:t>
      </w:r>
      <w:proofErr w:type="spellStart"/>
      <w:r w:rsidRPr="004A4716">
        <w:rPr>
          <w:rFonts w:ascii="Times New Roman" w:hAnsi="Times New Roman" w:cs="Times New Roman"/>
          <w:sz w:val="23"/>
          <w:szCs w:val="23"/>
        </w:rPr>
        <w:t>CoP</w:t>
      </w:r>
      <w:proofErr w:type="spellEnd"/>
      <w:r w:rsidRPr="004A4716">
        <w:rPr>
          <w:rFonts w:ascii="Times New Roman" w:hAnsi="Times New Roman" w:cs="Times New Roman"/>
          <w:sz w:val="23"/>
          <w:szCs w:val="23"/>
        </w:rPr>
        <w:t xml:space="preserve">) on how to increase rigor in the English Language Learner (ELL) classroom.  Through the yearlong project, teacher leaders learned how to replicate the </w:t>
      </w:r>
      <w:proofErr w:type="spellStart"/>
      <w:r w:rsidRPr="004A4716">
        <w:rPr>
          <w:rFonts w:ascii="Times New Roman" w:hAnsi="Times New Roman" w:cs="Times New Roman"/>
          <w:sz w:val="23"/>
          <w:szCs w:val="23"/>
        </w:rPr>
        <w:t>CoP</w:t>
      </w:r>
      <w:proofErr w:type="spellEnd"/>
      <w:r w:rsidRPr="004A4716">
        <w:rPr>
          <w:rFonts w:ascii="Times New Roman" w:hAnsi="Times New Roman" w:cs="Times New Roman"/>
          <w:sz w:val="23"/>
          <w:szCs w:val="23"/>
        </w:rPr>
        <w:t xml:space="preserve"> process to share best practices with others in the state, both at annual conferences and within their local programs and/or regional areas. Leadership funds were awarded to programs participating in the project in order to help with program expansion and professional development. Plans to continue this work are underway, as we aim to increase the rigor of instruction for ELLs and promote learning communities within the network. </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Professional development activities have been designed to meet the needs of a variety of adult education personnel in an effort to enhance programs and better serve students. Annually, local program administrators meet with WRU staff to review changes in policy and related practices, NRS guidelines, budget management, reporting requirements, statewide performance, and upcoming initiatives. Local and regional institutes addressed instructional needs in the areas of adult education and literacy, ELA, civics, transitional activities, and student s</w:t>
      </w:r>
      <w:r w:rsidR="00917B23" w:rsidRPr="004A4716">
        <w:rPr>
          <w:rFonts w:ascii="Times New Roman" w:hAnsi="Times New Roman" w:cs="Times New Roman"/>
          <w:sz w:val="23"/>
          <w:szCs w:val="23"/>
        </w:rPr>
        <w:t>upport services. O</w:t>
      </w:r>
      <w:r w:rsidRPr="004A4716">
        <w:rPr>
          <w:rFonts w:ascii="Times New Roman" w:hAnsi="Times New Roman" w:cs="Times New Roman"/>
          <w:sz w:val="23"/>
          <w:szCs w:val="23"/>
        </w:rPr>
        <w:t xml:space="preserve">ngoing data system training demonstrated the expanding system functionalities for use in program analysis and evaluation of services.  </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 xml:space="preserve">All staff have an opportunity to attend two annual statewide professional development conferences.  The LCTCS conference focuses on post-secondary education, transitional support services, and in-demand career training, while the annual statewide professional development conference hosted by the Louisiana Association for Public, Community and Adult Education (LAPCAE) provides a vast selection of adult education related sessions </w:t>
      </w:r>
      <w:r w:rsidR="00CA4F61" w:rsidRPr="004A4716">
        <w:rPr>
          <w:rFonts w:ascii="Times New Roman" w:hAnsi="Times New Roman" w:cs="Times New Roman"/>
          <w:sz w:val="23"/>
          <w:szCs w:val="23"/>
        </w:rPr>
        <w:t>along with a</w:t>
      </w:r>
      <w:r w:rsidRPr="004A4716">
        <w:rPr>
          <w:rFonts w:ascii="Times New Roman" w:hAnsi="Times New Roman" w:cs="Times New Roman"/>
          <w:sz w:val="23"/>
          <w:szCs w:val="23"/>
        </w:rPr>
        <w:t xml:space="preserve"> unified means</w:t>
      </w:r>
      <w:r w:rsidR="00020899" w:rsidRPr="004A4716">
        <w:rPr>
          <w:rFonts w:ascii="Times New Roman" w:hAnsi="Times New Roman" w:cs="Times New Roman"/>
          <w:sz w:val="23"/>
          <w:szCs w:val="23"/>
        </w:rPr>
        <w:t xml:space="preserve"> of communicating the WR</w:t>
      </w:r>
      <w:r w:rsidRPr="004A4716">
        <w:rPr>
          <w:rFonts w:ascii="Times New Roman" w:hAnsi="Times New Roman" w:cs="Times New Roman"/>
          <w:sz w:val="23"/>
          <w:szCs w:val="23"/>
        </w:rPr>
        <w:t>U vision to participants.</w:t>
      </w:r>
    </w:p>
    <w:p w:rsidR="009A715B" w:rsidRPr="004A4716" w:rsidRDefault="004F1A51" w:rsidP="004F1A51">
      <w:pPr>
        <w:spacing w:line="252" w:lineRule="auto"/>
        <w:rPr>
          <w:rFonts w:ascii="Times New Roman" w:hAnsi="Times New Roman" w:cs="Times New Roman"/>
          <w:sz w:val="23"/>
          <w:szCs w:val="23"/>
        </w:rPr>
      </w:pPr>
      <w:r w:rsidRPr="004A4716">
        <w:rPr>
          <w:rFonts w:ascii="Times New Roman" w:hAnsi="Times New Roman" w:cs="Times New Roman"/>
          <w:sz w:val="23"/>
          <w:szCs w:val="23"/>
        </w:rPr>
        <w:t xml:space="preserve">During the LAPCAE conference, nearly 400 adult education staff members from across the state gathered to take part in professional development activities. </w:t>
      </w:r>
      <w:r w:rsidR="009A715B" w:rsidRPr="004A4716">
        <w:rPr>
          <w:rFonts w:ascii="Times New Roman" w:hAnsi="Times New Roman" w:cs="Times New Roman"/>
          <w:sz w:val="23"/>
          <w:szCs w:val="23"/>
        </w:rPr>
        <w:t xml:space="preserve">The conference features both national experts, WRU staff, and local program staff.  Sessions are geared toward </w:t>
      </w:r>
      <w:r w:rsidR="00746F38" w:rsidRPr="004A4716">
        <w:rPr>
          <w:rFonts w:ascii="Times New Roman" w:hAnsi="Times New Roman" w:cs="Times New Roman"/>
          <w:sz w:val="23"/>
          <w:szCs w:val="23"/>
        </w:rPr>
        <w:t xml:space="preserve">instructors, </w:t>
      </w:r>
      <w:r w:rsidR="009A715B" w:rsidRPr="004A4716">
        <w:rPr>
          <w:rFonts w:ascii="Times New Roman" w:hAnsi="Times New Roman" w:cs="Times New Roman"/>
          <w:sz w:val="23"/>
          <w:szCs w:val="23"/>
        </w:rPr>
        <w:t xml:space="preserve">administrators, data entry personnel, workforce partners, and student support specialists.  </w:t>
      </w:r>
    </w:p>
    <w:p w:rsidR="009A715B" w:rsidRPr="004A4716" w:rsidRDefault="004F1A51" w:rsidP="004F1A51">
      <w:pPr>
        <w:spacing w:line="252" w:lineRule="auto"/>
        <w:rPr>
          <w:rFonts w:ascii="Times New Roman" w:hAnsi="Times New Roman" w:cs="Times New Roman"/>
          <w:sz w:val="23"/>
          <w:szCs w:val="23"/>
        </w:rPr>
      </w:pPr>
      <w:r w:rsidRPr="004A4716">
        <w:rPr>
          <w:rFonts w:ascii="Times New Roman" w:hAnsi="Times New Roman" w:cs="Times New Roman"/>
          <w:sz w:val="23"/>
          <w:szCs w:val="23"/>
        </w:rPr>
        <w:t>In order to scale the model learned from part</w:t>
      </w:r>
      <w:r w:rsidR="00E340A0" w:rsidRPr="004A4716">
        <w:rPr>
          <w:rFonts w:ascii="Times New Roman" w:hAnsi="Times New Roman" w:cs="Times New Roman"/>
          <w:sz w:val="23"/>
          <w:szCs w:val="23"/>
        </w:rPr>
        <w:t>icipation in the LINCS ESL Pro P</w:t>
      </w:r>
      <w:r w:rsidRPr="004A4716">
        <w:rPr>
          <w:rFonts w:ascii="Times New Roman" w:hAnsi="Times New Roman" w:cs="Times New Roman"/>
          <w:sz w:val="23"/>
          <w:szCs w:val="23"/>
        </w:rPr>
        <w:t xml:space="preserve">roject, participants shared best practices and lessons learned with educators.  </w:t>
      </w:r>
      <w:r w:rsidR="009A715B" w:rsidRPr="004A4716">
        <w:rPr>
          <w:rFonts w:ascii="Times New Roman" w:hAnsi="Times New Roman" w:cs="Times New Roman"/>
          <w:sz w:val="23"/>
          <w:szCs w:val="23"/>
        </w:rPr>
        <w:t xml:space="preserve">Each regional team of instructors modeled a lesson and introduced the online ESL Pro modules to participants.  WRU staff coordinated presentations with local instructors so that each of the areas covered in the project were highlighted in the different presentations. </w:t>
      </w:r>
    </w:p>
    <w:p w:rsidR="00E340A0" w:rsidRPr="004A4716" w:rsidRDefault="004F1A51" w:rsidP="00D45CDE">
      <w:pPr>
        <w:spacing w:line="252" w:lineRule="auto"/>
        <w:rPr>
          <w:rFonts w:ascii="Times New Roman" w:hAnsi="Times New Roman" w:cs="Times New Roman"/>
          <w:sz w:val="23"/>
          <w:szCs w:val="23"/>
        </w:rPr>
      </w:pPr>
      <w:r w:rsidRPr="004A4716">
        <w:rPr>
          <w:rFonts w:ascii="Times New Roman" w:hAnsi="Times New Roman" w:cs="Times New Roman"/>
          <w:sz w:val="23"/>
          <w:szCs w:val="23"/>
        </w:rPr>
        <w:t xml:space="preserve">Several panels featuring state and local WRU staff took place on topics ranging from Community Education Course (Health Literacy, Digital Literacy, Financial Literacy, </w:t>
      </w:r>
      <w:proofErr w:type="gramStart"/>
      <w:r w:rsidRPr="004A4716">
        <w:rPr>
          <w:rFonts w:ascii="Times New Roman" w:hAnsi="Times New Roman" w:cs="Times New Roman"/>
          <w:sz w:val="23"/>
          <w:szCs w:val="23"/>
        </w:rPr>
        <w:t>Workforce</w:t>
      </w:r>
      <w:proofErr w:type="gramEnd"/>
      <w:r w:rsidRPr="004A4716">
        <w:rPr>
          <w:rFonts w:ascii="Times New Roman" w:hAnsi="Times New Roman" w:cs="Times New Roman"/>
          <w:sz w:val="23"/>
          <w:szCs w:val="23"/>
        </w:rPr>
        <w:t xml:space="preserve"> Preparation) startups to social media and marketing strategies.  </w:t>
      </w:r>
      <w:r w:rsidR="00FC366A" w:rsidRPr="004A4716">
        <w:rPr>
          <w:rFonts w:ascii="Times New Roman" w:hAnsi="Times New Roman" w:cs="Times New Roman"/>
          <w:sz w:val="23"/>
          <w:szCs w:val="23"/>
        </w:rPr>
        <w:t xml:space="preserve">WRU staff created short course guides for each Community Education area.  Local program staff shared experiences on how they implemented the guides and brought in community partners.  In order to reach more students, programs rely on social media and other outlets. Participants received sample Public Service Announcement (PSA) scripts and learned how to create quick marketing videos. </w:t>
      </w:r>
      <w:r w:rsidR="0040262A" w:rsidRPr="004A4716">
        <w:rPr>
          <w:rFonts w:ascii="Times New Roman" w:hAnsi="Times New Roman" w:cs="Times New Roman"/>
          <w:sz w:val="23"/>
          <w:szCs w:val="23"/>
        </w:rPr>
        <w:t>The p</w:t>
      </w:r>
      <w:r w:rsidR="009E4056" w:rsidRPr="004A4716">
        <w:rPr>
          <w:rFonts w:ascii="Times New Roman" w:hAnsi="Times New Roman" w:cs="Times New Roman"/>
          <w:sz w:val="23"/>
          <w:szCs w:val="23"/>
        </w:rPr>
        <w:t xml:space="preserve">anel sessions allowed state and local staff to present both research and practice on topics related to WIOA and the </w:t>
      </w:r>
      <w:r w:rsidR="009A715B" w:rsidRPr="004A4716">
        <w:rPr>
          <w:rFonts w:ascii="Times New Roman" w:hAnsi="Times New Roman" w:cs="Times New Roman"/>
          <w:sz w:val="23"/>
          <w:szCs w:val="23"/>
        </w:rPr>
        <w:t>WRU</w:t>
      </w:r>
      <w:r w:rsidR="009E4056" w:rsidRPr="004A4716">
        <w:rPr>
          <w:rFonts w:ascii="Times New Roman" w:hAnsi="Times New Roman" w:cs="Times New Roman"/>
          <w:sz w:val="23"/>
          <w:szCs w:val="23"/>
        </w:rPr>
        <w:t xml:space="preserve"> 2020</w:t>
      </w:r>
      <w:r w:rsidR="009A715B" w:rsidRPr="004A4716">
        <w:rPr>
          <w:rFonts w:ascii="Times New Roman" w:hAnsi="Times New Roman" w:cs="Times New Roman"/>
          <w:sz w:val="23"/>
          <w:szCs w:val="23"/>
        </w:rPr>
        <w:t xml:space="preserve"> strategic plan. </w:t>
      </w:r>
    </w:p>
    <w:p w:rsidR="0001596D" w:rsidRPr="004A4716" w:rsidRDefault="0001596D" w:rsidP="00D45CDE">
      <w:pPr>
        <w:spacing w:line="252" w:lineRule="auto"/>
        <w:rPr>
          <w:rFonts w:ascii="Times New Roman" w:hAnsi="Times New Roman" w:cs="Times New Roman"/>
          <w:sz w:val="23"/>
          <w:szCs w:val="23"/>
        </w:rPr>
      </w:pPr>
    </w:p>
    <w:p w:rsidR="00764992" w:rsidRPr="004A4716" w:rsidRDefault="00764992" w:rsidP="00764992">
      <w:pPr>
        <w:rPr>
          <w:rFonts w:ascii="Times New Roman" w:hAnsi="Times New Roman" w:cs="Times New Roman"/>
          <w:b/>
          <w:sz w:val="23"/>
          <w:szCs w:val="23"/>
        </w:rPr>
      </w:pPr>
      <w:r w:rsidRPr="004A4716">
        <w:rPr>
          <w:rFonts w:ascii="Times New Roman" w:hAnsi="Times New Roman" w:cs="Times New Roman"/>
          <w:b/>
          <w:sz w:val="23"/>
          <w:szCs w:val="23"/>
        </w:rPr>
        <w:t>Performance Data Analyses:</w:t>
      </w:r>
    </w:p>
    <w:p w:rsidR="00764992" w:rsidRPr="004A4716" w:rsidRDefault="00552726" w:rsidP="00764992">
      <w:pPr>
        <w:rPr>
          <w:rFonts w:ascii="Times New Roman" w:hAnsi="Times New Roman" w:cs="Times New Roman"/>
          <w:sz w:val="23"/>
          <w:szCs w:val="23"/>
        </w:rPr>
      </w:pPr>
      <w:proofErr w:type="spellStart"/>
      <w:r w:rsidRPr="004A4716">
        <w:rPr>
          <w:rFonts w:ascii="Times New Roman" w:hAnsi="Times New Roman" w:cs="Times New Roman"/>
          <w:sz w:val="23"/>
          <w:szCs w:val="23"/>
        </w:rPr>
        <w:t>WorkReady</w:t>
      </w:r>
      <w:proofErr w:type="spellEnd"/>
      <w:r w:rsidRPr="004A4716">
        <w:rPr>
          <w:rFonts w:ascii="Times New Roman" w:hAnsi="Times New Roman" w:cs="Times New Roman"/>
          <w:sz w:val="23"/>
          <w:szCs w:val="23"/>
        </w:rPr>
        <w:t xml:space="preserve"> U</w:t>
      </w:r>
      <w:r w:rsidR="00764992" w:rsidRPr="004A4716">
        <w:rPr>
          <w:rFonts w:ascii="Times New Roman" w:hAnsi="Times New Roman" w:cs="Times New Roman"/>
          <w:sz w:val="23"/>
          <w:szCs w:val="23"/>
        </w:rPr>
        <w:t xml:space="preserve"> served </w:t>
      </w:r>
      <w:r w:rsidR="000F3316" w:rsidRPr="004A4716">
        <w:rPr>
          <w:rFonts w:ascii="Times New Roman" w:hAnsi="Times New Roman" w:cs="Times New Roman"/>
          <w:sz w:val="23"/>
          <w:szCs w:val="23"/>
        </w:rPr>
        <w:t xml:space="preserve">35,475 </w:t>
      </w:r>
      <w:r w:rsidR="00764992" w:rsidRPr="004A4716">
        <w:rPr>
          <w:rFonts w:ascii="Times New Roman" w:hAnsi="Times New Roman" w:cs="Times New Roman"/>
          <w:sz w:val="23"/>
          <w:szCs w:val="23"/>
        </w:rPr>
        <w:t xml:space="preserve">undereducated and underemployed citizens in FY </w:t>
      </w:r>
      <w:r w:rsidR="000F3316" w:rsidRPr="004A4716">
        <w:rPr>
          <w:rFonts w:ascii="Times New Roman" w:hAnsi="Times New Roman" w:cs="Times New Roman"/>
          <w:sz w:val="23"/>
          <w:szCs w:val="23"/>
        </w:rPr>
        <w:t xml:space="preserve">2016-2017 </w:t>
      </w:r>
      <w:r w:rsidR="00764992" w:rsidRPr="004A4716">
        <w:rPr>
          <w:rFonts w:ascii="Times New Roman" w:hAnsi="Times New Roman" w:cs="Times New Roman"/>
          <w:sz w:val="23"/>
          <w:szCs w:val="23"/>
        </w:rPr>
        <w:t xml:space="preserve">with </w:t>
      </w:r>
      <w:r w:rsidR="000F3316" w:rsidRPr="004A4716">
        <w:rPr>
          <w:rFonts w:ascii="Times New Roman" w:hAnsi="Times New Roman" w:cs="Times New Roman"/>
          <w:sz w:val="23"/>
          <w:szCs w:val="23"/>
        </w:rPr>
        <w:t xml:space="preserve">21,290 </w:t>
      </w:r>
      <w:r w:rsidR="00764992" w:rsidRPr="004A4716">
        <w:rPr>
          <w:rFonts w:ascii="Times New Roman" w:hAnsi="Times New Roman" w:cs="Times New Roman"/>
          <w:sz w:val="23"/>
          <w:szCs w:val="23"/>
        </w:rPr>
        <w:t xml:space="preserve">students participating in basic skill instruction </w:t>
      </w:r>
      <w:r w:rsidR="003010B0" w:rsidRPr="004A4716">
        <w:rPr>
          <w:rFonts w:ascii="Times New Roman" w:hAnsi="Times New Roman" w:cs="Times New Roman"/>
          <w:sz w:val="23"/>
          <w:szCs w:val="23"/>
        </w:rPr>
        <w:t>(NRS Tables 4</w:t>
      </w:r>
      <w:r w:rsidR="00764992" w:rsidRPr="004A4716">
        <w:rPr>
          <w:rFonts w:ascii="Times New Roman" w:hAnsi="Times New Roman" w:cs="Times New Roman"/>
          <w:sz w:val="23"/>
          <w:szCs w:val="23"/>
        </w:rPr>
        <w:t xml:space="preserve">). As part of the WRU 2020 strategic plan an emphasis was placed on workforce preparation and training activities thus explaining the significant increase in total students served versus those that populated to the NRS tables. Data reveals that </w:t>
      </w:r>
      <w:r w:rsidR="000F3316" w:rsidRPr="004A4716">
        <w:rPr>
          <w:rFonts w:ascii="Times New Roman" w:hAnsi="Times New Roman" w:cs="Times New Roman"/>
          <w:sz w:val="23"/>
          <w:szCs w:val="23"/>
        </w:rPr>
        <w:t xml:space="preserve">50% </w:t>
      </w:r>
      <w:r w:rsidR="00764992" w:rsidRPr="004A4716">
        <w:rPr>
          <w:rFonts w:ascii="Times New Roman" w:hAnsi="Times New Roman" w:cs="Times New Roman"/>
          <w:sz w:val="23"/>
          <w:szCs w:val="23"/>
        </w:rPr>
        <w:t xml:space="preserve">of those who participated in academic services during the FY </w:t>
      </w:r>
      <w:r w:rsidR="000F3316" w:rsidRPr="004A4716">
        <w:rPr>
          <w:rFonts w:ascii="Times New Roman" w:hAnsi="Times New Roman" w:cs="Times New Roman"/>
          <w:sz w:val="23"/>
          <w:szCs w:val="23"/>
        </w:rPr>
        <w:t xml:space="preserve">2016-2017 </w:t>
      </w:r>
      <w:r w:rsidR="00764992" w:rsidRPr="004A4716">
        <w:rPr>
          <w:rFonts w:ascii="Times New Roman" w:hAnsi="Times New Roman" w:cs="Times New Roman"/>
          <w:sz w:val="23"/>
          <w:szCs w:val="23"/>
        </w:rPr>
        <w:t xml:space="preserve">program year completed or advanced an educational functioning level (NRS Table 4).  Effective instruction at the local level is evident by the fact that </w:t>
      </w:r>
      <w:r w:rsidR="001A0BA5" w:rsidRPr="004A4716">
        <w:rPr>
          <w:rFonts w:ascii="Times New Roman" w:hAnsi="Times New Roman" w:cs="Times New Roman"/>
          <w:sz w:val="23"/>
          <w:szCs w:val="23"/>
        </w:rPr>
        <w:t xml:space="preserve">78% </w:t>
      </w:r>
      <w:r w:rsidR="00764992" w:rsidRPr="004A4716">
        <w:rPr>
          <w:rFonts w:ascii="Times New Roman" w:hAnsi="Times New Roman" w:cs="Times New Roman"/>
          <w:sz w:val="23"/>
          <w:szCs w:val="23"/>
        </w:rPr>
        <w:t xml:space="preserve">of students post-tested </w:t>
      </w:r>
      <w:r w:rsidR="003010B0" w:rsidRPr="004A4716">
        <w:rPr>
          <w:rFonts w:ascii="Times New Roman" w:hAnsi="Times New Roman" w:cs="Times New Roman"/>
          <w:sz w:val="23"/>
          <w:szCs w:val="23"/>
        </w:rPr>
        <w:t>(</w:t>
      </w:r>
      <w:r w:rsidR="001A0BA5" w:rsidRPr="004A4716">
        <w:rPr>
          <w:rFonts w:ascii="Times New Roman" w:hAnsi="Times New Roman" w:cs="Times New Roman"/>
          <w:sz w:val="23"/>
          <w:szCs w:val="23"/>
        </w:rPr>
        <w:t>NRS T</w:t>
      </w:r>
      <w:r w:rsidR="003010B0" w:rsidRPr="004A4716">
        <w:rPr>
          <w:rFonts w:ascii="Times New Roman" w:hAnsi="Times New Roman" w:cs="Times New Roman"/>
          <w:sz w:val="23"/>
          <w:szCs w:val="23"/>
        </w:rPr>
        <w:t>able</w:t>
      </w:r>
      <w:r w:rsidR="001A0BA5" w:rsidRPr="004A4716">
        <w:rPr>
          <w:rFonts w:ascii="Times New Roman" w:hAnsi="Times New Roman" w:cs="Times New Roman"/>
          <w:sz w:val="23"/>
          <w:szCs w:val="23"/>
        </w:rPr>
        <w:t xml:space="preserve"> 4B) </w:t>
      </w:r>
      <w:r w:rsidR="00764992" w:rsidRPr="004A4716">
        <w:rPr>
          <w:rFonts w:ascii="Times New Roman" w:hAnsi="Times New Roman" w:cs="Times New Roman"/>
          <w:sz w:val="23"/>
          <w:szCs w:val="23"/>
        </w:rPr>
        <w:t>demonstrated an EFL gain.</w:t>
      </w:r>
      <w:r w:rsidR="001A0BA5" w:rsidRPr="004A4716">
        <w:rPr>
          <w:rFonts w:ascii="Times New Roman" w:hAnsi="Times New Roman" w:cs="Times New Roman"/>
          <w:sz w:val="23"/>
          <w:szCs w:val="23"/>
        </w:rPr>
        <w:t xml:space="preserve"> </w:t>
      </w:r>
      <w:r w:rsidR="00764992" w:rsidRPr="004A4716">
        <w:rPr>
          <w:rFonts w:ascii="Times New Roman" w:hAnsi="Times New Roman" w:cs="Times New Roman"/>
          <w:sz w:val="23"/>
          <w:szCs w:val="23"/>
        </w:rPr>
        <w:t xml:space="preserve">  </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The total amount of federal and state funds expended by LCTCS and local programs was $</w:t>
      </w:r>
      <w:r w:rsidR="003010B0" w:rsidRPr="004A4716">
        <w:rPr>
          <w:rFonts w:ascii="Times New Roman" w:hAnsi="Times New Roman" w:cs="Times New Roman"/>
          <w:sz w:val="23"/>
          <w:szCs w:val="23"/>
        </w:rPr>
        <w:t>12,024,673.29</w:t>
      </w:r>
      <w:r w:rsidRPr="004A4716">
        <w:rPr>
          <w:rFonts w:ascii="Times New Roman" w:hAnsi="Times New Roman" w:cs="Times New Roman"/>
          <w:sz w:val="23"/>
          <w:szCs w:val="23"/>
        </w:rPr>
        <w:t>. This amount includes Federal Funds of $</w:t>
      </w:r>
      <w:r w:rsidR="003010B0" w:rsidRPr="004A4716">
        <w:rPr>
          <w:rFonts w:ascii="Times New Roman" w:hAnsi="Times New Roman" w:cs="Times New Roman"/>
          <w:sz w:val="23"/>
          <w:szCs w:val="23"/>
        </w:rPr>
        <w:t>7,700,415.11</w:t>
      </w:r>
      <w:r w:rsidRPr="004A4716">
        <w:rPr>
          <w:rFonts w:ascii="Times New Roman" w:hAnsi="Times New Roman" w:cs="Times New Roman"/>
          <w:sz w:val="23"/>
          <w:szCs w:val="23"/>
        </w:rPr>
        <w:t xml:space="preserve"> and $</w:t>
      </w:r>
      <w:r w:rsidR="003010B0" w:rsidRPr="004A4716">
        <w:rPr>
          <w:rFonts w:ascii="Times New Roman" w:hAnsi="Times New Roman" w:cs="Times New Roman"/>
          <w:sz w:val="23"/>
          <w:szCs w:val="23"/>
        </w:rPr>
        <w:t>4,324,258.18</w:t>
      </w:r>
      <w:r w:rsidRPr="004A4716">
        <w:rPr>
          <w:rFonts w:ascii="Times New Roman" w:hAnsi="Times New Roman" w:cs="Times New Roman"/>
          <w:sz w:val="23"/>
          <w:szCs w:val="23"/>
        </w:rPr>
        <w:t xml:space="preserve"> of State Funds for </w:t>
      </w:r>
      <w:r w:rsidR="001A0BA5" w:rsidRPr="004A4716">
        <w:rPr>
          <w:rFonts w:ascii="Times New Roman" w:hAnsi="Times New Roman" w:cs="Times New Roman"/>
          <w:sz w:val="23"/>
          <w:szCs w:val="23"/>
        </w:rPr>
        <w:t>2016-2017.</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 xml:space="preserve">The total number of participants served statewide across all groups and at all levels was </w:t>
      </w:r>
      <w:r w:rsidR="003010B0" w:rsidRPr="004A4716">
        <w:rPr>
          <w:rFonts w:ascii="Times New Roman" w:hAnsi="Times New Roman" w:cs="Times New Roman"/>
          <w:sz w:val="23"/>
          <w:szCs w:val="23"/>
        </w:rPr>
        <w:t xml:space="preserve">35,475.  </w:t>
      </w:r>
      <w:r w:rsidRPr="004A4716">
        <w:rPr>
          <w:rFonts w:ascii="Times New Roman" w:hAnsi="Times New Roman" w:cs="Times New Roman"/>
          <w:sz w:val="23"/>
          <w:szCs w:val="23"/>
        </w:rPr>
        <w:t xml:space="preserve">In FY </w:t>
      </w:r>
      <w:r w:rsidR="001A0BA5" w:rsidRPr="004A4716">
        <w:rPr>
          <w:rFonts w:ascii="Times New Roman" w:hAnsi="Times New Roman" w:cs="Times New Roman"/>
          <w:sz w:val="23"/>
          <w:szCs w:val="23"/>
        </w:rPr>
        <w:t>2016-2017</w:t>
      </w:r>
      <w:r w:rsidRPr="004A4716">
        <w:rPr>
          <w:rFonts w:ascii="Times New Roman" w:hAnsi="Times New Roman" w:cs="Times New Roman"/>
          <w:sz w:val="23"/>
          <w:szCs w:val="23"/>
        </w:rPr>
        <w:t xml:space="preserve">, the total number of student attendance hours was </w:t>
      </w:r>
      <w:r w:rsidR="001A0BA5" w:rsidRPr="004A4716">
        <w:rPr>
          <w:rFonts w:ascii="Times New Roman" w:hAnsi="Times New Roman" w:cs="Times New Roman"/>
          <w:sz w:val="23"/>
          <w:szCs w:val="23"/>
        </w:rPr>
        <w:t xml:space="preserve">2,000,212 </w:t>
      </w:r>
      <w:r w:rsidRPr="004A4716">
        <w:rPr>
          <w:rFonts w:ascii="Times New Roman" w:hAnsi="Times New Roman" w:cs="Times New Roman"/>
          <w:sz w:val="23"/>
          <w:szCs w:val="23"/>
        </w:rPr>
        <w:t>(Gains Report), which equates to the following:</w:t>
      </w:r>
    </w:p>
    <w:p w:rsidR="00764992" w:rsidRPr="004A4716" w:rsidRDefault="00764992" w:rsidP="00AC4282">
      <w:pPr>
        <w:spacing w:after="0"/>
        <w:ind w:left="720"/>
        <w:rPr>
          <w:rFonts w:ascii="Times New Roman" w:hAnsi="Times New Roman" w:cs="Times New Roman"/>
          <w:sz w:val="23"/>
          <w:szCs w:val="23"/>
        </w:rPr>
      </w:pPr>
      <w:proofErr w:type="gramStart"/>
      <w:r w:rsidRPr="004A4716">
        <w:rPr>
          <w:rFonts w:ascii="Times New Roman" w:hAnsi="Times New Roman" w:cs="Times New Roman"/>
          <w:sz w:val="23"/>
          <w:szCs w:val="23"/>
        </w:rPr>
        <w:t>average</w:t>
      </w:r>
      <w:proofErr w:type="gramEnd"/>
      <w:r w:rsidRPr="004A4716">
        <w:rPr>
          <w:rFonts w:ascii="Times New Roman" w:hAnsi="Times New Roman" w:cs="Times New Roman"/>
          <w:sz w:val="23"/>
          <w:szCs w:val="23"/>
        </w:rPr>
        <w:t xml:space="preserve"> cost per adult education student</w:t>
      </w:r>
      <w:r w:rsidR="003010B0" w:rsidRPr="004A4716">
        <w:rPr>
          <w:rFonts w:ascii="Times New Roman" w:hAnsi="Times New Roman" w:cs="Times New Roman"/>
          <w:sz w:val="23"/>
          <w:szCs w:val="23"/>
        </w:rPr>
        <w:t>………..$338.96</w:t>
      </w:r>
    </w:p>
    <w:p w:rsidR="00764992" w:rsidRPr="004A4716" w:rsidRDefault="00764992" w:rsidP="00AC4282">
      <w:pPr>
        <w:spacing w:after="0"/>
        <w:ind w:left="720"/>
        <w:rPr>
          <w:rFonts w:ascii="Times New Roman" w:hAnsi="Times New Roman" w:cs="Times New Roman"/>
          <w:sz w:val="23"/>
          <w:szCs w:val="23"/>
        </w:rPr>
      </w:pPr>
      <w:proofErr w:type="gramStart"/>
      <w:r w:rsidRPr="004A4716">
        <w:rPr>
          <w:rFonts w:ascii="Times New Roman" w:hAnsi="Times New Roman" w:cs="Times New Roman"/>
          <w:sz w:val="23"/>
          <w:szCs w:val="23"/>
        </w:rPr>
        <w:t>cost</w:t>
      </w:r>
      <w:proofErr w:type="gramEnd"/>
      <w:r w:rsidRPr="004A4716">
        <w:rPr>
          <w:rFonts w:ascii="Times New Roman" w:hAnsi="Times New Roman" w:cs="Times New Roman"/>
          <w:sz w:val="23"/>
          <w:szCs w:val="23"/>
        </w:rPr>
        <w:t xml:space="preserve"> per contact hour</w:t>
      </w:r>
      <w:r w:rsidR="003010B0" w:rsidRPr="004A4716">
        <w:rPr>
          <w:rFonts w:ascii="Times New Roman" w:hAnsi="Times New Roman" w:cs="Times New Roman"/>
          <w:sz w:val="23"/>
          <w:szCs w:val="23"/>
        </w:rPr>
        <w:t>…………….……………    $6.01</w:t>
      </w:r>
    </w:p>
    <w:p w:rsidR="00AC4282" w:rsidRPr="004A4716" w:rsidRDefault="00AC4282" w:rsidP="00AC4282">
      <w:pPr>
        <w:spacing w:after="0"/>
        <w:ind w:left="720"/>
        <w:rPr>
          <w:rFonts w:ascii="Times New Roman" w:hAnsi="Times New Roman" w:cs="Times New Roman"/>
          <w:sz w:val="23"/>
          <w:szCs w:val="23"/>
        </w:rPr>
      </w:pP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Administering the adult education program statewide were six full-time professional staff members</w:t>
      </w:r>
      <w:r w:rsidR="009A5654" w:rsidRPr="004A4716">
        <w:rPr>
          <w:rFonts w:ascii="Times New Roman" w:hAnsi="Times New Roman" w:cs="Times New Roman"/>
          <w:sz w:val="23"/>
          <w:szCs w:val="23"/>
        </w:rPr>
        <w:t xml:space="preserve"> and 4 part-time staff members</w:t>
      </w:r>
      <w:r w:rsidRPr="004A4716">
        <w:rPr>
          <w:rFonts w:ascii="Times New Roman" w:hAnsi="Times New Roman" w:cs="Times New Roman"/>
          <w:sz w:val="23"/>
          <w:szCs w:val="23"/>
        </w:rPr>
        <w:t>. The professional background of these staff members ranges from K-12 and adult education teaching experience to correctional and higher education administration experience. Staff members have participated in professional development activities including NRS workshops and OCTAE-sponsored meetings.  Close alignments also were maintained with the Department of Corrections, the Workforce Commission, Workforce Investment Council, Louisiana Rehabilitation Services, the Department of Children and Family Services, the Louisiana Board of Regents and the Department of Education.</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 xml:space="preserve">In </w:t>
      </w:r>
      <w:r w:rsidR="009A5654" w:rsidRPr="004A4716">
        <w:rPr>
          <w:rFonts w:ascii="Times New Roman" w:hAnsi="Times New Roman" w:cs="Times New Roman"/>
          <w:sz w:val="23"/>
          <w:szCs w:val="23"/>
        </w:rPr>
        <w:t>2016-2017,</w:t>
      </w:r>
      <w:r w:rsidRPr="004A4716">
        <w:rPr>
          <w:rFonts w:ascii="Times New Roman" w:hAnsi="Times New Roman" w:cs="Times New Roman"/>
          <w:sz w:val="23"/>
          <w:szCs w:val="23"/>
        </w:rPr>
        <w:t xml:space="preserve"> the Louisiana Community and Technical College System expended federal funding at the following levels (including carry-over federal funds from prior year):</w:t>
      </w:r>
    </w:p>
    <w:p w:rsidR="00764992" w:rsidRPr="004A4716" w:rsidRDefault="00764992" w:rsidP="00DF3417">
      <w:pPr>
        <w:spacing w:after="80"/>
        <w:ind w:left="720"/>
        <w:rPr>
          <w:rFonts w:ascii="Times New Roman" w:hAnsi="Times New Roman" w:cs="Times New Roman"/>
          <w:sz w:val="23"/>
          <w:szCs w:val="23"/>
        </w:rPr>
      </w:pPr>
      <w:r w:rsidRPr="004A4716">
        <w:rPr>
          <w:rFonts w:ascii="Times New Roman" w:hAnsi="Times New Roman" w:cs="Times New Roman"/>
          <w:sz w:val="23"/>
          <w:szCs w:val="23"/>
        </w:rPr>
        <w:t xml:space="preserve">State </w:t>
      </w:r>
      <w:proofErr w:type="gramStart"/>
      <w:r w:rsidRPr="004A4716">
        <w:rPr>
          <w:rFonts w:ascii="Times New Roman" w:hAnsi="Times New Roman" w:cs="Times New Roman"/>
          <w:sz w:val="23"/>
          <w:szCs w:val="23"/>
        </w:rPr>
        <w:t>Leadership</w:t>
      </w:r>
      <w:r w:rsidR="007C6028" w:rsidRPr="004A4716">
        <w:rPr>
          <w:rFonts w:ascii="Times New Roman" w:hAnsi="Times New Roman" w:cs="Times New Roman"/>
          <w:sz w:val="23"/>
          <w:szCs w:val="23"/>
        </w:rPr>
        <w:t>.</w:t>
      </w:r>
      <w:proofErr w:type="gramEnd"/>
      <w:r w:rsidR="007C6028" w:rsidRPr="004A4716">
        <w:rPr>
          <w:rFonts w:ascii="Times New Roman" w:hAnsi="Times New Roman" w:cs="Times New Roman"/>
          <w:sz w:val="23"/>
          <w:szCs w:val="23"/>
        </w:rPr>
        <w:t xml:space="preserve"> . . . .</w:t>
      </w:r>
      <w:r w:rsidRPr="004A4716">
        <w:rPr>
          <w:rFonts w:ascii="Times New Roman" w:hAnsi="Times New Roman" w:cs="Times New Roman"/>
          <w:sz w:val="23"/>
          <w:szCs w:val="23"/>
        </w:rPr>
        <w:tab/>
        <w:t>$</w:t>
      </w:r>
      <w:r w:rsidR="007C6028" w:rsidRPr="004A4716">
        <w:rPr>
          <w:rFonts w:ascii="Times New Roman" w:hAnsi="Times New Roman" w:cs="Times New Roman"/>
          <w:sz w:val="23"/>
          <w:szCs w:val="23"/>
        </w:rPr>
        <w:t>822,142.94</w:t>
      </w:r>
    </w:p>
    <w:p w:rsidR="00764992" w:rsidRPr="004A4716" w:rsidRDefault="00764992" w:rsidP="00DF3417">
      <w:pPr>
        <w:spacing w:after="80"/>
        <w:ind w:left="720"/>
        <w:rPr>
          <w:rFonts w:ascii="Times New Roman" w:hAnsi="Times New Roman" w:cs="Times New Roman"/>
          <w:sz w:val="23"/>
          <w:szCs w:val="23"/>
        </w:rPr>
      </w:pPr>
      <w:r w:rsidRPr="004A4716">
        <w:rPr>
          <w:rFonts w:ascii="Times New Roman" w:hAnsi="Times New Roman" w:cs="Times New Roman"/>
          <w:sz w:val="23"/>
          <w:szCs w:val="23"/>
        </w:rPr>
        <w:t>Administration</w:t>
      </w:r>
      <w:r w:rsidR="007C6028" w:rsidRPr="004A4716">
        <w:rPr>
          <w:rFonts w:ascii="Times New Roman" w:hAnsi="Times New Roman" w:cs="Times New Roman"/>
          <w:sz w:val="23"/>
          <w:szCs w:val="23"/>
        </w:rPr>
        <w:t>. . . . . .</w:t>
      </w:r>
      <w:r w:rsidRPr="004A4716">
        <w:rPr>
          <w:rFonts w:ascii="Times New Roman" w:hAnsi="Times New Roman" w:cs="Times New Roman"/>
          <w:sz w:val="23"/>
          <w:szCs w:val="23"/>
        </w:rPr>
        <w:tab/>
        <w:t>$</w:t>
      </w:r>
      <w:r w:rsidR="007C6028" w:rsidRPr="004A4716">
        <w:rPr>
          <w:rFonts w:ascii="Times New Roman" w:hAnsi="Times New Roman" w:cs="Times New Roman"/>
          <w:sz w:val="23"/>
          <w:szCs w:val="23"/>
        </w:rPr>
        <w:t>571,233.54</w:t>
      </w:r>
    </w:p>
    <w:p w:rsidR="00764992" w:rsidRPr="004A4716" w:rsidRDefault="00764992" w:rsidP="00DF3417">
      <w:pPr>
        <w:spacing w:after="80"/>
        <w:ind w:left="720"/>
        <w:rPr>
          <w:rFonts w:ascii="Times New Roman" w:hAnsi="Times New Roman" w:cs="Times New Roman"/>
          <w:sz w:val="23"/>
          <w:szCs w:val="23"/>
        </w:rPr>
      </w:pPr>
      <w:r w:rsidRPr="004A4716">
        <w:rPr>
          <w:rFonts w:ascii="Times New Roman" w:hAnsi="Times New Roman" w:cs="Times New Roman"/>
          <w:sz w:val="23"/>
          <w:szCs w:val="23"/>
        </w:rPr>
        <w:t xml:space="preserve">Basic Grant to Local </w:t>
      </w:r>
      <w:proofErr w:type="gramStart"/>
      <w:r w:rsidRPr="004A4716">
        <w:rPr>
          <w:rFonts w:ascii="Times New Roman" w:hAnsi="Times New Roman" w:cs="Times New Roman"/>
          <w:sz w:val="23"/>
          <w:szCs w:val="23"/>
        </w:rPr>
        <w:t>Providers</w:t>
      </w:r>
      <w:r w:rsidR="007C6028" w:rsidRPr="004A4716">
        <w:rPr>
          <w:rFonts w:ascii="Times New Roman" w:hAnsi="Times New Roman" w:cs="Times New Roman"/>
          <w:sz w:val="23"/>
          <w:szCs w:val="23"/>
        </w:rPr>
        <w:t>.</w:t>
      </w:r>
      <w:proofErr w:type="gramEnd"/>
      <w:r w:rsidR="007C6028" w:rsidRPr="004A4716">
        <w:rPr>
          <w:rFonts w:ascii="Times New Roman" w:hAnsi="Times New Roman" w:cs="Times New Roman"/>
          <w:sz w:val="23"/>
          <w:szCs w:val="23"/>
        </w:rPr>
        <w:t xml:space="preserve"> . . . . </w:t>
      </w:r>
      <w:r w:rsidRPr="004A4716">
        <w:rPr>
          <w:rFonts w:ascii="Times New Roman" w:hAnsi="Times New Roman" w:cs="Times New Roman"/>
          <w:sz w:val="23"/>
          <w:szCs w:val="23"/>
        </w:rPr>
        <w:t>$</w:t>
      </w:r>
      <w:r w:rsidR="007C6028" w:rsidRPr="004A4716">
        <w:rPr>
          <w:rFonts w:ascii="Times New Roman" w:hAnsi="Times New Roman" w:cs="Times New Roman"/>
          <w:sz w:val="23"/>
          <w:szCs w:val="23"/>
        </w:rPr>
        <w:t>7,700,415.11</w:t>
      </w:r>
    </w:p>
    <w:p w:rsidR="00764992" w:rsidRPr="004A4716" w:rsidRDefault="00764992" w:rsidP="00DF3417">
      <w:pPr>
        <w:spacing w:after="80"/>
        <w:ind w:left="720"/>
        <w:rPr>
          <w:rFonts w:ascii="Times New Roman" w:hAnsi="Times New Roman" w:cs="Times New Roman"/>
          <w:sz w:val="23"/>
          <w:szCs w:val="23"/>
        </w:rPr>
      </w:pPr>
      <w:r w:rsidRPr="004A4716">
        <w:rPr>
          <w:rFonts w:ascii="Times New Roman" w:hAnsi="Times New Roman" w:cs="Times New Roman"/>
          <w:sz w:val="23"/>
          <w:szCs w:val="23"/>
        </w:rPr>
        <w:t>Total</w:t>
      </w:r>
      <w:r w:rsidR="007C6028" w:rsidRPr="004A4716">
        <w:rPr>
          <w:rFonts w:ascii="Times New Roman" w:hAnsi="Times New Roman" w:cs="Times New Roman"/>
          <w:sz w:val="23"/>
          <w:szCs w:val="23"/>
        </w:rPr>
        <w:t>. .</w:t>
      </w:r>
      <w:r w:rsidRPr="004A4716">
        <w:rPr>
          <w:rFonts w:ascii="Times New Roman" w:hAnsi="Times New Roman" w:cs="Times New Roman"/>
          <w:sz w:val="23"/>
          <w:szCs w:val="23"/>
        </w:rPr>
        <w:tab/>
        <w:t>$</w:t>
      </w:r>
      <w:r w:rsidR="007C6028" w:rsidRPr="004A4716">
        <w:rPr>
          <w:rFonts w:ascii="Times New Roman" w:hAnsi="Times New Roman" w:cs="Times New Roman"/>
          <w:sz w:val="23"/>
          <w:szCs w:val="23"/>
        </w:rPr>
        <w:t>9,093,791.59</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 xml:space="preserve">After a thorough review of the </w:t>
      </w:r>
      <w:r w:rsidR="009A5654" w:rsidRPr="004A4716">
        <w:rPr>
          <w:rFonts w:ascii="Times New Roman" w:hAnsi="Times New Roman" w:cs="Times New Roman"/>
          <w:sz w:val="23"/>
          <w:szCs w:val="23"/>
        </w:rPr>
        <w:t xml:space="preserve">2016-2017 </w:t>
      </w:r>
      <w:r w:rsidRPr="004A4716">
        <w:rPr>
          <w:rFonts w:ascii="Times New Roman" w:hAnsi="Times New Roman" w:cs="Times New Roman"/>
          <w:sz w:val="23"/>
          <w:szCs w:val="23"/>
        </w:rPr>
        <w:t xml:space="preserve">adult education performance data, it is clear that the continued implementation of the WRU philosophy was beneficial to the students as the state experienced increases in the following areas: </w:t>
      </w:r>
    </w:p>
    <w:p w:rsidR="00764992" w:rsidRPr="004A4716" w:rsidRDefault="00764992" w:rsidP="00633CA8">
      <w:pPr>
        <w:pStyle w:val="ListParagraph"/>
        <w:numPr>
          <w:ilvl w:val="0"/>
          <w:numId w:val="3"/>
        </w:numPr>
        <w:spacing w:after="80"/>
        <w:rPr>
          <w:rFonts w:ascii="Times New Roman" w:hAnsi="Times New Roman" w:cs="Times New Roman"/>
          <w:sz w:val="23"/>
          <w:szCs w:val="23"/>
        </w:rPr>
      </w:pPr>
      <w:r w:rsidRPr="004A4716">
        <w:rPr>
          <w:rFonts w:ascii="Times New Roman" w:hAnsi="Times New Roman" w:cs="Times New Roman"/>
          <w:sz w:val="23"/>
          <w:szCs w:val="23"/>
        </w:rPr>
        <w:t xml:space="preserve">the number of students served with one hour increased by </w:t>
      </w:r>
      <w:r w:rsidR="009A5654" w:rsidRPr="004A4716">
        <w:rPr>
          <w:rFonts w:ascii="Times New Roman" w:hAnsi="Times New Roman" w:cs="Times New Roman"/>
          <w:sz w:val="23"/>
          <w:szCs w:val="23"/>
        </w:rPr>
        <w:t>13.8%</w:t>
      </w:r>
      <w:r w:rsidRPr="004A4716">
        <w:rPr>
          <w:rFonts w:ascii="Times New Roman" w:hAnsi="Times New Roman" w:cs="Times New Roman"/>
          <w:sz w:val="23"/>
          <w:szCs w:val="23"/>
        </w:rPr>
        <w:t>;</w:t>
      </w:r>
      <w:r w:rsidR="009A5654" w:rsidRPr="004A4716">
        <w:rPr>
          <w:rFonts w:ascii="Times New Roman" w:hAnsi="Times New Roman" w:cs="Times New Roman"/>
          <w:sz w:val="23"/>
          <w:szCs w:val="23"/>
        </w:rPr>
        <w:t xml:space="preserve"> </w:t>
      </w:r>
    </w:p>
    <w:p w:rsidR="00764992" w:rsidRPr="004A4716" w:rsidRDefault="00764992" w:rsidP="00633CA8">
      <w:pPr>
        <w:pStyle w:val="ListParagraph"/>
        <w:numPr>
          <w:ilvl w:val="0"/>
          <w:numId w:val="3"/>
        </w:numPr>
        <w:spacing w:after="80"/>
        <w:rPr>
          <w:rFonts w:ascii="Times New Roman" w:hAnsi="Times New Roman" w:cs="Times New Roman"/>
          <w:sz w:val="23"/>
          <w:szCs w:val="23"/>
        </w:rPr>
      </w:pPr>
      <w:r w:rsidRPr="004A4716">
        <w:rPr>
          <w:rFonts w:ascii="Times New Roman" w:hAnsi="Times New Roman" w:cs="Times New Roman"/>
          <w:sz w:val="23"/>
          <w:szCs w:val="23"/>
        </w:rPr>
        <w:t xml:space="preserve">the </w:t>
      </w:r>
      <w:r w:rsidR="009A5654" w:rsidRPr="004A4716">
        <w:rPr>
          <w:rFonts w:ascii="Times New Roman" w:hAnsi="Times New Roman" w:cs="Times New Roman"/>
          <w:sz w:val="23"/>
          <w:szCs w:val="23"/>
        </w:rPr>
        <w:t xml:space="preserve">percentage </w:t>
      </w:r>
      <w:r w:rsidRPr="004A4716">
        <w:rPr>
          <w:rFonts w:ascii="Times New Roman" w:hAnsi="Times New Roman" w:cs="Times New Roman"/>
          <w:sz w:val="23"/>
          <w:szCs w:val="23"/>
        </w:rPr>
        <w:t xml:space="preserve">of students post-tested increased by </w:t>
      </w:r>
      <w:r w:rsidR="00667F72" w:rsidRPr="004A4716">
        <w:rPr>
          <w:rFonts w:ascii="Times New Roman" w:hAnsi="Times New Roman" w:cs="Times New Roman"/>
          <w:sz w:val="23"/>
          <w:szCs w:val="23"/>
        </w:rPr>
        <w:t>1</w:t>
      </w:r>
      <w:r w:rsidR="009A5654" w:rsidRPr="004A4716">
        <w:rPr>
          <w:rFonts w:ascii="Times New Roman" w:hAnsi="Times New Roman" w:cs="Times New Roman"/>
          <w:sz w:val="23"/>
          <w:szCs w:val="23"/>
        </w:rPr>
        <w:t>%</w:t>
      </w:r>
    </w:p>
    <w:p w:rsidR="00764992" w:rsidRPr="004A4716" w:rsidRDefault="00764992" w:rsidP="00633CA8">
      <w:pPr>
        <w:pStyle w:val="ListParagraph"/>
        <w:numPr>
          <w:ilvl w:val="0"/>
          <w:numId w:val="3"/>
        </w:numPr>
        <w:spacing w:after="80"/>
        <w:rPr>
          <w:rFonts w:ascii="Times New Roman" w:hAnsi="Times New Roman" w:cs="Times New Roman"/>
          <w:sz w:val="23"/>
          <w:szCs w:val="23"/>
        </w:rPr>
      </w:pPr>
      <w:r w:rsidRPr="004A4716">
        <w:rPr>
          <w:rFonts w:ascii="Times New Roman" w:hAnsi="Times New Roman" w:cs="Times New Roman"/>
          <w:sz w:val="23"/>
          <w:szCs w:val="23"/>
        </w:rPr>
        <w:t xml:space="preserve">the </w:t>
      </w:r>
      <w:r w:rsidR="009A5654" w:rsidRPr="004A4716">
        <w:rPr>
          <w:rFonts w:ascii="Times New Roman" w:hAnsi="Times New Roman" w:cs="Times New Roman"/>
          <w:sz w:val="23"/>
          <w:szCs w:val="23"/>
        </w:rPr>
        <w:t xml:space="preserve">percentage </w:t>
      </w:r>
      <w:r w:rsidRPr="004A4716">
        <w:rPr>
          <w:rFonts w:ascii="Times New Roman" w:hAnsi="Times New Roman" w:cs="Times New Roman"/>
          <w:sz w:val="23"/>
          <w:szCs w:val="23"/>
        </w:rPr>
        <w:t xml:space="preserve">of students completing a level increased by </w:t>
      </w:r>
      <w:r w:rsidR="009A5654" w:rsidRPr="004A4716">
        <w:rPr>
          <w:rFonts w:ascii="Times New Roman" w:hAnsi="Times New Roman" w:cs="Times New Roman"/>
          <w:sz w:val="23"/>
          <w:szCs w:val="23"/>
        </w:rPr>
        <w:t>2.4%</w:t>
      </w:r>
      <w:r w:rsidR="002D7ADB" w:rsidRPr="004A4716">
        <w:rPr>
          <w:rFonts w:ascii="Times New Roman" w:hAnsi="Times New Roman" w:cs="Times New Roman"/>
          <w:sz w:val="23"/>
          <w:szCs w:val="23"/>
        </w:rPr>
        <w:t xml:space="preserve"> with over 50% making a gain</w:t>
      </w:r>
      <w:r w:rsidR="00667F72" w:rsidRPr="004A4716">
        <w:rPr>
          <w:rFonts w:ascii="Times New Roman" w:hAnsi="Times New Roman" w:cs="Times New Roman"/>
          <w:sz w:val="23"/>
          <w:szCs w:val="23"/>
        </w:rPr>
        <w:t>;</w:t>
      </w:r>
      <w:r w:rsidRPr="004A4716">
        <w:rPr>
          <w:rFonts w:ascii="Times New Roman" w:hAnsi="Times New Roman" w:cs="Times New Roman"/>
          <w:sz w:val="23"/>
          <w:szCs w:val="23"/>
        </w:rPr>
        <w:t xml:space="preserve"> and</w:t>
      </w:r>
    </w:p>
    <w:p w:rsidR="00764992" w:rsidRPr="004A4716" w:rsidRDefault="00764992" w:rsidP="00633CA8">
      <w:pPr>
        <w:pStyle w:val="ListParagraph"/>
        <w:numPr>
          <w:ilvl w:val="0"/>
          <w:numId w:val="3"/>
        </w:numPr>
        <w:spacing w:after="80"/>
        <w:rPr>
          <w:rFonts w:ascii="Times New Roman" w:hAnsi="Times New Roman" w:cs="Times New Roman"/>
          <w:sz w:val="23"/>
          <w:szCs w:val="23"/>
        </w:rPr>
      </w:pPr>
      <w:proofErr w:type="gramStart"/>
      <w:r w:rsidRPr="004A4716">
        <w:rPr>
          <w:rFonts w:ascii="Times New Roman" w:hAnsi="Times New Roman" w:cs="Times New Roman"/>
          <w:sz w:val="23"/>
          <w:szCs w:val="23"/>
        </w:rPr>
        <w:t>the</w:t>
      </w:r>
      <w:proofErr w:type="gramEnd"/>
      <w:r w:rsidRPr="004A4716">
        <w:rPr>
          <w:rFonts w:ascii="Times New Roman" w:hAnsi="Times New Roman" w:cs="Times New Roman"/>
          <w:sz w:val="23"/>
          <w:szCs w:val="23"/>
        </w:rPr>
        <w:t xml:space="preserve"> number of ESL students completing a level increased by </w:t>
      </w:r>
      <w:r w:rsidR="002D7ADB" w:rsidRPr="004A4716">
        <w:rPr>
          <w:rFonts w:ascii="Times New Roman" w:hAnsi="Times New Roman" w:cs="Times New Roman"/>
          <w:sz w:val="23"/>
          <w:szCs w:val="23"/>
        </w:rPr>
        <w:t>12%</w:t>
      </w:r>
      <w:r w:rsidR="00667F72" w:rsidRPr="004A4716">
        <w:rPr>
          <w:rFonts w:ascii="Times New Roman" w:hAnsi="Times New Roman" w:cs="Times New Roman"/>
          <w:sz w:val="23"/>
          <w:szCs w:val="23"/>
        </w:rPr>
        <w:t>.</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 xml:space="preserve">Much of the success in student outcomes was due to local programs expanding their menu of services in order to better meet the needs of the community. Additionally, a focus on instructional cycles that are offered at times conducive to the learner in lieu of the traditional K-12 model, drove student performance outcomes and attendance. </w:t>
      </w:r>
    </w:p>
    <w:p w:rsidR="00764992" w:rsidRPr="004A4716" w:rsidRDefault="00525D68" w:rsidP="00764992">
      <w:pPr>
        <w:rPr>
          <w:rFonts w:ascii="Times New Roman" w:hAnsi="Times New Roman" w:cs="Times New Roman"/>
          <w:sz w:val="23"/>
          <w:szCs w:val="23"/>
        </w:rPr>
      </w:pPr>
      <w:r w:rsidRPr="004A4716">
        <w:rPr>
          <w:rFonts w:ascii="Times New Roman" w:hAnsi="Times New Roman" w:cs="Times New Roman"/>
          <w:sz w:val="23"/>
          <w:szCs w:val="23"/>
        </w:rPr>
        <w:t>WRU s</w:t>
      </w:r>
      <w:r w:rsidR="007642AF" w:rsidRPr="004A4716">
        <w:rPr>
          <w:rFonts w:ascii="Times New Roman" w:hAnsi="Times New Roman" w:cs="Times New Roman"/>
          <w:sz w:val="23"/>
          <w:szCs w:val="23"/>
        </w:rPr>
        <w:t>econdary outcomes</w:t>
      </w:r>
      <w:r w:rsidR="00764992" w:rsidRPr="004A4716">
        <w:rPr>
          <w:rFonts w:ascii="Times New Roman" w:hAnsi="Times New Roman" w:cs="Times New Roman"/>
          <w:sz w:val="23"/>
          <w:szCs w:val="23"/>
        </w:rPr>
        <w:t xml:space="preserve"> </w:t>
      </w:r>
      <w:r w:rsidRPr="004A4716">
        <w:rPr>
          <w:rFonts w:ascii="Times New Roman" w:hAnsi="Times New Roman" w:cs="Times New Roman"/>
          <w:sz w:val="23"/>
          <w:szCs w:val="23"/>
        </w:rPr>
        <w:t xml:space="preserve">(Table 5) </w:t>
      </w:r>
      <w:r w:rsidR="007642AF" w:rsidRPr="004A4716">
        <w:rPr>
          <w:rFonts w:ascii="Times New Roman" w:hAnsi="Times New Roman" w:cs="Times New Roman"/>
          <w:sz w:val="23"/>
          <w:szCs w:val="23"/>
        </w:rPr>
        <w:t>were not repor</w:t>
      </w:r>
      <w:r w:rsidRPr="004A4716">
        <w:rPr>
          <w:rFonts w:ascii="Times New Roman" w:hAnsi="Times New Roman" w:cs="Times New Roman"/>
          <w:sz w:val="23"/>
          <w:szCs w:val="23"/>
        </w:rPr>
        <w:t>ted</w:t>
      </w:r>
      <w:r w:rsidR="007642AF" w:rsidRPr="004A4716">
        <w:rPr>
          <w:rFonts w:ascii="Times New Roman" w:hAnsi="Times New Roman" w:cs="Times New Roman"/>
          <w:sz w:val="23"/>
          <w:szCs w:val="23"/>
        </w:rPr>
        <w:t xml:space="preserve"> for fiscal 2016-2017 due to changes in N</w:t>
      </w:r>
      <w:r w:rsidRPr="004A4716">
        <w:rPr>
          <w:rFonts w:ascii="Times New Roman" w:hAnsi="Times New Roman" w:cs="Times New Roman"/>
          <w:sz w:val="23"/>
          <w:szCs w:val="23"/>
        </w:rPr>
        <w:t xml:space="preserve">ational </w:t>
      </w:r>
      <w:r w:rsidR="007642AF" w:rsidRPr="004A4716">
        <w:rPr>
          <w:rFonts w:ascii="Times New Roman" w:hAnsi="Times New Roman" w:cs="Times New Roman"/>
          <w:sz w:val="23"/>
          <w:szCs w:val="23"/>
        </w:rPr>
        <w:t>R</w:t>
      </w:r>
      <w:r w:rsidRPr="004A4716">
        <w:rPr>
          <w:rFonts w:ascii="Times New Roman" w:hAnsi="Times New Roman" w:cs="Times New Roman"/>
          <w:sz w:val="23"/>
          <w:szCs w:val="23"/>
        </w:rPr>
        <w:t xml:space="preserve">eporting </w:t>
      </w:r>
      <w:r w:rsidR="007642AF" w:rsidRPr="004A4716">
        <w:rPr>
          <w:rFonts w:ascii="Times New Roman" w:hAnsi="Times New Roman" w:cs="Times New Roman"/>
          <w:sz w:val="23"/>
          <w:szCs w:val="23"/>
        </w:rPr>
        <w:t>S</w:t>
      </w:r>
      <w:r w:rsidRPr="004A4716">
        <w:rPr>
          <w:rFonts w:ascii="Times New Roman" w:hAnsi="Times New Roman" w:cs="Times New Roman"/>
          <w:sz w:val="23"/>
          <w:szCs w:val="23"/>
        </w:rPr>
        <w:t>ystem (NRS)</w:t>
      </w:r>
      <w:r w:rsidR="007642AF" w:rsidRPr="004A4716">
        <w:rPr>
          <w:rFonts w:ascii="Times New Roman" w:hAnsi="Times New Roman" w:cs="Times New Roman"/>
          <w:sz w:val="23"/>
          <w:szCs w:val="23"/>
        </w:rPr>
        <w:t xml:space="preserve"> and WIOA reporting requirements and timelines.   </w:t>
      </w:r>
      <w:r w:rsidR="002D7ADB" w:rsidRPr="004A4716">
        <w:rPr>
          <w:rFonts w:ascii="Times New Roman" w:hAnsi="Times New Roman" w:cs="Times New Roman"/>
          <w:sz w:val="23"/>
          <w:szCs w:val="23"/>
        </w:rPr>
        <w:t xml:space="preserve"> </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 xml:space="preserve">The collaborative efforts of the Louisiana Department of Education and the LCTCS continued to focus on lowering the percentage of 16-18 year olds that were being served in adult education.  Through clearer defined state mandatory attendance laws and more diverse alternative programs being offered in the K-12 system, Louisiana was working hard to address the dropout rate.  Louisiana was also committed to ensuring that all individuals who were undereducated and underemployed had an opportunity to receive basic skill remediation and an opportunity toward self-sufficiency as evidenced by Table 3 that reflects </w:t>
      </w:r>
      <w:r w:rsidR="00CD6D4E" w:rsidRPr="004A4716">
        <w:rPr>
          <w:rFonts w:ascii="Times New Roman" w:hAnsi="Times New Roman" w:cs="Times New Roman"/>
          <w:sz w:val="23"/>
          <w:szCs w:val="23"/>
        </w:rPr>
        <w:t>approximately</w:t>
      </w:r>
      <w:r w:rsidR="002D7ADB" w:rsidRPr="004A4716">
        <w:rPr>
          <w:rFonts w:ascii="Times New Roman" w:hAnsi="Times New Roman" w:cs="Times New Roman"/>
          <w:sz w:val="23"/>
          <w:szCs w:val="23"/>
        </w:rPr>
        <w:t xml:space="preserve"> 91%</w:t>
      </w:r>
      <w:r w:rsidRPr="004A4716">
        <w:rPr>
          <w:rFonts w:ascii="Times New Roman" w:hAnsi="Times New Roman" w:cs="Times New Roman"/>
          <w:sz w:val="23"/>
          <w:szCs w:val="23"/>
        </w:rPr>
        <w:t xml:space="preserve"> of the students served were Adult Basic Education or English-as-a-Second Language learners.  This long-term commitment was yet another me</w:t>
      </w:r>
      <w:r w:rsidR="00040133" w:rsidRPr="004A4716">
        <w:rPr>
          <w:rFonts w:ascii="Times New Roman" w:hAnsi="Times New Roman" w:cs="Times New Roman"/>
          <w:sz w:val="23"/>
          <w:szCs w:val="23"/>
        </w:rPr>
        <w:t>asure that WR</w:t>
      </w:r>
      <w:r w:rsidRPr="004A4716">
        <w:rPr>
          <w:rFonts w:ascii="Times New Roman" w:hAnsi="Times New Roman" w:cs="Times New Roman"/>
          <w:sz w:val="23"/>
          <w:szCs w:val="23"/>
        </w:rPr>
        <w:t>U was dedicated to building the Louisiana of tomorrow by providing comprehensive adult educational services to Louisiana’s most at-risk citizens.</w:t>
      </w:r>
    </w:p>
    <w:p w:rsidR="00764992" w:rsidRPr="004A4716" w:rsidRDefault="00764992" w:rsidP="00764992">
      <w:pPr>
        <w:rPr>
          <w:rFonts w:ascii="Times New Roman" w:hAnsi="Times New Roman" w:cs="Times New Roman"/>
          <w:b/>
          <w:sz w:val="23"/>
          <w:szCs w:val="23"/>
        </w:rPr>
      </w:pPr>
      <w:r w:rsidRPr="004A4716">
        <w:rPr>
          <w:rFonts w:ascii="Times New Roman" w:hAnsi="Times New Roman" w:cs="Times New Roman"/>
          <w:b/>
          <w:sz w:val="23"/>
          <w:szCs w:val="23"/>
        </w:rPr>
        <w:t>Integration with One-Stop Partners</w:t>
      </w:r>
    </w:p>
    <w:p w:rsidR="00764992" w:rsidRPr="004A4716" w:rsidRDefault="00D57E77" w:rsidP="00764992">
      <w:pPr>
        <w:rPr>
          <w:rFonts w:ascii="Times New Roman" w:hAnsi="Times New Roman" w:cs="Times New Roman"/>
          <w:sz w:val="23"/>
          <w:szCs w:val="23"/>
        </w:rPr>
      </w:pPr>
      <w:r w:rsidRPr="004A4716">
        <w:rPr>
          <w:rFonts w:ascii="Times New Roman" w:hAnsi="Times New Roman" w:cs="Times New Roman"/>
          <w:sz w:val="23"/>
          <w:szCs w:val="23"/>
        </w:rPr>
        <w:t>The LCTCS</w:t>
      </w:r>
      <w:r w:rsidR="00764992" w:rsidRPr="004A4716">
        <w:rPr>
          <w:rFonts w:ascii="Times New Roman" w:hAnsi="Times New Roman" w:cs="Times New Roman"/>
          <w:sz w:val="23"/>
          <w:szCs w:val="23"/>
        </w:rPr>
        <w:t xml:space="preserve"> supported the integration of activiti</w:t>
      </w:r>
      <w:r w:rsidR="00990222" w:rsidRPr="004A4716">
        <w:rPr>
          <w:rFonts w:ascii="Times New Roman" w:hAnsi="Times New Roman" w:cs="Times New Roman"/>
          <w:sz w:val="23"/>
          <w:szCs w:val="23"/>
        </w:rPr>
        <w:t>es sponsored under the AEFLA</w:t>
      </w:r>
      <w:r w:rsidR="00764992" w:rsidRPr="004A4716">
        <w:rPr>
          <w:rFonts w:ascii="Times New Roman" w:hAnsi="Times New Roman" w:cs="Times New Roman"/>
          <w:sz w:val="23"/>
          <w:szCs w:val="23"/>
        </w:rPr>
        <w:t xml:space="preserve"> in multiple areas relative to adult education, career development, and employment and training activities.  </w:t>
      </w:r>
    </w:p>
    <w:p w:rsidR="00764992" w:rsidRPr="004A4716" w:rsidRDefault="00281D38" w:rsidP="00764992">
      <w:pPr>
        <w:rPr>
          <w:rFonts w:ascii="Times New Roman" w:hAnsi="Times New Roman" w:cs="Times New Roman"/>
          <w:sz w:val="23"/>
          <w:szCs w:val="23"/>
        </w:rPr>
      </w:pPr>
      <w:r w:rsidRPr="004A4716">
        <w:rPr>
          <w:rFonts w:ascii="Times New Roman" w:hAnsi="Times New Roman" w:cs="Times New Roman"/>
          <w:sz w:val="23"/>
          <w:szCs w:val="23"/>
        </w:rPr>
        <w:t>WR</w:t>
      </w:r>
      <w:r w:rsidR="00764992" w:rsidRPr="004A4716">
        <w:rPr>
          <w:rFonts w:ascii="Times New Roman" w:hAnsi="Times New Roman" w:cs="Times New Roman"/>
          <w:sz w:val="23"/>
          <w:szCs w:val="23"/>
        </w:rPr>
        <w:t>U and One-Stop cent</w:t>
      </w:r>
      <w:r w:rsidR="00A711E9" w:rsidRPr="004A4716">
        <w:rPr>
          <w:rFonts w:ascii="Times New Roman" w:hAnsi="Times New Roman" w:cs="Times New Roman"/>
          <w:sz w:val="23"/>
          <w:szCs w:val="23"/>
        </w:rPr>
        <w:t xml:space="preserve">ers coordinated partnerships in an effort to </w:t>
      </w:r>
      <w:r w:rsidR="00764992" w:rsidRPr="004A4716">
        <w:rPr>
          <w:rFonts w:ascii="Times New Roman" w:hAnsi="Times New Roman" w:cs="Times New Roman"/>
          <w:sz w:val="23"/>
          <w:szCs w:val="23"/>
        </w:rPr>
        <w:t xml:space="preserve">provide shared, unduplicated services. WRU partnered with each of the 15 </w:t>
      </w:r>
      <w:r w:rsidR="00A711E9" w:rsidRPr="004A4716">
        <w:rPr>
          <w:rFonts w:ascii="Times New Roman" w:hAnsi="Times New Roman" w:cs="Times New Roman"/>
          <w:sz w:val="23"/>
          <w:szCs w:val="23"/>
        </w:rPr>
        <w:t xml:space="preserve">Local </w:t>
      </w:r>
      <w:r w:rsidR="00764992" w:rsidRPr="004A4716">
        <w:rPr>
          <w:rFonts w:ascii="Times New Roman" w:hAnsi="Times New Roman" w:cs="Times New Roman"/>
          <w:sz w:val="23"/>
          <w:szCs w:val="23"/>
        </w:rPr>
        <w:t xml:space="preserve">Workforce </w:t>
      </w:r>
      <w:r w:rsidR="00A711E9" w:rsidRPr="004A4716">
        <w:rPr>
          <w:rFonts w:ascii="Times New Roman" w:hAnsi="Times New Roman" w:cs="Times New Roman"/>
          <w:sz w:val="23"/>
          <w:szCs w:val="23"/>
        </w:rPr>
        <w:t>Development Boards (LWDBs)</w:t>
      </w:r>
      <w:r w:rsidR="00764992" w:rsidRPr="004A4716">
        <w:rPr>
          <w:rFonts w:ascii="Times New Roman" w:hAnsi="Times New Roman" w:cs="Times New Roman"/>
          <w:sz w:val="23"/>
          <w:szCs w:val="23"/>
        </w:rPr>
        <w:t xml:space="preserve"> to nominate local adult education supervisors and have representatives appointed to each board. This coordination and communication provided opportunities for Title II representatives to serve on the local workforce development boards and act as a conduit for the exchange of information. LCTCS leadership participated in all appropriate committee and board activities with regard to the State agencies responsible for Workforce, Corrections, Higher Education, and Economic Development. In an effort to stay informed of the latest board activities across the state, WRU and adult education staff serving as newly-elected board members met, bimonthly, via conference calls and a virtual meeting platform provided by LCTCS Online.</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 xml:space="preserve">WRU staff set up Regional Roundtables with local providers. The aim of these discussions was to develop strategies for meeting performance targets established in the adult education strategic plan, WRU 2020, and WIOA goals within the eight workforce regions.  Each program’s expertise and local knowledge of their service region provided insight into the valuable information in defining actions for improving service delivery to the adult learners in each area.  </w:t>
      </w:r>
    </w:p>
    <w:p w:rsidR="00512C53"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 xml:space="preserve">Louisiana Career Pathways were embedded in regionally appropriate labor market data that possessed stackable/ portable credentials tied to national certifications and job readiness skills.  Louisiana Workforce Commission (LWC) and Louisiana Economic Development/ Louisiana </w:t>
      </w:r>
      <w:proofErr w:type="spellStart"/>
      <w:r w:rsidRPr="004A4716">
        <w:rPr>
          <w:rFonts w:ascii="Times New Roman" w:hAnsi="Times New Roman" w:cs="Times New Roman"/>
          <w:sz w:val="23"/>
          <w:szCs w:val="23"/>
        </w:rPr>
        <w:t>FastStart</w:t>
      </w:r>
      <w:proofErr w:type="spellEnd"/>
      <w:r w:rsidRPr="004A4716">
        <w:rPr>
          <w:rFonts w:ascii="Times New Roman" w:hAnsi="Times New Roman" w:cs="Times New Roman"/>
          <w:sz w:val="23"/>
          <w:szCs w:val="23"/>
        </w:rPr>
        <w:t xml:space="preserve"> (LED) assisted in identifying the labor market demands and desired skill sets/credentials. </w:t>
      </w:r>
      <w:proofErr w:type="spellStart"/>
      <w:r w:rsidRPr="004A4716">
        <w:rPr>
          <w:rFonts w:ascii="Times New Roman" w:hAnsi="Times New Roman" w:cs="Times New Roman"/>
          <w:sz w:val="23"/>
          <w:szCs w:val="23"/>
        </w:rPr>
        <w:t>WorkReady</w:t>
      </w:r>
      <w:proofErr w:type="spellEnd"/>
      <w:r w:rsidRPr="004A4716">
        <w:rPr>
          <w:rFonts w:ascii="Times New Roman" w:hAnsi="Times New Roman" w:cs="Times New Roman"/>
          <w:sz w:val="23"/>
          <w:szCs w:val="23"/>
        </w:rPr>
        <w:t xml:space="preserve"> U and LCTCS colleges built career pathways and offered foundational skills, resulting in LWC and LCTCS colleges assisting completers in securing internships, apprenticeship, and/or employment.  An example of these cooperative agency endeavors is the executive order issued by Governor Edwards creating a new Louisiana partnership that will require all Able-Bodied Adults Without Dependents (ABAWDs) who participate in the SNAP food assistance program, but who are not currently working or in school, to participate in job training and assistance programs in order to remain eligible for federal food assistance. The Louisiana Workforce Commission (LWC) and the Department of Children and Family Services (DCFS) will administer the new program. </w:t>
      </w:r>
      <w:proofErr w:type="spellStart"/>
      <w:r w:rsidRPr="004A4716">
        <w:rPr>
          <w:rFonts w:ascii="Times New Roman" w:hAnsi="Times New Roman" w:cs="Times New Roman"/>
          <w:sz w:val="23"/>
          <w:szCs w:val="23"/>
        </w:rPr>
        <w:t>WorkReady</w:t>
      </w:r>
      <w:proofErr w:type="spellEnd"/>
      <w:r w:rsidRPr="004A4716">
        <w:rPr>
          <w:rFonts w:ascii="Times New Roman" w:hAnsi="Times New Roman" w:cs="Times New Roman"/>
          <w:sz w:val="23"/>
          <w:szCs w:val="23"/>
        </w:rPr>
        <w:t xml:space="preserve"> U will provide additional basic skills and job training opportunities for these new entrants into the workforce.</w:t>
      </w:r>
    </w:p>
    <w:p w:rsidR="00764992" w:rsidRPr="004A4716" w:rsidRDefault="00764992" w:rsidP="00764992">
      <w:pPr>
        <w:rPr>
          <w:rFonts w:ascii="Times New Roman" w:hAnsi="Times New Roman" w:cs="Times New Roman"/>
          <w:b/>
          <w:sz w:val="23"/>
          <w:szCs w:val="23"/>
        </w:rPr>
      </w:pPr>
      <w:r w:rsidRPr="004A4716">
        <w:rPr>
          <w:rFonts w:ascii="Times New Roman" w:hAnsi="Times New Roman" w:cs="Times New Roman"/>
          <w:b/>
          <w:sz w:val="23"/>
          <w:szCs w:val="23"/>
        </w:rPr>
        <w:t>Integrated English Literacy and Civics Education (IELCE) Program:</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English Language Learners (ELLs) had the opportunity to participate in Louisiana Career Pathways and workforce preparation activities during the fiscal year. WRU began offering these activities as the ideal way to engage a new audience and expose them to the scope of services available to prepare them for the high-skilled workforce through integrated education and training opportunities. Course guidelines and offerings were developed and shared throughout the network in Workforce Readiness, Computer &amp; Digital Literacy, Financial Literacy, and Health Literacy. Curriculum guides include a collection of open source materials that are adaptive in nature and customizable. WRU workforce preparation activities stress the importance of career exploration, workforce navigation, and transitional support utilizing all core partner services.</w:t>
      </w:r>
    </w:p>
    <w:p w:rsidR="0093253D" w:rsidRPr="004A4716" w:rsidRDefault="00AA623D" w:rsidP="00AA623D">
      <w:pPr>
        <w:spacing w:after="0" w:line="240" w:lineRule="auto"/>
        <w:contextualSpacing/>
        <w:rPr>
          <w:rFonts w:ascii="Times New Roman" w:eastAsia="Times New Roman" w:hAnsi="Times New Roman" w:cs="Times New Roman"/>
          <w:sz w:val="23"/>
          <w:szCs w:val="23"/>
        </w:rPr>
      </w:pPr>
      <w:r w:rsidRPr="004A4716">
        <w:rPr>
          <w:rFonts w:ascii="Times New Roman" w:hAnsi="Times New Roman" w:cs="Times New Roman"/>
          <w:sz w:val="23"/>
          <w:szCs w:val="23"/>
        </w:rPr>
        <w:t xml:space="preserve">As a result of the competitive RFP process conducted </w:t>
      </w:r>
      <w:r w:rsidR="002E2AA5" w:rsidRPr="004A4716">
        <w:rPr>
          <w:rFonts w:ascii="Times New Roman" w:hAnsi="Times New Roman" w:cs="Times New Roman"/>
          <w:sz w:val="23"/>
          <w:szCs w:val="23"/>
        </w:rPr>
        <w:t>during</w:t>
      </w:r>
      <w:r w:rsidRPr="004A4716">
        <w:rPr>
          <w:rFonts w:ascii="Times New Roman" w:hAnsi="Times New Roman" w:cs="Times New Roman"/>
          <w:sz w:val="23"/>
          <w:szCs w:val="23"/>
        </w:rPr>
        <w:t xml:space="preserve"> 2016-2017, WRU will provide funding to eight (8) Integrated English Literacy and Civics Education Program (IELCE) pilot programs.  The eight funding pilot programs will ensure that </w:t>
      </w:r>
      <w:r w:rsidR="0093253D" w:rsidRPr="004A4716">
        <w:rPr>
          <w:rFonts w:ascii="Times New Roman" w:hAnsi="Times New Roman" w:cs="Times New Roman"/>
          <w:sz w:val="23"/>
          <w:szCs w:val="23"/>
        </w:rPr>
        <w:t>adult English language learners, including professionals with</w:t>
      </w:r>
      <w:r w:rsidR="0093253D" w:rsidRPr="004A4716">
        <w:rPr>
          <w:rFonts w:ascii="Times New Roman" w:hAnsi="Times New Roman" w:cs="Times New Roman"/>
          <w:b/>
          <w:sz w:val="23"/>
          <w:szCs w:val="23"/>
        </w:rPr>
        <w:t xml:space="preserve"> </w:t>
      </w:r>
      <w:r w:rsidR="0093253D" w:rsidRPr="004A4716">
        <w:rPr>
          <w:rFonts w:ascii="Times New Roman" w:hAnsi="Times New Roman" w:cs="Times New Roman"/>
          <w:sz w:val="23"/>
          <w:szCs w:val="23"/>
        </w:rPr>
        <w:t>degrees and creden</w:t>
      </w:r>
      <w:r w:rsidRPr="004A4716">
        <w:rPr>
          <w:rFonts w:ascii="Times New Roman" w:hAnsi="Times New Roman" w:cs="Times New Roman"/>
          <w:sz w:val="23"/>
          <w:szCs w:val="23"/>
        </w:rPr>
        <w:t xml:space="preserve">tials in their native countries </w:t>
      </w:r>
      <w:r w:rsidR="00887391" w:rsidRPr="004A4716">
        <w:rPr>
          <w:rFonts w:ascii="Times New Roman" w:hAnsi="Times New Roman" w:cs="Times New Roman"/>
          <w:sz w:val="23"/>
          <w:szCs w:val="23"/>
        </w:rPr>
        <w:t xml:space="preserve">are provided </w:t>
      </w:r>
      <w:r w:rsidR="00887391" w:rsidRPr="004A4716">
        <w:rPr>
          <w:rFonts w:ascii="Times New Roman" w:eastAsia="Times New Roman" w:hAnsi="Times New Roman" w:cs="Times New Roman"/>
          <w:sz w:val="23"/>
          <w:szCs w:val="23"/>
        </w:rPr>
        <w:t>instruction in literacy and English language acquisition, math, and instruction on the rights and responsibilities of citizenship and civic participation</w:t>
      </w:r>
      <w:r w:rsidR="00C0303C" w:rsidRPr="004A4716">
        <w:rPr>
          <w:rFonts w:ascii="Times New Roman" w:eastAsia="Times New Roman" w:hAnsi="Times New Roman" w:cs="Times New Roman"/>
          <w:sz w:val="23"/>
          <w:szCs w:val="23"/>
        </w:rPr>
        <w:t xml:space="preserve"> with the opportunity to access workforce training/preparation activities.  </w:t>
      </w:r>
    </w:p>
    <w:p w:rsidR="0079455F" w:rsidRPr="004A4716" w:rsidRDefault="0079455F" w:rsidP="00AA623D">
      <w:pPr>
        <w:spacing w:after="0" w:line="240" w:lineRule="auto"/>
        <w:contextualSpacing/>
        <w:rPr>
          <w:rFonts w:ascii="Times New Roman" w:hAnsi="Times New Roman" w:cs="Times New Roman"/>
          <w:sz w:val="23"/>
          <w:szCs w:val="23"/>
        </w:rPr>
      </w:pPr>
    </w:p>
    <w:p w:rsidR="00764992" w:rsidRPr="004A4716" w:rsidRDefault="00764992" w:rsidP="00764992">
      <w:pPr>
        <w:rPr>
          <w:rFonts w:ascii="Times New Roman" w:hAnsi="Times New Roman" w:cs="Times New Roman"/>
          <w:b/>
          <w:sz w:val="23"/>
          <w:szCs w:val="23"/>
        </w:rPr>
      </w:pPr>
      <w:r w:rsidRPr="004A4716">
        <w:rPr>
          <w:rFonts w:ascii="Times New Roman" w:hAnsi="Times New Roman" w:cs="Times New Roman"/>
          <w:b/>
          <w:sz w:val="23"/>
          <w:szCs w:val="23"/>
        </w:rPr>
        <w:t>Adult Education Standards:</w:t>
      </w:r>
    </w:p>
    <w:p w:rsidR="00764992" w:rsidRPr="004A4716" w:rsidRDefault="00764992" w:rsidP="00971ECB">
      <w:pPr>
        <w:rPr>
          <w:rFonts w:ascii="Times New Roman" w:hAnsi="Times New Roman" w:cs="Times New Roman"/>
          <w:strike/>
          <w:sz w:val="23"/>
          <w:szCs w:val="23"/>
        </w:rPr>
      </w:pPr>
      <w:r w:rsidRPr="004A4716">
        <w:rPr>
          <w:rFonts w:ascii="Times New Roman" w:hAnsi="Times New Roman" w:cs="Times New Roman"/>
          <w:sz w:val="23"/>
          <w:szCs w:val="23"/>
        </w:rPr>
        <w:t xml:space="preserve">Louisiana made great strides in FY </w:t>
      </w:r>
      <w:r w:rsidR="007A7C88" w:rsidRPr="004A4716">
        <w:rPr>
          <w:rFonts w:ascii="Times New Roman" w:hAnsi="Times New Roman" w:cs="Times New Roman"/>
          <w:sz w:val="23"/>
          <w:szCs w:val="23"/>
        </w:rPr>
        <w:t xml:space="preserve">2016-2017 </w:t>
      </w:r>
      <w:r w:rsidR="001F72DD" w:rsidRPr="004A4716">
        <w:rPr>
          <w:rFonts w:ascii="Times New Roman" w:hAnsi="Times New Roman" w:cs="Times New Roman"/>
          <w:sz w:val="23"/>
          <w:szCs w:val="23"/>
        </w:rPr>
        <w:t>towards implementing the College and Career Readiness Standards (CCRS)</w:t>
      </w:r>
      <w:r w:rsidR="00CC0840" w:rsidRPr="004A4716">
        <w:rPr>
          <w:rFonts w:ascii="Times New Roman" w:hAnsi="Times New Roman" w:cs="Times New Roman"/>
          <w:sz w:val="23"/>
          <w:szCs w:val="23"/>
        </w:rPr>
        <w:t>.</w:t>
      </w:r>
      <w:r w:rsidRPr="004A4716">
        <w:rPr>
          <w:rFonts w:ascii="Times New Roman" w:hAnsi="Times New Roman" w:cs="Times New Roman"/>
          <w:sz w:val="23"/>
          <w:szCs w:val="23"/>
        </w:rPr>
        <w:t xml:space="preserve"> Comprehensive training for ELA and math teachers in CCR</w:t>
      </w:r>
      <w:r w:rsidR="001F72DD" w:rsidRPr="004A4716">
        <w:rPr>
          <w:rFonts w:ascii="Times New Roman" w:hAnsi="Times New Roman" w:cs="Times New Roman"/>
          <w:sz w:val="23"/>
          <w:szCs w:val="23"/>
        </w:rPr>
        <w:t>S</w:t>
      </w:r>
      <w:r w:rsidRPr="004A4716">
        <w:rPr>
          <w:rFonts w:ascii="Times New Roman" w:hAnsi="Times New Roman" w:cs="Times New Roman"/>
          <w:sz w:val="23"/>
          <w:szCs w:val="23"/>
        </w:rPr>
        <w:t>-</w:t>
      </w:r>
      <w:r w:rsidR="00CC0840" w:rsidRPr="004A4716">
        <w:rPr>
          <w:rFonts w:ascii="Times New Roman" w:hAnsi="Times New Roman" w:cs="Times New Roman"/>
          <w:sz w:val="23"/>
          <w:szCs w:val="23"/>
        </w:rPr>
        <w:t xml:space="preserve">based lesson planning was provided in order to invest in our network by building a lesson plan database – </w:t>
      </w:r>
      <w:r w:rsidR="00CC0840" w:rsidRPr="004A4716">
        <w:rPr>
          <w:rFonts w:ascii="Times New Roman" w:hAnsi="Times New Roman" w:cs="Times New Roman"/>
          <w:i/>
          <w:sz w:val="23"/>
          <w:szCs w:val="23"/>
        </w:rPr>
        <w:t>The WRU Lesson Plan Vault</w:t>
      </w:r>
      <w:r w:rsidR="00CC0840" w:rsidRPr="004A4716">
        <w:rPr>
          <w:rFonts w:ascii="Times New Roman" w:hAnsi="Times New Roman" w:cs="Times New Roman"/>
          <w:sz w:val="23"/>
          <w:szCs w:val="23"/>
        </w:rPr>
        <w:t>.</w:t>
      </w:r>
      <w:r w:rsidR="00CC0840" w:rsidRPr="004A4716">
        <w:rPr>
          <w:rFonts w:ascii="Times New Roman" w:hAnsi="Times New Roman" w:cs="Times New Roman"/>
          <w:strike/>
          <w:sz w:val="23"/>
          <w:szCs w:val="23"/>
        </w:rPr>
        <w:t xml:space="preserve">      </w:t>
      </w:r>
    </w:p>
    <w:p w:rsidR="00CC0840" w:rsidRPr="004A4716" w:rsidRDefault="00405FEE" w:rsidP="00586666">
      <w:pPr>
        <w:rPr>
          <w:rFonts w:ascii="Times New Roman" w:hAnsi="Times New Roman" w:cs="Times New Roman"/>
          <w:sz w:val="23"/>
          <w:szCs w:val="23"/>
        </w:rPr>
      </w:pPr>
      <w:r w:rsidRPr="004A4716">
        <w:rPr>
          <w:rFonts w:ascii="Times New Roman" w:hAnsi="Times New Roman" w:cs="Times New Roman"/>
          <w:sz w:val="23"/>
          <w:szCs w:val="23"/>
        </w:rPr>
        <w:t>In November 2016, WRU</w:t>
      </w:r>
      <w:r w:rsidR="001F72DD" w:rsidRPr="004A4716">
        <w:rPr>
          <w:rFonts w:ascii="Times New Roman" w:hAnsi="Times New Roman" w:cs="Times New Roman"/>
          <w:sz w:val="23"/>
          <w:szCs w:val="23"/>
        </w:rPr>
        <w:t xml:space="preserve"> launched Phase I of the CCRS</w:t>
      </w:r>
      <w:r w:rsidR="00CC0840" w:rsidRPr="004A4716">
        <w:rPr>
          <w:rFonts w:ascii="Times New Roman" w:hAnsi="Times New Roman" w:cs="Times New Roman"/>
          <w:sz w:val="23"/>
          <w:szCs w:val="23"/>
        </w:rPr>
        <w:t xml:space="preserve"> project. The ultimate goal of the project was to deepen our understanding of C</w:t>
      </w:r>
      <w:r w:rsidR="007D73E0" w:rsidRPr="004A4716">
        <w:rPr>
          <w:rFonts w:ascii="Times New Roman" w:hAnsi="Times New Roman" w:cs="Times New Roman"/>
          <w:sz w:val="23"/>
          <w:szCs w:val="23"/>
        </w:rPr>
        <w:t>CRS in the age of WIOA</w:t>
      </w:r>
      <w:r w:rsidR="00CC0840" w:rsidRPr="004A4716">
        <w:rPr>
          <w:rFonts w:ascii="Times New Roman" w:hAnsi="Times New Roman" w:cs="Times New Roman"/>
          <w:sz w:val="23"/>
          <w:szCs w:val="23"/>
        </w:rPr>
        <w:t xml:space="preserve">.   In Phase I, we were able to: </w:t>
      </w:r>
      <w:r w:rsidR="001F72DD" w:rsidRPr="004A4716">
        <w:rPr>
          <w:rFonts w:ascii="Times New Roman" w:hAnsi="Times New Roman" w:cs="Times New Roman"/>
          <w:sz w:val="23"/>
          <w:szCs w:val="23"/>
        </w:rPr>
        <w:t>(a)</w:t>
      </w:r>
      <w:r w:rsidR="00ED618A" w:rsidRPr="004A4716">
        <w:rPr>
          <w:rFonts w:ascii="Times New Roman" w:hAnsi="Times New Roman" w:cs="Times New Roman"/>
          <w:sz w:val="23"/>
          <w:szCs w:val="23"/>
        </w:rPr>
        <w:t xml:space="preserve"> i</w:t>
      </w:r>
      <w:r w:rsidR="00CC0840" w:rsidRPr="004A4716">
        <w:rPr>
          <w:rFonts w:ascii="Times New Roman" w:hAnsi="Times New Roman" w:cs="Times New Roman"/>
          <w:sz w:val="23"/>
          <w:szCs w:val="23"/>
        </w:rPr>
        <w:t>mplement a Train-the-Trainer model where each program’s team was exposed to best practices in contextualiz</w:t>
      </w:r>
      <w:r w:rsidR="001F72DD" w:rsidRPr="004A4716">
        <w:rPr>
          <w:rFonts w:ascii="Times New Roman" w:hAnsi="Times New Roman" w:cs="Times New Roman"/>
          <w:sz w:val="23"/>
          <w:szCs w:val="23"/>
        </w:rPr>
        <w:t>ed CCRS-based lesson planning; (b) b</w:t>
      </w:r>
      <w:r w:rsidR="00CC0840" w:rsidRPr="004A4716">
        <w:rPr>
          <w:rFonts w:ascii="Times New Roman" w:hAnsi="Times New Roman" w:cs="Times New Roman"/>
          <w:sz w:val="23"/>
          <w:szCs w:val="23"/>
        </w:rPr>
        <w:t xml:space="preserve">uild capacity by having the teams train instructors </w:t>
      </w:r>
      <w:r w:rsidR="001F72DD" w:rsidRPr="004A4716">
        <w:rPr>
          <w:rFonts w:ascii="Times New Roman" w:hAnsi="Times New Roman" w:cs="Times New Roman"/>
          <w:sz w:val="23"/>
          <w:szCs w:val="23"/>
        </w:rPr>
        <w:t>within their own programs; and (c) c</w:t>
      </w:r>
      <w:r w:rsidR="00CC0840" w:rsidRPr="004A4716">
        <w:rPr>
          <w:rFonts w:ascii="Times New Roman" w:hAnsi="Times New Roman" w:cs="Times New Roman"/>
          <w:sz w:val="23"/>
          <w:szCs w:val="23"/>
        </w:rPr>
        <w:t>ollect contextualized CCRS-based lesson plans from instructors in the adult education network.  </w:t>
      </w:r>
    </w:p>
    <w:p w:rsidR="001F72DD" w:rsidRPr="004A4716" w:rsidRDefault="00CC0840" w:rsidP="00764992">
      <w:pPr>
        <w:rPr>
          <w:rFonts w:ascii="Times New Roman" w:hAnsi="Times New Roman" w:cs="Times New Roman"/>
          <w:sz w:val="23"/>
          <w:szCs w:val="23"/>
        </w:rPr>
      </w:pPr>
      <w:r w:rsidRPr="004A4716">
        <w:rPr>
          <w:rFonts w:ascii="Times New Roman" w:hAnsi="Times New Roman" w:cs="Times New Roman"/>
          <w:sz w:val="23"/>
          <w:szCs w:val="23"/>
        </w:rPr>
        <w:t>Phase II of the project led to the development of a lesson plan database that is searchable by keyword, subject, lesson level, and standard.  Local instructors from across the state participated in a vetting process that allowed us to carefully select lesson plan</w:t>
      </w:r>
      <w:r w:rsidR="0063248C" w:rsidRPr="004A4716">
        <w:rPr>
          <w:rFonts w:ascii="Times New Roman" w:hAnsi="Times New Roman" w:cs="Times New Roman"/>
          <w:sz w:val="23"/>
          <w:szCs w:val="23"/>
        </w:rPr>
        <w:t xml:space="preserve">s for entry into the database.  The </w:t>
      </w:r>
      <w:r w:rsidR="008C7A5C" w:rsidRPr="004A4716">
        <w:rPr>
          <w:rFonts w:ascii="Times New Roman" w:hAnsi="Times New Roman" w:cs="Times New Roman"/>
          <w:sz w:val="23"/>
          <w:szCs w:val="23"/>
        </w:rPr>
        <w:t>v</w:t>
      </w:r>
      <w:r w:rsidR="0063248C" w:rsidRPr="004A4716">
        <w:rPr>
          <w:rFonts w:ascii="Times New Roman" w:hAnsi="Times New Roman" w:cs="Times New Roman"/>
          <w:sz w:val="23"/>
          <w:szCs w:val="23"/>
        </w:rPr>
        <w:t xml:space="preserve">ault allows instructors to access readily available CCRS-aligned, contextualized lessons. </w:t>
      </w:r>
    </w:p>
    <w:p w:rsidR="00764992" w:rsidRPr="004A4716" w:rsidRDefault="00764992" w:rsidP="00764992">
      <w:pPr>
        <w:rPr>
          <w:rFonts w:ascii="Times New Roman" w:hAnsi="Times New Roman" w:cs="Times New Roman"/>
          <w:b/>
          <w:sz w:val="23"/>
          <w:szCs w:val="23"/>
        </w:rPr>
      </w:pPr>
      <w:r w:rsidRPr="004A4716">
        <w:rPr>
          <w:rFonts w:ascii="Times New Roman" w:hAnsi="Times New Roman" w:cs="Times New Roman"/>
          <w:b/>
          <w:sz w:val="23"/>
          <w:szCs w:val="23"/>
        </w:rPr>
        <w:t>Programs for Corrections Education and the Education of Other Institutionalized Individuals:</w:t>
      </w:r>
    </w:p>
    <w:p w:rsidR="00FF37B4" w:rsidRPr="004A4716" w:rsidRDefault="00D45CDE" w:rsidP="003258D3">
      <w:pPr>
        <w:shd w:val="clear" w:color="auto" w:fill="FFFFFF"/>
        <w:spacing w:after="0" w:line="240" w:lineRule="auto"/>
        <w:rPr>
          <w:rFonts w:ascii="Times New Roman" w:eastAsia="Times New Roman" w:hAnsi="Times New Roman" w:cs="Times New Roman"/>
          <w:sz w:val="23"/>
          <w:szCs w:val="23"/>
          <w:lang w:val="en"/>
        </w:rPr>
      </w:pPr>
      <w:r w:rsidRPr="004A4716">
        <w:rPr>
          <w:rFonts w:ascii="Times New Roman" w:hAnsi="Times New Roman" w:cs="Times New Roman"/>
          <w:sz w:val="23"/>
          <w:szCs w:val="23"/>
          <w:shd w:val="clear" w:color="auto" w:fill="FFFFFF"/>
        </w:rPr>
        <w:t>C</w:t>
      </w:r>
      <w:r w:rsidR="009A00A8" w:rsidRPr="004A4716">
        <w:rPr>
          <w:rFonts w:ascii="Times New Roman" w:hAnsi="Times New Roman" w:cs="Times New Roman"/>
          <w:sz w:val="23"/>
          <w:szCs w:val="23"/>
          <w:shd w:val="clear" w:color="auto" w:fill="FFFFFF"/>
        </w:rPr>
        <w:t xml:space="preserve">orrectional education is a fundamental component of rehabilitative programming offered in juvenile justice confinement facilities, prisons, jails and detention centers. </w:t>
      </w:r>
      <w:r w:rsidR="00212C86" w:rsidRPr="004A4716">
        <w:rPr>
          <w:rFonts w:ascii="Times New Roman" w:hAnsi="Times New Roman" w:cs="Times New Roman"/>
          <w:sz w:val="23"/>
          <w:szCs w:val="23"/>
          <w:shd w:val="clear" w:color="auto" w:fill="FFFFFF"/>
        </w:rPr>
        <w:t>O</w:t>
      </w:r>
      <w:r w:rsidR="007102F8" w:rsidRPr="004A4716">
        <w:rPr>
          <w:rFonts w:ascii="Times New Roman" w:hAnsi="Times New Roman" w:cs="Times New Roman"/>
          <w:sz w:val="23"/>
          <w:szCs w:val="23"/>
          <w:shd w:val="clear" w:color="auto" w:fill="FFFFFF"/>
        </w:rPr>
        <w:t>ur state has</w:t>
      </w:r>
      <w:r w:rsidR="009A00A8" w:rsidRPr="004A4716">
        <w:rPr>
          <w:rFonts w:ascii="Times New Roman" w:hAnsi="Times New Roman" w:cs="Times New Roman"/>
          <w:sz w:val="23"/>
          <w:szCs w:val="23"/>
          <w:shd w:val="clear" w:color="auto" w:fill="FFFFFF"/>
        </w:rPr>
        <w:t xml:space="preserve"> the highest incarceration rate per capita in the world.  </w:t>
      </w:r>
      <w:r w:rsidR="00212C86" w:rsidRPr="004A4716">
        <w:rPr>
          <w:rFonts w:ascii="Times New Roman" w:hAnsi="Times New Roman" w:cs="Times New Roman"/>
          <w:sz w:val="23"/>
          <w:szCs w:val="23"/>
          <w:shd w:val="clear" w:color="auto" w:fill="FFFFFF"/>
        </w:rPr>
        <w:t>Eighty-one</w:t>
      </w:r>
      <w:r w:rsidR="007102F8" w:rsidRPr="004A4716">
        <w:rPr>
          <w:rFonts w:ascii="Times New Roman" w:hAnsi="Times New Roman" w:cs="Times New Roman"/>
          <w:sz w:val="23"/>
          <w:szCs w:val="23"/>
          <w:shd w:val="clear" w:color="auto" w:fill="FFFFFF"/>
        </w:rPr>
        <w:t xml:space="preserve"> </w:t>
      </w:r>
      <w:r w:rsidR="00212C86" w:rsidRPr="004A4716">
        <w:rPr>
          <w:rFonts w:ascii="Times New Roman" w:hAnsi="Times New Roman" w:cs="Times New Roman"/>
          <w:sz w:val="23"/>
          <w:szCs w:val="23"/>
          <w:shd w:val="clear" w:color="auto" w:fill="FFFFFF"/>
        </w:rPr>
        <w:t>percent (</w:t>
      </w:r>
      <w:r w:rsidR="009A00A8" w:rsidRPr="004A4716">
        <w:rPr>
          <w:rFonts w:ascii="Times New Roman" w:hAnsi="Times New Roman" w:cs="Times New Roman"/>
          <w:sz w:val="23"/>
          <w:szCs w:val="23"/>
          <w:shd w:val="clear" w:color="auto" w:fill="FFFFFF"/>
        </w:rPr>
        <w:t>81%</w:t>
      </w:r>
      <w:r w:rsidR="00212C86" w:rsidRPr="004A4716">
        <w:rPr>
          <w:rFonts w:ascii="Times New Roman" w:hAnsi="Times New Roman" w:cs="Times New Roman"/>
          <w:sz w:val="23"/>
          <w:szCs w:val="23"/>
          <w:shd w:val="clear" w:color="auto" w:fill="FFFFFF"/>
        </w:rPr>
        <w:t>)</w:t>
      </w:r>
      <w:r w:rsidR="009A00A8" w:rsidRPr="004A4716">
        <w:rPr>
          <w:rFonts w:ascii="Times New Roman" w:hAnsi="Times New Roman" w:cs="Times New Roman"/>
          <w:sz w:val="23"/>
          <w:szCs w:val="23"/>
          <w:shd w:val="clear" w:color="auto" w:fill="FFFFFF"/>
        </w:rPr>
        <w:t xml:space="preserve"> of people entering prison do </w:t>
      </w:r>
      <w:r w:rsidR="00C81226" w:rsidRPr="004A4716">
        <w:rPr>
          <w:rFonts w:ascii="Times New Roman" w:hAnsi="Times New Roman" w:cs="Times New Roman"/>
          <w:sz w:val="23"/>
          <w:szCs w:val="23"/>
          <w:shd w:val="clear" w:color="auto" w:fill="FFFFFF"/>
        </w:rPr>
        <w:t xml:space="preserve">not have a high school diploma which makes the WRU mission </w:t>
      </w:r>
      <w:r w:rsidR="00582C47" w:rsidRPr="004A4716">
        <w:rPr>
          <w:rFonts w:ascii="Times New Roman" w:hAnsi="Times New Roman" w:cs="Times New Roman"/>
          <w:sz w:val="23"/>
          <w:szCs w:val="23"/>
          <w:shd w:val="clear" w:color="auto" w:fill="FFFFFF"/>
        </w:rPr>
        <w:t>of providing quality educational programs that help</w:t>
      </w:r>
      <w:r w:rsidR="003258D3" w:rsidRPr="004A4716">
        <w:rPr>
          <w:rFonts w:ascii="Times New Roman" w:hAnsi="Times New Roman" w:cs="Times New Roman"/>
          <w:sz w:val="23"/>
          <w:szCs w:val="23"/>
          <w:shd w:val="clear" w:color="auto" w:fill="FFFFFF"/>
        </w:rPr>
        <w:t>s</w:t>
      </w:r>
      <w:r w:rsidR="00582C47" w:rsidRPr="004A4716">
        <w:rPr>
          <w:rFonts w:ascii="Times New Roman" w:hAnsi="Times New Roman" w:cs="Times New Roman"/>
          <w:sz w:val="23"/>
          <w:szCs w:val="23"/>
          <w:shd w:val="clear" w:color="auto" w:fill="FFFFFF"/>
        </w:rPr>
        <w:t xml:space="preserve"> incarcerated adults obtain the skills needed to acquire a high school equivalency diploma and transition to postsecondary education or training </w:t>
      </w:r>
      <w:r w:rsidR="00C81226" w:rsidRPr="004A4716">
        <w:rPr>
          <w:rFonts w:ascii="Times New Roman" w:hAnsi="Times New Roman" w:cs="Times New Roman"/>
          <w:sz w:val="23"/>
          <w:szCs w:val="23"/>
          <w:shd w:val="clear" w:color="auto" w:fill="FFFFFF"/>
        </w:rPr>
        <w:t xml:space="preserve">more important than ever.  </w:t>
      </w:r>
    </w:p>
    <w:p w:rsidR="00591486" w:rsidRPr="004A4716" w:rsidRDefault="00591486" w:rsidP="00591486">
      <w:pPr>
        <w:spacing w:after="0"/>
        <w:rPr>
          <w:rFonts w:ascii="Times New Roman" w:hAnsi="Times New Roman" w:cs="Times New Roman"/>
          <w:sz w:val="23"/>
          <w:szCs w:val="23"/>
          <w:shd w:val="clear" w:color="auto" w:fill="FFFFFF"/>
        </w:rPr>
      </w:pPr>
    </w:p>
    <w:p w:rsidR="009A00A8" w:rsidRPr="004A4716" w:rsidRDefault="005D5FA7" w:rsidP="009A00A8">
      <w:pPr>
        <w:rPr>
          <w:rFonts w:ascii="Times New Roman" w:hAnsi="Times New Roman" w:cs="Times New Roman"/>
          <w:sz w:val="23"/>
          <w:szCs w:val="23"/>
        </w:rPr>
      </w:pPr>
      <w:r w:rsidRPr="004A4716">
        <w:rPr>
          <w:rFonts w:ascii="Times New Roman" w:hAnsi="Times New Roman" w:cs="Times New Roman"/>
          <w:sz w:val="23"/>
          <w:szCs w:val="23"/>
        </w:rPr>
        <w:t>The p</w:t>
      </w:r>
      <w:r w:rsidR="009A00A8" w:rsidRPr="004A4716">
        <w:rPr>
          <w:rFonts w:ascii="Times New Roman" w:hAnsi="Times New Roman" w:cs="Times New Roman"/>
          <w:sz w:val="23"/>
          <w:szCs w:val="23"/>
        </w:rPr>
        <w:t xml:space="preserve">artnership between LA Department of Public Safety &amp; Corrections, LA Rehabilitation Services and LCTCS </w:t>
      </w:r>
      <w:r w:rsidR="00494237" w:rsidRPr="004A4716">
        <w:rPr>
          <w:rFonts w:ascii="Times New Roman" w:hAnsi="Times New Roman" w:cs="Times New Roman"/>
          <w:sz w:val="23"/>
          <w:szCs w:val="23"/>
        </w:rPr>
        <w:t xml:space="preserve">generated a braided funding model that </w:t>
      </w:r>
      <w:r w:rsidR="009A00A8" w:rsidRPr="004A4716">
        <w:rPr>
          <w:rFonts w:ascii="Times New Roman" w:hAnsi="Times New Roman" w:cs="Times New Roman"/>
          <w:sz w:val="23"/>
          <w:szCs w:val="23"/>
        </w:rPr>
        <w:t>enable</w:t>
      </w:r>
      <w:r w:rsidR="00494237" w:rsidRPr="004A4716">
        <w:rPr>
          <w:rFonts w:ascii="Times New Roman" w:hAnsi="Times New Roman" w:cs="Times New Roman"/>
          <w:sz w:val="23"/>
          <w:szCs w:val="23"/>
        </w:rPr>
        <w:t>d</w:t>
      </w:r>
      <w:r w:rsidR="009A00A8" w:rsidRPr="004A4716">
        <w:rPr>
          <w:rFonts w:ascii="Times New Roman" w:hAnsi="Times New Roman" w:cs="Times New Roman"/>
          <w:sz w:val="23"/>
          <w:szCs w:val="23"/>
        </w:rPr>
        <w:t xml:space="preserve"> LCTCS to </w:t>
      </w:r>
      <w:r w:rsidR="00363382" w:rsidRPr="004A4716">
        <w:rPr>
          <w:rFonts w:ascii="Times New Roman" w:hAnsi="Times New Roman" w:cs="Times New Roman"/>
          <w:sz w:val="23"/>
          <w:szCs w:val="23"/>
        </w:rPr>
        <w:t xml:space="preserve">better </w:t>
      </w:r>
      <w:r w:rsidR="000139D5" w:rsidRPr="004A4716">
        <w:rPr>
          <w:rFonts w:ascii="Times New Roman" w:hAnsi="Times New Roman" w:cs="Times New Roman"/>
          <w:sz w:val="23"/>
          <w:szCs w:val="23"/>
        </w:rPr>
        <w:t xml:space="preserve">align </w:t>
      </w:r>
      <w:r w:rsidR="00494237" w:rsidRPr="004A4716">
        <w:rPr>
          <w:rFonts w:ascii="Times New Roman" w:hAnsi="Times New Roman" w:cs="Times New Roman"/>
          <w:sz w:val="23"/>
          <w:szCs w:val="23"/>
        </w:rPr>
        <w:t>service</w:t>
      </w:r>
      <w:r w:rsidR="000139D5" w:rsidRPr="004A4716">
        <w:rPr>
          <w:rFonts w:ascii="Times New Roman" w:hAnsi="Times New Roman" w:cs="Times New Roman"/>
          <w:sz w:val="23"/>
          <w:szCs w:val="23"/>
        </w:rPr>
        <w:t>s</w:t>
      </w:r>
      <w:r w:rsidR="00494237" w:rsidRPr="004A4716">
        <w:rPr>
          <w:rFonts w:ascii="Times New Roman" w:hAnsi="Times New Roman" w:cs="Times New Roman"/>
          <w:sz w:val="23"/>
          <w:szCs w:val="23"/>
        </w:rPr>
        <w:t xml:space="preserve"> for incarcerated individuals </w:t>
      </w:r>
      <w:r w:rsidR="000139D5" w:rsidRPr="004A4716">
        <w:rPr>
          <w:rFonts w:ascii="Times New Roman" w:hAnsi="Times New Roman" w:cs="Times New Roman"/>
          <w:sz w:val="23"/>
          <w:szCs w:val="23"/>
        </w:rPr>
        <w:t>with</w:t>
      </w:r>
      <w:r w:rsidR="00494237" w:rsidRPr="004A4716">
        <w:rPr>
          <w:rFonts w:ascii="Times New Roman" w:hAnsi="Times New Roman" w:cs="Times New Roman"/>
          <w:sz w:val="23"/>
          <w:szCs w:val="23"/>
        </w:rPr>
        <w:t xml:space="preserve"> career &amp; technical education progra</w:t>
      </w:r>
      <w:r w:rsidR="000139D5" w:rsidRPr="004A4716">
        <w:rPr>
          <w:rFonts w:ascii="Times New Roman" w:hAnsi="Times New Roman" w:cs="Times New Roman"/>
          <w:sz w:val="23"/>
          <w:szCs w:val="23"/>
        </w:rPr>
        <w:t xml:space="preserve">ms.  </w:t>
      </w:r>
      <w:r w:rsidR="00C81226" w:rsidRPr="004A4716">
        <w:rPr>
          <w:rFonts w:ascii="Times New Roman" w:hAnsi="Times New Roman" w:cs="Times New Roman"/>
          <w:sz w:val="23"/>
          <w:szCs w:val="23"/>
        </w:rPr>
        <w:t xml:space="preserve">Within the </w:t>
      </w:r>
      <w:r w:rsidR="005E037E" w:rsidRPr="004A4716">
        <w:rPr>
          <w:rFonts w:ascii="Times New Roman" w:hAnsi="Times New Roman" w:cs="Times New Roman"/>
          <w:sz w:val="23"/>
          <w:szCs w:val="23"/>
        </w:rPr>
        <w:t xml:space="preserve">local and </w:t>
      </w:r>
      <w:r w:rsidR="00C81226" w:rsidRPr="004A4716">
        <w:rPr>
          <w:rFonts w:ascii="Times New Roman" w:hAnsi="Times New Roman" w:cs="Times New Roman"/>
          <w:sz w:val="23"/>
          <w:szCs w:val="23"/>
        </w:rPr>
        <w:t>state correctional facilities, a</w:t>
      </w:r>
      <w:r w:rsidR="009A00A8" w:rsidRPr="004A4716">
        <w:rPr>
          <w:rFonts w:ascii="Times New Roman" w:hAnsi="Times New Roman" w:cs="Times New Roman"/>
          <w:sz w:val="23"/>
          <w:szCs w:val="23"/>
        </w:rPr>
        <w:t xml:space="preserve"> total of </w:t>
      </w:r>
      <w:r w:rsidR="00C81226" w:rsidRPr="004A4716">
        <w:rPr>
          <w:rFonts w:ascii="Times New Roman" w:hAnsi="Times New Roman" w:cs="Times New Roman"/>
          <w:sz w:val="23"/>
          <w:szCs w:val="23"/>
        </w:rPr>
        <w:t xml:space="preserve">4,541 adults </w:t>
      </w:r>
      <w:r w:rsidR="00E4015D" w:rsidRPr="004A4716">
        <w:rPr>
          <w:rFonts w:ascii="Times New Roman" w:hAnsi="Times New Roman" w:cs="Times New Roman"/>
          <w:sz w:val="23"/>
          <w:szCs w:val="23"/>
        </w:rPr>
        <w:t xml:space="preserve">(Table 10) </w:t>
      </w:r>
      <w:r w:rsidR="00C81226" w:rsidRPr="004A4716">
        <w:rPr>
          <w:rFonts w:ascii="Times New Roman" w:hAnsi="Times New Roman" w:cs="Times New Roman"/>
          <w:sz w:val="23"/>
          <w:szCs w:val="23"/>
        </w:rPr>
        <w:t>were served</w:t>
      </w:r>
      <w:r w:rsidR="00E4015D" w:rsidRPr="004A4716">
        <w:rPr>
          <w:rFonts w:ascii="Times New Roman" w:hAnsi="Times New Roman" w:cs="Times New Roman"/>
          <w:sz w:val="23"/>
          <w:szCs w:val="23"/>
        </w:rPr>
        <w:t>; 1,036</w:t>
      </w:r>
      <w:r w:rsidR="00C81226" w:rsidRPr="004A4716">
        <w:rPr>
          <w:rFonts w:ascii="Times New Roman" w:hAnsi="Times New Roman" w:cs="Times New Roman"/>
          <w:sz w:val="23"/>
          <w:szCs w:val="23"/>
        </w:rPr>
        <w:t xml:space="preserve"> earned a high school equivalency diploma; and </w:t>
      </w:r>
      <w:r w:rsidR="009A00A8" w:rsidRPr="004A4716">
        <w:rPr>
          <w:rFonts w:ascii="Times New Roman" w:hAnsi="Times New Roman" w:cs="Times New Roman"/>
          <w:sz w:val="23"/>
          <w:szCs w:val="23"/>
        </w:rPr>
        <w:t>1</w:t>
      </w:r>
      <w:r w:rsidR="000139D5" w:rsidRPr="004A4716">
        <w:rPr>
          <w:rFonts w:ascii="Times New Roman" w:hAnsi="Times New Roman" w:cs="Times New Roman"/>
          <w:sz w:val="23"/>
          <w:szCs w:val="23"/>
        </w:rPr>
        <w:t>,</w:t>
      </w:r>
      <w:r w:rsidR="00C81226" w:rsidRPr="004A4716">
        <w:rPr>
          <w:rFonts w:ascii="Times New Roman" w:hAnsi="Times New Roman" w:cs="Times New Roman"/>
          <w:sz w:val="23"/>
          <w:szCs w:val="23"/>
        </w:rPr>
        <w:t>374 students were enrolled in career &amp; t</w:t>
      </w:r>
      <w:r w:rsidR="009A00A8" w:rsidRPr="004A4716">
        <w:rPr>
          <w:rFonts w:ascii="Times New Roman" w:hAnsi="Times New Roman" w:cs="Times New Roman"/>
          <w:sz w:val="23"/>
          <w:szCs w:val="23"/>
        </w:rPr>
        <w:t xml:space="preserve">echnical </w:t>
      </w:r>
      <w:r w:rsidR="00C81226" w:rsidRPr="004A4716">
        <w:rPr>
          <w:rFonts w:ascii="Times New Roman" w:hAnsi="Times New Roman" w:cs="Times New Roman"/>
          <w:sz w:val="23"/>
          <w:szCs w:val="23"/>
        </w:rPr>
        <w:t>education p</w:t>
      </w:r>
      <w:r w:rsidR="009A00A8" w:rsidRPr="004A4716">
        <w:rPr>
          <w:rFonts w:ascii="Times New Roman" w:hAnsi="Times New Roman" w:cs="Times New Roman"/>
          <w:sz w:val="23"/>
          <w:szCs w:val="23"/>
        </w:rPr>
        <w:t>rograms during FY 16-17.</w:t>
      </w:r>
      <w:r w:rsidR="003258D3" w:rsidRPr="004A4716">
        <w:rPr>
          <w:rFonts w:ascii="Times New Roman" w:hAnsi="Times New Roman" w:cs="Times New Roman"/>
          <w:sz w:val="23"/>
          <w:szCs w:val="23"/>
        </w:rPr>
        <w:t xml:space="preserve"> </w:t>
      </w:r>
    </w:p>
    <w:p w:rsidR="00764992" w:rsidRPr="004A4716" w:rsidRDefault="00764992" w:rsidP="00764992">
      <w:pPr>
        <w:rPr>
          <w:rFonts w:ascii="Times New Roman" w:hAnsi="Times New Roman" w:cs="Times New Roman"/>
          <w:sz w:val="23"/>
          <w:szCs w:val="23"/>
        </w:rPr>
      </w:pPr>
      <w:r w:rsidRPr="004A4716">
        <w:rPr>
          <w:rFonts w:ascii="Times New Roman" w:hAnsi="Times New Roman" w:cs="Times New Roman"/>
          <w:sz w:val="23"/>
          <w:szCs w:val="23"/>
        </w:rPr>
        <w:t>The most current recidivism rate reported by Louisiana Department of Public Safety &amp; Co</w:t>
      </w:r>
      <w:r w:rsidR="00157467" w:rsidRPr="004A4716">
        <w:rPr>
          <w:rFonts w:ascii="Times New Roman" w:hAnsi="Times New Roman" w:cs="Times New Roman"/>
          <w:sz w:val="23"/>
          <w:szCs w:val="23"/>
        </w:rPr>
        <w:t>rrections (LA DPS&amp;C) was in 2015</w:t>
      </w:r>
      <w:r w:rsidRPr="004A4716">
        <w:rPr>
          <w:rFonts w:ascii="Times New Roman" w:hAnsi="Times New Roman" w:cs="Times New Roman"/>
          <w:sz w:val="23"/>
          <w:szCs w:val="23"/>
        </w:rPr>
        <w:t xml:space="preserve">.  </w:t>
      </w:r>
      <w:r w:rsidR="00157467" w:rsidRPr="004A4716">
        <w:rPr>
          <w:rFonts w:ascii="Times New Roman" w:hAnsi="Times New Roman" w:cs="Times New Roman"/>
          <w:sz w:val="23"/>
          <w:szCs w:val="23"/>
        </w:rPr>
        <w:t xml:space="preserve">Recidivism rates are reported in March of each year. </w:t>
      </w:r>
      <w:r w:rsidRPr="004A4716">
        <w:rPr>
          <w:rFonts w:ascii="Times New Roman" w:hAnsi="Times New Roman" w:cs="Times New Roman"/>
          <w:sz w:val="23"/>
          <w:szCs w:val="23"/>
        </w:rPr>
        <w:t>The rate reported is for state offenders released from adult institutions, local facilities, and transitional work programs that have completed an education class while incarcerated in a state facility.</w:t>
      </w:r>
    </w:p>
    <w:p w:rsidR="00157467" w:rsidRPr="004A4716" w:rsidRDefault="00157467" w:rsidP="00764992">
      <w:pPr>
        <w:rPr>
          <w:rFonts w:ascii="Times New Roman" w:hAnsi="Times New Roman" w:cs="Times New Roman"/>
          <w:sz w:val="23"/>
          <w:szCs w:val="23"/>
          <w:highlight w:val="yellow"/>
        </w:rPr>
      </w:pPr>
      <w:r w:rsidRPr="004A4716">
        <w:rPr>
          <w:rFonts w:ascii="Times New Roman" w:hAnsi="Times New Roman" w:cs="Times New Roman"/>
          <w:noProof/>
          <w:sz w:val="23"/>
          <w:szCs w:val="23"/>
        </w:rPr>
        <w:drawing>
          <wp:inline distT="0" distB="0" distL="0" distR="0">
            <wp:extent cx="5943600" cy="1639414"/>
            <wp:effectExtent l="0" t="0" r="0" b="0"/>
            <wp:docPr id="1" name="Picture 1" descr="C:\Users\angeladay\Documents\END OF YEAR\Recidivism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ay\Documents\END OF YEAR\Recidivism 20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39414"/>
                    </a:xfrm>
                    <a:prstGeom prst="rect">
                      <a:avLst/>
                    </a:prstGeom>
                    <a:noFill/>
                    <a:ln>
                      <a:noFill/>
                    </a:ln>
                  </pic:spPr>
                </pic:pic>
              </a:graphicData>
            </a:graphic>
          </wp:inline>
        </w:drawing>
      </w:r>
    </w:p>
    <w:p w:rsidR="001740AF" w:rsidRPr="004A4716" w:rsidRDefault="00A93D2B" w:rsidP="00A93D2B">
      <w:pPr>
        <w:rPr>
          <w:rFonts w:ascii="Times New Roman" w:hAnsi="Times New Roman" w:cs="Times New Roman"/>
          <w:sz w:val="23"/>
          <w:szCs w:val="23"/>
        </w:rPr>
      </w:pPr>
      <w:r w:rsidRPr="004A4716">
        <w:rPr>
          <w:rFonts w:ascii="Times New Roman" w:hAnsi="Times New Roman" w:cs="Times New Roman"/>
          <w:sz w:val="23"/>
          <w:szCs w:val="23"/>
        </w:rPr>
        <w:t xml:space="preserve">During FY 2016-2017, the competitive RFP was released for Corrections Education &amp; Other Institutionalized Individuals (WIOA §225).  </w:t>
      </w:r>
      <w:r w:rsidR="001740AF" w:rsidRPr="004A4716">
        <w:rPr>
          <w:rFonts w:ascii="Times New Roman" w:eastAsia="Times New Roman" w:hAnsi="Times New Roman" w:cs="Times New Roman"/>
          <w:sz w:val="23"/>
          <w:szCs w:val="23"/>
        </w:rPr>
        <w:t xml:space="preserve">As a result of the application process conducted in FY16-17, the WRU network will include a total of six (6) </w:t>
      </w:r>
      <w:r w:rsidR="001740AF" w:rsidRPr="004A4716">
        <w:rPr>
          <w:rFonts w:ascii="Times New Roman" w:eastAsia="Calibri" w:hAnsi="Times New Roman" w:cs="Times New Roman"/>
          <w:noProof/>
          <w:sz w:val="23"/>
          <w:szCs w:val="23"/>
        </w:rPr>
        <w:t>Corrections Education and Education of Other Institutionalized Individuals</w:t>
      </w:r>
      <w:r w:rsidR="001740AF" w:rsidRPr="004A4716">
        <w:rPr>
          <w:rFonts w:ascii="Times New Roman" w:eastAsia="Times New Roman" w:hAnsi="Times New Roman" w:cs="Times New Roman"/>
          <w:sz w:val="23"/>
          <w:szCs w:val="23"/>
        </w:rPr>
        <w:t xml:space="preserve"> programs providing adult education services in 2017-2018. </w:t>
      </w:r>
    </w:p>
    <w:p w:rsidR="00800F9B" w:rsidRPr="004A4716" w:rsidRDefault="00800F9B" w:rsidP="00A93D2B">
      <w:pPr>
        <w:spacing w:after="0"/>
        <w:rPr>
          <w:rFonts w:ascii="Times New Roman" w:hAnsi="Times New Roman" w:cs="Times New Roman"/>
          <w:sz w:val="23"/>
          <w:szCs w:val="23"/>
        </w:rPr>
      </w:pPr>
    </w:p>
    <w:p w:rsidR="00D45CDE" w:rsidRPr="004A4716" w:rsidRDefault="00D45CDE">
      <w:pPr>
        <w:spacing w:after="0"/>
        <w:rPr>
          <w:rFonts w:ascii="Times New Roman" w:hAnsi="Times New Roman" w:cs="Times New Roman"/>
          <w:sz w:val="23"/>
          <w:szCs w:val="23"/>
        </w:rPr>
      </w:pPr>
    </w:p>
    <w:sectPr w:rsidR="00D45CDE" w:rsidRPr="004A4716" w:rsidSect="00A004BD">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EF" w:rsidRDefault="007C17EF" w:rsidP="00335F38">
      <w:pPr>
        <w:spacing w:after="0" w:line="240" w:lineRule="auto"/>
      </w:pPr>
      <w:r>
        <w:separator/>
      </w:r>
    </w:p>
  </w:endnote>
  <w:endnote w:type="continuationSeparator" w:id="0">
    <w:p w:rsidR="007C17EF" w:rsidRDefault="007C17EF" w:rsidP="0033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ED" w:rsidRDefault="00BD1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ED" w:rsidRDefault="00BD1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ED" w:rsidRDefault="00BD1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EF" w:rsidRDefault="007C17EF" w:rsidP="00335F38">
      <w:pPr>
        <w:spacing w:after="0" w:line="240" w:lineRule="auto"/>
      </w:pPr>
      <w:r>
        <w:separator/>
      </w:r>
    </w:p>
  </w:footnote>
  <w:footnote w:type="continuationSeparator" w:id="0">
    <w:p w:rsidR="007C17EF" w:rsidRDefault="007C17EF" w:rsidP="00335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ED" w:rsidRDefault="00BD1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ED" w:rsidRDefault="00BD1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ED" w:rsidRDefault="00BD1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632"/>
    <w:multiLevelType w:val="multilevel"/>
    <w:tmpl w:val="FD961ED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15:restartNumberingAfterBreak="0">
    <w:nsid w:val="0927599E"/>
    <w:multiLevelType w:val="multilevel"/>
    <w:tmpl w:val="787C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F00EA"/>
    <w:multiLevelType w:val="hybridMultilevel"/>
    <w:tmpl w:val="CEFE7AD4"/>
    <w:lvl w:ilvl="0" w:tplc="BB843E20">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EC52EF"/>
    <w:multiLevelType w:val="hybridMultilevel"/>
    <w:tmpl w:val="9FC4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42E81"/>
    <w:multiLevelType w:val="multilevel"/>
    <w:tmpl w:val="9018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A5667D"/>
    <w:multiLevelType w:val="hybridMultilevel"/>
    <w:tmpl w:val="8ADCA980"/>
    <w:lvl w:ilvl="0" w:tplc="BB843E20">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4CB45C13"/>
    <w:multiLevelType w:val="hybridMultilevel"/>
    <w:tmpl w:val="36BC5C3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DC7852"/>
    <w:multiLevelType w:val="hybridMultilevel"/>
    <w:tmpl w:val="6C3A5232"/>
    <w:lvl w:ilvl="0" w:tplc="BB843E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B0693"/>
    <w:multiLevelType w:val="hybridMultilevel"/>
    <w:tmpl w:val="E9A877A6"/>
    <w:lvl w:ilvl="0" w:tplc="BB843E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D6186"/>
    <w:multiLevelType w:val="hybridMultilevel"/>
    <w:tmpl w:val="479C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8B29AC"/>
    <w:multiLevelType w:val="hybridMultilevel"/>
    <w:tmpl w:val="BFF2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C0F3E"/>
    <w:multiLevelType w:val="hybridMultilevel"/>
    <w:tmpl w:val="CE3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45081"/>
    <w:multiLevelType w:val="hybridMultilevel"/>
    <w:tmpl w:val="31DC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0395F"/>
    <w:multiLevelType w:val="hybridMultilevel"/>
    <w:tmpl w:val="963E6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2"/>
  </w:num>
  <w:num w:numId="5">
    <w:abstractNumId w:val="5"/>
  </w:num>
  <w:num w:numId="6">
    <w:abstractNumId w:val="8"/>
  </w:num>
  <w:num w:numId="7">
    <w:abstractNumId w:val="7"/>
  </w:num>
  <w:num w:numId="8">
    <w:abstractNumId w:val="0"/>
  </w:num>
  <w:num w:numId="9">
    <w:abstractNumId w:val="12"/>
  </w:num>
  <w:num w:numId="10">
    <w:abstractNumId w:val="13"/>
  </w:num>
  <w:num w:numId="11">
    <w:abstractNumId w:val="3"/>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92"/>
    <w:rsid w:val="00000C2C"/>
    <w:rsid w:val="00012E61"/>
    <w:rsid w:val="000139D5"/>
    <w:rsid w:val="00014275"/>
    <w:rsid w:val="0001596D"/>
    <w:rsid w:val="00020899"/>
    <w:rsid w:val="0003241C"/>
    <w:rsid w:val="00040133"/>
    <w:rsid w:val="00054B8A"/>
    <w:rsid w:val="00064110"/>
    <w:rsid w:val="00072041"/>
    <w:rsid w:val="0008011E"/>
    <w:rsid w:val="00090299"/>
    <w:rsid w:val="000C1DB0"/>
    <w:rsid w:val="000C3399"/>
    <w:rsid w:val="000E08F6"/>
    <w:rsid w:val="000F23C6"/>
    <w:rsid w:val="000F3316"/>
    <w:rsid w:val="00111093"/>
    <w:rsid w:val="00114F35"/>
    <w:rsid w:val="00121404"/>
    <w:rsid w:val="001223A4"/>
    <w:rsid w:val="001270D1"/>
    <w:rsid w:val="00127320"/>
    <w:rsid w:val="00144FBA"/>
    <w:rsid w:val="00147F9B"/>
    <w:rsid w:val="001501E9"/>
    <w:rsid w:val="00157467"/>
    <w:rsid w:val="00167FE8"/>
    <w:rsid w:val="001728CB"/>
    <w:rsid w:val="001740AF"/>
    <w:rsid w:val="00175FE2"/>
    <w:rsid w:val="001A0BA5"/>
    <w:rsid w:val="001B58FD"/>
    <w:rsid w:val="001C3912"/>
    <w:rsid w:val="001D45FA"/>
    <w:rsid w:val="001F72DD"/>
    <w:rsid w:val="001F78B2"/>
    <w:rsid w:val="00212C86"/>
    <w:rsid w:val="00217B32"/>
    <w:rsid w:val="00225833"/>
    <w:rsid w:val="00252968"/>
    <w:rsid w:val="00263AF8"/>
    <w:rsid w:val="00267D73"/>
    <w:rsid w:val="00267E7B"/>
    <w:rsid w:val="0027182A"/>
    <w:rsid w:val="0028011E"/>
    <w:rsid w:val="00281D38"/>
    <w:rsid w:val="00291C73"/>
    <w:rsid w:val="00295B9B"/>
    <w:rsid w:val="002A43A5"/>
    <w:rsid w:val="002A4DAC"/>
    <w:rsid w:val="002A745C"/>
    <w:rsid w:val="002B3B20"/>
    <w:rsid w:val="002D5025"/>
    <w:rsid w:val="002D7067"/>
    <w:rsid w:val="002D7ADB"/>
    <w:rsid w:val="002E2AA5"/>
    <w:rsid w:val="002F0712"/>
    <w:rsid w:val="002F2060"/>
    <w:rsid w:val="003010B0"/>
    <w:rsid w:val="00304EB3"/>
    <w:rsid w:val="003258D3"/>
    <w:rsid w:val="00335F38"/>
    <w:rsid w:val="0033673B"/>
    <w:rsid w:val="00354998"/>
    <w:rsid w:val="00357E4E"/>
    <w:rsid w:val="00361C54"/>
    <w:rsid w:val="00363382"/>
    <w:rsid w:val="003667D1"/>
    <w:rsid w:val="0037646F"/>
    <w:rsid w:val="00392B08"/>
    <w:rsid w:val="003A78DD"/>
    <w:rsid w:val="003B6931"/>
    <w:rsid w:val="003F784F"/>
    <w:rsid w:val="0040262A"/>
    <w:rsid w:val="00405FEE"/>
    <w:rsid w:val="004205F4"/>
    <w:rsid w:val="004329D6"/>
    <w:rsid w:val="00443E2B"/>
    <w:rsid w:val="0045039D"/>
    <w:rsid w:val="00470FA9"/>
    <w:rsid w:val="00494237"/>
    <w:rsid w:val="004A4716"/>
    <w:rsid w:val="004A6C31"/>
    <w:rsid w:val="004B3981"/>
    <w:rsid w:val="004E0788"/>
    <w:rsid w:val="004F1A51"/>
    <w:rsid w:val="00512C53"/>
    <w:rsid w:val="005150E5"/>
    <w:rsid w:val="00525D68"/>
    <w:rsid w:val="00533889"/>
    <w:rsid w:val="00547BA7"/>
    <w:rsid w:val="00552726"/>
    <w:rsid w:val="00553B00"/>
    <w:rsid w:val="005603DF"/>
    <w:rsid w:val="00564346"/>
    <w:rsid w:val="005673CA"/>
    <w:rsid w:val="0057050E"/>
    <w:rsid w:val="00576F2D"/>
    <w:rsid w:val="00577439"/>
    <w:rsid w:val="00582C47"/>
    <w:rsid w:val="00586666"/>
    <w:rsid w:val="00591486"/>
    <w:rsid w:val="00595E81"/>
    <w:rsid w:val="005A034C"/>
    <w:rsid w:val="005A077A"/>
    <w:rsid w:val="005C0C78"/>
    <w:rsid w:val="005D0C0D"/>
    <w:rsid w:val="005D5FA7"/>
    <w:rsid w:val="005E037E"/>
    <w:rsid w:val="005E266F"/>
    <w:rsid w:val="005E637C"/>
    <w:rsid w:val="005E7249"/>
    <w:rsid w:val="006114A7"/>
    <w:rsid w:val="006148B0"/>
    <w:rsid w:val="006234C2"/>
    <w:rsid w:val="00624217"/>
    <w:rsid w:val="0063248C"/>
    <w:rsid w:val="00633CA8"/>
    <w:rsid w:val="00637C39"/>
    <w:rsid w:val="00645295"/>
    <w:rsid w:val="00650AFA"/>
    <w:rsid w:val="00667F72"/>
    <w:rsid w:val="00687F05"/>
    <w:rsid w:val="00696BEC"/>
    <w:rsid w:val="00697F12"/>
    <w:rsid w:val="006C75EB"/>
    <w:rsid w:val="00701390"/>
    <w:rsid w:val="007102F8"/>
    <w:rsid w:val="007142A0"/>
    <w:rsid w:val="00730B7F"/>
    <w:rsid w:val="00730F63"/>
    <w:rsid w:val="00733A69"/>
    <w:rsid w:val="00746F38"/>
    <w:rsid w:val="0075256C"/>
    <w:rsid w:val="0075339E"/>
    <w:rsid w:val="00757606"/>
    <w:rsid w:val="007642AF"/>
    <w:rsid w:val="00764992"/>
    <w:rsid w:val="007800CE"/>
    <w:rsid w:val="00791DC3"/>
    <w:rsid w:val="0079455F"/>
    <w:rsid w:val="007A31B3"/>
    <w:rsid w:val="007A50FA"/>
    <w:rsid w:val="007A7C88"/>
    <w:rsid w:val="007B0BD0"/>
    <w:rsid w:val="007C17EF"/>
    <w:rsid w:val="007C5C0E"/>
    <w:rsid w:val="007C6028"/>
    <w:rsid w:val="007D259A"/>
    <w:rsid w:val="007D73E0"/>
    <w:rsid w:val="007E4AF8"/>
    <w:rsid w:val="00800F9B"/>
    <w:rsid w:val="00805712"/>
    <w:rsid w:val="00812E28"/>
    <w:rsid w:val="00813F94"/>
    <w:rsid w:val="00815B2F"/>
    <w:rsid w:val="00824489"/>
    <w:rsid w:val="008268B8"/>
    <w:rsid w:val="0083011E"/>
    <w:rsid w:val="00831DEF"/>
    <w:rsid w:val="0084047C"/>
    <w:rsid w:val="00845B76"/>
    <w:rsid w:val="00855A25"/>
    <w:rsid w:val="00872861"/>
    <w:rsid w:val="008831AA"/>
    <w:rsid w:val="00887391"/>
    <w:rsid w:val="008C0AC9"/>
    <w:rsid w:val="008C58B3"/>
    <w:rsid w:val="008C7A5C"/>
    <w:rsid w:val="008D1A35"/>
    <w:rsid w:val="008E596D"/>
    <w:rsid w:val="00917B23"/>
    <w:rsid w:val="009211D3"/>
    <w:rsid w:val="0093253D"/>
    <w:rsid w:val="009668A5"/>
    <w:rsid w:val="00971ECB"/>
    <w:rsid w:val="009736E7"/>
    <w:rsid w:val="00976DC2"/>
    <w:rsid w:val="00990222"/>
    <w:rsid w:val="009A00A8"/>
    <w:rsid w:val="009A34DA"/>
    <w:rsid w:val="009A5654"/>
    <w:rsid w:val="009A715B"/>
    <w:rsid w:val="009B652D"/>
    <w:rsid w:val="009C14C6"/>
    <w:rsid w:val="009E32C6"/>
    <w:rsid w:val="009E4056"/>
    <w:rsid w:val="00A004BD"/>
    <w:rsid w:val="00A0280C"/>
    <w:rsid w:val="00A26941"/>
    <w:rsid w:val="00A2760A"/>
    <w:rsid w:val="00A442D2"/>
    <w:rsid w:val="00A4556F"/>
    <w:rsid w:val="00A52A45"/>
    <w:rsid w:val="00A54A18"/>
    <w:rsid w:val="00A616E4"/>
    <w:rsid w:val="00A711E9"/>
    <w:rsid w:val="00A93CF2"/>
    <w:rsid w:val="00A93D2B"/>
    <w:rsid w:val="00A977DD"/>
    <w:rsid w:val="00A97BD0"/>
    <w:rsid w:val="00AA623D"/>
    <w:rsid w:val="00AB1B86"/>
    <w:rsid w:val="00AC4282"/>
    <w:rsid w:val="00AE5C63"/>
    <w:rsid w:val="00AF7F8A"/>
    <w:rsid w:val="00B0088E"/>
    <w:rsid w:val="00B135A6"/>
    <w:rsid w:val="00B20CCB"/>
    <w:rsid w:val="00B44335"/>
    <w:rsid w:val="00B503F5"/>
    <w:rsid w:val="00B62E92"/>
    <w:rsid w:val="00B65F7E"/>
    <w:rsid w:val="00BA1E89"/>
    <w:rsid w:val="00BB14CF"/>
    <w:rsid w:val="00BB7765"/>
    <w:rsid w:val="00BB794E"/>
    <w:rsid w:val="00BC089D"/>
    <w:rsid w:val="00BC1171"/>
    <w:rsid w:val="00BD1DED"/>
    <w:rsid w:val="00C00ECD"/>
    <w:rsid w:val="00C0303C"/>
    <w:rsid w:val="00C165DE"/>
    <w:rsid w:val="00C4331D"/>
    <w:rsid w:val="00C80932"/>
    <w:rsid w:val="00C81226"/>
    <w:rsid w:val="00C95F24"/>
    <w:rsid w:val="00CA4F61"/>
    <w:rsid w:val="00CC0840"/>
    <w:rsid w:val="00CC3C3C"/>
    <w:rsid w:val="00CD6D4E"/>
    <w:rsid w:val="00CE0FC1"/>
    <w:rsid w:val="00CE2893"/>
    <w:rsid w:val="00D31634"/>
    <w:rsid w:val="00D41DC0"/>
    <w:rsid w:val="00D45CDE"/>
    <w:rsid w:val="00D56385"/>
    <w:rsid w:val="00D57E77"/>
    <w:rsid w:val="00D61719"/>
    <w:rsid w:val="00D8059D"/>
    <w:rsid w:val="00D879CA"/>
    <w:rsid w:val="00DC10D9"/>
    <w:rsid w:val="00DE0A21"/>
    <w:rsid w:val="00DE4741"/>
    <w:rsid w:val="00DF3417"/>
    <w:rsid w:val="00E02C96"/>
    <w:rsid w:val="00E144E6"/>
    <w:rsid w:val="00E21DF5"/>
    <w:rsid w:val="00E340A0"/>
    <w:rsid w:val="00E4015D"/>
    <w:rsid w:val="00E54481"/>
    <w:rsid w:val="00E66FE3"/>
    <w:rsid w:val="00E76659"/>
    <w:rsid w:val="00E90546"/>
    <w:rsid w:val="00E95238"/>
    <w:rsid w:val="00EA15FD"/>
    <w:rsid w:val="00EA236D"/>
    <w:rsid w:val="00EB6DCE"/>
    <w:rsid w:val="00ED2DE4"/>
    <w:rsid w:val="00ED46C7"/>
    <w:rsid w:val="00ED618A"/>
    <w:rsid w:val="00EE2F31"/>
    <w:rsid w:val="00EF438E"/>
    <w:rsid w:val="00F002E7"/>
    <w:rsid w:val="00F05F9C"/>
    <w:rsid w:val="00F30220"/>
    <w:rsid w:val="00F30A46"/>
    <w:rsid w:val="00F31762"/>
    <w:rsid w:val="00F44102"/>
    <w:rsid w:val="00F57C87"/>
    <w:rsid w:val="00F6644B"/>
    <w:rsid w:val="00F721CB"/>
    <w:rsid w:val="00F743A1"/>
    <w:rsid w:val="00F91661"/>
    <w:rsid w:val="00FC366A"/>
    <w:rsid w:val="00FD4F96"/>
    <w:rsid w:val="00FE59BD"/>
    <w:rsid w:val="00FF1BE2"/>
    <w:rsid w:val="00FF37B4"/>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D7757F-296A-492E-B641-AADFAB34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4992"/>
    <w:pPr>
      <w:ind w:left="720"/>
      <w:contextualSpacing/>
    </w:pPr>
  </w:style>
  <w:style w:type="table" w:styleId="TableGrid">
    <w:name w:val="Table Grid"/>
    <w:basedOn w:val="TableNormal"/>
    <w:uiPriority w:val="39"/>
    <w:rsid w:val="00764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35F38"/>
  </w:style>
  <w:style w:type="paragraph" w:styleId="FootnoteText">
    <w:name w:val="footnote text"/>
    <w:basedOn w:val="Normal"/>
    <w:link w:val="FootnoteTextChar"/>
    <w:uiPriority w:val="99"/>
    <w:semiHidden/>
    <w:unhideWhenUsed/>
    <w:rsid w:val="00335F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F38"/>
    <w:rPr>
      <w:sz w:val="20"/>
      <w:szCs w:val="20"/>
    </w:rPr>
  </w:style>
  <w:style w:type="character" w:styleId="FootnoteReference">
    <w:name w:val="footnote reference"/>
    <w:basedOn w:val="DefaultParagraphFont"/>
    <w:uiPriority w:val="99"/>
    <w:semiHidden/>
    <w:unhideWhenUsed/>
    <w:rsid w:val="00335F38"/>
    <w:rPr>
      <w:vertAlign w:val="superscript"/>
    </w:rPr>
  </w:style>
  <w:style w:type="paragraph" w:styleId="Header">
    <w:name w:val="header"/>
    <w:basedOn w:val="Normal"/>
    <w:link w:val="HeaderChar"/>
    <w:uiPriority w:val="99"/>
    <w:unhideWhenUsed/>
    <w:rsid w:val="00BD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ED"/>
  </w:style>
  <w:style w:type="paragraph" w:styleId="Footer">
    <w:name w:val="footer"/>
    <w:basedOn w:val="Normal"/>
    <w:link w:val="FooterChar"/>
    <w:uiPriority w:val="99"/>
    <w:unhideWhenUsed/>
    <w:rsid w:val="00BD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DED"/>
  </w:style>
  <w:style w:type="paragraph" w:styleId="BalloonText">
    <w:name w:val="Balloon Text"/>
    <w:basedOn w:val="Normal"/>
    <w:link w:val="BalloonTextChar"/>
    <w:uiPriority w:val="99"/>
    <w:semiHidden/>
    <w:unhideWhenUsed/>
    <w:rsid w:val="00443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45167">
      <w:bodyDiv w:val="1"/>
      <w:marLeft w:val="0"/>
      <w:marRight w:val="0"/>
      <w:marTop w:val="0"/>
      <w:marBottom w:val="0"/>
      <w:divBdr>
        <w:top w:val="none" w:sz="0" w:space="0" w:color="auto"/>
        <w:left w:val="none" w:sz="0" w:space="0" w:color="auto"/>
        <w:bottom w:val="none" w:sz="0" w:space="0" w:color="auto"/>
        <w:right w:val="none" w:sz="0" w:space="0" w:color="auto"/>
      </w:divBdr>
      <w:divsChild>
        <w:div w:id="1444038482">
          <w:marLeft w:val="0"/>
          <w:marRight w:val="0"/>
          <w:marTop w:val="0"/>
          <w:marBottom w:val="0"/>
          <w:divBdr>
            <w:top w:val="none" w:sz="0" w:space="0" w:color="auto"/>
            <w:left w:val="none" w:sz="0" w:space="0" w:color="auto"/>
            <w:bottom w:val="none" w:sz="0" w:space="0" w:color="auto"/>
            <w:right w:val="none" w:sz="0" w:space="0" w:color="auto"/>
          </w:divBdr>
          <w:divsChild>
            <w:div w:id="1509563059">
              <w:marLeft w:val="0"/>
              <w:marRight w:val="0"/>
              <w:marTop w:val="0"/>
              <w:marBottom w:val="0"/>
              <w:divBdr>
                <w:top w:val="none" w:sz="0" w:space="0" w:color="auto"/>
                <w:left w:val="none" w:sz="0" w:space="0" w:color="auto"/>
                <w:bottom w:val="none" w:sz="0" w:space="0" w:color="auto"/>
                <w:right w:val="none" w:sz="0" w:space="0" w:color="auto"/>
              </w:divBdr>
              <w:divsChild>
                <w:div w:id="295916632">
                  <w:marLeft w:val="0"/>
                  <w:marRight w:val="0"/>
                  <w:marTop w:val="0"/>
                  <w:marBottom w:val="0"/>
                  <w:divBdr>
                    <w:top w:val="none" w:sz="0" w:space="0" w:color="auto"/>
                    <w:left w:val="none" w:sz="0" w:space="0" w:color="auto"/>
                    <w:bottom w:val="none" w:sz="0" w:space="0" w:color="auto"/>
                    <w:right w:val="none" w:sz="0" w:space="0" w:color="auto"/>
                  </w:divBdr>
                  <w:divsChild>
                    <w:div w:id="1410342694">
                      <w:marLeft w:val="0"/>
                      <w:marRight w:val="0"/>
                      <w:marTop w:val="0"/>
                      <w:marBottom w:val="0"/>
                      <w:divBdr>
                        <w:top w:val="none" w:sz="0" w:space="0" w:color="auto"/>
                        <w:left w:val="none" w:sz="0" w:space="0" w:color="auto"/>
                        <w:bottom w:val="none" w:sz="0" w:space="0" w:color="auto"/>
                        <w:right w:val="none" w:sz="0" w:space="0" w:color="auto"/>
                      </w:divBdr>
                      <w:divsChild>
                        <w:div w:id="1345090940">
                          <w:marLeft w:val="0"/>
                          <w:marRight w:val="0"/>
                          <w:marTop w:val="0"/>
                          <w:marBottom w:val="0"/>
                          <w:divBdr>
                            <w:top w:val="none" w:sz="0" w:space="0" w:color="auto"/>
                            <w:left w:val="none" w:sz="0" w:space="0" w:color="auto"/>
                            <w:bottom w:val="none" w:sz="0" w:space="0" w:color="auto"/>
                            <w:right w:val="none" w:sz="0" w:space="0" w:color="auto"/>
                          </w:divBdr>
                          <w:divsChild>
                            <w:div w:id="1667325797">
                              <w:marLeft w:val="0"/>
                              <w:marRight w:val="0"/>
                              <w:marTop w:val="0"/>
                              <w:marBottom w:val="0"/>
                              <w:divBdr>
                                <w:top w:val="none" w:sz="0" w:space="0" w:color="auto"/>
                                <w:left w:val="none" w:sz="0" w:space="0" w:color="auto"/>
                                <w:bottom w:val="none" w:sz="0" w:space="0" w:color="auto"/>
                                <w:right w:val="none" w:sz="0" w:space="0" w:color="auto"/>
                              </w:divBdr>
                              <w:divsChild>
                                <w:div w:id="2107533188">
                                  <w:marLeft w:val="0"/>
                                  <w:marRight w:val="0"/>
                                  <w:marTop w:val="0"/>
                                  <w:marBottom w:val="0"/>
                                  <w:divBdr>
                                    <w:top w:val="none" w:sz="0" w:space="0" w:color="auto"/>
                                    <w:left w:val="none" w:sz="0" w:space="0" w:color="auto"/>
                                    <w:bottom w:val="none" w:sz="0" w:space="0" w:color="auto"/>
                                    <w:right w:val="none" w:sz="0" w:space="0" w:color="auto"/>
                                  </w:divBdr>
                                  <w:divsChild>
                                    <w:div w:id="1053507652">
                                      <w:marLeft w:val="0"/>
                                      <w:marRight w:val="0"/>
                                      <w:marTop w:val="0"/>
                                      <w:marBottom w:val="0"/>
                                      <w:divBdr>
                                        <w:top w:val="none" w:sz="0" w:space="0" w:color="auto"/>
                                        <w:left w:val="none" w:sz="0" w:space="0" w:color="auto"/>
                                        <w:bottom w:val="none" w:sz="0" w:space="0" w:color="auto"/>
                                        <w:right w:val="none" w:sz="0" w:space="0" w:color="auto"/>
                                      </w:divBdr>
                                      <w:divsChild>
                                        <w:div w:id="850338576">
                                          <w:marLeft w:val="0"/>
                                          <w:marRight w:val="0"/>
                                          <w:marTop w:val="0"/>
                                          <w:marBottom w:val="0"/>
                                          <w:divBdr>
                                            <w:top w:val="none" w:sz="0" w:space="0" w:color="auto"/>
                                            <w:left w:val="none" w:sz="0" w:space="0" w:color="auto"/>
                                            <w:bottom w:val="none" w:sz="0" w:space="0" w:color="auto"/>
                                            <w:right w:val="none" w:sz="0" w:space="0" w:color="auto"/>
                                          </w:divBdr>
                                          <w:divsChild>
                                            <w:div w:id="989216153">
                                              <w:marLeft w:val="0"/>
                                              <w:marRight w:val="0"/>
                                              <w:marTop w:val="0"/>
                                              <w:marBottom w:val="0"/>
                                              <w:divBdr>
                                                <w:top w:val="none" w:sz="0" w:space="0" w:color="auto"/>
                                                <w:left w:val="none" w:sz="0" w:space="0" w:color="auto"/>
                                                <w:bottom w:val="none" w:sz="0" w:space="0" w:color="auto"/>
                                                <w:right w:val="none" w:sz="0" w:space="0" w:color="auto"/>
                                              </w:divBdr>
                                              <w:divsChild>
                                                <w:div w:id="632564544">
                                                  <w:marLeft w:val="0"/>
                                                  <w:marRight w:val="0"/>
                                                  <w:marTop w:val="0"/>
                                                  <w:marBottom w:val="0"/>
                                                  <w:divBdr>
                                                    <w:top w:val="none" w:sz="0" w:space="0" w:color="auto"/>
                                                    <w:left w:val="none" w:sz="0" w:space="0" w:color="auto"/>
                                                    <w:bottom w:val="none" w:sz="0" w:space="0" w:color="auto"/>
                                                    <w:right w:val="none" w:sz="0" w:space="0" w:color="auto"/>
                                                  </w:divBdr>
                                                  <w:divsChild>
                                                    <w:div w:id="1803572161">
                                                      <w:marLeft w:val="0"/>
                                                      <w:marRight w:val="0"/>
                                                      <w:marTop w:val="0"/>
                                                      <w:marBottom w:val="0"/>
                                                      <w:divBdr>
                                                        <w:top w:val="none" w:sz="0" w:space="0" w:color="auto"/>
                                                        <w:left w:val="none" w:sz="0" w:space="0" w:color="auto"/>
                                                        <w:bottom w:val="none" w:sz="0" w:space="0" w:color="auto"/>
                                                        <w:right w:val="none" w:sz="0" w:space="0" w:color="auto"/>
                                                      </w:divBdr>
                                                      <w:divsChild>
                                                        <w:div w:id="2057074122">
                                                          <w:marLeft w:val="0"/>
                                                          <w:marRight w:val="0"/>
                                                          <w:marTop w:val="0"/>
                                                          <w:marBottom w:val="0"/>
                                                          <w:divBdr>
                                                            <w:top w:val="none" w:sz="0" w:space="0" w:color="auto"/>
                                                            <w:left w:val="none" w:sz="0" w:space="0" w:color="auto"/>
                                                            <w:bottom w:val="none" w:sz="0" w:space="0" w:color="auto"/>
                                                            <w:right w:val="none" w:sz="0" w:space="0" w:color="auto"/>
                                                          </w:divBdr>
                                                          <w:divsChild>
                                                            <w:div w:id="2094233151">
                                                              <w:marLeft w:val="0"/>
                                                              <w:marRight w:val="0"/>
                                                              <w:marTop w:val="0"/>
                                                              <w:marBottom w:val="0"/>
                                                              <w:divBdr>
                                                                <w:top w:val="none" w:sz="0" w:space="0" w:color="auto"/>
                                                                <w:left w:val="none" w:sz="0" w:space="0" w:color="auto"/>
                                                                <w:bottom w:val="none" w:sz="0" w:space="0" w:color="auto"/>
                                                                <w:right w:val="none" w:sz="0" w:space="0" w:color="auto"/>
                                                              </w:divBdr>
                                                              <w:divsChild>
                                                                <w:div w:id="2910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426891">
      <w:bodyDiv w:val="1"/>
      <w:marLeft w:val="0"/>
      <w:marRight w:val="0"/>
      <w:marTop w:val="0"/>
      <w:marBottom w:val="0"/>
      <w:divBdr>
        <w:top w:val="none" w:sz="0" w:space="0" w:color="auto"/>
        <w:left w:val="none" w:sz="0" w:space="0" w:color="auto"/>
        <w:bottom w:val="none" w:sz="0" w:space="0" w:color="auto"/>
        <w:right w:val="none" w:sz="0" w:space="0" w:color="auto"/>
      </w:divBdr>
    </w:div>
    <w:div w:id="1535844032">
      <w:bodyDiv w:val="1"/>
      <w:marLeft w:val="0"/>
      <w:marRight w:val="0"/>
      <w:marTop w:val="0"/>
      <w:marBottom w:val="0"/>
      <w:divBdr>
        <w:top w:val="none" w:sz="0" w:space="0" w:color="auto"/>
        <w:left w:val="none" w:sz="0" w:space="0" w:color="auto"/>
        <w:bottom w:val="none" w:sz="0" w:space="0" w:color="auto"/>
        <w:right w:val="none" w:sz="0" w:space="0" w:color="auto"/>
      </w:divBdr>
      <w:divsChild>
        <w:div w:id="1916082443">
          <w:marLeft w:val="0"/>
          <w:marRight w:val="0"/>
          <w:marTop w:val="0"/>
          <w:marBottom w:val="0"/>
          <w:divBdr>
            <w:top w:val="none" w:sz="0" w:space="0" w:color="auto"/>
            <w:left w:val="none" w:sz="0" w:space="0" w:color="auto"/>
            <w:bottom w:val="none" w:sz="0" w:space="0" w:color="auto"/>
            <w:right w:val="none" w:sz="0" w:space="0" w:color="auto"/>
          </w:divBdr>
          <w:divsChild>
            <w:div w:id="971978602">
              <w:marLeft w:val="0"/>
              <w:marRight w:val="0"/>
              <w:marTop w:val="0"/>
              <w:marBottom w:val="0"/>
              <w:divBdr>
                <w:top w:val="none" w:sz="0" w:space="0" w:color="auto"/>
                <w:left w:val="none" w:sz="0" w:space="0" w:color="auto"/>
                <w:bottom w:val="none" w:sz="0" w:space="0" w:color="auto"/>
                <w:right w:val="none" w:sz="0" w:space="0" w:color="auto"/>
              </w:divBdr>
              <w:divsChild>
                <w:div w:id="892735143">
                  <w:marLeft w:val="0"/>
                  <w:marRight w:val="0"/>
                  <w:marTop w:val="0"/>
                  <w:marBottom w:val="0"/>
                  <w:divBdr>
                    <w:top w:val="none" w:sz="0" w:space="0" w:color="auto"/>
                    <w:left w:val="none" w:sz="0" w:space="0" w:color="auto"/>
                    <w:bottom w:val="none" w:sz="0" w:space="0" w:color="auto"/>
                    <w:right w:val="none" w:sz="0" w:space="0" w:color="auto"/>
                  </w:divBdr>
                  <w:divsChild>
                    <w:div w:id="1556240301">
                      <w:marLeft w:val="0"/>
                      <w:marRight w:val="0"/>
                      <w:marTop w:val="0"/>
                      <w:marBottom w:val="0"/>
                      <w:divBdr>
                        <w:top w:val="none" w:sz="0" w:space="0" w:color="auto"/>
                        <w:left w:val="none" w:sz="0" w:space="0" w:color="auto"/>
                        <w:bottom w:val="none" w:sz="0" w:space="0" w:color="auto"/>
                        <w:right w:val="none" w:sz="0" w:space="0" w:color="auto"/>
                      </w:divBdr>
                      <w:divsChild>
                        <w:div w:id="758137810">
                          <w:marLeft w:val="0"/>
                          <w:marRight w:val="0"/>
                          <w:marTop w:val="0"/>
                          <w:marBottom w:val="0"/>
                          <w:divBdr>
                            <w:top w:val="none" w:sz="0" w:space="0" w:color="auto"/>
                            <w:left w:val="none" w:sz="0" w:space="0" w:color="auto"/>
                            <w:bottom w:val="none" w:sz="0" w:space="0" w:color="auto"/>
                            <w:right w:val="none" w:sz="0" w:space="0" w:color="auto"/>
                          </w:divBdr>
                          <w:divsChild>
                            <w:div w:id="36861247">
                              <w:marLeft w:val="0"/>
                              <w:marRight w:val="0"/>
                              <w:marTop w:val="0"/>
                              <w:marBottom w:val="0"/>
                              <w:divBdr>
                                <w:top w:val="none" w:sz="0" w:space="0" w:color="auto"/>
                                <w:left w:val="none" w:sz="0" w:space="0" w:color="auto"/>
                                <w:bottom w:val="none" w:sz="0" w:space="0" w:color="auto"/>
                                <w:right w:val="none" w:sz="0" w:space="0" w:color="auto"/>
                              </w:divBdr>
                              <w:divsChild>
                                <w:div w:id="50808230">
                                  <w:marLeft w:val="0"/>
                                  <w:marRight w:val="0"/>
                                  <w:marTop w:val="0"/>
                                  <w:marBottom w:val="0"/>
                                  <w:divBdr>
                                    <w:top w:val="none" w:sz="0" w:space="0" w:color="auto"/>
                                    <w:left w:val="none" w:sz="0" w:space="0" w:color="auto"/>
                                    <w:bottom w:val="none" w:sz="0" w:space="0" w:color="auto"/>
                                    <w:right w:val="none" w:sz="0" w:space="0" w:color="auto"/>
                                  </w:divBdr>
                                  <w:divsChild>
                                    <w:div w:id="1401291506">
                                      <w:marLeft w:val="0"/>
                                      <w:marRight w:val="0"/>
                                      <w:marTop w:val="0"/>
                                      <w:marBottom w:val="0"/>
                                      <w:divBdr>
                                        <w:top w:val="none" w:sz="0" w:space="0" w:color="auto"/>
                                        <w:left w:val="none" w:sz="0" w:space="0" w:color="auto"/>
                                        <w:bottom w:val="none" w:sz="0" w:space="0" w:color="auto"/>
                                        <w:right w:val="none" w:sz="0" w:space="0" w:color="auto"/>
                                      </w:divBdr>
                                      <w:divsChild>
                                        <w:div w:id="1884100712">
                                          <w:marLeft w:val="0"/>
                                          <w:marRight w:val="0"/>
                                          <w:marTop w:val="0"/>
                                          <w:marBottom w:val="0"/>
                                          <w:divBdr>
                                            <w:top w:val="none" w:sz="0" w:space="0" w:color="auto"/>
                                            <w:left w:val="none" w:sz="0" w:space="0" w:color="auto"/>
                                            <w:bottom w:val="none" w:sz="0" w:space="0" w:color="auto"/>
                                            <w:right w:val="none" w:sz="0" w:space="0" w:color="auto"/>
                                          </w:divBdr>
                                          <w:divsChild>
                                            <w:div w:id="1352955728">
                                              <w:marLeft w:val="0"/>
                                              <w:marRight w:val="0"/>
                                              <w:marTop w:val="0"/>
                                              <w:marBottom w:val="0"/>
                                              <w:divBdr>
                                                <w:top w:val="none" w:sz="0" w:space="0" w:color="auto"/>
                                                <w:left w:val="none" w:sz="0" w:space="0" w:color="auto"/>
                                                <w:bottom w:val="none" w:sz="0" w:space="0" w:color="auto"/>
                                                <w:right w:val="none" w:sz="0" w:space="0" w:color="auto"/>
                                              </w:divBdr>
                                              <w:divsChild>
                                                <w:div w:id="1254513626">
                                                  <w:marLeft w:val="0"/>
                                                  <w:marRight w:val="0"/>
                                                  <w:marTop w:val="0"/>
                                                  <w:marBottom w:val="0"/>
                                                  <w:divBdr>
                                                    <w:top w:val="none" w:sz="0" w:space="0" w:color="auto"/>
                                                    <w:left w:val="none" w:sz="0" w:space="0" w:color="auto"/>
                                                    <w:bottom w:val="none" w:sz="0" w:space="0" w:color="auto"/>
                                                    <w:right w:val="none" w:sz="0" w:space="0" w:color="auto"/>
                                                  </w:divBdr>
                                                  <w:divsChild>
                                                    <w:div w:id="818151813">
                                                      <w:marLeft w:val="0"/>
                                                      <w:marRight w:val="0"/>
                                                      <w:marTop w:val="0"/>
                                                      <w:marBottom w:val="0"/>
                                                      <w:divBdr>
                                                        <w:top w:val="none" w:sz="0" w:space="0" w:color="auto"/>
                                                        <w:left w:val="none" w:sz="0" w:space="0" w:color="auto"/>
                                                        <w:bottom w:val="none" w:sz="0" w:space="0" w:color="auto"/>
                                                        <w:right w:val="none" w:sz="0" w:space="0" w:color="auto"/>
                                                      </w:divBdr>
                                                      <w:divsChild>
                                                        <w:div w:id="983004676">
                                                          <w:marLeft w:val="0"/>
                                                          <w:marRight w:val="0"/>
                                                          <w:marTop w:val="0"/>
                                                          <w:marBottom w:val="0"/>
                                                          <w:divBdr>
                                                            <w:top w:val="none" w:sz="0" w:space="0" w:color="auto"/>
                                                            <w:left w:val="none" w:sz="0" w:space="0" w:color="auto"/>
                                                            <w:bottom w:val="none" w:sz="0" w:space="0" w:color="auto"/>
                                                            <w:right w:val="none" w:sz="0" w:space="0" w:color="auto"/>
                                                          </w:divBdr>
                                                          <w:divsChild>
                                                            <w:div w:id="1200510596">
                                                              <w:marLeft w:val="0"/>
                                                              <w:marRight w:val="0"/>
                                                              <w:marTop w:val="0"/>
                                                              <w:marBottom w:val="0"/>
                                                              <w:divBdr>
                                                                <w:top w:val="none" w:sz="0" w:space="0" w:color="auto"/>
                                                                <w:left w:val="none" w:sz="0" w:space="0" w:color="auto"/>
                                                                <w:bottom w:val="none" w:sz="0" w:space="0" w:color="auto"/>
                                                                <w:right w:val="none" w:sz="0" w:space="0" w:color="auto"/>
                                                              </w:divBdr>
                                                              <w:divsChild>
                                                                <w:div w:id="942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608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5177</Words>
  <Characters>29510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Kay Fontenot</dc:creator>
  <cp:keywords/>
  <dc:description/>
  <cp:lastModifiedBy>Raye Nell Spillman</cp:lastModifiedBy>
  <cp:revision>3</cp:revision>
  <cp:lastPrinted>2017-12-19T16:20:00Z</cp:lastPrinted>
  <dcterms:created xsi:type="dcterms:W3CDTF">2017-12-20T13:54:00Z</dcterms:created>
  <dcterms:modified xsi:type="dcterms:W3CDTF">2017-12-20T13:54:00Z</dcterms:modified>
</cp:coreProperties>
</file>