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DA" w:rsidRDefault="00B23816" w:rsidP="009B3DAD">
      <w:pPr>
        <w:spacing w:after="0" w:line="240" w:lineRule="auto"/>
        <w:rPr>
          <w:rFonts w:ascii="Times New Roman" w:hAnsi="Times New Roman"/>
          <w:b/>
          <w:sz w:val="28"/>
        </w:rPr>
      </w:pPr>
      <w:bookmarkStart w:id="0" w:name="OLE_LINK1"/>
      <w:r>
        <w:rPr>
          <w:noProof/>
        </w:rPr>
        <w:drawing>
          <wp:anchor distT="0" distB="0" distL="114300" distR="114300" simplePos="0" relativeHeight="251657728" behindDoc="0" locked="0" layoutInCell="1" allowOverlap="1" wp14:anchorId="5123024A" wp14:editId="471BAFF7">
            <wp:simplePos x="0" y="0"/>
            <wp:positionH relativeFrom="column">
              <wp:posOffset>3743325</wp:posOffset>
            </wp:positionH>
            <wp:positionV relativeFrom="paragraph">
              <wp:posOffset>-323850</wp:posOffset>
            </wp:positionV>
            <wp:extent cx="2200275" cy="619125"/>
            <wp:effectExtent l="19050" t="0" r="9525" b="0"/>
            <wp:wrapNone/>
            <wp:docPr id="9" name="Picture 7" descr="AE_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_DWD"/>
                    <pic:cNvPicPr>
                      <a:picLocks noChangeAspect="1" noChangeArrowheads="1"/>
                    </pic:cNvPicPr>
                  </pic:nvPicPr>
                  <pic:blipFill>
                    <a:blip r:embed="rId8" cstate="print"/>
                    <a:srcRect/>
                    <a:stretch>
                      <a:fillRect/>
                    </a:stretch>
                  </pic:blipFill>
                  <pic:spPr bwMode="auto">
                    <a:xfrm>
                      <a:off x="0" y="0"/>
                      <a:ext cx="2200275" cy="619125"/>
                    </a:xfrm>
                    <a:prstGeom prst="rect">
                      <a:avLst/>
                    </a:prstGeom>
                    <a:noFill/>
                    <a:ln w="9525">
                      <a:noFill/>
                      <a:miter lim="800000"/>
                      <a:headEnd/>
                      <a:tailEnd/>
                    </a:ln>
                  </pic:spPr>
                </pic:pic>
              </a:graphicData>
            </a:graphic>
          </wp:anchor>
        </w:drawing>
      </w:r>
      <w:r w:rsidR="00643694">
        <w:rPr>
          <w:rFonts w:ascii="Candara" w:hAnsi="Candara" w:cs="Arial"/>
          <w:b/>
          <w:color w:val="243E90"/>
          <w:sz w:val="32"/>
        </w:rPr>
        <w:t xml:space="preserve">Indiana Narrative Report </w:t>
      </w:r>
      <w:r w:rsidR="007B2E5E">
        <w:rPr>
          <w:rFonts w:ascii="Candara" w:hAnsi="Candara" w:cs="Arial"/>
          <w:b/>
          <w:color w:val="243E90"/>
          <w:sz w:val="32"/>
        </w:rPr>
        <w:t>2016</w:t>
      </w:r>
      <w:r w:rsidR="002F0AD9">
        <w:rPr>
          <w:rFonts w:ascii="Times New Roman" w:eastAsia="Times New Roman" w:hAnsi="Times New Roman"/>
          <w:sz w:val="24"/>
          <w:szCs w:val="24"/>
        </w:rPr>
        <w:pict w14:anchorId="0C3A83D4">
          <v:rect id="_x0000_i1025" style="width:0;height:1.5pt" o:hralign="center" o:hrstd="t" o:hr="t" fillcolor="gray" stroked="f"/>
        </w:pict>
      </w:r>
      <w:bookmarkEnd w:id="0"/>
    </w:p>
    <w:p w:rsidR="002557D5" w:rsidRPr="009B3DAD" w:rsidRDefault="00A67B98" w:rsidP="009B3DAD">
      <w:pPr>
        <w:pStyle w:val="NoSpacing"/>
      </w:pPr>
      <w:r w:rsidRPr="009B3DAD">
        <w:rPr>
          <w:bCs/>
        </w:rPr>
        <w:t xml:space="preserve">In </w:t>
      </w:r>
      <w:r w:rsidR="00D31831" w:rsidRPr="009B3DAD">
        <w:rPr>
          <w:bCs/>
        </w:rPr>
        <w:t>P</w:t>
      </w:r>
      <w:r w:rsidRPr="009B3DAD">
        <w:rPr>
          <w:bCs/>
        </w:rPr>
        <w:t xml:space="preserve">rogram </w:t>
      </w:r>
      <w:r w:rsidR="00D31831" w:rsidRPr="009B3DAD">
        <w:rPr>
          <w:bCs/>
        </w:rPr>
        <w:t>Y</w:t>
      </w:r>
      <w:r w:rsidRPr="009B3DAD">
        <w:rPr>
          <w:bCs/>
        </w:rPr>
        <w:t>ear 201</w:t>
      </w:r>
      <w:r w:rsidR="007B2E5E">
        <w:rPr>
          <w:bCs/>
        </w:rPr>
        <w:t>6</w:t>
      </w:r>
      <w:r w:rsidRPr="009B3DAD">
        <w:rPr>
          <w:bCs/>
        </w:rPr>
        <w:t>-1</w:t>
      </w:r>
      <w:r w:rsidR="007B2E5E">
        <w:rPr>
          <w:bCs/>
        </w:rPr>
        <w:t>7</w:t>
      </w:r>
      <w:r w:rsidRPr="009B3DAD">
        <w:rPr>
          <w:bCs/>
        </w:rPr>
        <w:t xml:space="preserve"> (PY 201</w:t>
      </w:r>
      <w:r w:rsidR="007B2E5E">
        <w:rPr>
          <w:bCs/>
        </w:rPr>
        <w:t>6</w:t>
      </w:r>
      <w:r w:rsidRPr="009B3DAD">
        <w:rPr>
          <w:bCs/>
        </w:rPr>
        <w:t xml:space="preserve">), </w:t>
      </w:r>
      <w:r w:rsidR="0035639E">
        <w:rPr>
          <w:bCs/>
        </w:rPr>
        <w:t>the Indiana Department of Workforce Development (IDWD)</w:t>
      </w:r>
      <w:r w:rsidRPr="009B3DAD">
        <w:rPr>
          <w:bCs/>
        </w:rPr>
        <w:t xml:space="preserve"> </w:t>
      </w:r>
      <w:r w:rsidR="0001303A" w:rsidRPr="009B3DAD">
        <w:t>continue</w:t>
      </w:r>
      <w:r w:rsidR="00B74F03">
        <w:t>d</w:t>
      </w:r>
      <w:r w:rsidR="0001303A" w:rsidRPr="009B3DAD">
        <w:t xml:space="preserve"> to drive</w:t>
      </w:r>
      <w:r w:rsidR="004C64AB">
        <w:t xml:space="preserve"> toward improving student </w:t>
      </w:r>
      <w:r w:rsidR="00C54AE7">
        <w:t xml:space="preserve">outcomes as well as WIOA implementation. </w:t>
      </w:r>
      <w:r w:rsidR="0001303A" w:rsidRPr="009B3DAD">
        <w:t xml:space="preserve">IDWD </w:t>
      </w:r>
      <w:r w:rsidR="006574A4">
        <w:t xml:space="preserve">also </w:t>
      </w:r>
      <w:r w:rsidR="0001303A" w:rsidRPr="009B3DAD">
        <w:t>continue</w:t>
      </w:r>
      <w:r w:rsidR="00B74F03">
        <w:t>d</w:t>
      </w:r>
      <w:r w:rsidR="0001303A" w:rsidRPr="009B3DAD">
        <w:t xml:space="preserve"> to focus on innovative models of instruction and effective professional development to </w:t>
      </w:r>
      <w:r w:rsidR="0001303A">
        <w:t xml:space="preserve">move </w:t>
      </w:r>
      <w:r w:rsidR="0001303A" w:rsidRPr="009B3DAD">
        <w:t>the system toward its vision of adult education programming that leads to successful career pathways, postsecondary transitions</w:t>
      </w:r>
      <w:r w:rsidR="00C35E7A">
        <w:t>,</w:t>
      </w:r>
      <w:r w:rsidR="006574A4">
        <w:t xml:space="preserve"> </w:t>
      </w:r>
      <w:r w:rsidR="0001303A" w:rsidRPr="009B3DAD">
        <w:t xml:space="preserve">and employment.  </w:t>
      </w:r>
      <w:r w:rsidR="00070103" w:rsidRPr="009B3DAD">
        <w:t xml:space="preserve"> </w:t>
      </w:r>
    </w:p>
    <w:p w:rsidR="002557D5" w:rsidRPr="009B3DAD" w:rsidRDefault="002557D5" w:rsidP="009B3DAD">
      <w:pPr>
        <w:pStyle w:val="NoSpacing"/>
      </w:pPr>
    </w:p>
    <w:p w:rsidR="00316D29" w:rsidRPr="009B3DAD" w:rsidRDefault="00172E0E" w:rsidP="009B3DAD">
      <w:pPr>
        <w:pStyle w:val="NoSpacing"/>
        <w:rPr>
          <w:b/>
          <w:color w:val="000000"/>
        </w:rPr>
      </w:pPr>
      <w:r w:rsidRPr="009B3DAD">
        <w:rPr>
          <w:b/>
          <w:color w:val="000000"/>
        </w:rPr>
        <w:t>State Leadership Funds</w:t>
      </w:r>
      <w:r w:rsidR="00975492">
        <w:rPr>
          <w:b/>
          <w:color w:val="000000"/>
        </w:rPr>
        <w:t xml:space="preserve"> (AEFLA Section 223)</w:t>
      </w:r>
      <w:r w:rsidRPr="009B3DAD">
        <w:rPr>
          <w:b/>
          <w:color w:val="000000"/>
        </w:rPr>
        <w:t xml:space="preserve">: </w:t>
      </w:r>
    </w:p>
    <w:p w:rsidR="00172E0E" w:rsidRDefault="00172E0E" w:rsidP="009B3DAD">
      <w:pPr>
        <w:pStyle w:val="NoSpacing"/>
        <w:rPr>
          <w:i/>
          <w:color w:val="000000"/>
        </w:rPr>
      </w:pPr>
      <w:r w:rsidRPr="009B3DAD">
        <w:rPr>
          <w:i/>
          <w:color w:val="000000"/>
        </w:rPr>
        <w:t xml:space="preserve">Describe </w:t>
      </w:r>
      <w:r w:rsidR="00975492">
        <w:rPr>
          <w:i/>
          <w:color w:val="000000"/>
        </w:rPr>
        <w:t>how the state has used funds made available under section 223 (State Leadership activities) for each of the following required activities:</w:t>
      </w:r>
    </w:p>
    <w:p w:rsidR="00975492" w:rsidRDefault="00975492" w:rsidP="009B3DAD">
      <w:pPr>
        <w:pStyle w:val="NoSpacing"/>
        <w:rPr>
          <w:i/>
          <w:color w:val="000000"/>
        </w:rPr>
      </w:pPr>
      <w:r>
        <w:rPr>
          <w:i/>
          <w:color w:val="000000"/>
        </w:rPr>
        <w:tab/>
      </w:r>
    </w:p>
    <w:p w:rsidR="00975492" w:rsidRPr="00C54AE7" w:rsidRDefault="00975492" w:rsidP="00975492">
      <w:pPr>
        <w:pStyle w:val="NoSpacing"/>
        <w:numPr>
          <w:ilvl w:val="0"/>
          <w:numId w:val="34"/>
        </w:numPr>
        <w:rPr>
          <w:b/>
        </w:rPr>
      </w:pPr>
      <w:r>
        <w:t>Alignment of adult and literacy activities with other one-stop required partners to implement the strategies in the Unified or Combined State Plan as described in section 223(l)(a).</w:t>
      </w:r>
    </w:p>
    <w:p w:rsidR="00C54AE7" w:rsidRDefault="00C54AE7" w:rsidP="00C54AE7">
      <w:pPr>
        <w:pStyle w:val="NoSpacing"/>
        <w:ind w:left="720"/>
      </w:pPr>
    </w:p>
    <w:p w:rsidR="00456F95" w:rsidRPr="00D525D9" w:rsidRDefault="00C54AE7" w:rsidP="00C729DE">
      <w:pPr>
        <w:pStyle w:val="NoSpacing"/>
        <w:ind w:left="720"/>
      </w:pPr>
      <w:r>
        <w:t>Since moving from IDOE to IDWD, Indiana Adult Educati</w:t>
      </w:r>
      <w:r w:rsidR="00FF4A24">
        <w:t xml:space="preserve">on has worked to align adult education and literacy activities </w:t>
      </w:r>
      <w:r>
        <w:t xml:space="preserve">with those provided by the one-stop system. </w:t>
      </w:r>
      <w:r w:rsidR="00FF4A24">
        <w:t xml:space="preserve">WIOA allowed </w:t>
      </w:r>
      <w:r w:rsidR="005457CF">
        <w:t>this work</w:t>
      </w:r>
      <w:r w:rsidR="00FF4A24">
        <w:t xml:space="preserve"> to deepen and ex</w:t>
      </w:r>
      <w:r w:rsidR="00456F95">
        <w:t>pand to include addit</w:t>
      </w:r>
      <w:r w:rsidR="00992B30">
        <w:t>ional partners. Throughout PY 16</w:t>
      </w:r>
      <w:r w:rsidR="00456F95">
        <w:t xml:space="preserve"> local eligible providers and adult education state staff participated in the work of WIOA implementation th</w:t>
      </w:r>
      <w:r w:rsidR="00D525D9">
        <w:t>rough state and local partner meetings</w:t>
      </w:r>
      <w:r w:rsidR="00456F95">
        <w:t>.</w:t>
      </w:r>
      <w:r w:rsidR="006621F8">
        <w:t xml:space="preserve"> Much of the work this year focused on developing MOU’s and infrastructure funding ag</w:t>
      </w:r>
      <w:r w:rsidR="00D525D9">
        <w:t xml:space="preserve">reements and the changes </w:t>
      </w:r>
      <w:r w:rsidR="006621F8">
        <w:t xml:space="preserve">needed to implement strategies </w:t>
      </w:r>
      <w:r w:rsidR="00D525D9">
        <w:t xml:space="preserve">identified in the state plan. Additional work has been done around the </w:t>
      </w:r>
      <w:r w:rsidR="00456F95" w:rsidRPr="00D525D9">
        <w:t>delivery of employment and training services and development of career pathways</w:t>
      </w:r>
      <w:r w:rsidR="00D525D9" w:rsidRPr="00D525D9">
        <w:t xml:space="preserve"> using multiple funding sources</w:t>
      </w:r>
    </w:p>
    <w:p w:rsidR="00C54AE7" w:rsidRPr="00C54AE7" w:rsidRDefault="00FF4A24" w:rsidP="00C54AE7">
      <w:pPr>
        <w:pStyle w:val="NoSpacing"/>
        <w:ind w:left="720"/>
      </w:pPr>
      <w:r>
        <w:t xml:space="preserve"> </w:t>
      </w:r>
    </w:p>
    <w:p w:rsidR="009F665E" w:rsidRPr="00AC3F87" w:rsidRDefault="009F665E" w:rsidP="00975492">
      <w:pPr>
        <w:pStyle w:val="NoSpacing"/>
        <w:numPr>
          <w:ilvl w:val="0"/>
          <w:numId w:val="34"/>
        </w:numPr>
        <w:rPr>
          <w:b/>
        </w:rPr>
      </w:pPr>
      <w:r w:rsidRPr="00AC3F87">
        <w:t>Establishment or operation of a high quality professional development program as described in section 223(1)(b).</w:t>
      </w:r>
    </w:p>
    <w:p w:rsidR="00C729DE" w:rsidRPr="007B2E5E" w:rsidRDefault="00C729DE" w:rsidP="00C729DE">
      <w:pPr>
        <w:pStyle w:val="NoSpacing"/>
        <w:ind w:left="720"/>
        <w:rPr>
          <w:highlight w:val="yellow"/>
        </w:rPr>
      </w:pPr>
    </w:p>
    <w:p w:rsidR="00AC3F87" w:rsidRPr="003A4771" w:rsidRDefault="00AC3F87" w:rsidP="00AC3F87">
      <w:pPr>
        <w:pStyle w:val="NoSpacing"/>
        <w:ind w:left="720"/>
      </w:pPr>
      <w:r w:rsidRPr="003A4771">
        <w:t>Indiana continued to provide high quality profes</w:t>
      </w:r>
      <w:r>
        <w:t>sional development in 2016-2017 through new and existing initiatives.</w:t>
      </w:r>
      <w:r w:rsidRPr="003A4771">
        <w:t xml:space="preserve"> Adult educators had a variety of online options as well </w:t>
      </w:r>
      <w:r>
        <w:t xml:space="preserve">as </w:t>
      </w:r>
      <w:r w:rsidRPr="003A4771">
        <w:t xml:space="preserve">professional development conferences available to fulfill the Indiana requirement of 10 hours of professional development for all instructors teaching over nine hours a week. </w:t>
      </w:r>
    </w:p>
    <w:p w:rsidR="00AC3F87" w:rsidRPr="003A4771" w:rsidRDefault="00AC3F87" w:rsidP="00AC3F87">
      <w:pPr>
        <w:pStyle w:val="NoSpacing"/>
        <w:ind w:left="720"/>
      </w:pPr>
    </w:p>
    <w:p w:rsidR="00AC3F87" w:rsidRPr="003A4771" w:rsidRDefault="00AC3F87" w:rsidP="00AC3F87">
      <w:pPr>
        <w:pStyle w:val="NoSpacing"/>
        <w:ind w:left="720"/>
      </w:pPr>
      <w:r>
        <w:t xml:space="preserve">A </w:t>
      </w:r>
      <w:r w:rsidRPr="003A4771">
        <w:t xml:space="preserve">strategic plan </w:t>
      </w:r>
      <w:r>
        <w:t xml:space="preserve">for professional development was developed </w:t>
      </w:r>
      <w:r w:rsidRPr="003A4771">
        <w:t xml:space="preserve">based on </w:t>
      </w:r>
      <w:r>
        <w:t xml:space="preserve">a </w:t>
      </w:r>
      <w:r w:rsidRPr="003A4771">
        <w:t>careful analysis of state and local program data</w:t>
      </w:r>
      <w:r>
        <w:t xml:space="preserve">. A key metric was the </w:t>
      </w:r>
      <w:r>
        <w:rPr>
          <w:bCs/>
        </w:rPr>
        <w:t>s</w:t>
      </w:r>
      <w:r w:rsidRPr="003A4771">
        <w:rPr>
          <w:bCs/>
        </w:rPr>
        <w:t>ignificant numbers of students enter</w:t>
      </w:r>
      <w:r>
        <w:rPr>
          <w:bCs/>
        </w:rPr>
        <w:t>ing Indiana adult e</w:t>
      </w:r>
      <w:r w:rsidRPr="003A4771">
        <w:rPr>
          <w:bCs/>
        </w:rPr>
        <w:t xml:space="preserve">ducation programs at </w:t>
      </w:r>
      <w:r w:rsidRPr="003A4771">
        <w:rPr>
          <w:bCs/>
          <w:u w:val="single"/>
        </w:rPr>
        <w:t>low</w:t>
      </w:r>
      <w:r w:rsidRPr="003A4771">
        <w:rPr>
          <w:bCs/>
        </w:rPr>
        <w:t xml:space="preserve"> to very low educational functioning levels</w:t>
      </w:r>
      <w:r w:rsidRPr="003A4771">
        <w:t xml:space="preserve">. </w:t>
      </w:r>
      <w:r>
        <w:t>Consequently, t</w:t>
      </w:r>
      <w:r w:rsidRPr="003A4771">
        <w:t xml:space="preserve">he </w:t>
      </w:r>
      <w:r>
        <w:t xml:space="preserve">delivery system currently covers </w:t>
      </w:r>
      <w:r w:rsidRPr="003A4771">
        <w:t xml:space="preserve">four pillars – Professional Development Facilitator (PDF) Network; Basics and More; Struggling </w:t>
      </w:r>
      <w:r>
        <w:t xml:space="preserve">(Low Performing) </w:t>
      </w:r>
      <w:r w:rsidRPr="003A4771">
        <w:t>Programs; and Professional Development Federal Initiatives.</w:t>
      </w:r>
    </w:p>
    <w:p w:rsidR="00AC3F87" w:rsidRPr="003A4771" w:rsidRDefault="00AC3F87" w:rsidP="00AC3F87">
      <w:pPr>
        <w:pStyle w:val="NoSpacing"/>
        <w:ind w:left="720"/>
      </w:pPr>
    </w:p>
    <w:p w:rsidR="00AC3F87" w:rsidRPr="003A4771" w:rsidRDefault="00AC3F87" w:rsidP="00AC3F87">
      <w:pPr>
        <w:pStyle w:val="NoSpacing"/>
        <w:ind w:left="720"/>
      </w:pPr>
      <w:r w:rsidRPr="003A4771">
        <w:t>Several activities were representative of a high quality p</w:t>
      </w:r>
      <w:r>
        <w:t xml:space="preserve">rofessional development program as described under State Leadership Activities. </w:t>
      </w:r>
      <w:r w:rsidRPr="003A4771">
        <w:t xml:space="preserve"> </w:t>
      </w:r>
    </w:p>
    <w:p w:rsidR="00AC3F87" w:rsidRPr="003A4771" w:rsidRDefault="00AC3F87" w:rsidP="00AC3F87">
      <w:pPr>
        <w:pStyle w:val="NoSpacing"/>
        <w:ind w:left="720"/>
      </w:pPr>
    </w:p>
    <w:p w:rsidR="00AC3F87" w:rsidRDefault="00AC3F87" w:rsidP="00AC3F87">
      <w:pPr>
        <w:pStyle w:val="NoSpacing"/>
        <w:ind w:left="720"/>
      </w:pPr>
      <w:r w:rsidRPr="003A4771">
        <w:t xml:space="preserve">► </w:t>
      </w:r>
      <w:r w:rsidRPr="003A4771">
        <w:rPr>
          <w:b/>
        </w:rPr>
        <w:t>Professional Development Staff</w:t>
      </w:r>
      <w:r w:rsidRPr="003A4771">
        <w:t xml:space="preserve"> – Employed a full time, state-level professional development manager and utilized an existing Adult Education Coordinator </w:t>
      </w:r>
      <w:r>
        <w:t xml:space="preserve">(AEC) </w:t>
      </w:r>
      <w:r w:rsidRPr="003A4771">
        <w:t>as a professional development lead to advance a strategic plan to:</w:t>
      </w:r>
    </w:p>
    <w:p w:rsidR="00AC3F87" w:rsidRPr="003A4771" w:rsidRDefault="00AC3F87" w:rsidP="00AC3F87">
      <w:pPr>
        <w:pStyle w:val="NoSpacing"/>
        <w:ind w:left="720"/>
      </w:pPr>
      <w:r w:rsidRPr="003A4771">
        <w:t xml:space="preserve">(1) Develop a </w:t>
      </w:r>
      <w:r w:rsidRPr="003A4771">
        <w:rPr>
          <w:b/>
          <w:bCs/>
        </w:rPr>
        <w:t xml:space="preserve">professional development plan </w:t>
      </w:r>
      <w:r w:rsidRPr="003A4771">
        <w:t>to target focused instruction for low to mid-level skill gains</w:t>
      </w:r>
      <w:r w:rsidRPr="003A4771">
        <w:rPr>
          <w:b/>
          <w:bCs/>
        </w:rPr>
        <w:t xml:space="preserve"> </w:t>
      </w:r>
      <w:r w:rsidRPr="003A4771">
        <w:t xml:space="preserve">in reading, writing, and math integrated with employability and workforce prep skills; </w:t>
      </w:r>
    </w:p>
    <w:p w:rsidR="00AC3F87" w:rsidRPr="003A4771" w:rsidRDefault="00AC3F87" w:rsidP="00AC3F87">
      <w:pPr>
        <w:pStyle w:val="NoSpacing"/>
        <w:ind w:left="720"/>
      </w:pPr>
      <w:r w:rsidRPr="003A4771">
        <w:lastRenderedPageBreak/>
        <w:t xml:space="preserve">(2) </w:t>
      </w:r>
      <w:r>
        <w:t xml:space="preserve">Create </w:t>
      </w:r>
      <w:r w:rsidRPr="003A4771">
        <w:t xml:space="preserve">a </w:t>
      </w:r>
      <w:r w:rsidRPr="003A4771">
        <w:rPr>
          <w:b/>
          <w:bCs/>
        </w:rPr>
        <w:t>Professional Development Facilitator (PDF) Network</w:t>
      </w:r>
      <w:r w:rsidRPr="003A4771">
        <w:t xml:space="preserve"> that will work at local and regional levels to design professional development targeting individual program needs based on data analysis;</w:t>
      </w:r>
    </w:p>
    <w:p w:rsidR="00AC3F87" w:rsidRPr="003A4771" w:rsidRDefault="00AC3F87" w:rsidP="00AC3F87">
      <w:pPr>
        <w:pStyle w:val="NoSpacing"/>
        <w:ind w:left="720"/>
      </w:pPr>
      <w:r w:rsidRPr="003A4771">
        <w:t xml:space="preserve">(3) Designate the professional development lead to work with </w:t>
      </w:r>
      <w:r>
        <w:t xml:space="preserve">struggling and </w:t>
      </w:r>
      <w:r w:rsidRPr="003A4771">
        <w:rPr>
          <w:b/>
        </w:rPr>
        <w:t>low performing programs</w:t>
      </w:r>
      <w:r w:rsidRPr="003A4771">
        <w:t xml:space="preserve"> to increase performance that is aligned more closely to federal and/or state benchmarks; and</w:t>
      </w:r>
    </w:p>
    <w:p w:rsidR="00AC3F87" w:rsidRPr="003A4771" w:rsidRDefault="00AC3F87" w:rsidP="00AC3F87">
      <w:pPr>
        <w:pStyle w:val="NoSpacing"/>
        <w:ind w:left="720"/>
        <w:rPr>
          <w:b/>
          <w:bCs/>
        </w:rPr>
      </w:pPr>
      <w:r w:rsidRPr="003A4771">
        <w:t xml:space="preserve">(4) Utilize content experts to design and deliver </w:t>
      </w:r>
      <w:r w:rsidRPr="003A4771">
        <w:rPr>
          <w:b/>
        </w:rPr>
        <w:t>targeted professional development</w:t>
      </w:r>
      <w:r w:rsidRPr="003A4771">
        <w:t xml:space="preserve"> in the priority areas of </w:t>
      </w:r>
      <w:r w:rsidRPr="003A4771">
        <w:rPr>
          <w:bCs/>
        </w:rPr>
        <w:t>Adult Numeracy</w:t>
      </w:r>
      <w:r w:rsidRPr="003A4771">
        <w:t xml:space="preserve">, </w:t>
      </w:r>
      <w:r w:rsidRPr="003A4771">
        <w:rPr>
          <w:bCs/>
        </w:rPr>
        <w:t>Evidence-based Reading Instruction</w:t>
      </w:r>
      <w:r w:rsidRPr="003A4771">
        <w:t xml:space="preserve">, </w:t>
      </w:r>
      <w:r w:rsidRPr="003A4771">
        <w:rPr>
          <w:bCs/>
        </w:rPr>
        <w:t>Standards-based Education</w:t>
      </w:r>
      <w:r w:rsidRPr="003A4771">
        <w:t xml:space="preserve">, </w:t>
      </w:r>
      <w:r w:rsidRPr="003A4771">
        <w:rPr>
          <w:bCs/>
        </w:rPr>
        <w:t>Staff Effectiveness</w:t>
      </w:r>
      <w:r w:rsidRPr="003A4771">
        <w:t xml:space="preserve">, </w:t>
      </w:r>
      <w:r w:rsidRPr="003A4771">
        <w:rPr>
          <w:bCs/>
        </w:rPr>
        <w:t>English Language Acquisition</w:t>
      </w:r>
      <w:r w:rsidRPr="003A4771">
        <w:t xml:space="preserve">, and </w:t>
      </w:r>
      <w:r w:rsidRPr="003A4771">
        <w:rPr>
          <w:bCs/>
        </w:rPr>
        <w:t>Instructional Leadership.</w:t>
      </w:r>
      <w:r w:rsidRPr="003A4771">
        <w:rPr>
          <w:b/>
          <w:bCs/>
        </w:rPr>
        <w:t xml:space="preserve"> </w:t>
      </w:r>
    </w:p>
    <w:p w:rsidR="00AC3F87" w:rsidRPr="003A4771" w:rsidRDefault="00AC3F87" w:rsidP="00AC3F87">
      <w:pPr>
        <w:pStyle w:val="NoSpacing"/>
        <w:ind w:left="720"/>
        <w:rPr>
          <w:b/>
          <w:bCs/>
        </w:rPr>
      </w:pPr>
    </w:p>
    <w:p w:rsidR="00AC3F87" w:rsidRPr="003A4771" w:rsidRDefault="00AC3F87" w:rsidP="00AC3F87">
      <w:pPr>
        <w:pStyle w:val="NoSpacing"/>
        <w:ind w:left="720"/>
      </w:pPr>
      <w:r>
        <w:rPr>
          <w:bCs/>
        </w:rPr>
        <w:t>T</w:t>
      </w:r>
      <w:r w:rsidRPr="003A4771">
        <w:rPr>
          <w:bCs/>
        </w:rPr>
        <w:t xml:space="preserve">he professional development team </w:t>
      </w:r>
      <w:r>
        <w:rPr>
          <w:bCs/>
        </w:rPr>
        <w:t xml:space="preserve">initially identified </w:t>
      </w:r>
      <w:r w:rsidRPr="003A4771">
        <w:t xml:space="preserve">underperforming programs using </w:t>
      </w:r>
      <w:r>
        <w:t xml:space="preserve">performance </w:t>
      </w:r>
      <w:r w:rsidRPr="003A4771">
        <w:t>data</w:t>
      </w:r>
      <w:r>
        <w:t xml:space="preserve">; a </w:t>
      </w:r>
      <w:r w:rsidRPr="00A459DA">
        <w:rPr>
          <w:bCs/>
          <w:iCs/>
        </w:rPr>
        <w:t>systematic</w:t>
      </w:r>
      <w:r w:rsidRPr="00A459DA">
        <w:t xml:space="preserve"> </w:t>
      </w:r>
      <w:r w:rsidRPr="003A4771">
        <w:t xml:space="preserve">approach </w:t>
      </w:r>
      <w:r>
        <w:t>followed to address gaps.</w:t>
      </w:r>
      <w:r w:rsidRPr="003A4771">
        <w:t xml:space="preserve"> Moreover, the team will work with </w:t>
      </w:r>
      <w:r>
        <w:t xml:space="preserve">PDFs and adult education </w:t>
      </w:r>
      <w:r w:rsidRPr="003A4771">
        <w:t xml:space="preserve">directors to </w:t>
      </w:r>
      <w:r>
        <w:t xml:space="preserve">design and construct </w:t>
      </w:r>
      <w:r w:rsidRPr="003A4771">
        <w:rPr>
          <w:b/>
          <w:bCs/>
        </w:rPr>
        <w:t>professional development plan</w:t>
      </w:r>
      <w:r>
        <w:rPr>
          <w:b/>
          <w:bCs/>
        </w:rPr>
        <w:t>s</w:t>
      </w:r>
      <w:r w:rsidRPr="003A4771">
        <w:rPr>
          <w:b/>
          <w:bCs/>
        </w:rPr>
        <w:t xml:space="preserve"> </w:t>
      </w:r>
      <w:r>
        <w:t>that pinpoint</w:t>
      </w:r>
      <w:r w:rsidRPr="003A4771">
        <w:t xml:space="preserve"> specific PD needs based</w:t>
      </w:r>
      <w:r>
        <w:t xml:space="preserve"> </w:t>
      </w:r>
      <w:r w:rsidRPr="003A4771">
        <w:t>on NRS Table 4 results.</w:t>
      </w:r>
    </w:p>
    <w:p w:rsidR="00AC3F87" w:rsidRPr="003A4771" w:rsidRDefault="00AC3F87" w:rsidP="00AC3F87">
      <w:pPr>
        <w:pStyle w:val="NoSpacing"/>
        <w:ind w:left="720"/>
        <w:rPr>
          <w:b/>
          <w:bCs/>
        </w:rPr>
      </w:pPr>
    </w:p>
    <w:p w:rsidR="00AC3F87" w:rsidRPr="003A4771" w:rsidRDefault="00AC3F87" w:rsidP="00AC3F87">
      <w:pPr>
        <w:pStyle w:val="NoSpacing"/>
        <w:ind w:left="720"/>
      </w:pPr>
      <w:r w:rsidRPr="003A4771">
        <w:rPr>
          <w:b/>
        </w:rPr>
        <w:t xml:space="preserve">► Professional Development Facilitator (PDF) Network – </w:t>
      </w:r>
      <w:r w:rsidRPr="003A4771">
        <w:t xml:space="preserve">A network of the best-performing instructors in each program (approximately 30) were recommended and selected to coordinate and provide just-in-time training locally and regionally, and to provide professional development planning and mentoring. </w:t>
      </w:r>
    </w:p>
    <w:p w:rsidR="00AC3F87" w:rsidRPr="003A4771" w:rsidRDefault="00AC3F87" w:rsidP="00AC3F87">
      <w:pPr>
        <w:pStyle w:val="NoSpacing"/>
        <w:ind w:left="720"/>
      </w:pPr>
    </w:p>
    <w:p w:rsidR="00AC3F87" w:rsidRPr="003A4771" w:rsidRDefault="00AC3F87" w:rsidP="00AC3F87">
      <w:pPr>
        <w:pStyle w:val="NoSpacing"/>
        <w:ind w:left="720"/>
      </w:pPr>
      <w:r w:rsidRPr="003A4771">
        <w:t xml:space="preserve">In order to be selected as a PDF, candidates were required to possess adult education </w:t>
      </w:r>
      <w:r w:rsidRPr="003A4771">
        <w:rPr>
          <w:bCs/>
        </w:rPr>
        <w:t>teaching</w:t>
      </w:r>
      <w:r w:rsidRPr="003A4771">
        <w:t xml:space="preserve"> experience; demonstrated performance in the adult education classroom on </w:t>
      </w:r>
      <w:r w:rsidRPr="003A4771">
        <w:rPr>
          <w:bCs/>
        </w:rPr>
        <w:t>NRS Tables 4 and 5; s</w:t>
      </w:r>
      <w:r w:rsidRPr="003A4771">
        <w:t xml:space="preserve">chedule flexibility – approximately five hours a month; and knowledge of </w:t>
      </w:r>
      <w:r w:rsidRPr="003A4771">
        <w:rPr>
          <w:bCs/>
        </w:rPr>
        <w:t xml:space="preserve">career awareness </w:t>
      </w:r>
      <w:r w:rsidRPr="003A4771">
        <w:t xml:space="preserve">and </w:t>
      </w:r>
      <w:r w:rsidRPr="003A4771">
        <w:rPr>
          <w:bCs/>
        </w:rPr>
        <w:t>workforce prep</w:t>
      </w:r>
      <w:r w:rsidRPr="003A4771">
        <w:rPr>
          <w:b/>
          <w:bCs/>
        </w:rPr>
        <w:t xml:space="preserve"> </w:t>
      </w:r>
      <w:r w:rsidRPr="003A4771">
        <w:t>activities.</w:t>
      </w:r>
    </w:p>
    <w:p w:rsidR="00AC3F87" w:rsidRPr="003A4771" w:rsidRDefault="00AC3F87" w:rsidP="00AC3F87">
      <w:pPr>
        <w:pStyle w:val="NoSpacing"/>
        <w:ind w:left="720"/>
      </w:pPr>
    </w:p>
    <w:p w:rsidR="00AC3F87" w:rsidRDefault="00AC3F87" w:rsidP="00AC3F87">
      <w:pPr>
        <w:pStyle w:val="NoSpacing"/>
        <w:ind w:left="720"/>
      </w:pPr>
      <w:r w:rsidRPr="003A4771">
        <w:t xml:space="preserve">Duties include the formulation of new teacher training; delivery of NRS/TABE training; development of a new teacher handbook; delivery of accommodations training; and to model effective teaching strategies. Instructors will receive ongoing training to deliver the highest quality professional development both locally and regionally, all of which are directly tied to federal and/or state performance measures. </w:t>
      </w:r>
    </w:p>
    <w:p w:rsidR="00AC3F87" w:rsidRDefault="00AC3F87" w:rsidP="00AC3F87">
      <w:pPr>
        <w:pStyle w:val="NoSpacing"/>
        <w:ind w:left="720"/>
      </w:pPr>
    </w:p>
    <w:p w:rsidR="00AC3F87" w:rsidRPr="003A4771" w:rsidRDefault="00AC3F87" w:rsidP="00AC3F87">
      <w:pPr>
        <w:pStyle w:val="NoSpacing"/>
        <w:ind w:left="720"/>
      </w:pPr>
      <w:r w:rsidRPr="003A4771">
        <w:t xml:space="preserve">Candidates </w:t>
      </w:r>
      <w:r>
        <w:t>who applied were recommended by their supervisor; f</w:t>
      </w:r>
      <w:r w:rsidRPr="003A4771">
        <w:t xml:space="preserve">inal selections were made by the state professional team. </w:t>
      </w:r>
    </w:p>
    <w:p w:rsidR="00AC3F87" w:rsidRPr="003A4771" w:rsidRDefault="00AC3F87" w:rsidP="00AC3F87">
      <w:pPr>
        <w:pStyle w:val="NoSpacing"/>
        <w:ind w:left="720"/>
      </w:pPr>
    </w:p>
    <w:p w:rsidR="00AC3F87" w:rsidRPr="003A4771" w:rsidRDefault="00AC3F87" w:rsidP="00AC3F87">
      <w:pPr>
        <w:pStyle w:val="NoSpacing"/>
        <w:ind w:left="720"/>
      </w:pPr>
      <w:r w:rsidRPr="003A4771">
        <w:t xml:space="preserve">Additionally, three regional trainings for </w:t>
      </w:r>
      <w:r>
        <w:t xml:space="preserve">the </w:t>
      </w:r>
      <w:r w:rsidRPr="003A4771">
        <w:t>Professional Development Facilitator Network were scheduled for August 2017 to kick-off the project</w:t>
      </w:r>
      <w:r>
        <w:t>.</w:t>
      </w:r>
    </w:p>
    <w:p w:rsidR="00AC3F87" w:rsidRPr="003A4771" w:rsidRDefault="00AC3F87" w:rsidP="00AC3F87">
      <w:pPr>
        <w:pStyle w:val="NoSpacing"/>
        <w:ind w:left="720"/>
        <w:rPr>
          <w:b/>
        </w:rPr>
      </w:pPr>
      <w:r w:rsidRPr="003A4771">
        <w:t xml:space="preserve"> </w:t>
      </w:r>
    </w:p>
    <w:p w:rsidR="00AC3F87" w:rsidRDefault="00AC3F87" w:rsidP="00AC3F87">
      <w:pPr>
        <w:pStyle w:val="NoSpacing"/>
        <w:ind w:left="720"/>
      </w:pPr>
      <w:r w:rsidRPr="003A4771">
        <w:rPr>
          <w:b/>
        </w:rPr>
        <w:t>► 2017 Spring IAACE Conference</w:t>
      </w:r>
      <w:r w:rsidRPr="003A4771">
        <w:t xml:space="preserve"> – DWD partnered with the Indiana Association of Adult and Continuing Education (IAACE) to offer a variety of professional development opportunities at its annual conference. </w:t>
      </w:r>
    </w:p>
    <w:p w:rsidR="00AC3F87" w:rsidRDefault="00AC3F87" w:rsidP="00AC3F87">
      <w:pPr>
        <w:pStyle w:val="NoSpacing"/>
        <w:ind w:left="720"/>
      </w:pPr>
    </w:p>
    <w:p w:rsidR="00AC3F87" w:rsidRPr="003A4771" w:rsidRDefault="00AC3F87" w:rsidP="00AC3F87">
      <w:pPr>
        <w:pStyle w:val="NoSpacing"/>
        <w:ind w:left="720"/>
      </w:pPr>
      <w:r w:rsidRPr="003A4771">
        <w:t xml:space="preserve">Attendees attended sessions on distance learning; TABE 11 &amp; 12; low level learners; career pathways; multi-level ELL classrooms; fast track math; adaptive technology; TASC test writing; soft skills; corrections education; Indiana Career Explorer; WorkINdiana; online tutor training; coaching; and the state’s new professional development network.  </w:t>
      </w:r>
    </w:p>
    <w:p w:rsidR="00AC3F87" w:rsidRPr="003A4771" w:rsidRDefault="00AC3F87" w:rsidP="00AC3F87">
      <w:pPr>
        <w:pStyle w:val="NoSpacing"/>
        <w:ind w:left="720"/>
      </w:pPr>
    </w:p>
    <w:p w:rsidR="00AC3F87" w:rsidRPr="003A4771" w:rsidRDefault="00AC3F87" w:rsidP="00AC3F87">
      <w:pPr>
        <w:spacing w:line="240" w:lineRule="auto"/>
        <w:ind w:left="720"/>
        <w:rPr>
          <w:rFonts w:ascii="Times New Roman" w:hAnsi="Times New Roman"/>
          <w:sz w:val="24"/>
          <w:szCs w:val="24"/>
        </w:rPr>
      </w:pPr>
      <w:r w:rsidRPr="003A4771">
        <w:rPr>
          <w:rFonts w:ascii="Times New Roman" w:hAnsi="Times New Roman"/>
          <w:sz w:val="24"/>
          <w:szCs w:val="24"/>
        </w:rPr>
        <w:t xml:space="preserve">► </w:t>
      </w:r>
      <w:r>
        <w:rPr>
          <w:rFonts w:ascii="Times New Roman" w:hAnsi="Times New Roman"/>
          <w:b/>
          <w:sz w:val="24"/>
          <w:szCs w:val="24"/>
        </w:rPr>
        <w:t>2016</w:t>
      </w:r>
      <w:r w:rsidRPr="003A4771">
        <w:rPr>
          <w:rFonts w:ascii="Times New Roman" w:hAnsi="Times New Roman"/>
          <w:b/>
          <w:sz w:val="24"/>
          <w:szCs w:val="24"/>
        </w:rPr>
        <w:t xml:space="preserve"> COABE Virtual Conference</w:t>
      </w:r>
      <w:r w:rsidRPr="003A4771">
        <w:rPr>
          <w:rFonts w:ascii="Times New Roman" w:hAnsi="Times New Roman"/>
          <w:sz w:val="24"/>
          <w:szCs w:val="24"/>
        </w:rPr>
        <w:t xml:space="preserve"> – IAACE partnered with COABE to offer members the opport</w:t>
      </w:r>
      <w:r>
        <w:rPr>
          <w:rFonts w:ascii="Times New Roman" w:hAnsi="Times New Roman"/>
          <w:sz w:val="24"/>
          <w:szCs w:val="24"/>
        </w:rPr>
        <w:t>unity to participate in the 2016</w:t>
      </w:r>
      <w:r w:rsidRPr="003A4771">
        <w:rPr>
          <w:rFonts w:ascii="Times New Roman" w:hAnsi="Times New Roman"/>
          <w:sz w:val="24"/>
          <w:szCs w:val="24"/>
        </w:rPr>
        <w:t xml:space="preserve"> COABE Virtual Conference. The virtual conference was </w:t>
      </w:r>
      <w:r w:rsidRPr="003A4771">
        <w:rPr>
          <w:rFonts w:ascii="Times New Roman" w:hAnsi="Times New Roman"/>
          <w:sz w:val="24"/>
          <w:szCs w:val="24"/>
        </w:rPr>
        <w:lastRenderedPageBreak/>
        <w:t xml:space="preserve">held October </w:t>
      </w:r>
      <w:r>
        <w:rPr>
          <w:rFonts w:ascii="Times New Roman" w:hAnsi="Times New Roman"/>
          <w:sz w:val="24"/>
          <w:szCs w:val="24"/>
        </w:rPr>
        <w:t>2016;</w:t>
      </w:r>
      <w:r w:rsidRPr="003A4771">
        <w:rPr>
          <w:rFonts w:ascii="Times New Roman" w:hAnsi="Times New Roman"/>
          <w:sz w:val="24"/>
          <w:szCs w:val="24"/>
        </w:rPr>
        <w:t xml:space="preserve"> however</w:t>
      </w:r>
      <w:r>
        <w:rPr>
          <w:rFonts w:ascii="Times New Roman" w:hAnsi="Times New Roman"/>
          <w:sz w:val="24"/>
          <w:szCs w:val="24"/>
        </w:rPr>
        <w:t>,</w:t>
      </w:r>
      <w:r w:rsidRPr="003A4771">
        <w:rPr>
          <w:rFonts w:ascii="Times New Roman" w:hAnsi="Times New Roman"/>
          <w:sz w:val="24"/>
          <w:szCs w:val="24"/>
        </w:rPr>
        <w:t xml:space="preserve"> IAACE members had access to th</w:t>
      </w:r>
      <w:r>
        <w:rPr>
          <w:rFonts w:ascii="Times New Roman" w:hAnsi="Times New Roman"/>
          <w:sz w:val="24"/>
          <w:szCs w:val="24"/>
        </w:rPr>
        <w:t xml:space="preserve">e recorded sessions for six </w:t>
      </w:r>
      <w:r w:rsidRPr="003A4771">
        <w:rPr>
          <w:rFonts w:ascii="Times New Roman" w:hAnsi="Times New Roman"/>
          <w:sz w:val="24"/>
          <w:szCs w:val="24"/>
        </w:rPr>
        <w:t xml:space="preserve">months. </w:t>
      </w:r>
    </w:p>
    <w:p w:rsidR="00AC3F87" w:rsidRPr="003A4771" w:rsidRDefault="00AC3F87" w:rsidP="00AC3F87">
      <w:pPr>
        <w:spacing w:line="240" w:lineRule="auto"/>
        <w:ind w:left="720"/>
        <w:rPr>
          <w:rFonts w:ascii="Times New Roman" w:hAnsi="Times New Roman"/>
          <w:sz w:val="24"/>
          <w:szCs w:val="24"/>
        </w:rPr>
      </w:pPr>
      <w:r>
        <w:rPr>
          <w:rFonts w:ascii="Times New Roman" w:hAnsi="Times New Roman"/>
          <w:sz w:val="24"/>
          <w:szCs w:val="24"/>
        </w:rPr>
        <w:t xml:space="preserve">IAACE </w:t>
      </w:r>
      <w:r w:rsidRPr="003A4771">
        <w:rPr>
          <w:rFonts w:ascii="Times New Roman" w:hAnsi="Times New Roman"/>
          <w:sz w:val="24"/>
          <w:szCs w:val="24"/>
        </w:rPr>
        <w:t xml:space="preserve">also partnered with DWD to offer professional development credit for those who participated. To be eligible for professional development credit, attendees were required </w:t>
      </w:r>
      <w:r>
        <w:rPr>
          <w:rFonts w:ascii="Times New Roman" w:hAnsi="Times New Roman"/>
          <w:sz w:val="24"/>
          <w:szCs w:val="24"/>
        </w:rPr>
        <w:t xml:space="preserve">to </w:t>
      </w:r>
      <w:r w:rsidRPr="003A4771">
        <w:rPr>
          <w:rFonts w:ascii="Times New Roman" w:hAnsi="Times New Roman"/>
          <w:sz w:val="24"/>
          <w:szCs w:val="24"/>
        </w:rPr>
        <w:t>view at least 10 of the 15 sessions listed, choose one activity or concept to implement in the classroom/program</w:t>
      </w:r>
      <w:r>
        <w:rPr>
          <w:rFonts w:ascii="Times New Roman" w:hAnsi="Times New Roman"/>
          <w:sz w:val="24"/>
          <w:szCs w:val="24"/>
        </w:rPr>
        <w:t>, and discuss the impact based on the following questions.</w:t>
      </w:r>
    </w:p>
    <w:p w:rsidR="00AC3F87" w:rsidRPr="003A4771" w:rsidRDefault="00AC3F87" w:rsidP="00AC3F87">
      <w:pPr>
        <w:spacing w:after="0" w:line="240" w:lineRule="auto"/>
        <w:ind w:left="720"/>
        <w:rPr>
          <w:rFonts w:ascii="Times New Roman" w:eastAsia="Times New Roman" w:hAnsi="Times New Roman"/>
          <w:sz w:val="24"/>
          <w:szCs w:val="24"/>
        </w:rPr>
      </w:pPr>
      <w:r w:rsidRPr="003A4771">
        <w:rPr>
          <w:rFonts w:ascii="Times New Roman" w:hAnsi="Times New Roman"/>
          <w:sz w:val="24"/>
          <w:szCs w:val="24"/>
        </w:rPr>
        <w:t xml:space="preserve">(1) </w:t>
      </w:r>
      <w:r>
        <w:rPr>
          <w:rFonts w:ascii="Times New Roman" w:eastAsia="Times New Roman" w:hAnsi="Times New Roman"/>
          <w:sz w:val="24"/>
          <w:szCs w:val="24"/>
        </w:rPr>
        <w:t>What were the specific details of the strategy and how w</w:t>
      </w:r>
      <w:r w:rsidRPr="003A4771">
        <w:rPr>
          <w:rFonts w:ascii="Times New Roman" w:eastAsia="Times New Roman" w:hAnsi="Times New Roman"/>
          <w:sz w:val="24"/>
          <w:szCs w:val="24"/>
        </w:rPr>
        <w:t xml:space="preserve">as </w:t>
      </w:r>
      <w:r>
        <w:rPr>
          <w:rFonts w:ascii="Times New Roman" w:eastAsia="Times New Roman" w:hAnsi="Times New Roman"/>
          <w:sz w:val="24"/>
          <w:szCs w:val="24"/>
        </w:rPr>
        <w:t>it implemented?</w:t>
      </w:r>
    </w:p>
    <w:p w:rsidR="00AC3F87" w:rsidRPr="003A4771" w:rsidRDefault="00AC3F87" w:rsidP="00AC3F87">
      <w:pPr>
        <w:spacing w:after="0" w:line="240" w:lineRule="auto"/>
        <w:ind w:left="720"/>
        <w:rPr>
          <w:rFonts w:ascii="Times New Roman" w:eastAsia="Times New Roman" w:hAnsi="Times New Roman"/>
          <w:sz w:val="24"/>
          <w:szCs w:val="24"/>
        </w:rPr>
      </w:pPr>
      <w:r w:rsidRPr="003A4771">
        <w:rPr>
          <w:rFonts w:ascii="Times New Roman" w:eastAsia="Times New Roman" w:hAnsi="Times New Roman"/>
          <w:sz w:val="24"/>
          <w:szCs w:val="24"/>
        </w:rPr>
        <w:t xml:space="preserve">(2) How successful was the implementation of the strategy? </w:t>
      </w:r>
    </w:p>
    <w:p w:rsidR="00AC3F87" w:rsidRDefault="00AC3F87" w:rsidP="00AC3F87">
      <w:pPr>
        <w:spacing w:after="0" w:line="240" w:lineRule="auto"/>
        <w:ind w:left="720"/>
        <w:rPr>
          <w:rFonts w:ascii="Times New Roman" w:eastAsia="Times New Roman" w:hAnsi="Times New Roman"/>
          <w:sz w:val="24"/>
          <w:szCs w:val="24"/>
        </w:rPr>
      </w:pPr>
      <w:r w:rsidRPr="003A4771">
        <w:rPr>
          <w:rFonts w:ascii="Times New Roman" w:eastAsia="Times New Roman" w:hAnsi="Times New Roman"/>
          <w:sz w:val="24"/>
          <w:szCs w:val="24"/>
        </w:rPr>
        <w:t xml:space="preserve">(3) What impact has it had on the program and/or classroom? </w:t>
      </w:r>
    </w:p>
    <w:p w:rsidR="00AC3F87" w:rsidRPr="003A4771" w:rsidRDefault="00AC3F87" w:rsidP="00AC3F87">
      <w:pPr>
        <w:spacing w:after="0" w:line="240" w:lineRule="auto"/>
        <w:ind w:left="720"/>
        <w:rPr>
          <w:rFonts w:ascii="Times New Roman" w:eastAsia="Times New Roman" w:hAnsi="Times New Roman"/>
          <w:sz w:val="24"/>
          <w:szCs w:val="24"/>
        </w:rPr>
      </w:pPr>
      <w:r w:rsidRPr="003A4771">
        <w:rPr>
          <w:rFonts w:ascii="Times New Roman" w:eastAsia="Times New Roman" w:hAnsi="Times New Roman"/>
          <w:sz w:val="24"/>
          <w:szCs w:val="24"/>
        </w:rPr>
        <w:t xml:space="preserve">(4) How has it impacted performance measures? </w:t>
      </w:r>
    </w:p>
    <w:p w:rsidR="00AC3F87" w:rsidRDefault="00AC3F87" w:rsidP="00AC3F87">
      <w:pPr>
        <w:spacing w:after="0" w:line="240" w:lineRule="auto"/>
        <w:ind w:left="720"/>
        <w:rPr>
          <w:rFonts w:ascii="Times New Roman" w:eastAsia="Times New Roman" w:hAnsi="Times New Roman"/>
          <w:sz w:val="24"/>
          <w:szCs w:val="24"/>
        </w:rPr>
      </w:pPr>
      <w:r w:rsidRPr="003A4771">
        <w:rPr>
          <w:rFonts w:ascii="Times New Roman" w:eastAsia="Times New Roman" w:hAnsi="Times New Roman"/>
          <w:sz w:val="24"/>
          <w:szCs w:val="24"/>
        </w:rPr>
        <w:t>(5) In reflecting on the implementation of the strategy, what changes have occurred in the program and/or classroom?</w:t>
      </w:r>
    </w:p>
    <w:p w:rsidR="00D64688" w:rsidRDefault="00D64688" w:rsidP="00D64688">
      <w:pPr>
        <w:pStyle w:val="ListParagraph"/>
        <w:rPr>
          <w:rFonts w:ascii="Times New Roman" w:hAnsi="Times New Roman"/>
          <w:b/>
          <w:sz w:val="24"/>
          <w:szCs w:val="24"/>
        </w:rPr>
      </w:pPr>
    </w:p>
    <w:p w:rsidR="00AC3F87" w:rsidRPr="005E1F2B" w:rsidRDefault="00AC3F87" w:rsidP="005E1F2B">
      <w:pPr>
        <w:pStyle w:val="ListParagraph"/>
        <w:numPr>
          <w:ilvl w:val="0"/>
          <w:numId w:val="34"/>
        </w:numPr>
        <w:rPr>
          <w:rFonts w:ascii="Times New Roman" w:hAnsi="Times New Roman"/>
          <w:b/>
          <w:sz w:val="24"/>
          <w:szCs w:val="24"/>
        </w:rPr>
      </w:pPr>
      <w:r w:rsidRPr="005E1F2B">
        <w:rPr>
          <w:rFonts w:ascii="Times New Roman" w:hAnsi="Times New Roman"/>
          <w:b/>
          <w:sz w:val="24"/>
          <w:szCs w:val="24"/>
        </w:rPr>
        <w:t>Provision of technical assistance to funded eligible providers as described in section 223(1)(c).</w:t>
      </w:r>
    </w:p>
    <w:p w:rsidR="00AC3F87" w:rsidRDefault="00AC3F87" w:rsidP="00AC3F87">
      <w:pPr>
        <w:pStyle w:val="NoSpacing"/>
        <w:ind w:left="720"/>
      </w:pPr>
      <w:r w:rsidRPr="003A4771">
        <w:t>Indiana continues to utilize six regional AEC</w:t>
      </w:r>
      <w:r>
        <w:t>s</w:t>
      </w:r>
      <w:r w:rsidRPr="003A4771">
        <w:t xml:space="preserve"> to provide technical assistance and professional development to local program providers. AECs assist with the development of local program professional development plans, and are a liaison between eligible providers and WIOA partners. AECs interpret performance data for local programs and determine areas for </w:t>
      </w:r>
      <w:r>
        <w:t xml:space="preserve">improvement with significant input from the professional development team. </w:t>
      </w:r>
    </w:p>
    <w:p w:rsidR="00AC3F87" w:rsidRDefault="00AC3F87" w:rsidP="00AC3F87">
      <w:pPr>
        <w:pStyle w:val="NoSpacing"/>
        <w:ind w:left="720"/>
      </w:pPr>
    </w:p>
    <w:p w:rsidR="00AC3F87" w:rsidRPr="005860D7" w:rsidRDefault="00AC3F87" w:rsidP="005E1F2B">
      <w:pPr>
        <w:pStyle w:val="NoSpacing"/>
        <w:numPr>
          <w:ilvl w:val="0"/>
          <w:numId w:val="34"/>
        </w:numPr>
        <w:rPr>
          <w:b/>
        </w:rPr>
      </w:pPr>
      <w:r w:rsidRPr="005860D7">
        <w:rPr>
          <w:b/>
        </w:rPr>
        <w:t>Monitoring and evaluation of the quality and improvement of adult education activities as described in section 223(1)(d).</w:t>
      </w:r>
    </w:p>
    <w:p w:rsidR="00AC3F87" w:rsidRPr="003A4771" w:rsidRDefault="00AC3F87" w:rsidP="00AC3F87">
      <w:pPr>
        <w:pStyle w:val="NoSpacing"/>
        <w:ind w:left="720"/>
        <w:rPr>
          <w:highlight w:val="yellow"/>
        </w:rPr>
      </w:pPr>
    </w:p>
    <w:p w:rsidR="00AC3F87" w:rsidRDefault="00AC3F87" w:rsidP="00AC3F87">
      <w:pPr>
        <w:pStyle w:val="Default"/>
        <w:ind w:left="720"/>
        <w:rPr>
          <w:rFonts w:ascii="Times New Roman" w:hAnsi="Times New Roman" w:cs="Times New Roman"/>
        </w:rPr>
      </w:pPr>
      <w:r>
        <w:rPr>
          <w:rFonts w:ascii="Times New Roman" w:hAnsi="Times New Roman" w:cs="Times New Roman"/>
        </w:rPr>
        <w:t>In order to monitor and evaluate the quality of adult education activities, p</w:t>
      </w:r>
      <w:r w:rsidRPr="00A459DA">
        <w:rPr>
          <w:rFonts w:ascii="Times New Roman" w:hAnsi="Times New Roman" w:cs="Times New Roman"/>
        </w:rPr>
        <w:t xml:space="preserve">rogram management, fiscal management, </w:t>
      </w:r>
      <w:r>
        <w:rPr>
          <w:rFonts w:ascii="Times New Roman" w:hAnsi="Times New Roman" w:cs="Times New Roman"/>
        </w:rPr>
        <w:t xml:space="preserve">data management, and </w:t>
      </w:r>
      <w:r w:rsidRPr="00A459DA">
        <w:rPr>
          <w:rFonts w:ascii="Times New Roman" w:hAnsi="Times New Roman" w:cs="Times New Roman"/>
        </w:rPr>
        <w:t>performance measures</w:t>
      </w:r>
      <w:r>
        <w:rPr>
          <w:rFonts w:ascii="Times New Roman" w:hAnsi="Times New Roman" w:cs="Times New Roman"/>
        </w:rPr>
        <w:t xml:space="preserve"> are continuously assessed. Informal monitoring, desk audits, data checks, and program visits were conducted by state central office staff, AECs, and the InTERS data team. Ongoing technical assistance and professional development were provided as required. Likewise, a</w:t>
      </w:r>
      <w:r w:rsidRPr="00531BA9">
        <w:rPr>
          <w:rFonts w:ascii="Times New Roman" w:hAnsi="Times New Roman" w:cs="Times New Roman"/>
        </w:rPr>
        <w:t xml:space="preserve"> </w:t>
      </w:r>
      <w:r>
        <w:rPr>
          <w:rFonts w:ascii="Times New Roman" w:hAnsi="Times New Roman" w:cs="Times New Roman"/>
        </w:rPr>
        <w:t xml:space="preserve">comprehensive </w:t>
      </w:r>
      <w:r w:rsidRPr="00531BA9">
        <w:rPr>
          <w:rFonts w:ascii="Times New Roman" w:hAnsi="Times New Roman" w:cs="Times New Roman"/>
        </w:rPr>
        <w:t>risk assess</w:t>
      </w:r>
      <w:r>
        <w:rPr>
          <w:rFonts w:ascii="Times New Roman" w:hAnsi="Times New Roman" w:cs="Times New Roman"/>
        </w:rPr>
        <w:t xml:space="preserve">ment was performed </w:t>
      </w:r>
      <w:r w:rsidRPr="00531BA9">
        <w:rPr>
          <w:rFonts w:ascii="Times New Roman" w:hAnsi="Times New Roman" w:cs="Times New Roman"/>
        </w:rPr>
        <w:t xml:space="preserve">on all </w:t>
      </w:r>
      <w:r>
        <w:rPr>
          <w:rFonts w:ascii="Times New Roman" w:hAnsi="Times New Roman" w:cs="Times New Roman"/>
        </w:rPr>
        <w:t xml:space="preserve">successful </w:t>
      </w:r>
      <w:r w:rsidRPr="00531BA9">
        <w:rPr>
          <w:rFonts w:ascii="Times New Roman" w:hAnsi="Times New Roman" w:cs="Times New Roman"/>
        </w:rPr>
        <w:t xml:space="preserve">grantees from the </w:t>
      </w:r>
      <w:r w:rsidRPr="00531BA9">
        <w:rPr>
          <w:rFonts w:ascii="Times New Roman" w:hAnsi="Times New Roman" w:cs="Times New Roman"/>
          <w:b/>
          <w:bCs/>
        </w:rPr>
        <w:t xml:space="preserve">2017-2018 Adult Education Grant Competitive Application </w:t>
      </w:r>
      <w:r w:rsidRPr="00246744">
        <w:rPr>
          <w:rFonts w:ascii="Times New Roman" w:hAnsi="Times New Roman" w:cs="Times New Roman"/>
          <w:b/>
          <w:bCs/>
        </w:rPr>
        <w:t xml:space="preserve">(Request for Application) </w:t>
      </w:r>
      <w:r w:rsidRPr="00246744">
        <w:rPr>
          <w:rFonts w:ascii="Times New Roman" w:hAnsi="Times New Roman" w:cs="Times New Roman"/>
        </w:rPr>
        <w:t xml:space="preserve">and  </w:t>
      </w:r>
      <w:r w:rsidRPr="00246744">
        <w:rPr>
          <w:rFonts w:ascii="Times New Roman" w:hAnsi="Times New Roman" w:cs="Times New Roman"/>
          <w:b/>
          <w:bCs/>
        </w:rPr>
        <w:t>2017-2018 Integrated English Literacy &amp; Civics Education Competitive Application (Request for Application)</w:t>
      </w:r>
      <w:r>
        <w:rPr>
          <w:rFonts w:ascii="Times New Roman" w:hAnsi="Times New Roman" w:cs="Times New Roman"/>
          <w:b/>
          <w:bCs/>
        </w:rPr>
        <w:t>.</w:t>
      </w:r>
      <w:r w:rsidRPr="00246744">
        <w:rPr>
          <w:rFonts w:ascii="Times New Roman" w:hAnsi="Times New Roman" w:cs="Times New Roman"/>
          <w:b/>
          <w:bCs/>
        </w:rPr>
        <w:t xml:space="preserve"> </w:t>
      </w:r>
      <w:r w:rsidRPr="00A459DA">
        <w:rPr>
          <w:rFonts w:ascii="Times New Roman" w:hAnsi="Times New Roman" w:cs="Times New Roman"/>
        </w:rPr>
        <w:t xml:space="preserve">Ongoing technical assistance </w:t>
      </w:r>
      <w:r>
        <w:rPr>
          <w:rFonts w:ascii="Times New Roman" w:hAnsi="Times New Roman" w:cs="Times New Roman"/>
        </w:rPr>
        <w:t xml:space="preserve">and professional development will be provided in 2017-2018 based on </w:t>
      </w:r>
      <w:bookmarkStart w:id="1" w:name="_GoBack"/>
      <w:bookmarkEnd w:id="1"/>
      <w:r w:rsidRPr="00A459DA">
        <w:rPr>
          <w:rFonts w:ascii="Times New Roman" w:hAnsi="Times New Roman" w:cs="Times New Roman"/>
        </w:rPr>
        <w:t>models of proven a</w:t>
      </w:r>
      <w:r>
        <w:rPr>
          <w:rFonts w:ascii="Times New Roman" w:hAnsi="Times New Roman" w:cs="Times New Roman"/>
        </w:rPr>
        <w:t>nd promising practices.</w:t>
      </w:r>
    </w:p>
    <w:p w:rsidR="00AC3F87" w:rsidRDefault="00AC3F87" w:rsidP="00AC3F87">
      <w:pPr>
        <w:pStyle w:val="Default"/>
        <w:ind w:left="720"/>
        <w:rPr>
          <w:rFonts w:ascii="Times New Roman" w:hAnsi="Times New Roman" w:cs="Times New Roman"/>
        </w:rPr>
      </w:pPr>
    </w:p>
    <w:p w:rsidR="00AC3F87" w:rsidRPr="003A4771" w:rsidRDefault="00AC3F87" w:rsidP="00AC3F87">
      <w:pPr>
        <w:pStyle w:val="Default"/>
        <w:ind w:left="720"/>
        <w:rPr>
          <w:rFonts w:ascii="Times New Roman" w:hAnsi="Times New Roman" w:cs="Times New Roman"/>
        </w:rPr>
      </w:pPr>
      <w:r>
        <w:rPr>
          <w:rFonts w:ascii="Times New Roman" w:hAnsi="Times New Roman" w:cs="Times New Roman"/>
        </w:rPr>
        <w:t>Elements of the risk assessment included key questions.</w:t>
      </w:r>
    </w:p>
    <w:p w:rsidR="00AC3F87" w:rsidRPr="006B5572" w:rsidRDefault="00AC3F87" w:rsidP="00AC3F87">
      <w:pPr>
        <w:pStyle w:val="NoSpacing"/>
        <w:numPr>
          <w:ilvl w:val="0"/>
          <w:numId w:val="38"/>
        </w:numPr>
        <w:rPr>
          <w:sz w:val="22"/>
          <w:szCs w:val="22"/>
        </w:rPr>
      </w:pPr>
      <w:r w:rsidRPr="006B5572">
        <w:rPr>
          <w:color w:val="000000"/>
          <w:sz w:val="22"/>
          <w:szCs w:val="22"/>
        </w:rPr>
        <w:t>Is the organization being awarded funds by the D</w:t>
      </w:r>
      <w:r>
        <w:rPr>
          <w:color w:val="000000"/>
          <w:sz w:val="22"/>
          <w:szCs w:val="22"/>
        </w:rPr>
        <w:t>WD</w:t>
      </w:r>
      <w:r w:rsidRPr="006B5572">
        <w:rPr>
          <w:color w:val="000000"/>
          <w:sz w:val="22"/>
          <w:szCs w:val="22"/>
        </w:rPr>
        <w:t xml:space="preserve"> for the first time?</w:t>
      </w:r>
    </w:p>
    <w:p w:rsidR="00AC3F87" w:rsidRPr="006B5572" w:rsidRDefault="00AC3F87" w:rsidP="00AC3F87">
      <w:pPr>
        <w:pStyle w:val="NoSpacing"/>
        <w:numPr>
          <w:ilvl w:val="0"/>
          <w:numId w:val="38"/>
        </w:numPr>
        <w:rPr>
          <w:color w:val="000000"/>
          <w:sz w:val="22"/>
          <w:szCs w:val="22"/>
        </w:rPr>
      </w:pPr>
      <w:r w:rsidRPr="006B5572">
        <w:rPr>
          <w:color w:val="000000"/>
          <w:sz w:val="22"/>
          <w:szCs w:val="22"/>
        </w:rPr>
        <w:t>Does the organization have a limited history of managing grant history?</w:t>
      </w:r>
    </w:p>
    <w:p w:rsidR="00AC3F87" w:rsidRPr="006B5572" w:rsidRDefault="00AC3F87" w:rsidP="00AC3F87">
      <w:pPr>
        <w:pStyle w:val="ListParagraph"/>
        <w:numPr>
          <w:ilvl w:val="0"/>
          <w:numId w:val="38"/>
        </w:numPr>
        <w:contextualSpacing/>
        <w:rPr>
          <w:rFonts w:ascii="Times New Roman" w:eastAsia="Times New Roman" w:hAnsi="Times New Roman"/>
          <w:color w:val="000000"/>
        </w:rPr>
      </w:pPr>
      <w:r w:rsidRPr="006B5572">
        <w:rPr>
          <w:rFonts w:ascii="Times New Roman" w:eastAsia="Times New Roman" w:hAnsi="Times New Roman"/>
          <w:color w:val="000000"/>
        </w:rPr>
        <w:t>Does the organization have administrative leadership with less than three years in adult education?</w:t>
      </w:r>
    </w:p>
    <w:p w:rsidR="00AC3F87" w:rsidRPr="006B5572" w:rsidRDefault="00AC3F87" w:rsidP="00AC3F87">
      <w:pPr>
        <w:pStyle w:val="ListParagraph"/>
        <w:numPr>
          <w:ilvl w:val="0"/>
          <w:numId w:val="38"/>
        </w:numPr>
        <w:contextualSpacing/>
        <w:rPr>
          <w:rFonts w:ascii="Times New Roman" w:eastAsia="Times New Roman" w:hAnsi="Times New Roman"/>
          <w:color w:val="000000"/>
        </w:rPr>
      </w:pPr>
      <w:r w:rsidRPr="006B5572">
        <w:rPr>
          <w:rFonts w:ascii="Times New Roman" w:eastAsia="Times New Roman" w:hAnsi="Times New Roman"/>
          <w:color w:val="000000"/>
        </w:rPr>
        <w:t>Are there significant gaps in the organization's submitted itemized budget?</w:t>
      </w:r>
    </w:p>
    <w:p w:rsidR="00AC3F87" w:rsidRPr="006B5572" w:rsidRDefault="00AC3F87" w:rsidP="00AC3F87">
      <w:pPr>
        <w:pStyle w:val="ListParagraph"/>
        <w:numPr>
          <w:ilvl w:val="0"/>
          <w:numId w:val="38"/>
        </w:numPr>
        <w:contextualSpacing/>
        <w:rPr>
          <w:rFonts w:ascii="Times New Roman" w:eastAsia="Times New Roman" w:hAnsi="Times New Roman"/>
          <w:color w:val="000000"/>
        </w:rPr>
      </w:pPr>
      <w:r w:rsidRPr="006B5572">
        <w:rPr>
          <w:rFonts w:ascii="Times New Roman" w:eastAsia="Times New Roman" w:hAnsi="Times New Roman"/>
          <w:color w:val="000000"/>
        </w:rPr>
        <w:t xml:space="preserve">Does the organization's budget fail to include maintenance of effort?  </w:t>
      </w:r>
    </w:p>
    <w:p w:rsidR="00AC3F87" w:rsidRPr="006B5572" w:rsidRDefault="00AC3F87" w:rsidP="00AC3F87">
      <w:pPr>
        <w:pStyle w:val="ListParagraph"/>
        <w:numPr>
          <w:ilvl w:val="0"/>
          <w:numId w:val="38"/>
        </w:numPr>
        <w:contextualSpacing/>
        <w:rPr>
          <w:rFonts w:ascii="Times New Roman" w:eastAsia="Times New Roman" w:hAnsi="Times New Roman"/>
          <w:color w:val="000000"/>
        </w:rPr>
      </w:pPr>
      <w:r w:rsidRPr="006B5572">
        <w:rPr>
          <w:rFonts w:ascii="Times New Roman" w:eastAsia="Times New Roman" w:hAnsi="Times New Roman"/>
          <w:color w:val="000000"/>
        </w:rPr>
        <w:t>Are one-stop partners missing from the organization's plan?</w:t>
      </w:r>
    </w:p>
    <w:p w:rsidR="00AC3F87" w:rsidRPr="006B5572" w:rsidRDefault="00AC3F87" w:rsidP="00AC3F87">
      <w:pPr>
        <w:pStyle w:val="ListParagraph"/>
        <w:numPr>
          <w:ilvl w:val="0"/>
          <w:numId w:val="38"/>
        </w:numPr>
        <w:contextualSpacing/>
        <w:rPr>
          <w:rFonts w:ascii="Times New Roman" w:eastAsia="Times New Roman" w:hAnsi="Times New Roman"/>
          <w:color w:val="000000"/>
        </w:rPr>
      </w:pPr>
      <w:r w:rsidRPr="006B5572">
        <w:rPr>
          <w:rFonts w:ascii="Times New Roman" w:eastAsia="Times New Roman" w:hAnsi="Times New Roman"/>
          <w:color w:val="000000"/>
        </w:rPr>
        <w:t>Are supportive services by partners missing from the organization's plan?</w:t>
      </w:r>
    </w:p>
    <w:p w:rsidR="00AC3F87" w:rsidRPr="00F55F5D" w:rsidRDefault="00847EA0" w:rsidP="00AC3F87">
      <w:pPr>
        <w:pStyle w:val="ListParagraph"/>
        <w:numPr>
          <w:ilvl w:val="0"/>
          <w:numId w:val="38"/>
        </w:numPr>
        <w:contextualSpacing/>
        <w:rPr>
          <w:rFonts w:ascii="Times New Roman" w:eastAsia="Times New Roman" w:hAnsi="Times New Roman"/>
          <w:color w:val="000000"/>
        </w:rPr>
      </w:pPr>
      <w:r w:rsidRPr="00F55F5D">
        <w:rPr>
          <w:rFonts w:ascii="Times New Roman" w:eastAsia="Times New Roman" w:hAnsi="Times New Roman"/>
          <w:color w:val="000000"/>
        </w:rPr>
        <w:t>Does the organization contract for services</w:t>
      </w:r>
      <w:r w:rsidR="00AC3F87" w:rsidRPr="00F55F5D">
        <w:rPr>
          <w:rFonts w:ascii="Times New Roman" w:eastAsia="Times New Roman" w:hAnsi="Times New Roman"/>
          <w:color w:val="000000"/>
        </w:rPr>
        <w:t>?</w:t>
      </w:r>
    </w:p>
    <w:p w:rsidR="00AC3F87" w:rsidRPr="006B5572" w:rsidRDefault="00AC3F87" w:rsidP="00AC3F87">
      <w:pPr>
        <w:pStyle w:val="ListParagraph"/>
        <w:numPr>
          <w:ilvl w:val="0"/>
          <w:numId w:val="38"/>
        </w:numPr>
        <w:contextualSpacing/>
        <w:rPr>
          <w:rFonts w:ascii="Times New Roman" w:eastAsia="Times New Roman" w:hAnsi="Times New Roman"/>
          <w:color w:val="000000"/>
        </w:rPr>
      </w:pPr>
      <w:r w:rsidRPr="006B5572">
        <w:rPr>
          <w:rFonts w:ascii="Times New Roman" w:eastAsia="Times New Roman" w:hAnsi="Times New Roman"/>
          <w:color w:val="000000"/>
        </w:rPr>
        <w:t xml:space="preserve">Has there been audit or monitoring findings within the last three years?  </w:t>
      </w:r>
    </w:p>
    <w:p w:rsidR="00AC3F87" w:rsidRPr="00242AE1" w:rsidRDefault="00AC3F87" w:rsidP="00AC3F87">
      <w:pPr>
        <w:pStyle w:val="ListParagraph"/>
        <w:numPr>
          <w:ilvl w:val="0"/>
          <w:numId w:val="38"/>
        </w:numPr>
        <w:contextualSpacing/>
        <w:rPr>
          <w:rFonts w:ascii="Times New Roman" w:eastAsia="Times New Roman" w:hAnsi="Times New Roman"/>
          <w:color w:val="000000"/>
        </w:rPr>
      </w:pPr>
      <w:r w:rsidRPr="00242AE1">
        <w:rPr>
          <w:rFonts w:ascii="Times New Roman" w:eastAsia="Times New Roman" w:hAnsi="Times New Roman"/>
          <w:color w:val="000000"/>
        </w:rPr>
        <w:t xml:space="preserve">Does the organization's performance data fail to show demonstrated effectiveness in providing adult education and literacy activities with respect to – Academic skill gains (reading, writing, </w:t>
      </w:r>
      <w:r w:rsidRPr="00242AE1">
        <w:rPr>
          <w:rFonts w:ascii="Times New Roman" w:eastAsia="Times New Roman" w:hAnsi="Times New Roman"/>
          <w:color w:val="000000"/>
        </w:rPr>
        <w:lastRenderedPageBreak/>
        <w:t xml:space="preserve">mathematics, or English language acquisition skills), employment outcomes, family literacy, attainment of secondary school diploma or its equivalent, entry into postsecondary, and workforce training? </w:t>
      </w:r>
    </w:p>
    <w:p w:rsidR="009F665E" w:rsidRPr="00242AE1" w:rsidRDefault="009F665E" w:rsidP="005E1F2B">
      <w:pPr>
        <w:pStyle w:val="NoSpacing"/>
        <w:rPr>
          <w:b/>
        </w:rPr>
      </w:pPr>
    </w:p>
    <w:p w:rsidR="0039018C" w:rsidRPr="00242AE1" w:rsidRDefault="0039018C" w:rsidP="009B3DAD">
      <w:pPr>
        <w:pStyle w:val="NoSpacing"/>
      </w:pPr>
    </w:p>
    <w:p w:rsidR="00486109" w:rsidRPr="009B3DAD" w:rsidRDefault="00486109" w:rsidP="009B3DAD">
      <w:pPr>
        <w:pStyle w:val="NoSpacing"/>
        <w:rPr>
          <w:b/>
        </w:rPr>
      </w:pPr>
      <w:r w:rsidRPr="00242AE1">
        <w:rPr>
          <w:b/>
        </w:rPr>
        <w:t>Performance Data Analyses:</w:t>
      </w:r>
    </w:p>
    <w:p w:rsidR="00172E0E" w:rsidRDefault="00172E0E" w:rsidP="009B3DAD">
      <w:pPr>
        <w:pStyle w:val="NoSpacing"/>
        <w:rPr>
          <w:i/>
          <w:color w:val="000000"/>
        </w:rPr>
      </w:pPr>
      <w:r w:rsidRPr="009B3DAD">
        <w:rPr>
          <w:i/>
          <w:color w:val="000000"/>
        </w:rPr>
        <w:t>Describe any significant findings from the evaluation of your performance data for the reporting period and efforts to improve outcomes for the core indicators of performance.</w:t>
      </w:r>
    </w:p>
    <w:p w:rsidR="008D3279" w:rsidRPr="009B3DAD" w:rsidRDefault="008D3279" w:rsidP="009B3DAD">
      <w:pPr>
        <w:pStyle w:val="NoSpacing"/>
      </w:pPr>
    </w:p>
    <w:p w:rsidR="00CF5A35" w:rsidRPr="007D5436" w:rsidRDefault="00486109" w:rsidP="009B3DAD">
      <w:pPr>
        <w:spacing w:after="0" w:line="240" w:lineRule="auto"/>
        <w:rPr>
          <w:rFonts w:ascii="Times New Roman" w:hAnsi="Times New Roman"/>
          <w:bCs/>
          <w:i/>
          <w:sz w:val="24"/>
          <w:szCs w:val="24"/>
        </w:rPr>
      </w:pPr>
      <w:r w:rsidRPr="007D5436">
        <w:rPr>
          <w:rFonts w:ascii="Times New Roman" w:hAnsi="Times New Roman"/>
          <w:bCs/>
          <w:sz w:val="24"/>
          <w:szCs w:val="24"/>
        </w:rPr>
        <w:t>PY 2</w:t>
      </w:r>
      <w:r w:rsidR="00CD0D4E" w:rsidRPr="007D5436">
        <w:rPr>
          <w:rFonts w:ascii="Times New Roman" w:hAnsi="Times New Roman"/>
          <w:bCs/>
          <w:sz w:val="24"/>
          <w:szCs w:val="24"/>
        </w:rPr>
        <w:t>01</w:t>
      </w:r>
      <w:r w:rsidR="00D525D9">
        <w:rPr>
          <w:rFonts w:ascii="Times New Roman" w:hAnsi="Times New Roman"/>
          <w:bCs/>
          <w:sz w:val="24"/>
          <w:szCs w:val="24"/>
        </w:rPr>
        <w:t>6</w:t>
      </w:r>
      <w:r w:rsidR="000B028D" w:rsidRPr="007D5436">
        <w:rPr>
          <w:rFonts w:ascii="Times New Roman" w:hAnsi="Times New Roman"/>
          <w:bCs/>
          <w:sz w:val="24"/>
          <w:szCs w:val="24"/>
        </w:rPr>
        <w:t xml:space="preserve"> </w:t>
      </w:r>
      <w:r w:rsidR="0018750C" w:rsidRPr="007D5436">
        <w:rPr>
          <w:rFonts w:ascii="Times New Roman" w:hAnsi="Times New Roman"/>
          <w:bCs/>
          <w:sz w:val="24"/>
          <w:szCs w:val="24"/>
        </w:rPr>
        <w:t xml:space="preserve">Performance </w:t>
      </w:r>
      <w:r w:rsidR="000B028D" w:rsidRPr="007D5436">
        <w:rPr>
          <w:rFonts w:ascii="Times New Roman" w:hAnsi="Times New Roman"/>
          <w:bCs/>
          <w:sz w:val="24"/>
          <w:szCs w:val="24"/>
        </w:rPr>
        <w:t>Outcomes</w:t>
      </w:r>
    </w:p>
    <w:tbl>
      <w:tblPr>
        <w:tblStyle w:val="TableGrid"/>
        <w:tblW w:w="0" w:type="auto"/>
        <w:tblLook w:val="04A0" w:firstRow="1" w:lastRow="0" w:firstColumn="1" w:lastColumn="0" w:noHBand="0" w:noVBand="1"/>
      </w:tblPr>
      <w:tblGrid>
        <w:gridCol w:w="1808"/>
        <w:gridCol w:w="8262"/>
      </w:tblGrid>
      <w:tr w:rsidR="00B13F77" w:rsidRPr="007D5436" w:rsidTr="004117C5">
        <w:tc>
          <w:tcPr>
            <w:tcW w:w="1818" w:type="dxa"/>
            <w:vAlign w:val="center"/>
          </w:tcPr>
          <w:p w:rsidR="00B13F77" w:rsidRPr="007D5436" w:rsidRDefault="00D525D9" w:rsidP="009654E8">
            <w:pPr>
              <w:spacing w:after="0" w:line="240" w:lineRule="auto"/>
              <w:jc w:val="center"/>
              <w:rPr>
                <w:rFonts w:ascii="Times New Roman" w:hAnsi="Times New Roman"/>
                <w:bCs/>
                <w:sz w:val="48"/>
                <w:szCs w:val="48"/>
              </w:rPr>
            </w:pPr>
            <w:r>
              <w:rPr>
                <w:rFonts w:ascii="Times New Roman" w:hAnsi="Times New Roman"/>
                <w:bCs/>
                <w:sz w:val="48"/>
                <w:szCs w:val="48"/>
              </w:rPr>
              <w:t>26,993</w:t>
            </w:r>
          </w:p>
        </w:tc>
        <w:tc>
          <w:tcPr>
            <w:tcW w:w="8478" w:type="dxa"/>
          </w:tcPr>
          <w:p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Student Enrollments</w:t>
            </w:r>
          </w:p>
          <w:p w:rsidR="00B13F77" w:rsidRPr="007D5436" w:rsidRDefault="00D525D9" w:rsidP="009B3DAD">
            <w:pPr>
              <w:pStyle w:val="ListParagraph"/>
              <w:numPr>
                <w:ilvl w:val="0"/>
                <w:numId w:val="21"/>
              </w:numPr>
              <w:rPr>
                <w:rFonts w:ascii="Times New Roman" w:hAnsi="Times New Roman"/>
                <w:bCs/>
                <w:sz w:val="24"/>
                <w:szCs w:val="24"/>
              </w:rPr>
            </w:pPr>
            <w:r>
              <w:rPr>
                <w:rFonts w:ascii="Times New Roman" w:hAnsi="Times New Roman"/>
                <w:bCs/>
                <w:sz w:val="24"/>
                <w:szCs w:val="24"/>
              </w:rPr>
              <w:t>4% decrease from PY 15</w:t>
            </w:r>
          </w:p>
        </w:tc>
      </w:tr>
      <w:tr w:rsidR="00B13F77" w:rsidRPr="007D5436" w:rsidTr="004117C5">
        <w:tc>
          <w:tcPr>
            <w:tcW w:w="1818" w:type="dxa"/>
          </w:tcPr>
          <w:p w:rsidR="00187B99" w:rsidRPr="007D5436" w:rsidRDefault="00D525D9" w:rsidP="009654E8">
            <w:pPr>
              <w:spacing w:after="0" w:line="240" w:lineRule="auto"/>
              <w:jc w:val="center"/>
              <w:rPr>
                <w:rFonts w:ascii="Times New Roman" w:hAnsi="Times New Roman"/>
                <w:bCs/>
                <w:sz w:val="48"/>
                <w:szCs w:val="48"/>
              </w:rPr>
            </w:pPr>
            <w:r w:rsidRPr="00242AE1">
              <w:rPr>
                <w:rFonts w:ascii="Times New Roman" w:hAnsi="Times New Roman"/>
                <w:bCs/>
                <w:sz w:val="48"/>
                <w:szCs w:val="48"/>
              </w:rPr>
              <w:t>30,866</w:t>
            </w:r>
          </w:p>
        </w:tc>
        <w:tc>
          <w:tcPr>
            <w:tcW w:w="8478" w:type="dxa"/>
          </w:tcPr>
          <w:p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Level Gains (student may have achieved more than one gain)</w:t>
            </w:r>
          </w:p>
          <w:p w:rsidR="00B13F77" w:rsidRPr="007D5436" w:rsidRDefault="00B245D0" w:rsidP="009B3DAD">
            <w:pPr>
              <w:pStyle w:val="ListParagraph"/>
              <w:numPr>
                <w:ilvl w:val="0"/>
                <w:numId w:val="21"/>
              </w:numPr>
              <w:rPr>
                <w:rFonts w:ascii="Times New Roman" w:hAnsi="Times New Roman"/>
                <w:bCs/>
                <w:sz w:val="24"/>
                <w:szCs w:val="24"/>
              </w:rPr>
            </w:pPr>
            <w:r>
              <w:rPr>
                <w:rFonts w:ascii="Times New Roman" w:hAnsi="Times New Roman"/>
                <w:bCs/>
                <w:sz w:val="24"/>
                <w:szCs w:val="24"/>
              </w:rPr>
              <w:t>2</w:t>
            </w:r>
            <w:r w:rsidR="0085420C">
              <w:rPr>
                <w:rFonts w:ascii="Times New Roman" w:hAnsi="Times New Roman"/>
                <w:bCs/>
                <w:sz w:val="24"/>
                <w:szCs w:val="24"/>
              </w:rPr>
              <w:t>4</w:t>
            </w:r>
            <w:r w:rsidR="00ED0755" w:rsidRPr="007D5436">
              <w:rPr>
                <w:rFonts w:ascii="Times New Roman" w:hAnsi="Times New Roman"/>
                <w:bCs/>
                <w:sz w:val="24"/>
                <w:szCs w:val="24"/>
              </w:rPr>
              <w:t>%</w:t>
            </w:r>
            <w:r w:rsidR="0085420C">
              <w:rPr>
                <w:rFonts w:ascii="Times New Roman" w:hAnsi="Times New Roman"/>
                <w:bCs/>
                <w:sz w:val="24"/>
                <w:szCs w:val="24"/>
              </w:rPr>
              <w:t xml:space="preserve"> increase over PY 15</w:t>
            </w:r>
          </w:p>
        </w:tc>
      </w:tr>
      <w:tr w:rsidR="00B13F77" w:rsidRPr="007D5436" w:rsidTr="004117C5">
        <w:tc>
          <w:tcPr>
            <w:tcW w:w="1818" w:type="dxa"/>
          </w:tcPr>
          <w:p w:rsidR="00B13F77" w:rsidRPr="007D5436" w:rsidRDefault="0085420C" w:rsidP="009B3DAD">
            <w:pPr>
              <w:spacing w:after="0" w:line="240" w:lineRule="auto"/>
              <w:jc w:val="center"/>
              <w:rPr>
                <w:rFonts w:ascii="Times New Roman" w:hAnsi="Times New Roman"/>
                <w:bCs/>
                <w:sz w:val="48"/>
                <w:szCs w:val="48"/>
              </w:rPr>
            </w:pPr>
            <w:r>
              <w:rPr>
                <w:rFonts w:ascii="Times New Roman" w:hAnsi="Times New Roman"/>
                <w:bCs/>
                <w:sz w:val="48"/>
                <w:szCs w:val="48"/>
              </w:rPr>
              <w:t>4,870</w:t>
            </w:r>
          </w:p>
        </w:tc>
        <w:tc>
          <w:tcPr>
            <w:tcW w:w="8478" w:type="dxa"/>
          </w:tcPr>
          <w:p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HSEs and HS Diplomas Awarded</w:t>
            </w:r>
          </w:p>
          <w:p w:rsidR="00B13F77" w:rsidRPr="007D5436" w:rsidRDefault="0085420C" w:rsidP="009B3DAD">
            <w:pPr>
              <w:pStyle w:val="ListParagraph"/>
              <w:numPr>
                <w:ilvl w:val="0"/>
                <w:numId w:val="21"/>
              </w:numPr>
              <w:rPr>
                <w:rFonts w:ascii="Times New Roman" w:hAnsi="Times New Roman"/>
                <w:bCs/>
                <w:sz w:val="24"/>
                <w:szCs w:val="24"/>
              </w:rPr>
            </w:pPr>
            <w:r>
              <w:rPr>
                <w:rFonts w:ascii="Times New Roman" w:hAnsi="Times New Roman"/>
                <w:bCs/>
                <w:sz w:val="24"/>
                <w:szCs w:val="24"/>
              </w:rPr>
              <w:t>6</w:t>
            </w:r>
            <w:r w:rsidR="00B829A9" w:rsidRPr="007D5436">
              <w:rPr>
                <w:rFonts w:ascii="Times New Roman" w:hAnsi="Times New Roman"/>
                <w:bCs/>
                <w:sz w:val="24"/>
                <w:szCs w:val="24"/>
              </w:rPr>
              <w:t>%</w:t>
            </w:r>
            <w:r w:rsidR="003572FB" w:rsidRPr="007D5436">
              <w:rPr>
                <w:rFonts w:ascii="Times New Roman" w:hAnsi="Times New Roman"/>
                <w:bCs/>
                <w:sz w:val="24"/>
                <w:szCs w:val="24"/>
              </w:rPr>
              <w:t xml:space="preserve"> de</w:t>
            </w:r>
            <w:r>
              <w:rPr>
                <w:rFonts w:ascii="Times New Roman" w:hAnsi="Times New Roman"/>
                <w:bCs/>
                <w:sz w:val="24"/>
                <w:szCs w:val="24"/>
              </w:rPr>
              <w:t>crease from PY 15</w:t>
            </w:r>
          </w:p>
        </w:tc>
      </w:tr>
      <w:tr w:rsidR="00B13F77" w:rsidRPr="007D5436" w:rsidTr="004117C5">
        <w:tc>
          <w:tcPr>
            <w:tcW w:w="1818" w:type="dxa"/>
          </w:tcPr>
          <w:p w:rsidR="0033463A" w:rsidRPr="00073F76" w:rsidRDefault="00073F76" w:rsidP="003572FB">
            <w:pPr>
              <w:spacing w:after="0" w:line="240" w:lineRule="auto"/>
              <w:jc w:val="center"/>
              <w:rPr>
                <w:rFonts w:ascii="Times New Roman" w:hAnsi="Times New Roman"/>
                <w:bCs/>
                <w:sz w:val="48"/>
                <w:szCs w:val="48"/>
              </w:rPr>
            </w:pPr>
            <w:r w:rsidRPr="00073F76">
              <w:rPr>
                <w:rFonts w:ascii="Times New Roman" w:hAnsi="Times New Roman"/>
                <w:bCs/>
                <w:sz w:val="48"/>
                <w:szCs w:val="48"/>
              </w:rPr>
              <w:t>885</w:t>
            </w:r>
          </w:p>
        </w:tc>
        <w:tc>
          <w:tcPr>
            <w:tcW w:w="8478" w:type="dxa"/>
          </w:tcPr>
          <w:p w:rsidR="00B13F77" w:rsidRPr="00073F76" w:rsidRDefault="00B13F77" w:rsidP="009B3DAD">
            <w:pPr>
              <w:pStyle w:val="ListParagraph"/>
              <w:numPr>
                <w:ilvl w:val="0"/>
                <w:numId w:val="21"/>
              </w:numPr>
              <w:rPr>
                <w:rFonts w:ascii="Times New Roman" w:hAnsi="Times New Roman"/>
                <w:bCs/>
                <w:sz w:val="24"/>
                <w:szCs w:val="24"/>
              </w:rPr>
            </w:pPr>
            <w:r w:rsidRPr="00073F76">
              <w:rPr>
                <w:rFonts w:ascii="Times New Roman" w:hAnsi="Times New Roman"/>
                <w:bCs/>
                <w:sz w:val="24"/>
                <w:szCs w:val="24"/>
              </w:rPr>
              <w:t>WorkINdiana Enrollments</w:t>
            </w:r>
          </w:p>
          <w:p w:rsidR="00B13F77" w:rsidRPr="00073F76" w:rsidRDefault="00073F76" w:rsidP="009B3DAD">
            <w:pPr>
              <w:pStyle w:val="ListParagraph"/>
              <w:numPr>
                <w:ilvl w:val="0"/>
                <w:numId w:val="21"/>
              </w:numPr>
              <w:rPr>
                <w:rFonts w:ascii="Times New Roman" w:hAnsi="Times New Roman"/>
                <w:bCs/>
                <w:sz w:val="24"/>
                <w:szCs w:val="24"/>
              </w:rPr>
            </w:pPr>
            <w:r w:rsidRPr="00073F76">
              <w:rPr>
                <w:rFonts w:ascii="Times New Roman" w:hAnsi="Times New Roman"/>
                <w:bCs/>
                <w:sz w:val="24"/>
                <w:szCs w:val="24"/>
              </w:rPr>
              <w:t>85</w:t>
            </w:r>
            <w:r w:rsidR="006C4A70" w:rsidRPr="00073F76">
              <w:rPr>
                <w:rFonts w:ascii="Times New Roman" w:hAnsi="Times New Roman"/>
                <w:bCs/>
                <w:sz w:val="24"/>
                <w:szCs w:val="24"/>
              </w:rPr>
              <w:t>%</w:t>
            </w:r>
            <w:r w:rsidR="00B13F77" w:rsidRPr="00073F76">
              <w:rPr>
                <w:rFonts w:ascii="Times New Roman" w:hAnsi="Times New Roman"/>
                <w:bCs/>
                <w:sz w:val="24"/>
                <w:szCs w:val="24"/>
              </w:rPr>
              <w:t xml:space="preserve"> completion rate</w:t>
            </w:r>
          </w:p>
          <w:p w:rsidR="00B13F77" w:rsidRPr="00073F76" w:rsidRDefault="00B13F77" w:rsidP="00073F76">
            <w:pPr>
              <w:pStyle w:val="ListParagraph"/>
              <w:numPr>
                <w:ilvl w:val="0"/>
                <w:numId w:val="21"/>
              </w:numPr>
              <w:rPr>
                <w:rFonts w:ascii="Times New Roman" w:hAnsi="Times New Roman"/>
                <w:bCs/>
                <w:sz w:val="24"/>
                <w:szCs w:val="24"/>
              </w:rPr>
            </w:pPr>
            <w:r w:rsidRPr="00073F76">
              <w:rPr>
                <w:rFonts w:ascii="Times New Roman" w:hAnsi="Times New Roman"/>
                <w:bCs/>
                <w:sz w:val="24"/>
                <w:szCs w:val="24"/>
              </w:rPr>
              <w:t>Of</w:t>
            </w:r>
            <w:r w:rsidR="00073F76" w:rsidRPr="00073F76">
              <w:rPr>
                <w:rFonts w:ascii="Times New Roman" w:hAnsi="Times New Roman"/>
                <w:bCs/>
                <w:sz w:val="24"/>
                <w:szCs w:val="24"/>
              </w:rPr>
              <w:t xml:space="preserve"> those who completed, 87</w:t>
            </w:r>
            <w:r w:rsidR="0033463A" w:rsidRPr="00073F76">
              <w:rPr>
                <w:rFonts w:ascii="Times New Roman" w:hAnsi="Times New Roman"/>
                <w:bCs/>
                <w:sz w:val="24"/>
                <w:szCs w:val="24"/>
              </w:rPr>
              <w:t>%</w:t>
            </w:r>
            <w:r w:rsidRPr="00073F76">
              <w:rPr>
                <w:rFonts w:ascii="Times New Roman" w:hAnsi="Times New Roman"/>
                <w:bCs/>
                <w:sz w:val="24"/>
                <w:szCs w:val="24"/>
              </w:rPr>
              <w:t xml:space="preserve"> earned certification</w:t>
            </w:r>
          </w:p>
        </w:tc>
      </w:tr>
    </w:tbl>
    <w:p w:rsidR="00CF5A35" w:rsidRPr="007D5436" w:rsidRDefault="00CF5A35" w:rsidP="009B3DAD">
      <w:pPr>
        <w:spacing w:after="0" w:line="240" w:lineRule="auto"/>
        <w:rPr>
          <w:rFonts w:ascii="Times New Roman" w:hAnsi="Times New Roman"/>
          <w:bCs/>
          <w:sz w:val="24"/>
          <w:szCs w:val="24"/>
        </w:rPr>
      </w:pPr>
    </w:p>
    <w:p w:rsidR="00CF5A35" w:rsidRPr="007D5436" w:rsidRDefault="00CF5A35" w:rsidP="009B3DAD">
      <w:pPr>
        <w:pStyle w:val="NoSpacing"/>
      </w:pPr>
    </w:p>
    <w:p w:rsidR="00691B6F" w:rsidRPr="007D5436" w:rsidRDefault="005C4053" w:rsidP="001F4954">
      <w:pPr>
        <w:pStyle w:val="NoSpacing"/>
        <w:ind w:left="720"/>
      </w:pPr>
      <w:r w:rsidRPr="007D5436">
        <w:t>DWD has a system of state performance metrics in addition to the federal measures required under the National Reporting System. Above is a summary of outcomes</w:t>
      </w:r>
      <w:r w:rsidR="00F005B7" w:rsidRPr="007D5436">
        <w:t xml:space="preserve"> that state staff shares broadly with practitioners in the field. </w:t>
      </w:r>
      <w:r w:rsidR="00B245D0">
        <w:t xml:space="preserve"> </w:t>
      </w:r>
    </w:p>
    <w:p w:rsidR="00EA5582" w:rsidRPr="007D5436" w:rsidRDefault="00EA5582" w:rsidP="001F4954">
      <w:pPr>
        <w:pStyle w:val="NoSpacing"/>
      </w:pPr>
    </w:p>
    <w:p w:rsidR="00691B6F" w:rsidRDefault="00243C95" w:rsidP="001F4954">
      <w:pPr>
        <w:pStyle w:val="NoSpacing"/>
        <w:ind w:left="720"/>
      </w:pPr>
      <w:r w:rsidRPr="007D5436">
        <w:t>T</w:t>
      </w:r>
      <w:r w:rsidR="00DD50BE" w:rsidRPr="007D5436">
        <w:t>here was another</w:t>
      </w:r>
      <w:r w:rsidRPr="007D5436">
        <w:t xml:space="preserve"> de</w:t>
      </w:r>
      <w:r w:rsidR="00691B6F" w:rsidRPr="007D5436">
        <w:t>crease of High School and HSE Diplomas awarded</w:t>
      </w:r>
      <w:r w:rsidR="00DD50BE" w:rsidRPr="007D5436">
        <w:t xml:space="preserve"> during this program year as well</w:t>
      </w:r>
      <w:r w:rsidRPr="007D5436">
        <w:t>.</w:t>
      </w:r>
      <w:r w:rsidR="00B245D0">
        <w:t xml:space="preserve"> Prior years saw upwards of 2</w:t>
      </w:r>
      <w:r w:rsidR="00C35E7A">
        <w:t>0% decrease in diplomas awarded;</w:t>
      </w:r>
      <w:r w:rsidR="00B245D0">
        <w:t xml:space="preserve"> this year’s decreas</w:t>
      </w:r>
      <w:r w:rsidR="004C64AB">
        <w:t>e is again 6</w:t>
      </w:r>
      <w:r w:rsidR="00073F76">
        <w:t xml:space="preserve">% but are </w:t>
      </w:r>
      <w:r w:rsidR="00B245D0">
        <w:t xml:space="preserve">above the 2010 </w:t>
      </w:r>
      <w:r w:rsidR="00073F76">
        <w:t xml:space="preserve">benchmark attainment numbers. </w:t>
      </w:r>
    </w:p>
    <w:p w:rsidR="003100D9" w:rsidRPr="007D5436" w:rsidRDefault="003100D9" w:rsidP="001F4954">
      <w:pPr>
        <w:pStyle w:val="NoSpacing"/>
      </w:pPr>
    </w:p>
    <w:tbl>
      <w:tblPr>
        <w:tblStyle w:val="TableGrid"/>
        <w:tblW w:w="0" w:type="auto"/>
        <w:jc w:val="center"/>
        <w:tblLook w:val="04A0" w:firstRow="1" w:lastRow="0" w:firstColumn="1" w:lastColumn="0" w:noHBand="0" w:noVBand="1"/>
      </w:tblPr>
      <w:tblGrid>
        <w:gridCol w:w="1458"/>
        <w:gridCol w:w="1710"/>
      </w:tblGrid>
      <w:tr w:rsidR="008105F7" w:rsidRPr="007D5436" w:rsidTr="001F4954">
        <w:trPr>
          <w:jc w:val="center"/>
        </w:trPr>
        <w:tc>
          <w:tcPr>
            <w:tcW w:w="1458" w:type="dxa"/>
          </w:tcPr>
          <w:p w:rsidR="008105F7" w:rsidRPr="007D5436" w:rsidRDefault="009D79DE" w:rsidP="009B3DAD">
            <w:pPr>
              <w:pStyle w:val="NoSpacing"/>
            </w:pPr>
            <w:r w:rsidRPr="007D5436">
              <w:t>Program Year</w:t>
            </w:r>
          </w:p>
        </w:tc>
        <w:tc>
          <w:tcPr>
            <w:tcW w:w="1710" w:type="dxa"/>
          </w:tcPr>
          <w:p w:rsidR="008105F7" w:rsidRPr="007D5436" w:rsidRDefault="009D79DE" w:rsidP="009B3DAD">
            <w:pPr>
              <w:pStyle w:val="NoSpacing"/>
            </w:pPr>
            <w:r w:rsidRPr="007D5436">
              <w:t># of HSEs awarded</w:t>
            </w:r>
          </w:p>
        </w:tc>
      </w:tr>
      <w:tr w:rsidR="009D79DE" w:rsidRPr="007D5436" w:rsidTr="001F4954">
        <w:trPr>
          <w:jc w:val="center"/>
        </w:trPr>
        <w:tc>
          <w:tcPr>
            <w:tcW w:w="1458" w:type="dxa"/>
          </w:tcPr>
          <w:p w:rsidR="009D79DE" w:rsidRPr="007D5436" w:rsidRDefault="009D79DE" w:rsidP="00992B30">
            <w:pPr>
              <w:pStyle w:val="NoSpacing"/>
            </w:pPr>
            <w:r w:rsidRPr="007D5436">
              <w:t>2010</w:t>
            </w:r>
          </w:p>
        </w:tc>
        <w:tc>
          <w:tcPr>
            <w:tcW w:w="1710" w:type="dxa"/>
          </w:tcPr>
          <w:p w:rsidR="009D79DE" w:rsidRPr="007D5436" w:rsidRDefault="009D79DE" w:rsidP="009B3DAD">
            <w:pPr>
              <w:pStyle w:val="NoSpacing"/>
            </w:pPr>
            <w:r w:rsidRPr="007D5436">
              <w:t>4,848</w:t>
            </w:r>
          </w:p>
        </w:tc>
      </w:tr>
      <w:tr w:rsidR="009D79DE" w:rsidRPr="007D5436" w:rsidTr="001F4954">
        <w:trPr>
          <w:jc w:val="center"/>
        </w:trPr>
        <w:tc>
          <w:tcPr>
            <w:tcW w:w="1458" w:type="dxa"/>
          </w:tcPr>
          <w:p w:rsidR="009D79DE" w:rsidRPr="007D5436" w:rsidRDefault="009D79DE" w:rsidP="00992B30">
            <w:pPr>
              <w:pStyle w:val="NoSpacing"/>
            </w:pPr>
            <w:r w:rsidRPr="007D5436">
              <w:t>2011</w:t>
            </w:r>
          </w:p>
        </w:tc>
        <w:tc>
          <w:tcPr>
            <w:tcW w:w="1710" w:type="dxa"/>
          </w:tcPr>
          <w:p w:rsidR="009D79DE" w:rsidRPr="007D5436" w:rsidRDefault="009D79DE" w:rsidP="009B3DAD">
            <w:pPr>
              <w:pStyle w:val="NoSpacing"/>
            </w:pPr>
            <w:r w:rsidRPr="007D5436">
              <w:t>5,683</w:t>
            </w:r>
          </w:p>
        </w:tc>
      </w:tr>
      <w:tr w:rsidR="009D79DE" w:rsidRPr="007D5436" w:rsidTr="001F4954">
        <w:trPr>
          <w:jc w:val="center"/>
        </w:trPr>
        <w:tc>
          <w:tcPr>
            <w:tcW w:w="1458" w:type="dxa"/>
          </w:tcPr>
          <w:p w:rsidR="009D79DE" w:rsidRPr="007D5436" w:rsidRDefault="009D79DE" w:rsidP="00992B30">
            <w:pPr>
              <w:pStyle w:val="NoSpacing"/>
            </w:pPr>
            <w:r w:rsidRPr="007D5436">
              <w:t>2012</w:t>
            </w:r>
          </w:p>
        </w:tc>
        <w:tc>
          <w:tcPr>
            <w:tcW w:w="1710" w:type="dxa"/>
          </w:tcPr>
          <w:p w:rsidR="009D79DE" w:rsidRPr="007D5436" w:rsidRDefault="009D79DE" w:rsidP="009B3DAD">
            <w:pPr>
              <w:pStyle w:val="NoSpacing"/>
            </w:pPr>
            <w:r w:rsidRPr="007D5436">
              <w:t>7,349</w:t>
            </w:r>
          </w:p>
        </w:tc>
      </w:tr>
      <w:tr w:rsidR="009D79DE" w:rsidRPr="007D5436" w:rsidTr="001F4954">
        <w:trPr>
          <w:jc w:val="center"/>
        </w:trPr>
        <w:tc>
          <w:tcPr>
            <w:tcW w:w="1458" w:type="dxa"/>
          </w:tcPr>
          <w:p w:rsidR="009D79DE" w:rsidRPr="007D5436" w:rsidRDefault="009D79DE" w:rsidP="00992B30">
            <w:pPr>
              <w:pStyle w:val="NoSpacing"/>
            </w:pPr>
            <w:r w:rsidRPr="007D5436">
              <w:t>2013</w:t>
            </w:r>
          </w:p>
        </w:tc>
        <w:tc>
          <w:tcPr>
            <w:tcW w:w="1710" w:type="dxa"/>
          </w:tcPr>
          <w:p w:rsidR="009D79DE" w:rsidRPr="007D5436" w:rsidRDefault="009D79DE" w:rsidP="009B3DAD">
            <w:pPr>
              <w:pStyle w:val="NoSpacing"/>
            </w:pPr>
            <w:r w:rsidRPr="007D5436">
              <w:t>6,759</w:t>
            </w:r>
          </w:p>
        </w:tc>
      </w:tr>
      <w:tr w:rsidR="009D79DE" w:rsidRPr="007D5436" w:rsidTr="001F4954">
        <w:trPr>
          <w:jc w:val="center"/>
        </w:trPr>
        <w:tc>
          <w:tcPr>
            <w:tcW w:w="1458" w:type="dxa"/>
          </w:tcPr>
          <w:p w:rsidR="00B245D0" w:rsidRPr="007D5436" w:rsidRDefault="009D79DE" w:rsidP="00992B30">
            <w:pPr>
              <w:pStyle w:val="NoSpacing"/>
            </w:pPr>
            <w:r w:rsidRPr="007D5436">
              <w:t>201</w:t>
            </w:r>
            <w:r w:rsidR="00D50EE1">
              <w:t>4</w:t>
            </w:r>
          </w:p>
        </w:tc>
        <w:tc>
          <w:tcPr>
            <w:tcW w:w="1710" w:type="dxa"/>
          </w:tcPr>
          <w:p w:rsidR="00B245D0" w:rsidRPr="007D5436" w:rsidRDefault="009D79DE" w:rsidP="009B3DAD">
            <w:pPr>
              <w:pStyle w:val="NoSpacing"/>
            </w:pPr>
            <w:r w:rsidRPr="007D5436">
              <w:t>5,405</w:t>
            </w:r>
          </w:p>
        </w:tc>
      </w:tr>
      <w:tr w:rsidR="00235078" w:rsidRPr="007D5436" w:rsidTr="001F4954">
        <w:trPr>
          <w:jc w:val="center"/>
        </w:trPr>
        <w:tc>
          <w:tcPr>
            <w:tcW w:w="1458" w:type="dxa"/>
          </w:tcPr>
          <w:p w:rsidR="00235078" w:rsidRPr="007D5436" w:rsidRDefault="00235078" w:rsidP="00992B30">
            <w:pPr>
              <w:pStyle w:val="NoSpacing"/>
            </w:pPr>
            <w:r>
              <w:t>2015</w:t>
            </w:r>
          </w:p>
        </w:tc>
        <w:tc>
          <w:tcPr>
            <w:tcW w:w="1710" w:type="dxa"/>
          </w:tcPr>
          <w:p w:rsidR="00235078" w:rsidRPr="007D5436" w:rsidRDefault="00235078" w:rsidP="009B3DAD">
            <w:pPr>
              <w:pStyle w:val="NoSpacing"/>
            </w:pPr>
            <w:r>
              <w:t>5</w:t>
            </w:r>
            <w:r w:rsidR="006574A4">
              <w:t>,</w:t>
            </w:r>
            <w:r>
              <w:t>132</w:t>
            </w:r>
          </w:p>
        </w:tc>
      </w:tr>
      <w:tr w:rsidR="00073F76" w:rsidRPr="007D5436" w:rsidTr="001F4954">
        <w:trPr>
          <w:jc w:val="center"/>
        </w:trPr>
        <w:tc>
          <w:tcPr>
            <w:tcW w:w="1458" w:type="dxa"/>
          </w:tcPr>
          <w:p w:rsidR="00073F76" w:rsidRDefault="00073F76" w:rsidP="00992B30">
            <w:pPr>
              <w:pStyle w:val="NoSpacing"/>
            </w:pPr>
            <w:r>
              <w:t>2016</w:t>
            </w:r>
          </w:p>
        </w:tc>
        <w:tc>
          <w:tcPr>
            <w:tcW w:w="1710" w:type="dxa"/>
          </w:tcPr>
          <w:p w:rsidR="00073F76" w:rsidRDefault="00073F76" w:rsidP="009B3DAD">
            <w:pPr>
              <w:pStyle w:val="NoSpacing"/>
            </w:pPr>
            <w:r>
              <w:t>4,870</w:t>
            </w:r>
          </w:p>
        </w:tc>
      </w:tr>
    </w:tbl>
    <w:p w:rsidR="008105F7" w:rsidRPr="007D5436" w:rsidRDefault="008105F7" w:rsidP="001F4954">
      <w:pPr>
        <w:pStyle w:val="NoSpacing"/>
      </w:pPr>
    </w:p>
    <w:p w:rsidR="000F48CA" w:rsidRPr="008473B0" w:rsidRDefault="00073F76" w:rsidP="001F4954">
      <w:pPr>
        <w:pStyle w:val="NoSpacing"/>
        <w:ind w:left="720"/>
      </w:pPr>
      <w:r>
        <w:t>Of the 26,993 students enrolled, 23</w:t>
      </w:r>
      <w:r w:rsidR="000F48CA" w:rsidRPr="008473B0">
        <w:t>% were English Language Learners (ELL)</w:t>
      </w:r>
      <w:r w:rsidR="006574A4">
        <w:t>,</w:t>
      </w:r>
      <w:r>
        <w:t xml:space="preserve"> up from 21% in PY 15</w:t>
      </w:r>
      <w:r w:rsidR="008473B0" w:rsidRPr="008473B0">
        <w:t>. Of the ELLs 52</w:t>
      </w:r>
      <w:r w:rsidR="000F48CA" w:rsidRPr="008473B0">
        <w:t>% entered instruction at the bottom two educational functioning levels (EFL).</w:t>
      </w:r>
      <w:r w:rsidR="008473B0" w:rsidRPr="008473B0">
        <w:t xml:space="preserve"> ELLs attended an average of 92</w:t>
      </w:r>
      <w:r w:rsidR="000F48CA" w:rsidRPr="008473B0">
        <w:t xml:space="preserve"> hours of instruction</w:t>
      </w:r>
      <w:r w:rsidR="006574A4">
        <w:t>,</w:t>
      </w:r>
      <w:r w:rsidR="00761534">
        <w:t xml:space="preserve"> equal to PY 15</w:t>
      </w:r>
      <w:r w:rsidR="008473B0" w:rsidRPr="008473B0">
        <w:t>. Of the ELLs served</w:t>
      </w:r>
      <w:r w:rsidR="006574A4">
        <w:t xml:space="preserve"> </w:t>
      </w:r>
      <w:r w:rsidR="00761534">
        <w:t>51</w:t>
      </w:r>
      <w:r w:rsidR="000F48CA" w:rsidRPr="008473B0">
        <w:t>% made a level gain</w:t>
      </w:r>
      <w:r w:rsidR="00761534">
        <w:t xml:space="preserve"> up from 48</w:t>
      </w:r>
      <w:r w:rsidR="008473B0" w:rsidRPr="008473B0">
        <w:t>% last year</w:t>
      </w:r>
      <w:r w:rsidR="00A978F2">
        <w:t xml:space="preserve">.  </w:t>
      </w:r>
    </w:p>
    <w:p w:rsidR="000F48CA" w:rsidRPr="008473B0" w:rsidRDefault="000F48CA" w:rsidP="001F4954">
      <w:pPr>
        <w:pStyle w:val="NoSpacing"/>
      </w:pPr>
    </w:p>
    <w:p w:rsidR="00AE6C9C" w:rsidRDefault="000F48CA" w:rsidP="001F4954">
      <w:pPr>
        <w:pStyle w:val="NoSpacing"/>
        <w:ind w:left="720"/>
      </w:pPr>
      <w:r w:rsidRPr="008473B0">
        <w:t>Of th</w:t>
      </w:r>
      <w:r w:rsidR="00761534">
        <w:t>e ABE/ASE student enrollments 78</w:t>
      </w:r>
      <w:r w:rsidRPr="008473B0">
        <w:t>% entered instruction at an EFL of 8.9 or b</w:t>
      </w:r>
      <w:r w:rsidR="00AE6C9C">
        <w:t>elow, with the largest group, 32</w:t>
      </w:r>
      <w:r w:rsidRPr="008473B0">
        <w:t>%, ente</w:t>
      </w:r>
      <w:r w:rsidR="00AE6C9C">
        <w:t>ring with an EFL of 6-8.9</w:t>
      </w:r>
      <w:r w:rsidR="00662098" w:rsidRPr="008473B0">
        <w:t>. The overall ABE/ASE student</w:t>
      </w:r>
      <w:r w:rsidR="00AE6C9C">
        <w:t xml:space="preserve"> group attended an average of 80</w:t>
      </w:r>
      <w:r w:rsidRPr="008473B0">
        <w:t xml:space="preserve"> h</w:t>
      </w:r>
      <w:r w:rsidR="00A978F2">
        <w:t xml:space="preserve">ours of instruction.  </w:t>
      </w:r>
    </w:p>
    <w:p w:rsidR="00A978F2" w:rsidRDefault="00A978F2" w:rsidP="001F4954">
      <w:pPr>
        <w:pStyle w:val="NoSpacing"/>
        <w:ind w:left="720"/>
      </w:pPr>
      <w:r>
        <w:lastRenderedPageBreak/>
        <w:t>Overall, 66% of students received a post test, up from 60% in PY 15.</w:t>
      </w:r>
    </w:p>
    <w:p w:rsidR="00AE6C9C" w:rsidRDefault="00AE6C9C" w:rsidP="001F4954">
      <w:pPr>
        <w:pStyle w:val="NoSpacing"/>
      </w:pPr>
    </w:p>
    <w:p w:rsidR="000F48CA" w:rsidRPr="008473B0" w:rsidRDefault="00B37A5F" w:rsidP="001F4954">
      <w:pPr>
        <w:pStyle w:val="NoSpacing"/>
        <w:ind w:left="720"/>
      </w:pPr>
      <w:r>
        <w:t>At 47%</w:t>
      </w:r>
      <w:r w:rsidR="00A10B48">
        <w:t>,</w:t>
      </w:r>
      <w:r w:rsidR="00A978F2">
        <w:t xml:space="preserve"> students between the age of 25-44 are our largest demographic. </w:t>
      </w:r>
      <w:r w:rsidR="00AE6C9C">
        <w:t xml:space="preserve">Particularly interesting to Indiana is </w:t>
      </w:r>
      <w:r w:rsidR="006574A4">
        <w:t xml:space="preserve">the </w:t>
      </w:r>
      <w:r w:rsidR="00AE6C9C">
        <w:t>percentage of students who fall within t</w:t>
      </w:r>
      <w:r w:rsidR="00A978F2">
        <w:t>he WIOA Youth age range. Thirty nine</w:t>
      </w:r>
      <w:r w:rsidR="00AE6C9C">
        <w:t xml:space="preserve"> percent of Indiana enrollments are between the ages of 16-</w:t>
      </w:r>
      <w:r w:rsidR="007530BB">
        <w:t xml:space="preserve">24. </w:t>
      </w:r>
      <w:r w:rsidR="00A978F2">
        <w:t>This is a t</w:t>
      </w:r>
      <w:r w:rsidR="00A10B48">
        <w:t xml:space="preserve">wo percent decrease from PY 15 and a result of the six percent decrease in 16 and 17 year old enrollments this year. </w:t>
      </w:r>
      <w:r w:rsidR="007530BB">
        <w:t>IDWD has provided this information at a local level to providers and R</w:t>
      </w:r>
      <w:r w:rsidR="00235078">
        <w:t xml:space="preserve">egional </w:t>
      </w:r>
      <w:r w:rsidR="007530BB">
        <w:t>W</w:t>
      </w:r>
      <w:r w:rsidR="00235078">
        <w:t xml:space="preserve">orkforce Development </w:t>
      </w:r>
      <w:r w:rsidR="007530BB">
        <w:t>B</w:t>
      </w:r>
      <w:r w:rsidR="00235078">
        <w:t>oards</w:t>
      </w:r>
      <w:r w:rsidR="007530BB">
        <w:t xml:space="preserve"> as they look to develop out of school youth programming.</w:t>
      </w:r>
      <w:r w:rsidR="000F48CA" w:rsidRPr="008473B0">
        <w:t xml:space="preserve">  </w:t>
      </w:r>
    </w:p>
    <w:p w:rsidR="000F48CA" w:rsidRPr="007205EB" w:rsidRDefault="000F48CA" w:rsidP="001F4954">
      <w:pPr>
        <w:pStyle w:val="NoSpacing"/>
      </w:pPr>
    </w:p>
    <w:p w:rsidR="00CF5A35" w:rsidRPr="007205EB" w:rsidRDefault="007D6245" w:rsidP="001F4954">
      <w:pPr>
        <w:pStyle w:val="NoSpacing"/>
        <w:ind w:left="720"/>
      </w:pPr>
      <w:r w:rsidRPr="007205EB">
        <w:rPr>
          <w:b/>
        </w:rPr>
        <w:t>NRS Table Highlights</w:t>
      </w:r>
    </w:p>
    <w:p w:rsidR="00CF5A35" w:rsidRDefault="007D6245" w:rsidP="001F4954">
      <w:pPr>
        <w:pStyle w:val="NoSpacing"/>
        <w:ind w:left="720"/>
        <w:rPr>
          <w:b/>
          <w:i/>
        </w:rPr>
      </w:pPr>
      <w:r w:rsidRPr="007205EB">
        <w:rPr>
          <w:b/>
          <w:i/>
        </w:rPr>
        <w:t>Table 4</w:t>
      </w:r>
    </w:p>
    <w:p w:rsidR="003C4A45" w:rsidRDefault="003C4A45" w:rsidP="001F4954">
      <w:pPr>
        <w:pStyle w:val="NoSpacing"/>
        <w:ind w:left="720"/>
        <w:rPr>
          <w:b/>
          <w:i/>
        </w:rPr>
      </w:pPr>
    </w:p>
    <w:p w:rsidR="003C4A45" w:rsidRDefault="003C4A45" w:rsidP="001F4954">
      <w:pPr>
        <w:pStyle w:val="NoSpacing"/>
        <w:ind w:left="720"/>
      </w:pPr>
      <w:r>
        <w:t>Indiana negotiated an overall Table 4 target of 49% for PY 16. We more than exceeded that ending the year at 58%, largely a result of our increase in ABE level gains.</w:t>
      </w:r>
    </w:p>
    <w:p w:rsidR="003C4A45" w:rsidRPr="003C4A45" w:rsidRDefault="003C4A45" w:rsidP="001F4954">
      <w:pPr>
        <w:pStyle w:val="NoSpacing"/>
        <w:ind w:left="720"/>
      </w:pPr>
    </w:p>
    <w:p w:rsidR="000A461C" w:rsidRPr="007205EB" w:rsidRDefault="000A461C" w:rsidP="001F4954">
      <w:pPr>
        <w:pStyle w:val="NoSpacing"/>
        <w:ind w:left="720"/>
      </w:pPr>
      <w:r w:rsidRPr="007205EB">
        <w:t xml:space="preserve">Indiana </w:t>
      </w:r>
      <w:r w:rsidR="00EB6A32">
        <w:t xml:space="preserve">met and exceeded </w:t>
      </w:r>
      <w:r w:rsidRPr="007205EB">
        <w:t xml:space="preserve">performance </w:t>
      </w:r>
      <w:r w:rsidR="007E1AC0">
        <w:t>for</w:t>
      </w:r>
      <w:r w:rsidRPr="007205EB">
        <w:t xml:space="preserve"> </w:t>
      </w:r>
      <w:r w:rsidR="00EB6A32">
        <w:t xml:space="preserve">all </w:t>
      </w:r>
      <w:r w:rsidRPr="007205EB">
        <w:t>ABE categorie</w:t>
      </w:r>
      <w:r w:rsidR="00A10B48">
        <w:t>s in PY 16.</w:t>
      </w:r>
      <w:r w:rsidR="00C36937" w:rsidRPr="007205EB">
        <w:t xml:space="preserve"> </w:t>
      </w:r>
      <w:r w:rsidR="00A10B48">
        <w:t xml:space="preserve">The lowest </w:t>
      </w:r>
      <w:r w:rsidR="00AA725B">
        <w:t>level was ABE Level 1 at 54%. This was a 4% improvement over PY 15 when we missed our performance target.</w:t>
      </w:r>
      <w:r w:rsidR="000027F2">
        <w:t xml:space="preserve"> Our overall target for ABE was 49%. With the addition of HSE attainment, Indiana achieved 60% overall gain for ABE. This has been used as a benchmark with loca</w:t>
      </w:r>
      <w:r w:rsidR="00EB6A32">
        <w:t>l providers for moving forward</w:t>
      </w:r>
      <w:r w:rsidR="000027F2">
        <w:t>.</w:t>
      </w:r>
    </w:p>
    <w:p w:rsidR="007205EB" w:rsidRDefault="007205EB" w:rsidP="001F4954">
      <w:pPr>
        <w:pStyle w:val="NoSpacing"/>
      </w:pPr>
    </w:p>
    <w:p w:rsidR="00AE6C9C" w:rsidRPr="007205EB" w:rsidRDefault="007205EB" w:rsidP="001F4954">
      <w:pPr>
        <w:pStyle w:val="NoSpacing"/>
        <w:ind w:left="720"/>
      </w:pPr>
      <w:r>
        <w:t>Total enrollment in ABE progra</w:t>
      </w:r>
      <w:r w:rsidR="00AA725B">
        <w:t>ms continue to decline for a variety of reasons. Programs report more students working as one cause for the decrease. To offset this, programs are encouraged to work with employers to establish work based classes. We have seen early success with this model in Bloomington</w:t>
      </w:r>
      <w:r w:rsidR="00B37A5F">
        <w:t xml:space="preserve">, Indiana, </w:t>
      </w:r>
      <w:r w:rsidR="00AA725B">
        <w:t>at Cook Medical where 21 of 31 enrollments earned their HSE last year.</w:t>
      </w:r>
      <w:r w:rsidR="00EB6A32">
        <w:t xml:space="preserve"> The model is expanding, and we look forward to reporting more on this next year.</w:t>
      </w:r>
    </w:p>
    <w:p w:rsidR="000A461C" w:rsidRPr="007205EB" w:rsidRDefault="000A461C" w:rsidP="001F4954">
      <w:pPr>
        <w:pStyle w:val="NoSpacing"/>
      </w:pPr>
    </w:p>
    <w:p w:rsidR="000027F2" w:rsidRDefault="000A461C" w:rsidP="001F4954">
      <w:pPr>
        <w:pStyle w:val="NoSpacing"/>
        <w:ind w:left="720"/>
      </w:pPr>
      <w:r w:rsidRPr="007205EB">
        <w:t xml:space="preserve">Indiana </w:t>
      </w:r>
      <w:r w:rsidR="000027F2">
        <w:t>met all but one individual target for ELL. The individual target for ELL Level 1 was 46%. Indiana ended PY 16 at 45% for this level the same as PY 15. Most individual levels saw improvements over PY 15. The most significant was in ELL Level 6</w:t>
      </w:r>
      <w:r w:rsidR="003C4A45">
        <w:t xml:space="preserve">. Gains here improved from 12% in PY 15 to 24% this year. The overall ELL target was set at 50%. Indiana finished the year at 51%. </w:t>
      </w:r>
    </w:p>
    <w:p w:rsidR="003C4A45" w:rsidRDefault="003C4A45" w:rsidP="001F4954">
      <w:pPr>
        <w:pStyle w:val="NoSpacing"/>
        <w:ind w:left="720"/>
      </w:pPr>
    </w:p>
    <w:p w:rsidR="00AE6C9C" w:rsidRPr="007205EB" w:rsidRDefault="003C4A45" w:rsidP="003C4A45">
      <w:pPr>
        <w:pStyle w:val="NoSpacing"/>
        <w:ind w:left="720"/>
      </w:pPr>
      <w:r>
        <w:t>Indiana continues to see significant growth in the ELL student population</w:t>
      </w:r>
      <w:r w:rsidR="00B37A5F">
        <w:t xml:space="preserve">. </w:t>
      </w:r>
      <w:r w:rsidR="00C36937" w:rsidRPr="007205EB">
        <w:t>For PY 1</w:t>
      </w:r>
      <w:r>
        <w:t>3 EL</w:t>
      </w:r>
      <w:r w:rsidR="000A461C" w:rsidRPr="007205EB">
        <w:t>L enrollment was 4,289</w:t>
      </w:r>
      <w:r w:rsidR="00D235EB" w:rsidRPr="007205EB">
        <w:t>,</w:t>
      </w:r>
      <w:r w:rsidR="007205EB" w:rsidRPr="007205EB">
        <w:t xml:space="preserve"> in PY 14 enrollment grew to </w:t>
      </w:r>
      <w:r w:rsidR="00C36937" w:rsidRPr="007205EB">
        <w:t>5,053</w:t>
      </w:r>
      <w:r>
        <w:t>. ELL continued to grow reaching</w:t>
      </w:r>
      <w:r w:rsidR="007205EB" w:rsidRPr="007205EB">
        <w:t xml:space="preserve"> 5,787 for PY 15</w:t>
      </w:r>
      <w:r>
        <w:t xml:space="preserve"> and for PY 16 is now at 6,263</w:t>
      </w:r>
      <w:r w:rsidR="00B37A5F">
        <w:t>.</w:t>
      </w:r>
    </w:p>
    <w:p w:rsidR="0071419F" w:rsidRPr="00E7305E" w:rsidRDefault="0071419F" w:rsidP="001F4954">
      <w:pPr>
        <w:pStyle w:val="NoSpacing"/>
        <w:rPr>
          <w:b/>
          <w:i/>
          <w:highlight w:val="yellow"/>
        </w:rPr>
      </w:pPr>
    </w:p>
    <w:p w:rsidR="00B76B44" w:rsidRPr="001B1128" w:rsidRDefault="00E7305E" w:rsidP="001B1128">
      <w:pPr>
        <w:spacing w:after="0" w:line="240" w:lineRule="auto"/>
        <w:rPr>
          <w:rFonts w:ascii="Times New Roman" w:hAnsi="Times New Roman"/>
          <w:b/>
          <w:color w:val="000000"/>
          <w:sz w:val="24"/>
          <w:szCs w:val="24"/>
        </w:rPr>
      </w:pPr>
      <w:r>
        <w:rPr>
          <w:rFonts w:ascii="Times New Roman" w:hAnsi="Times New Roman"/>
          <w:b/>
          <w:color w:val="000000"/>
          <w:sz w:val="24"/>
          <w:szCs w:val="24"/>
        </w:rPr>
        <w:t>Integration with One-stop Partners</w:t>
      </w:r>
      <w:r w:rsidR="00B76B44" w:rsidRPr="001B1128">
        <w:rPr>
          <w:rFonts w:ascii="Times New Roman" w:hAnsi="Times New Roman"/>
          <w:b/>
          <w:color w:val="000000"/>
          <w:sz w:val="24"/>
          <w:szCs w:val="24"/>
        </w:rPr>
        <w:t>:</w:t>
      </w:r>
    </w:p>
    <w:p w:rsidR="00316D29" w:rsidRDefault="00316D29" w:rsidP="009B3DAD">
      <w:pPr>
        <w:pStyle w:val="NoSpacing"/>
        <w:rPr>
          <w:i/>
          <w:color w:val="000000"/>
        </w:rPr>
      </w:pPr>
      <w:r w:rsidRPr="009B3DAD">
        <w:rPr>
          <w:i/>
          <w:color w:val="000000"/>
        </w:rPr>
        <w:t>Describe how</w:t>
      </w:r>
      <w:r w:rsidR="00E7305E">
        <w:rPr>
          <w:i/>
          <w:color w:val="000000"/>
        </w:rPr>
        <w:t xml:space="preserve"> the State eligible agency, as the entity responsible for meeting one-stop requirements under CFR part 463, subpart J, carries out or delegates its required one-stop roles to eligible providers. Describe the applicable career services that are provided in the one-stop system. Describe how infrastructure costs are supported through State and local options.</w:t>
      </w:r>
    </w:p>
    <w:p w:rsidR="00590389" w:rsidRDefault="00590389" w:rsidP="009B3DAD">
      <w:pPr>
        <w:pStyle w:val="NoSpacing"/>
        <w:rPr>
          <w:i/>
          <w:color w:val="000000"/>
        </w:rPr>
      </w:pPr>
    </w:p>
    <w:p w:rsidR="00C423EC" w:rsidRPr="003100D9" w:rsidRDefault="00590389" w:rsidP="00242F0C">
      <w:pPr>
        <w:autoSpaceDE w:val="0"/>
        <w:autoSpaceDN w:val="0"/>
        <w:ind w:left="720"/>
        <w:rPr>
          <w:rFonts w:ascii="Times New Roman" w:hAnsi="Times New Roman"/>
          <w:sz w:val="24"/>
          <w:szCs w:val="24"/>
        </w:rPr>
      </w:pPr>
      <w:r w:rsidRPr="003100D9">
        <w:rPr>
          <w:rFonts w:ascii="Times New Roman" w:hAnsi="Times New Roman"/>
          <w:sz w:val="24"/>
          <w:szCs w:val="24"/>
        </w:rPr>
        <w:t>IDWD implemented a consortium model for adult education services in 2011. Eleven adult education consortia were created (the Indianapolis metropolitan areas two boards were combined for adult education services) that aligned with the state</w:t>
      </w:r>
      <w:r w:rsidR="006574A4">
        <w:rPr>
          <w:rFonts w:ascii="Times New Roman" w:hAnsi="Times New Roman"/>
          <w:sz w:val="24"/>
          <w:szCs w:val="24"/>
        </w:rPr>
        <w:t>’</w:t>
      </w:r>
      <w:r w:rsidRPr="003100D9">
        <w:rPr>
          <w:rFonts w:ascii="Times New Roman" w:hAnsi="Times New Roman"/>
          <w:sz w:val="24"/>
          <w:szCs w:val="24"/>
        </w:rPr>
        <w:t xml:space="preserve">s one-stop economic growth regions. </w:t>
      </w:r>
      <w:r w:rsidR="00C423EC" w:rsidRPr="003100D9">
        <w:rPr>
          <w:rFonts w:ascii="Times New Roman" w:hAnsi="Times New Roman"/>
          <w:sz w:val="24"/>
          <w:szCs w:val="24"/>
        </w:rPr>
        <w:t xml:space="preserve">Consortia include local adult education providers, as well as other entities with interest in adult </w:t>
      </w:r>
      <w:r w:rsidR="00C423EC" w:rsidRPr="003100D9">
        <w:rPr>
          <w:rFonts w:ascii="Times New Roman" w:hAnsi="Times New Roman"/>
          <w:sz w:val="24"/>
          <w:szCs w:val="24"/>
        </w:rPr>
        <w:lastRenderedPageBreak/>
        <w:t xml:space="preserve">education service provision. </w:t>
      </w:r>
      <w:r w:rsidRPr="003100D9">
        <w:rPr>
          <w:rFonts w:ascii="Times New Roman" w:hAnsi="Times New Roman"/>
          <w:sz w:val="24"/>
          <w:szCs w:val="24"/>
        </w:rPr>
        <w:t xml:space="preserve">Local board staff or representatives have served on and partnered with adult education ever since. </w:t>
      </w:r>
      <w:r w:rsidR="00C423EC" w:rsidRPr="003100D9">
        <w:rPr>
          <w:rFonts w:ascii="Times New Roman" w:hAnsi="Times New Roman"/>
          <w:sz w:val="24"/>
          <w:szCs w:val="24"/>
        </w:rPr>
        <w:t>As a result of this structur</w:t>
      </w:r>
      <w:r w:rsidR="005E1F2B">
        <w:rPr>
          <w:rFonts w:ascii="Times New Roman" w:hAnsi="Times New Roman"/>
          <w:sz w:val="24"/>
          <w:szCs w:val="24"/>
        </w:rPr>
        <w:t xml:space="preserve">e, </w:t>
      </w:r>
      <w:r w:rsidR="00C423EC" w:rsidRPr="003100D9">
        <w:rPr>
          <w:rFonts w:ascii="Times New Roman" w:hAnsi="Times New Roman"/>
          <w:sz w:val="24"/>
          <w:szCs w:val="24"/>
        </w:rPr>
        <w:t xml:space="preserve">the required WIOA integration of adult education into the one-stops has </w:t>
      </w:r>
      <w:r w:rsidR="005E1F2B">
        <w:rPr>
          <w:rFonts w:ascii="Times New Roman" w:hAnsi="Times New Roman"/>
          <w:sz w:val="24"/>
          <w:szCs w:val="24"/>
        </w:rPr>
        <w:t>already taken place.</w:t>
      </w:r>
    </w:p>
    <w:p w:rsidR="00C423EC" w:rsidRPr="003100D9" w:rsidRDefault="00590389" w:rsidP="00242F0C">
      <w:pPr>
        <w:autoSpaceDE w:val="0"/>
        <w:autoSpaceDN w:val="0"/>
        <w:ind w:left="720"/>
        <w:rPr>
          <w:rFonts w:ascii="Times New Roman" w:hAnsi="Times New Roman"/>
          <w:sz w:val="24"/>
          <w:szCs w:val="24"/>
        </w:rPr>
      </w:pPr>
      <w:r w:rsidRPr="003100D9">
        <w:rPr>
          <w:rFonts w:ascii="Times New Roman" w:hAnsi="Times New Roman"/>
          <w:sz w:val="24"/>
          <w:szCs w:val="24"/>
        </w:rPr>
        <w:t xml:space="preserve">Indiana has 12 Workforce Development Boards (WDB) that are responsible for procurement of the one-stop operators and career services providers. </w:t>
      </w:r>
      <w:r w:rsidR="00C423EC" w:rsidRPr="003100D9">
        <w:rPr>
          <w:rFonts w:ascii="Times New Roman" w:hAnsi="Times New Roman"/>
          <w:sz w:val="24"/>
          <w:szCs w:val="24"/>
        </w:rPr>
        <w:t xml:space="preserve">Each </w:t>
      </w:r>
      <w:r w:rsidR="005E1F2B">
        <w:rPr>
          <w:rFonts w:ascii="Times New Roman" w:hAnsi="Times New Roman"/>
          <w:sz w:val="24"/>
          <w:szCs w:val="24"/>
        </w:rPr>
        <w:t xml:space="preserve">adult education </w:t>
      </w:r>
      <w:r w:rsidR="00C423EC" w:rsidRPr="003100D9">
        <w:rPr>
          <w:rFonts w:ascii="Times New Roman" w:hAnsi="Times New Roman"/>
          <w:sz w:val="24"/>
          <w:szCs w:val="24"/>
        </w:rPr>
        <w:t xml:space="preserve">consortia chose a local provider to represent adult education on the WDB. </w:t>
      </w:r>
    </w:p>
    <w:p w:rsidR="00590389" w:rsidRPr="003100D9" w:rsidRDefault="00C423EC" w:rsidP="00242F0C">
      <w:pPr>
        <w:autoSpaceDE w:val="0"/>
        <w:autoSpaceDN w:val="0"/>
        <w:ind w:left="720"/>
        <w:rPr>
          <w:rFonts w:ascii="Times New Roman" w:hAnsi="Times New Roman"/>
          <w:sz w:val="24"/>
          <w:szCs w:val="24"/>
        </w:rPr>
      </w:pPr>
      <w:r w:rsidRPr="003100D9">
        <w:rPr>
          <w:rFonts w:ascii="Times New Roman" w:hAnsi="Times New Roman"/>
          <w:sz w:val="24"/>
          <w:szCs w:val="24"/>
        </w:rPr>
        <w:t>At the state level the Commissioner of IDWD serves on the State Workforce Investment Council as does a local adult education provider to represent the interests of adult education.</w:t>
      </w:r>
    </w:p>
    <w:p w:rsidR="00590389" w:rsidRDefault="00590389" w:rsidP="00242F0C">
      <w:pPr>
        <w:ind w:left="720"/>
        <w:rPr>
          <w:rFonts w:ascii="Times New Roman" w:hAnsi="Times New Roman"/>
          <w:sz w:val="24"/>
          <w:szCs w:val="24"/>
        </w:rPr>
      </w:pPr>
      <w:r w:rsidRPr="003100D9">
        <w:rPr>
          <w:rFonts w:ascii="Times New Roman" w:hAnsi="Times New Roman"/>
          <w:sz w:val="24"/>
          <w:szCs w:val="24"/>
        </w:rPr>
        <w:t>The WDBs are responsible for overseeing and ensuring all applicable career services are provided within</w:t>
      </w:r>
      <w:r w:rsidR="003100D9" w:rsidRPr="003100D9">
        <w:rPr>
          <w:rFonts w:ascii="Times New Roman" w:hAnsi="Times New Roman"/>
          <w:sz w:val="24"/>
          <w:szCs w:val="24"/>
        </w:rPr>
        <w:t xml:space="preserve"> the one-stop system. Adult education students have access to these services through one-stop offices as well as through </w:t>
      </w:r>
      <w:r w:rsidR="005E1F2B">
        <w:rPr>
          <w:rFonts w:ascii="Times New Roman" w:hAnsi="Times New Roman"/>
          <w:sz w:val="24"/>
          <w:szCs w:val="24"/>
        </w:rPr>
        <w:t xml:space="preserve">adult </w:t>
      </w:r>
      <w:r w:rsidR="003100D9" w:rsidRPr="003100D9">
        <w:rPr>
          <w:rFonts w:ascii="Times New Roman" w:hAnsi="Times New Roman"/>
          <w:sz w:val="24"/>
          <w:szCs w:val="24"/>
        </w:rPr>
        <w:t>one-stop staff who work at adult education sites. Additionally, many local adult education programs provide transition coaches who provide career services.</w:t>
      </w:r>
    </w:p>
    <w:p w:rsidR="00732D96" w:rsidRPr="003100D9" w:rsidRDefault="00732D96" w:rsidP="00732D96">
      <w:pPr>
        <w:ind w:left="720"/>
        <w:rPr>
          <w:rFonts w:ascii="Times New Roman" w:hAnsi="Times New Roman"/>
          <w:sz w:val="24"/>
          <w:szCs w:val="24"/>
        </w:rPr>
      </w:pPr>
      <w:r w:rsidRPr="00F55F5D">
        <w:rPr>
          <w:rFonts w:ascii="Times New Roman" w:hAnsi="Times New Roman"/>
          <w:sz w:val="24"/>
          <w:szCs w:val="24"/>
        </w:rPr>
        <w:t xml:space="preserve">AEFLA funded career services in Indiana include outreach, intake and orientation including initial assessment. These assessments include TABE, Clas-E as well as the KUDER Indiana Career Explorer </w:t>
      </w:r>
      <w:r w:rsidRPr="00F55F5D">
        <w:rPr>
          <w:rFonts w:ascii="Times New Roman" w:hAnsi="Times New Roman"/>
          <w:sz w:val="24"/>
          <w:szCs w:val="24"/>
        </w:rPr>
        <w:t>(</w:t>
      </w:r>
      <w:r w:rsidRPr="00F55F5D">
        <w:rPr>
          <w:rFonts w:ascii="Times New Roman" w:hAnsi="Times New Roman"/>
          <w:sz w:val="24"/>
          <w:szCs w:val="24"/>
        </w:rPr>
        <w:t>ICE</w:t>
      </w:r>
      <w:r w:rsidRPr="00F55F5D">
        <w:rPr>
          <w:rFonts w:ascii="Times New Roman" w:hAnsi="Times New Roman"/>
          <w:sz w:val="24"/>
          <w:szCs w:val="24"/>
        </w:rPr>
        <w:t>)</w:t>
      </w:r>
      <w:r w:rsidRPr="00F55F5D">
        <w:rPr>
          <w:rFonts w:ascii="Times New Roman" w:hAnsi="Times New Roman"/>
          <w:sz w:val="24"/>
          <w:szCs w:val="24"/>
        </w:rPr>
        <w:t xml:space="preserve">. ICE includes three brief assessments on interests, </w:t>
      </w:r>
      <w:r w:rsidRPr="00F55F5D">
        <w:rPr>
          <w:rFonts w:ascii="Times New Roman" w:hAnsi="Times New Roman"/>
          <w:sz w:val="24"/>
          <w:szCs w:val="24"/>
        </w:rPr>
        <w:t>aptitude</w:t>
      </w:r>
      <w:r w:rsidRPr="00F55F5D">
        <w:rPr>
          <w:rFonts w:ascii="Times New Roman" w:hAnsi="Times New Roman"/>
          <w:sz w:val="24"/>
          <w:szCs w:val="24"/>
        </w:rPr>
        <w:t xml:space="preserve"> and values and is required along with TABE for enrollment. In PY 16 the ICE contract was not funded by AEFLA, but the administration to eligible students was. Additional AEFLA funded career services include referrals and coordination of activities with other programs and services as well as the provision of information on the availability of supportive services with appropriate referrals. AEFLA does not fund the Eligible Training Provider List. However staff funded by AEFLA use this list with program participants to provide performance information and program costs of eligible training and workforce providers.</w:t>
      </w:r>
    </w:p>
    <w:p w:rsidR="00CF5A35" w:rsidRDefault="00590389" w:rsidP="00242F0C">
      <w:pPr>
        <w:ind w:left="720"/>
      </w:pPr>
      <w:r w:rsidRPr="003100D9">
        <w:rPr>
          <w:rFonts w:ascii="Times New Roman" w:hAnsi="Times New Roman"/>
          <w:sz w:val="24"/>
          <w:szCs w:val="24"/>
        </w:rPr>
        <w:t>In</w:t>
      </w:r>
      <w:r w:rsidR="005E1F2B">
        <w:rPr>
          <w:rFonts w:ascii="Times New Roman" w:hAnsi="Times New Roman"/>
          <w:sz w:val="24"/>
          <w:szCs w:val="24"/>
        </w:rPr>
        <w:t xml:space="preserve">diana developed and implemented an infrastructure cost policy in PY 16. Prior to AEFLA grants being awarded, the state adult education director represented adult education providers during initial local infrastructure negotiations. Once AEFLA grants were awarded, local providers completed these negotiations. </w:t>
      </w:r>
    </w:p>
    <w:p w:rsidR="00322C4A" w:rsidRPr="00322C4A" w:rsidRDefault="00E7305E" w:rsidP="009B3DAD">
      <w:pPr>
        <w:pStyle w:val="NoSpacing"/>
        <w:rPr>
          <w:b/>
          <w:color w:val="000000"/>
        </w:rPr>
      </w:pPr>
      <w:r w:rsidRPr="00242AE1">
        <w:rPr>
          <w:b/>
          <w:color w:val="000000"/>
        </w:rPr>
        <w:t xml:space="preserve">Integrated English Literacy and </w:t>
      </w:r>
      <w:r w:rsidR="00322C4A" w:rsidRPr="00242AE1">
        <w:rPr>
          <w:b/>
          <w:color w:val="000000"/>
        </w:rPr>
        <w:t xml:space="preserve">Civics </w:t>
      </w:r>
      <w:r w:rsidRPr="00242AE1">
        <w:rPr>
          <w:b/>
          <w:color w:val="000000"/>
        </w:rPr>
        <w:t xml:space="preserve">Education </w:t>
      </w:r>
      <w:r w:rsidR="00322C4A" w:rsidRPr="00242AE1">
        <w:rPr>
          <w:b/>
          <w:color w:val="000000"/>
        </w:rPr>
        <w:t>(</w:t>
      </w:r>
      <w:r w:rsidRPr="00242AE1">
        <w:rPr>
          <w:b/>
          <w:color w:val="000000"/>
        </w:rPr>
        <w:t>IEL</w:t>
      </w:r>
      <w:r w:rsidR="00322C4A" w:rsidRPr="00242AE1">
        <w:rPr>
          <w:b/>
          <w:color w:val="000000"/>
        </w:rPr>
        <w:t>C</w:t>
      </w:r>
      <w:r w:rsidRPr="00242AE1">
        <w:rPr>
          <w:b/>
          <w:color w:val="000000"/>
        </w:rPr>
        <w:t>E</w:t>
      </w:r>
      <w:r w:rsidR="00322C4A" w:rsidRPr="00242AE1">
        <w:rPr>
          <w:b/>
          <w:color w:val="000000"/>
        </w:rPr>
        <w:t>) Program</w:t>
      </w:r>
      <w:r w:rsidRPr="00242AE1">
        <w:rPr>
          <w:b/>
          <w:color w:val="000000"/>
        </w:rPr>
        <w:t xml:space="preserve"> </w:t>
      </w:r>
      <w:r w:rsidRPr="00242AE1">
        <w:rPr>
          <w:color w:val="000000"/>
        </w:rPr>
        <w:t>(AEFLA Section 243)</w:t>
      </w:r>
      <w:r w:rsidRPr="00242AE1">
        <w:rPr>
          <w:b/>
          <w:color w:val="000000"/>
        </w:rPr>
        <w:t>:</w:t>
      </w:r>
    </w:p>
    <w:p w:rsidR="00316D29" w:rsidRDefault="00316D29" w:rsidP="009B3DAD">
      <w:pPr>
        <w:pStyle w:val="NoSpacing"/>
        <w:rPr>
          <w:i/>
          <w:color w:val="000000"/>
        </w:rPr>
      </w:pPr>
      <w:r w:rsidRPr="00322C4A">
        <w:rPr>
          <w:i/>
          <w:color w:val="000000"/>
        </w:rPr>
        <w:t xml:space="preserve">Describe </w:t>
      </w:r>
      <w:r w:rsidR="00E7305E">
        <w:rPr>
          <w:i/>
          <w:color w:val="000000"/>
        </w:rPr>
        <w:t>how the state is using funds under Section 243 to support the following activities under the IELCE program:</w:t>
      </w:r>
    </w:p>
    <w:p w:rsidR="00E7305E" w:rsidRDefault="00E7305E" w:rsidP="009B3DAD">
      <w:pPr>
        <w:pStyle w:val="NoSpacing"/>
        <w:rPr>
          <w:i/>
          <w:color w:val="000000"/>
        </w:rPr>
      </w:pPr>
    </w:p>
    <w:p w:rsidR="00E7305E" w:rsidRPr="000B6D76" w:rsidRDefault="00E7305E" w:rsidP="00E7305E">
      <w:pPr>
        <w:pStyle w:val="NoSpacing"/>
        <w:numPr>
          <w:ilvl w:val="0"/>
          <w:numId w:val="35"/>
        </w:numPr>
        <w:rPr>
          <w:b/>
        </w:rPr>
      </w:pPr>
      <w:r>
        <w:t>Describe when your state held a competition for IELCE program funds and the number of grants awarded by your state to support IELCE programs.</w:t>
      </w:r>
    </w:p>
    <w:p w:rsidR="000B6D76" w:rsidRDefault="000B6D76" w:rsidP="000B6D76">
      <w:pPr>
        <w:pStyle w:val="NoSpacing"/>
        <w:ind w:left="720"/>
      </w:pPr>
    </w:p>
    <w:p w:rsidR="000B6D76" w:rsidRDefault="007028F0" w:rsidP="000B6D76">
      <w:pPr>
        <w:pStyle w:val="NoSpacing"/>
        <w:ind w:left="720"/>
      </w:pPr>
      <w:r>
        <w:t>IDWD released a grant competition for IELCE funds in February 2017. Seven grants were awarded with implementation beginning July 1, 2017.</w:t>
      </w:r>
    </w:p>
    <w:p w:rsidR="000B6D76" w:rsidRPr="00E7305E" w:rsidRDefault="000B6D76" w:rsidP="000B6D76">
      <w:pPr>
        <w:pStyle w:val="NoSpacing"/>
        <w:ind w:left="720"/>
        <w:rPr>
          <w:b/>
        </w:rPr>
      </w:pPr>
    </w:p>
    <w:p w:rsidR="00E7305E" w:rsidRPr="000B6D76" w:rsidRDefault="00E7305E" w:rsidP="00E7305E">
      <w:pPr>
        <w:pStyle w:val="NoSpacing"/>
        <w:numPr>
          <w:ilvl w:val="0"/>
          <w:numId w:val="35"/>
        </w:numPr>
        <w:rPr>
          <w:b/>
        </w:rPr>
      </w:pPr>
      <w:r>
        <w:t>Describe your state</w:t>
      </w:r>
      <w:r w:rsidR="004D65B7">
        <w:t>’</w:t>
      </w:r>
      <w:r>
        <w:t>s efforts in meeting the requirement to provide IELCE serv</w:t>
      </w:r>
      <w:r w:rsidR="000B6D76">
        <w:t>ices in</w:t>
      </w:r>
      <w:r>
        <w:t xml:space="preserve"> combination with integrated education and training activities.</w:t>
      </w:r>
    </w:p>
    <w:p w:rsidR="000B6D76" w:rsidRDefault="000B6D76" w:rsidP="000B6D76">
      <w:pPr>
        <w:pStyle w:val="NoSpacing"/>
        <w:ind w:left="720"/>
      </w:pPr>
    </w:p>
    <w:p w:rsidR="000B6D76" w:rsidRDefault="000B6D76" w:rsidP="000B6D76">
      <w:pPr>
        <w:pStyle w:val="NoSpacing"/>
        <w:ind w:left="720"/>
      </w:pPr>
      <w:r>
        <w:t xml:space="preserve">IDWD continues to provide training in Integrated Education and Training as well as IELCE. Both topics were addressed with program directors during a training in the fall of 2016. After receiving a presentation on IET and IELCE, program directors were walked through a gap </w:t>
      </w:r>
      <w:r w:rsidR="00E60D97">
        <w:t xml:space="preserve">analysis </w:t>
      </w:r>
      <w:r>
        <w:t>to determine what components their programs had in place currently, what components they had access</w:t>
      </w:r>
      <w:r w:rsidR="00E60D97">
        <w:t xml:space="preserve"> to</w:t>
      </w:r>
      <w:r>
        <w:t xml:space="preserve"> through partners</w:t>
      </w:r>
      <w:r w:rsidR="000D59B5">
        <w:t>,</w:t>
      </w:r>
      <w:r>
        <w:t xml:space="preserve"> and where there were gaps. </w:t>
      </w:r>
    </w:p>
    <w:p w:rsidR="000B6D76" w:rsidRDefault="000B6D76" w:rsidP="000B6D76">
      <w:pPr>
        <w:pStyle w:val="NoSpacing"/>
        <w:ind w:left="720"/>
      </w:pPr>
    </w:p>
    <w:p w:rsidR="000B6D76" w:rsidRDefault="000B6D76" w:rsidP="000B6D76">
      <w:pPr>
        <w:pStyle w:val="NoSpacing"/>
        <w:ind w:left="720"/>
      </w:pPr>
      <w:r>
        <w:t>Monthly statewide calls from IDWD to the field</w:t>
      </w:r>
      <w:r w:rsidR="00207A43">
        <w:t xml:space="preserve"> have included sessions titled</w:t>
      </w:r>
      <w:r>
        <w:t xml:space="preserve"> WIOA 101. IET and IELCE have been included in </w:t>
      </w:r>
      <w:r w:rsidR="00EE4C82">
        <w:t>all of these presentations. Topics included how to fund IETs with special emphasis on the WorkINdiana program, “May versus Must” IETs and IELCE, student eligibility</w:t>
      </w:r>
      <w:r w:rsidR="00FB48A5">
        <w:t>,</w:t>
      </w:r>
      <w:r w:rsidR="00EE4C82">
        <w:t xml:space="preserve"> and partnerships.</w:t>
      </w:r>
    </w:p>
    <w:p w:rsidR="00EE4C82" w:rsidRDefault="00EE4C82" w:rsidP="000B6D76">
      <w:pPr>
        <w:pStyle w:val="NoSpacing"/>
        <w:ind w:left="720"/>
      </w:pPr>
    </w:p>
    <w:p w:rsidR="00EE4C82" w:rsidRDefault="007028F0" w:rsidP="000B6D76">
      <w:pPr>
        <w:pStyle w:val="NoSpacing"/>
        <w:ind w:left="720"/>
      </w:pPr>
      <w:r>
        <w:t>As</w:t>
      </w:r>
      <w:r w:rsidR="00EE4C82">
        <w:t xml:space="preserve"> a part of the 2017 RFP process, regional Town Halls were held in all 11 economic growth regions. These presentations included discussion of IELCE, the grant requirements</w:t>
      </w:r>
      <w:r w:rsidR="00FB48A5">
        <w:t>,</w:t>
      </w:r>
      <w:r w:rsidR="00EE4C82">
        <w:t xml:space="preserve"> and potential funding available.</w:t>
      </w:r>
    </w:p>
    <w:p w:rsidR="007028F0" w:rsidRDefault="007028F0" w:rsidP="000B6D76">
      <w:pPr>
        <w:pStyle w:val="NoSpacing"/>
        <w:ind w:left="720"/>
      </w:pPr>
    </w:p>
    <w:p w:rsidR="007028F0" w:rsidRDefault="007028F0" w:rsidP="000B6D76">
      <w:pPr>
        <w:pStyle w:val="NoSpacing"/>
        <w:ind w:left="720"/>
      </w:pPr>
      <w:r>
        <w:t xml:space="preserve">Finally, IDWD set up an IET/IELCE approval process. Programs must submit curriculum showing </w:t>
      </w:r>
      <w:r w:rsidR="00D34091">
        <w:t>all required components of and IET/IELCE class. Applications are reviewed by central office staff and technical assistance provided on any areas not meeting program requirements.</w:t>
      </w:r>
    </w:p>
    <w:p w:rsidR="00EE4C82" w:rsidRPr="00E7305E" w:rsidRDefault="00EE4C82" w:rsidP="000B6D76">
      <w:pPr>
        <w:pStyle w:val="NoSpacing"/>
        <w:ind w:left="720"/>
        <w:rPr>
          <w:b/>
        </w:rPr>
      </w:pPr>
    </w:p>
    <w:p w:rsidR="00E7305E" w:rsidRPr="00EE4C82" w:rsidRDefault="00E7305E" w:rsidP="00E7305E">
      <w:pPr>
        <w:pStyle w:val="NoSpacing"/>
        <w:numPr>
          <w:ilvl w:val="0"/>
          <w:numId w:val="35"/>
        </w:numPr>
        <w:rPr>
          <w:b/>
        </w:rPr>
      </w:pPr>
      <w:r>
        <w:t>Describe how the state is progressing towards program goals of preparing and placing IELCE program participants in unsubsidized employm</w:t>
      </w:r>
      <w:r w:rsidR="00A04B4F">
        <w:t>ent in i</w:t>
      </w:r>
      <w:r>
        <w:t>n-demand industries and occupations that lead to economic self-sufficiency as described in section 243©(1) and discuss any performance results, challenges</w:t>
      </w:r>
      <w:r w:rsidR="00A04B4F">
        <w:t>,</w:t>
      </w:r>
      <w:r>
        <w:t xml:space="preserve"> and </w:t>
      </w:r>
      <w:r w:rsidR="00CD704A">
        <w:t>lessons</w:t>
      </w:r>
      <w:r>
        <w:t xml:space="preserve"> learned from implementing those program </w:t>
      </w:r>
      <w:r w:rsidR="00CD704A">
        <w:t>goals.</w:t>
      </w:r>
    </w:p>
    <w:p w:rsidR="00EE4C82" w:rsidRDefault="00EE4C82" w:rsidP="00EE4C82">
      <w:pPr>
        <w:pStyle w:val="NoSpacing"/>
        <w:ind w:left="720"/>
      </w:pPr>
    </w:p>
    <w:p w:rsidR="00E60D97" w:rsidRPr="00E60D97" w:rsidRDefault="00EE4C82" w:rsidP="00E60D97">
      <w:pPr>
        <w:pStyle w:val="NoSpacing"/>
        <w:ind w:left="720"/>
        <w:rPr>
          <w:rFonts w:cs="Helvetica"/>
        </w:rPr>
      </w:pPr>
      <w:r>
        <w:t xml:space="preserve">IDWD has a history in providing entry level occupational skills training to adult education students through its WorkINdiana program. </w:t>
      </w:r>
      <w:r w:rsidR="00BD1D8D">
        <w:t xml:space="preserve">WorkINdiana provides funding for students to obtain occupational training and certification in entry level occupations in demand in local regions. </w:t>
      </w:r>
      <w:r>
        <w:t xml:space="preserve">Previous data analysis showed few ELL students were being served through the program. </w:t>
      </w:r>
      <w:r w:rsidR="00E60D97">
        <w:t xml:space="preserve">As a result IDWD applied for and was </w:t>
      </w:r>
      <w:r w:rsidR="00E60D97" w:rsidRPr="00E60D97">
        <w:t xml:space="preserve">awarded ESL Pro Technical assistance. </w:t>
      </w:r>
      <w:r w:rsidR="00E60D97">
        <w:t>T</w:t>
      </w:r>
      <w:r w:rsidR="00E60D97" w:rsidRPr="00E60D97">
        <w:t>his technical assistance</w:t>
      </w:r>
      <w:r w:rsidR="00E60D97">
        <w:t xml:space="preserve"> was completed in PY 15 and</w:t>
      </w:r>
      <w:r w:rsidR="00E60D97" w:rsidRPr="00E60D97">
        <w:t xml:space="preserve"> focused on </w:t>
      </w:r>
      <w:r w:rsidR="00E60D97" w:rsidRPr="00E60D97">
        <w:rPr>
          <w:rFonts w:cs="Helvetica"/>
        </w:rPr>
        <w:t xml:space="preserve">integrating work and career pathways into English Language Acquisition </w:t>
      </w:r>
      <w:r w:rsidR="00D34091">
        <w:rPr>
          <w:rFonts w:cs="Helvetica"/>
        </w:rPr>
        <w:t>instruction. Outcomes include:</w:t>
      </w:r>
    </w:p>
    <w:p w:rsidR="00E60D97" w:rsidRPr="00E60D97" w:rsidRDefault="00E60D97" w:rsidP="00E60D97">
      <w:pPr>
        <w:pStyle w:val="NoSpacing"/>
      </w:pPr>
    </w:p>
    <w:p w:rsidR="00E60D97" w:rsidRPr="00E60D97" w:rsidRDefault="00E60D97" w:rsidP="00E60D97">
      <w:pPr>
        <w:pStyle w:val="NoSpacing"/>
        <w:numPr>
          <w:ilvl w:val="0"/>
          <w:numId w:val="32"/>
        </w:numPr>
        <w:rPr>
          <w:bCs/>
        </w:rPr>
      </w:pPr>
      <w:r w:rsidRPr="00E60D97">
        <w:rPr>
          <w:rFonts w:cs="Helvetica"/>
        </w:rPr>
        <w:t>Creating a group of ELA Ambassadors made up of local program staff to assist in promoting and</w:t>
      </w:r>
      <w:r w:rsidR="004652B3">
        <w:rPr>
          <w:rFonts w:cs="Helvetica"/>
        </w:rPr>
        <w:t>/</w:t>
      </w:r>
      <w:r w:rsidRPr="00E60D97">
        <w:rPr>
          <w:rFonts w:cs="Helvetica"/>
        </w:rPr>
        <w:t xml:space="preserve">or delivering the ESLPro resources and trainings. </w:t>
      </w:r>
    </w:p>
    <w:p w:rsidR="00E60D97" w:rsidRPr="00E60D97" w:rsidRDefault="00E60D97" w:rsidP="00E60D97">
      <w:pPr>
        <w:pStyle w:val="NoSpacing"/>
        <w:numPr>
          <w:ilvl w:val="0"/>
          <w:numId w:val="32"/>
        </w:numPr>
        <w:rPr>
          <w:bCs/>
        </w:rPr>
      </w:pPr>
      <w:r w:rsidRPr="00E60D97">
        <w:rPr>
          <w:rFonts w:cs="Helvetica"/>
        </w:rPr>
        <w:t xml:space="preserve">Cross training AE and Workforce Development staff on how to support ELLs during transitions. </w:t>
      </w:r>
    </w:p>
    <w:p w:rsidR="00E60D97" w:rsidRPr="00E60D97" w:rsidRDefault="00E60D97" w:rsidP="00E60D97">
      <w:pPr>
        <w:pStyle w:val="NoSpacing"/>
        <w:numPr>
          <w:ilvl w:val="0"/>
          <w:numId w:val="32"/>
        </w:numPr>
        <w:rPr>
          <w:bCs/>
        </w:rPr>
      </w:pPr>
      <w:r w:rsidRPr="00E60D97">
        <w:rPr>
          <w:bCs/>
        </w:rPr>
        <w:t>Increasing ELL participation in IDWD’s WorkINdiana bridge program.</w:t>
      </w:r>
    </w:p>
    <w:p w:rsidR="00EE4C82" w:rsidRPr="00BD1D8D" w:rsidRDefault="00EE4C82" w:rsidP="00D34091">
      <w:pPr>
        <w:pStyle w:val="NoSpacing"/>
      </w:pPr>
    </w:p>
    <w:p w:rsidR="000801FC" w:rsidRDefault="00D34091" w:rsidP="00EE4C82">
      <w:pPr>
        <w:pStyle w:val="NoSpacing"/>
        <w:ind w:left="720"/>
      </w:pPr>
      <w:r>
        <w:t>IDWD launched Indiana Career Ready this year. ICR enables</w:t>
      </w:r>
      <w:r w:rsidR="00207A43">
        <w:t xml:space="preserve"> </w:t>
      </w:r>
      <w:r w:rsidR="00EE4C82">
        <w:t>students, employers</w:t>
      </w:r>
      <w:r w:rsidR="00767BE4">
        <w:t>,</w:t>
      </w:r>
      <w:r w:rsidR="00EE4C82">
        <w:t xml:space="preserve"> and educators </w:t>
      </w:r>
      <w:r w:rsidR="00207A43">
        <w:t>to use employer job requirements and job demand in making training and education decisions.</w:t>
      </w:r>
      <w:r w:rsidR="004A09DE">
        <w:t xml:space="preserve"> </w:t>
      </w:r>
      <w:r>
        <w:t xml:space="preserve">As a part of the IET/IELCE application process, Adult Education programs must access ICR and submit the job demand for positions that will result from proposed training. </w:t>
      </w:r>
      <w:r w:rsidR="004A09DE">
        <w:t>This information will ensure training offered aligns with employer needs as well as job openings.</w:t>
      </w:r>
    </w:p>
    <w:p w:rsidR="006E2B7F" w:rsidRDefault="006E2B7F" w:rsidP="00EE4C82">
      <w:pPr>
        <w:pStyle w:val="NoSpacing"/>
        <w:ind w:left="720"/>
      </w:pPr>
    </w:p>
    <w:p w:rsidR="006E2B7F" w:rsidRPr="007B2E5E" w:rsidRDefault="006E2B7F" w:rsidP="006E2B7F">
      <w:pPr>
        <w:pStyle w:val="ListParagraph"/>
        <w:numPr>
          <w:ilvl w:val="0"/>
          <w:numId w:val="35"/>
        </w:numPr>
        <w:autoSpaceDE w:val="0"/>
        <w:autoSpaceDN w:val="0"/>
        <w:rPr>
          <w:rFonts w:ascii="Times New Roman" w:hAnsi="Times New Roman"/>
          <w:sz w:val="24"/>
          <w:szCs w:val="24"/>
        </w:rPr>
      </w:pPr>
      <w:r w:rsidRPr="007B2E5E">
        <w:rPr>
          <w:rFonts w:ascii="Times New Roman" w:hAnsi="Times New Roman"/>
          <w:sz w:val="24"/>
          <w:szCs w:val="24"/>
        </w:rPr>
        <w:t xml:space="preserve">Describe how the State is progressing towards program goals of ensuring that IELCE program activities are integrated with the local workforce development system and its functions as </w:t>
      </w:r>
      <w:r w:rsidRPr="007B2E5E">
        <w:rPr>
          <w:rFonts w:ascii="Times New Roman" w:hAnsi="Times New Roman"/>
          <w:sz w:val="24"/>
          <w:szCs w:val="24"/>
        </w:rPr>
        <w:lastRenderedPageBreak/>
        <w:t>described in section 243(c)(2) and discuss any performance results, challenges, and lessons learned from implementing those program goals.</w:t>
      </w:r>
    </w:p>
    <w:p w:rsidR="006E2B7F" w:rsidRPr="007B2E5E" w:rsidRDefault="006E2B7F" w:rsidP="006E2B7F">
      <w:pPr>
        <w:pStyle w:val="ListParagraph"/>
        <w:autoSpaceDE w:val="0"/>
        <w:autoSpaceDN w:val="0"/>
        <w:rPr>
          <w:rFonts w:ascii="Times New Roman" w:hAnsi="Times New Roman"/>
          <w:sz w:val="24"/>
          <w:szCs w:val="24"/>
        </w:rPr>
      </w:pPr>
    </w:p>
    <w:p w:rsidR="006E2B7F" w:rsidRPr="006E2B7F" w:rsidRDefault="007C2164" w:rsidP="006E2B7F">
      <w:pPr>
        <w:pStyle w:val="ListParagraph"/>
        <w:autoSpaceDE w:val="0"/>
        <w:autoSpaceDN w:val="0"/>
        <w:rPr>
          <w:rFonts w:ascii="Times New Roman" w:hAnsi="Times New Roman"/>
          <w:sz w:val="24"/>
          <w:szCs w:val="24"/>
        </w:rPr>
      </w:pPr>
      <w:r w:rsidRPr="007B2E5E">
        <w:rPr>
          <w:rFonts w:ascii="Times New Roman" w:hAnsi="Times New Roman"/>
          <w:sz w:val="24"/>
          <w:szCs w:val="24"/>
        </w:rPr>
        <w:t>IDWD AE programs are organized into regional consortia. These consortia align with the state</w:t>
      </w:r>
      <w:r w:rsidR="000801FC" w:rsidRPr="007B2E5E">
        <w:rPr>
          <w:rFonts w:ascii="Times New Roman" w:hAnsi="Times New Roman"/>
          <w:sz w:val="24"/>
          <w:szCs w:val="24"/>
        </w:rPr>
        <w:t>’</w:t>
      </w:r>
      <w:r w:rsidRPr="007B2E5E">
        <w:rPr>
          <w:rFonts w:ascii="Times New Roman" w:hAnsi="Times New Roman"/>
          <w:sz w:val="24"/>
          <w:szCs w:val="24"/>
        </w:rPr>
        <w:t xml:space="preserve">s local economic growth regions. </w:t>
      </w:r>
      <w:r w:rsidR="00C13C52" w:rsidRPr="007B2E5E">
        <w:rPr>
          <w:rFonts w:ascii="Times New Roman" w:hAnsi="Times New Roman"/>
          <w:sz w:val="24"/>
          <w:szCs w:val="24"/>
        </w:rPr>
        <w:t xml:space="preserve">WDB members have participated in these regional consortia for many years. As a result, the local WDBs have been involved in the AE WIOA implementation process including integrating IELCE with the local workforce development system. </w:t>
      </w:r>
      <w:r w:rsidR="000801FC" w:rsidRPr="007B2E5E">
        <w:rPr>
          <w:rFonts w:ascii="Times New Roman" w:hAnsi="Times New Roman"/>
          <w:sz w:val="24"/>
          <w:szCs w:val="24"/>
        </w:rPr>
        <w:t>IDWD is using lesson</w:t>
      </w:r>
      <w:r w:rsidR="00060805">
        <w:rPr>
          <w:rFonts w:ascii="Times New Roman" w:hAnsi="Times New Roman"/>
          <w:sz w:val="24"/>
          <w:szCs w:val="24"/>
        </w:rPr>
        <w:t>s</w:t>
      </w:r>
      <w:r w:rsidR="00C13C52" w:rsidRPr="007B2E5E">
        <w:rPr>
          <w:rFonts w:ascii="Times New Roman" w:hAnsi="Times New Roman"/>
          <w:sz w:val="24"/>
          <w:szCs w:val="24"/>
        </w:rPr>
        <w:t xml:space="preserve"> learned from our WorkINdiana program to implement IET programming across the state, including IELCE programming. Since WorkINdiana’s inception participants have been co</w:t>
      </w:r>
      <w:r w:rsidR="00060805">
        <w:rPr>
          <w:rFonts w:ascii="Times New Roman" w:hAnsi="Times New Roman"/>
          <w:sz w:val="24"/>
          <w:szCs w:val="24"/>
        </w:rPr>
        <w:t>-</w:t>
      </w:r>
      <w:r w:rsidR="00C13C52" w:rsidRPr="007B2E5E">
        <w:rPr>
          <w:rFonts w:ascii="Times New Roman" w:hAnsi="Times New Roman"/>
          <w:sz w:val="24"/>
          <w:szCs w:val="24"/>
        </w:rPr>
        <w:t xml:space="preserve"> enrolled in both Title I and Title II services. This program</w:t>
      </w:r>
      <w:r w:rsidR="00060805">
        <w:rPr>
          <w:rFonts w:ascii="Times New Roman" w:hAnsi="Times New Roman"/>
          <w:sz w:val="24"/>
          <w:szCs w:val="24"/>
        </w:rPr>
        <w:t>’</w:t>
      </w:r>
      <w:r w:rsidR="00C13C52" w:rsidRPr="007B2E5E">
        <w:rPr>
          <w:rFonts w:ascii="Times New Roman" w:hAnsi="Times New Roman"/>
          <w:sz w:val="24"/>
          <w:szCs w:val="24"/>
        </w:rPr>
        <w:t xml:space="preserve">s history has helped us to identify potential barriers in the integration process for IELCE. </w:t>
      </w:r>
      <w:r w:rsidR="000801FC" w:rsidRPr="007B2E5E">
        <w:rPr>
          <w:rFonts w:ascii="Times New Roman" w:hAnsi="Times New Roman"/>
          <w:sz w:val="24"/>
          <w:szCs w:val="24"/>
        </w:rPr>
        <w:t>As mentioned previously, we have seen low levels of enrollment by our ELL population into WorkINdiana. Cross trainings between workforce and AE staff are being developed with a focus on assisting ELLs in the transition process.</w:t>
      </w:r>
    </w:p>
    <w:p w:rsidR="002B456A" w:rsidRDefault="002B456A" w:rsidP="009B3DAD">
      <w:pPr>
        <w:spacing w:after="0" w:line="240" w:lineRule="auto"/>
        <w:rPr>
          <w:rFonts w:ascii="Times New Roman" w:hAnsi="Times New Roman"/>
          <w:b/>
          <w:color w:val="000000"/>
          <w:sz w:val="24"/>
          <w:szCs w:val="24"/>
        </w:rPr>
      </w:pPr>
    </w:p>
    <w:p w:rsidR="00322C4A" w:rsidRPr="00D34091" w:rsidRDefault="00322C4A" w:rsidP="009B3DAD">
      <w:pPr>
        <w:spacing w:after="0" w:line="240" w:lineRule="auto"/>
        <w:rPr>
          <w:rFonts w:ascii="Times New Roman" w:hAnsi="Times New Roman"/>
          <w:b/>
          <w:color w:val="000000"/>
          <w:sz w:val="24"/>
          <w:szCs w:val="24"/>
        </w:rPr>
      </w:pPr>
      <w:r w:rsidRPr="00D34091">
        <w:rPr>
          <w:rFonts w:ascii="Times New Roman" w:hAnsi="Times New Roman"/>
          <w:b/>
          <w:color w:val="000000"/>
          <w:sz w:val="24"/>
          <w:szCs w:val="24"/>
        </w:rPr>
        <w:t>Adult Education Standards:</w:t>
      </w:r>
    </w:p>
    <w:p w:rsidR="00A328EC" w:rsidRPr="00D34091" w:rsidRDefault="00CD704A" w:rsidP="009B3DAD">
      <w:pPr>
        <w:pStyle w:val="NoSpacing"/>
        <w:rPr>
          <w:i/>
        </w:rPr>
      </w:pPr>
      <w:r w:rsidRPr="00D34091">
        <w:rPr>
          <w:i/>
        </w:rPr>
        <w:t>If your state has adopted new challenging K-12 standards under title I of the Elementary and Secondary Education Act of 1965, as amended, describe how your Adult Education content standards are aligned with those K-12 standards.</w:t>
      </w:r>
    </w:p>
    <w:p w:rsidR="00CD704A" w:rsidRPr="00D34091" w:rsidRDefault="00CD704A" w:rsidP="009B3DAD">
      <w:pPr>
        <w:pStyle w:val="NoSpacing"/>
        <w:rPr>
          <w:i/>
        </w:rPr>
      </w:pPr>
    </w:p>
    <w:p w:rsidR="0048468D" w:rsidRPr="00D34091" w:rsidRDefault="007F5823" w:rsidP="00392320">
      <w:pPr>
        <w:spacing w:after="0" w:line="240" w:lineRule="auto"/>
        <w:ind w:left="720"/>
        <w:rPr>
          <w:rFonts w:ascii="Times New Roman" w:hAnsi="Times New Roman"/>
          <w:sz w:val="24"/>
          <w:szCs w:val="24"/>
        </w:rPr>
      </w:pPr>
      <w:r w:rsidRPr="00D34091">
        <w:rPr>
          <w:rFonts w:ascii="Times New Roman" w:hAnsi="Times New Roman"/>
          <w:sz w:val="24"/>
          <w:szCs w:val="24"/>
        </w:rPr>
        <w:t>Indiana Department of Education (</w:t>
      </w:r>
      <w:r w:rsidR="00634A0D" w:rsidRPr="00D34091">
        <w:rPr>
          <w:rFonts w:ascii="Times New Roman" w:hAnsi="Times New Roman"/>
          <w:sz w:val="24"/>
          <w:szCs w:val="24"/>
        </w:rPr>
        <w:t>IDOE</w:t>
      </w:r>
      <w:r w:rsidRPr="00D34091">
        <w:rPr>
          <w:rFonts w:ascii="Times New Roman" w:hAnsi="Times New Roman"/>
          <w:sz w:val="24"/>
          <w:szCs w:val="24"/>
        </w:rPr>
        <w:t>)</w:t>
      </w:r>
      <w:r w:rsidR="00634A0D" w:rsidRPr="00D34091">
        <w:rPr>
          <w:rFonts w:ascii="Times New Roman" w:hAnsi="Times New Roman"/>
          <w:sz w:val="24"/>
          <w:szCs w:val="24"/>
        </w:rPr>
        <w:t xml:space="preserve"> adopted Indiana Academic Standards in April 2014 for K-12</w:t>
      </w:r>
      <w:r w:rsidR="008326EA" w:rsidRPr="00D34091">
        <w:rPr>
          <w:rFonts w:ascii="Times New Roman" w:hAnsi="Times New Roman"/>
          <w:sz w:val="24"/>
          <w:szCs w:val="24"/>
        </w:rPr>
        <w:t>. With few variations these align with the Common Core.</w:t>
      </w:r>
      <w:r w:rsidR="00767BE4">
        <w:rPr>
          <w:rFonts w:ascii="Times New Roman" w:hAnsi="Times New Roman"/>
          <w:sz w:val="24"/>
          <w:szCs w:val="24"/>
        </w:rPr>
        <w:t xml:space="preserve"> </w:t>
      </w:r>
      <w:r w:rsidRPr="00D34091">
        <w:rPr>
          <w:rFonts w:ascii="Times New Roman" w:hAnsi="Times New Roman"/>
          <w:sz w:val="24"/>
          <w:szCs w:val="24"/>
        </w:rPr>
        <w:t>IDWD</w:t>
      </w:r>
      <w:r w:rsidR="00634A0D" w:rsidRPr="00D34091">
        <w:rPr>
          <w:rFonts w:ascii="Times New Roman" w:hAnsi="Times New Roman"/>
          <w:sz w:val="24"/>
          <w:szCs w:val="24"/>
        </w:rPr>
        <w:t xml:space="preserve"> has adopted </w:t>
      </w:r>
      <w:r w:rsidR="008F095B" w:rsidRPr="00D34091">
        <w:rPr>
          <w:rFonts w:ascii="Times New Roman" w:hAnsi="Times New Roman"/>
          <w:sz w:val="24"/>
          <w:szCs w:val="24"/>
        </w:rPr>
        <w:t>OCTAE’s College and Career Readiness (CCR) Standards for Adult Education</w:t>
      </w:r>
      <w:r w:rsidR="00634A0D" w:rsidRPr="00D34091">
        <w:rPr>
          <w:rFonts w:ascii="Times New Roman" w:hAnsi="Times New Roman"/>
          <w:sz w:val="24"/>
          <w:szCs w:val="24"/>
        </w:rPr>
        <w:t xml:space="preserve"> a subset</w:t>
      </w:r>
      <w:r w:rsidR="008326EA" w:rsidRPr="00D34091">
        <w:rPr>
          <w:rFonts w:ascii="Times New Roman" w:hAnsi="Times New Roman"/>
          <w:sz w:val="24"/>
          <w:szCs w:val="24"/>
        </w:rPr>
        <w:t xml:space="preserve"> of the Common Core.</w:t>
      </w:r>
    </w:p>
    <w:p w:rsidR="002B456A" w:rsidRDefault="002B456A" w:rsidP="007F5823">
      <w:pPr>
        <w:spacing w:after="0"/>
        <w:rPr>
          <w:rFonts w:ascii="Times New Roman" w:hAnsi="Times New Roman"/>
          <w:b/>
          <w:sz w:val="24"/>
          <w:szCs w:val="24"/>
        </w:rPr>
      </w:pPr>
    </w:p>
    <w:p w:rsidR="007F5823" w:rsidRPr="00D34091" w:rsidRDefault="00CD704A" w:rsidP="007F5823">
      <w:pPr>
        <w:spacing w:after="0"/>
        <w:rPr>
          <w:rFonts w:ascii="Times New Roman" w:hAnsi="Times New Roman"/>
          <w:sz w:val="24"/>
          <w:szCs w:val="24"/>
        </w:rPr>
      </w:pPr>
      <w:r w:rsidRPr="00D34091">
        <w:rPr>
          <w:rFonts w:ascii="Times New Roman" w:hAnsi="Times New Roman"/>
          <w:b/>
          <w:sz w:val="24"/>
          <w:szCs w:val="24"/>
        </w:rPr>
        <w:t xml:space="preserve">Programs for Corrections Education and the Education of other Institutionalized Individuals </w:t>
      </w:r>
      <w:r w:rsidRPr="00D34091">
        <w:rPr>
          <w:rFonts w:ascii="Times New Roman" w:hAnsi="Times New Roman"/>
          <w:sz w:val="24"/>
          <w:szCs w:val="24"/>
        </w:rPr>
        <w:t>(AEFLA Section 225):</w:t>
      </w:r>
    </w:p>
    <w:p w:rsidR="00CD704A" w:rsidRPr="00D34091" w:rsidRDefault="00CD704A" w:rsidP="007F5823">
      <w:pPr>
        <w:spacing w:after="0"/>
        <w:rPr>
          <w:rFonts w:ascii="Times New Roman" w:hAnsi="Times New Roman"/>
          <w:sz w:val="24"/>
          <w:szCs w:val="24"/>
        </w:rPr>
      </w:pPr>
      <w:r w:rsidRPr="00D34091">
        <w:rPr>
          <w:rFonts w:ascii="Times New Roman" w:hAnsi="Times New Roman"/>
          <w:i/>
          <w:sz w:val="24"/>
          <w:szCs w:val="24"/>
        </w:rPr>
        <w:t>What was the relative rate of recidivism for criminal offenders served? Please describe the methods and factors used in calculating the rate for this reporting period.</w:t>
      </w:r>
    </w:p>
    <w:p w:rsidR="00392320" w:rsidRPr="00D34091" w:rsidRDefault="00392320" w:rsidP="00392320">
      <w:pPr>
        <w:pStyle w:val="ListParagraph"/>
        <w:rPr>
          <w:rFonts w:ascii="Times New Roman" w:hAnsi="Times New Roman"/>
          <w:sz w:val="24"/>
          <w:szCs w:val="24"/>
        </w:rPr>
      </w:pPr>
    </w:p>
    <w:p w:rsidR="00392320" w:rsidRPr="00D34091" w:rsidRDefault="00392320" w:rsidP="00392320">
      <w:pPr>
        <w:pStyle w:val="ListParagraph"/>
        <w:autoSpaceDE w:val="0"/>
        <w:autoSpaceDN w:val="0"/>
        <w:rPr>
          <w:rFonts w:ascii="Times New Roman" w:hAnsi="Times New Roman"/>
          <w:sz w:val="24"/>
          <w:szCs w:val="24"/>
        </w:rPr>
      </w:pPr>
      <w:r w:rsidRPr="00D34091">
        <w:rPr>
          <w:rFonts w:ascii="Times New Roman" w:hAnsi="Times New Roman"/>
          <w:sz w:val="24"/>
          <w:szCs w:val="24"/>
        </w:rPr>
        <w:t>Indiana measures recidivism by criminal acts resulting in rearrests, reconviction</w:t>
      </w:r>
      <w:r w:rsidR="00060805">
        <w:rPr>
          <w:rFonts w:ascii="Times New Roman" w:hAnsi="Times New Roman"/>
          <w:sz w:val="24"/>
          <w:szCs w:val="24"/>
        </w:rPr>
        <w:t>,</w:t>
      </w:r>
      <w:r w:rsidR="001D5957" w:rsidRPr="00D34091" w:rsidDel="001D5957">
        <w:rPr>
          <w:rFonts w:ascii="Times New Roman" w:hAnsi="Times New Roman"/>
          <w:sz w:val="24"/>
          <w:szCs w:val="24"/>
        </w:rPr>
        <w:t xml:space="preserve"> </w:t>
      </w:r>
      <w:r w:rsidR="001D5957" w:rsidRPr="00D34091">
        <w:rPr>
          <w:rFonts w:ascii="Times New Roman" w:hAnsi="Times New Roman"/>
          <w:sz w:val="24"/>
          <w:szCs w:val="24"/>
        </w:rPr>
        <w:t>a</w:t>
      </w:r>
      <w:r w:rsidRPr="00D34091">
        <w:rPr>
          <w:rFonts w:ascii="Times New Roman" w:hAnsi="Times New Roman"/>
          <w:sz w:val="24"/>
          <w:szCs w:val="24"/>
        </w:rPr>
        <w:t xml:space="preserve">nd/or return to prison with or without a new sentence during a three year period following the offender’s date of release from an Indiana Department of Correction (IDOC) facility. The lower the level of formal education attained while incarcerated, the higher the likelihood of recidivism.  </w:t>
      </w:r>
    </w:p>
    <w:p w:rsidR="00392320" w:rsidRPr="00D34091" w:rsidRDefault="00392320" w:rsidP="00392320">
      <w:pPr>
        <w:pStyle w:val="ListParagraph"/>
        <w:autoSpaceDE w:val="0"/>
        <w:autoSpaceDN w:val="0"/>
        <w:rPr>
          <w:rFonts w:ascii="Times New Roman" w:hAnsi="Times New Roman"/>
          <w:sz w:val="24"/>
          <w:szCs w:val="24"/>
        </w:rPr>
      </w:pPr>
    </w:p>
    <w:p w:rsidR="00392320" w:rsidRPr="00D34091" w:rsidRDefault="00392320" w:rsidP="00392320">
      <w:pPr>
        <w:pStyle w:val="ListParagraph"/>
        <w:autoSpaceDE w:val="0"/>
        <w:autoSpaceDN w:val="0"/>
        <w:rPr>
          <w:rFonts w:ascii="Times New Roman" w:hAnsi="Times New Roman"/>
          <w:sz w:val="24"/>
          <w:szCs w:val="24"/>
        </w:rPr>
      </w:pPr>
      <w:r w:rsidRPr="00D34091">
        <w:rPr>
          <w:rFonts w:ascii="Times New Roman" w:hAnsi="Times New Roman"/>
          <w:sz w:val="24"/>
          <w:szCs w:val="24"/>
        </w:rPr>
        <w:t>The overall return rate for IDOC hovers between 37% and 38%. The recidivism rate among offenders who complete college degree programs is 31%; the recidivism rate among offenders completing the high school equivalency program is 46%; and, the recidivism rate among offenders who exited with an education status below the high school equivalency is 55%.</w:t>
      </w:r>
    </w:p>
    <w:p w:rsidR="00392320" w:rsidRPr="00D34091" w:rsidRDefault="00392320" w:rsidP="00392320">
      <w:pPr>
        <w:pStyle w:val="ListParagraph"/>
        <w:autoSpaceDE w:val="0"/>
        <w:autoSpaceDN w:val="0"/>
        <w:rPr>
          <w:rFonts w:ascii="Times New Roman" w:hAnsi="Times New Roman"/>
          <w:sz w:val="24"/>
          <w:szCs w:val="24"/>
        </w:rPr>
      </w:pPr>
    </w:p>
    <w:p w:rsidR="00392320" w:rsidRPr="00392320" w:rsidRDefault="00392320" w:rsidP="00392320">
      <w:pPr>
        <w:pStyle w:val="ListParagraph"/>
        <w:autoSpaceDE w:val="0"/>
        <w:autoSpaceDN w:val="0"/>
        <w:rPr>
          <w:rFonts w:ascii="Times New Roman" w:hAnsi="Times New Roman"/>
          <w:sz w:val="24"/>
          <w:szCs w:val="24"/>
        </w:rPr>
      </w:pPr>
      <w:r w:rsidRPr="00D34091">
        <w:rPr>
          <w:rFonts w:ascii="Times New Roman" w:hAnsi="Times New Roman"/>
          <w:sz w:val="24"/>
          <w:szCs w:val="24"/>
        </w:rPr>
        <w:t>An offender who has not achieved the high school equivalency diploma is almost 2.8 times more likely to become a recidivist offender than one who has a high school diploma or its equivalent.</w:t>
      </w:r>
    </w:p>
    <w:p w:rsidR="00392320" w:rsidRPr="007F5823" w:rsidRDefault="00392320" w:rsidP="007F5823">
      <w:pPr>
        <w:autoSpaceDE w:val="0"/>
        <w:autoSpaceDN w:val="0"/>
        <w:rPr>
          <w:rFonts w:ascii="Times New Roman" w:hAnsi="Times New Roman"/>
          <w:sz w:val="24"/>
          <w:szCs w:val="24"/>
        </w:rPr>
      </w:pPr>
    </w:p>
    <w:p w:rsidR="00392320" w:rsidRPr="00CD704A" w:rsidRDefault="00392320" w:rsidP="00392320">
      <w:pPr>
        <w:pStyle w:val="ListParagraph"/>
        <w:rPr>
          <w:rFonts w:ascii="Times New Roman" w:hAnsi="Times New Roman"/>
          <w:sz w:val="24"/>
          <w:szCs w:val="24"/>
        </w:rPr>
      </w:pPr>
    </w:p>
    <w:p w:rsidR="0048468D" w:rsidRPr="0048468D" w:rsidRDefault="0048468D" w:rsidP="009B3DAD">
      <w:pPr>
        <w:spacing w:after="0" w:line="240" w:lineRule="auto"/>
        <w:rPr>
          <w:rFonts w:ascii="Times New Roman" w:hAnsi="Times New Roman"/>
          <w:sz w:val="24"/>
          <w:szCs w:val="24"/>
        </w:rPr>
      </w:pPr>
    </w:p>
    <w:p w:rsidR="00CA2022" w:rsidRDefault="00CA2022" w:rsidP="009B3DAD">
      <w:pPr>
        <w:spacing w:after="0" w:line="240" w:lineRule="auto"/>
        <w:rPr>
          <w:rFonts w:ascii="Times New Roman" w:hAnsi="Times New Roman"/>
          <w:sz w:val="24"/>
          <w:szCs w:val="24"/>
        </w:rPr>
      </w:pPr>
    </w:p>
    <w:sectPr w:rsidR="00CA2022" w:rsidSect="00BF620E">
      <w:footerReference w:type="default" r:id="rId9"/>
      <w:pgSz w:w="12240" w:h="15840"/>
      <w:pgMar w:top="1260" w:right="1080" w:bottom="126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D9" w:rsidRDefault="002F0AD9" w:rsidP="00BF0D40">
      <w:pPr>
        <w:spacing w:after="0" w:line="240" w:lineRule="auto"/>
      </w:pPr>
      <w:r>
        <w:separator/>
      </w:r>
    </w:p>
  </w:endnote>
  <w:endnote w:type="continuationSeparator" w:id="0">
    <w:p w:rsidR="002F0AD9" w:rsidRDefault="002F0AD9" w:rsidP="00BF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8329"/>
      <w:docPartObj>
        <w:docPartGallery w:val="Page Numbers (Bottom of Page)"/>
        <w:docPartUnique/>
      </w:docPartObj>
    </w:sdtPr>
    <w:sdtEndPr/>
    <w:sdtContent>
      <w:p w:rsidR="00992B30" w:rsidRDefault="00992B30">
        <w:pPr>
          <w:pStyle w:val="Footer"/>
          <w:jc w:val="right"/>
        </w:pPr>
        <w:r>
          <w:fldChar w:fldCharType="begin"/>
        </w:r>
        <w:r>
          <w:instrText xml:space="preserve"> PAGE   \* MERGEFORMAT </w:instrText>
        </w:r>
        <w:r>
          <w:fldChar w:fldCharType="separate"/>
        </w:r>
        <w:r w:rsidR="0055212D">
          <w:rPr>
            <w:noProof/>
          </w:rPr>
          <w:t>4</w:t>
        </w:r>
        <w:r>
          <w:rPr>
            <w:noProof/>
          </w:rPr>
          <w:fldChar w:fldCharType="end"/>
        </w:r>
      </w:p>
    </w:sdtContent>
  </w:sdt>
  <w:p w:rsidR="00992B30" w:rsidRPr="0020134F" w:rsidRDefault="00992B30" w:rsidP="00817F59">
    <w:pPr>
      <w:pStyle w:val="Footer"/>
      <w:spacing w:line="240" w:lineRule="auto"/>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D9" w:rsidRDefault="002F0AD9" w:rsidP="00BF0D40">
      <w:pPr>
        <w:spacing w:after="0" w:line="240" w:lineRule="auto"/>
      </w:pPr>
      <w:r>
        <w:separator/>
      </w:r>
    </w:p>
  </w:footnote>
  <w:footnote w:type="continuationSeparator" w:id="0">
    <w:p w:rsidR="002F0AD9" w:rsidRDefault="002F0AD9" w:rsidP="00BF0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32D"/>
    <w:multiLevelType w:val="hybridMultilevel"/>
    <w:tmpl w:val="C62AC9F8"/>
    <w:lvl w:ilvl="0" w:tplc="DCE24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05AC"/>
    <w:multiLevelType w:val="hybridMultilevel"/>
    <w:tmpl w:val="7D083B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49917C9"/>
    <w:multiLevelType w:val="hybridMultilevel"/>
    <w:tmpl w:val="439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788"/>
    <w:multiLevelType w:val="hybridMultilevel"/>
    <w:tmpl w:val="AB2056D0"/>
    <w:lvl w:ilvl="0" w:tplc="051C57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D1A8A"/>
    <w:multiLevelType w:val="hybridMultilevel"/>
    <w:tmpl w:val="88A8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04A57"/>
    <w:multiLevelType w:val="hybridMultilevel"/>
    <w:tmpl w:val="322C2CC8"/>
    <w:lvl w:ilvl="0" w:tplc="831A0BB2">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C21C3B"/>
    <w:multiLevelType w:val="hybridMultilevel"/>
    <w:tmpl w:val="5906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55C52"/>
    <w:multiLevelType w:val="hybridMultilevel"/>
    <w:tmpl w:val="05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77EC1"/>
    <w:multiLevelType w:val="hybridMultilevel"/>
    <w:tmpl w:val="0F6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D5952"/>
    <w:multiLevelType w:val="hybridMultilevel"/>
    <w:tmpl w:val="B2B8B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254D1"/>
    <w:multiLevelType w:val="hybridMultilevel"/>
    <w:tmpl w:val="C2F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C47AE"/>
    <w:multiLevelType w:val="hybridMultilevel"/>
    <w:tmpl w:val="5A84D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921A8"/>
    <w:multiLevelType w:val="hybridMultilevel"/>
    <w:tmpl w:val="ADEA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36089"/>
    <w:multiLevelType w:val="hybridMultilevel"/>
    <w:tmpl w:val="84A08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CA36E3B"/>
    <w:multiLevelType w:val="hybridMultilevel"/>
    <w:tmpl w:val="B2C4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63299"/>
    <w:multiLevelType w:val="hybridMultilevel"/>
    <w:tmpl w:val="CD107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581F39"/>
    <w:multiLevelType w:val="hybridMultilevel"/>
    <w:tmpl w:val="1AE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339D0"/>
    <w:multiLevelType w:val="multilevel"/>
    <w:tmpl w:val="D31452C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B71ED"/>
    <w:multiLevelType w:val="hybridMultilevel"/>
    <w:tmpl w:val="0F268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6562C"/>
    <w:multiLevelType w:val="hybridMultilevel"/>
    <w:tmpl w:val="33D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62A5F"/>
    <w:multiLevelType w:val="hybridMultilevel"/>
    <w:tmpl w:val="FA287AF0"/>
    <w:lvl w:ilvl="0" w:tplc="CB646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80CE2"/>
    <w:multiLevelType w:val="hybridMultilevel"/>
    <w:tmpl w:val="F91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17957"/>
    <w:multiLevelType w:val="hybridMultilevel"/>
    <w:tmpl w:val="BAB0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33506"/>
    <w:multiLevelType w:val="hybridMultilevel"/>
    <w:tmpl w:val="8E26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60FEE"/>
    <w:multiLevelType w:val="hybridMultilevel"/>
    <w:tmpl w:val="8D5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395080"/>
    <w:multiLevelType w:val="hybridMultilevel"/>
    <w:tmpl w:val="EF8C5910"/>
    <w:lvl w:ilvl="0" w:tplc="3ABEE4B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772042"/>
    <w:multiLevelType w:val="hybridMultilevel"/>
    <w:tmpl w:val="6C267670"/>
    <w:lvl w:ilvl="0" w:tplc="3ABEE4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14144"/>
    <w:multiLevelType w:val="hybridMultilevel"/>
    <w:tmpl w:val="3F68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5B57BC"/>
    <w:multiLevelType w:val="hybridMultilevel"/>
    <w:tmpl w:val="18F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D133B"/>
    <w:multiLevelType w:val="hybridMultilevel"/>
    <w:tmpl w:val="C3C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E2F5B"/>
    <w:multiLevelType w:val="hybridMultilevel"/>
    <w:tmpl w:val="F14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66C84"/>
    <w:multiLevelType w:val="hybridMultilevel"/>
    <w:tmpl w:val="A762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6A0AC7"/>
    <w:multiLevelType w:val="hybridMultilevel"/>
    <w:tmpl w:val="908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0218B"/>
    <w:multiLevelType w:val="hybridMultilevel"/>
    <w:tmpl w:val="15A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B2949"/>
    <w:multiLevelType w:val="hybridMultilevel"/>
    <w:tmpl w:val="14541A18"/>
    <w:lvl w:ilvl="0" w:tplc="3D9E61BE">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FD2850"/>
    <w:multiLevelType w:val="hybridMultilevel"/>
    <w:tmpl w:val="86B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1"/>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 w:numId="14">
    <w:abstractNumId w:val="4"/>
  </w:num>
  <w:num w:numId="15">
    <w:abstractNumId w:val="0"/>
  </w:num>
  <w:num w:numId="16">
    <w:abstractNumId w:val="11"/>
  </w:num>
  <w:num w:numId="17">
    <w:abstractNumId w:val="24"/>
  </w:num>
  <w:num w:numId="18">
    <w:abstractNumId w:val="7"/>
  </w:num>
  <w:num w:numId="19">
    <w:abstractNumId w:val="12"/>
  </w:num>
  <w:num w:numId="20">
    <w:abstractNumId w:val="27"/>
  </w:num>
  <w:num w:numId="21">
    <w:abstractNumId w:val="10"/>
  </w:num>
  <w:num w:numId="22">
    <w:abstractNumId w:val="6"/>
  </w:num>
  <w:num w:numId="23">
    <w:abstractNumId w:val="23"/>
  </w:num>
  <w:num w:numId="24">
    <w:abstractNumId w:val="33"/>
  </w:num>
  <w:num w:numId="25">
    <w:abstractNumId w:val="14"/>
  </w:num>
  <w:num w:numId="26">
    <w:abstractNumId w:val="18"/>
  </w:num>
  <w:num w:numId="27">
    <w:abstractNumId w:val="3"/>
  </w:num>
  <w:num w:numId="28">
    <w:abstractNumId w:val="16"/>
  </w:num>
  <w:num w:numId="29">
    <w:abstractNumId w:val="9"/>
  </w:num>
  <w:num w:numId="30">
    <w:abstractNumId w:val="28"/>
  </w:num>
  <w:num w:numId="31">
    <w:abstractNumId w:val="26"/>
  </w:num>
  <w:num w:numId="32">
    <w:abstractNumId w:val="25"/>
  </w:num>
  <w:num w:numId="33">
    <w:abstractNumId w:val="15"/>
  </w:num>
  <w:num w:numId="34">
    <w:abstractNumId w:val="32"/>
  </w:num>
  <w:num w:numId="35">
    <w:abstractNumId w:val="19"/>
  </w:num>
  <w:num w:numId="36">
    <w:abstractNumId w:val="22"/>
  </w:num>
  <w:num w:numId="37">
    <w:abstractNumId w:val="1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0B"/>
    <w:rsid w:val="00001BA7"/>
    <w:rsid w:val="000027F2"/>
    <w:rsid w:val="0001141B"/>
    <w:rsid w:val="0001303A"/>
    <w:rsid w:val="000141B5"/>
    <w:rsid w:val="000204D6"/>
    <w:rsid w:val="0002090C"/>
    <w:rsid w:val="00021366"/>
    <w:rsid w:val="00023090"/>
    <w:rsid w:val="0002762D"/>
    <w:rsid w:val="00027EC2"/>
    <w:rsid w:val="00031805"/>
    <w:rsid w:val="00035280"/>
    <w:rsid w:val="00035F1A"/>
    <w:rsid w:val="00042258"/>
    <w:rsid w:val="0004452D"/>
    <w:rsid w:val="00046B52"/>
    <w:rsid w:val="00060805"/>
    <w:rsid w:val="000645F3"/>
    <w:rsid w:val="0006759C"/>
    <w:rsid w:val="00070103"/>
    <w:rsid w:val="00073F76"/>
    <w:rsid w:val="00075E05"/>
    <w:rsid w:val="000801FC"/>
    <w:rsid w:val="000805D1"/>
    <w:rsid w:val="00082827"/>
    <w:rsid w:val="00083345"/>
    <w:rsid w:val="000851B8"/>
    <w:rsid w:val="000870F6"/>
    <w:rsid w:val="000A461C"/>
    <w:rsid w:val="000A51D3"/>
    <w:rsid w:val="000A7611"/>
    <w:rsid w:val="000B028D"/>
    <w:rsid w:val="000B4F94"/>
    <w:rsid w:val="000B6D76"/>
    <w:rsid w:val="000C20AF"/>
    <w:rsid w:val="000C2D92"/>
    <w:rsid w:val="000C3242"/>
    <w:rsid w:val="000D2132"/>
    <w:rsid w:val="000D2523"/>
    <w:rsid w:val="000D59B5"/>
    <w:rsid w:val="000D6F5A"/>
    <w:rsid w:val="000E41D9"/>
    <w:rsid w:val="000E4201"/>
    <w:rsid w:val="000E4CE8"/>
    <w:rsid w:val="000F3348"/>
    <w:rsid w:val="000F373E"/>
    <w:rsid w:val="000F48CA"/>
    <w:rsid w:val="00102AB2"/>
    <w:rsid w:val="00105782"/>
    <w:rsid w:val="001120C2"/>
    <w:rsid w:val="00120927"/>
    <w:rsid w:val="001229D8"/>
    <w:rsid w:val="001341B1"/>
    <w:rsid w:val="00140438"/>
    <w:rsid w:val="0014168B"/>
    <w:rsid w:val="00142DF1"/>
    <w:rsid w:val="00153465"/>
    <w:rsid w:val="001560F8"/>
    <w:rsid w:val="00157701"/>
    <w:rsid w:val="0016171F"/>
    <w:rsid w:val="001707AA"/>
    <w:rsid w:val="00170BCC"/>
    <w:rsid w:val="00172E0E"/>
    <w:rsid w:val="0017400B"/>
    <w:rsid w:val="00175C52"/>
    <w:rsid w:val="001773C9"/>
    <w:rsid w:val="0018741D"/>
    <w:rsid w:val="0018750C"/>
    <w:rsid w:val="00187B99"/>
    <w:rsid w:val="001910FB"/>
    <w:rsid w:val="00191FC6"/>
    <w:rsid w:val="00197865"/>
    <w:rsid w:val="001A33DA"/>
    <w:rsid w:val="001B1128"/>
    <w:rsid w:val="001C0660"/>
    <w:rsid w:val="001C0D15"/>
    <w:rsid w:val="001C11CD"/>
    <w:rsid w:val="001C18C9"/>
    <w:rsid w:val="001D18F8"/>
    <w:rsid w:val="001D5957"/>
    <w:rsid w:val="001D6014"/>
    <w:rsid w:val="001F0EF4"/>
    <w:rsid w:val="001F4954"/>
    <w:rsid w:val="001F593D"/>
    <w:rsid w:val="0020134F"/>
    <w:rsid w:val="0020347E"/>
    <w:rsid w:val="00207742"/>
    <w:rsid w:val="00207A43"/>
    <w:rsid w:val="002109CF"/>
    <w:rsid w:val="0021305D"/>
    <w:rsid w:val="00221FF5"/>
    <w:rsid w:val="002229CC"/>
    <w:rsid w:val="0022452A"/>
    <w:rsid w:val="0023057B"/>
    <w:rsid w:val="00235078"/>
    <w:rsid w:val="002355C1"/>
    <w:rsid w:val="0023788A"/>
    <w:rsid w:val="00242AE1"/>
    <w:rsid w:val="00242F0C"/>
    <w:rsid w:val="00243C95"/>
    <w:rsid w:val="00243E71"/>
    <w:rsid w:val="00244317"/>
    <w:rsid w:val="00244BBF"/>
    <w:rsid w:val="00252658"/>
    <w:rsid w:val="002557D5"/>
    <w:rsid w:val="0026182E"/>
    <w:rsid w:val="00261F8F"/>
    <w:rsid w:val="0026537C"/>
    <w:rsid w:val="002658A9"/>
    <w:rsid w:val="002768C8"/>
    <w:rsid w:val="00276E17"/>
    <w:rsid w:val="002A130D"/>
    <w:rsid w:val="002B2495"/>
    <w:rsid w:val="002B2887"/>
    <w:rsid w:val="002B3937"/>
    <w:rsid w:val="002B456A"/>
    <w:rsid w:val="002B4980"/>
    <w:rsid w:val="002B50F0"/>
    <w:rsid w:val="002B5978"/>
    <w:rsid w:val="002C01FA"/>
    <w:rsid w:val="002C7BBB"/>
    <w:rsid w:val="002D512C"/>
    <w:rsid w:val="002E1435"/>
    <w:rsid w:val="002E4A56"/>
    <w:rsid w:val="002E6163"/>
    <w:rsid w:val="002E61AD"/>
    <w:rsid w:val="002F0403"/>
    <w:rsid w:val="002F0AD9"/>
    <w:rsid w:val="00301CE8"/>
    <w:rsid w:val="00306C75"/>
    <w:rsid w:val="003100D9"/>
    <w:rsid w:val="00310428"/>
    <w:rsid w:val="00310886"/>
    <w:rsid w:val="00316D29"/>
    <w:rsid w:val="00322C4A"/>
    <w:rsid w:val="00326B9D"/>
    <w:rsid w:val="00326FA0"/>
    <w:rsid w:val="0033463A"/>
    <w:rsid w:val="00335B4B"/>
    <w:rsid w:val="0033757A"/>
    <w:rsid w:val="003417BC"/>
    <w:rsid w:val="00341A50"/>
    <w:rsid w:val="003453B3"/>
    <w:rsid w:val="0035639E"/>
    <w:rsid w:val="00356509"/>
    <w:rsid w:val="003572FB"/>
    <w:rsid w:val="00365730"/>
    <w:rsid w:val="00366836"/>
    <w:rsid w:val="003732D7"/>
    <w:rsid w:val="00374545"/>
    <w:rsid w:val="00375A3A"/>
    <w:rsid w:val="003870FA"/>
    <w:rsid w:val="0039018C"/>
    <w:rsid w:val="00392320"/>
    <w:rsid w:val="00393141"/>
    <w:rsid w:val="00396D3E"/>
    <w:rsid w:val="003A6548"/>
    <w:rsid w:val="003C000B"/>
    <w:rsid w:val="003C1801"/>
    <w:rsid w:val="003C1FBD"/>
    <w:rsid w:val="003C4A45"/>
    <w:rsid w:val="003C6708"/>
    <w:rsid w:val="003C7CA8"/>
    <w:rsid w:val="003E4D55"/>
    <w:rsid w:val="003E5E8F"/>
    <w:rsid w:val="003E7AD9"/>
    <w:rsid w:val="003F2B34"/>
    <w:rsid w:val="003F474D"/>
    <w:rsid w:val="00410648"/>
    <w:rsid w:val="004117C5"/>
    <w:rsid w:val="00411B5A"/>
    <w:rsid w:val="00412951"/>
    <w:rsid w:val="004162E8"/>
    <w:rsid w:val="004307A0"/>
    <w:rsid w:val="00432ABE"/>
    <w:rsid w:val="0045181B"/>
    <w:rsid w:val="00452397"/>
    <w:rsid w:val="00456F95"/>
    <w:rsid w:val="00461971"/>
    <w:rsid w:val="00464341"/>
    <w:rsid w:val="004652B3"/>
    <w:rsid w:val="00476D2E"/>
    <w:rsid w:val="0048468D"/>
    <w:rsid w:val="00486109"/>
    <w:rsid w:val="004902F4"/>
    <w:rsid w:val="00492772"/>
    <w:rsid w:val="0049438C"/>
    <w:rsid w:val="00495C84"/>
    <w:rsid w:val="004A09DE"/>
    <w:rsid w:val="004A2EA4"/>
    <w:rsid w:val="004A3857"/>
    <w:rsid w:val="004B24F2"/>
    <w:rsid w:val="004B271B"/>
    <w:rsid w:val="004B2D74"/>
    <w:rsid w:val="004B624B"/>
    <w:rsid w:val="004C64AB"/>
    <w:rsid w:val="004D65B7"/>
    <w:rsid w:val="004E0DAC"/>
    <w:rsid w:val="004F15C5"/>
    <w:rsid w:val="004F1F65"/>
    <w:rsid w:val="004F3FCE"/>
    <w:rsid w:val="004F7919"/>
    <w:rsid w:val="00507DD5"/>
    <w:rsid w:val="00510F13"/>
    <w:rsid w:val="00511F15"/>
    <w:rsid w:val="0052330E"/>
    <w:rsid w:val="00524769"/>
    <w:rsid w:val="005345D0"/>
    <w:rsid w:val="00534968"/>
    <w:rsid w:val="005457CF"/>
    <w:rsid w:val="00550260"/>
    <w:rsid w:val="0055212D"/>
    <w:rsid w:val="00554BA6"/>
    <w:rsid w:val="00561A49"/>
    <w:rsid w:val="00562640"/>
    <w:rsid w:val="00566D0A"/>
    <w:rsid w:val="00566FC3"/>
    <w:rsid w:val="0057081C"/>
    <w:rsid w:val="00576826"/>
    <w:rsid w:val="00581353"/>
    <w:rsid w:val="00584CCB"/>
    <w:rsid w:val="00585180"/>
    <w:rsid w:val="00590389"/>
    <w:rsid w:val="005C17FF"/>
    <w:rsid w:val="005C2458"/>
    <w:rsid w:val="005C4053"/>
    <w:rsid w:val="005C4F70"/>
    <w:rsid w:val="005C598E"/>
    <w:rsid w:val="005C7D1F"/>
    <w:rsid w:val="005D09B6"/>
    <w:rsid w:val="005D0A05"/>
    <w:rsid w:val="005D4917"/>
    <w:rsid w:val="005D7C38"/>
    <w:rsid w:val="005E1F2B"/>
    <w:rsid w:val="005F1B13"/>
    <w:rsid w:val="005F2564"/>
    <w:rsid w:val="005F3EB9"/>
    <w:rsid w:val="005F4AB0"/>
    <w:rsid w:val="0060648F"/>
    <w:rsid w:val="00606AAC"/>
    <w:rsid w:val="006076C0"/>
    <w:rsid w:val="00610E6A"/>
    <w:rsid w:val="006127D0"/>
    <w:rsid w:val="00613927"/>
    <w:rsid w:val="00614E73"/>
    <w:rsid w:val="00634A0D"/>
    <w:rsid w:val="00640816"/>
    <w:rsid w:val="00640C8F"/>
    <w:rsid w:val="0064109E"/>
    <w:rsid w:val="00643694"/>
    <w:rsid w:val="00645EBD"/>
    <w:rsid w:val="006464A3"/>
    <w:rsid w:val="00654100"/>
    <w:rsid w:val="006574A4"/>
    <w:rsid w:val="00657B55"/>
    <w:rsid w:val="00662098"/>
    <w:rsid w:val="006621F8"/>
    <w:rsid w:val="00664479"/>
    <w:rsid w:val="0066657B"/>
    <w:rsid w:val="0067013F"/>
    <w:rsid w:val="00674A1A"/>
    <w:rsid w:val="0068442B"/>
    <w:rsid w:val="00691B6F"/>
    <w:rsid w:val="00691BFD"/>
    <w:rsid w:val="006A346E"/>
    <w:rsid w:val="006B1F6A"/>
    <w:rsid w:val="006B3D7B"/>
    <w:rsid w:val="006B62F5"/>
    <w:rsid w:val="006C1D70"/>
    <w:rsid w:val="006C1D7D"/>
    <w:rsid w:val="006C1DBD"/>
    <w:rsid w:val="006C4A70"/>
    <w:rsid w:val="006C770F"/>
    <w:rsid w:val="006D238B"/>
    <w:rsid w:val="006D58FB"/>
    <w:rsid w:val="006D6E72"/>
    <w:rsid w:val="006D7A8D"/>
    <w:rsid w:val="006E19E0"/>
    <w:rsid w:val="006E2B7F"/>
    <w:rsid w:val="006E77C9"/>
    <w:rsid w:val="006F29CE"/>
    <w:rsid w:val="007028F0"/>
    <w:rsid w:val="007039DF"/>
    <w:rsid w:val="007054B2"/>
    <w:rsid w:val="0071419F"/>
    <w:rsid w:val="00715B3C"/>
    <w:rsid w:val="00715BE9"/>
    <w:rsid w:val="007205EB"/>
    <w:rsid w:val="00730036"/>
    <w:rsid w:val="00730ADA"/>
    <w:rsid w:val="00732D96"/>
    <w:rsid w:val="00734325"/>
    <w:rsid w:val="00736661"/>
    <w:rsid w:val="00741B0C"/>
    <w:rsid w:val="00750F7A"/>
    <w:rsid w:val="007520D5"/>
    <w:rsid w:val="007530BB"/>
    <w:rsid w:val="007530CF"/>
    <w:rsid w:val="00753233"/>
    <w:rsid w:val="00761534"/>
    <w:rsid w:val="0076357B"/>
    <w:rsid w:val="00767BE4"/>
    <w:rsid w:val="0077257A"/>
    <w:rsid w:val="00774051"/>
    <w:rsid w:val="0078561E"/>
    <w:rsid w:val="0079411F"/>
    <w:rsid w:val="00796990"/>
    <w:rsid w:val="007A051A"/>
    <w:rsid w:val="007A4FA6"/>
    <w:rsid w:val="007B2E5E"/>
    <w:rsid w:val="007B65C1"/>
    <w:rsid w:val="007C2058"/>
    <w:rsid w:val="007C212A"/>
    <w:rsid w:val="007C2164"/>
    <w:rsid w:val="007C6235"/>
    <w:rsid w:val="007C7694"/>
    <w:rsid w:val="007D071A"/>
    <w:rsid w:val="007D5436"/>
    <w:rsid w:val="007D6245"/>
    <w:rsid w:val="007E1AC0"/>
    <w:rsid w:val="007F01B5"/>
    <w:rsid w:val="007F2526"/>
    <w:rsid w:val="007F57A0"/>
    <w:rsid w:val="007F5823"/>
    <w:rsid w:val="007F5D16"/>
    <w:rsid w:val="007F7CE6"/>
    <w:rsid w:val="0080518B"/>
    <w:rsid w:val="00806215"/>
    <w:rsid w:val="008105F7"/>
    <w:rsid w:val="0081280E"/>
    <w:rsid w:val="00817F59"/>
    <w:rsid w:val="0083210F"/>
    <w:rsid w:val="008326EA"/>
    <w:rsid w:val="00837181"/>
    <w:rsid w:val="00840541"/>
    <w:rsid w:val="00840BD5"/>
    <w:rsid w:val="0084200C"/>
    <w:rsid w:val="0084381D"/>
    <w:rsid w:val="008442F1"/>
    <w:rsid w:val="008473B0"/>
    <w:rsid w:val="008474C5"/>
    <w:rsid w:val="00847EA0"/>
    <w:rsid w:val="0085420C"/>
    <w:rsid w:val="00857913"/>
    <w:rsid w:val="00861D8B"/>
    <w:rsid w:val="00865700"/>
    <w:rsid w:val="00865AC5"/>
    <w:rsid w:val="00873EED"/>
    <w:rsid w:val="00875D20"/>
    <w:rsid w:val="008768BD"/>
    <w:rsid w:val="00883976"/>
    <w:rsid w:val="008A3489"/>
    <w:rsid w:val="008B1030"/>
    <w:rsid w:val="008B59EB"/>
    <w:rsid w:val="008C1D09"/>
    <w:rsid w:val="008C34BB"/>
    <w:rsid w:val="008D1E95"/>
    <w:rsid w:val="008D3279"/>
    <w:rsid w:val="008D4165"/>
    <w:rsid w:val="008D4B76"/>
    <w:rsid w:val="008E199A"/>
    <w:rsid w:val="008E2B1A"/>
    <w:rsid w:val="008E3531"/>
    <w:rsid w:val="008E3940"/>
    <w:rsid w:val="008F095B"/>
    <w:rsid w:val="008F219A"/>
    <w:rsid w:val="00901498"/>
    <w:rsid w:val="00902EC8"/>
    <w:rsid w:val="00906218"/>
    <w:rsid w:val="00910225"/>
    <w:rsid w:val="00914EF1"/>
    <w:rsid w:val="00922FD7"/>
    <w:rsid w:val="009249C2"/>
    <w:rsid w:val="00930EA7"/>
    <w:rsid w:val="00944EDF"/>
    <w:rsid w:val="00945111"/>
    <w:rsid w:val="00950725"/>
    <w:rsid w:val="009547C1"/>
    <w:rsid w:val="0096215E"/>
    <w:rsid w:val="00963B71"/>
    <w:rsid w:val="00963DF0"/>
    <w:rsid w:val="009654E8"/>
    <w:rsid w:val="00972660"/>
    <w:rsid w:val="009736FE"/>
    <w:rsid w:val="00975492"/>
    <w:rsid w:val="009802C9"/>
    <w:rsid w:val="00985AFD"/>
    <w:rsid w:val="00986DEE"/>
    <w:rsid w:val="00992B30"/>
    <w:rsid w:val="00993423"/>
    <w:rsid w:val="00994D3D"/>
    <w:rsid w:val="009A03C9"/>
    <w:rsid w:val="009A0FDE"/>
    <w:rsid w:val="009A4BFE"/>
    <w:rsid w:val="009A52C9"/>
    <w:rsid w:val="009A57D3"/>
    <w:rsid w:val="009A589E"/>
    <w:rsid w:val="009B3DAD"/>
    <w:rsid w:val="009B64EF"/>
    <w:rsid w:val="009C52CB"/>
    <w:rsid w:val="009D79DE"/>
    <w:rsid w:val="009E0152"/>
    <w:rsid w:val="009E6E9F"/>
    <w:rsid w:val="009F0557"/>
    <w:rsid w:val="009F48EF"/>
    <w:rsid w:val="009F665E"/>
    <w:rsid w:val="00A00F4A"/>
    <w:rsid w:val="00A04AD7"/>
    <w:rsid w:val="00A04B4F"/>
    <w:rsid w:val="00A06397"/>
    <w:rsid w:val="00A10B48"/>
    <w:rsid w:val="00A127FD"/>
    <w:rsid w:val="00A164B0"/>
    <w:rsid w:val="00A209CB"/>
    <w:rsid w:val="00A252EA"/>
    <w:rsid w:val="00A3137F"/>
    <w:rsid w:val="00A328EC"/>
    <w:rsid w:val="00A342FB"/>
    <w:rsid w:val="00A34816"/>
    <w:rsid w:val="00A5210D"/>
    <w:rsid w:val="00A542F9"/>
    <w:rsid w:val="00A56F1D"/>
    <w:rsid w:val="00A6651E"/>
    <w:rsid w:val="00A674D9"/>
    <w:rsid w:val="00A67B98"/>
    <w:rsid w:val="00A707B8"/>
    <w:rsid w:val="00A71391"/>
    <w:rsid w:val="00A73389"/>
    <w:rsid w:val="00A73D4E"/>
    <w:rsid w:val="00A778B6"/>
    <w:rsid w:val="00A9084A"/>
    <w:rsid w:val="00A96BBF"/>
    <w:rsid w:val="00A978F2"/>
    <w:rsid w:val="00AA257E"/>
    <w:rsid w:val="00AA725B"/>
    <w:rsid w:val="00AB10D5"/>
    <w:rsid w:val="00AB6DAE"/>
    <w:rsid w:val="00AC3F87"/>
    <w:rsid w:val="00AC637F"/>
    <w:rsid w:val="00AD3B50"/>
    <w:rsid w:val="00AD431D"/>
    <w:rsid w:val="00AD7FEF"/>
    <w:rsid w:val="00AE0E39"/>
    <w:rsid w:val="00AE22D3"/>
    <w:rsid w:val="00AE2C4C"/>
    <w:rsid w:val="00AE41FE"/>
    <w:rsid w:val="00AE6B55"/>
    <w:rsid w:val="00AE6C9C"/>
    <w:rsid w:val="00AF44DD"/>
    <w:rsid w:val="00B008B7"/>
    <w:rsid w:val="00B03719"/>
    <w:rsid w:val="00B03C6F"/>
    <w:rsid w:val="00B11546"/>
    <w:rsid w:val="00B130D4"/>
    <w:rsid w:val="00B13F77"/>
    <w:rsid w:val="00B209AE"/>
    <w:rsid w:val="00B23816"/>
    <w:rsid w:val="00B245D0"/>
    <w:rsid w:val="00B332A1"/>
    <w:rsid w:val="00B37A5F"/>
    <w:rsid w:val="00B37AF8"/>
    <w:rsid w:val="00B56F3F"/>
    <w:rsid w:val="00B64511"/>
    <w:rsid w:val="00B656A1"/>
    <w:rsid w:val="00B669ED"/>
    <w:rsid w:val="00B74F03"/>
    <w:rsid w:val="00B757C0"/>
    <w:rsid w:val="00B76B44"/>
    <w:rsid w:val="00B778CC"/>
    <w:rsid w:val="00B829A9"/>
    <w:rsid w:val="00B93342"/>
    <w:rsid w:val="00B940E5"/>
    <w:rsid w:val="00B97EFC"/>
    <w:rsid w:val="00BA00A2"/>
    <w:rsid w:val="00BB0B70"/>
    <w:rsid w:val="00BB2171"/>
    <w:rsid w:val="00BB3A93"/>
    <w:rsid w:val="00BB7787"/>
    <w:rsid w:val="00BC2C74"/>
    <w:rsid w:val="00BC3BE2"/>
    <w:rsid w:val="00BC44EB"/>
    <w:rsid w:val="00BC6669"/>
    <w:rsid w:val="00BD0BC2"/>
    <w:rsid w:val="00BD0EDC"/>
    <w:rsid w:val="00BD1D8D"/>
    <w:rsid w:val="00BD2C86"/>
    <w:rsid w:val="00BD4338"/>
    <w:rsid w:val="00BD5627"/>
    <w:rsid w:val="00BF0D40"/>
    <w:rsid w:val="00BF620E"/>
    <w:rsid w:val="00BF6C07"/>
    <w:rsid w:val="00C00CB1"/>
    <w:rsid w:val="00C02C46"/>
    <w:rsid w:val="00C03AD1"/>
    <w:rsid w:val="00C1247E"/>
    <w:rsid w:val="00C13C52"/>
    <w:rsid w:val="00C14C47"/>
    <w:rsid w:val="00C1581D"/>
    <w:rsid w:val="00C23C3D"/>
    <w:rsid w:val="00C35E7A"/>
    <w:rsid w:val="00C36937"/>
    <w:rsid w:val="00C36DE0"/>
    <w:rsid w:val="00C4095A"/>
    <w:rsid w:val="00C42031"/>
    <w:rsid w:val="00C423EC"/>
    <w:rsid w:val="00C47105"/>
    <w:rsid w:val="00C54AE7"/>
    <w:rsid w:val="00C55592"/>
    <w:rsid w:val="00C6098A"/>
    <w:rsid w:val="00C70D4E"/>
    <w:rsid w:val="00C70F27"/>
    <w:rsid w:val="00C71050"/>
    <w:rsid w:val="00C729DE"/>
    <w:rsid w:val="00C81B2B"/>
    <w:rsid w:val="00C92E25"/>
    <w:rsid w:val="00C9442B"/>
    <w:rsid w:val="00CA2022"/>
    <w:rsid w:val="00CA3953"/>
    <w:rsid w:val="00CC3F42"/>
    <w:rsid w:val="00CD0D4E"/>
    <w:rsid w:val="00CD704A"/>
    <w:rsid w:val="00CE0B8F"/>
    <w:rsid w:val="00CE4D07"/>
    <w:rsid w:val="00CE590C"/>
    <w:rsid w:val="00CF5A35"/>
    <w:rsid w:val="00D0228D"/>
    <w:rsid w:val="00D03D54"/>
    <w:rsid w:val="00D05F60"/>
    <w:rsid w:val="00D066A8"/>
    <w:rsid w:val="00D137E1"/>
    <w:rsid w:val="00D14E4A"/>
    <w:rsid w:val="00D17124"/>
    <w:rsid w:val="00D20F9A"/>
    <w:rsid w:val="00D235EB"/>
    <w:rsid w:val="00D2659D"/>
    <w:rsid w:val="00D31831"/>
    <w:rsid w:val="00D33948"/>
    <w:rsid w:val="00D34091"/>
    <w:rsid w:val="00D35FCF"/>
    <w:rsid w:val="00D403C7"/>
    <w:rsid w:val="00D440AA"/>
    <w:rsid w:val="00D46C04"/>
    <w:rsid w:val="00D50EE1"/>
    <w:rsid w:val="00D50FE8"/>
    <w:rsid w:val="00D525D9"/>
    <w:rsid w:val="00D60155"/>
    <w:rsid w:val="00D62AF1"/>
    <w:rsid w:val="00D64688"/>
    <w:rsid w:val="00D66983"/>
    <w:rsid w:val="00D72E78"/>
    <w:rsid w:val="00D7492C"/>
    <w:rsid w:val="00D75CD3"/>
    <w:rsid w:val="00D76C4A"/>
    <w:rsid w:val="00D7744E"/>
    <w:rsid w:val="00D95106"/>
    <w:rsid w:val="00D95900"/>
    <w:rsid w:val="00DA0194"/>
    <w:rsid w:val="00DA2901"/>
    <w:rsid w:val="00DA62E1"/>
    <w:rsid w:val="00DB3C07"/>
    <w:rsid w:val="00DB4E7C"/>
    <w:rsid w:val="00DC22AA"/>
    <w:rsid w:val="00DC693E"/>
    <w:rsid w:val="00DC7610"/>
    <w:rsid w:val="00DC79AB"/>
    <w:rsid w:val="00DC79DE"/>
    <w:rsid w:val="00DD50BE"/>
    <w:rsid w:val="00DD7237"/>
    <w:rsid w:val="00DE33AE"/>
    <w:rsid w:val="00DE5DA1"/>
    <w:rsid w:val="00DE7D04"/>
    <w:rsid w:val="00DF159E"/>
    <w:rsid w:val="00DF3C14"/>
    <w:rsid w:val="00DF78BB"/>
    <w:rsid w:val="00E00840"/>
    <w:rsid w:val="00E22374"/>
    <w:rsid w:val="00E24DD4"/>
    <w:rsid w:val="00E37532"/>
    <w:rsid w:val="00E42F34"/>
    <w:rsid w:val="00E437F4"/>
    <w:rsid w:val="00E47CED"/>
    <w:rsid w:val="00E60667"/>
    <w:rsid w:val="00E60C36"/>
    <w:rsid w:val="00E60D97"/>
    <w:rsid w:val="00E72067"/>
    <w:rsid w:val="00E7305E"/>
    <w:rsid w:val="00E76636"/>
    <w:rsid w:val="00E84A33"/>
    <w:rsid w:val="00E86DC5"/>
    <w:rsid w:val="00E87129"/>
    <w:rsid w:val="00EA257F"/>
    <w:rsid w:val="00EA29FA"/>
    <w:rsid w:val="00EA4BC8"/>
    <w:rsid w:val="00EA5582"/>
    <w:rsid w:val="00EB3AB5"/>
    <w:rsid w:val="00EB63AE"/>
    <w:rsid w:val="00EB6A32"/>
    <w:rsid w:val="00EC1594"/>
    <w:rsid w:val="00EC752B"/>
    <w:rsid w:val="00ED007A"/>
    <w:rsid w:val="00ED0755"/>
    <w:rsid w:val="00ED1816"/>
    <w:rsid w:val="00ED5457"/>
    <w:rsid w:val="00ED62BB"/>
    <w:rsid w:val="00ED646E"/>
    <w:rsid w:val="00EE4715"/>
    <w:rsid w:val="00EE4887"/>
    <w:rsid w:val="00EE4C82"/>
    <w:rsid w:val="00EE7863"/>
    <w:rsid w:val="00EF6163"/>
    <w:rsid w:val="00F005B7"/>
    <w:rsid w:val="00F17EE5"/>
    <w:rsid w:val="00F21712"/>
    <w:rsid w:val="00F24EA5"/>
    <w:rsid w:val="00F27F94"/>
    <w:rsid w:val="00F34455"/>
    <w:rsid w:val="00F41FCF"/>
    <w:rsid w:val="00F47BB5"/>
    <w:rsid w:val="00F55F5D"/>
    <w:rsid w:val="00F573C9"/>
    <w:rsid w:val="00F62139"/>
    <w:rsid w:val="00F635F8"/>
    <w:rsid w:val="00F63B59"/>
    <w:rsid w:val="00F64F28"/>
    <w:rsid w:val="00F65793"/>
    <w:rsid w:val="00F674A4"/>
    <w:rsid w:val="00F70705"/>
    <w:rsid w:val="00F8185E"/>
    <w:rsid w:val="00F84784"/>
    <w:rsid w:val="00F87D4B"/>
    <w:rsid w:val="00F93963"/>
    <w:rsid w:val="00F941E4"/>
    <w:rsid w:val="00FA2CEF"/>
    <w:rsid w:val="00FA3825"/>
    <w:rsid w:val="00FA5B18"/>
    <w:rsid w:val="00FA7D91"/>
    <w:rsid w:val="00FB04EF"/>
    <w:rsid w:val="00FB0EDA"/>
    <w:rsid w:val="00FB4296"/>
    <w:rsid w:val="00FB48A5"/>
    <w:rsid w:val="00FB4E6E"/>
    <w:rsid w:val="00FB5181"/>
    <w:rsid w:val="00FB68AF"/>
    <w:rsid w:val="00FC305F"/>
    <w:rsid w:val="00FC7ED6"/>
    <w:rsid w:val="00FD1128"/>
    <w:rsid w:val="00FD4F5A"/>
    <w:rsid w:val="00FE1BB9"/>
    <w:rsid w:val="00FE3DB3"/>
    <w:rsid w:val="00FF0F5F"/>
    <w:rsid w:val="00FF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99CDC-138D-4026-A851-C8E5C7F1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E"/>
    <w:pPr>
      <w:spacing w:after="200" w:line="276" w:lineRule="auto"/>
    </w:pPr>
    <w:rPr>
      <w:sz w:val="22"/>
      <w:szCs w:val="22"/>
    </w:rPr>
  </w:style>
  <w:style w:type="paragraph" w:styleId="Heading1">
    <w:name w:val="heading 1"/>
    <w:basedOn w:val="Normal"/>
    <w:next w:val="Normal"/>
    <w:link w:val="Heading1Char"/>
    <w:uiPriority w:val="9"/>
    <w:qFormat/>
    <w:rsid w:val="008F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5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81D"/>
    <w:pPr>
      <w:spacing w:before="100" w:beforeAutospacing="1" w:after="100" w:afterAutospacing="1" w:line="240" w:lineRule="auto"/>
      <w:outlineLvl w:val="3"/>
    </w:pPr>
    <w:rPr>
      <w:rFonts w:ascii="Arial" w:eastAsia="Times New Roman" w:hAnsi="Arial" w:cs="Arial"/>
      <w:b/>
      <w:bCs/>
      <w:color w:val="006699"/>
      <w:sz w:val="30"/>
      <w:szCs w:val="30"/>
    </w:rPr>
  </w:style>
  <w:style w:type="paragraph" w:styleId="Heading6">
    <w:name w:val="heading 6"/>
    <w:basedOn w:val="Normal"/>
    <w:link w:val="Heading6Char"/>
    <w:uiPriority w:val="9"/>
    <w:qFormat/>
    <w:rsid w:val="00C1581D"/>
    <w:pPr>
      <w:spacing w:before="100" w:beforeAutospacing="1"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81D"/>
    <w:rPr>
      <w:rFonts w:ascii="Arial" w:eastAsia="Times New Roman" w:hAnsi="Arial" w:cs="Arial"/>
      <w:b/>
      <w:bCs/>
      <w:color w:val="006699"/>
      <w:sz w:val="30"/>
      <w:szCs w:val="30"/>
    </w:rPr>
  </w:style>
  <w:style w:type="character" w:customStyle="1" w:styleId="Heading6Char">
    <w:name w:val="Heading 6 Char"/>
    <w:basedOn w:val="DefaultParagraphFont"/>
    <w:link w:val="Heading6"/>
    <w:uiPriority w:val="9"/>
    <w:rsid w:val="00C1581D"/>
    <w:rPr>
      <w:rFonts w:ascii="Arial" w:eastAsia="Times New Roman" w:hAnsi="Arial" w:cs="Arial"/>
      <w:b/>
      <w:bCs/>
      <w:sz w:val="24"/>
      <w:szCs w:val="24"/>
    </w:rPr>
  </w:style>
  <w:style w:type="paragraph" w:styleId="NormalWeb">
    <w:name w:val="Normal (Web)"/>
    <w:basedOn w:val="Normal"/>
    <w:uiPriority w:val="99"/>
    <w:unhideWhenUsed/>
    <w:rsid w:val="00C158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74545"/>
    <w:rPr>
      <w:color w:val="0000FF"/>
      <w:u w:val="single"/>
    </w:rPr>
  </w:style>
  <w:style w:type="paragraph" w:styleId="Header">
    <w:name w:val="header"/>
    <w:basedOn w:val="Normal"/>
    <w:link w:val="HeaderChar"/>
    <w:uiPriority w:val="99"/>
    <w:semiHidden/>
    <w:unhideWhenUsed/>
    <w:rsid w:val="00BF0D40"/>
    <w:pPr>
      <w:tabs>
        <w:tab w:val="center" w:pos="4680"/>
        <w:tab w:val="right" w:pos="9360"/>
      </w:tabs>
    </w:pPr>
  </w:style>
  <w:style w:type="character" w:customStyle="1" w:styleId="HeaderChar">
    <w:name w:val="Header Char"/>
    <w:basedOn w:val="DefaultParagraphFont"/>
    <w:link w:val="Header"/>
    <w:uiPriority w:val="99"/>
    <w:semiHidden/>
    <w:rsid w:val="00BF0D40"/>
    <w:rPr>
      <w:sz w:val="22"/>
      <w:szCs w:val="22"/>
    </w:rPr>
  </w:style>
  <w:style w:type="paragraph" w:styleId="Footer">
    <w:name w:val="footer"/>
    <w:basedOn w:val="Normal"/>
    <w:link w:val="FooterChar"/>
    <w:uiPriority w:val="99"/>
    <w:unhideWhenUsed/>
    <w:rsid w:val="00BF0D40"/>
    <w:pPr>
      <w:tabs>
        <w:tab w:val="center" w:pos="4680"/>
        <w:tab w:val="right" w:pos="9360"/>
      </w:tabs>
    </w:pPr>
  </w:style>
  <w:style w:type="character" w:customStyle="1" w:styleId="FooterChar">
    <w:name w:val="Footer Char"/>
    <w:basedOn w:val="DefaultParagraphFont"/>
    <w:link w:val="Footer"/>
    <w:uiPriority w:val="99"/>
    <w:rsid w:val="00BF0D40"/>
    <w:rPr>
      <w:sz w:val="22"/>
      <w:szCs w:val="22"/>
    </w:rPr>
  </w:style>
  <w:style w:type="character" w:styleId="Strong">
    <w:name w:val="Strong"/>
    <w:basedOn w:val="DefaultParagraphFont"/>
    <w:uiPriority w:val="22"/>
    <w:qFormat/>
    <w:rsid w:val="001560F8"/>
    <w:rPr>
      <w:b/>
      <w:bCs/>
    </w:rPr>
  </w:style>
  <w:style w:type="paragraph" w:styleId="ListParagraph">
    <w:name w:val="List Paragraph"/>
    <w:basedOn w:val="Normal"/>
    <w:uiPriority w:val="34"/>
    <w:qFormat/>
    <w:rsid w:val="00F64F28"/>
    <w:pPr>
      <w:spacing w:after="0" w:line="240" w:lineRule="auto"/>
      <w:ind w:left="720"/>
    </w:pPr>
  </w:style>
  <w:style w:type="paragraph" w:styleId="BalloonText">
    <w:name w:val="Balloon Text"/>
    <w:basedOn w:val="Normal"/>
    <w:link w:val="BalloonTextChar"/>
    <w:uiPriority w:val="99"/>
    <w:semiHidden/>
    <w:unhideWhenUsed/>
    <w:rsid w:val="001A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A"/>
    <w:rPr>
      <w:rFonts w:ascii="Tahoma" w:hAnsi="Tahoma" w:cs="Tahoma"/>
      <w:sz w:val="16"/>
      <w:szCs w:val="16"/>
    </w:rPr>
  </w:style>
  <w:style w:type="paragraph" w:styleId="NoSpacing">
    <w:name w:val="No Spacing"/>
    <w:uiPriority w:val="1"/>
    <w:qFormat/>
    <w:rsid w:val="00B23816"/>
    <w:rPr>
      <w:rFonts w:ascii="Times New Roman" w:eastAsia="Times New Roman" w:hAnsi="Times New Roman"/>
      <w:sz w:val="24"/>
      <w:szCs w:val="24"/>
    </w:rPr>
  </w:style>
  <w:style w:type="paragraph" w:customStyle="1" w:styleId="Pa0">
    <w:name w:val="Pa0"/>
    <w:basedOn w:val="Normal"/>
    <w:next w:val="Normal"/>
    <w:uiPriority w:val="99"/>
    <w:rsid w:val="00B23816"/>
    <w:pPr>
      <w:autoSpaceDE w:val="0"/>
      <w:autoSpaceDN w:val="0"/>
      <w:adjustRightInd w:val="0"/>
      <w:spacing w:after="0" w:line="241" w:lineRule="atLeast"/>
    </w:pPr>
    <w:rPr>
      <w:rFonts w:ascii="HelveticaNeueLT Std" w:eastAsia="Times New Roman" w:hAnsi="HelveticaNeueLT Std"/>
      <w:sz w:val="24"/>
      <w:szCs w:val="24"/>
    </w:rPr>
  </w:style>
  <w:style w:type="character" w:customStyle="1" w:styleId="text1">
    <w:name w:val="text1"/>
    <w:basedOn w:val="DefaultParagraphFont"/>
    <w:rsid w:val="00B23816"/>
    <w:rPr>
      <w:rFonts w:ascii="Arial" w:hAnsi="Arial" w:cs="Arial" w:hint="default"/>
      <w:caps w:val="0"/>
      <w:strike w:val="0"/>
      <w:dstrike w:val="0"/>
      <w:color w:val="444444"/>
      <w:sz w:val="18"/>
      <w:szCs w:val="18"/>
      <w:u w:val="none"/>
      <w:effect w:val="none"/>
    </w:rPr>
  </w:style>
  <w:style w:type="character" w:styleId="CommentReference">
    <w:name w:val="annotation reference"/>
    <w:basedOn w:val="DefaultParagraphFont"/>
    <w:uiPriority w:val="99"/>
    <w:semiHidden/>
    <w:unhideWhenUsed/>
    <w:rsid w:val="00F8185E"/>
    <w:rPr>
      <w:sz w:val="16"/>
      <w:szCs w:val="16"/>
    </w:rPr>
  </w:style>
  <w:style w:type="paragraph" w:styleId="CommentText">
    <w:name w:val="annotation text"/>
    <w:basedOn w:val="Normal"/>
    <w:link w:val="CommentTextChar"/>
    <w:uiPriority w:val="99"/>
    <w:unhideWhenUsed/>
    <w:rsid w:val="00F8185E"/>
    <w:pPr>
      <w:spacing w:line="240" w:lineRule="auto"/>
    </w:pPr>
    <w:rPr>
      <w:sz w:val="20"/>
      <w:szCs w:val="20"/>
    </w:rPr>
  </w:style>
  <w:style w:type="character" w:customStyle="1" w:styleId="CommentTextChar">
    <w:name w:val="Comment Text Char"/>
    <w:basedOn w:val="DefaultParagraphFont"/>
    <w:link w:val="CommentText"/>
    <w:uiPriority w:val="99"/>
    <w:rsid w:val="00F8185E"/>
  </w:style>
  <w:style w:type="paragraph" w:styleId="CommentSubject">
    <w:name w:val="annotation subject"/>
    <w:basedOn w:val="CommentText"/>
    <w:next w:val="CommentText"/>
    <w:link w:val="CommentSubjectChar"/>
    <w:uiPriority w:val="99"/>
    <w:semiHidden/>
    <w:unhideWhenUsed/>
    <w:rsid w:val="00F8185E"/>
    <w:rPr>
      <w:b/>
      <w:bCs/>
    </w:rPr>
  </w:style>
  <w:style w:type="character" w:customStyle="1" w:styleId="CommentSubjectChar">
    <w:name w:val="Comment Subject Char"/>
    <w:basedOn w:val="CommentTextChar"/>
    <w:link w:val="CommentSubject"/>
    <w:uiPriority w:val="99"/>
    <w:semiHidden/>
    <w:rsid w:val="00F8185E"/>
    <w:rPr>
      <w:b/>
      <w:bCs/>
    </w:rPr>
  </w:style>
  <w:style w:type="character" w:customStyle="1" w:styleId="Heading3Char">
    <w:name w:val="Heading 3 Char"/>
    <w:basedOn w:val="DefaultParagraphFont"/>
    <w:link w:val="Heading3"/>
    <w:uiPriority w:val="9"/>
    <w:rsid w:val="002557D5"/>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102AB2"/>
    <w:rPr>
      <w:sz w:val="22"/>
      <w:szCs w:val="22"/>
    </w:rPr>
  </w:style>
  <w:style w:type="paragraph" w:customStyle="1" w:styleId="CM11">
    <w:name w:val="CM11"/>
    <w:basedOn w:val="Normal"/>
    <w:next w:val="Normal"/>
    <w:uiPriority w:val="99"/>
    <w:rsid w:val="00316D29"/>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1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95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C3F87"/>
    <w:pPr>
      <w:autoSpaceDE w:val="0"/>
      <w:autoSpaceDN w:val="0"/>
      <w:adjustRightInd w:val="0"/>
    </w:pPr>
    <w:rPr>
      <w:rFonts w:ascii="Candara" w:eastAsiaTheme="minorHAnsi"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524">
      <w:bodyDiv w:val="1"/>
      <w:marLeft w:val="0"/>
      <w:marRight w:val="0"/>
      <w:marTop w:val="0"/>
      <w:marBottom w:val="0"/>
      <w:divBdr>
        <w:top w:val="none" w:sz="0" w:space="0" w:color="auto"/>
        <w:left w:val="none" w:sz="0" w:space="0" w:color="auto"/>
        <w:bottom w:val="none" w:sz="0" w:space="0" w:color="auto"/>
        <w:right w:val="none" w:sz="0" w:space="0" w:color="auto"/>
      </w:divBdr>
      <w:divsChild>
        <w:div w:id="1724252830">
          <w:marLeft w:val="408"/>
          <w:marRight w:val="408"/>
          <w:marTop w:val="0"/>
          <w:marBottom w:val="0"/>
          <w:divBdr>
            <w:top w:val="none" w:sz="0" w:space="0" w:color="auto"/>
            <w:left w:val="none" w:sz="0" w:space="0" w:color="auto"/>
            <w:bottom w:val="none" w:sz="0" w:space="0" w:color="auto"/>
            <w:right w:val="none" w:sz="0" w:space="0" w:color="auto"/>
          </w:divBdr>
        </w:div>
      </w:divsChild>
    </w:div>
    <w:div w:id="34232660">
      <w:bodyDiv w:val="1"/>
      <w:marLeft w:val="0"/>
      <w:marRight w:val="0"/>
      <w:marTop w:val="0"/>
      <w:marBottom w:val="0"/>
      <w:divBdr>
        <w:top w:val="none" w:sz="0" w:space="0" w:color="auto"/>
        <w:left w:val="none" w:sz="0" w:space="0" w:color="auto"/>
        <w:bottom w:val="none" w:sz="0" w:space="0" w:color="auto"/>
        <w:right w:val="none" w:sz="0" w:space="0" w:color="auto"/>
      </w:divBdr>
    </w:div>
    <w:div w:id="156120736">
      <w:bodyDiv w:val="1"/>
      <w:marLeft w:val="0"/>
      <w:marRight w:val="0"/>
      <w:marTop w:val="0"/>
      <w:marBottom w:val="0"/>
      <w:divBdr>
        <w:top w:val="none" w:sz="0" w:space="0" w:color="auto"/>
        <w:left w:val="none" w:sz="0" w:space="0" w:color="auto"/>
        <w:bottom w:val="none" w:sz="0" w:space="0" w:color="auto"/>
        <w:right w:val="none" w:sz="0" w:space="0" w:color="auto"/>
      </w:divBdr>
    </w:div>
    <w:div w:id="181096216">
      <w:bodyDiv w:val="1"/>
      <w:marLeft w:val="0"/>
      <w:marRight w:val="0"/>
      <w:marTop w:val="0"/>
      <w:marBottom w:val="0"/>
      <w:divBdr>
        <w:top w:val="none" w:sz="0" w:space="0" w:color="auto"/>
        <w:left w:val="none" w:sz="0" w:space="0" w:color="auto"/>
        <w:bottom w:val="none" w:sz="0" w:space="0" w:color="auto"/>
        <w:right w:val="none" w:sz="0" w:space="0" w:color="auto"/>
      </w:divBdr>
    </w:div>
    <w:div w:id="210964028">
      <w:bodyDiv w:val="1"/>
      <w:marLeft w:val="0"/>
      <w:marRight w:val="0"/>
      <w:marTop w:val="0"/>
      <w:marBottom w:val="0"/>
      <w:divBdr>
        <w:top w:val="none" w:sz="0" w:space="0" w:color="auto"/>
        <w:left w:val="none" w:sz="0" w:space="0" w:color="auto"/>
        <w:bottom w:val="none" w:sz="0" w:space="0" w:color="auto"/>
        <w:right w:val="none" w:sz="0" w:space="0" w:color="auto"/>
      </w:divBdr>
    </w:div>
    <w:div w:id="366831511">
      <w:bodyDiv w:val="1"/>
      <w:marLeft w:val="0"/>
      <w:marRight w:val="0"/>
      <w:marTop w:val="0"/>
      <w:marBottom w:val="0"/>
      <w:divBdr>
        <w:top w:val="none" w:sz="0" w:space="0" w:color="auto"/>
        <w:left w:val="none" w:sz="0" w:space="0" w:color="auto"/>
        <w:bottom w:val="none" w:sz="0" w:space="0" w:color="auto"/>
        <w:right w:val="none" w:sz="0" w:space="0" w:color="auto"/>
      </w:divBdr>
    </w:div>
    <w:div w:id="395015371">
      <w:bodyDiv w:val="1"/>
      <w:marLeft w:val="0"/>
      <w:marRight w:val="0"/>
      <w:marTop w:val="0"/>
      <w:marBottom w:val="0"/>
      <w:divBdr>
        <w:top w:val="none" w:sz="0" w:space="0" w:color="auto"/>
        <w:left w:val="none" w:sz="0" w:space="0" w:color="auto"/>
        <w:bottom w:val="none" w:sz="0" w:space="0" w:color="auto"/>
        <w:right w:val="none" w:sz="0" w:space="0" w:color="auto"/>
      </w:divBdr>
    </w:div>
    <w:div w:id="411396689">
      <w:bodyDiv w:val="1"/>
      <w:marLeft w:val="0"/>
      <w:marRight w:val="0"/>
      <w:marTop w:val="0"/>
      <w:marBottom w:val="0"/>
      <w:divBdr>
        <w:top w:val="none" w:sz="0" w:space="0" w:color="auto"/>
        <w:left w:val="none" w:sz="0" w:space="0" w:color="auto"/>
        <w:bottom w:val="none" w:sz="0" w:space="0" w:color="auto"/>
        <w:right w:val="none" w:sz="0" w:space="0" w:color="auto"/>
      </w:divBdr>
    </w:div>
    <w:div w:id="436869067">
      <w:bodyDiv w:val="1"/>
      <w:marLeft w:val="0"/>
      <w:marRight w:val="0"/>
      <w:marTop w:val="0"/>
      <w:marBottom w:val="0"/>
      <w:divBdr>
        <w:top w:val="none" w:sz="0" w:space="0" w:color="auto"/>
        <w:left w:val="none" w:sz="0" w:space="0" w:color="auto"/>
        <w:bottom w:val="none" w:sz="0" w:space="0" w:color="auto"/>
        <w:right w:val="none" w:sz="0" w:space="0" w:color="auto"/>
      </w:divBdr>
    </w:div>
    <w:div w:id="579097630">
      <w:bodyDiv w:val="1"/>
      <w:marLeft w:val="0"/>
      <w:marRight w:val="0"/>
      <w:marTop w:val="0"/>
      <w:marBottom w:val="0"/>
      <w:divBdr>
        <w:top w:val="none" w:sz="0" w:space="0" w:color="auto"/>
        <w:left w:val="none" w:sz="0" w:space="0" w:color="auto"/>
        <w:bottom w:val="none" w:sz="0" w:space="0" w:color="auto"/>
        <w:right w:val="none" w:sz="0" w:space="0" w:color="auto"/>
      </w:divBdr>
    </w:div>
    <w:div w:id="655577030">
      <w:bodyDiv w:val="1"/>
      <w:marLeft w:val="0"/>
      <w:marRight w:val="0"/>
      <w:marTop w:val="0"/>
      <w:marBottom w:val="0"/>
      <w:divBdr>
        <w:top w:val="none" w:sz="0" w:space="0" w:color="auto"/>
        <w:left w:val="none" w:sz="0" w:space="0" w:color="auto"/>
        <w:bottom w:val="none" w:sz="0" w:space="0" w:color="auto"/>
        <w:right w:val="none" w:sz="0" w:space="0" w:color="auto"/>
      </w:divBdr>
    </w:div>
    <w:div w:id="825825491">
      <w:bodyDiv w:val="1"/>
      <w:marLeft w:val="0"/>
      <w:marRight w:val="0"/>
      <w:marTop w:val="0"/>
      <w:marBottom w:val="0"/>
      <w:divBdr>
        <w:top w:val="none" w:sz="0" w:space="0" w:color="auto"/>
        <w:left w:val="none" w:sz="0" w:space="0" w:color="auto"/>
        <w:bottom w:val="none" w:sz="0" w:space="0" w:color="auto"/>
        <w:right w:val="none" w:sz="0" w:space="0" w:color="auto"/>
      </w:divBdr>
      <w:divsChild>
        <w:div w:id="428695480">
          <w:marLeft w:val="0"/>
          <w:marRight w:val="0"/>
          <w:marTop w:val="0"/>
          <w:marBottom w:val="0"/>
          <w:divBdr>
            <w:top w:val="none" w:sz="0" w:space="0" w:color="auto"/>
            <w:left w:val="none" w:sz="0" w:space="0" w:color="auto"/>
            <w:bottom w:val="none" w:sz="0" w:space="0" w:color="auto"/>
            <w:right w:val="none" w:sz="0" w:space="0" w:color="auto"/>
          </w:divBdr>
          <w:divsChild>
            <w:div w:id="1941791291">
              <w:marLeft w:val="0"/>
              <w:marRight w:val="0"/>
              <w:marTop w:val="0"/>
              <w:marBottom w:val="0"/>
              <w:divBdr>
                <w:top w:val="none" w:sz="0" w:space="0" w:color="auto"/>
                <w:left w:val="none" w:sz="0" w:space="0" w:color="auto"/>
                <w:bottom w:val="none" w:sz="0" w:space="0" w:color="auto"/>
                <w:right w:val="none" w:sz="0" w:space="0" w:color="auto"/>
              </w:divBdr>
              <w:divsChild>
                <w:div w:id="1123501431">
                  <w:marLeft w:val="0"/>
                  <w:marRight w:val="0"/>
                  <w:marTop w:val="0"/>
                  <w:marBottom w:val="0"/>
                  <w:divBdr>
                    <w:top w:val="none" w:sz="0" w:space="0" w:color="auto"/>
                    <w:left w:val="none" w:sz="0" w:space="0" w:color="auto"/>
                    <w:bottom w:val="none" w:sz="0" w:space="0" w:color="auto"/>
                    <w:right w:val="none" w:sz="0" w:space="0" w:color="auto"/>
                  </w:divBdr>
                  <w:divsChild>
                    <w:div w:id="1963001127">
                      <w:marLeft w:val="0"/>
                      <w:marRight w:val="0"/>
                      <w:marTop w:val="0"/>
                      <w:marBottom w:val="0"/>
                      <w:divBdr>
                        <w:top w:val="none" w:sz="0" w:space="0" w:color="auto"/>
                        <w:left w:val="none" w:sz="0" w:space="0" w:color="auto"/>
                        <w:bottom w:val="none" w:sz="0" w:space="0" w:color="auto"/>
                        <w:right w:val="none" w:sz="0" w:space="0" w:color="auto"/>
                      </w:divBdr>
                      <w:divsChild>
                        <w:div w:id="1465538949">
                          <w:marLeft w:val="0"/>
                          <w:marRight w:val="0"/>
                          <w:marTop w:val="0"/>
                          <w:marBottom w:val="0"/>
                          <w:divBdr>
                            <w:top w:val="none" w:sz="0" w:space="0" w:color="auto"/>
                            <w:left w:val="none" w:sz="0" w:space="0" w:color="auto"/>
                            <w:bottom w:val="none" w:sz="0" w:space="0" w:color="auto"/>
                            <w:right w:val="none" w:sz="0" w:space="0" w:color="auto"/>
                          </w:divBdr>
                          <w:divsChild>
                            <w:div w:id="35668729">
                              <w:marLeft w:val="0"/>
                              <w:marRight w:val="0"/>
                              <w:marTop w:val="0"/>
                              <w:marBottom w:val="0"/>
                              <w:divBdr>
                                <w:top w:val="none" w:sz="0" w:space="0" w:color="auto"/>
                                <w:left w:val="none" w:sz="0" w:space="0" w:color="auto"/>
                                <w:bottom w:val="none" w:sz="0" w:space="0" w:color="auto"/>
                                <w:right w:val="none" w:sz="0" w:space="0" w:color="auto"/>
                              </w:divBdr>
                              <w:divsChild>
                                <w:div w:id="323553734">
                                  <w:marLeft w:val="0"/>
                                  <w:marRight w:val="0"/>
                                  <w:marTop w:val="0"/>
                                  <w:marBottom w:val="0"/>
                                  <w:divBdr>
                                    <w:top w:val="none" w:sz="0" w:space="0" w:color="auto"/>
                                    <w:left w:val="none" w:sz="0" w:space="0" w:color="auto"/>
                                    <w:bottom w:val="none" w:sz="0" w:space="0" w:color="auto"/>
                                    <w:right w:val="none" w:sz="0" w:space="0" w:color="auto"/>
                                  </w:divBdr>
                                  <w:divsChild>
                                    <w:div w:id="199712832">
                                      <w:marLeft w:val="0"/>
                                      <w:marRight w:val="0"/>
                                      <w:marTop w:val="0"/>
                                      <w:marBottom w:val="0"/>
                                      <w:divBdr>
                                        <w:top w:val="none" w:sz="0" w:space="0" w:color="auto"/>
                                        <w:left w:val="none" w:sz="0" w:space="0" w:color="auto"/>
                                        <w:bottom w:val="none" w:sz="0" w:space="0" w:color="auto"/>
                                        <w:right w:val="none" w:sz="0" w:space="0" w:color="auto"/>
                                      </w:divBdr>
                                      <w:divsChild>
                                        <w:div w:id="867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73882">
      <w:bodyDiv w:val="1"/>
      <w:marLeft w:val="0"/>
      <w:marRight w:val="0"/>
      <w:marTop w:val="0"/>
      <w:marBottom w:val="0"/>
      <w:divBdr>
        <w:top w:val="none" w:sz="0" w:space="0" w:color="auto"/>
        <w:left w:val="none" w:sz="0" w:space="0" w:color="auto"/>
        <w:bottom w:val="none" w:sz="0" w:space="0" w:color="auto"/>
        <w:right w:val="none" w:sz="0" w:space="0" w:color="auto"/>
      </w:divBdr>
    </w:div>
    <w:div w:id="965820348">
      <w:bodyDiv w:val="1"/>
      <w:marLeft w:val="0"/>
      <w:marRight w:val="0"/>
      <w:marTop w:val="0"/>
      <w:marBottom w:val="0"/>
      <w:divBdr>
        <w:top w:val="none" w:sz="0" w:space="0" w:color="auto"/>
        <w:left w:val="none" w:sz="0" w:space="0" w:color="auto"/>
        <w:bottom w:val="none" w:sz="0" w:space="0" w:color="auto"/>
        <w:right w:val="none" w:sz="0" w:space="0" w:color="auto"/>
      </w:divBdr>
    </w:div>
    <w:div w:id="975722639">
      <w:bodyDiv w:val="1"/>
      <w:marLeft w:val="0"/>
      <w:marRight w:val="0"/>
      <w:marTop w:val="0"/>
      <w:marBottom w:val="0"/>
      <w:divBdr>
        <w:top w:val="none" w:sz="0" w:space="0" w:color="auto"/>
        <w:left w:val="none" w:sz="0" w:space="0" w:color="auto"/>
        <w:bottom w:val="none" w:sz="0" w:space="0" w:color="auto"/>
        <w:right w:val="none" w:sz="0" w:space="0" w:color="auto"/>
      </w:divBdr>
      <w:divsChild>
        <w:div w:id="1837377307">
          <w:marLeft w:val="0"/>
          <w:marRight w:val="0"/>
          <w:marTop w:val="0"/>
          <w:marBottom w:val="0"/>
          <w:divBdr>
            <w:top w:val="none" w:sz="0" w:space="0" w:color="auto"/>
            <w:left w:val="none" w:sz="0" w:space="0" w:color="auto"/>
            <w:bottom w:val="none" w:sz="0" w:space="0" w:color="auto"/>
            <w:right w:val="none" w:sz="0" w:space="0" w:color="auto"/>
          </w:divBdr>
          <w:divsChild>
            <w:div w:id="563756002">
              <w:marLeft w:val="0"/>
              <w:marRight w:val="0"/>
              <w:marTop w:val="0"/>
              <w:marBottom w:val="0"/>
              <w:divBdr>
                <w:top w:val="none" w:sz="0" w:space="0" w:color="auto"/>
                <w:left w:val="none" w:sz="0" w:space="0" w:color="auto"/>
                <w:bottom w:val="none" w:sz="0" w:space="0" w:color="auto"/>
                <w:right w:val="none" w:sz="0" w:space="0" w:color="auto"/>
              </w:divBdr>
              <w:divsChild>
                <w:div w:id="1956908824">
                  <w:marLeft w:val="0"/>
                  <w:marRight w:val="0"/>
                  <w:marTop w:val="0"/>
                  <w:marBottom w:val="0"/>
                  <w:divBdr>
                    <w:top w:val="none" w:sz="0" w:space="0" w:color="auto"/>
                    <w:left w:val="none" w:sz="0" w:space="0" w:color="auto"/>
                    <w:bottom w:val="none" w:sz="0" w:space="0" w:color="auto"/>
                    <w:right w:val="none" w:sz="0" w:space="0" w:color="auto"/>
                  </w:divBdr>
                  <w:divsChild>
                    <w:div w:id="783039492">
                      <w:marLeft w:val="0"/>
                      <w:marRight w:val="0"/>
                      <w:marTop w:val="0"/>
                      <w:marBottom w:val="0"/>
                      <w:divBdr>
                        <w:top w:val="none" w:sz="0" w:space="0" w:color="auto"/>
                        <w:left w:val="none" w:sz="0" w:space="0" w:color="auto"/>
                        <w:bottom w:val="none" w:sz="0" w:space="0" w:color="auto"/>
                        <w:right w:val="none" w:sz="0" w:space="0" w:color="auto"/>
                      </w:divBdr>
                      <w:divsChild>
                        <w:div w:id="1693873014">
                          <w:marLeft w:val="0"/>
                          <w:marRight w:val="0"/>
                          <w:marTop w:val="0"/>
                          <w:marBottom w:val="0"/>
                          <w:divBdr>
                            <w:top w:val="none" w:sz="0" w:space="0" w:color="auto"/>
                            <w:left w:val="none" w:sz="0" w:space="0" w:color="auto"/>
                            <w:bottom w:val="none" w:sz="0" w:space="0" w:color="auto"/>
                            <w:right w:val="none" w:sz="0" w:space="0" w:color="auto"/>
                          </w:divBdr>
                          <w:divsChild>
                            <w:div w:id="447436839">
                              <w:marLeft w:val="0"/>
                              <w:marRight w:val="0"/>
                              <w:marTop w:val="0"/>
                              <w:marBottom w:val="0"/>
                              <w:divBdr>
                                <w:top w:val="none" w:sz="0" w:space="0" w:color="auto"/>
                                <w:left w:val="none" w:sz="0" w:space="0" w:color="auto"/>
                                <w:bottom w:val="none" w:sz="0" w:space="0" w:color="auto"/>
                                <w:right w:val="none" w:sz="0" w:space="0" w:color="auto"/>
                              </w:divBdr>
                              <w:divsChild>
                                <w:div w:id="224999545">
                                  <w:marLeft w:val="0"/>
                                  <w:marRight w:val="0"/>
                                  <w:marTop w:val="0"/>
                                  <w:marBottom w:val="0"/>
                                  <w:divBdr>
                                    <w:top w:val="none" w:sz="0" w:space="0" w:color="auto"/>
                                    <w:left w:val="none" w:sz="0" w:space="0" w:color="auto"/>
                                    <w:bottom w:val="none" w:sz="0" w:space="0" w:color="auto"/>
                                    <w:right w:val="none" w:sz="0" w:space="0" w:color="auto"/>
                                  </w:divBdr>
                                  <w:divsChild>
                                    <w:div w:id="609049303">
                                      <w:marLeft w:val="0"/>
                                      <w:marRight w:val="0"/>
                                      <w:marTop w:val="0"/>
                                      <w:marBottom w:val="0"/>
                                      <w:divBdr>
                                        <w:top w:val="none" w:sz="0" w:space="0" w:color="auto"/>
                                        <w:left w:val="none" w:sz="0" w:space="0" w:color="auto"/>
                                        <w:bottom w:val="none" w:sz="0" w:space="0" w:color="auto"/>
                                        <w:right w:val="none" w:sz="0" w:space="0" w:color="auto"/>
                                      </w:divBdr>
                                      <w:divsChild>
                                        <w:div w:id="1345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85152">
      <w:bodyDiv w:val="1"/>
      <w:marLeft w:val="0"/>
      <w:marRight w:val="0"/>
      <w:marTop w:val="0"/>
      <w:marBottom w:val="0"/>
      <w:divBdr>
        <w:top w:val="none" w:sz="0" w:space="0" w:color="auto"/>
        <w:left w:val="none" w:sz="0" w:space="0" w:color="auto"/>
        <w:bottom w:val="none" w:sz="0" w:space="0" w:color="auto"/>
        <w:right w:val="none" w:sz="0" w:space="0" w:color="auto"/>
      </w:divBdr>
      <w:divsChild>
        <w:div w:id="1844125473">
          <w:marLeft w:val="408"/>
          <w:marRight w:val="408"/>
          <w:marTop w:val="0"/>
          <w:marBottom w:val="0"/>
          <w:divBdr>
            <w:top w:val="none" w:sz="0" w:space="0" w:color="auto"/>
            <w:left w:val="none" w:sz="0" w:space="0" w:color="auto"/>
            <w:bottom w:val="none" w:sz="0" w:space="0" w:color="auto"/>
            <w:right w:val="none" w:sz="0" w:space="0" w:color="auto"/>
          </w:divBdr>
        </w:div>
      </w:divsChild>
    </w:div>
    <w:div w:id="1155755015">
      <w:bodyDiv w:val="1"/>
      <w:marLeft w:val="0"/>
      <w:marRight w:val="0"/>
      <w:marTop w:val="0"/>
      <w:marBottom w:val="0"/>
      <w:divBdr>
        <w:top w:val="none" w:sz="0" w:space="0" w:color="auto"/>
        <w:left w:val="none" w:sz="0" w:space="0" w:color="auto"/>
        <w:bottom w:val="none" w:sz="0" w:space="0" w:color="auto"/>
        <w:right w:val="none" w:sz="0" w:space="0" w:color="auto"/>
      </w:divBdr>
      <w:divsChild>
        <w:div w:id="81030377">
          <w:marLeft w:val="408"/>
          <w:marRight w:val="408"/>
          <w:marTop w:val="0"/>
          <w:marBottom w:val="0"/>
          <w:divBdr>
            <w:top w:val="none" w:sz="0" w:space="0" w:color="auto"/>
            <w:left w:val="none" w:sz="0" w:space="0" w:color="auto"/>
            <w:bottom w:val="none" w:sz="0" w:space="0" w:color="auto"/>
            <w:right w:val="none" w:sz="0" w:space="0" w:color="auto"/>
          </w:divBdr>
        </w:div>
      </w:divsChild>
    </w:div>
    <w:div w:id="1267154033">
      <w:bodyDiv w:val="1"/>
      <w:marLeft w:val="0"/>
      <w:marRight w:val="0"/>
      <w:marTop w:val="0"/>
      <w:marBottom w:val="0"/>
      <w:divBdr>
        <w:top w:val="none" w:sz="0" w:space="0" w:color="auto"/>
        <w:left w:val="none" w:sz="0" w:space="0" w:color="auto"/>
        <w:bottom w:val="none" w:sz="0" w:space="0" w:color="auto"/>
        <w:right w:val="none" w:sz="0" w:space="0" w:color="auto"/>
      </w:divBdr>
      <w:divsChild>
        <w:div w:id="1714425372">
          <w:marLeft w:val="0"/>
          <w:marRight w:val="0"/>
          <w:marTop w:val="0"/>
          <w:marBottom w:val="0"/>
          <w:divBdr>
            <w:top w:val="none" w:sz="0" w:space="0" w:color="auto"/>
            <w:left w:val="none" w:sz="0" w:space="0" w:color="auto"/>
            <w:bottom w:val="none" w:sz="0" w:space="0" w:color="auto"/>
            <w:right w:val="none" w:sz="0" w:space="0" w:color="auto"/>
          </w:divBdr>
          <w:divsChild>
            <w:div w:id="725108353">
              <w:marLeft w:val="0"/>
              <w:marRight w:val="0"/>
              <w:marTop w:val="0"/>
              <w:marBottom w:val="0"/>
              <w:divBdr>
                <w:top w:val="none" w:sz="0" w:space="0" w:color="auto"/>
                <w:left w:val="none" w:sz="0" w:space="0" w:color="auto"/>
                <w:bottom w:val="none" w:sz="0" w:space="0" w:color="auto"/>
                <w:right w:val="none" w:sz="0" w:space="0" w:color="auto"/>
              </w:divBdr>
              <w:divsChild>
                <w:div w:id="1715153617">
                  <w:marLeft w:val="0"/>
                  <w:marRight w:val="0"/>
                  <w:marTop w:val="0"/>
                  <w:marBottom w:val="0"/>
                  <w:divBdr>
                    <w:top w:val="none" w:sz="0" w:space="0" w:color="auto"/>
                    <w:left w:val="none" w:sz="0" w:space="0" w:color="auto"/>
                    <w:bottom w:val="none" w:sz="0" w:space="0" w:color="auto"/>
                    <w:right w:val="none" w:sz="0" w:space="0" w:color="auto"/>
                  </w:divBdr>
                  <w:divsChild>
                    <w:div w:id="262617538">
                      <w:marLeft w:val="0"/>
                      <w:marRight w:val="0"/>
                      <w:marTop w:val="0"/>
                      <w:marBottom w:val="0"/>
                      <w:divBdr>
                        <w:top w:val="none" w:sz="0" w:space="0" w:color="auto"/>
                        <w:left w:val="none" w:sz="0" w:space="0" w:color="auto"/>
                        <w:bottom w:val="none" w:sz="0" w:space="0" w:color="auto"/>
                        <w:right w:val="none" w:sz="0" w:space="0" w:color="auto"/>
                      </w:divBdr>
                      <w:divsChild>
                        <w:div w:id="1454440558">
                          <w:marLeft w:val="0"/>
                          <w:marRight w:val="0"/>
                          <w:marTop w:val="0"/>
                          <w:marBottom w:val="0"/>
                          <w:divBdr>
                            <w:top w:val="none" w:sz="0" w:space="0" w:color="auto"/>
                            <w:left w:val="none" w:sz="0" w:space="0" w:color="auto"/>
                            <w:bottom w:val="none" w:sz="0" w:space="0" w:color="auto"/>
                            <w:right w:val="none" w:sz="0" w:space="0" w:color="auto"/>
                          </w:divBdr>
                          <w:divsChild>
                            <w:div w:id="202521740">
                              <w:marLeft w:val="0"/>
                              <w:marRight w:val="0"/>
                              <w:marTop w:val="0"/>
                              <w:marBottom w:val="0"/>
                              <w:divBdr>
                                <w:top w:val="none" w:sz="0" w:space="0" w:color="auto"/>
                                <w:left w:val="none" w:sz="0" w:space="0" w:color="auto"/>
                                <w:bottom w:val="none" w:sz="0" w:space="0" w:color="auto"/>
                                <w:right w:val="none" w:sz="0" w:space="0" w:color="auto"/>
                              </w:divBdr>
                              <w:divsChild>
                                <w:div w:id="1776443109">
                                  <w:marLeft w:val="0"/>
                                  <w:marRight w:val="0"/>
                                  <w:marTop w:val="0"/>
                                  <w:marBottom w:val="0"/>
                                  <w:divBdr>
                                    <w:top w:val="none" w:sz="0" w:space="0" w:color="auto"/>
                                    <w:left w:val="none" w:sz="0" w:space="0" w:color="auto"/>
                                    <w:bottom w:val="none" w:sz="0" w:space="0" w:color="auto"/>
                                    <w:right w:val="none" w:sz="0" w:space="0" w:color="auto"/>
                                  </w:divBdr>
                                  <w:divsChild>
                                    <w:div w:id="690030218">
                                      <w:marLeft w:val="0"/>
                                      <w:marRight w:val="0"/>
                                      <w:marTop w:val="0"/>
                                      <w:marBottom w:val="0"/>
                                      <w:divBdr>
                                        <w:top w:val="none" w:sz="0" w:space="0" w:color="auto"/>
                                        <w:left w:val="none" w:sz="0" w:space="0" w:color="auto"/>
                                        <w:bottom w:val="none" w:sz="0" w:space="0" w:color="auto"/>
                                        <w:right w:val="none" w:sz="0" w:space="0" w:color="auto"/>
                                      </w:divBdr>
                                      <w:divsChild>
                                        <w:div w:id="1578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064932">
      <w:bodyDiv w:val="1"/>
      <w:marLeft w:val="0"/>
      <w:marRight w:val="0"/>
      <w:marTop w:val="0"/>
      <w:marBottom w:val="0"/>
      <w:divBdr>
        <w:top w:val="none" w:sz="0" w:space="0" w:color="auto"/>
        <w:left w:val="none" w:sz="0" w:space="0" w:color="auto"/>
        <w:bottom w:val="none" w:sz="0" w:space="0" w:color="auto"/>
        <w:right w:val="none" w:sz="0" w:space="0" w:color="auto"/>
      </w:divBdr>
    </w:div>
    <w:div w:id="1355229131">
      <w:bodyDiv w:val="1"/>
      <w:marLeft w:val="0"/>
      <w:marRight w:val="0"/>
      <w:marTop w:val="0"/>
      <w:marBottom w:val="0"/>
      <w:divBdr>
        <w:top w:val="none" w:sz="0" w:space="0" w:color="auto"/>
        <w:left w:val="none" w:sz="0" w:space="0" w:color="auto"/>
        <w:bottom w:val="none" w:sz="0" w:space="0" w:color="auto"/>
        <w:right w:val="none" w:sz="0" w:space="0" w:color="auto"/>
      </w:divBdr>
    </w:div>
    <w:div w:id="1469318047">
      <w:bodyDiv w:val="1"/>
      <w:marLeft w:val="0"/>
      <w:marRight w:val="0"/>
      <w:marTop w:val="0"/>
      <w:marBottom w:val="0"/>
      <w:divBdr>
        <w:top w:val="none" w:sz="0" w:space="0" w:color="auto"/>
        <w:left w:val="none" w:sz="0" w:space="0" w:color="auto"/>
        <w:bottom w:val="none" w:sz="0" w:space="0" w:color="auto"/>
        <w:right w:val="none" w:sz="0" w:space="0" w:color="auto"/>
      </w:divBdr>
    </w:div>
    <w:div w:id="1488327747">
      <w:bodyDiv w:val="1"/>
      <w:marLeft w:val="0"/>
      <w:marRight w:val="0"/>
      <w:marTop w:val="0"/>
      <w:marBottom w:val="0"/>
      <w:divBdr>
        <w:top w:val="none" w:sz="0" w:space="0" w:color="auto"/>
        <w:left w:val="none" w:sz="0" w:space="0" w:color="auto"/>
        <w:bottom w:val="none" w:sz="0" w:space="0" w:color="auto"/>
        <w:right w:val="none" w:sz="0" w:space="0" w:color="auto"/>
      </w:divBdr>
    </w:div>
    <w:div w:id="1565488097">
      <w:bodyDiv w:val="1"/>
      <w:marLeft w:val="0"/>
      <w:marRight w:val="0"/>
      <w:marTop w:val="0"/>
      <w:marBottom w:val="0"/>
      <w:divBdr>
        <w:top w:val="none" w:sz="0" w:space="0" w:color="auto"/>
        <w:left w:val="none" w:sz="0" w:space="0" w:color="auto"/>
        <w:bottom w:val="none" w:sz="0" w:space="0" w:color="auto"/>
        <w:right w:val="none" w:sz="0" w:space="0" w:color="auto"/>
      </w:divBdr>
    </w:div>
    <w:div w:id="1693145566">
      <w:bodyDiv w:val="1"/>
      <w:marLeft w:val="0"/>
      <w:marRight w:val="0"/>
      <w:marTop w:val="0"/>
      <w:marBottom w:val="0"/>
      <w:divBdr>
        <w:top w:val="none" w:sz="0" w:space="0" w:color="auto"/>
        <w:left w:val="none" w:sz="0" w:space="0" w:color="auto"/>
        <w:bottom w:val="none" w:sz="0" w:space="0" w:color="auto"/>
        <w:right w:val="none" w:sz="0" w:space="0" w:color="auto"/>
      </w:divBdr>
    </w:div>
    <w:div w:id="1732727721">
      <w:bodyDiv w:val="1"/>
      <w:marLeft w:val="0"/>
      <w:marRight w:val="0"/>
      <w:marTop w:val="0"/>
      <w:marBottom w:val="0"/>
      <w:divBdr>
        <w:top w:val="none" w:sz="0" w:space="0" w:color="auto"/>
        <w:left w:val="none" w:sz="0" w:space="0" w:color="auto"/>
        <w:bottom w:val="none" w:sz="0" w:space="0" w:color="auto"/>
        <w:right w:val="none" w:sz="0" w:space="0" w:color="auto"/>
      </w:divBdr>
      <w:divsChild>
        <w:div w:id="2016571540">
          <w:marLeft w:val="0"/>
          <w:marRight w:val="0"/>
          <w:marTop w:val="0"/>
          <w:marBottom w:val="0"/>
          <w:divBdr>
            <w:top w:val="none" w:sz="0" w:space="0" w:color="auto"/>
            <w:left w:val="none" w:sz="0" w:space="0" w:color="auto"/>
            <w:bottom w:val="none" w:sz="0" w:space="0" w:color="auto"/>
            <w:right w:val="none" w:sz="0" w:space="0" w:color="auto"/>
          </w:divBdr>
        </w:div>
        <w:div w:id="199561725">
          <w:marLeft w:val="0"/>
          <w:marRight w:val="0"/>
          <w:marTop w:val="0"/>
          <w:marBottom w:val="0"/>
          <w:divBdr>
            <w:top w:val="none" w:sz="0" w:space="0" w:color="auto"/>
            <w:left w:val="none" w:sz="0" w:space="0" w:color="auto"/>
            <w:bottom w:val="none" w:sz="0" w:space="0" w:color="auto"/>
            <w:right w:val="none" w:sz="0" w:space="0" w:color="auto"/>
          </w:divBdr>
        </w:div>
        <w:div w:id="586428785">
          <w:marLeft w:val="0"/>
          <w:marRight w:val="0"/>
          <w:marTop w:val="0"/>
          <w:marBottom w:val="0"/>
          <w:divBdr>
            <w:top w:val="none" w:sz="0" w:space="0" w:color="auto"/>
            <w:left w:val="none" w:sz="0" w:space="0" w:color="auto"/>
            <w:bottom w:val="none" w:sz="0" w:space="0" w:color="auto"/>
            <w:right w:val="none" w:sz="0" w:space="0" w:color="auto"/>
          </w:divBdr>
        </w:div>
        <w:div w:id="1167553378">
          <w:marLeft w:val="0"/>
          <w:marRight w:val="0"/>
          <w:marTop w:val="0"/>
          <w:marBottom w:val="0"/>
          <w:divBdr>
            <w:top w:val="none" w:sz="0" w:space="0" w:color="auto"/>
            <w:left w:val="none" w:sz="0" w:space="0" w:color="auto"/>
            <w:bottom w:val="none" w:sz="0" w:space="0" w:color="auto"/>
            <w:right w:val="none" w:sz="0" w:space="0" w:color="auto"/>
          </w:divBdr>
        </w:div>
        <w:div w:id="871302834">
          <w:marLeft w:val="0"/>
          <w:marRight w:val="0"/>
          <w:marTop w:val="0"/>
          <w:marBottom w:val="0"/>
          <w:divBdr>
            <w:top w:val="none" w:sz="0" w:space="0" w:color="auto"/>
            <w:left w:val="none" w:sz="0" w:space="0" w:color="auto"/>
            <w:bottom w:val="none" w:sz="0" w:space="0" w:color="auto"/>
            <w:right w:val="none" w:sz="0" w:space="0" w:color="auto"/>
          </w:divBdr>
        </w:div>
        <w:div w:id="1660697581">
          <w:marLeft w:val="0"/>
          <w:marRight w:val="0"/>
          <w:marTop w:val="0"/>
          <w:marBottom w:val="0"/>
          <w:divBdr>
            <w:top w:val="none" w:sz="0" w:space="0" w:color="auto"/>
            <w:left w:val="none" w:sz="0" w:space="0" w:color="auto"/>
            <w:bottom w:val="none" w:sz="0" w:space="0" w:color="auto"/>
            <w:right w:val="none" w:sz="0" w:space="0" w:color="auto"/>
          </w:divBdr>
        </w:div>
        <w:div w:id="466626693">
          <w:marLeft w:val="0"/>
          <w:marRight w:val="0"/>
          <w:marTop w:val="0"/>
          <w:marBottom w:val="0"/>
          <w:divBdr>
            <w:top w:val="none" w:sz="0" w:space="0" w:color="auto"/>
            <w:left w:val="none" w:sz="0" w:space="0" w:color="auto"/>
            <w:bottom w:val="none" w:sz="0" w:space="0" w:color="auto"/>
            <w:right w:val="none" w:sz="0" w:space="0" w:color="auto"/>
          </w:divBdr>
        </w:div>
        <w:div w:id="37559976">
          <w:marLeft w:val="0"/>
          <w:marRight w:val="0"/>
          <w:marTop w:val="0"/>
          <w:marBottom w:val="0"/>
          <w:divBdr>
            <w:top w:val="none" w:sz="0" w:space="0" w:color="auto"/>
            <w:left w:val="none" w:sz="0" w:space="0" w:color="auto"/>
            <w:bottom w:val="none" w:sz="0" w:space="0" w:color="auto"/>
            <w:right w:val="none" w:sz="0" w:space="0" w:color="auto"/>
          </w:divBdr>
        </w:div>
        <w:div w:id="665669645">
          <w:marLeft w:val="0"/>
          <w:marRight w:val="0"/>
          <w:marTop w:val="0"/>
          <w:marBottom w:val="0"/>
          <w:divBdr>
            <w:top w:val="none" w:sz="0" w:space="0" w:color="auto"/>
            <w:left w:val="none" w:sz="0" w:space="0" w:color="auto"/>
            <w:bottom w:val="none" w:sz="0" w:space="0" w:color="auto"/>
            <w:right w:val="none" w:sz="0" w:space="0" w:color="auto"/>
          </w:divBdr>
        </w:div>
        <w:div w:id="434205614">
          <w:marLeft w:val="0"/>
          <w:marRight w:val="0"/>
          <w:marTop w:val="0"/>
          <w:marBottom w:val="0"/>
          <w:divBdr>
            <w:top w:val="none" w:sz="0" w:space="0" w:color="auto"/>
            <w:left w:val="none" w:sz="0" w:space="0" w:color="auto"/>
            <w:bottom w:val="none" w:sz="0" w:space="0" w:color="auto"/>
            <w:right w:val="none" w:sz="0" w:space="0" w:color="auto"/>
          </w:divBdr>
        </w:div>
        <w:div w:id="235020805">
          <w:marLeft w:val="0"/>
          <w:marRight w:val="0"/>
          <w:marTop w:val="0"/>
          <w:marBottom w:val="0"/>
          <w:divBdr>
            <w:top w:val="none" w:sz="0" w:space="0" w:color="auto"/>
            <w:left w:val="none" w:sz="0" w:space="0" w:color="auto"/>
            <w:bottom w:val="none" w:sz="0" w:space="0" w:color="auto"/>
            <w:right w:val="none" w:sz="0" w:space="0" w:color="auto"/>
          </w:divBdr>
        </w:div>
        <w:div w:id="437918234">
          <w:marLeft w:val="0"/>
          <w:marRight w:val="0"/>
          <w:marTop w:val="0"/>
          <w:marBottom w:val="0"/>
          <w:divBdr>
            <w:top w:val="none" w:sz="0" w:space="0" w:color="auto"/>
            <w:left w:val="none" w:sz="0" w:space="0" w:color="auto"/>
            <w:bottom w:val="none" w:sz="0" w:space="0" w:color="auto"/>
            <w:right w:val="none" w:sz="0" w:space="0" w:color="auto"/>
          </w:divBdr>
        </w:div>
        <w:div w:id="1905335738">
          <w:marLeft w:val="0"/>
          <w:marRight w:val="0"/>
          <w:marTop w:val="0"/>
          <w:marBottom w:val="0"/>
          <w:divBdr>
            <w:top w:val="none" w:sz="0" w:space="0" w:color="auto"/>
            <w:left w:val="none" w:sz="0" w:space="0" w:color="auto"/>
            <w:bottom w:val="none" w:sz="0" w:space="0" w:color="auto"/>
            <w:right w:val="none" w:sz="0" w:space="0" w:color="auto"/>
          </w:divBdr>
        </w:div>
        <w:div w:id="138154744">
          <w:marLeft w:val="0"/>
          <w:marRight w:val="0"/>
          <w:marTop w:val="0"/>
          <w:marBottom w:val="0"/>
          <w:divBdr>
            <w:top w:val="none" w:sz="0" w:space="0" w:color="auto"/>
            <w:left w:val="none" w:sz="0" w:space="0" w:color="auto"/>
            <w:bottom w:val="none" w:sz="0" w:space="0" w:color="auto"/>
            <w:right w:val="none" w:sz="0" w:space="0" w:color="auto"/>
          </w:divBdr>
        </w:div>
        <w:div w:id="939803053">
          <w:marLeft w:val="0"/>
          <w:marRight w:val="0"/>
          <w:marTop w:val="0"/>
          <w:marBottom w:val="0"/>
          <w:divBdr>
            <w:top w:val="none" w:sz="0" w:space="0" w:color="auto"/>
            <w:left w:val="none" w:sz="0" w:space="0" w:color="auto"/>
            <w:bottom w:val="none" w:sz="0" w:space="0" w:color="auto"/>
            <w:right w:val="none" w:sz="0" w:space="0" w:color="auto"/>
          </w:divBdr>
        </w:div>
        <w:div w:id="354500420">
          <w:marLeft w:val="0"/>
          <w:marRight w:val="0"/>
          <w:marTop w:val="0"/>
          <w:marBottom w:val="0"/>
          <w:divBdr>
            <w:top w:val="none" w:sz="0" w:space="0" w:color="auto"/>
            <w:left w:val="none" w:sz="0" w:space="0" w:color="auto"/>
            <w:bottom w:val="none" w:sz="0" w:space="0" w:color="auto"/>
            <w:right w:val="none" w:sz="0" w:space="0" w:color="auto"/>
          </w:divBdr>
        </w:div>
        <w:div w:id="900792453">
          <w:marLeft w:val="0"/>
          <w:marRight w:val="0"/>
          <w:marTop w:val="0"/>
          <w:marBottom w:val="0"/>
          <w:divBdr>
            <w:top w:val="none" w:sz="0" w:space="0" w:color="auto"/>
            <w:left w:val="none" w:sz="0" w:space="0" w:color="auto"/>
            <w:bottom w:val="none" w:sz="0" w:space="0" w:color="auto"/>
            <w:right w:val="none" w:sz="0" w:space="0" w:color="auto"/>
          </w:divBdr>
        </w:div>
        <w:div w:id="1749840227">
          <w:marLeft w:val="0"/>
          <w:marRight w:val="0"/>
          <w:marTop w:val="0"/>
          <w:marBottom w:val="0"/>
          <w:divBdr>
            <w:top w:val="none" w:sz="0" w:space="0" w:color="auto"/>
            <w:left w:val="none" w:sz="0" w:space="0" w:color="auto"/>
            <w:bottom w:val="none" w:sz="0" w:space="0" w:color="auto"/>
            <w:right w:val="none" w:sz="0" w:space="0" w:color="auto"/>
          </w:divBdr>
        </w:div>
        <w:div w:id="2092848613">
          <w:marLeft w:val="0"/>
          <w:marRight w:val="0"/>
          <w:marTop w:val="0"/>
          <w:marBottom w:val="0"/>
          <w:divBdr>
            <w:top w:val="none" w:sz="0" w:space="0" w:color="auto"/>
            <w:left w:val="none" w:sz="0" w:space="0" w:color="auto"/>
            <w:bottom w:val="none" w:sz="0" w:space="0" w:color="auto"/>
            <w:right w:val="none" w:sz="0" w:space="0" w:color="auto"/>
          </w:divBdr>
        </w:div>
        <w:div w:id="1612130050">
          <w:marLeft w:val="0"/>
          <w:marRight w:val="0"/>
          <w:marTop w:val="0"/>
          <w:marBottom w:val="0"/>
          <w:divBdr>
            <w:top w:val="none" w:sz="0" w:space="0" w:color="auto"/>
            <w:left w:val="none" w:sz="0" w:space="0" w:color="auto"/>
            <w:bottom w:val="none" w:sz="0" w:space="0" w:color="auto"/>
            <w:right w:val="none" w:sz="0" w:space="0" w:color="auto"/>
          </w:divBdr>
        </w:div>
        <w:div w:id="375469912">
          <w:marLeft w:val="0"/>
          <w:marRight w:val="0"/>
          <w:marTop w:val="0"/>
          <w:marBottom w:val="0"/>
          <w:divBdr>
            <w:top w:val="none" w:sz="0" w:space="0" w:color="auto"/>
            <w:left w:val="none" w:sz="0" w:space="0" w:color="auto"/>
            <w:bottom w:val="none" w:sz="0" w:space="0" w:color="auto"/>
            <w:right w:val="none" w:sz="0" w:space="0" w:color="auto"/>
          </w:divBdr>
        </w:div>
        <w:div w:id="1205556718">
          <w:marLeft w:val="0"/>
          <w:marRight w:val="0"/>
          <w:marTop w:val="0"/>
          <w:marBottom w:val="0"/>
          <w:divBdr>
            <w:top w:val="none" w:sz="0" w:space="0" w:color="auto"/>
            <w:left w:val="none" w:sz="0" w:space="0" w:color="auto"/>
            <w:bottom w:val="none" w:sz="0" w:space="0" w:color="auto"/>
            <w:right w:val="none" w:sz="0" w:space="0" w:color="auto"/>
          </w:divBdr>
        </w:div>
        <w:div w:id="987780917">
          <w:marLeft w:val="0"/>
          <w:marRight w:val="0"/>
          <w:marTop w:val="0"/>
          <w:marBottom w:val="0"/>
          <w:divBdr>
            <w:top w:val="none" w:sz="0" w:space="0" w:color="auto"/>
            <w:left w:val="none" w:sz="0" w:space="0" w:color="auto"/>
            <w:bottom w:val="none" w:sz="0" w:space="0" w:color="auto"/>
            <w:right w:val="none" w:sz="0" w:space="0" w:color="auto"/>
          </w:divBdr>
        </w:div>
        <w:div w:id="745878614">
          <w:marLeft w:val="0"/>
          <w:marRight w:val="0"/>
          <w:marTop w:val="0"/>
          <w:marBottom w:val="0"/>
          <w:divBdr>
            <w:top w:val="none" w:sz="0" w:space="0" w:color="auto"/>
            <w:left w:val="none" w:sz="0" w:space="0" w:color="auto"/>
            <w:bottom w:val="none" w:sz="0" w:space="0" w:color="auto"/>
            <w:right w:val="none" w:sz="0" w:space="0" w:color="auto"/>
          </w:divBdr>
        </w:div>
        <w:div w:id="1706953125">
          <w:marLeft w:val="0"/>
          <w:marRight w:val="0"/>
          <w:marTop w:val="0"/>
          <w:marBottom w:val="0"/>
          <w:divBdr>
            <w:top w:val="none" w:sz="0" w:space="0" w:color="auto"/>
            <w:left w:val="none" w:sz="0" w:space="0" w:color="auto"/>
            <w:bottom w:val="none" w:sz="0" w:space="0" w:color="auto"/>
            <w:right w:val="none" w:sz="0" w:space="0" w:color="auto"/>
          </w:divBdr>
        </w:div>
        <w:div w:id="2084134911">
          <w:marLeft w:val="0"/>
          <w:marRight w:val="0"/>
          <w:marTop w:val="0"/>
          <w:marBottom w:val="0"/>
          <w:divBdr>
            <w:top w:val="none" w:sz="0" w:space="0" w:color="auto"/>
            <w:left w:val="none" w:sz="0" w:space="0" w:color="auto"/>
            <w:bottom w:val="none" w:sz="0" w:space="0" w:color="auto"/>
            <w:right w:val="none" w:sz="0" w:space="0" w:color="auto"/>
          </w:divBdr>
        </w:div>
        <w:div w:id="1319654376">
          <w:marLeft w:val="0"/>
          <w:marRight w:val="0"/>
          <w:marTop w:val="0"/>
          <w:marBottom w:val="0"/>
          <w:divBdr>
            <w:top w:val="none" w:sz="0" w:space="0" w:color="auto"/>
            <w:left w:val="none" w:sz="0" w:space="0" w:color="auto"/>
            <w:bottom w:val="none" w:sz="0" w:space="0" w:color="auto"/>
            <w:right w:val="none" w:sz="0" w:space="0" w:color="auto"/>
          </w:divBdr>
        </w:div>
        <w:div w:id="188643534">
          <w:marLeft w:val="0"/>
          <w:marRight w:val="0"/>
          <w:marTop w:val="0"/>
          <w:marBottom w:val="0"/>
          <w:divBdr>
            <w:top w:val="none" w:sz="0" w:space="0" w:color="auto"/>
            <w:left w:val="none" w:sz="0" w:space="0" w:color="auto"/>
            <w:bottom w:val="none" w:sz="0" w:space="0" w:color="auto"/>
            <w:right w:val="none" w:sz="0" w:space="0" w:color="auto"/>
          </w:divBdr>
        </w:div>
        <w:div w:id="864170548">
          <w:marLeft w:val="0"/>
          <w:marRight w:val="0"/>
          <w:marTop w:val="0"/>
          <w:marBottom w:val="0"/>
          <w:divBdr>
            <w:top w:val="none" w:sz="0" w:space="0" w:color="auto"/>
            <w:left w:val="none" w:sz="0" w:space="0" w:color="auto"/>
            <w:bottom w:val="none" w:sz="0" w:space="0" w:color="auto"/>
            <w:right w:val="none" w:sz="0" w:space="0" w:color="auto"/>
          </w:divBdr>
        </w:div>
        <w:div w:id="2112429902">
          <w:marLeft w:val="0"/>
          <w:marRight w:val="0"/>
          <w:marTop w:val="0"/>
          <w:marBottom w:val="0"/>
          <w:divBdr>
            <w:top w:val="none" w:sz="0" w:space="0" w:color="auto"/>
            <w:left w:val="none" w:sz="0" w:space="0" w:color="auto"/>
            <w:bottom w:val="none" w:sz="0" w:space="0" w:color="auto"/>
            <w:right w:val="none" w:sz="0" w:space="0" w:color="auto"/>
          </w:divBdr>
        </w:div>
        <w:div w:id="1903132495">
          <w:marLeft w:val="0"/>
          <w:marRight w:val="0"/>
          <w:marTop w:val="0"/>
          <w:marBottom w:val="0"/>
          <w:divBdr>
            <w:top w:val="none" w:sz="0" w:space="0" w:color="auto"/>
            <w:left w:val="none" w:sz="0" w:space="0" w:color="auto"/>
            <w:bottom w:val="none" w:sz="0" w:space="0" w:color="auto"/>
            <w:right w:val="none" w:sz="0" w:space="0" w:color="auto"/>
          </w:divBdr>
        </w:div>
        <w:div w:id="707604719">
          <w:marLeft w:val="0"/>
          <w:marRight w:val="0"/>
          <w:marTop w:val="0"/>
          <w:marBottom w:val="0"/>
          <w:divBdr>
            <w:top w:val="none" w:sz="0" w:space="0" w:color="auto"/>
            <w:left w:val="none" w:sz="0" w:space="0" w:color="auto"/>
            <w:bottom w:val="none" w:sz="0" w:space="0" w:color="auto"/>
            <w:right w:val="none" w:sz="0" w:space="0" w:color="auto"/>
          </w:divBdr>
        </w:div>
        <w:div w:id="1258177878">
          <w:marLeft w:val="0"/>
          <w:marRight w:val="0"/>
          <w:marTop w:val="0"/>
          <w:marBottom w:val="0"/>
          <w:divBdr>
            <w:top w:val="none" w:sz="0" w:space="0" w:color="auto"/>
            <w:left w:val="none" w:sz="0" w:space="0" w:color="auto"/>
            <w:bottom w:val="none" w:sz="0" w:space="0" w:color="auto"/>
            <w:right w:val="none" w:sz="0" w:space="0" w:color="auto"/>
          </w:divBdr>
        </w:div>
        <w:div w:id="236985854">
          <w:marLeft w:val="0"/>
          <w:marRight w:val="0"/>
          <w:marTop w:val="0"/>
          <w:marBottom w:val="0"/>
          <w:divBdr>
            <w:top w:val="none" w:sz="0" w:space="0" w:color="auto"/>
            <w:left w:val="none" w:sz="0" w:space="0" w:color="auto"/>
            <w:bottom w:val="none" w:sz="0" w:space="0" w:color="auto"/>
            <w:right w:val="none" w:sz="0" w:space="0" w:color="auto"/>
          </w:divBdr>
        </w:div>
        <w:div w:id="917439878">
          <w:marLeft w:val="0"/>
          <w:marRight w:val="0"/>
          <w:marTop w:val="0"/>
          <w:marBottom w:val="0"/>
          <w:divBdr>
            <w:top w:val="none" w:sz="0" w:space="0" w:color="auto"/>
            <w:left w:val="none" w:sz="0" w:space="0" w:color="auto"/>
            <w:bottom w:val="none" w:sz="0" w:space="0" w:color="auto"/>
            <w:right w:val="none" w:sz="0" w:space="0" w:color="auto"/>
          </w:divBdr>
        </w:div>
        <w:div w:id="2086605146">
          <w:marLeft w:val="0"/>
          <w:marRight w:val="0"/>
          <w:marTop w:val="0"/>
          <w:marBottom w:val="0"/>
          <w:divBdr>
            <w:top w:val="none" w:sz="0" w:space="0" w:color="auto"/>
            <w:left w:val="none" w:sz="0" w:space="0" w:color="auto"/>
            <w:bottom w:val="none" w:sz="0" w:space="0" w:color="auto"/>
            <w:right w:val="none" w:sz="0" w:space="0" w:color="auto"/>
          </w:divBdr>
        </w:div>
        <w:div w:id="599023093">
          <w:marLeft w:val="0"/>
          <w:marRight w:val="0"/>
          <w:marTop w:val="0"/>
          <w:marBottom w:val="0"/>
          <w:divBdr>
            <w:top w:val="none" w:sz="0" w:space="0" w:color="auto"/>
            <w:left w:val="none" w:sz="0" w:space="0" w:color="auto"/>
            <w:bottom w:val="none" w:sz="0" w:space="0" w:color="auto"/>
            <w:right w:val="none" w:sz="0" w:space="0" w:color="auto"/>
          </w:divBdr>
        </w:div>
        <w:div w:id="437263284">
          <w:marLeft w:val="0"/>
          <w:marRight w:val="0"/>
          <w:marTop w:val="0"/>
          <w:marBottom w:val="0"/>
          <w:divBdr>
            <w:top w:val="none" w:sz="0" w:space="0" w:color="auto"/>
            <w:left w:val="none" w:sz="0" w:space="0" w:color="auto"/>
            <w:bottom w:val="none" w:sz="0" w:space="0" w:color="auto"/>
            <w:right w:val="none" w:sz="0" w:space="0" w:color="auto"/>
          </w:divBdr>
        </w:div>
        <w:div w:id="1622178522">
          <w:marLeft w:val="0"/>
          <w:marRight w:val="0"/>
          <w:marTop w:val="0"/>
          <w:marBottom w:val="0"/>
          <w:divBdr>
            <w:top w:val="none" w:sz="0" w:space="0" w:color="auto"/>
            <w:left w:val="none" w:sz="0" w:space="0" w:color="auto"/>
            <w:bottom w:val="none" w:sz="0" w:space="0" w:color="auto"/>
            <w:right w:val="none" w:sz="0" w:space="0" w:color="auto"/>
          </w:divBdr>
        </w:div>
        <w:div w:id="732390411">
          <w:marLeft w:val="0"/>
          <w:marRight w:val="0"/>
          <w:marTop w:val="0"/>
          <w:marBottom w:val="0"/>
          <w:divBdr>
            <w:top w:val="none" w:sz="0" w:space="0" w:color="auto"/>
            <w:left w:val="none" w:sz="0" w:space="0" w:color="auto"/>
            <w:bottom w:val="none" w:sz="0" w:space="0" w:color="auto"/>
            <w:right w:val="none" w:sz="0" w:space="0" w:color="auto"/>
          </w:divBdr>
        </w:div>
        <w:div w:id="693582472">
          <w:marLeft w:val="0"/>
          <w:marRight w:val="0"/>
          <w:marTop w:val="0"/>
          <w:marBottom w:val="0"/>
          <w:divBdr>
            <w:top w:val="none" w:sz="0" w:space="0" w:color="auto"/>
            <w:left w:val="none" w:sz="0" w:space="0" w:color="auto"/>
            <w:bottom w:val="none" w:sz="0" w:space="0" w:color="auto"/>
            <w:right w:val="none" w:sz="0" w:space="0" w:color="auto"/>
          </w:divBdr>
        </w:div>
        <w:div w:id="399064308">
          <w:marLeft w:val="0"/>
          <w:marRight w:val="0"/>
          <w:marTop w:val="0"/>
          <w:marBottom w:val="0"/>
          <w:divBdr>
            <w:top w:val="none" w:sz="0" w:space="0" w:color="auto"/>
            <w:left w:val="none" w:sz="0" w:space="0" w:color="auto"/>
            <w:bottom w:val="none" w:sz="0" w:space="0" w:color="auto"/>
            <w:right w:val="none" w:sz="0" w:space="0" w:color="auto"/>
          </w:divBdr>
        </w:div>
        <w:div w:id="32200043">
          <w:marLeft w:val="0"/>
          <w:marRight w:val="0"/>
          <w:marTop w:val="0"/>
          <w:marBottom w:val="0"/>
          <w:divBdr>
            <w:top w:val="none" w:sz="0" w:space="0" w:color="auto"/>
            <w:left w:val="none" w:sz="0" w:space="0" w:color="auto"/>
            <w:bottom w:val="none" w:sz="0" w:space="0" w:color="auto"/>
            <w:right w:val="none" w:sz="0" w:space="0" w:color="auto"/>
          </w:divBdr>
        </w:div>
        <w:div w:id="161510121">
          <w:marLeft w:val="0"/>
          <w:marRight w:val="0"/>
          <w:marTop w:val="0"/>
          <w:marBottom w:val="0"/>
          <w:divBdr>
            <w:top w:val="none" w:sz="0" w:space="0" w:color="auto"/>
            <w:left w:val="none" w:sz="0" w:space="0" w:color="auto"/>
            <w:bottom w:val="none" w:sz="0" w:space="0" w:color="auto"/>
            <w:right w:val="none" w:sz="0" w:space="0" w:color="auto"/>
          </w:divBdr>
        </w:div>
        <w:div w:id="1948854374">
          <w:marLeft w:val="0"/>
          <w:marRight w:val="0"/>
          <w:marTop w:val="0"/>
          <w:marBottom w:val="0"/>
          <w:divBdr>
            <w:top w:val="none" w:sz="0" w:space="0" w:color="auto"/>
            <w:left w:val="none" w:sz="0" w:space="0" w:color="auto"/>
            <w:bottom w:val="none" w:sz="0" w:space="0" w:color="auto"/>
            <w:right w:val="none" w:sz="0" w:space="0" w:color="auto"/>
          </w:divBdr>
        </w:div>
        <w:div w:id="1955676734">
          <w:marLeft w:val="0"/>
          <w:marRight w:val="0"/>
          <w:marTop w:val="0"/>
          <w:marBottom w:val="0"/>
          <w:divBdr>
            <w:top w:val="none" w:sz="0" w:space="0" w:color="auto"/>
            <w:left w:val="none" w:sz="0" w:space="0" w:color="auto"/>
            <w:bottom w:val="none" w:sz="0" w:space="0" w:color="auto"/>
            <w:right w:val="none" w:sz="0" w:space="0" w:color="auto"/>
          </w:divBdr>
        </w:div>
        <w:div w:id="1825051518">
          <w:marLeft w:val="0"/>
          <w:marRight w:val="0"/>
          <w:marTop w:val="0"/>
          <w:marBottom w:val="0"/>
          <w:divBdr>
            <w:top w:val="none" w:sz="0" w:space="0" w:color="auto"/>
            <w:left w:val="none" w:sz="0" w:space="0" w:color="auto"/>
            <w:bottom w:val="none" w:sz="0" w:space="0" w:color="auto"/>
            <w:right w:val="none" w:sz="0" w:space="0" w:color="auto"/>
          </w:divBdr>
        </w:div>
        <w:div w:id="1657372114">
          <w:marLeft w:val="0"/>
          <w:marRight w:val="0"/>
          <w:marTop w:val="0"/>
          <w:marBottom w:val="0"/>
          <w:divBdr>
            <w:top w:val="none" w:sz="0" w:space="0" w:color="auto"/>
            <w:left w:val="none" w:sz="0" w:space="0" w:color="auto"/>
            <w:bottom w:val="none" w:sz="0" w:space="0" w:color="auto"/>
            <w:right w:val="none" w:sz="0" w:space="0" w:color="auto"/>
          </w:divBdr>
        </w:div>
        <w:div w:id="163325720">
          <w:marLeft w:val="0"/>
          <w:marRight w:val="0"/>
          <w:marTop w:val="0"/>
          <w:marBottom w:val="0"/>
          <w:divBdr>
            <w:top w:val="none" w:sz="0" w:space="0" w:color="auto"/>
            <w:left w:val="none" w:sz="0" w:space="0" w:color="auto"/>
            <w:bottom w:val="none" w:sz="0" w:space="0" w:color="auto"/>
            <w:right w:val="none" w:sz="0" w:space="0" w:color="auto"/>
          </w:divBdr>
        </w:div>
      </w:divsChild>
    </w:div>
    <w:div w:id="194904751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70">
          <w:marLeft w:val="0"/>
          <w:marRight w:val="0"/>
          <w:marTop w:val="0"/>
          <w:marBottom w:val="0"/>
          <w:divBdr>
            <w:top w:val="none" w:sz="0" w:space="0" w:color="auto"/>
            <w:left w:val="none" w:sz="0" w:space="0" w:color="auto"/>
            <w:bottom w:val="none" w:sz="0" w:space="0" w:color="auto"/>
            <w:right w:val="none" w:sz="0" w:space="0" w:color="auto"/>
          </w:divBdr>
          <w:divsChild>
            <w:div w:id="704868181">
              <w:marLeft w:val="0"/>
              <w:marRight w:val="0"/>
              <w:marTop w:val="0"/>
              <w:marBottom w:val="0"/>
              <w:divBdr>
                <w:top w:val="none" w:sz="0" w:space="0" w:color="auto"/>
                <w:left w:val="none" w:sz="0" w:space="0" w:color="auto"/>
                <w:bottom w:val="none" w:sz="0" w:space="0" w:color="auto"/>
                <w:right w:val="none" w:sz="0" w:space="0" w:color="auto"/>
              </w:divBdr>
              <w:divsChild>
                <w:div w:id="49383901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0"/>
                      <w:marRight w:val="0"/>
                      <w:marTop w:val="0"/>
                      <w:marBottom w:val="0"/>
                      <w:divBdr>
                        <w:top w:val="none" w:sz="0" w:space="0" w:color="auto"/>
                        <w:left w:val="none" w:sz="0" w:space="0" w:color="auto"/>
                        <w:bottom w:val="none" w:sz="0" w:space="0" w:color="auto"/>
                        <w:right w:val="none" w:sz="0" w:space="0" w:color="auto"/>
                      </w:divBdr>
                      <w:divsChild>
                        <w:div w:id="1693408909">
                          <w:marLeft w:val="0"/>
                          <w:marRight w:val="0"/>
                          <w:marTop w:val="0"/>
                          <w:marBottom w:val="0"/>
                          <w:divBdr>
                            <w:top w:val="none" w:sz="0" w:space="0" w:color="auto"/>
                            <w:left w:val="none" w:sz="0" w:space="0" w:color="auto"/>
                            <w:bottom w:val="none" w:sz="0" w:space="0" w:color="auto"/>
                            <w:right w:val="none" w:sz="0" w:space="0" w:color="auto"/>
                          </w:divBdr>
                          <w:divsChild>
                            <w:div w:id="1776829707">
                              <w:marLeft w:val="0"/>
                              <w:marRight w:val="0"/>
                              <w:marTop w:val="0"/>
                              <w:marBottom w:val="0"/>
                              <w:divBdr>
                                <w:top w:val="none" w:sz="0" w:space="0" w:color="auto"/>
                                <w:left w:val="none" w:sz="0" w:space="0" w:color="auto"/>
                                <w:bottom w:val="none" w:sz="0" w:space="0" w:color="auto"/>
                                <w:right w:val="none" w:sz="0" w:space="0" w:color="auto"/>
                              </w:divBdr>
                              <w:divsChild>
                                <w:div w:id="1522623211">
                                  <w:marLeft w:val="0"/>
                                  <w:marRight w:val="0"/>
                                  <w:marTop w:val="0"/>
                                  <w:marBottom w:val="0"/>
                                  <w:divBdr>
                                    <w:top w:val="none" w:sz="0" w:space="0" w:color="auto"/>
                                    <w:left w:val="none" w:sz="0" w:space="0" w:color="auto"/>
                                    <w:bottom w:val="none" w:sz="0" w:space="0" w:color="auto"/>
                                    <w:right w:val="none" w:sz="0" w:space="0" w:color="auto"/>
                                  </w:divBdr>
                                  <w:divsChild>
                                    <w:div w:id="1844196224">
                                      <w:marLeft w:val="0"/>
                                      <w:marRight w:val="0"/>
                                      <w:marTop w:val="0"/>
                                      <w:marBottom w:val="0"/>
                                      <w:divBdr>
                                        <w:top w:val="none" w:sz="0" w:space="0" w:color="auto"/>
                                        <w:left w:val="none" w:sz="0" w:space="0" w:color="auto"/>
                                        <w:bottom w:val="none" w:sz="0" w:space="0" w:color="auto"/>
                                        <w:right w:val="none" w:sz="0" w:space="0" w:color="auto"/>
                                      </w:divBdr>
                                      <w:divsChild>
                                        <w:div w:id="19551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8452">
      <w:bodyDiv w:val="1"/>
      <w:marLeft w:val="0"/>
      <w:marRight w:val="0"/>
      <w:marTop w:val="0"/>
      <w:marBottom w:val="0"/>
      <w:divBdr>
        <w:top w:val="none" w:sz="0" w:space="0" w:color="auto"/>
        <w:left w:val="none" w:sz="0" w:space="0" w:color="auto"/>
        <w:bottom w:val="none" w:sz="0" w:space="0" w:color="auto"/>
        <w:right w:val="none" w:sz="0" w:space="0" w:color="auto"/>
      </w:divBdr>
    </w:div>
    <w:div w:id="2139108858">
      <w:bodyDiv w:val="1"/>
      <w:marLeft w:val="0"/>
      <w:marRight w:val="0"/>
      <w:marTop w:val="0"/>
      <w:marBottom w:val="0"/>
      <w:divBdr>
        <w:top w:val="none" w:sz="0" w:space="0" w:color="auto"/>
        <w:left w:val="none" w:sz="0" w:space="0" w:color="auto"/>
        <w:bottom w:val="none" w:sz="0" w:space="0" w:color="auto"/>
        <w:right w:val="none" w:sz="0" w:space="0" w:color="auto"/>
      </w:divBdr>
      <w:divsChild>
        <w:div w:id="2136362603">
          <w:marLeft w:val="0"/>
          <w:marRight w:val="0"/>
          <w:marTop w:val="0"/>
          <w:marBottom w:val="0"/>
          <w:divBdr>
            <w:top w:val="none" w:sz="0" w:space="0" w:color="auto"/>
            <w:left w:val="none" w:sz="0" w:space="0" w:color="auto"/>
            <w:bottom w:val="none" w:sz="0" w:space="0" w:color="auto"/>
            <w:right w:val="none" w:sz="0" w:space="0" w:color="auto"/>
          </w:divBdr>
          <w:divsChild>
            <w:div w:id="783229674">
              <w:marLeft w:val="0"/>
              <w:marRight w:val="0"/>
              <w:marTop w:val="0"/>
              <w:marBottom w:val="0"/>
              <w:divBdr>
                <w:top w:val="none" w:sz="0" w:space="0" w:color="auto"/>
                <w:left w:val="none" w:sz="0" w:space="0" w:color="auto"/>
                <w:bottom w:val="none" w:sz="0" w:space="0" w:color="auto"/>
                <w:right w:val="none" w:sz="0" w:space="0" w:color="auto"/>
              </w:divBdr>
              <w:divsChild>
                <w:div w:id="353851709">
                  <w:marLeft w:val="0"/>
                  <w:marRight w:val="0"/>
                  <w:marTop w:val="0"/>
                  <w:marBottom w:val="0"/>
                  <w:divBdr>
                    <w:top w:val="none" w:sz="0" w:space="0" w:color="auto"/>
                    <w:left w:val="none" w:sz="0" w:space="0" w:color="auto"/>
                    <w:bottom w:val="none" w:sz="0" w:space="0" w:color="auto"/>
                    <w:right w:val="none" w:sz="0" w:space="0" w:color="auto"/>
                  </w:divBdr>
                  <w:divsChild>
                    <w:div w:id="928150960">
                      <w:marLeft w:val="0"/>
                      <w:marRight w:val="0"/>
                      <w:marTop w:val="0"/>
                      <w:marBottom w:val="0"/>
                      <w:divBdr>
                        <w:top w:val="none" w:sz="0" w:space="0" w:color="auto"/>
                        <w:left w:val="none" w:sz="0" w:space="0" w:color="auto"/>
                        <w:bottom w:val="none" w:sz="0" w:space="0" w:color="auto"/>
                        <w:right w:val="none" w:sz="0" w:space="0" w:color="auto"/>
                      </w:divBdr>
                      <w:divsChild>
                        <w:div w:id="1163934078">
                          <w:marLeft w:val="0"/>
                          <w:marRight w:val="0"/>
                          <w:marTop w:val="0"/>
                          <w:marBottom w:val="0"/>
                          <w:divBdr>
                            <w:top w:val="none" w:sz="0" w:space="0" w:color="auto"/>
                            <w:left w:val="none" w:sz="0" w:space="0" w:color="auto"/>
                            <w:bottom w:val="none" w:sz="0" w:space="0" w:color="auto"/>
                            <w:right w:val="none" w:sz="0" w:space="0" w:color="auto"/>
                          </w:divBdr>
                          <w:divsChild>
                            <w:div w:id="877745053">
                              <w:marLeft w:val="0"/>
                              <w:marRight w:val="0"/>
                              <w:marTop w:val="0"/>
                              <w:marBottom w:val="0"/>
                              <w:divBdr>
                                <w:top w:val="none" w:sz="0" w:space="0" w:color="auto"/>
                                <w:left w:val="none" w:sz="0" w:space="0" w:color="auto"/>
                                <w:bottom w:val="none" w:sz="0" w:space="0" w:color="auto"/>
                                <w:right w:val="none" w:sz="0" w:space="0" w:color="auto"/>
                              </w:divBdr>
                              <w:divsChild>
                                <w:div w:id="1929465175">
                                  <w:marLeft w:val="0"/>
                                  <w:marRight w:val="0"/>
                                  <w:marTop w:val="0"/>
                                  <w:marBottom w:val="0"/>
                                  <w:divBdr>
                                    <w:top w:val="none" w:sz="0" w:space="0" w:color="auto"/>
                                    <w:left w:val="none" w:sz="0" w:space="0" w:color="auto"/>
                                    <w:bottom w:val="none" w:sz="0" w:space="0" w:color="auto"/>
                                    <w:right w:val="none" w:sz="0" w:space="0" w:color="auto"/>
                                  </w:divBdr>
                                  <w:divsChild>
                                    <w:div w:id="923100864">
                                      <w:marLeft w:val="0"/>
                                      <w:marRight w:val="0"/>
                                      <w:marTop w:val="0"/>
                                      <w:marBottom w:val="0"/>
                                      <w:divBdr>
                                        <w:top w:val="none" w:sz="0" w:space="0" w:color="auto"/>
                                        <w:left w:val="none" w:sz="0" w:space="0" w:color="auto"/>
                                        <w:bottom w:val="none" w:sz="0" w:space="0" w:color="auto"/>
                                        <w:right w:val="none" w:sz="0" w:space="0" w:color="auto"/>
                                      </w:divBdr>
                                      <w:divsChild>
                                        <w:div w:id="19274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668C-F115-4AB0-941A-4BE45734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MEBaker</dc:creator>
  <cp:lastModifiedBy>Pitzulo, Marilyn</cp:lastModifiedBy>
  <cp:revision>2</cp:revision>
  <cp:lastPrinted>2016-12-19T17:24:00Z</cp:lastPrinted>
  <dcterms:created xsi:type="dcterms:W3CDTF">2018-01-04T17:41:00Z</dcterms:created>
  <dcterms:modified xsi:type="dcterms:W3CDTF">2018-01-04T17:41:00Z</dcterms:modified>
</cp:coreProperties>
</file>