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249"/>
        <w:tblOverlap w:val="never"/>
        <w:tblW w:w="0" w:type="auto"/>
        <w:tblBorders>
          <w:top w:val="single" w:sz="12" w:space="0" w:color="0070C0"/>
          <w:left w:val="single" w:sz="12" w:space="0" w:color="0070C0"/>
          <w:bottom w:val="single" w:sz="12" w:space="0" w:color="0070C0"/>
          <w:right w:val="single" w:sz="12" w:space="0" w:color="0070C0"/>
        </w:tblBorders>
        <w:tblLook w:val="0000" w:firstRow="0" w:lastRow="0" w:firstColumn="0" w:lastColumn="0" w:noHBand="0" w:noVBand="0"/>
      </w:tblPr>
      <w:tblGrid>
        <w:gridCol w:w="4416"/>
        <w:gridCol w:w="5160"/>
      </w:tblGrid>
      <w:tr w:rsidR="00242F00" w:rsidTr="00CF5256">
        <w:tc>
          <w:tcPr>
            <w:tcW w:w="4416" w:type="dxa"/>
            <w:vAlign w:val="center"/>
          </w:tcPr>
          <w:p w:rsidR="00242F00" w:rsidRDefault="00242F00" w:rsidP="00C40B30">
            <w:r>
              <w:rPr>
                <w:noProof/>
              </w:rPr>
              <w:drawing>
                <wp:inline distT="0" distB="0" distL="0" distR="0" wp14:anchorId="2757B953" wp14:editId="6B6D7B9E">
                  <wp:extent cx="2638425" cy="733425"/>
                  <wp:effectExtent l="19050" t="0" r="9525" b="0"/>
                  <wp:docPr id="5" name="Picture 1" descr="C:\Documents and Settings\kzutter\My Documents\My Pictures\NVEDU\nvedu-logo-277x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zutter\My Documents\My Pictures\NVEDU\nvedu-logo-277x77.gif"/>
                          <pic:cNvPicPr>
                            <a:picLocks noChangeAspect="1" noChangeArrowheads="1"/>
                          </pic:cNvPicPr>
                        </pic:nvPicPr>
                        <pic:blipFill>
                          <a:blip r:embed="rId8" cstate="print"/>
                          <a:srcRect/>
                          <a:stretch>
                            <a:fillRect/>
                          </a:stretch>
                        </pic:blipFill>
                        <pic:spPr bwMode="auto">
                          <a:xfrm>
                            <a:off x="0" y="0"/>
                            <a:ext cx="2638425" cy="733425"/>
                          </a:xfrm>
                          <a:prstGeom prst="rect">
                            <a:avLst/>
                          </a:prstGeom>
                          <a:noFill/>
                          <a:ln w="9525">
                            <a:noFill/>
                            <a:miter lim="800000"/>
                            <a:headEnd/>
                            <a:tailEnd/>
                          </a:ln>
                        </pic:spPr>
                      </pic:pic>
                    </a:graphicData>
                  </a:graphic>
                </wp:inline>
              </w:drawing>
            </w:r>
          </w:p>
        </w:tc>
        <w:tc>
          <w:tcPr>
            <w:tcW w:w="5772" w:type="dxa"/>
          </w:tcPr>
          <w:p w:rsidR="00242F00" w:rsidRPr="008E294C" w:rsidRDefault="00242F00" w:rsidP="00C40B30">
            <w:pPr>
              <w:pStyle w:val="Heading1"/>
              <w:rPr>
                <w:rFonts w:ascii="Times New Roman" w:hAnsi="Times New Roman" w:cs="Times New Roman"/>
                <w:caps/>
                <w:sz w:val="52"/>
                <w:szCs w:val="52"/>
              </w:rPr>
            </w:pPr>
            <w:r w:rsidRPr="002E4780">
              <w:rPr>
                <w:rFonts w:cs="Times New Roman"/>
                <w:sz w:val="52"/>
                <w:szCs w:val="52"/>
              </w:rPr>
              <w:t>Narrative Report</w:t>
            </w:r>
            <w:r>
              <w:rPr>
                <w:rFonts w:ascii="Times New Roman" w:hAnsi="Times New Roman" w:cs="Times New Roman"/>
                <w:sz w:val="52"/>
                <w:szCs w:val="52"/>
              </w:rPr>
              <w:t xml:space="preserve">         </w:t>
            </w:r>
            <w:r>
              <w:rPr>
                <w:sz w:val="40"/>
                <w:szCs w:val="40"/>
              </w:rPr>
              <w:t>2015</w:t>
            </w:r>
            <w:r w:rsidRPr="008E294C">
              <w:rPr>
                <w:sz w:val="40"/>
                <w:szCs w:val="40"/>
              </w:rPr>
              <w:t xml:space="preserve"> - 201</w:t>
            </w:r>
            <w:r>
              <w:rPr>
                <w:sz w:val="40"/>
                <w:szCs w:val="40"/>
              </w:rPr>
              <w:t>6</w:t>
            </w:r>
          </w:p>
          <w:p w:rsidR="00242F00" w:rsidRDefault="00242F00" w:rsidP="00C40B30"/>
        </w:tc>
      </w:tr>
    </w:tbl>
    <w:p w:rsidR="00457866" w:rsidRDefault="00457866" w:rsidP="00C40B30"/>
    <w:p w:rsidR="00242F00" w:rsidRDefault="00242F00" w:rsidP="00C40B30"/>
    <w:p w:rsidR="00242F00" w:rsidRPr="00242F00" w:rsidRDefault="00242F00" w:rsidP="00C40B30">
      <w:pPr>
        <w:rPr>
          <w:rFonts w:asciiTheme="minorHAnsi" w:hAnsiTheme="minorHAnsi"/>
          <w:sz w:val="22"/>
        </w:rPr>
      </w:pPr>
      <w:r w:rsidRPr="00242F00">
        <w:rPr>
          <w:rFonts w:asciiTheme="minorHAnsi" w:hAnsiTheme="minorHAnsi"/>
          <w:b/>
          <w:bCs/>
          <w:sz w:val="22"/>
        </w:rPr>
        <w:t xml:space="preserve">1. State Leadership Funds </w:t>
      </w:r>
      <w:r w:rsidRPr="00242F00">
        <w:rPr>
          <w:rFonts w:asciiTheme="minorHAnsi" w:hAnsiTheme="minorHAnsi"/>
          <w:sz w:val="22"/>
        </w:rPr>
        <w:t>(AEFLA Section 223)</w:t>
      </w:r>
    </w:p>
    <w:p w:rsidR="00242F00" w:rsidRPr="00BF29AE" w:rsidRDefault="00242F00" w:rsidP="00C40B30">
      <w:pPr>
        <w:rPr>
          <w:rFonts w:asciiTheme="minorHAnsi" w:hAnsiTheme="minorHAnsi"/>
          <w:i/>
          <w:sz w:val="22"/>
        </w:rPr>
      </w:pPr>
      <w:r w:rsidRPr="00BF29AE">
        <w:rPr>
          <w:rFonts w:asciiTheme="minorHAnsi" w:hAnsiTheme="minorHAnsi"/>
          <w:i/>
          <w:sz w:val="22"/>
        </w:rPr>
        <w:t>(a) Describe how the State has used funds made available under section 223 (State Leadership</w:t>
      </w:r>
    </w:p>
    <w:p w:rsidR="00242F00" w:rsidRPr="00BF29AE" w:rsidRDefault="00242F00" w:rsidP="00C40B30">
      <w:pPr>
        <w:rPr>
          <w:rFonts w:asciiTheme="minorHAnsi" w:hAnsiTheme="minorHAnsi"/>
          <w:i/>
          <w:sz w:val="22"/>
        </w:rPr>
      </w:pPr>
      <w:r w:rsidRPr="00BF29AE">
        <w:rPr>
          <w:rFonts w:asciiTheme="minorHAnsi" w:hAnsiTheme="minorHAnsi"/>
          <w:i/>
          <w:sz w:val="22"/>
        </w:rPr>
        <w:t>activities) for each the following required activities:</w:t>
      </w:r>
      <w:r w:rsidR="00967544" w:rsidRPr="00BF29AE">
        <w:rPr>
          <w:rFonts w:asciiTheme="minorHAnsi" w:hAnsiTheme="minorHAnsi"/>
          <w:i/>
          <w:sz w:val="22"/>
        </w:rPr>
        <w:t xml:space="preserve"> </w:t>
      </w:r>
    </w:p>
    <w:p w:rsidR="00967544" w:rsidRPr="00242F00" w:rsidRDefault="00967544" w:rsidP="00C40B30">
      <w:pPr>
        <w:rPr>
          <w:rFonts w:asciiTheme="minorHAnsi" w:hAnsiTheme="minorHAnsi"/>
          <w:sz w:val="22"/>
        </w:rPr>
      </w:pPr>
    </w:p>
    <w:p w:rsidR="00242F00" w:rsidRPr="00BF29AE" w:rsidRDefault="00242F00" w:rsidP="00C40B30">
      <w:pPr>
        <w:pStyle w:val="ListParagraph"/>
        <w:numPr>
          <w:ilvl w:val="0"/>
          <w:numId w:val="1"/>
        </w:numPr>
        <w:ind w:left="810"/>
        <w:rPr>
          <w:rFonts w:asciiTheme="minorHAnsi" w:hAnsiTheme="minorHAnsi"/>
          <w:i/>
          <w:sz w:val="22"/>
        </w:rPr>
      </w:pPr>
      <w:r w:rsidRPr="00BF29AE">
        <w:rPr>
          <w:rFonts w:asciiTheme="minorHAnsi" w:hAnsiTheme="minorHAnsi"/>
          <w:i/>
          <w:sz w:val="22"/>
        </w:rPr>
        <w:t>Alignment of adult education and literacy activities with other one-stop required</w:t>
      </w:r>
      <w:r w:rsidR="00967544" w:rsidRPr="00BF29AE">
        <w:rPr>
          <w:rFonts w:asciiTheme="minorHAnsi" w:hAnsiTheme="minorHAnsi"/>
          <w:i/>
          <w:sz w:val="22"/>
        </w:rPr>
        <w:t xml:space="preserve"> </w:t>
      </w:r>
      <w:r w:rsidRPr="00BF29AE">
        <w:rPr>
          <w:rFonts w:asciiTheme="minorHAnsi" w:hAnsiTheme="minorHAnsi"/>
          <w:i/>
          <w:sz w:val="22"/>
        </w:rPr>
        <w:t>partners to implement the strategies in the Unified or Combined State Plan as described</w:t>
      </w:r>
      <w:r w:rsidR="00967544" w:rsidRPr="00BF29AE">
        <w:rPr>
          <w:rFonts w:asciiTheme="minorHAnsi" w:hAnsiTheme="minorHAnsi"/>
          <w:i/>
          <w:sz w:val="22"/>
        </w:rPr>
        <w:t xml:space="preserve"> </w:t>
      </w:r>
      <w:r w:rsidRPr="00BF29AE">
        <w:rPr>
          <w:rFonts w:asciiTheme="minorHAnsi" w:hAnsiTheme="minorHAnsi"/>
          <w:i/>
          <w:sz w:val="22"/>
        </w:rPr>
        <w:t>in section 2</w:t>
      </w:r>
      <w:r w:rsidR="004E53B6" w:rsidRPr="00BF29AE">
        <w:rPr>
          <w:rFonts w:asciiTheme="minorHAnsi" w:hAnsiTheme="minorHAnsi"/>
          <w:i/>
          <w:sz w:val="22"/>
        </w:rPr>
        <w:t>2</w:t>
      </w:r>
      <w:r w:rsidRPr="00BF29AE">
        <w:rPr>
          <w:rFonts w:asciiTheme="minorHAnsi" w:hAnsiTheme="minorHAnsi"/>
          <w:i/>
          <w:sz w:val="22"/>
        </w:rPr>
        <w:t>3(1)(a).</w:t>
      </w:r>
    </w:p>
    <w:p w:rsidR="00967544" w:rsidRPr="00967544" w:rsidRDefault="00967544" w:rsidP="00C40B30">
      <w:pPr>
        <w:pStyle w:val="ListParagraph"/>
        <w:rPr>
          <w:rFonts w:asciiTheme="minorHAnsi" w:hAnsiTheme="minorHAnsi"/>
          <w:sz w:val="22"/>
        </w:rPr>
      </w:pPr>
    </w:p>
    <w:p w:rsidR="00967544" w:rsidRPr="00E14CA0" w:rsidRDefault="00967544" w:rsidP="00C40B30">
      <w:pPr>
        <w:autoSpaceDE w:val="0"/>
        <w:autoSpaceDN w:val="0"/>
        <w:adjustRightInd w:val="0"/>
        <w:ind w:left="432"/>
        <w:rPr>
          <w:rFonts w:asciiTheme="minorHAnsi" w:hAnsiTheme="minorHAnsi" w:cs="Tahoma"/>
          <w:color w:val="000000"/>
          <w:sz w:val="22"/>
          <w:szCs w:val="22"/>
        </w:rPr>
      </w:pPr>
      <w:r w:rsidRPr="00E14CA0">
        <w:rPr>
          <w:rFonts w:asciiTheme="minorHAnsi" w:hAnsiTheme="minorHAnsi" w:cs="Tahoma"/>
          <w:color w:val="000000"/>
          <w:sz w:val="22"/>
          <w:szCs w:val="22"/>
        </w:rPr>
        <w:t xml:space="preserve">The Nevada Director of Career Readiness, Adult Learning </w:t>
      </w:r>
      <w:r w:rsidR="00CD7212">
        <w:rPr>
          <w:rFonts w:asciiTheme="minorHAnsi" w:hAnsiTheme="minorHAnsi" w:cs="Tahoma"/>
          <w:color w:val="000000"/>
          <w:sz w:val="22"/>
          <w:szCs w:val="22"/>
        </w:rPr>
        <w:t>&amp;</w:t>
      </w:r>
      <w:r w:rsidRPr="00E14CA0">
        <w:rPr>
          <w:rFonts w:asciiTheme="minorHAnsi" w:hAnsiTheme="minorHAnsi" w:cs="Tahoma"/>
          <w:color w:val="000000"/>
          <w:sz w:val="22"/>
          <w:szCs w:val="22"/>
        </w:rPr>
        <w:t>Education Options serve</w:t>
      </w:r>
      <w:r>
        <w:rPr>
          <w:rFonts w:asciiTheme="minorHAnsi" w:hAnsiTheme="minorHAnsi" w:cs="Tahoma"/>
          <w:color w:val="000000"/>
          <w:sz w:val="22"/>
          <w:szCs w:val="22"/>
        </w:rPr>
        <w:t>d</w:t>
      </w:r>
      <w:r w:rsidRPr="00E14CA0">
        <w:rPr>
          <w:rFonts w:asciiTheme="minorHAnsi" w:hAnsiTheme="minorHAnsi" w:cs="Tahoma"/>
          <w:color w:val="000000"/>
          <w:sz w:val="22"/>
          <w:szCs w:val="22"/>
        </w:rPr>
        <w:t xml:space="preserve"> on the Governor’s W</w:t>
      </w:r>
      <w:r w:rsidR="00603D0A">
        <w:rPr>
          <w:rFonts w:asciiTheme="minorHAnsi" w:hAnsiTheme="minorHAnsi" w:cs="Tahoma"/>
          <w:color w:val="000000"/>
          <w:sz w:val="22"/>
          <w:szCs w:val="22"/>
        </w:rPr>
        <w:t xml:space="preserve">orkforce Development </w:t>
      </w:r>
      <w:r w:rsidRPr="00E14CA0">
        <w:rPr>
          <w:rFonts w:asciiTheme="minorHAnsi" w:hAnsiTheme="minorHAnsi" w:cs="Tahoma"/>
          <w:color w:val="000000"/>
          <w:sz w:val="22"/>
          <w:szCs w:val="22"/>
        </w:rPr>
        <w:t>B</w:t>
      </w:r>
      <w:r w:rsidR="00603D0A">
        <w:rPr>
          <w:rFonts w:asciiTheme="minorHAnsi" w:hAnsiTheme="minorHAnsi" w:cs="Tahoma"/>
          <w:color w:val="000000"/>
          <w:sz w:val="22"/>
          <w:szCs w:val="22"/>
        </w:rPr>
        <w:t>oard (WDB)</w:t>
      </w:r>
      <w:r w:rsidRPr="00E14CA0">
        <w:rPr>
          <w:rFonts w:asciiTheme="minorHAnsi" w:hAnsiTheme="minorHAnsi" w:cs="Tahoma"/>
          <w:color w:val="000000"/>
          <w:sz w:val="22"/>
          <w:szCs w:val="22"/>
        </w:rPr>
        <w:t xml:space="preserve">. </w:t>
      </w:r>
      <w:r w:rsidR="004E3505">
        <w:rPr>
          <w:rFonts w:asciiTheme="minorHAnsi" w:hAnsiTheme="minorHAnsi" w:cs="Tahoma"/>
          <w:color w:val="000000"/>
          <w:sz w:val="22"/>
          <w:szCs w:val="22"/>
        </w:rPr>
        <w:t>As specified in the Unified State Plan</w:t>
      </w:r>
      <w:r w:rsidR="004E0A13">
        <w:rPr>
          <w:rFonts w:asciiTheme="minorHAnsi" w:hAnsiTheme="minorHAnsi" w:cs="Tahoma"/>
          <w:color w:val="000000"/>
          <w:sz w:val="22"/>
          <w:szCs w:val="22"/>
        </w:rPr>
        <w:t xml:space="preserve">, </w:t>
      </w:r>
      <w:r w:rsidRPr="00E14CA0">
        <w:rPr>
          <w:rFonts w:asciiTheme="minorHAnsi" w:hAnsiTheme="minorHAnsi" w:cs="Tahoma"/>
          <w:color w:val="000000"/>
          <w:sz w:val="22"/>
          <w:szCs w:val="22"/>
        </w:rPr>
        <w:t>Title II programs in Nevada make referrals to the One-Stop Centers, and most receive referral clients from these agencies. Northern Nevada Literacy Council, Truckee Meadows Community College, Western Nevada Coll</w:t>
      </w:r>
      <w:r>
        <w:rPr>
          <w:rFonts w:asciiTheme="minorHAnsi" w:hAnsiTheme="minorHAnsi" w:cs="Tahoma"/>
          <w:color w:val="000000"/>
          <w:sz w:val="22"/>
          <w:szCs w:val="22"/>
        </w:rPr>
        <w:t>e</w:t>
      </w:r>
      <w:r w:rsidRPr="00E14CA0">
        <w:rPr>
          <w:rFonts w:asciiTheme="minorHAnsi" w:hAnsiTheme="minorHAnsi" w:cs="Tahoma"/>
          <w:color w:val="000000"/>
          <w:sz w:val="22"/>
          <w:szCs w:val="22"/>
        </w:rPr>
        <w:t xml:space="preserve">ge and Great Basin College all have interagency agreements in place with </w:t>
      </w:r>
      <w:r w:rsidRPr="00766DF3">
        <w:rPr>
          <w:rFonts w:asciiTheme="minorHAnsi" w:hAnsiTheme="minorHAnsi" w:cs="Tahoma"/>
          <w:sz w:val="22"/>
          <w:szCs w:val="22"/>
        </w:rPr>
        <w:t xml:space="preserve">Job Opportunities in Nevada (JOIN), a Workforce Investment Act Title I provider in Northern Nevada. </w:t>
      </w:r>
      <w:r w:rsidR="00766DF3">
        <w:rPr>
          <w:rFonts w:asciiTheme="minorHAnsi" w:hAnsiTheme="minorHAnsi" w:cs="Tahoma"/>
          <w:color w:val="000000"/>
          <w:sz w:val="22"/>
          <w:szCs w:val="22"/>
        </w:rPr>
        <w:t xml:space="preserve">The </w:t>
      </w:r>
      <w:r w:rsidR="004E0A13">
        <w:rPr>
          <w:rFonts w:asciiTheme="minorHAnsi" w:hAnsiTheme="minorHAnsi" w:cs="Tahoma"/>
          <w:color w:val="000000"/>
          <w:sz w:val="22"/>
          <w:szCs w:val="22"/>
        </w:rPr>
        <w:t xml:space="preserve">Las Vegas area program </w:t>
      </w:r>
      <w:r w:rsidR="00766DF3">
        <w:rPr>
          <w:rFonts w:asciiTheme="minorHAnsi" w:hAnsiTheme="minorHAnsi" w:cs="Tahoma"/>
          <w:color w:val="000000"/>
          <w:sz w:val="22"/>
          <w:szCs w:val="22"/>
        </w:rPr>
        <w:t xml:space="preserve">Community Adult Literacy in Libraries (CALL) </w:t>
      </w:r>
      <w:r w:rsidRPr="00E14CA0">
        <w:rPr>
          <w:rFonts w:asciiTheme="minorHAnsi" w:hAnsiTheme="minorHAnsi" w:cs="Tahoma"/>
          <w:color w:val="000000"/>
          <w:sz w:val="22"/>
          <w:szCs w:val="22"/>
        </w:rPr>
        <w:t xml:space="preserve">has a representative on the board of Workforce Connections, the Southern Nevada </w:t>
      </w:r>
      <w:r w:rsidR="00603D0A">
        <w:rPr>
          <w:rFonts w:asciiTheme="minorHAnsi" w:hAnsiTheme="minorHAnsi" w:cs="Tahoma"/>
          <w:color w:val="000000"/>
          <w:sz w:val="22"/>
          <w:szCs w:val="22"/>
        </w:rPr>
        <w:t xml:space="preserve">Local </w:t>
      </w:r>
      <w:r w:rsidRPr="00E14CA0">
        <w:rPr>
          <w:rFonts w:asciiTheme="minorHAnsi" w:hAnsiTheme="minorHAnsi" w:cs="Tahoma"/>
          <w:color w:val="000000"/>
          <w:sz w:val="22"/>
          <w:szCs w:val="22"/>
        </w:rPr>
        <w:t>Workforce Development Board (</w:t>
      </w:r>
      <w:r w:rsidR="00603D0A">
        <w:rPr>
          <w:rFonts w:asciiTheme="minorHAnsi" w:hAnsiTheme="minorHAnsi" w:cs="Tahoma"/>
          <w:color w:val="000000"/>
          <w:sz w:val="22"/>
          <w:szCs w:val="22"/>
        </w:rPr>
        <w:t>L</w:t>
      </w:r>
      <w:r w:rsidRPr="00E14CA0">
        <w:rPr>
          <w:rFonts w:asciiTheme="minorHAnsi" w:hAnsiTheme="minorHAnsi" w:cs="Tahoma"/>
          <w:color w:val="000000"/>
          <w:sz w:val="22"/>
          <w:szCs w:val="22"/>
        </w:rPr>
        <w:t>WDB)</w:t>
      </w:r>
    </w:p>
    <w:p w:rsidR="00967544" w:rsidRPr="00E14CA0" w:rsidRDefault="00967544" w:rsidP="00C40B30">
      <w:pPr>
        <w:autoSpaceDE w:val="0"/>
        <w:autoSpaceDN w:val="0"/>
        <w:adjustRightInd w:val="0"/>
        <w:ind w:left="432"/>
        <w:rPr>
          <w:rFonts w:asciiTheme="minorHAnsi" w:hAnsiTheme="minorHAnsi" w:cs="Tahoma"/>
          <w:color w:val="000000"/>
          <w:sz w:val="22"/>
          <w:szCs w:val="22"/>
        </w:rPr>
      </w:pPr>
    </w:p>
    <w:p w:rsidR="004E0A13" w:rsidRPr="00E14CA0" w:rsidRDefault="004E0A13" w:rsidP="00C40B30">
      <w:pPr>
        <w:autoSpaceDE w:val="0"/>
        <w:autoSpaceDN w:val="0"/>
        <w:adjustRightInd w:val="0"/>
        <w:ind w:left="432"/>
        <w:rPr>
          <w:rFonts w:asciiTheme="minorHAnsi" w:hAnsiTheme="minorHAnsi" w:cs="Tahoma"/>
          <w:color w:val="000000"/>
          <w:sz w:val="22"/>
          <w:szCs w:val="22"/>
        </w:rPr>
      </w:pPr>
      <w:r w:rsidRPr="00E14CA0">
        <w:rPr>
          <w:rFonts w:asciiTheme="minorHAnsi" w:hAnsiTheme="minorHAnsi" w:cs="Tahoma"/>
          <w:color w:val="000000"/>
          <w:sz w:val="22"/>
          <w:szCs w:val="22"/>
        </w:rPr>
        <w:t>Nevada ABE was represented during FY 201</w:t>
      </w:r>
      <w:r>
        <w:rPr>
          <w:rFonts w:asciiTheme="minorHAnsi" w:hAnsiTheme="minorHAnsi" w:cs="Tahoma"/>
          <w:color w:val="000000"/>
          <w:sz w:val="22"/>
          <w:szCs w:val="22"/>
        </w:rPr>
        <w:t>5</w:t>
      </w:r>
      <w:r w:rsidRPr="00E14CA0">
        <w:rPr>
          <w:rFonts w:asciiTheme="minorHAnsi" w:hAnsiTheme="minorHAnsi" w:cs="Tahoma"/>
          <w:color w:val="000000"/>
          <w:sz w:val="22"/>
          <w:szCs w:val="22"/>
        </w:rPr>
        <w:t>–201</w:t>
      </w:r>
      <w:r>
        <w:rPr>
          <w:rFonts w:asciiTheme="minorHAnsi" w:hAnsiTheme="minorHAnsi" w:cs="Tahoma"/>
          <w:color w:val="000000"/>
          <w:sz w:val="22"/>
          <w:szCs w:val="22"/>
        </w:rPr>
        <w:t>6</w:t>
      </w:r>
      <w:r w:rsidRPr="00E14CA0">
        <w:rPr>
          <w:rFonts w:asciiTheme="minorHAnsi" w:hAnsiTheme="minorHAnsi" w:cs="Tahoma"/>
          <w:color w:val="000000"/>
          <w:sz w:val="22"/>
          <w:szCs w:val="22"/>
        </w:rPr>
        <w:t xml:space="preserve"> on a number of boards and committees</w:t>
      </w:r>
      <w:r>
        <w:rPr>
          <w:rFonts w:asciiTheme="minorHAnsi" w:hAnsiTheme="minorHAnsi" w:cs="Tahoma"/>
          <w:color w:val="000000"/>
          <w:sz w:val="22"/>
          <w:szCs w:val="22"/>
        </w:rPr>
        <w:t xml:space="preserve"> </w:t>
      </w:r>
      <w:r w:rsidR="00CD7212">
        <w:rPr>
          <w:rFonts w:asciiTheme="minorHAnsi" w:hAnsiTheme="minorHAnsi" w:cs="Tahoma"/>
          <w:color w:val="000000"/>
          <w:sz w:val="22"/>
          <w:szCs w:val="22"/>
        </w:rPr>
        <w:t>with</w:t>
      </w:r>
      <w:r>
        <w:rPr>
          <w:rFonts w:asciiTheme="minorHAnsi" w:hAnsiTheme="minorHAnsi" w:cs="Tahoma"/>
          <w:color w:val="000000"/>
          <w:sz w:val="22"/>
          <w:szCs w:val="22"/>
        </w:rPr>
        <w:t xml:space="preserve"> core partners</w:t>
      </w:r>
      <w:r w:rsidRPr="00E14CA0">
        <w:rPr>
          <w:rFonts w:asciiTheme="minorHAnsi" w:hAnsiTheme="minorHAnsi" w:cs="Tahoma"/>
          <w:color w:val="000000"/>
          <w:sz w:val="22"/>
          <w:szCs w:val="22"/>
        </w:rPr>
        <w:t>, including:</w:t>
      </w:r>
    </w:p>
    <w:p w:rsidR="004E0A13" w:rsidRPr="004E0A13" w:rsidRDefault="004E0A13" w:rsidP="00C40B30">
      <w:pPr>
        <w:pStyle w:val="ListParagraph"/>
        <w:numPr>
          <w:ilvl w:val="0"/>
          <w:numId w:val="3"/>
        </w:numPr>
        <w:autoSpaceDE w:val="0"/>
        <w:autoSpaceDN w:val="0"/>
        <w:adjustRightInd w:val="0"/>
        <w:ind w:left="1170"/>
        <w:rPr>
          <w:rFonts w:asciiTheme="minorHAnsi" w:hAnsiTheme="minorHAnsi" w:cs="Tahoma"/>
          <w:sz w:val="22"/>
          <w:szCs w:val="22"/>
        </w:rPr>
      </w:pPr>
      <w:r w:rsidRPr="004E0A13">
        <w:rPr>
          <w:rFonts w:asciiTheme="minorHAnsi" w:hAnsiTheme="minorHAnsi" w:cs="Tahoma"/>
          <w:sz w:val="22"/>
          <w:szCs w:val="22"/>
        </w:rPr>
        <w:t>Nevada Works Board of Directors, the Northern Nevada WDB</w:t>
      </w:r>
    </w:p>
    <w:p w:rsidR="004E0A13" w:rsidRPr="004E0A13" w:rsidRDefault="004E0A13" w:rsidP="00C40B30">
      <w:pPr>
        <w:pStyle w:val="ListParagraph"/>
        <w:numPr>
          <w:ilvl w:val="0"/>
          <w:numId w:val="3"/>
        </w:numPr>
        <w:autoSpaceDE w:val="0"/>
        <w:autoSpaceDN w:val="0"/>
        <w:adjustRightInd w:val="0"/>
        <w:ind w:left="1170"/>
        <w:rPr>
          <w:rFonts w:asciiTheme="minorHAnsi" w:hAnsiTheme="minorHAnsi" w:cs="Tahoma"/>
          <w:sz w:val="22"/>
          <w:szCs w:val="22"/>
        </w:rPr>
      </w:pPr>
      <w:r w:rsidRPr="004E0A13">
        <w:rPr>
          <w:rFonts w:asciiTheme="minorHAnsi" w:hAnsiTheme="minorHAnsi" w:cs="Tahoma"/>
          <w:sz w:val="22"/>
          <w:szCs w:val="22"/>
        </w:rPr>
        <w:t>Nevada Connections Board of Directors, the Southern Nevada WDB</w:t>
      </w:r>
    </w:p>
    <w:p w:rsidR="004E0A13" w:rsidRDefault="004E0A13" w:rsidP="00C40B30">
      <w:pPr>
        <w:pStyle w:val="ListParagraph"/>
        <w:numPr>
          <w:ilvl w:val="0"/>
          <w:numId w:val="3"/>
        </w:numPr>
        <w:autoSpaceDE w:val="0"/>
        <w:autoSpaceDN w:val="0"/>
        <w:adjustRightInd w:val="0"/>
        <w:ind w:left="1170"/>
        <w:rPr>
          <w:rFonts w:asciiTheme="minorHAnsi" w:hAnsiTheme="minorHAnsi" w:cs="Tahoma"/>
          <w:sz w:val="22"/>
          <w:szCs w:val="22"/>
        </w:rPr>
      </w:pPr>
      <w:r w:rsidRPr="004E0A13">
        <w:rPr>
          <w:rFonts w:asciiTheme="minorHAnsi" w:hAnsiTheme="minorHAnsi" w:cs="Tahoma"/>
          <w:sz w:val="22"/>
          <w:szCs w:val="22"/>
        </w:rPr>
        <w:t>Northern Nevada Development Authority Workforce Education Committee</w:t>
      </w:r>
    </w:p>
    <w:p w:rsidR="00331AD5" w:rsidRPr="00331AD5" w:rsidRDefault="00331AD5" w:rsidP="00C40B30">
      <w:pPr>
        <w:pStyle w:val="ListParagraph"/>
        <w:numPr>
          <w:ilvl w:val="0"/>
          <w:numId w:val="3"/>
        </w:numPr>
        <w:autoSpaceDE w:val="0"/>
        <w:autoSpaceDN w:val="0"/>
        <w:adjustRightInd w:val="0"/>
        <w:ind w:left="1170"/>
        <w:rPr>
          <w:rFonts w:asciiTheme="minorHAnsi" w:hAnsiTheme="minorHAnsi" w:cs="Tahoma"/>
          <w:sz w:val="22"/>
          <w:szCs w:val="22"/>
        </w:rPr>
      </w:pPr>
      <w:r>
        <w:rPr>
          <w:rFonts w:asciiTheme="minorHAnsi" w:hAnsiTheme="minorHAnsi" w:cs="Tahoma"/>
          <w:sz w:val="22"/>
          <w:szCs w:val="22"/>
        </w:rPr>
        <w:t>Jobs for Nevada’s Graduates, Inc.</w:t>
      </w:r>
    </w:p>
    <w:p w:rsidR="004E0A13" w:rsidRPr="004E0A13" w:rsidRDefault="004E0A13" w:rsidP="00C40B30">
      <w:pPr>
        <w:pStyle w:val="ListParagraph"/>
        <w:autoSpaceDE w:val="0"/>
        <w:autoSpaceDN w:val="0"/>
        <w:adjustRightInd w:val="0"/>
        <w:ind w:left="1170"/>
        <w:rPr>
          <w:rFonts w:asciiTheme="minorHAnsi" w:hAnsiTheme="minorHAnsi" w:cs="Tahoma"/>
          <w:sz w:val="22"/>
          <w:szCs w:val="22"/>
        </w:rPr>
      </w:pPr>
    </w:p>
    <w:p w:rsidR="00967544" w:rsidRPr="004E0A13" w:rsidRDefault="00967544" w:rsidP="00C40B30">
      <w:pPr>
        <w:autoSpaceDE w:val="0"/>
        <w:autoSpaceDN w:val="0"/>
        <w:adjustRightInd w:val="0"/>
        <w:ind w:left="432"/>
        <w:rPr>
          <w:rFonts w:asciiTheme="minorHAnsi" w:hAnsiTheme="minorHAnsi" w:cs="Tahoma"/>
          <w:sz w:val="22"/>
          <w:szCs w:val="22"/>
        </w:rPr>
      </w:pPr>
      <w:r w:rsidRPr="004E0A13">
        <w:rPr>
          <w:rFonts w:asciiTheme="minorHAnsi" w:hAnsiTheme="minorHAnsi" w:cs="Tahoma"/>
          <w:sz w:val="22"/>
          <w:szCs w:val="22"/>
        </w:rPr>
        <w:t xml:space="preserve">In addition, ABE programs have cooperative agreements in place with state employment counselors, who come and speak to intermediate and advanced ESL students and ASE students on a regular basis. Program managers from the Workforce Development and Continuing Education departments of Nevada community colleges meet with HSE students to discuss postsecondary programs.  ABE programs also provide tutoring services to clients referred from Vocational Rehabilitation on voucher reimbursement, and act as a math study site for Electrical, Carpenters, and Operating Engineers Apprenticeship candidates using their prescribed math software. Community College coordinators have addressed various HSE classes and offered tours to present the opportunities </w:t>
      </w:r>
      <w:r w:rsidR="00331AD5" w:rsidRPr="004E0A13">
        <w:rPr>
          <w:rFonts w:asciiTheme="minorHAnsi" w:hAnsiTheme="minorHAnsi" w:cs="Tahoma"/>
          <w:sz w:val="22"/>
          <w:szCs w:val="22"/>
        </w:rPr>
        <w:t xml:space="preserve">available on campus </w:t>
      </w:r>
      <w:r w:rsidRPr="004E0A13">
        <w:rPr>
          <w:rFonts w:asciiTheme="minorHAnsi" w:hAnsiTheme="minorHAnsi" w:cs="Tahoma"/>
          <w:sz w:val="22"/>
          <w:szCs w:val="22"/>
        </w:rPr>
        <w:t>in the fields of welding, machine tool technology, automotive technology, nursing, in-home health aide, dental assisting and computer technology.</w:t>
      </w:r>
    </w:p>
    <w:p w:rsidR="00967544" w:rsidRDefault="00967544" w:rsidP="00C40B30">
      <w:pPr>
        <w:autoSpaceDE w:val="0"/>
        <w:autoSpaceDN w:val="0"/>
        <w:adjustRightInd w:val="0"/>
        <w:ind w:left="432"/>
        <w:rPr>
          <w:rFonts w:asciiTheme="minorHAnsi" w:hAnsiTheme="minorHAnsi" w:cs="Tahoma"/>
          <w:color w:val="000000"/>
          <w:sz w:val="22"/>
          <w:szCs w:val="22"/>
        </w:rPr>
      </w:pPr>
    </w:p>
    <w:p w:rsidR="00C93B3A" w:rsidRDefault="00C93B3A" w:rsidP="00C40B30">
      <w:pPr>
        <w:ind w:left="450"/>
        <w:rPr>
          <w:rFonts w:asciiTheme="minorHAnsi" w:hAnsiTheme="minorHAnsi"/>
          <w:sz w:val="22"/>
          <w:szCs w:val="22"/>
        </w:rPr>
      </w:pPr>
      <w:r w:rsidRPr="0028335A">
        <w:rPr>
          <w:rFonts w:asciiTheme="minorHAnsi" w:hAnsiTheme="minorHAnsi"/>
          <w:sz w:val="22"/>
          <w:szCs w:val="22"/>
        </w:rPr>
        <w:t xml:space="preserve">In 2015-2016, </w:t>
      </w:r>
      <w:r>
        <w:rPr>
          <w:rFonts w:asciiTheme="minorHAnsi" w:hAnsiTheme="minorHAnsi"/>
          <w:sz w:val="22"/>
          <w:szCs w:val="22"/>
        </w:rPr>
        <w:t xml:space="preserve">leadership funds supported </w:t>
      </w:r>
      <w:r w:rsidRPr="0028335A">
        <w:rPr>
          <w:rFonts w:asciiTheme="minorHAnsi" w:hAnsiTheme="minorHAnsi"/>
          <w:sz w:val="22"/>
          <w:szCs w:val="22"/>
        </w:rPr>
        <w:t>coaches at each AEFLA-funded program to aid in the implementation of</w:t>
      </w:r>
      <w:r>
        <w:rPr>
          <w:rFonts w:asciiTheme="minorHAnsi" w:hAnsiTheme="minorHAnsi"/>
          <w:sz w:val="22"/>
          <w:szCs w:val="22"/>
        </w:rPr>
        <w:t xml:space="preserve"> </w:t>
      </w:r>
      <w:r w:rsidRPr="0028335A">
        <w:rPr>
          <w:rFonts w:asciiTheme="minorHAnsi" w:hAnsiTheme="minorHAnsi"/>
          <w:sz w:val="22"/>
          <w:szCs w:val="22"/>
        </w:rPr>
        <w:t xml:space="preserve">the </w:t>
      </w:r>
      <w:r w:rsidR="00CD7212">
        <w:rPr>
          <w:rFonts w:asciiTheme="minorHAnsi" w:hAnsiTheme="minorHAnsi"/>
          <w:sz w:val="22"/>
          <w:szCs w:val="22"/>
        </w:rPr>
        <w:t>College and Career Readiness Standards (</w:t>
      </w:r>
      <w:r w:rsidRPr="0028335A">
        <w:rPr>
          <w:rFonts w:asciiTheme="minorHAnsi" w:hAnsiTheme="minorHAnsi"/>
          <w:sz w:val="22"/>
          <w:szCs w:val="22"/>
        </w:rPr>
        <w:t>CCRS</w:t>
      </w:r>
      <w:r w:rsidR="00CD7212">
        <w:rPr>
          <w:rFonts w:asciiTheme="minorHAnsi" w:hAnsiTheme="minorHAnsi"/>
          <w:sz w:val="22"/>
          <w:szCs w:val="22"/>
        </w:rPr>
        <w:t>)</w:t>
      </w:r>
      <w:r w:rsidRPr="0028335A">
        <w:rPr>
          <w:rFonts w:asciiTheme="minorHAnsi" w:hAnsiTheme="minorHAnsi"/>
          <w:sz w:val="22"/>
          <w:szCs w:val="22"/>
        </w:rPr>
        <w:t xml:space="preserve">. The standards are meant to forge a stronger link between adult education, postsecondary education, and the workforce. The CCRS is a shift </w:t>
      </w:r>
      <w:r w:rsidR="00C40B30">
        <w:rPr>
          <w:rFonts w:asciiTheme="minorHAnsi" w:hAnsiTheme="minorHAnsi"/>
          <w:sz w:val="22"/>
          <w:szCs w:val="22"/>
        </w:rPr>
        <w:t xml:space="preserve">to integrating </w:t>
      </w:r>
      <w:r w:rsidR="00C40B30" w:rsidRPr="0028335A">
        <w:rPr>
          <w:rFonts w:asciiTheme="minorHAnsi" w:hAnsiTheme="minorHAnsi"/>
          <w:sz w:val="22"/>
          <w:szCs w:val="22"/>
        </w:rPr>
        <w:t xml:space="preserve">college and career readiness </w:t>
      </w:r>
      <w:r w:rsidR="00C40B30">
        <w:rPr>
          <w:rFonts w:asciiTheme="minorHAnsi" w:hAnsiTheme="minorHAnsi"/>
          <w:sz w:val="22"/>
          <w:szCs w:val="22"/>
        </w:rPr>
        <w:t>into</w:t>
      </w:r>
      <w:r w:rsidR="00C40B30" w:rsidRPr="0028335A">
        <w:rPr>
          <w:rFonts w:asciiTheme="minorHAnsi" w:hAnsiTheme="minorHAnsi"/>
          <w:sz w:val="22"/>
          <w:szCs w:val="22"/>
        </w:rPr>
        <w:t xml:space="preserve"> </w:t>
      </w:r>
      <w:r w:rsidR="00C40B30">
        <w:rPr>
          <w:rFonts w:asciiTheme="minorHAnsi" w:hAnsiTheme="minorHAnsi"/>
          <w:sz w:val="22"/>
          <w:szCs w:val="22"/>
        </w:rPr>
        <w:t>instruction at</w:t>
      </w:r>
      <w:r w:rsidRPr="0028335A">
        <w:rPr>
          <w:rFonts w:asciiTheme="minorHAnsi" w:hAnsiTheme="minorHAnsi"/>
          <w:sz w:val="22"/>
          <w:szCs w:val="22"/>
        </w:rPr>
        <w:t xml:space="preserve"> all programming levels</w:t>
      </w:r>
      <w:r w:rsidR="00C40B30">
        <w:rPr>
          <w:rFonts w:asciiTheme="minorHAnsi" w:hAnsiTheme="minorHAnsi"/>
          <w:sz w:val="22"/>
          <w:szCs w:val="22"/>
        </w:rPr>
        <w:t>,</w:t>
      </w:r>
      <w:r w:rsidRPr="0028335A">
        <w:rPr>
          <w:rFonts w:asciiTheme="minorHAnsi" w:hAnsiTheme="minorHAnsi"/>
          <w:sz w:val="22"/>
          <w:szCs w:val="22"/>
        </w:rPr>
        <w:t xml:space="preserve"> </w:t>
      </w:r>
      <w:r w:rsidR="00C40B30">
        <w:rPr>
          <w:rFonts w:asciiTheme="minorHAnsi" w:hAnsiTheme="minorHAnsi"/>
          <w:sz w:val="22"/>
          <w:szCs w:val="22"/>
        </w:rPr>
        <w:lastRenderedPageBreak/>
        <w:t xml:space="preserve">while helping the </w:t>
      </w:r>
      <w:r w:rsidRPr="0028335A">
        <w:rPr>
          <w:rFonts w:asciiTheme="minorHAnsi" w:hAnsiTheme="minorHAnsi"/>
          <w:sz w:val="22"/>
          <w:szCs w:val="22"/>
        </w:rPr>
        <w:t xml:space="preserve">student </w:t>
      </w:r>
      <w:r w:rsidR="00C40B30">
        <w:rPr>
          <w:rFonts w:asciiTheme="minorHAnsi" w:hAnsiTheme="minorHAnsi"/>
          <w:sz w:val="22"/>
          <w:szCs w:val="22"/>
        </w:rPr>
        <w:t xml:space="preserve">obtain industry recognized </w:t>
      </w:r>
      <w:r w:rsidRPr="0028335A">
        <w:rPr>
          <w:rFonts w:asciiTheme="minorHAnsi" w:hAnsiTheme="minorHAnsi"/>
          <w:sz w:val="22"/>
          <w:szCs w:val="22"/>
        </w:rPr>
        <w:t xml:space="preserve">certification and family-sustaining employment. </w:t>
      </w:r>
    </w:p>
    <w:p w:rsidR="00C93B3A" w:rsidRPr="0028335A" w:rsidRDefault="00C93B3A" w:rsidP="00C40B30">
      <w:pPr>
        <w:ind w:left="450"/>
        <w:rPr>
          <w:rFonts w:asciiTheme="minorHAnsi" w:hAnsiTheme="minorHAnsi"/>
          <w:sz w:val="22"/>
          <w:szCs w:val="22"/>
        </w:rPr>
      </w:pPr>
    </w:p>
    <w:p w:rsidR="004E0A13" w:rsidRDefault="004E0A13" w:rsidP="00C40B30">
      <w:pPr>
        <w:autoSpaceDE w:val="0"/>
        <w:autoSpaceDN w:val="0"/>
        <w:adjustRightInd w:val="0"/>
        <w:ind w:left="432"/>
        <w:rPr>
          <w:rFonts w:asciiTheme="minorHAnsi" w:hAnsiTheme="minorHAnsi" w:cs="Tahoma"/>
          <w:color w:val="000000"/>
          <w:sz w:val="22"/>
          <w:szCs w:val="22"/>
        </w:rPr>
      </w:pPr>
      <w:r>
        <w:rPr>
          <w:rFonts w:asciiTheme="minorHAnsi" w:hAnsiTheme="minorHAnsi" w:cs="Tahoma"/>
          <w:color w:val="000000"/>
          <w:sz w:val="22"/>
          <w:szCs w:val="22"/>
        </w:rPr>
        <w:t>The above described activities were partially funded with Leadership funds dispersed directly to local providers and align</w:t>
      </w:r>
      <w:r w:rsidR="00814AB5">
        <w:rPr>
          <w:rFonts w:asciiTheme="minorHAnsi" w:hAnsiTheme="minorHAnsi" w:cs="Tahoma"/>
          <w:color w:val="000000"/>
          <w:sz w:val="22"/>
          <w:szCs w:val="22"/>
        </w:rPr>
        <w:t>ed</w:t>
      </w:r>
      <w:r>
        <w:rPr>
          <w:rFonts w:asciiTheme="minorHAnsi" w:hAnsiTheme="minorHAnsi" w:cs="Tahoma"/>
          <w:color w:val="000000"/>
          <w:sz w:val="22"/>
          <w:szCs w:val="22"/>
        </w:rPr>
        <w:t xml:space="preserve"> with State strategies presented in the Unified State Plan, such as; </w:t>
      </w:r>
      <w:r w:rsidR="0039294B">
        <w:rPr>
          <w:rFonts w:asciiTheme="minorHAnsi" w:hAnsiTheme="minorHAnsi" w:cs="Tahoma"/>
          <w:color w:val="000000"/>
          <w:sz w:val="22"/>
          <w:szCs w:val="22"/>
        </w:rPr>
        <w:t xml:space="preserve">partner referrals, co-enrollment, career pathways, and College and Career Readiness Standards. </w:t>
      </w:r>
    </w:p>
    <w:p w:rsidR="0039294B" w:rsidRPr="00E14CA0" w:rsidRDefault="0039294B" w:rsidP="00C40B30">
      <w:pPr>
        <w:autoSpaceDE w:val="0"/>
        <w:autoSpaceDN w:val="0"/>
        <w:adjustRightInd w:val="0"/>
        <w:ind w:left="432"/>
        <w:rPr>
          <w:rFonts w:asciiTheme="minorHAnsi" w:hAnsiTheme="minorHAnsi" w:cs="Tahoma"/>
          <w:color w:val="000000"/>
          <w:sz w:val="22"/>
          <w:szCs w:val="22"/>
        </w:rPr>
      </w:pPr>
    </w:p>
    <w:p w:rsidR="00C93B3A" w:rsidRDefault="00C93B3A" w:rsidP="00C40B30">
      <w:pPr>
        <w:ind w:left="450"/>
        <w:rPr>
          <w:rFonts w:asciiTheme="minorHAnsi" w:hAnsiTheme="minorHAnsi" w:cs="Arial"/>
          <w:sz w:val="22"/>
          <w:szCs w:val="22"/>
        </w:rPr>
      </w:pPr>
      <w:r>
        <w:rPr>
          <w:rFonts w:asciiTheme="minorHAnsi" w:hAnsiTheme="minorHAnsi"/>
          <w:sz w:val="22"/>
          <w:szCs w:val="22"/>
        </w:rPr>
        <w:t xml:space="preserve">Leadership funds were used at the state level to </w:t>
      </w:r>
      <w:r w:rsidRPr="0028335A">
        <w:rPr>
          <w:rFonts w:asciiTheme="minorHAnsi" w:hAnsiTheme="minorHAnsi"/>
          <w:sz w:val="22"/>
          <w:szCs w:val="22"/>
        </w:rPr>
        <w:t>contract with professional consultant, Dr. Lennox McLendon, to assist in the development of a WIOA implementation plan.</w:t>
      </w:r>
      <w:r w:rsidRPr="00E14CA0">
        <w:rPr>
          <w:rFonts w:asciiTheme="minorHAnsi" w:hAnsiTheme="minorHAnsi" w:cs="Arial"/>
          <w:bCs/>
          <w:iCs/>
          <w:sz w:val="22"/>
          <w:szCs w:val="22"/>
        </w:rPr>
        <w:t xml:space="preserve">  Dr. Lennox McLendon, </w:t>
      </w:r>
      <w:r w:rsidRPr="00E14CA0">
        <w:rPr>
          <w:rFonts w:asciiTheme="minorHAnsi" w:hAnsiTheme="minorHAnsi" w:cs="Arial"/>
          <w:sz w:val="22"/>
          <w:szCs w:val="22"/>
        </w:rPr>
        <w:t xml:space="preserve">Executive Director of the National Adult Education Professional Development Consortium, consults throughout the U.S.A., facilitating Professional Development activities for the State Directors of Adult Education and their staff members. Dr. McLendon came to </w:t>
      </w:r>
      <w:r>
        <w:rPr>
          <w:rFonts w:asciiTheme="minorHAnsi" w:hAnsiTheme="minorHAnsi" w:cs="Arial"/>
          <w:sz w:val="22"/>
          <w:szCs w:val="22"/>
        </w:rPr>
        <w:t>the</w:t>
      </w:r>
      <w:r w:rsidRPr="00E14CA0">
        <w:rPr>
          <w:rFonts w:asciiTheme="minorHAnsi" w:hAnsiTheme="minorHAnsi" w:cs="Arial"/>
          <w:sz w:val="22"/>
          <w:szCs w:val="22"/>
        </w:rPr>
        <w:t xml:space="preserve"> Directors' meetings in August and December to help Nevada create a </w:t>
      </w:r>
      <w:r w:rsidR="00ED03CA">
        <w:rPr>
          <w:rFonts w:asciiTheme="minorHAnsi" w:hAnsiTheme="minorHAnsi" w:cs="Arial"/>
          <w:sz w:val="22"/>
          <w:szCs w:val="22"/>
        </w:rPr>
        <w:t>two-</w:t>
      </w:r>
      <w:r w:rsidRPr="00E14CA0">
        <w:rPr>
          <w:rFonts w:asciiTheme="minorHAnsi" w:hAnsiTheme="minorHAnsi" w:cs="Arial"/>
          <w:sz w:val="22"/>
          <w:szCs w:val="22"/>
        </w:rPr>
        <w:t xml:space="preserve">tiered WIOA implementation plan that </w:t>
      </w:r>
      <w:r>
        <w:rPr>
          <w:rFonts w:asciiTheme="minorHAnsi" w:hAnsiTheme="minorHAnsi" w:cs="Arial"/>
          <w:sz w:val="22"/>
          <w:szCs w:val="22"/>
        </w:rPr>
        <w:t xml:space="preserve">aligned with the Unified State Plan and addressed the needs of our participants. </w:t>
      </w:r>
    </w:p>
    <w:p w:rsidR="00C93B3A" w:rsidRDefault="00C93B3A" w:rsidP="00C40B30">
      <w:pPr>
        <w:rPr>
          <w:rFonts w:asciiTheme="minorHAnsi" w:hAnsiTheme="minorHAnsi" w:cs="Arial"/>
          <w:sz w:val="22"/>
          <w:szCs w:val="22"/>
        </w:rPr>
      </w:pPr>
    </w:p>
    <w:p w:rsidR="00C93B3A" w:rsidRPr="00E14CA0" w:rsidRDefault="006F231A" w:rsidP="00C40B30">
      <w:pPr>
        <w:ind w:left="450"/>
        <w:rPr>
          <w:rFonts w:asciiTheme="minorHAnsi" w:hAnsiTheme="minorHAnsi" w:cs="Arial"/>
          <w:sz w:val="22"/>
          <w:szCs w:val="22"/>
        </w:rPr>
      </w:pPr>
      <w:r>
        <w:rPr>
          <w:rFonts w:asciiTheme="minorHAnsi" w:hAnsiTheme="minorHAnsi" w:cs="Arial"/>
          <w:sz w:val="22"/>
          <w:szCs w:val="22"/>
        </w:rPr>
        <w:t xml:space="preserve">Through </w:t>
      </w:r>
      <w:r w:rsidR="00603D0A">
        <w:rPr>
          <w:rFonts w:asciiTheme="minorHAnsi" w:hAnsiTheme="minorHAnsi" w:cs="Arial"/>
          <w:sz w:val="22"/>
          <w:szCs w:val="22"/>
        </w:rPr>
        <w:t>three</w:t>
      </w:r>
      <w:r>
        <w:rPr>
          <w:rFonts w:asciiTheme="minorHAnsi" w:hAnsiTheme="minorHAnsi" w:cs="Arial"/>
          <w:sz w:val="22"/>
          <w:szCs w:val="22"/>
        </w:rPr>
        <w:t xml:space="preserve"> director meetings</w:t>
      </w:r>
      <w:r w:rsidR="00603D0A">
        <w:rPr>
          <w:rFonts w:asciiTheme="minorHAnsi" w:hAnsiTheme="minorHAnsi" w:cs="Arial"/>
          <w:sz w:val="22"/>
          <w:szCs w:val="22"/>
        </w:rPr>
        <w:t xml:space="preserve"> each year,</w:t>
      </w:r>
      <w:r>
        <w:rPr>
          <w:rFonts w:asciiTheme="minorHAnsi" w:hAnsiTheme="minorHAnsi" w:cs="Arial"/>
          <w:sz w:val="22"/>
          <w:szCs w:val="22"/>
        </w:rPr>
        <w:t xml:space="preserve"> </w:t>
      </w:r>
      <w:r w:rsidR="00C93B3A">
        <w:rPr>
          <w:rFonts w:asciiTheme="minorHAnsi" w:hAnsiTheme="minorHAnsi" w:cs="Arial"/>
          <w:sz w:val="22"/>
          <w:szCs w:val="22"/>
        </w:rPr>
        <w:t>State Leadership funds were used to deliver training</w:t>
      </w:r>
      <w:r w:rsidR="00C93B3A" w:rsidRPr="00C93B3A">
        <w:rPr>
          <w:rFonts w:asciiTheme="minorHAnsi" w:hAnsiTheme="minorHAnsi" w:cs="Arial"/>
          <w:sz w:val="22"/>
          <w:szCs w:val="22"/>
        </w:rPr>
        <w:t xml:space="preserve"> </w:t>
      </w:r>
      <w:r w:rsidR="00C93B3A">
        <w:rPr>
          <w:rFonts w:asciiTheme="minorHAnsi" w:hAnsiTheme="minorHAnsi" w:cs="Arial"/>
          <w:sz w:val="22"/>
          <w:szCs w:val="22"/>
        </w:rPr>
        <w:t xml:space="preserve">to local programs on </w:t>
      </w:r>
      <w:r w:rsidR="0053597F">
        <w:rPr>
          <w:rFonts w:asciiTheme="minorHAnsi" w:hAnsiTheme="minorHAnsi" w:cs="Arial"/>
          <w:sz w:val="22"/>
          <w:szCs w:val="22"/>
        </w:rPr>
        <w:t>WIOA and</w:t>
      </w:r>
      <w:r w:rsidR="002B6CEC">
        <w:rPr>
          <w:rFonts w:asciiTheme="minorHAnsi" w:hAnsiTheme="minorHAnsi" w:cs="Arial"/>
          <w:sz w:val="22"/>
          <w:szCs w:val="22"/>
        </w:rPr>
        <w:t xml:space="preserve"> the </w:t>
      </w:r>
      <w:r w:rsidR="00C93B3A">
        <w:rPr>
          <w:rFonts w:asciiTheme="minorHAnsi" w:hAnsiTheme="minorHAnsi" w:cs="Arial"/>
          <w:sz w:val="22"/>
          <w:szCs w:val="22"/>
        </w:rPr>
        <w:t>implement</w:t>
      </w:r>
      <w:r w:rsidR="002B6CEC">
        <w:rPr>
          <w:rFonts w:asciiTheme="minorHAnsi" w:hAnsiTheme="minorHAnsi" w:cs="Arial"/>
          <w:sz w:val="22"/>
          <w:szCs w:val="22"/>
        </w:rPr>
        <w:t>ation of</w:t>
      </w:r>
      <w:r w:rsidR="00C93B3A">
        <w:rPr>
          <w:rFonts w:asciiTheme="minorHAnsi" w:hAnsiTheme="minorHAnsi" w:cs="Arial"/>
          <w:sz w:val="22"/>
          <w:szCs w:val="22"/>
        </w:rPr>
        <w:t xml:space="preserve"> the Unified State Plan components. </w:t>
      </w:r>
    </w:p>
    <w:p w:rsidR="00967544" w:rsidRPr="0039294B" w:rsidRDefault="00967544" w:rsidP="00C40B30">
      <w:pPr>
        <w:ind w:left="450"/>
        <w:rPr>
          <w:rFonts w:asciiTheme="minorHAnsi" w:hAnsiTheme="minorHAnsi"/>
          <w:sz w:val="22"/>
        </w:rPr>
      </w:pPr>
    </w:p>
    <w:p w:rsidR="00242F00" w:rsidRPr="00BF29AE" w:rsidRDefault="00242F00" w:rsidP="00C40B30">
      <w:pPr>
        <w:pStyle w:val="ListParagraph"/>
        <w:numPr>
          <w:ilvl w:val="0"/>
          <w:numId w:val="1"/>
        </w:numPr>
        <w:rPr>
          <w:rFonts w:asciiTheme="minorHAnsi" w:hAnsiTheme="minorHAnsi"/>
          <w:i/>
          <w:sz w:val="22"/>
        </w:rPr>
      </w:pPr>
      <w:r w:rsidRPr="00BF29AE">
        <w:rPr>
          <w:rFonts w:asciiTheme="minorHAnsi" w:hAnsiTheme="minorHAnsi"/>
          <w:i/>
          <w:sz w:val="22"/>
        </w:rPr>
        <w:t>Establishment or operation of a high quality professional development programs as</w:t>
      </w:r>
      <w:r w:rsidR="00967544" w:rsidRPr="00BF29AE">
        <w:rPr>
          <w:rFonts w:asciiTheme="minorHAnsi" w:hAnsiTheme="minorHAnsi"/>
          <w:i/>
          <w:sz w:val="22"/>
        </w:rPr>
        <w:t xml:space="preserve"> </w:t>
      </w:r>
      <w:r w:rsidRPr="00BF29AE">
        <w:rPr>
          <w:rFonts w:asciiTheme="minorHAnsi" w:hAnsiTheme="minorHAnsi"/>
          <w:i/>
          <w:sz w:val="22"/>
        </w:rPr>
        <w:t>described in section 223(1</w:t>
      </w:r>
      <w:r w:rsidR="0093602E" w:rsidRPr="00BF29AE">
        <w:rPr>
          <w:rFonts w:asciiTheme="minorHAnsi" w:hAnsiTheme="minorHAnsi"/>
          <w:i/>
          <w:sz w:val="22"/>
        </w:rPr>
        <w:t>) (</w:t>
      </w:r>
      <w:r w:rsidRPr="00BF29AE">
        <w:rPr>
          <w:rFonts w:asciiTheme="minorHAnsi" w:hAnsiTheme="minorHAnsi"/>
          <w:i/>
          <w:sz w:val="22"/>
        </w:rPr>
        <w:t>b).</w:t>
      </w:r>
    </w:p>
    <w:p w:rsidR="00757FE0" w:rsidRDefault="00757FE0" w:rsidP="00C40B30">
      <w:pPr>
        <w:pStyle w:val="ListParagraph"/>
        <w:rPr>
          <w:rFonts w:asciiTheme="minorHAnsi" w:hAnsiTheme="minorHAnsi"/>
          <w:sz w:val="22"/>
        </w:rPr>
      </w:pPr>
    </w:p>
    <w:p w:rsidR="00757FE0" w:rsidRPr="00967544" w:rsidRDefault="00757FE0" w:rsidP="00C40B30">
      <w:pPr>
        <w:pStyle w:val="ListParagraph"/>
        <w:ind w:left="450"/>
        <w:rPr>
          <w:rFonts w:asciiTheme="minorHAnsi" w:hAnsiTheme="minorHAnsi"/>
          <w:sz w:val="22"/>
        </w:rPr>
      </w:pPr>
      <w:r w:rsidRPr="0028335A">
        <w:rPr>
          <w:rFonts w:asciiTheme="minorHAnsi" w:hAnsiTheme="minorHAnsi"/>
          <w:color w:val="000000"/>
          <w:sz w:val="22"/>
          <w:szCs w:val="22"/>
        </w:rPr>
        <w:t xml:space="preserve">The Nevada Adult Basic Education (ABE) State Leadership team in 2015-2016 included two sub-grantees (with one full-time Professional Development manager, and </w:t>
      </w:r>
      <w:r>
        <w:rPr>
          <w:rFonts w:asciiTheme="minorHAnsi" w:hAnsiTheme="minorHAnsi"/>
          <w:color w:val="000000"/>
          <w:sz w:val="22"/>
          <w:szCs w:val="22"/>
        </w:rPr>
        <w:t>six</w:t>
      </w:r>
      <w:r w:rsidRPr="0028335A">
        <w:rPr>
          <w:rFonts w:asciiTheme="minorHAnsi" w:hAnsiTheme="minorHAnsi"/>
          <w:color w:val="000000"/>
          <w:sz w:val="22"/>
          <w:szCs w:val="22"/>
        </w:rPr>
        <w:t xml:space="preserve"> part-time professionals), and engaged various individuals throughout the state. </w:t>
      </w:r>
      <w:r w:rsidRPr="0028335A">
        <w:rPr>
          <w:rFonts w:asciiTheme="minorHAnsi" w:hAnsiTheme="minorHAnsi"/>
          <w:sz w:val="22"/>
          <w:szCs w:val="22"/>
        </w:rPr>
        <w:t xml:space="preserve">The primary focus of this grant was to continue implementation and sustainability of </w:t>
      </w:r>
      <w:r w:rsidR="002B6CEC">
        <w:rPr>
          <w:rFonts w:asciiTheme="minorHAnsi" w:hAnsiTheme="minorHAnsi"/>
          <w:sz w:val="22"/>
          <w:szCs w:val="22"/>
        </w:rPr>
        <w:t>s</w:t>
      </w:r>
      <w:r w:rsidRPr="0028335A">
        <w:rPr>
          <w:rFonts w:asciiTheme="minorHAnsi" w:hAnsiTheme="minorHAnsi"/>
          <w:sz w:val="22"/>
          <w:szCs w:val="22"/>
        </w:rPr>
        <w:t xml:space="preserve">tandards-based </w:t>
      </w:r>
      <w:r w:rsidR="002B6CEC">
        <w:rPr>
          <w:rFonts w:asciiTheme="minorHAnsi" w:hAnsiTheme="minorHAnsi"/>
          <w:sz w:val="22"/>
          <w:szCs w:val="22"/>
        </w:rPr>
        <w:t>e</w:t>
      </w:r>
      <w:r w:rsidRPr="0028335A">
        <w:rPr>
          <w:rFonts w:asciiTheme="minorHAnsi" w:hAnsiTheme="minorHAnsi"/>
          <w:sz w:val="22"/>
          <w:szCs w:val="22"/>
        </w:rPr>
        <w:t>ducation, continued support for career awareness, career pathways, transitions to postsecondary</w:t>
      </w:r>
      <w:r w:rsidR="002B6CEC">
        <w:rPr>
          <w:rFonts w:asciiTheme="minorHAnsi" w:hAnsiTheme="minorHAnsi"/>
          <w:sz w:val="22"/>
          <w:szCs w:val="22"/>
        </w:rPr>
        <w:t xml:space="preserve"> education</w:t>
      </w:r>
      <w:r w:rsidRPr="0028335A">
        <w:rPr>
          <w:rFonts w:asciiTheme="minorHAnsi" w:hAnsiTheme="minorHAnsi"/>
          <w:sz w:val="22"/>
          <w:szCs w:val="22"/>
        </w:rPr>
        <w:t>, and support for High School Equivalency preparation. Workshops, webinars and Professional Learning Communities (PLCs) on implementing the College and Career Readiness Standards (CCRS) were delivered to ABE program directors, coordinators and teachers from the seven AEFLA-funded programs multiple times throughout the year.</w:t>
      </w:r>
    </w:p>
    <w:p w:rsidR="00967544" w:rsidRDefault="00967544" w:rsidP="00C40B30">
      <w:pPr>
        <w:rPr>
          <w:rFonts w:asciiTheme="minorHAnsi" w:hAnsiTheme="minorHAnsi"/>
          <w:sz w:val="22"/>
        </w:rPr>
      </w:pPr>
    </w:p>
    <w:p w:rsidR="00242F00" w:rsidRPr="00BF29AE" w:rsidRDefault="00242F00" w:rsidP="00C40B30">
      <w:pPr>
        <w:pStyle w:val="ListParagraph"/>
        <w:numPr>
          <w:ilvl w:val="0"/>
          <w:numId w:val="1"/>
        </w:numPr>
        <w:rPr>
          <w:rFonts w:asciiTheme="minorHAnsi" w:hAnsiTheme="minorHAnsi"/>
          <w:i/>
          <w:sz w:val="22"/>
        </w:rPr>
      </w:pPr>
      <w:r w:rsidRPr="00BF29AE">
        <w:rPr>
          <w:rFonts w:asciiTheme="minorHAnsi" w:hAnsiTheme="minorHAnsi"/>
          <w:i/>
          <w:sz w:val="22"/>
        </w:rPr>
        <w:t>Provision of technical assistance to funded eligible providers as described in section</w:t>
      </w:r>
      <w:r w:rsidR="00967544" w:rsidRPr="00BF29AE">
        <w:rPr>
          <w:rFonts w:asciiTheme="minorHAnsi" w:hAnsiTheme="minorHAnsi"/>
          <w:i/>
          <w:sz w:val="22"/>
        </w:rPr>
        <w:t xml:space="preserve"> </w:t>
      </w:r>
      <w:r w:rsidRPr="00BF29AE">
        <w:rPr>
          <w:rFonts w:asciiTheme="minorHAnsi" w:hAnsiTheme="minorHAnsi"/>
          <w:i/>
          <w:sz w:val="22"/>
        </w:rPr>
        <w:t>223(1</w:t>
      </w:r>
      <w:r w:rsidR="0093602E" w:rsidRPr="00BF29AE">
        <w:rPr>
          <w:rFonts w:asciiTheme="minorHAnsi" w:hAnsiTheme="minorHAnsi"/>
          <w:i/>
          <w:sz w:val="22"/>
        </w:rPr>
        <w:t>) (</w:t>
      </w:r>
      <w:r w:rsidRPr="00BF29AE">
        <w:rPr>
          <w:rFonts w:asciiTheme="minorHAnsi" w:hAnsiTheme="minorHAnsi"/>
          <w:i/>
          <w:sz w:val="22"/>
        </w:rPr>
        <w:t>c).</w:t>
      </w:r>
    </w:p>
    <w:p w:rsidR="00967544" w:rsidRDefault="00967544" w:rsidP="00C40B30">
      <w:pPr>
        <w:ind w:left="360"/>
        <w:rPr>
          <w:rFonts w:asciiTheme="minorHAnsi" w:hAnsiTheme="minorHAnsi"/>
          <w:sz w:val="22"/>
        </w:rPr>
      </w:pPr>
    </w:p>
    <w:p w:rsidR="00757FE0" w:rsidRDefault="00757FE0" w:rsidP="00C40B30">
      <w:pPr>
        <w:ind w:left="450"/>
        <w:rPr>
          <w:rFonts w:asciiTheme="minorHAnsi" w:hAnsiTheme="minorHAnsi"/>
          <w:sz w:val="22"/>
        </w:rPr>
      </w:pPr>
      <w:r>
        <w:rPr>
          <w:rFonts w:asciiTheme="minorHAnsi" w:hAnsiTheme="minorHAnsi"/>
          <w:sz w:val="22"/>
        </w:rPr>
        <w:t xml:space="preserve">As previously described, technical assistance was provided to align literacy activities with other core partners and </w:t>
      </w:r>
      <w:r w:rsidR="002B6CEC">
        <w:rPr>
          <w:rFonts w:asciiTheme="minorHAnsi" w:hAnsiTheme="minorHAnsi"/>
          <w:sz w:val="22"/>
        </w:rPr>
        <w:t xml:space="preserve">required </w:t>
      </w:r>
      <w:r>
        <w:rPr>
          <w:rFonts w:asciiTheme="minorHAnsi" w:hAnsiTheme="minorHAnsi"/>
          <w:sz w:val="22"/>
        </w:rPr>
        <w:t>one-stop partners</w:t>
      </w:r>
      <w:r w:rsidR="00DC48F0">
        <w:rPr>
          <w:rFonts w:asciiTheme="minorHAnsi" w:hAnsiTheme="minorHAnsi"/>
          <w:sz w:val="22"/>
        </w:rPr>
        <w:t>, including</w:t>
      </w:r>
      <w:r w:rsidR="00C33C10">
        <w:rPr>
          <w:rFonts w:asciiTheme="minorHAnsi" w:hAnsiTheme="minorHAnsi"/>
          <w:sz w:val="22"/>
        </w:rPr>
        <w:t>;</w:t>
      </w:r>
      <w:r w:rsidR="00DC48F0">
        <w:rPr>
          <w:rFonts w:asciiTheme="minorHAnsi" w:hAnsiTheme="minorHAnsi"/>
          <w:sz w:val="22"/>
        </w:rPr>
        <w:t xml:space="preserve"> </w:t>
      </w:r>
      <w:r w:rsidR="00C33C10">
        <w:rPr>
          <w:rFonts w:asciiTheme="minorHAnsi" w:hAnsiTheme="minorHAnsi"/>
          <w:sz w:val="22"/>
        </w:rPr>
        <w:t xml:space="preserve">the role of eligible providers as a one-stop partner; developing </w:t>
      </w:r>
      <w:r w:rsidR="00DC48F0">
        <w:rPr>
          <w:rFonts w:asciiTheme="minorHAnsi" w:hAnsiTheme="minorHAnsi"/>
          <w:sz w:val="22"/>
        </w:rPr>
        <w:t>career pathways</w:t>
      </w:r>
      <w:r w:rsidR="00C33C10">
        <w:rPr>
          <w:rFonts w:asciiTheme="minorHAnsi" w:hAnsiTheme="minorHAnsi"/>
          <w:sz w:val="22"/>
        </w:rPr>
        <w:t xml:space="preserve"> that lead to a family</w:t>
      </w:r>
      <w:r w:rsidR="00ED03CA">
        <w:rPr>
          <w:rFonts w:asciiTheme="minorHAnsi" w:hAnsiTheme="minorHAnsi"/>
          <w:sz w:val="22"/>
        </w:rPr>
        <w:t>-</w:t>
      </w:r>
      <w:r w:rsidR="00C33C10">
        <w:rPr>
          <w:rFonts w:asciiTheme="minorHAnsi" w:hAnsiTheme="minorHAnsi"/>
          <w:sz w:val="22"/>
        </w:rPr>
        <w:t xml:space="preserve">sustaining wage in a high demand </w:t>
      </w:r>
      <w:r w:rsidR="002B6CEC">
        <w:rPr>
          <w:rFonts w:asciiTheme="minorHAnsi" w:hAnsiTheme="minorHAnsi"/>
          <w:sz w:val="22"/>
        </w:rPr>
        <w:t>occupation</w:t>
      </w:r>
      <w:r w:rsidR="00C33C10">
        <w:rPr>
          <w:rFonts w:asciiTheme="minorHAnsi" w:hAnsiTheme="minorHAnsi"/>
          <w:sz w:val="22"/>
        </w:rPr>
        <w:t>;</w:t>
      </w:r>
      <w:r w:rsidR="00DC48F0">
        <w:rPr>
          <w:rFonts w:asciiTheme="minorHAnsi" w:hAnsiTheme="minorHAnsi"/>
          <w:sz w:val="22"/>
        </w:rPr>
        <w:t xml:space="preserve"> </w:t>
      </w:r>
      <w:r w:rsidR="00C33C10">
        <w:rPr>
          <w:rFonts w:asciiTheme="minorHAnsi" w:hAnsiTheme="minorHAnsi"/>
          <w:sz w:val="22"/>
        </w:rPr>
        <w:t xml:space="preserve">implementing </w:t>
      </w:r>
      <w:r w:rsidR="00DC48F0">
        <w:rPr>
          <w:rFonts w:asciiTheme="minorHAnsi" w:hAnsiTheme="minorHAnsi"/>
          <w:sz w:val="22"/>
        </w:rPr>
        <w:t>CCRS</w:t>
      </w:r>
      <w:r w:rsidR="00C33C10">
        <w:rPr>
          <w:rFonts w:asciiTheme="minorHAnsi" w:hAnsiTheme="minorHAnsi"/>
          <w:sz w:val="22"/>
        </w:rPr>
        <w:t>;</w:t>
      </w:r>
      <w:r w:rsidR="00DC48F0">
        <w:rPr>
          <w:rFonts w:asciiTheme="minorHAnsi" w:hAnsiTheme="minorHAnsi"/>
          <w:sz w:val="22"/>
        </w:rPr>
        <w:t xml:space="preserve"> and planning </w:t>
      </w:r>
      <w:r w:rsidR="00C33C10">
        <w:rPr>
          <w:rFonts w:asciiTheme="minorHAnsi" w:hAnsiTheme="minorHAnsi"/>
          <w:sz w:val="22"/>
        </w:rPr>
        <w:t xml:space="preserve">for </w:t>
      </w:r>
      <w:r w:rsidR="00DC48F0">
        <w:rPr>
          <w:rFonts w:asciiTheme="minorHAnsi" w:hAnsiTheme="minorHAnsi"/>
          <w:sz w:val="22"/>
        </w:rPr>
        <w:t xml:space="preserve">WIOA implementation. </w:t>
      </w:r>
    </w:p>
    <w:p w:rsidR="00967544" w:rsidRDefault="00967544" w:rsidP="00C40B30">
      <w:pPr>
        <w:rPr>
          <w:rFonts w:asciiTheme="minorHAnsi" w:hAnsiTheme="minorHAnsi"/>
          <w:sz w:val="22"/>
        </w:rPr>
      </w:pPr>
    </w:p>
    <w:p w:rsidR="00242F00" w:rsidRPr="00BF29AE" w:rsidRDefault="00242F00" w:rsidP="00C40B30">
      <w:pPr>
        <w:pStyle w:val="ListParagraph"/>
        <w:numPr>
          <w:ilvl w:val="0"/>
          <w:numId w:val="1"/>
        </w:numPr>
        <w:rPr>
          <w:rFonts w:asciiTheme="minorHAnsi" w:hAnsiTheme="minorHAnsi"/>
          <w:i/>
          <w:sz w:val="22"/>
        </w:rPr>
      </w:pPr>
      <w:r w:rsidRPr="00BF29AE">
        <w:rPr>
          <w:rFonts w:asciiTheme="minorHAnsi" w:hAnsiTheme="minorHAnsi"/>
          <w:i/>
          <w:sz w:val="22"/>
        </w:rPr>
        <w:t>Monitoring and evaluation of the quality and improvement of adult education activities</w:t>
      </w:r>
      <w:r w:rsidR="00967544" w:rsidRPr="00BF29AE">
        <w:rPr>
          <w:rFonts w:asciiTheme="minorHAnsi" w:hAnsiTheme="minorHAnsi"/>
          <w:i/>
          <w:sz w:val="22"/>
        </w:rPr>
        <w:t xml:space="preserve"> </w:t>
      </w:r>
      <w:r w:rsidRPr="00BF29AE">
        <w:rPr>
          <w:rFonts w:asciiTheme="minorHAnsi" w:hAnsiTheme="minorHAnsi"/>
          <w:i/>
          <w:sz w:val="22"/>
        </w:rPr>
        <w:t>as described in section 223(1</w:t>
      </w:r>
      <w:r w:rsidR="0093602E" w:rsidRPr="00BF29AE">
        <w:rPr>
          <w:rFonts w:asciiTheme="minorHAnsi" w:hAnsiTheme="minorHAnsi"/>
          <w:i/>
          <w:sz w:val="22"/>
        </w:rPr>
        <w:t>) (</w:t>
      </w:r>
      <w:r w:rsidRPr="00BF29AE">
        <w:rPr>
          <w:rFonts w:asciiTheme="minorHAnsi" w:hAnsiTheme="minorHAnsi"/>
          <w:i/>
          <w:sz w:val="22"/>
        </w:rPr>
        <w:t>d).</w:t>
      </w:r>
    </w:p>
    <w:p w:rsidR="00967544" w:rsidRDefault="00967544" w:rsidP="00C40B30">
      <w:pPr>
        <w:rPr>
          <w:rFonts w:asciiTheme="minorHAnsi" w:hAnsiTheme="minorHAnsi"/>
          <w:sz w:val="22"/>
        </w:rPr>
      </w:pPr>
    </w:p>
    <w:p w:rsidR="00DA2D57" w:rsidRDefault="00DA2D57" w:rsidP="00C40B30">
      <w:pPr>
        <w:ind w:left="450"/>
        <w:rPr>
          <w:rFonts w:asciiTheme="minorHAnsi" w:hAnsiTheme="minorHAnsi" w:cs="Arial"/>
          <w:sz w:val="22"/>
          <w:szCs w:val="22"/>
        </w:rPr>
      </w:pPr>
      <w:r w:rsidRPr="00D8345D">
        <w:rPr>
          <w:rFonts w:asciiTheme="minorHAnsi" w:hAnsiTheme="minorHAnsi"/>
          <w:sz w:val="22"/>
          <w:szCs w:val="22"/>
        </w:rPr>
        <w:t>State Leadership continued to plan and offer Nevada ABE directors</w:t>
      </w:r>
      <w:r w:rsidR="00ED03CA">
        <w:rPr>
          <w:rFonts w:asciiTheme="minorHAnsi" w:hAnsiTheme="minorHAnsi"/>
          <w:sz w:val="22"/>
          <w:szCs w:val="22"/>
        </w:rPr>
        <w:t>’</w:t>
      </w:r>
      <w:r w:rsidRPr="00D8345D">
        <w:rPr>
          <w:rFonts w:asciiTheme="minorHAnsi" w:hAnsiTheme="minorHAnsi"/>
          <w:sz w:val="22"/>
          <w:szCs w:val="22"/>
        </w:rPr>
        <w:t xml:space="preserve"> meetings, designed to provide opportunit</w:t>
      </w:r>
      <w:r w:rsidR="002B6CEC">
        <w:rPr>
          <w:rFonts w:asciiTheme="minorHAnsi" w:hAnsiTheme="minorHAnsi"/>
          <w:sz w:val="22"/>
          <w:szCs w:val="22"/>
        </w:rPr>
        <w:t>ies</w:t>
      </w:r>
      <w:r w:rsidRPr="00D8345D">
        <w:rPr>
          <w:rFonts w:asciiTheme="minorHAnsi" w:hAnsiTheme="minorHAnsi"/>
          <w:sz w:val="22"/>
          <w:szCs w:val="22"/>
        </w:rPr>
        <w:t xml:space="preserve"> to share best practices, polic</w:t>
      </w:r>
      <w:r w:rsidR="002B6CEC">
        <w:rPr>
          <w:rFonts w:asciiTheme="minorHAnsi" w:hAnsiTheme="minorHAnsi"/>
          <w:sz w:val="22"/>
          <w:szCs w:val="22"/>
        </w:rPr>
        <w:t>ies</w:t>
      </w:r>
      <w:r w:rsidRPr="00D8345D">
        <w:rPr>
          <w:rFonts w:asciiTheme="minorHAnsi" w:hAnsiTheme="minorHAnsi"/>
          <w:sz w:val="22"/>
          <w:szCs w:val="22"/>
        </w:rPr>
        <w:t xml:space="preserve">, and tools to support program improvement. One highlighted presentation </w:t>
      </w:r>
      <w:r w:rsidRPr="008A58FD">
        <w:rPr>
          <w:rFonts w:asciiTheme="minorHAnsi" w:hAnsiTheme="minorHAnsi"/>
          <w:sz w:val="22"/>
          <w:szCs w:val="22"/>
        </w:rPr>
        <w:t>introduce</w:t>
      </w:r>
      <w:r w:rsidR="002B6CEC">
        <w:rPr>
          <w:rFonts w:asciiTheme="minorHAnsi" w:hAnsiTheme="minorHAnsi"/>
          <w:sz w:val="22"/>
          <w:szCs w:val="22"/>
        </w:rPr>
        <w:t>d</w:t>
      </w:r>
      <w:r w:rsidRPr="008A58FD">
        <w:rPr>
          <w:rFonts w:asciiTheme="minorHAnsi" w:hAnsiTheme="minorHAnsi"/>
          <w:sz w:val="22"/>
          <w:szCs w:val="22"/>
        </w:rPr>
        <w:t xml:space="preserve"> the Nevada ABE/ELL Teacher Standards and Professional Growth Rubric.  </w:t>
      </w:r>
      <w:r w:rsidRPr="008A58FD">
        <w:rPr>
          <w:rFonts w:asciiTheme="minorHAnsi" w:hAnsiTheme="minorHAnsi" w:cs="Arial"/>
          <w:sz w:val="22"/>
          <w:szCs w:val="22"/>
        </w:rPr>
        <w:t xml:space="preserve">Program Directors now have a tool they can use to evaluate their teachers </w:t>
      </w:r>
      <w:r w:rsidR="002B6CEC">
        <w:rPr>
          <w:rFonts w:asciiTheme="minorHAnsi" w:hAnsiTheme="minorHAnsi" w:cs="Arial"/>
          <w:sz w:val="22"/>
          <w:szCs w:val="22"/>
        </w:rPr>
        <w:t xml:space="preserve">in delivering instruction </w:t>
      </w:r>
      <w:r w:rsidR="0083492A">
        <w:rPr>
          <w:rFonts w:asciiTheme="minorHAnsi" w:hAnsiTheme="minorHAnsi" w:cs="Arial"/>
          <w:sz w:val="22"/>
          <w:szCs w:val="22"/>
        </w:rPr>
        <w:t>of</w:t>
      </w:r>
      <w:r w:rsidRPr="008A58FD">
        <w:rPr>
          <w:rFonts w:asciiTheme="minorHAnsi" w:hAnsiTheme="minorHAnsi" w:cs="Arial"/>
          <w:sz w:val="22"/>
          <w:szCs w:val="22"/>
        </w:rPr>
        <w:t xml:space="preserve"> the CCRS and work</w:t>
      </w:r>
      <w:r w:rsidR="0083492A">
        <w:rPr>
          <w:rFonts w:asciiTheme="minorHAnsi" w:hAnsiTheme="minorHAnsi" w:cs="Arial"/>
          <w:sz w:val="22"/>
          <w:szCs w:val="22"/>
        </w:rPr>
        <w:t>force preparation</w:t>
      </w:r>
      <w:r w:rsidRPr="008A58FD">
        <w:rPr>
          <w:rFonts w:asciiTheme="minorHAnsi" w:hAnsiTheme="minorHAnsi" w:cs="Arial"/>
          <w:sz w:val="22"/>
          <w:szCs w:val="22"/>
        </w:rPr>
        <w:t xml:space="preserve"> skills. At the same time, teachers will know what </w:t>
      </w:r>
      <w:r>
        <w:rPr>
          <w:rFonts w:asciiTheme="minorHAnsi" w:hAnsiTheme="minorHAnsi" w:cs="Arial"/>
          <w:sz w:val="22"/>
          <w:szCs w:val="22"/>
        </w:rPr>
        <w:t>is expected of them</w:t>
      </w:r>
      <w:r w:rsidRPr="008A58FD">
        <w:rPr>
          <w:rFonts w:asciiTheme="minorHAnsi" w:hAnsiTheme="minorHAnsi" w:cs="Arial"/>
          <w:sz w:val="22"/>
          <w:szCs w:val="22"/>
        </w:rPr>
        <w:t xml:space="preserve"> and </w:t>
      </w:r>
      <w:r>
        <w:rPr>
          <w:rFonts w:asciiTheme="minorHAnsi" w:hAnsiTheme="minorHAnsi" w:cs="Arial"/>
          <w:sz w:val="22"/>
          <w:szCs w:val="22"/>
        </w:rPr>
        <w:t xml:space="preserve">by </w:t>
      </w:r>
      <w:r w:rsidRPr="008A58FD">
        <w:rPr>
          <w:rFonts w:asciiTheme="minorHAnsi" w:hAnsiTheme="minorHAnsi" w:cs="Arial"/>
          <w:sz w:val="22"/>
          <w:szCs w:val="22"/>
        </w:rPr>
        <w:t xml:space="preserve">what criteria they </w:t>
      </w:r>
      <w:r>
        <w:rPr>
          <w:rFonts w:asciiTheme="minorHAnsi" w:hAnsiTheme="minorHAnsi" w:cs="Arial"/>
          <w:sz w:val="22"/>
          <w:szCs w:val="22"/>
        </w:rPr>
        <w:t>will be</w:t>
      </w:r>
      <w:r w:rsidRPr="008A58FD">
        <w:rPr>
          <w:rFonts w:asciiTheme="minorHAnsi" w:hAnsiTheme="minorHAnsi" w:cs="Arial"/>
          <w:sz w:val="22"/>
          <w:szCs w:val="22"/>
        </w:rPr>
        <w:t xml:space="preserve"> evaluated. </w:t>
      </w:r>
    </w:p>
    <w:p w:rsidR="00DA2D57" w:rsidRPr="00D8345D" w:rsidRDefault="00DA2D57" w:rsidP="00C40B30">
      <w:pPr>
        <w:ind w:left="450"/>
        <w:rPr>
          <w:rFonts w:asciiTheme="minorHAnsi" w:hAnsiTheme="minorHAnsi"/>
          <w:sz w:val="22"/>
          <w:szCs w:val="22"/>
        </w:rPr>
      </w:pPr>
      <w:r w:rsidRPr="00D8345D">
        <w:rPr>
          <w:rFonts w:asciiTheme="minorHAnsi" w:hAnsiTheme="minorHAnsi"/>
          <w:sz w:val="22"/>
          <w:szCs w:val="22"/>
        </w:rPr>
        <w:lastRenderedPageBreak/>
        <w:t>State Leadership also continued support</w:t>
      </w:r>
      <w:r>
        <w:rPr>
          <w:rFonts w:asciiTheme="minorHAnsi" w:hAnsiTheme="minorHAnsi"/>
          <w:sz w:val="22"/>
          <w:szCs w:val="22"/>
        </w:rPr>
        <w:t xml:space="preserve"> of</w:t>
      </w:r>
      <w:r w:rsidRPr="00D8345D">
        <w:rPr>
          <w:rFonts w:asciiTheme="minorHAnsi" w:hAnsiTheme="minorHAnsi"/>
          <w:sz w:val="22"/>
          <w:szCs w:val="22"/>
        </w:rPr>
        <w:t xml:space="preserve"> the Teacher Mentor program. Volunteer, seasoned instructors are trained to help teachers new to adult education by providing guidance, advice, and feedback. Goals are to provide individualized support for new teachers, strengthen instructors’ teaching skills, improve delivery of instruction to adult learners, and problem</w:t>
      </w:r>
      <w:r w:rsidR="00ED03CA">
        <w:rPr>
          <w:rFonts w:asciiTheme="minorHAnsi" w:hAnsiTheme="minorHAnsi"/>
          <w:sz w:val="22"/>
          <w:szCs w:val="22"/>
        </w:rPr>
        <w:t>-</w:t>
      </w:r>
      <w:r w:rsidRPr="00D8345D">
        <w:rPr>
          <w:rFonts w:asciiTheme="minorHAnsi" w:hAnsiTheme="minorHAnsi"/>
          <w:sz w:val="22"/>
          <w:szCs w:val="22"/>
        </w:rPr>
        <w:t xml:space="preserve">solve as needed. Program support for newly-hired teachers ensures that they are </w:t>
      </w:r>
      <w:r>
        <w:rPr>
          <w:rFonts w:asciiTheme="minorHAnsi" w:hAnsiTheme="minorHAnsi"/>
          <w:sz w:val="22"/>
          <w:szCs w:val="22"/>
        </w:rPr>
        <w:t xml:space="preserve">able </w:t>
      </w:r>
      <w:r w:rsidRPr="00D8345D">
        <w:rPr>
          <w:rFonts w:asciiTheme="minorHAnsi" w:hAnsiTheme="minorHAnsi"/>
          <w:sz w:val="22"/>
          <w:szCs w:val="22"/>
        </w:rPr>
        <w:t>to deliver standards-based instruction that will lead to student success in career pathways.</w:t>
      </w:r>
    </w:p>
    <w:p w:rsidR="00315669" w:rsidRDefault="00315669" w:rsidP="00C40B30">
      <w:pPr>
        <w:ind w:left="450"/>
        <w:rPr>
          <w:rFonts w:asciiTheme="minorHAnsi" w:hAnsiTheme="minorHAnsi"/>
          <w:sz w:val="22"/>
        </w:rPr>
      </w:pPr>
    </w:p>
    <w:p w:rsidR="00242F00" w:rsidRPr="00BF29AE" w:rsidRDefault="00242F00" w:rsidP="00C40B30">
      <w:pPr>
        <w:rPr>
          <w:rFonts w:asciiTheme="minorHAnsi" w:hAnsiTheme="minorHAnsi"/>
          <w:i/>
          <w:sz w:val="22"/>
        </w:rPr>
      </w:pPr>
      <w:r w:rsidRPr="00BF29AE">
        <w:rPr>
          <w:rFonts w:asciiTheme="minorHAnsi" w:hAnsiTheme="minorHAnsi"/>
          <w:i/>
          <w:sz w:val="22"/>
        </w:rPr>
        <w:t>(b) As applicable, describe how the State has used funds for additional permissible activities</w:t>
      </w:r>
      <w:r w:rsidR="007634C0" w:rsidRPr="00BF29AE">
        <w:rPr>
          <w:rFonts w:asciiTheme="minorHAnsi" w:hAnsiTheme="minorHAnsi"/>
          <w:i/>
          <w:sz w:val="22"/>
        </w:rPr>
        <w:t xml:space="preserve"> </w:t>
      </w:r>
      <w:r w:rsidRPr="00BF29AE">
        <w:rPr>
          <w:rFonts w:asciiTheme="minorHAnsi" w:hAnsiTheme="minorHAnsi"/>
          <w:i/>
          <w:sz w:val="22"/>
        </w:rPr>
        <w:t>described in section 223(a</w:t>
      </w:r>
      <w:r w:rsidR="0093602E" w:rsidRPr="00BF29AE">
        <w:rPr>
          <w:rFonts w:asciiTheme="minorHAnsi" w:hAnsiTheme="minorHAnsi"/>
          <w:i/>
          <w:sz w:val="22"/>
        </w:rPr>
        <w:t>) (</w:t>
      </w:r>
      <w:r w:rsidRPr="00BF29AE">
        <w:rPr>
          <w:rFonts w:asciiTheme="minorHAnsi" w:hAnsiTheme="minorHAnsi"/>
          <w:i/>
          <w:sz w:val="22"/>
        </w:rPr>
        <w:t>2).</w:t>
      </w:r>
    </w:p>
    <w:p w:rsidR="00242F00" w:rsidRDefault="00242F00" w:rsidP="00C40B30">
      <w:pPr>
        <w:rPr>
          <w:rFonts w:asciiTheme="minorHAnsi" w:hAnsiTheme="minorHAnsi"/>
          <w:sz w:val="22"/>
        </w:rPr>
      </w:pPr>
    </w:p>
    <w:p w:rsidR="00470675" w:rsidRDefault="00470675" w:rsidP="00C40B30">
      <w:pPr>
        <w:ind w:left="450"/>
        <w:rPr>
          <w:rFonts w:asciiTheme="minorHAnsi" w:hAnsiTheme="minorHAnsi"/>
          <w:sz w:val="22"/>
        </w:rPr>
      </w:pPr>
      <w:r>
        <w:rPr>
          <w:rFonts w:asciiTheme="minorHAnsi" w:hAnsiTheme="minorHAnsi"/>
          <w:sz w:val="22"/>
        </w:rPr>
        <w:t>Leadership funds have been used to develop a Career Pathway program for ELL students to be piloted during the 2016-2017 program year. The program will include basic skills instruction</w:t>
      </w:r>
      <w:r w:rsidR="00AC4E91">
        <w:rPr>
          <w:rFonts w:asciiTheme="minorHAnsi" w:hAnsiTheme="minorHAnsi"/>
          <w:sz w:val="22"/>
        </w:rPr>
        <w:t xml:space="preserve">, coaching and mentoring, </w:t>
      </w:r>
      <w:r>
        <w:rPr>
          <w:rFonts w:asciiTheme="minorHAnsi" w:hAnsiTheme="minorHAnsi"/>
          <w:sz w:val="22"/>
        </w:rPr>
        <w:t xml:space="preserve">concurrent with work experience. </w:t>
      </w:r>
    </w:p>
    <w:p w:rsidR="00470675" w:rsidRDefault="00470675" w:rsidP="00C40B30">
      <w:pPr>
        <w:ind w:left="450"/>
        <w:rPr>
          <w:rFonts w:asciiTheme="minorHAnsi" w:hAnsiTheme="minorHAnsi"/>
          <w:sz w:val="22"/>
        </w:rPr>
      </w:pPr>
    </w:p>
    <w:p w:rsidR="00470675" w:rsidRDefault="00470675" w:rsidP="00C40B30">
      <w:pPr>
        <w:ind w:left="450"/>
        <w:rPr>
          <w:rFonts w:asciiTheme="minorHAnsi" w:hAnsiTheme="minorHAnsi"/>
          <w:sz w:val="22"/>
        </w:rPr>
      </w:pPr>
      <w:r>
        <w:rPr>
          <w:rFonts w:asciiTheme="minorHAnsi" w:hAnsiTheme="minorHAnsi"/>
          <w:sz w:val="22"/>
        </w:rPr>
        <w:t>Funds have also been used to continue the suppor</w:t>
      </w:r>
      <w:r w:rsidR="00796FE2">
        <w:rPr>
          <w:rFonts w:asciiTheme="minorHAnsi" w:hAnsiTheme="minorHAnsi"/>
          <w:sz w:val="22"/>
        </w:rPr>
        <w:t xml:space="preserve">t for a teacher mentor project and to develop a rubric for local program directors to align teacher evaluations with the newly adopted teacher standards. </w:t>
      </w:r>
    </w:p>
    <w:p w:rsidR="00E475BD" w:rsidRDefault="00E475BD" w:rsidP="00C40B30">
      <w:pPr>
        <w:rPr>
          <w:rFonts w:asciiTheme="minorHAnsi" w:hAnsiTheme="minorHAnsi"/>
          <w:sz w:val="22"/>
        </w:rPr>
      </w:pPr>
    </w:p>
    <w:p w:rsidR="00242F00" w:rsidRPr="00242F00" w:rsidRDefault="00242F00" w:rsidP="00C40B30">
      <w:pPr>
        <w:rPr>
          <w:rFonts w:asciiTheme="minorHAnsi" w:hAnsiTheme="minorHAnsi"/>
          <w:b/>
          <w:bCs/>
          <w:sz w:val="22"/>
        </w:rPr>
      </w:pPr>
      <w:r w:rsidRPr="00242F00">
        <w:rPr>
          <w:rFonts w:asciiTheme="minorHAnsi" w:hAnsiTheme="minorHAnsi"/>
          <w:b/>
          <w:bCs/>
          <w:sz w:val="22"/>
        </w:rPr>
        <w:t>2. Performance Data Analysis</w:t>
      </w:r>
    </w:p>
    <w:p w:rsidR="00242F00" w:rsidRPr="00BF29AE" w:rsidRDefault="00242F00" w:rsidP="00C40B30">
      <w:pPr>
        <w:rPr>
          <w:rFonts w:asciiTheme="minorHAnsi" w:hAnsiTheme="minorHAnsi"/>
          <w:i/>
          <w:sz w:val="22"/>
        </w:rPr>
      </w:pPr>
      <w:r w:rsidRPr="00BF29AE">
        <w:rPr>
          <w:rFonts w:asciiTheme="minorHAnsi" w:hAnsiTheme="minorHAnsi"/>
          <w:i/>
          <w:sz w:val="22"/>
        </w:rPr>
        <w:t>Describe how the adult education program performed in the overall assessment of core</w:t>
      </w:r>
      <w:r w:rsidR="00796FE2" w:rsidRPr="00BF29AE">
        <w:rPr>
          <w:rFonts w:asciiTheme="minorHAnsi" w:hAnsiTheme="minorHAnsi"/>
          <w:i/>
          <w:sz w:val="22"/>
        </w:rPr>
        <w:t xml:space="preserve"> </w:t>
      </w:r>
      <w:r w:rsidRPr="00BF29AE">
        <w:rPr>
          <w:rFonts w:asciiTheme="minorHAnsi" w:hAnsiTheme="minorHAnsi"/>
          <w:i/>
          <w:sz w:val="22"/>
        </w:rPr>
        <w:t>programs based on the core indicators of performance. Discuss how the assessment was used to</w:t>
      </w:r>
      <w:r w:rsidR="00796FE2" w:rsidRPr="00BF29AE">
        <w:rPr>
          <w:rFonts w:asciiTheme="minorHAnsi" w:hAnsiTheme="minorHAnsi"/>
          <w:i/>
          <w:sz w:val="22"/>
        </w:rPr>
        <w:t xml:space="preserve"> </w:t>
      </w:r>
      <w:r w:rsidRPr="00BF29AE">
        <w:rPr>
          <w:rFonts w:asciiTheme="minorHAnsi" w:hAnsiTheme="minorHAnsi"/>
          <w:i/>
          <w:sz w:val="22"/>
        </w:rPr>
        <w:t>improve quality and effectiveness of the funded eligible providers and any plans to further</w:t>
      </w:r>
      <w:r w:rsidR="00796FE2" w:rsidRPr="00BF29AE">
        <w:rPr>
          <w:rFonts w:asciiTheme="minorHAnsi" w:hAnsiTheme="minorHAnsi"/>
          <w:i/>
          <w:sz w:val="22"/>
        </w:rPr>
        <w:t xml:space="preserve"> </w:t>
      </w:r>
      <w:r w:rsidRPr="00BF29AE">
        <w:rPr>
          <w:rFonts w:asciiTheme="minorHAnsi" w:hAnsiTheme="minorHAnsi"/>
          <w:i/>
          <w:sz w:val="22"/>
        </w:rPr>
        <w:t>increase performance in future reporting years.</w:t>
      </w:r>
    </w:p>
    <w:p w:rsidR="00796FE2" w:rsidRDefault="00796FE2" w:rsidP="00C40B30">
      <w:pPr>
        <w:rPr>
          <w:rFonts w:asciiTheme="minorHAnsi" w:hAnsiTheme="minorHAnsi"/>
          <w:sz w:val="22"/>
        </w:rPr>
      </w:pPr>
    </w:p>
    <w:p w:rsidR="007634C0" w:rsidRPr="00550B7F" w:rsidRDefault="007634C0" w:rsidP="00C40B30">
      <w:pPr>
        <w:ind w:left="450"/>
        <w:rPr>
          <w:rFonts w:asciiTheme="minorHAnsi" w:hAnsiTheme="minorHAnsi"/>
          <w:color w:val="000000" w:themeColor="text1"/>
          <w:sz w:val="22"/>
          <w:szCs w:val="22"/>
        </w:rPr>
      </w:pPr>
      <w:r w:rsidRPr="00550B7F">
        <w:rPr>
          <w:rFonts w:asciiTheme="minorHAnsi" w:hAnsiTheme="minorHAnsi"/>
          <w:color w:val="000000" w:themeColor="text1"/>
          <w:sz w:val="22"/>
          <w:szCs w:val="22"/>
        </w:rPr>
        <w:t xml:space="preserve">Nevada enrolled </w:t>
      </w:r>
      <w:r w:rsidR="004A6E1F" w:rsidRPr="00550B7F">
        <w:rPr>
          <w:rFonts w:asciiTheme="minorHAnsi" w:hAnsiTheme="minorHAnsi"/>
          <w:color w:val="000000" w:themeColor="text1"/>
          <w:sz w:val="22"/>
          <w:szCs w:val="22"/>
        </w:rPr>
        <w:t>9,142</w:t>
      </w:r>
      <w:r w:rsidRPr="00550B7F">
        <w:rPr>
          <w:rFonts w:asciiTheme="minorHAnsi" w:hAnsiTheme="minorHAnsi"/>
          <w:color w:val="000000" w:themeColor="text1"/>
          <w:sz w:val="22"/>
          <w:szCs w:val="22"/>
        </w:rPr>
        <w:t xml:space="preserve"> learners in seven programs across the state in 2015-2016. This is a</w:t>
      </w:r>
      <w:r w:rsidR="008C67D0">
        <w:rPr>
          <w:rFonts w:asciiTheme="minorHAnsi" w:hAnsiTheme="minorHAnsi"/>
          <w:color w:val="000000" w:themeColor="text1"/>
          <w:sz w:val="22"/>
          <w:szCs w:val="22"/>
        </w:rPr>
        <w:t>n</w:t>
      </w:r>
      <w:r w:rsidRPr="00550B7F">
        <w:rPr>
          <w:rFonts w:asciiTheme="minorHAnsi" w:hAnsiTheme="minorHAnsi"/>
          <w:color w:val="000000" w:themeColor="text1"/>
          <w:sz w:val="22"/>
          <w:szCs w:val="22"/>
        </w:rPr>
        <w:t xml:space="preserve"> </w:t>
      </w:r>
      <w:r w:rsidR="00550B7F">
        <w:rPr>
          <w:rFonts w:asciiTheme="minorHAnsi" w:hAnsiTheme="minorHAnsi"/>
          <w:color w:val="000000" w:themeColor="text1"/>
          <w:sz w:val="22"/>
          <w:szCs w:val="22"/>
        </w:rPr>
        <w:t>increase</w:t>
      </w:r>
      <w:r w:rsidRPr="00550B7F">
        <w:rPr>
          <w:rFonts w:asciiTheme="minorHAnsi" w:hAnsiTheme="minorHAnsi"/>
          <w:color w:val="000000" w:themeColor="text1"/>
          <w:sz w:val="22"/>
          <w:szCs w:val="22"/>
        </w:rPr>
        <w:t xml:space="preserve"> of </w:t>
      </w:r>
      <w:r w:rsidR="004A6E1F" w:rsidRPr="00550B7F">
        <w:rPr>
          <w:rFonts w:asciiTheme="minorHAnsi" w:hAnsiTheme="minorHAnsi"/>
          <w:color w:val="000000" w:themeColor="text1"/>
          <w:sz w:val="22"/>
          <w:szCs w:val="22"/>
        </w:rPr>
        <w:t>3.4</w:t>
      </w:r>
      <w:r w:rsidRPr="00550B7F">
        <w:rPr>
          <w:rFonts w:asciiTheme="minorHAnsi" w:hAnsiTheme="minorHAnsi"/>
          <w:color w:val="000000" w:themeColor="text1"/>
          <w:sz w:val="22"/>
          <w:szCs w:val="22"/>
        </w:rPr>
        <w:t>% (</w:t>
      </w:r>
      <w:r w:rsidR="004A6E1F" w:rsidRPr="00550B7F">
        <w:rPr>
          <w:rFonts w:asciiTheme="minorHAnsi" w:hAnsiTheme="minorHAnsi"/>
          <w:color w:val="000000" w:themeColor="text1"/>
          <w:sz w:val="22"/>
          <w:szCs w:val="22"/>
        </w:rPr>
        <w:t>30</w:t>
      </w:r>
      <w:r w:rsidR="00550B7F" w:rsidRPr="00550B7F">
        <w:rPr>
          <w:rFonts w:asciiTheme="minorHAnsi" w:hAnsiTheme="minorHAnsi"/>
          <w:color w:val="000000" w:themeColor="text1"/>
          <w:sz w:val="22"/>
          <w:szCs w:val="22"/>
        </w:rPr>
        <w:t>4</w:t>
      </w:r>
      <w:r w:rsidRPr="00550B7F">
        <w:rPr>
          <w:rFonts w:asciiTheme="minorHAnsi" w:hAnsiTheme="minorHAnsi"/>
          <w:color w:val="000000" w:themeColor="text1"/>
          <w:sz w:val="22"/>
          <w:szCs w:val="22"/>
        </w:rPr>
        <w:t xml:space="preserve"> learners) over the previous year. The ABE/ASE levels have sustained growth seen in the previous years</w:t>
      </w:r>
      <w:r w:rsidR="00550B7F">
        <w:rPr>
          <w:rFonts w:asciiTheme="minorHAnsi" w:hAnsiTheme="minorHAnsi"/>
          <w:color w:val="000000" w:themeColor="text1"/>
          <w:sz w:val="22"/>
          <w:szCs w:val="22"/>
        </w:rPr>
        <w:t xml:space="preserve"> and the ESL participants remained approximately 75% of the total. </w:t>
      </w:r>
    </w:p>
    <w:p w:rsidR="007634C0" w:rsidRPr="00E14CA0" w:rsidRDefault="007634C0" w:rsidP="00C40B30">
      <w:pPr>
        <w:rPr>
          <w:rFonts w:asciiTheme="minorHAnsi" w:hAnsiTheme="minorHAnsi"/>
          <w:color w:val="000000" w:themeColor="text1"/>
          <w:sz w:val="22"/>
          <w:szCs w:val="22"/>
          <w:highlight w:val="yellow"/>
        </w:rPr>
      </w:pPr>
    </w:p>
    <w:p w:rsidR="007634C0" w:rsidRPr="00BC365E" w:rsidRDefault="00BC365E" w:rsidP="00C40B30">
      <w:pPr>
        <w:ind w:left="450"/>
        <w:rPr>
          <w:rFonts w:asciiTheme="minorHAnsi" w:hAnsiTheme="minorHAnsi"/>
          <w:color w:val="000000" w:themeColor="text1"/>
          <w:sz w:val="22"/>
          <w:szCs w:val="22"/>
        </w:rPr>
      </w:pPr>
      <w:r>
        <w:rPr>
          <w:rFonts w:asciiTheme="minorHAnsi" w:hAnsiTheme="minorHAnsi"/>
          <w:color w:val="000000" w:themeColor="text1"/>
          <w:sz w:val="22"/>
          <w:szCs w:val="22"/>
        </w:rPr>
        <w:t>Although t</w:t>
      </w:r>
      <w:r w:rsidR="007634C0" w:rsidRPr="00BC365E">
        <w:rPr>
          <w:rFonts w:asciiTheme="minorHAnsi" w:hAnsiTheme="minorHAnsi"/>
          <w:color w:val="000000" w:themeColor="text1"/>
          <w:sz w:val="22"/>
          <w:szCs w:val="22"/>
        </w:rPr>
        <w:t xml:space="preserve">he ASE Low level showed the highest outcome in </w:t>
      </w:r>
      <w:r w:rsidRPr="00BC365E">
        <w:rPr>
          <w:rFonts w:asciiTheme="minorHAnsi" w:hAnsiTheme="minorHAnsi"/>
          <w:color w:val="000000" w:themeColor="text1"/>
          <w:sz w:val="22"/>
          <w:szCs w:val="22"/>
        </w:rPr>
        <w:t>6</w:t>
      </w:r>
      <w:r w:rsidR="007634C0" w:rsidRPr="00BC365E">
        <w:rPr>
          <w:rFonts w:asciiTheme="minorHAnsi" w:hAnsiTheme="minorHAnsi"/>
          <w:color w:val="000000" w:themeColor="text1"/>
          <w:sz w:val="22"/>
          <w:szCs w:val="22"/>
        </w:rPr>
        <w:t xml:space="preserve"> years</w:t>
      </w:r>
      <w:r>
        <w:rPr>
          <w:rFonts w:asciiTheme="minorHAnsi" w:hAnsiTheme="minorHAnsi"/>
          <w:color w:val="000000" w:themeColor="text1"/>
          <w:sz w:val="22"/>
          <w:szCs w:val="22"/>
        </w:rPr>
        <w:t>, overall s</w:t>
      </w:r>
      <w:r w:rsidRPr="00BC365E">
        <w:rPr>
          <w:rFonts w:asciiTheme="minorHAnsi" w:hAnsiTheme="minorHAnsi"/>
          <w:color w:val="000000" w:themeColor="text1"/>
          <w:sz w:val="22"/>
          <w:szCs w:val="22"/>
        </w:rPr>
        <w:t xml:space="preserve">tate targets were met in only three educational functioning levels. </w:t>
      </w:r>
      <w:r>
        <w:rPr>
          <w:rFonts w:asciiTheme="minorHAnsi" w:hAnsiTheme="minorHAnsi"/>
          <w:color w:val="000000" w:themeColor="text1"/>
          <w:sz w:val="22"/>
          <w:szCs w:val="22"/>
        </w:rPr>
        <w:t>P</w:t>
      </w:r>
      <w:r w:rsidR="007634C0" w:rsidRPr="00BC365E">
        <w:rPr>
          <w:rFonts w:asciiTheme="minorHAnsi" w:hAnsiTheme="minorHAnsi"/>
          <w:color w:val="000000" w:themeColor="text1"/>
          <w:sz w:val="22"/>
          <w:szCs w:val="22"/>
        </w:rPr>
        <w:t xml:space="preserve">erformance outcomes continue to fluctuate in </w:t>
      </w:r>
      <w:r w:rsidRPr="00BC365E">
        <w:rPr>
          <w:rFonts w:asciiTheme="minorHAnsi" w:hAnsiTheme="minorHAnsi"/>
          <w:color w:val="000000" w:themeColor="text1"/>
          <w:sz w:val="22"/>
          <w:szCs w:val="22"/>
        </w:rPr>
        <w:t>all</w:t>
      </w:r>
      <w:r w:rsidR="007634C0" w:rsidRPr="00BC365E">
        <w:rPr>
          <w:rFonts w:asciiTheme="minorHAnsi" w:hAnsiTheme="minorHAnsi"/>
          <w:color w:val="000000" w:themeColor="text1"/>
          <w:sz w:val="22"/>
          <w:szCs w:val="22"/>
        </w:rPr>
        <w:t xml:space="preserve"> educational functioning levels. </w:t>
      </w:r>
      <w:r w:rsidRPr="00BC365E">
        <w:rPr>
          <w:rFonts w:asciiTheme="minorHAnsi" w:hAnsiTheme="minorHAnsi"/>
          <w:color w:val="000000" w:themeColor="text1"/>
          <w:sz w:val="22"/>
          <w:szCs w:val="22"/>
        </w:rPr>
        <w:t>The overall</w:t>
      </w:r>
      <w:r w:rsidR="00ED03CA">
        <w:rPr>
          <w:rFonts w:asciiTheme="minorHAnsi" w:hAnsiTheme="minorHAnsi"/>
          <w:color w:val="000000" w:themeColor="text1"/>
          <w:sz w:val="22"/>
          <w:szCs w:val="22"/>
        </w:rPr>
        <w:t xml:space="preserve"> NRS Table 4 outcome of 40% is one</w:t>
      </w:r>
      <w:r w:rsidRPr="00BC365E">
        <w:rPr>
          <w:rFonts w:asciiTheme="minorHAnsi" w:hAnsiTheme="minorHAnsi"/>
          <w:color w:val="000000" w:themeColor="text1"/>
          <w:sz w:val="22"/>
          <w:szCs w:val="22"/>
        </w:rPr>
        <w:t xml:space="preserve"> percentage point lower</w:t>
      </w:r>
      <w:r w:rsidR="00745A0C">
        <w:rPr>
          <w:rFonts w:asciiTheme="minorHAnsi" w:hAnsiTheme="minorHAnsi"/>
          <w:color w:val="000000" w:themeColor="text1"/>
          <w:sz w:val="22"/>
          <w:szCs w:val="22"/>
        </w:rPr>
        <w:t xml:space="preserve"> than the previous year and </w:t>
      </w:r>
      <w:r w:rsidR="00ED03CA">
        <w:rPr>
          <w:rFonts w:asciiTheme="minorHAnsi" w:hAnsiTheme="minorHAnsi"/>
          <w:color w:val="000000" w:themeColor="text1"/>
          <w:sz w:val="22"/>
          <w:szCs w:val="22"/>
        </w:rPr>
        <w:t>1%</w:t>
      </w:r>
      <w:r w:rsidR="00745A0C">
        <w:rPr>
          <w:rFonts w:asciiTheme="minorHAnsi" w:hAnsiTheme="minorHAnsi"/>
          <w:color w:val="000000" w:themeColor="text1"/>
          <w:sz w:val="22"/>
          <w:szCs w:val="22"/>
        </w:rPr>
        <w:t xml:space="preserve"> below the approved target for the first year under WIOA. </w:t>
      </w:r>
    </w:p>
    <w:p w:rsidR="007634C0" w:rsidRPr="00BC365E" w:rsidRDefault="007634C0" w:rsidP="00C40B30">
      <w:pPr>
        <w:rPr>
          <w:rFonts w:asciiTheme="majorHAnsi" w:hAnsiTheme="majorHAnsi"/>
          <w:color w:val="000000" w:themeColor="text1"/>
          <w:sz w:val="22"/>
          <w:szCs w:val="22"/>
        </w:rPr>
      </w:pPr>
    </w:p>
    <w:p w:rsidR="007634C0" w:rsidRPr="00BC365E" w:rsidRDefault="007634C0" w:rsidP="00C40B30">
      <w:pPr>
        <w:ind w:left="450"/>
        <w:rPr>
          <w:rFonts w:asciiTheme="minorHAnsi" w:hAnsiTheme="minorHAnsi"/>
          <w:color w:val="000000" w:themeColor="text1"/>
          <w:sz w:val="22"/>
          <w:szCs w:val="22"/>
        </w:rPr>
      </w:pPr>
      <w:r w:rsidRPr="00BC365E">
        <w:rPr>
          <w:rFonts w:asciiTheme="minorHAnsi" w:hAnsiTheme="minorHAnsi"/>
          <w:color w:val="000000" w:themeColor="text1"/>
          <w:sz w:val="22"/>
          <w:szCs w:val="22"/>
        </w:rPr>
        <w:t xml:space="preserve">Four of the six ESL levels showed </w:t>
      </w:r>
      <w:r w:rsidR="00BC365E" w:rsidRPr="00BC365E">
        <w:rPr>
          <w:rFonts w:asciiTheme="minorHAnsi" w:hAnsiTheme="minorHAnsi"/>
          <w:color w:val="000000" w:themeColor="text1"/>
          <w:sz w:val="22"/>
          <w:szCs w:val="22"/>
        </w:rPr>
        <w:t>a decrease in learning gains</w:t>
      </w:r>
      <w:r w:rsidRPr="00BC365E">
        <w:rPr>
          <w:rFonts w:asciiTheme="minorHAnsi" w:hAnsiTheme="minorHAnsi"/>
          <w:color w:val="000000" w:themeColor="text1"/>
          <w:sz w:val="22"/>
          <w:szCs w:val="22"/>
        </w:rPr>
        <w:t xml:space="preserve"> over the previous year. </w:t>
      </w:r>
    </w:p>
    <w:p w:rsidR="007634C0" w:rsidRPr="00BC365E" w:rsidRDefault="007634C0" w:rsidP="00C40B30">
      <w:pPr>
        <w:rPr>
          <w:rFonts w:asciiTheme="minorHAnsi" w:hAnsiTheme="minorHAnsi"/>
          <w:color w:val="000000" w:themeColor="text1"/>
          <w:sz w:val="22"/>
          <w:szCs w:val="22"/>
        </w:rPr>
      </w:pPr>
    </w:p>
    <w:p w:rsidR="007634C0" w:rsidRPr="00A11F26" w:rsidRDefault="007634C0" w:rsidP="00C40B30">
      <w:pPr>
        <w:ind w:left="450"/>
        <w:rPr>
          <w:rFonts w:asciiTheme="minorHAnsi" w:hAnsiTheme="minorHAnsi"/>
          <w:color w:val="000000" w:themeColor="text1"/>
          <w:sz w:val="22"/>
          <w:szCs w:val="22"/>
        </w:rPr>
      </w:pPr>
      <w:r w:rsidRPr="00A11F26">
        <w:rPr>
          <w:rFonts w:asciiTheme="minorHAnsi" w:hAnsiTheme="minorHAnsi"/>
          <w:color w:val="000000" w:themeColor="text1"/>
          <w:sz w:val="22"/>
          <w:szCs w:val="22"/>
        </w:rPr>
        <w:t xml:space="preserve">While overall post-test retention was at an acceptable </w:t>
      </w:r>
      <w:r w:rsidR="00A11F26">
        <w:rPr>
          <w:rFonts w:asciiTheme="minorHAnsi" w:hAnsiTheme="minorHAnsi"/>
          <w:color w:val="000000" w:themeColor="text1"/>
          <w:sz w:val="22"/>
          <w:szCs w:val="22"/>
        </w:rPr>
        <w:t>65</w:t>
      </w:r>
      <w:r w:rsidRPr="00A11F26">
        <w:rPr>
          <w:rFonts w:asciiTheme="minorHAnsi" w:hAnsiTheme="minorHAnsi"/>
          <w:color w:val="000000" w:themeColor="text1"/>
          <w:sz w:val="22"/>
          <w:szCs w:val="22"/>
        </w:rPr>
        <w:t xml:space="preserve">%, there </w:t>
      </w:r>
      <w:r w:rsidR="003920B4">
        <w:rPr>
          <w:rFonts w:asciiTheme="minorHAnsi" w:hAnsiTheme="minorHAnsi"/>
          <w:color w:val="000000" w:themeColor="text1"/>
          <w:sz w:val="22"/>
          <w:szCs w:val="22"/>
        </w:rPr>
        <w:t>were</w:t>
      </w:r>
      <w:r w:rsidRPr="00A11F26">
        <w:rPr>
          <w:rFonts w:asciiTheme="minorHAnsi" w:hAnsiTheme="minorHAnsi"/>
          <w:color w:val="000000" w:themeColor="text1"/>
          <w:sz w:val="22"/>
          <w:szCs w:val="22"/>
        </w:rPr>
        <w:t xml:space="preserve"> wide fluctuation</w:t>
      </w:r>
      <w:r w:rsidR="003920B4">
        <w:rPr>
          <w:rFonts w:asciiTheme="minorHAnsi" w:hAnsiTheme="minorHAnsi"/>
          <w:color w:val="000000" w:themeColor="text1"/>
          <w:sz w:val="22"/>
          <w:szCs w:val="22"/>
        </w:rPr>
        <w:t>s</w:t>
      </w:r>
      <w:r w:rsidRPr="00A11F26">
        <w:rPr>
          <w:rFonts w:asciiTheme="minorHAnsi" w:hAnsiTheme="minorHAnsi"/>
          <w:color w:val="000000" w:themeColor="text1"/>
          <w:sz w:val="22"/>
          <w:szCs w:val="22"/>
        </w:rPr>
        <w:t xml:space="preserve"> at the local agencies</w:t>
      </w:r>
      <w:r w:rsidR="00A11F26">
        <w:rPr>
          <w:rFonts w:asciiTheme="minorHAnsi" w:hAnsiTheme="minorHAnsi"/>
          <w:color w:val="000000" w:themeColor="text1"/>
          <w:sz w:val="22"/>
          <w:szCs w:val="22"/>
        </w:rPr>
        <w:t xml:space="preserve"> and overall a 2% decline</w:t>
      </w:r>
      <w:r w:rsidR="003920B4">
        <w:rPr>
          <w:rFonts w:asciiTheme="minorHAnsi" w:hAnsiTheme="minorHAnsi"/>
          <w:color w:val="000000" w:themeColor="text1"/>
          <w:sz w:val="22"/>
          <w:szCs w:val="22"/>
        </w:rPr>
        <w:t xml:space="preserve"> from the previous year</w:t>
      </w:r>
      <w:r w:rsidRPr="00A11F26">
        <w:rPr>
          <w:rFonts w:asciiTheme="minorHAnsi" w:hAnsiTheme="minorHAnsi"/>
          <w:color w:val="000000" w:themeColor="text1"/>
          <w:sz w:val="22"/>
          <w:szCs w:val="22"/>
        </w:rPr>
        <w:t>. Technical assistance to address this issue has started and is ongoing.  Age, ethnicity and gender demographics remained relatively unchanged with 7</w:t>
      </w:r>
      <w:r w:rsidR="00A11F26" w:rsidRPr="00A11F26">
        <w:rPr>
          <w:rFonts w:asciiTheme="minorHAnsi" w:hAnsiTheme="minorHAnsi"/>
          <w:color w:val="000000" w:themeColor="text1"/>
          <w:sz w:val="22"/>
          <w:szCs w:val="22"/>
        </w:rPr>
        <w:t>0</w:t>
      </w:r>
      <w:r w:rsidRPr="00A11F26">
        <w:rPr>
          <w:rFonts w:asciiTheme="minorHAnsi" w:hAnsiTheme="minorHAnsi"/>
          <w:color w:val="000000" w:themeColor="text1"/>
          <w:sz w:val="22"/>
          <w:szCs w:val="22"/>
        </w:rPr>
        <w:t xml:space="preserve">% percent Hispanic, 56% in the 25-44 age bracket, and females outnumbering males </w:t>
      </w:r>
      <w:r w:rsidR="00A11F26" w:rsidRPr="00A11F26">
        <w:rPr>
          <w:rFonts w:asciiTheme="minorHAnsi" w:hAnsiTheme="minorHAnsi"/>
          <w:color w:val="000000" w:themeColor="text1"/>
          <w:sz w:val="22"/>
          <w:szCs w:val="22"/>
        </w:rPr>
        <w:t xml:space="preserve">by almost </w:t>
      </w:r>
      <w:r w:rsidRPr="00A11F26">
        <w:rPr>
          <w:rFonts w:asciiTheme="minorHAnsi" w:hAnsiTheme="minorHAnsi"/>
          <w:color w:val="000000" w:themeColor="text1"/>
          <w:sz w:val="22"/>
          <w:szCs w:val="22"/>
        </w:rPr>
        <w:t>3:2.</w:t>
      </w:r>
    </w:p>
    <w:p w:rsidR="007634C0" w:rsidRPr="00E14CA0" w:rsidRDefault="007634C0" w:rsidP="00C40B30">
      <w:pPr>
        <w:rPr>
          <w:rFonts w:asciiTheme="minorHAnsi" w:hAnsiTheme="minorHAnsi"/>
          <w:color w:val="000000" w:themeColor="text1"/>
          <w:sz w:val="22"/>
          <w:szCs w:val="22"/>
          <w:highlight w:val="yellow"/>
        </w:rPr>
      </w:pPr>
    </w:p>
    <w:p w:rsidR="007634C0" w:rsidRDefault="00A11F26" w:rsidP="00C40B30">
      <w:pPr>
        <w:ind w:left="450"/>
        <w:rPr>
          <w:rFonts w:asciiTheme="minorHAnsi" w:hAnsiTheme="minorHAnsi"/>
          <w:color w:val="000000" w:themeColor="text1"/>
          <w:sz w:val="22"/>
          <w:szCs w:val="22"/>
        </w:rPr>
      </w:pPr>
      <w:r w:rsidRPr="00A11F26">
        <w:rPr>
          <w:rFonts w:asciiTheme="minorHAnsi" w:hAnsiTheme="minorHAnsi"/>
          <w:color w:val="000000" w:themeColor="text1"/>
          <w:sz w:val="22"/>
          <w:szCs w:val="22"/>
        </w:rPr>
        <w:t>T</w:t>
      </w:r>
      <w:r w:rsidR="007634C0" w:rsidRPr="00A11F26">
        <w:rPr>
          <w:rFonts w:asciiTheme="minorHAnsi" w:hAnsiTheme="minorHAnsi"/>
          <w:color w:val="000000" w:themeColor="text1"/>
          <w:sz w:val="22"/>
          <w:szCs w:val="22"/>
        </w:rPr>
        <w:t xml:space="preserve">he Entered Employment category </w:t>
      </w:r>
      <w:r w:rsidRPr="00A11F26">
        <w:rPr>
          <w:rFonts w:asciiTheme="minorHAnsi" w:hAnsiTheme="minorHAnsi"/>
          <w:color w:val="000000" w:themeColor="text1"/>
          <w:sz w:val="22"/>
          <w:szCs w:val="22"/>
        </w:rPr>
        <w:t>has remained stable, showing only a 1% increase over the previous year, while the Retained Employment cohort showed an increase of almost 3% at 77</w:t>
      </w:r>
      <w:r w:rsidR="007634C0" w:rsidRPr="00A11F26">
        <w:rPr>
          <w:rFonts w:asciiTheme="minorHAnsi" w:hAnsiTheme="minorHAnsi"/>
          <w:color w:val="000000" w:themeColor="text1"/>
          <w:sz w:val="22"/>
          <w:szCs w:val="22"/>
        </w:rPr>
        <w:t>%.  We expect continuing fluctuations as the labor market rebounds and WIOA program enrollments shift to participants with barriers to employment.</w:t>
      </w:r>
    </w:p>
    <w:p w:rsidR="00E3682D" w:rsidRDefault="00E3682D" w:rsidP="00C40B30">
      <w:pPr>
        <w:ind w:left="450"/>
        <w:rPr>
          <w:rFonts w:asciiTheme="minorHAnsi" w:hAnsiTheme="minorHAnsi"/>
          <w:color w:val="000000" w:themeColor="text1"/>
          <w:sz w:val="22"/>
          <w:szCs w:val="22"/>
        </w:rPr>
      </w:pPr>
    </w:p>
    <w:p w:rsidR="00E3682D" w:rsidRPr="00A11F26" w:rsidRDefault="00E3682D" w:rsidP="00C40B30">
      <w:pPr>
        <w:ind w:left="450"/>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The number of participants achieving high school equivalency through </w:t>
      </w:r>
      <w:r w:rsidR="00CD2369">
        <w:rPr>
          <w:rFonts w:asciiTheme="minorHAnsi" w:hAnsiTheme="minorHAnsi"/>
          <w:color w:val="000000" w:themeColor="text1"/>
          <w:sz w:val="22"/>
          <w:szCs w:val="22"/>
        </w:rPr>
        <w:t xml:space="preserve">the </w:t>
      </w:r>
      <w:r>
        <w:rPr>
          <w:rFonts w:asciiTheme="minorHAnsi" w:hAnsiTheme="minorHAnsi"/>
          <w:color w:val="000000" w:themeColor="text1"/>
          <w:sz w:val="22"/>
          <w:szCs w:val="22"/>
        </w:rPr>
        <w:t>GED, TASC, or HiS</w:t>
      </w:r>
      <w:r w:rsidR="00ED03CA">
        <w:rPr>
          <w:rFonts w:asciiTheme="minorHAnsi" w:hAnsiTheme="minorHAnsi"/>
          <w:color w:val="000000" w:themeColor="text1"/>
          <w:sz w:val="22"/>
          <w:szCs w:val="22"/>
        </w:rPr>
        <w:t>ET</w:t>
      </w:r>
      <w:r>
        <w:rPr>
          <w:rFonts w:asciiTheme="minorHAnsi" w:hAnsiTheme="minorHAnsi"/>
          <w:color w:val="000000" w:themeColor="text1"/>
          <w:sz w:val="22"/>
          <w:szCs w:val="22"/>
        </w:rPr>
        <w:t xml:space="preserve"> </w:t>
      </w:r>
      <w:r w:rsidR="00CD2369">
        <w:rPr>
          <w:rFonts w:asciiTheme="minorHAnsi" w:hAnsiTheme="minorHAnsi"/>
          <w:color w:val="000000" w:themeColor="text1"/>
          <w:sz w:val="22"/>
          <w:szCs w:val="22"/>
        </w:rPr>
        <w:t xml:space="preserve">assessments </w:t>
      </w:r>
      <w:r>
        <w:rPr>
          <w:rFonts w:asciiTheme="minorHAnsi" w:hAnsiTheme="minorHAnsi"/>
          <w:color w:val="000000" w:themeColor="text1"/>
          <w:sz w:val="22"/>
          <w:szCs w:val="22"/>
        </w:rPr>
        <w:t xml:space="preserve">increased by over 13% from the previous year, at 491 for 2015-16 and 433 for 2014-15. </w:t>
      </w:r>
    </w:p>
    <w:p w:rsidR="007634C0" w:rsidRPr="00E14CA0" w:rsidRDefault="007634C0" w:rsidP="00C40B30">
      <w:pPr>
        <w:rPr>
          <w:rFonts w:asciiTheme="minorHAnsi" w:hAnsiTheme="minorHAnsi"/>
          <w:color w:val="000000" w:themeColor="text1"/>
          <w:sz w:val="22"/>
          <w:szCs w:val="22"/>
          <w:highlight w:val="yellow"/>
        </w:rPr>
      </w:pPr>
    </w:p>
    <w:p w:rsidR="007634C0" w:rsidRPr="00E14CA0" w:rsidRDefault="00E814DB" w:rsidP="00C40B30">
      <w:pPr>
        <w:ind w:left="450"/>
        <w:rPr>
          <w:rFonts w:asciiTheme="minorHAnsi" w:hAnsiTheme="minorHAnsi"/>
          <w:color w:val="000000" w:themeColor="text1"/>
          <w:sz w:val="22"/>
          <w:szCs w:val="22"/>
        </w:rPr>
      </w:pPr>
      <w:r w:rsidRPr="00E814DB">
        <w:rPr>
          <w:rFonts w:asciiTheme="minorHAnsi" w:hAnsiTheme="minorHAnsi"/>
          <w:color w:val="000000" w:themeColor="text1"/>
          <w:sz w:val="22"/>
          <w:szCs w:val="22"/>
        </w:rPr>
        <w:t>Because m</w:t>
      </w:r>
      <w:r w:rsidR="007634C0" w:rsidRPr="00E814DB">
        <w:rPr>
          <w:rFonts w:asciiTheme="minorHAnsi" w:hAnsiTheme="minorHAnsi"/>
          <w:color w:val="000000" w:themeColor="text1"/>
          <w:sz w:val="22"/>
          <w:szCs w:val="22"/>
        </w:rPr>
        <w:t>ost of Nevada’s adult education students are English Language Learners and many are immigrants that come with secondary diplomas and degrees from their home countries</w:t>
      </w:r>
      <w:r w:rsidR="00ED03CA">
        <w:rPr>
          <w:rFonts w:asciiTheme="minorHAnsi" w:hAnsiTheme="minorHAnsi"/>
          <w:color w:val="000000" w:themeColor="text1"/>
          <w:sz w:val="22"/>
          <w:szCs w:val="22"/>
        </w:rPr>
        <w:t>,</w:t>
      </w:r>
      <w:r w:rsidR="007634C0" w:rsidRPr="00E814DB">
        <w:rPr>
          <w:rFonts w:asciiTheme="minorHAnsi" w:hAnsiTheme="minorHAnsi"/>
          <w:color w:val="000000" w:themeColor="text1"/>
          <w:sz w:val="22"/>
          <w:szCs w:val="22"/>
        </w:rPr>
        <w:t xml:space="preserve"> </w:t>
      </w:r>
      <w:r w:rsidRPr="00E814DB">
        <w:rPr>
          <w:rFonts w:asciiTheme="minorHAnsi" w:hAnsiTheme="minorHAnsi"/>
          <w:color w:val="000000" w:themeColor="text1"/>
          <w:sz w:val="22"/>
          <w:szCs w:val="22"/>
        </w:rPr>
        <w:t>the Entered Postsecondary Education or Training outcome</w:t>
      </w:r>
      <w:r>
        <w:rPr>
          <w:rFonts w:asciiTheme="minorHAnsi" w:hAnsiTheme="minorHAnsi"/>
          <w:color w:val="000000" w:themeColor="text1"/>
          <w:sz w:val="22"/>
          <w:szCs w:val="22"/>
        </w:rPr>
        <w:t xml:space="preserve"> percentage</w:t>
      </w:r>
      <w:r w:rsidRPr="00E814DB">
        <w:rPr>
          <w:rFonts w:asciiTheme="minorHAnsi" w:hAnsiTheme="minorHAnsi"/>
          <w:color w:val="000000" w:themeColor="text1"/>
          <w:sz w:val="22"/>
          <w:szCs w:val="22"/>
        </w:rPr>
        <w:t xml:space="preserve"> continues to be extremely low at just </w:t>
      </w:r>
      <w:r w:rsidR="0098547D">
        <w:rPr>
          <w:rFonts w:asciiTheme="minorHAnsi" w:hAnsiTheme="minorHAnsi"/>
          <w:color w:val="000000" w:themeColor="text1"/>
          <w:sz w:val="22"/>
          <w:szCs w:val="22"/>
        </w:rPr>
        <w:t>under</w:t>
      </w:r>
      <w:r w:rsidRPr="00E814DB">
        <w:rPr>
          <w:rFonts w:asciiTheme="minorHAnsi" w:hAnsiTheme="minorHAnsi"/>
          <w:color w:val="000000" w:themeColor="text1"/>
          <w:sz w:val="22"/>
          <w:szCs w:val="22"/>
        </w:rPr>
        <w:t xml:space="preserve"> </w:t>
      </w:r>
      <w:r w:rsidR="0098547D">
        <w:rPr>
          <w:rFonts w:asciiTheme="minorHAnsi" w:hAnsiTheme="minorHAnsi"/>
          <w:color w:val="000000" w:themeColor="text1"/>
          <w:sz w:val="22"/>
          <w:szCs w:val="22"/>
        </w:rPr>
        <w:t>6</w:t>
      </w:r>
      <w:r w:rsidRPr="00E814DB">
        <w:rPr>
          <w:rFonts w:asciiTheme="minorHAnsi" w:hAnsiTheme="minorHAnsi"/>
          <w:color w:val="000000" w:themeColor="text1"/>
          <w:sz w:val="22"/>
          <w:szCs w:val="22"/>
        </w:rPr>
        <w:t>%</w:t>
      </w:r>
      <w:r w:rsidR="007634C0" w:rsidRPr="00E814DB">
        <w:rPr>
          <w:rFonts w:asciiTheme="minorHAnsi" w:hAnsiTheme="minorHAnsi"/>
          <w:color w:val="000000" w:themeColor="text1"/>
          <w:sz w:val="22"/>
          <w:szCs w:val="22"/>
        </w:rPr>
        <w:t xml:space="preserve">.  Overall, </w:t>
      </w:r>
      <w:r w:rsidR="0098547D">
        <w:rPr>
          <w:rFonts w:asciiTheme="minorHAnsi" w:hAnsiTheme="minorHAnsi"/>
          <w:color w:val="000000" w:themeColor="text1"/>
          <w:sz w:val="22"/>
          <w:szCs w:val="22"/>
        </w:rPr>
        <w:t>254</w:t>
      </w:r>
      <w:r w:rsidR="007634C0" w:rsidRPr="00E814DB">
        <w:rPr>
          <w:rFonts w:asciiTheme="minorHAnsi" w:hAnsiTheme="minorHAnsi"/>
          <w:color w:val="000000" w:themeColor="text1"/>
          <w:sz w:val="22"/>
          <w:szCs w:val="22"/>
        </w:rPr>
        <w:t xml:space="preserve"> learners did enter postsecondary education or training</w:t>
      </w:r>
      <w:r w:rsidRPr="00E814DB">
        <w:rPr>
          <w:rFonts w:asciiTheme="minorHAnsi" w:hAnsiTheme="minorHAnsi"/>
          <w:color w:val="000000" w:themeColor="text1"/>
          <w:sz w:val="22"/>
          <w:szCs w:val="22"/>
        </w:rPr>
        <w:t xml:space="preserve"> for the last program year, </w:t>
      </w:r>
      <w:r>
        <w:rPr>
          <w:rFonts w:asciiTheme="minorHAnsi" w:hAnsiTheme="minorHAnsi"/>
          <w:color w:val="000000" w:themeColor="text1"/>
          <w:sz w:val="22"/>
          <w:szCs w:val="22"/>
        </w:rPr>
        <w:t xml:space="preserve">and </w:t>
      </w:r>
      <w:r w:rsidRPr="00E814DB">
        <w:rPr>
          <w:rFonts w:asciiTheme="minorHAnsi" w:hAnsiTheme="minorHAnsi"/>
          <w:color w:val="000000" w:themeColor="text1"/>
          <w:sz w:val="22"/>
          <w:szCs w:val="22"/>
        </w:rPr>
        <w:t xml:space="preserve">an additional </w:t>
      </w:r>
      <w:r w:rsidR="0098547D">
        <w:rPr>
          <w:rFonts w:asciiTheme="minorHAnsi" w:hAnsiTheme="minorHAnsi"/>
          <w:color w:val="000000" w:themeColor="text1"/>
          <w:sz w:val="22"/>
          <w:szCs w:val="22"/>
        </w:rPr>
        <w:t>116</w:t>
      </w:r>
      <w:r>
        <w:rPr>
          <w:rFonts w:asciiTheme="minorHAnsi" w:hAnsiTheme="minorHAnsi"/>
          <w:color w:val="000000" w:themeColor="text1"/>
          <w:sz w:val="22"/>
          <w:szCs w:val="22"/>
        </w:rPr>
        <w:t xml:space="preserve"> from the previous program year entered postsecondary education or training within a year following exit</w:t>
      </w:r>
      <w:r w:rsidR="007634C0" w:rsidRPr="00E814DB">
        <w:rPr>
          <w:rFonts w:asciiTheme="minorHAnsi" w:hAnsiTheme="minorHAnsi"/>
          <w:color w:val="000000" w:themeColor="text1"/>
          <w:sz w:val="22"/>
          <w:szCs w:val="22"/>
        </w:rPr>
        <w:t>.</w:t>
      </w:r>
      <w:r w:rsidR="007634C0" w:rsidRPr="00E14CA0">
        <w:rPr>
          <w:rFonts w:asciiTheme="minorHAnsi" w:hAnsiTheme="minorHAnsi"/>
          <w:color w:val="000000" w:themeColor="text1"/>
          <w:sz w:val="22"/>
          <w:szCs w:val="22"/>
        </w:rPr>
        <w:t xml:space="preserve"> </w:t>
      </w:r>
    </w:p>
    <w:p w:rsidR="007634C0" w:rsidRPr="00E14CA0" w:rsidRDefault="007634C0" w:rsidP="00C40B30">
      <w:pPr>
        <w:rPr>
          <w:rFonts w:asciiTheme="minorHAnsi" w:hAnsiTheme="minorHAnsi"/>
          <w:color w:val="000000" w:themeColor="text1"/>
          <w:sz w:val="22"/>
          <w:szCs w:val="22"/>
        </w:rPr>
      </w:pPr>
    </w:p>
    <w:p w:rsidR="00796FE2" w:rsidRDefault="00796FE2" w:rsidP="00C40B30">
      <w:pPr>
        <w:ind w:left="450"/>
        <w:rPr>
          <w:rFonts w:asciiTheme="minorHAnsi" w:hAnsiTheme="minorHAnsi"/>
          <w:sz w:val="22"/>
        </w:rPr>
      </w:pPr>
    </w:p>
    <w:p w:rsidR="00242F00" w:rsidRPr="00BF29AE" w:rsidRDefault="00242F00" w:rsidP="00A50CD1">
      <w:pPr>
        <w:rPr>
          <w:rFonts w:asciiTheme="minorHAnsi" w:hAnsiTheme="minorHAnsi"/>
          <w:i/>
          <w:sz w:val="22"/>
        </w:rPr>
      </w:pPr>
      <w:r w:rsidRPr="00242F00">
        <w:rPr>
          <w:rFonts w:asciiTheme="minorHAnsi" w:hAnsiTheme="minorHAnsi"/>
          <w:b/>
          <w:bCs/>
          <w:sz w:val="22"/>
        </w:rPr>
        <w:t>3. I</w:t>
      </w:r>
      <w:r w:rsidR="00ED03CA">
        <w:rPr>
          <w:rFonts w:asciiTheme="minorHAnsi" w:hAnsiTheme="minorHAnsi"/>
          <w:b/>
          <w:bCs/>
          <w:sz w:val="22"/>
        </w:rPr>
        <w:t>ntegration with One-S</w:t>
      </w:r>
      <w:r w:rsidRPr="00242F00">
        <w:rPr>
          <w:rFonts w:asciiTheme="minorHAnsi" w:hAnsiTheme="minorHAnsi"/>
          <w:b/>
          <w:bCs/>
          <w:sz w:val="22"/>
        </w:rPr>
        <w:t>top Partners</w:t>
      </w:r>
      <w:r w:rsidR="00A50CD1">
        <w:rPr>
          <w:rFonts w:asciiTheme="minorHAnsi" w:hAnsiTheme="minorHAnsi"/>
          <w:b/>
          <w:bCs/>
          <w:sz w:val="22"/>
        </w:rPr>
        <w:t xml:space="preserve"> </w:t>
      </w:r>
      <w:r w:rsidR="00ED03CA">
        <w:rPr>
          <w:rFonts w:asciiTheme="minorHAnsi" w:hAnsiTheme="minorHAnsi"/>
          <w:b/>
          <w:bCs/>
          <w:sz w:val="22"/>
        </w:rPr>
        <w:t xml:space="preserve"> </w:t>
      </w:r>
      <w:r w:rsidRPr="00BF29AE">
        <w:rPr>
          <w:rFonts w:asciiTheme="minorHAnsi" w:hAnsiTheme="minorHAnsi"/>
          <w:i/>
          <w:sz w:val="22"/>
        </w:rPr>
        <w:t>Describe how the State eligible agency, as the entity responsible for meeting one-stop</w:t>
      </w:r>
      <w:r w:rsidR="00796FE2" w:rsidRPr="00BF29AE">
        <w:rPr>
          <w:rFonts w:asciiTheme="minorHAnsi" w:hAnsiTheme="minorHAnsi"/>
          <w:i/>
          <w:sz w:val="22"/>
        </w:rPr>
        <w:t xml:space="preserve"> </w:t>
      </w:r>
      <w:r w:rsidRPr="00BF29AE">
        <w:rPr>
          <w:rFonts w:asciiTheme="minorHAnsi" w:hAnsiTheme="minorHAnsi"/>
          <w:i/>
          <w:sz w:val="22"/>
        </w:rPr>
        <w:t>requirements under 34 CFR part 463, subpart J, carries out or delegates its required one-stop</w:t>
      </w:r>
      <w:r w:rsidR="00796FE2" w:rsidRPr="00BF29AE">
        <w:rPr>
          <w:rFonts w:asciiTheme="minorHAnsi" w:hAnsiTheme="minorHAnsi"/>
          <w:i/>
          <w:sz w:val="22"/>
        </w:rPr>
        <w:t xml:space="preserve"> </w:t>
      </w:r>
      <w:r w:rsidRPr="00BF29AE">
        <w:rPr>
          <w:rFonts w:asciiTheme="minorHAnsi" w:hAnsiTheme="minorHAnsi"/>
          <w:i/>
          <w:sz w:val="22"/>
        </w:rPr>
        <w:t>roles to eligible providers. Describe the applicable career services that are provided in the one</w:t>
      </w:r>
      <w:r w:rsidR="00796FE2" w:rsidRPr="00BF29AE">
        <w:rPr>
          <w:rFonts w:asciiTheme="minorHAnsi" w:hAnsiTheme="minorHAnsi"/>
          <w:i/>
          <w:sz w:val="22"/>
        </w:rPr>
        <w:t>-</w:t>
      </w:r>
      <w:r w:rsidRPr="00BF29AE">
        <w:rPr>
          <w:rFonts w:asciiTheme="minorHAnsi" w:hAnsiTheme="minorHAnsi"/>
          <w:i/>
          <w:sz w:val="22"/>
        </w:rPr>
        <w:t>stop</w:t>
      </w:r>
      <w:r w:rsidR="00796FE2" w:rsidRPr="00BF29AE">
        <w:rPr>
          <w:rFonts w:asciiTheme="minorHAnsi" w:hAnsiTheme="minorHAnsi"/>
          <w:i/>
          <w:sz w:val="22"/>
        </w:rPr>
        <w:t xml:space="preserve"> </w:t>
      </w:r>
      <w:r w:rsidRPr="00BF29AE">
        <w:rPr>
          <w:rFonts w:asciiTheme="minorHAnsi" w:hAnsiTheme="minorHAnsi"/>
          <w:i/>
          <w:sz w:val="22"/>
        </w:rPr>
        <w:t>system. Describe how infrastructure costs are supported through State and local options.</w:t>
      </w:r>
    </w:p>
    <w:p w:rsidR="007634C0" w:rsidRDefault="007634C0" w:rsidP="00C40B30">
      <w:pPr>
        <w:ind w:left="450"/>
        <w:rPr>
          <w:rFonts w:asciiTheme="minorHAnsi" w:hAnsiTheme="minorHAnsi"/>
          <w:sz w:val="22"/>
        </w:rPr>
      </w:pPr>
    </w:p>
    <w:p w:rsidR="007634C0" w:rsidRPr="00283FD8" w:rsidRDefault="00750026" w:rsidP="00C40B30">
      <w:pPr>
        <w:ind w:left="450"/>
        <w:rPr>
          <w:rFonts w:asciiTheme="minorHAnsi" w:hAnsiTheme="minorHAnsi"/>
          <w:sz w:val="24"/>
        </w:rPr>
      </w:pPr>
      <w:r>
        <w:rPr>
          <w:rFonts w:asciiTheme="minorHAnsi" w:hAnsiTheme="minorHAnsi"/>
          <w:sz w:val="22"/>
        </w:rPr>
        <w:t>The State will delegate it</w:t>
      </w:r>
      <w:r w:rsidR="00603D0A">
        <w:rPr>
          <w:rFonts w:asciiTheme="minorHAnsi" w:hAnsiTheme="minorHAnsi"/>
          <w:sz w:val="22"/>
        </w:rPr>
        <w:t>s</w:t>
      </w:r>
      <w:r>
        <w:rPr>
          <w:rFonts w:asciiTheme="minorHAnsi" w:hAnsiTheme="minorHAnsi"/>
          <w:sz w:val="22"/>
        </w:rPr>
        <w:t xml:space="preserve"> required one-sto</w:t>
      </w:r>
      <w:r w:rsidR="00283FD8">
        <w:rPr>
          <w:rFonts w:asciiTheme="minorHAnsi" w:hAnsiTheme="minorHAnsi"/>
          <w:sz w:val="22"/>
        </w:rPr>
        <w:t xml:space="preserve">p role to eligible providers. Eligible providers will serve co-enrolled participants, with an emphasis on serving individuals with barriers to employment. </w:t>
      </w:r>
      <w:r w:rsidR="00283FD8">
        <w:t xml:space="preserve"> </w:t>
      </w:r>
      <w:r w:rsidR="00283FD8" w:rsidRPr="00283FD8">
        <w:rPr>
          <w:rFonts w:asciiTheme="minorHAnsi" w:hAnsiTheme="minorHAnsi"/>
          <w:sz w:val="22"/>
        </w:rPr>
        <w:t xml:space="preserve">There is significant overlap and crossover between the clientele of </w:t>
      </w:r>
      <w:r w:rsidR="00283FD8">
        <w:rPr>
          <w:rFonts w:asciiTheme="minorHAnsi" w:hAnsiTheme="minorHAnsi"/>
          <w:sz w:val="22"/>
        </w:rPr>
        <w:t xml:space="preserve">the </w:t>
      </w:r>
      <w:r w:rsidR="00283FD8" w:rsidRPr="00283FD8">
        <w:rPr>
          <w:rFonts w:asciiTheme="minorHAnsi" w:hAnsiTheme="minorHAnsi"/>
          <w:sz w:val="22"/>
        </w:rPr>
        <w:t>D</w:t>
      </w:r>
      <w:r w:rsidR="00283FD8">
        <w:rPr>
          <w:rFonts w:asciiTheme="minorHAnsi" w:hAnsiTheme="minorHAnsi"/>
          <w:sz w:val="22"/>
        </w:rPr>
        <w:t xml:space="preserve">ivision of Nevada </w:t>
      </w:r>
      <w:r w:rsidR="00283FD8" w:rsidRPr="00283FD8">
        <w:rPr>
          <w:rFonts w:asciiTheme="minorHAnsi" w:hAnsiTheme="minorHAnsi"/>
          <w:sz w:val="22"/>
        </w:rPr>
        <w:t>W</w:t>
      </w:r>
      <w:r w:rsidR="00283FD8">
        <w:rPr>
          <w:rFonts w:asciiTheme="minorHAnsi" w:hAnsiTheme="minorHAnsi"/>
          <w:sz w:val="22"/>
        </w:rPr>
        <w:t xml:space="preserve">elfare and </w:t>
      </w:r>
      <w:r w:rsidR="00283FD8" w:rsidRPr="00283FD8">
        <w:rPr>
          <w:rFonts w:asciiTheme="minorHAnsi" w:hAnsiTheme="minorHAnsi"/>
          <w:sz w:val="22"/>
        </w:rPr>
        <w:t>S</w:t>
      </w:r>
      <w:r w:rsidR="00283FD8">
        <w:rPr>
          <w:rFonts w:asciiTheme="minorHAnsi" w:hAnsiTheme="minorHAnsi"/>
          <w:sz w:val="22"/>
        </w:rPr>
        <w:t xml:space="preserve">upportive </w:t>
      </w:r>
      <w:r w:rsidR="00283FD8" w:rsidRPr="00283FD8">
        <w:rPr>
          <w:rFonts w:asciiTheme="minorHAnsi" w:hAnsiTheme="minorHAnsi"/>
          <w:sz w:val="22"/>
        </w:rPr>
        <w:t>S</w:t>
      </w:r>
      <w:r w:rsidR="00283FD8">
        <w:rPr>
          <w:rFonts w:asciiTheme="minorHAnsi" w:hAnsiTheme="minorHAnsi"/>
          <w:sz w:val="22"/>
        </w:rPr>
        <w:t>ervices</w:t>
      </w:r>
      <w:r w:rsidR="00283FD8" w:rsidRPr="00283FD8">
        <w:rPr>
          <w:rFonts w:asciiTheme="minorHAnsi" w:hAnsiTheme="minorHAnsi"/>
          <w:sz w:val="22"/>
        </w:rPr>
        <w:t xml:space="preserve"> and the literacy, basic skills, and HSE preparation programs of Title II in Nevada. These services join in cross-training and participate in </w:t>
      </w:r>
      <w:r w:rsidR="00283FD8">
        <w:rPr>
          <w:rFonts w:asciiTheme="minorHAnsi" w:hAnsiTheme="minorHAnsi"/>
          <w:sz w:val="22"/>
        </w:rPr>
        <w:t>referrals</w:t>
      </w:r>
      <w:r w:rsidR="00283FD8" w:rsidRPr="00283FD8">
        <w:rPr>
          <w:rFonts w:asciiTheme="minorHAnsi" w:hAnsiTheme="minorHAnsi"/>
          <w:sz w:val="22"/>
        </w:rPr>
        <w:t xml:space="preserve"> between agencies and the one-stop and affiliate sites, therefore</w:t>
      </w:r>
      <w:r w:rsidR="00ED03CA">
        <w:rPr>
          <w:rFonts w:asciiTheme="minorHAnsi" w:hAnsiTheme="minorHAnsi"/>
          <w:sz w:val="22"/>
        </w:rPr>
        <w:t>,</w:t>
      </w:r>
      <w:r w:rsidR="00283FD8" w:rsidRPr="00283FD8">
        <w:rPr>
          <w:rFonts w:asciiTheme="minorHAnsi" w:hAnsiTheme="minorHAnsi"/>
          <w:sz w:val="22"/>
        </w:rPr>
        <w:t xml:space="preserve"> resources will be spent by Title II to share in one-stop infrastructure costs.</w:t>
      </w:r>
      <w:r w:rsidR="00283FD8">
        <w:rPr>
          <w:rFonts w:asciiTheme="minorHAnsi" w:hAnsiTheme="minorHAnsi"/>
          <w:sz w:val="22"/>
        </w:rPr>
        <w:t xml:space="preserve"> The exact method to share in one-stop infrastructure costs will be determined during the 2016-2017 program year for implementation during the 2017-2018 program year. </w:t>
      </w:r>
    </w:p>
    <w:p w:rsidR="00796FE2" w:rsidRDefault="00796FE2" w:rsidP="00C40B30">
      <w:pPr>
        <w:rPr>
          <w:rFonts w:asciiTheme="minorHAnsi" w:hAnsiTheme="minorHAnsi"/>
          <w:sz w:val="22"/>
        </w:rPr>
      </w:pPr>
    </w:p>
    <w:p w:rsidR="00242F00" w:rsidRPr="00242F00" w:rsidRDefault="00242F00" w:rsidP="00C40B30">
      <w:pPr>
        <w:rPr>
          <w:rFonts w:asciiTheme="minorHAnsi" w:hAnsiTheme="minorHAnsi"/>
          <w:sz w:val="22"/>
        </w:rPr>
      </w:pPr>
      <w:r w:rsidRPr="00242F00">
        <w:rPr>
          <w:rFonts w:asciiTheme="minorHAnsi" w:hAnsiTheme="minorHAnsi"/>
          <w:b/>
          <w:bCs/>
          <w:sz w:val="22"/>
        </w:rPr>
        <w:t xml:space="preserve">4. Integrated English Literacy and Civics Education (IELCE) Program </w:t>
      </w:r>
      <w:r w:rsidRPr="00242F00">
        <w:rPr>
          <w:rFonts w:asciiTheme="minorHAnsi" w:hAnsiTheme="minorHAnsi"/>
          <w:sz w:val="22"/>
        </w:rPr>
        <w:t>(AEFLA Section</w:t>
      </w:r>
      <w:r w:rsidR="00796FE2">
        <w:rPr>
          <w:rFonts w:asciiTheme="minorHAnsi" w:hAnsiTheme="minorHAnsi"/>
          <w:sz w:val="22"/>
        </w:rPr>
        <w:t xml:space="preserve"> </w:t>
      </w:r>
      <w:r w:rsidRPr="00242F00">
        <w:rPr>
          <w:rFonts w:asciiTheme="minorHAnsi" w:hAnsiTheme="minorHAnsi"/>
          <w:sz w:val="22"/>
        </w:rPr>
        <w:t>243)</w:t>
      </w:r>
    </w:p>
    <w:p w:rsidR="00242F00" w:rsidRPr="00BF29AE" w:rsidRDefault="00242F00" w:rsidP="00C40B30">
      <w:pPr>
        <w:rPr>
          <w:rFonts w:asciiTheme="minorHAnsi" w:hAnsiTheme="minorHAnsi"/>
          <w:i/>
          <w:sz w:val="22"/>
        </w:rPr>
      </w:pPr>
      <w:r w:rsidRPr="00BF29AE">
        <w:rPr>
          <w:rFonts w:asciiTheme="minorHAnsi" w:hAnsiTheme="minorHAnsi"/>
          <w:i/>
          <w:sz w:val="22"/>
        </w:rPr>
        <w:t>Describe how the state is using funds under Section 243 to support the following activities</w:t>
      </w:r>
      <w:r w:rsidR="00796FE2" w:rsidRPr="00BF29AE">
        <w:rPr>
          <w:rFonts w:asciiTheme="minorHAnsi" w:hAnsiTheme="minorHAnsi"/>
          <w:i/>
          <w:sz w:val="22"/>
        </w:rPr>
        <w:t xml:space="preserve"> </w:t>
      </w:r>
      <w:r w:rsidRPr="00BF29AE">
        <w:rPr>
          <w:rFonts w:asciiTheme="minorHAnsi" w:hAnsiTheme="minorHAnsi"/>
          <w:i/>
          <w:sz w:val="22"/>
        </w:rPr>
        <w:t>under the IELCE program:</w:t>
      </w:r>
    </w:p>
    <w:p w:rsidR="00283FD8" w:rsidRDefault="00283FD8" w:rsidP="00C40B30">
      <w:pPr>
        <w:rPr>
          <w:rFonts w:asciiTheme="minorHAnsi" w:hAnsiTheme="minorHAnsi"/>
          <w:sz w:val="22"/>
        </w:rPr>
      </w:pPr>
    </w:p>
    <w:p w:rsidR="00283FD8" w:rsidRPr="00E14CA0" w:rsidRDefault="00283FD8" w:rsidP="00C40B30">
      <w:pPr>
        <w:autoSpaceDE w:val="0"/>
        <w:autoSpaceDN w:val="0"/>
        <w:adjustRightInd w:val="0"/>
        <w:ind w:left="450"/>
        <w:rPr>
          <w:rFonts w:asciiTheme="minorHAnsi" w:hAnsiTheme="minorHAnsi" w:cs="Tahoma"/>
          <w:color w:val="000000"/>
          <w:sz w:val="22"/>
          <w:szCs w:val="22"/>
        </w:rPr>
      </w:pPr>
      <w:r w:rsidRPr="00E14CA0">
        <w:rPr>
          <w:rFonts w:asciiTheme="minorHAnsi" w:hAnsiTheme="minorHAnsi" w:cs="Tahoma"/>
          <w:color w:val="000000"/>
          <w:sz w:val="22"/>
          <w:szCs w:val="22"/>
        </w:rPr>
        <w:t>During the program year 201</w:t>
      </w:r>
      <w:r>
        <w:rPr>
          <w:rFonts w:asciiTheme="minorHAnsi" w:hAnsiTheme="minorHAnsi" w:cs="Tahoma"/>
          <w:color w:val="000000"/>
          <w:sz w:val="22"/>
          <w:szCs w:val="22"/>
        </w:rPr>
        <w:t>5</w:t>
      </w:r>
      <w:r w:rsidRPr="00E14CA0">
        <w:rPr>
          <w:rFonts w:asciiTheme="minorHAnsi" w:hAnsiTheme="minorHAnsi" w:cs="Tahoma"/>
          <w:color w:val="000000"/>
          <w:sz w:val="22"/>
          <w:szCs w:val="22"/>
        </w:rPr>
        <w:t>-201</w:t>
      </w:r>
      <w:r>
        <w:rPr>
          <w:rFonts w:asciiTheme="minorHAnsi" w:hAnsiTheme="minorHAnsi" w:cs="Tahoma"/>
          <w:color w:val="000000"/>
          <w:sz w:val="22"/>
          <w:szCs w:val="22"/>
        </w:rPr>
        <w:t>6</w:t>
      </w:r>
      <w:r w:rsidRPr="00E14CA0">
        <w:rPr>
          <w:rFonts w:asciiTheme="minorHAnsi" w:hAnsiTheme="minorHAnsi" w:cs="Tahoma"/>
          <w:color w:val="000000"/>
          <w:sz w:val="22"/>
          <w:szCs w:val="22"/>
        </w:rPr>
        <w:t xml:space="preserve">, </w:t>
      </w:r>
      <w:r w:rsidR="003920B4">
        <w:rPr>
          <w:rFonts w:asciiTheme="minorHAnsi" w:hAnsiTheme="minorHAnsi" w:cs="Tahoma"/>
          <w:color w:val="000000"/>
          <w:sz w:val="22"/>
          <w:szCs w:val="22"/>
        </w:rPr>
        <w:t>1,723</w:t>
      </w:r>
      <w:r w:rsidRPr="00E14CA0">
        <w:rPr>
          <w:rFonts w:asciiTheme="minorHAnsi" w:hAnsiTheme="minorHAnsi" w:cs="Tahoma"/>
          <w:color w:val="000000"/>
          <w:sz w:val="22"/>
          <w:szCs w:val="22"/>
        </w:rPr>
        <w:t xml:space="preserve"> students were served with EL/Civics funds in Nevada. </w:t>
      </w:r>
      <w:r w:rsidR="00190AF3">
        <w:rPr>
          <w:rFonts w:asciiTheme="minorHAnsi" w:hAnsiTheme="minorHAnsi" w:cs="Tahoma"/>
          <w:color w:val="000000"/>
          <w:sz w:val="22"/>
          <w:szCs w:val="22"/>
        </w:rPr>
        <w:t xml:space="preserve">The number of students served with EL/Civics funds </w:t>
      </w:r>
      <w:r w:rsidR="00A50CD1">
        <w:rPr>
          <w:rFonts w:asciiTheme="minorHAnsi" w:hAnsiTheme="minorHAnsi" w:cs="Tahoma"/>
          <w:color w:val="000000"/>
          <w:sz w:val="22"/>
          <w:szCs w:val="22"/>
        </w:rPr>
        <w:t xml:space="preserve">decreased by over 14% from the </w:t>
      </w:r>
      <w:r w:rsidR="00190AF3">
        <w:rPr>
          <w:rFonts w:asciiTheme="minorHAnsi" w:hAnsiTheme="minorHAnsi" w:cs="Tahoma"/>
          <w:color w:val="000000"/>
          <w:sz w:val="22"/>
          <w:szCs w:val="22"/>
        </w:rPr>
        <w:t xml:space="preserve">previous program year.  </w:t>
      </w:r>
      <w:r w:rsidR="003920B4">
        <w:rPr>
          <w:rFonts w:asciiTheme="minorHAnsi" w:hAnsiTheme="minorHAnsi" w:cs="Tahoma"/>
          <w:color w:val="000000"/>
          <w:sz w:val="22"/>
          <w:szCs w:val="22"/>
        </w:rPr>
        <w:t>Thirty-</w:t>
      </w:r>
      <w:r w:rsidR="003920B4" w:rsidRPr="008B2C51">
        <w:rPr>
          <w:rFonts w:asciiTheme="minorHAnsi" w:hAnsiTheme="minorHAnsi" w:cs="Tahoma"/>
          <w:color w:val="000000"/>
          <w:sz w:val="22"/>
          <w:szCs w:val="22"/>
        </w:rPr>
        <w:t>seven</w:t>
      </w:r>
      <w:r w:rsidRPr="008B2C51">
        <w:rPr>
          <w:rFonts w:asciiTheme="minorHAnsi" w:hAnsiTheme="minorHAnsi" w:cs="Tahoma"/>
          <w:color w:val="000000"/>
          <w:sz w:val="22"/>
          <w:szCs w:val="22"/>
        </w:rPr>
        <w:t xml:space="preserve"> percent of EL/Civics students completed an educational functioning level; this is a </w:t>
      </w:r>
      <w:r w:rsidR="003920B4" w:rsidRPr="008B2C51">
        <w:rPr>
          <w:rFonts w:asciiTheme="minorHAnsi" w:hAnsiTheme="minorHAnsi" w:cs="Tahoma"/>
          <w:color w:val="000000"/>
          <w:sz w:val="22"/>
          <w:szCs w:val="22"/>
        </w:rPr>
        <w:t>4</w:t>
      </w:r>
      <w:r w:rsidRPr="008B2C51">
        <w:rPr>
          <w:rFonts w:asciiTheme="minorHAnsi" w:hAnsiTheme="minorHAnsi" w:cs="Tahoma"/>
          <w:color w:val="000000"/>
          <w:sz w:val="22"/>
          <w:szCs w:val="22"/>
        </w:rPr>
        <w:t xml:space="preserve">% </w:t>
      </w:r>
      <w:r w:rsidR="003920B4" w:rsidRPr="008B2C51">
        <w:rPr>
          <w:rFonts w:asciiTheme="minorHAnsi" w:hAnsiTheme="minorHAnsi" w:cs="Tahoma"/>
          <w:color w:val="000000"/>
          <w:sz w:val="22"/>
          <w:szCs w:val="22"/>
        </w:rPr>
        <w:t>decrease</w:t>
      </w:r>
      <w:r w:rsidRPr="008B2C51">
        <w:rPr>
          <w:rFonts w:asciiTheme="minorHAnsi" w:hAnsiTheme="minorHAnsi" w:cs="Tahoma"/>
          <w:color w:val="000000"/>
          <w:sz w:val="22"/>
          <w:szCs w:val="22"/>
        </w:rPr>
        <w:t xml:space="preserve"> over the previous year.</w:t>
      </w:r>
      <w:r w:rsidRPr="00E14CA0">
        <w:rPr>
          <w:rFonts w:asciiTheme="minorHAnsi" w:hAnsiTheme="minorHAnsi" w:cs="Tahoma"/>
          <w:color w:val="000000"/>
          <w:sz w:val="22"/>
          <w:szCs w:val="22"/>
        </w:rPr>
        <w:t xml:space="preserve"> </w:t>
      </w:r>
      <w:r w:rsidR="008B2C51" w:rsidRPr="008B2C51">
        <w:rPr>
          <w:rFonts w:asciiTheme="minorHAnsi" w:hAnsiTheme="minorHAnsi" w:cs="Tahoma"/>
          <w:color w:val="000000"/>
          <w:sz w:val="22"/>
          <w:szCs w:val="22"/>
        </w:rPr>
        <w:t>Sixty</w:t>
      </w:r>
      <w:r w:rsidRPr="008B2C51">
        <w:rPr>
          <w:rFonts w:asciiTheme="minorHAnsi" w:hAnsiTheme="minorHAnsi" w:cs="Tahoma"/>
          <w:color w:val="000000"/>
          <w:sz w:val="22"/>
          <w:szCs w:val="22"/>
        </w:rPr>
        <w:t xml:space="preserve">-five percent of EL/Civics students persisted and were able to be administered a posttest. This posttest retention is </w:t>
      </w:r>
      <w:r w:rsidR="008B2C51" w:rsidRPr="008B2C51">
        <w:rPr>
          <w:rFonts w:asciiTheme="minorHAnsi" w:hAnsiTheme="minorHAnsi" w:cs="Tahoma"/>
          <w:color w:val="000000"/>
          <w:sz w:val="22"/>
          <w:szCs w:val="22"/>
        </w:rPr>
        <w:t>the same as</w:t>
      </w:r>
      <w:r w:rsidRPr="008B2C51">
        <w:rPr>
          <w:rFonts w:asciiTheme="minorHAnsi" w:hAnsiTheme="minorHAnsi" w:cs="Tahoma"/>
          <w:color w:val="000000"/>
          <w:sz w:val="22"/>
          <w:szCs w:val="22"/>
        </w:rPr>
        <w:t xml:space="preserve"> the overall population </w:t>
      </w:r>
      <w:r w:rsidR="00A50CD1">
        <w:rPr>
          <w:rFonts w:asciiTheme="minorHAnsi" w:hAnsiTheme="minorHAnsi" w:cs="Tahoma"/>
          <w:color w:val="000000"/>
          <w:sz w:val="22"/>
          <w:szCs w:val="22"/>
        </w:rPr>
        <w:t>for the same year, but down 9% from the previous year</w:t>
      </w:r>
      <w:r w:rsidR="00CD2369">
        <w:rPr>
          <w:rFonts w:asciiTheme="minorHAnsi" w:hAnsiTheme="minorHAnsi" w:cs="Tahoma"/>
          <w:color w:val="000000"/>
          <w:sz w:val="22"/>
          <w:szCs w:val="22"/>
        </w:rPr>
        <w:t xml:space="preserve"> for EL/Civics participants</w:t>
      </w:r>
      <w:r w:rsidR="00A50CD1">
        <w:rPr>
          <w:rFonts w:asciiTheme="minorHAnsi" w:hAnsiTheme="minorHAnsi" w:cs="Tahoma"/>
          <w:color w:val="000000"/>
          <w:sz w:val="22"/>
          <w:szCs w:val="22"/>
        </w:rPr>
        <w:t xml:space="preserve">. </w:t>
      </w:r>
      <w:r w:rsidR="008B2C51" w:rsidRPr="008B2C51">
        <w:rPr>
          <w:rFonts w:asciiTheme="minorHAnsi" w:hAnsiTheme="minorHAnsi" w:cs="Tahoma"/>
          <w:color w:val="000000"/>
          <w:sz w:val="22"/>
          <w:szCs w:val="22"/>
        </w:rPr>
        <w:t>Fifty-seven</w:t>
      </w:r>
      <w:r w:rsidRPr="008B2C51">
        <w:rPr>
          <w:rFonts w:asciiTheme="minorHAnsi" w:hAnsiTheme="minorHAnsi" w:cs="Tahoma"/>
          <w:color w:val="000000"/>
          <w:sz w:val="22"/>
          <w:szCs w:val="22"/>
        </w:rPr>
        <w:t xml:space="preserve"> percent of the students who </w:t>
      </w:r>
      <w:r w:rsidR="008B2C51" w:rsidRPr="008B2C51">
        <w:rPr>
          <w:rFonts w:asciiTheme="minorHAnsi" w:hAnsiTheme="minorHAnsi" w:cs="Tahoma"/>
          <w:color w:val="000000"/>
          <w:sz w:val="22"/>
          <w:szCs w:val="22"/>
        </w:rPr>
        <w:t xml:space="preserve">were </w:t>
      </w:r>
      <w:r w:rsidR="00A50CD1" w:rsidRPr="008B2C51">
        <w:rPr>
          <w:rFonts w:asciiTheme="minorHAnsi" w:hAnsiTheme="minorHAnsi" w:cs="Tahoma"/>
          <w:color w:val="000000"/>
          <w:sz w:val="22"/>
          <w:szCs w:val="22"/>
        </w:rPr>
        <w:t>posttested</w:t>
      </w:r>
      <w:r w:rsidR="008B2C51" w:rsidRPr="008B2C51">
        <w:rPr>
          <w:rFonts w:asciiTheme="minorHAnsi" w:hAnsiTheme="minorHAnsi" w:cs="Tahoma"/>
          <w:color w:val="000000"/>
          <w:sz w:val="22"/>
          <w:szCs w:val="22"/>
        </w:rPr>
        <w:t xml:space="preserve"> completed</w:t>
      </w:r>
      <w:r w:rsidRPr="008B2C51">
        <w:rPr>
          <w:rFonts w:asciiTheme="minorHAnsi" w:hAnsiTheme="minorHAnsi" w:cs="Tahoma"/>
          <w:color w:val="000000"/>
          <w:sz w:val="22"/>
          <w:szCs w:val="22"/>
        </w:rPr>
        <w:t xml:space="preserve"> an Educational Functioning Level (EFL).  </w:t>
      </w:r>
    </w:p>
    <w:p w:rsidR="00283FD8" w:rsidRPr="00E14CA0" w:rsidRDefault="00283FD8" w:rsidP="00C40B30">
      <w:pPr>
        <w:autoSpaceDE w:val="0"/>
        <w:autoSpaceDN w:val="0"/>
        <w:adjustRightInd w:val="0"/>
        <w:rPr>
          <w:rFonts w:asciiTheme="minorHAnsi" w:hAnsiTheme="minorHAnsi" w:cs="Tahoma"/>
          <w:color w:val="000000"/>
          <w:sz w:val="22"/>
          <w:szCs w:val="22"/>
        </w:rPr>
      </w:pPr>
    </w:p>
    <w:p w:rsidR="00283FD8" w:rsidRPr="00E14CA0" w:rsidRDefault="00283FD8" w:rsidP="00C40B30">
      <w:pPr>
        <w:autoSpaceDE w:val="0"/>
        <w:autoSpaceDN w:val="0"/>
        <w:adjustRightInd w:val="0"/>
        <w:ind w:left="450"/>
        <w:rPr>
          <w:rFonts w:asciiTheme="minorHAnsi" w:hAnsiTheme="minorHAnsi" w:cs="Tahoma"/>
          <w:color w:val="000000"/>
          <w:sz w:val="22"/>
          <w:szCs w:val="22"/>
        </w:rPr>
      </w:pPr>
      <w:r w:rsidRPr="00A50CD1">
        <w:rPr>
          <w:rFonts w:asciiTheme="minorHAnsi" w:hAnsiTheme="minorHAnsi" w:cs="Tahoma"/>
          <w:color w:val="000000"/>
          <w:sz w:val="22"/>
          <w:szCs w:val="22"/>
        </w:rPr>
        <w:t xml:space="preserve">In addition to civic participation and Rights and Responsibilities of U.S. Citizenship content, courses funded through EL/Civics include basic English literacy and CASAS Competency Content Area 5: Government and Law. A total of </w:t>
      </w:r>
      <w:r w:rsidR="000315B1" w:rsidRPr="00A50CD1">
        <w:rPr>
          <w:rFonts w:asciiTheme="minorHAnsi" w:hAnsiTheme="minorHAnsi" w:cs="Tahoma"/>
          <w:color w:val="000000"/>
          <w:sz w:val="22"/>
          <w:szCs w:val="22"/>
        </w:rPr>
        <w:t>168,786</w:t>
      </w:r>
      <w:r w:rsidRPr="00A50CD1">
        <w:rPr>
          <w:rFonts w:asciiTheme="minorHAnsi" w:hAnsiTheme="minorHAnsi" w:cs="Tahoma"/>
          <w:color w:val="000000"/>
          <w:sz w:val="22"/>
          <w:szCs w:val="22"/>
        </w:rPr>
        <w:t xml:space="preserve"> instructional hours were delivered through EL/Civics programming, a </w:t>
      </w:r>
      <w:r w:rsidR="00A50CD1" w:rsidRPr="00A50CD1">
        <w:rPr>
          <w:rFonts w:asciiTheme="minorHAnsi" w:hAnsiTheme="minorHAnsi" w:cs="Tahoma"/>
          <w:color w:val="000000"/>
          <w:sz w:val="22"/>
          <w:szCs w:val="22"/>
        </w:rPr>
        <w:t>decrease</w:t>
      </w:r>
      <w:r w:rsidRPr="00A50CD1">
        <w:rPr>
          <w:rFonts w:asciiTheme="minorHAnsi" w:hAnsiTheme="minorHAnsi" w:cs="Tahoma"/>
          <w:color w:val="000000"/>
          <w:sz w:val="22"/>
          <w:szCs w:val="22"/>
        </w:rPr>
        <w:t xml:space="preserve"> of </w:t>
      </w:r>
      <w:r w:rsidR="00A50CD1" w:rsidRPr="00A50CD1">
        <w:rPr>
          <w:rFonts w:asciiTheme="minorHAnsi" w:hAnsiTheme="minorHAnsi" w:cs="Tahoma"/>
          <w:color w:val="000000"/>
          <w:sz w:val="22"/>
          <w:szCs w:val="22"/>
        </w:rPr>
        <w:t>almost 50</w:t>
      </w:r>
      <w:r w:rsidRPr="00A50CD1">
        <w:rPr>
          <w:rFonts w:asciiTheme="minorHAnsi" w:hAnsiTheme="minorHAnsi" w:cs="Tahoma"/>
          <w:color w:val="000000"/>
          <w:sz w:val="22"/>
          <w:szCs w:val="22"/>
        </w:rPr>
        <w:t xml:space="preserve">% vs. the previous year. </w:t>
      </w:r>
    </w:p>
    <w:p w:rsidR="00796FE2" w:rsidRPr="00242F00" w:rsidRDefault="00796FE2" w:rsidP="00C40B30">
      <w:pPr>
        <w:rPr>
          <w:rFonts w:asciiTheme="minorHAnsi" w:hAnsiTheme="minorHAnsi"/>
          <w:sz w:val="22"/>
        </w:rPr>
      </w:pPr>
    </w:p>
    <w:p w:rsidR="00242F00" w:rsidRPr="00BF29AE" w:rsidRDefault="00242F00" w:rsidP="00C40B30">
      <w:pPr>
        <w:pStyle w:val="ListParagraph"/>
        <w:numPr>
          <w:ilvl w:val="0"/>
          <w:numId w:val="1"/>
        </w:numPr>
        <w:ind w:left="810"/>
        <w:rPr>
          <w:rFonts w:asciiTheme="minorHAnsi" w:hAnsiTheme="minorHAnsi"/>
          <w:i/>
          <w:sz w:val="22"/>
        </w:rPr>
      </w:pPr>
      <w:r w:rsidRPr="00BF29AE">
        <w:rPr>
          <w:rFonts w:asciiTheme="minorHAnsi" w:hAnsiTheme="minorHAnsi"/>
          <w:i/>
          <w:sz w:val="22"/>
        </w:rPr>
        <w:t>Describe when your State held a competition [the latest competition] for IELCE</w:t>
      </w:r>
      <w:r w:rsidR="00796FE2" w:rsidRPr="00BF29AE">
        <w:rPr>
          <w:rFonts w:asciiTheme="minorHAnsi" w:hAnsiTheme="minorHAnsi"/>
          <w:i/>
          <w:sz w:val="22"/>
        </w:rPr>
        <w:t xml:space="preserve"> </w:t>
      </w:r>
      <w:r w:rsidRPr="00BF29AE">
        <w:rPr>
          <w:rFonts w:asciiTheme="minorHAnsi" w:hAnsiTheme="minorHAnsi"/>
          <w:i/>
          <w:sz w:val="22"/>
        </w:rPr>
        <w:t>program funds and the number of grants awarded by your State to support IELCE</w:t>
      </w:r>
      <w:r w:rsidR="00796FE2" w:rsidRPr="00BF29AE">
        <w:rPr>
          <w:rFonts w:asciiTheme="minorHAnsi" w:hAnsiTheme="minorHAnsi"/>
          <w:i/>
          <w:sz w:val="22"/>
        </w:rPr>
        <w:t xml:space="preserve"> </w:t>
      </w:r>
      <w:r w:rsidRPr="00BF29AE">
        <w:rPr>
          <w:rFonts w:asciiTheme="minorHAnsi" w:hAnsiTheme="minorHAnsi"/>
          <w:i/>
          <w:sz w:val="22"/>
        </w:rPr>
        <w:t>programs.</w:t>
      </w:r>
    </w:p>
    <w:p w:rsidR="00F94DFE" w:rsidRDefault="00F94DFE" w:rsidP="00C40B30">
      <w:pPr>
        <w:pStyle w:val="ListParagraph"/>
        <w:ind w:left="810"/>
        <w:rPr>
          <w:rFonts w:asciiTheme="minorHAnsi" w:hAnsiTheme="minorHAnsi"/>
          <w:sz w:val="22"/>
        </w:rPr>
      </w:pPr>
    </w:p>
    <w:p w:rsidR="001A5B43" w:rsidRDefault="001A5B43" w:rsidP="00C40B30">
      <w:pPr>
        <w:pStyle w:val="ListParagraph"/>
        <w:ind w:left="810"/>
        <w:rPr>
          <w:rFonts w:asciiTheme="minorHAnsi" w:hAnsiTheme="minorHAnsi"/>
          <w:sz w:val="22"/>
        </w:rPr>
      </w:pPr>
      <w:r>
        <w:rPr>
          <w:rFonts w:asciiTheme="minorHAnsi" w:hAnsiTheme="minorHAnsi"/>
          <w:sz w:val="22"/>
        </w:rPr>
        <w:lastRenderedPageBreak/>
        <w:t xml:space="preserve">A competition for </w:t>
      </w:r>
      <w:r w:rsidR="00E90C04">
        <w:rPr>
          <w:rFonts w:asciiTheme="minorHAnsi" w:hAnsiTheme="minorHAnsi"/>
          <w:sz w:val="22"/>
        </w:rPr>
        <w:t xml:space="preserve">IELCE funds </w:t>
      </w:r>
      <w:r>
        <w:rPr>
          <w:rFonts w:asciiTheme="minorHAnsi" w:hAnsiTheme="minorHAnsi"/>
          <w:sz w:val="22"/>
        </w:rPr>
        <w:t xml:space="preserve">was held in the 2013-2014 program year for funding </w:t>
      </w:r>
      <w:r w:rsidR="00BF29AE">
        <w:rPr>
          <w:rFonts w:asciiTheme="minorHAnsi" w:hAnsiTheme="minorHAnsi"/>
          <w:sz w:val="22"/>
        </w:rPr>
        <w:t xml:space="preserve">for the 2014-2015 program year and six programs were funded. </w:t>
      </w:r>
      <w:r w:rsidR="00291AEA">
        <w:rPr>
          <w:rFonts w:asciiTheme="minorHAnsi" w:hAnsiTheme="minorHAnsi"/>
          <w:sz w:val="22"/>
        </w:rPr>
        <w:t xml:space="preserve">The 2015-2016 program year funds were awarded based on a continuation funding application. </w:t>
      </w:r>
    </w:p>
    <w:p w:rsidR="00F94DFE" w:rsidRPr="00796FE2" w:rsidRDefault="001A5B43" w:rsidP="00C40B30">
      <w:pPr>
        <w:pStyle w:val="ListParagraph"/>
        <w:ind w:left="810"/>
        <w:rPr>
          <w:rFonts w:asciiTheme="minorHAnsi" w:hAnsiTheme="minorHAnsi"/>
          <w:sz w:val="22"/>
        </w:rPr>
      </w:pPr>
      <w:r>
        <w:rPr>
          <w:rFonts w:asciiTheme="minorHAnsi" w:hAnsiTheme="minorHAnsi"/>
          <w:sz w:val="22"/>
        </w:rPr>
        <w:t xml:space="preserve"> </w:t>
      </w:r>
    </w:p>
    <w:p w:rsidR="00242F00" w:rsidRPr="00BF29AE" w:rsidRDefault="00242F00" w:rsidP="00C40B30">
      <w:pPr>
        <w:pStyle w:val="ListParagraph"/>
        <w:numPr>
          <w:ilvl w:val="0"/>
          <w:numId w:val="1"/>
        </w:numPr>
        <w:ind w:left="810"/>
        <w:rPr>
          <w:rFonts w:asciiTheme="minorHAnsi" w:hAnsiTheme="minorHAnsi"/>
          <w:i/>
          <w:sz w:val="22"/>
        </w:rPr>
      </w:pPr>
      <w:r w:rsidRPr="00BF29AE">
        <w:rPr>
          <w:rFonts w:asciiTheme="minorHAnsi" w:hAnsiTheme="minorHAnsi"/>
          <w:i/>
          <w:sz w:val="22"/>
        </w:rPr>
        <w:t>Describe your State efforts in meeting the requirement to provide IELCE services in</w:t>
      </w:r>
      <w:r w:rsidR="00796FE2" w:rsidRPr="00BF29AE">
        <w:rPr>
          <w:rFonts w:asciiTheme="minorHAnsi" w:hAnsiTheme="minorHAnsi"/>
          <w:i/>
          <w:sz w:val="22"/>
        </w:rPr>
        <w:t xml:space="preserve"> </w:t>
      </w:r>
      <w:r w:rsidRPr="00BF29AE">
        <w:rPr>
          <w:rFonts w:asciiTheme="minorHAnsi" w:hAnsiTheme="minorHAnsi"/>
          <w:i/>
          <w:sz w:val="22"/>
        </w:rPr>
        <w:t>combination with integrated education and training activities;</w:t>
      </w:r>
    </w:p>
    <w:p w:rsidR="00F94DFE" w:rsidRPr="00F94DFE" w:rsidRDefault="00F94DFE" w:rsidP="00C40B30">
      <w:pPr>
        <w:pStyle w:val="ListParagraph"/>
        <w:ind w:left="810"/>
        <w:rPr>
          <w:rFonts w:asciiTheme="minorHAnsi" w:hAnsiTheme="minorHAnsi"/>
          <w:sz w:val="22"/>
        </w:rPr>
      </w:pPr>
    </w:p>
    <w:p w:rsidR="00F94DFE" w:rsidRDefault="004F0DC5" w:rsidP="00C40B30">
      <w:pPr>
        <w:pStyle w:val="ListParagraph"/>
        <w:ind w:left="810"/>
        <w:rPr>
          <w:rFonts w:asciiTheme="minorHAnsi" w:hAnsiTheme="minorHAnsi"/>
          <w:sz w:val="22"/>
        </w:rPr>
      </w:pPr>
      <w:r>
        <w:rPr>
          <w:rFonts w:asciiTheme="minorHAnsi" w:hAnsiTheme="minorHAnsi"/>
          <w:sz w:val="22"/>
        </w:rPr>
        <w:t xml:space="preserve">Our efforts have centered primarily around educating the local providers on the requirements for IELCE under WIOA. </w:t>
      </w:r>
      <w:r w:rsidR="00CD2369">
        <w:rPr>
          <w:rFonts w:asciiTheme="minorHAnsi" w:hAnsiTheme="minorHAnsi"/>
          <w:sz w:val="22"/>
        </w:rPr>
        <w:t>Many programs are providing contextualized instruction centering on specific career pathways</w:t>
      </w:r>
      <w:r w:rsidR="00F950C3">
        <w:rPr>
          <w:rFonts w:asciiTheme="minorHAnsi" w:hAnsiTheme="minorHAnsi"/>
          <w:sz w:val="22"/>
        </w:rPr>
        <w:t>; such as, Burlington English and Career Ready 101.</w:t>
      </w:r>
    </w:p>
    <w:p w:rsidR="00F950C3" w:rsidRDefault="00F950C3" w:rsidP="00C40B30">
      <w:pPr>
        <w:pStyle w:val="ListParagraph"/>
        <w:ind w:left="810"/>
        <w:rPr>
          <w:rFonts w:asciiTheme="minorHAnsi" w:hAnsiTheme="minorHAnsi"/>
          <w:sz w:val="22"/>
        </w:rPr>
      </w:pPr>
    </w:p>
    <w:p w:rsidR="00F950C3" w:rsidRDefault="001F5215" w:rsidP="00C40B30">
      <w:pPr>
        <w:pStyle w:val="ListParagraph"/>
        <w:ind w:left="810"/>
        <w:rPr>
          <w:rFonts w:asciiTheme="minorHAnsi" w:hAnsiTheme="minorHAnsi"/>
          <w:sz w:val="22"/>
        </w:rPr>
      </w:pPr>
      <w:r>
        <w:rPr>
          <w:rFonts w:asciiTheme="minorHAnsi" w:hAnsiTheme="minorHAnsi"/>
          <w:sz w:val="22"/>
        </w:rPr>
        <w:t>One community based non-profit</w:t>
      </w:r>
      <w:r w:rsidR="001719C7">
        <w:rPr>
          <w:rFonts w:asciiTheme="minorHAnsi" w:hAnsiTheme="minorHAnsi"/>
          <w:sz w:val="22"/>
        </w:rPr>
        <w:t xml:space="preserve"> </w:t>
      </w:r>
      <w:r w:rsidR="00F950C3" w:rsidRPr="001719C7">
        <w:rPr>
          <w:rFonts w:asciiTheme="minorHAnsi" w:hAnsiTheme="minorHAnsi"/>
          <w:sz w:val="22"/>
        </w:rPr>
        <w:t xml:space="preserve">program is partnering with a local community college to offer </w:t>
      </w:r>
      <w:r w:rsidR="00BA3FF2">
        <w:rPr>
          <w:rFonts w:asciiTheme="minorHAnsi" w:hAnsiTheme="minorHAnsi"/>
          <w:sz w:val="22"/>
        </w:rPr>
        <w:t xml:space="preserve">IELCE </w:t>
      </w:r>
      <w:r w:rsidR="00F950C3" w:rsidRPr="001719C7">
        <w:rPr>
          <w:rFonts w:asciiTheme="minorHAnsi" w:hAnsiTheme="minorHAnsi"/>
          <w:sz w:val="22"/>
        </w:rPr>
        <w:t>students</w:t>
      </w:r>
      <w:r w:rsidR="001719C7">
        <w:rPr>
          <w:rFonts w:asciiTheme="minorHAnsi" w:hAnsiTheme="minorHAnsi"/>
          <w:sz w:val="22"/>
        </w:rPr>
        <w:t xml:space="preserve"> access to co-enrollment with CTE courses. </w:t>
      </w:r>
    </w:p>
    <w:p w:rsidR="001719C7" w:rsidRDefault="001719C7" w:rsidP="00C40B30">
      <w:pPr>
        <w:pStyle w:val="ListParagraph"/>
        <w:ind w:left="810"/>
        <w:rPr>
          <w:rFonts w:asciiTheme="minorHAnsi" w:hAnsiTheme="minorHAnsi"/>
          <w:sz w:val="22"/>
        </w:rPr>
      </w:pPr>
    </w:p>
    <w:p w:rsidR="001719C7" w:rsidRDefault="001F5215" w:rsidP="00C40B30">
      <w:pPr>
        <w:pStyle w:val="ListParagraph"/>
        <w:ind w:left="810"/>
        <w:rPr>
          <w:rFonts w:asciiTheme="minorHAnsi" w:hAnsiTheme="minorHAnsi"/>
          <w:sz w:val="22"/>
        </w:rPr>
      </w:pPr>
      <w:r>
        <w:rPr>
          <w:rFonts w:asciiTheme="minorHAnsi" w:hAnsiTheme="minorHAnsi"/>
          <w:sz w:val="22"/>
        </w:rPr>
        <w:t xml:space="preserve">Two other </w:t>
      </w:r>
      <w:r w:rsidR="001719C7">
        <w:rPr>
          <w:rFonts w:asciiTheme="minorHAnsi" w:hAnsiTheme="minorHAnsi"/>
          <w:sz w:val="22"/>
        </w:rPr>
        <w:t>program</w:t>
      </w:r>
      <w:r>
        <w:rPr>
          <w:rFonts w:asciiTheme="minorHAnsi" w:hAnsiTheme="minorHAnsi"/>
          <w:sz w:val="22"/>
        </w:rPr>
        <w:t>s</w:t>
      </w:r>
      <w:r w:rsidR="001719C7">
        <w:rPr>
          <w:rFonts w:asciiTheme="minorHAnsi" w:hAnsiTheme="minorHAnsi"/>
          <w:sz w:val="22"/>
        </w:rPr>
        <w:t xml:space="preserve"> located within community college</w:t>
      </w:r>
      <w:r>
        <w:rPr>
          <w:rFonts w:asciiTheme="minorHAnsi" w:hAnsiTheme="minorHAnsi"/>
          <w:sz w:val="22"/>
        </w:rPr>
        <w:t>s</w:t>
      </w:r>
      <w:r w:rsidR="001719C7">
        <w:rPr>
          <w:rFonts w:asciiTheme="minorHAnsi" w:hAnsiTheme="minorHAnsi"/>
          <w:sz w:val="22"/>
        </w:rPr>
        <w:t xml:space="preserve"> </w:t>
      </w:r>
      <w:r>
        <w:rPr>
          <w:rFonts w:asciiTheme="minorHAnsi" w:hAnsiTheme="minorHAnsi"/>
          <w:sz w:val="22"/>
        </w:rPr>
        <w:t>are</w:t>
      </w:r>
      <w:r w:rsidR="001719C7">
        <w:rPr>
          <w:rFonts w:asciiTheme="minorHAnsi" w:hAnsiTheme="minorHAnsi"/>
          <w:sz w:val="22"/>
        </w:rPr>
        <w:t xml:space="preserve"> partnering with multiple CTE programs to co-enroll </w:t>
      </w:r>
      <w:r w:rsidR="00BA3FF2">
        <w:rPr>
          <w:rFonts w:asciiTheme="minorHAnsi" w:hAnsiTheme="minorHAnsi"/>
          <w:sz w:val="22"/>
        </w:rPr>
        <w:t xml:space="preserve">IELCE </w:t>
      </w:r>
      <w:r w:rsidR="001719C7">
        <w:rPr>
          <w:rFonts w:asciiTheme="minorHAnsi" w:hAnsiTheme="minorHAnsi"/>
          <w:sz w:val="22"/>
        </w:rPr>
        <w:t xml:space="preserve">participants in </w:t>
      </w:r>
      <w:r w:rsidR="00BA3FF2">
        <w:rPr>
          <w:rFonts w:asciiTheme="minorHAnsi" w:hAnsiTheme="minorHAnsi"/>
          <w:sz w:val="22"/>
        </w:rPr>
        <w:t>healthcare</w:t>
      </w:r>
      <w:r w:rsidR="001719C7">
        <w:rPr>
          <w:rFonts w:asciiTheme="minorHAnsi" w:hAnsiTheme="minorHAnsi"/>
          <w:sz w:val="22"/>
        </w:rPr>
        <w:t xml:space="preserve"> courses</w:t>
      </w:r>
      <w:r w:rsidRPr="001F5215">
        <w:rPr>
          <w:rFonts w:asciiTheme="minorHAnsi" w:hAnsiTheme="minorHAnsi"/>
          <w:sz w:val="22"/>
        </w:rPr>
        <w:t xml:space="preserve"> </w:t>
      </w:r>
      <w:r>
        <w:rPr>
          <w:rFonts w:asciiTheme="minorHAnsi" w:hAnsiTheme="minorHAnsi"/>
          <w:sz w:val="22"/>
        </w:rPr>
        <w:t>and</w:t>
      </w:r>
      <w:r w:rsidR="001719C7">
        <w:rPr>
          <w:rFonts w:asciiTheme="minorHAnsi" w:hAnsiTheme="minorHAnsi"/>
          <w:sz w:val="22"/>
        </w:rPr>
        <w:t xml:space="preserve"> </w:t>
      </w:r>
      <w:r w:rsidR="00BA3FF2">
        <w:rPr>
          <w:rFonts w:asciiTheme="minorHAnsi" w:hAnsiTheme="minorHAnsi"/>
          <w:sz w:val="22"/>
        </w:rPr>
        <w:t xml:space="preserve">facilities or </w:t>
      </w:r>
      <w:r>
        <w:rPr>
          <w:rFonts w:asciiTheme="minorHAnsi" w:hAnsiTheme="minorHAnsi"/>
          <w:sz w:val="22"/>
        </w:rPr>
        <w:t xml:space="preserve">construction management courses. </w:t>
      </w:r>
      <w:r w:rsidR="00BA3FF2">
        <w:rPr>
          <w:rFonts w:asciiTheme="minorHAnsi" w:hAnsiTheme="minorHAnsi"/>
          <w:sz w:val="22"/>
        </w:rPr>
        <w:t>One</w:t>
      </w:r>
      <w:r>
        <w:rPr>
          <w:rFonts w:asciiTheme="minorHAnsi" w:hAnsiTheme="minorHAnsi"/>
          <w:sz w:val="22"/>
        </w:rPr>
        <w:t xml:space="preserve"> program is also involved with an innovative program to address the teacher shortage in Nevada. IELCE participants with degrees in their home countries who are in advanced ESL levels will be eligible to participate in the Alternative Route to Licensure (ARL) program to prepare for the application process and the Praxis exam. </w:t>
      </w:r>
    </w:p>
    <w:p w:rsidR="004F0DC5" w:rsidRPr="00796FE2" w:rsidRDefault="004F0DC5" w:rsidP="00C40B30">
      <w:pPr>
        <w:pStyle w:val="ListParagraph"/>
        <w:ind w:left="810"/>
        <w:rPr>
          <w:rFonts w:asciiTheme="minorHAnsi" w:hAnsiTheme="minorHAnsi"/>
          <w:sz w:val="22"/>
        </w:rPr>
      </w:pPr>
    </w:p>
    <w:p w:rsidR="00242F00" w:rsidRPr="00BF29AE" w:rsidRDefault="00242F00" w:rsidP="00C40B30">
      <w:pPr>
        <w:pStyle w:val="ListParagraph"/>
        <w:numPr>
          <w:ilvl w:val="0"/>
          <w:numId w:val="1"/>
        </w:numPr>
        <w:ind w:left="810"/>
        <w:rPr>
          <w:rFonts w:asciiTheme="minorHAnsi" w:hAnsiTheme="minorHAnsi"/>
          <w:i/>
          <w:sz w:val="22"/>
        </w:rPr>
      </w:pPr>
      <w:r w:rsidRPr="00BF29AE">
        <w:rPr>
          <w:rFonts w:asciiTheme="minorHAnsi" w:hAnsiTheme="minorHAnsi"/>
          <w:i/>
          <w:sz w:val="22"/>
        </w:rPr>
        <w:t>Describe how the State is progressing towards program goals of preparing and placing</w:t>
      </w:r>
      <w:r w:rsidR="00796FE2" w:rsidRPr="00BF29AE">
        <w:rPr>
          <w:rFonts w:asciiTheme="minorHAnsi" w:hAnsiTheme="minorHAnsi"/>
          <w:i/>
          <w:sz w:val="22"/>
        </w:rPr>
        <w:t xml:space="preserve"> </w:t>
      </w:r>
      <w:r w:rsidRPr="00BF29AE">
        <w:rPr>
          <w:rFonts w:asciiTheme="minorHAnsi" w:hAnsiTheme="minorHAnsi"/>
          <w:i/>
          <w:sz w:val="22"/>
        </w:rPr>
        <w:t>IELCE program participants in unsubsidized employment in in-demand industries and</w:t>
      </w:r>
      <w:r w:rsidR="00796FE2" w:rsidRPr="00BF29AE">
        <w:rPr>
          <w:rFonts w:asciiTheme="minorHAnsi" w:hAnsiTheme="minorHAnsi"/>
          <w:i/>
          <w:sz w:val="22"/>
        </w:rPr>
        <w:t xml:space="preserve"> </w:t>
      </w:r>
      <w:r w:rsidRPr="00BF29AE">
        <w:rPr>
          <w:rFonts w:asciiTheme="minorHAnsi" w:hAnsiTheme="minorHAnsi"/>
          <w:i/>
          <w:sz w:val="22"/>
        </w:rPr>
        <w:t>occupations that lead to economic self-sufficiency as described in section 243(c)(1) and</w:t>
      </w:r>
      <w:r w:rsidR="00796FE2" w:rsidRPr="00BF29AE">
        <w:rPr>
          <w:rFonts w:asciiTheme="minorHAnsi" w:hAnsiTheme="minorHAnsi"/>
          <w:i/>
          <w:sz w:val="22"/>
        </w:rPr>
        <w:t xml:space="preserve"> </w:t>
      </w:r>
      <w:r w:rsidRPr="00BF29AE">
        <w:rPr>
          <w:rFonts w:asciiTheme="minorHAnsi" w:hAnsiTheme="minorHAnsi"/>
          <w:i/>
          <w:sz w:val="22"/>
        </w:rPr>
        <w:t>discuss any performance results, challenges, and lessons learned from implementing</w:t>
      </w:r>
      <w:r w:rsidR="00796FE2" w:rsidRPr="00BF29AE">
        <w:rPr>
          <w:rFonts w:asciiTheme="minorHAnsi" w:hAnsiTheme="minorHAnsi"/>
          <w:i/>
          <w:sz w:val="22"/>
        </w:rPr>
        <w:t xml:space="preserve"> </w:t>
      </w:r>
      <w:r w:rsidRPr="00BF29AE">
        <w:rPr>
          <w:rFonts w:asciiTheme="minorHAnsi" w:hAnsiTheme="minorHAnsi"/>
          <w:i/>
          <w:sz w:val="22"/>
        </w:rPr>
        <w:t>those program goals; and</w:t>
      </w:r>
    </w:p>
    <w:p w:rsidR="00F94DFE" w:rsidRDefault="00F94DFE" w:rsidP="00C40B30">
      <w:pPr>
        <w:pStyle w:val="ListParagraph"/>
        <w:ind w:left="810"/>
        <w:rPr>
          <w:rFonts w:asciiTheme="minorHAnsi" w:hAnsiTheme="minorHAnsi"/>
          <w:sz w:val="22"/>
        </w:rPr>
      </w:pPr>
    </w:p>
    <w:p w:rsidR="00BA3FF2" w:rsidRDefault="00BA3FF2" w:rsidP="00C40B30">
      <w:pPr>
        <w:pStyle w:val="ListParagraph"/>
        <w:ind w:left="810"/>
        <w:rPr>
          <w:rFonts w:asciiTheme="minorHAnsi" w:hAnsiTheme="minorHAnsi"/>
          <w:sz w:val="22"/>
        </w:rPr>
      </w:pPr>
      <w:r>
        <w:rPr>
          <w:rFonts w:asciiTheme="minorHAnsi" w:hAnsiTheme="minorHAnsi"/>
          <w:sz w:val="22"/>
        </w:rPr>
        <w:t xml:space="preserve">Multiple programs are using the Career Ready 101 curriculum, as well as, </w:t>
      </w:r>
      <w:proofErr w:type="spellStart"/>
      <w:r>
        <w:rPr>
          <w:rFonts w:asciiTheme="minorHAnsi" w:hAnsiTheme="minorHAnsi"/>
          <w:sz w:val="22"/>
        </w:rPr>
        <w:t>WorkKeys</w:t>
      </w:r>
      <w:proofErr w:type="spellEnd"/>
      <w:r>
        <w:rPr>
          <w:rFonts w:asciiTheme="minorHAnsi" w:hAnsiTheme="minorHAnsi"/>
          <w:sz w:val="22"/>
        </w:rPr>
        <w:t xml:space="preserve"> Assessment leading to the National Career Readiness Certificate. Several programs are using the Burlington English system of career pathways materials. </w:t>
      </w:r>
    </w:p>
    <w:p w:rsidR="00983DB7" w:rsidRDefault="00983DB7" w:rsidP="00C40B30">
      <w:pPr>
        <w:pStyle w:val="ListParagraph"/>
        <w:ind w:left="810"/>
        <w:rPr>
          <w:rFonts w:asciiTheme="minorHAnsi" w:hAnsiTheme="minorHAnsi"/>
          <w:sz w:val="22"/>
        </w:rPr>
      </w:pPr>
    </w:p>
    <w:p w:rsidR="009C5A43" w:rsidRDefault="009C5A43" w:rsidP="00C40B30">
      <w:pPr>
        <w:pStyle w:val="ListParagraph"/>
        <w:ind w:left="810"/>
        <w:rPr>
          <w:rFonts w:asciiTheme="minorHAnsi" w:hAnsiTheme="minorHAnsi"/>
          <w:sz w:val="22"/>
        </w:rPr>
      </w:pPr>
      <w:r>
        <w:rPr>
          <w:rFonts w:asciiTheme="minorHAnsi" w:hAnsiTheme="minorHAnsi"/>
          <w:sz w:val="22"/>
        </w:rPr>
        <w:t>All programs report the need for document</w:t>
      </w:r>
      <w:r w:rsidR="003B5F8E">
        <w:rPr>
          <w:rFonts w:asciiTheme="minorHAnsi" w:hAnsiTheme="minorHAnsi"/>
          <w:sz w:val="22"/>
        </w:rPr>
        <w:t xml:space="preserve">ation as a challenge with the population served. </w:t>
      </w:r>
    </w:p>
    <w:p w:rsidR="00F94DFE" w:rsidRPr="00BA3FF2" w:rsidRDefault="00F94DFE" w:rsidP="00BA3FF2">
      <w:pPr>
        <w:rPr>
          <w:rFonts w:asciiTheme="minorHAnsi" w:hAnsiTheme="minorHAnsi"/>
          <w:sz w:val="22"/>
        </w:rPr>
      </w:pPr>
    </w:p>
    <w:p w:rsidR="00242F00" w:rsidRPr="00BF29AE" w:rsidRDefault="00242F00" w:rsidP="00C40B30">
      <w:pPr>
        <w:pStyle w:val="ListParagraph"/>
        <w:numPr>
          <w:ilvl w:val="0"/>
          <w:numId w:val="1"/>
        </w:numPr>
        <w:ind w:left="810"/>
        <w:rPr>
          <w:rFonts w:asciiTheme="minorHAnsi" w:hAnsiTheme="minorHAnsi"/>
          <w:i/>
          <w:sz w:val="22"/>
        </w:rPr>
      </w:pPr>
      <w:r w:rsidRPr="00BF29AE">
        <w:rPr>
          <w:rFonts w:asciiTheme="minorHAnsi" w:hAnsiTheme="minorHAnsi"/>
          <w:i/>
          <w:sz w:val="22"/>
        </w:rPr>
        <w:t>Describe how the State is progressing towards program goals of ensuring that IELCE</w:t>
      </w:r>
      <w:r w:rsidR="00796FE2" w:rsidRPr="00BF29AE">
        <w:rPr>
          <w:rFonts w:asciiTheme="minorHAnsi" w:hAnsiTheme="minorHAnsi"/>
          <w:i/>
          <w:sz w:val="22"/>
        </w:rPr>
        <w:t xml:space="preserve"> </w:t>
      </w:r>
      <w:r w:rsidRPr="00BF29AE">
        <w:rPr>
          <w:rFonts w:asciiTheme="minorHAnsi" w:hAnsiTheme="minorHAnsi"/>
          <w:i/>
          <w:sz w:val="22"/>
        </w:rPr>
        <w:t>program activities are integrated with the local workforce development system and its</w:t>
      </w:r>
      <w:r w:rsidR="00796FE2" w:rsidRPr="00BF29AE">
        <w:rPr>
          <w:rFonts w:asciiTheme="minorHAnsi" w:hAnsiTheme="minorHAnsi"/>
          <w:i/>
          <w:sz w:val="22"/>
        </w:rPr>
        <w:t xml:space="preserve"> </w:t>
      </w:r>
      <w:r w:rsidRPr="00BF29AE">
        <w:rPr>
          <w:rFonts w:asciiTheme="minorHAnsi" w:hAnsiTheme="minorHAnsi"/>
          <w:i/>
          <w:sz w:val="22"/>
        </w:rPr>
        <w:t>functions as described in section 243(c)(2) and discuss any performance results,</w:t>
      </w:r>
      <w:r w:rsidR="00796FE2" w:rsidRPr="00BF29AE">
        <w:rPr>
          <w:rFonts w:asciiTheme="minorHAnsi" w:hAnsiTheme="minorHAnsi"/>
          <w:i/>
          <w:sz w:val="22"/>
        </w:rPr>
        <w:t xml:space="preserve"> </w:t>
      </w:r>
      <w:r w:rsidRPr="00BF29AE">
        <w:rPr>
          <w:rFonts w:asciiTheme="minorHAnsi" w:hAnsiTheme="minorHAnsi"/>
          <w:i/>
          <w:sz w:val="22"/>
        </w:rPr>
        <w:t>challenges, and lessons learned from implementing those program goals.</w:t>
      </w:r>
    </w:p>
    <w:p w:rsidR="00796FE2" w:rsidRDefault="00796FE2" w:rsidP="00C40B30">
      <w:pPr>
        <w:pStyle w:val="ListParagraph"/>
        <w:rPr>
          <w:rFonts w:asciiTheme="minorHAnsi" w:hAnsiTheme="minorHAnsi"/>
          <w:sz w:val="22"/>
        </w:rPr>
      </w:pPr>
    </w:p>
    <w:p w:rsidR="00F94DFE" w:rsidRDefault="001F5215" w:rsidP="00C40B30">
      <w:pPr>
        <w:pStyle w:val="ListParagraph"/>
        <w:rPr>
          <w:rFonts w:asciiTheme="minorHAnsi" w:hAnsiTheme="minorHAnsi"/>
          <w:sz w:val="22"/>
        </w:rPr>
      </w:pPr>
      <w:r w:rsidRPr="001719C7">
        <w:rPr>
          <w:rFonts w:asciiTheme="minorHAnsi" w:hAnsiTheme="minorHAnsi"/>
          <w:sz w:val="22"/>
        </w:rPr>
        <w:t>One local program has been working with their Local Area Workforce Board and has secured funding for a staff member located at the program providing career counseling to out-of-school youth</w:t>
      </w:r>
      <w:r w:rsidR="00BA3FF2">
        <w:rPr>
          <w:rFonts w:asciiTheme="minorHAnsi" w:hAnsiTheme="minorHAnsi"/>
          <w:sz w:val="22"/>
        </w:rPr>
        <w:t>, including those in IELCE</w:t>
      </w:r>
      <w:r w:rsidRPr="001719C7">
        <w:rPr>
          <w:rFonts w:asciiTheme="minorHAnsi" w:hAnsiTheme="minorHAnsi"/>
          <w:sz w:val="22"/>
        </w:rPr>
        <w:t>.</w:t>
      </w:r>
    </w:p>
    <w:p w:rsidR="00BA3FF2" w:rsidRDefault="00BA3FF2" w:rsidP="00C40B30">
      <w:pPr>
        <w:pStyle w:val="ListParagraph"/>
        <w:rPr>
          <w:rFonts w:asciiTheme="minorHAnsi" w:hAnsiTheme="minorHAnsi"/>
          <w:sz w:val="22"/>
        </w:rPr>
      </w:pPr>
    </w:p>
    <w:p w:rsidR="003B5F8E" w:rsidRDefault="003B5F8E" w:rsidP="003B5F8E">
      <w:pPr>
        <w:pStyle w:val="ListParagraph"/>
        <w:ind w:left="810"/>
        <w:rPr>
          <w:rFonts w:asciiTheme="minorHAnsi" w:hAnsiTheme="minorHAnsi"/>
          <w:sz w:val="22"/>
        </w:rPr>
      </w:pPr>
      <w:r>
        <w:rPr>
          <w:rFonts w:asciiTheme="minorHAnsi" w:hAnsiTheme="minorHAnsi"/>
          <w:sz w:val="22"/>
        </w:rPr>
        <w:t xml:space="preserve">The Clark County Community Adult Learning in Libraries (CALL) program has worked with the Local Area Workforce Development Board to partner in an effort to </w:t>
      </w:r>
      <w:r w:rsidR="00F02B3C">
        <w:rPr>
          <w:rFonts w:asciiTheme="minorHAnsi" w:hAnsiTheme="minorHAnsi"/>
          <w:sz w:val="22"/>
        </w:rPr>
        <w:t>place</w:t>
      </w:r>
      <w:r>
        <w:rPr>
          <w:rFonts w:asciiTheme="minorHAnsi" w:hAnsiTheme="minorHAnsi"/>
          <w:sz w:val="22"/>
        </w:rPr>
        <w:t xml:space="preserve"> One</w:t>
      </w:r>
      <w:r w:rsidR="00F02B3C">
        <w:rPr>
          <w:rFonts w:asciiTheme="minorHAnsi" w:hAnsiTheme="minorHAnsi"/>
          <w:sz w:val="22"/>
        </w:rPr>
        <w:t>-</w:t>
      </w:r>
      <w:r>
        <w:rPr>
          <w:rFonts w:asciiTheme="minorHAnsi" w:hAnsiTheme="minorHAnsi"/>
          <w:sz w:val="22"/>
        </w:rPr>
        <w:t xml:space="preserve">Stop staff in </w:t>
      </w:r>
      <w:bookmarkStart w:id="0" w:name="_GoBack"/>
      <w:bookmarkEnd w:id="0"/>
      <w:r>
        <w:rPr>
          <w:rFonts w:asciiTheme="minorHAnsi" w:hAnsiTheme="minorHAnsi"/>
          <w:sz w:val="22"/>
        </w:rPr>
        <w:t xml:space="preserve">each of the libraries within the local area. This partnership will be invaluable for adult education participants to be able to access workforce services. </w:t>
      </w:r>
    </w:p>
    <w:p w:rsidR="003B5F8E" w:rsidRDefault="003B5F8E" w:rsidP="003B5F8E">
      <w:pPr>
        <w:pStyle w:val="ListParagraph"/>
        <w:ind w:left="810"/>
        <w:rPr>
          <w:rFonts w:asciiTheme="minorHAnsi" w:hAnsiTheme="minorHAnsi"/>
          <w:sz w:val="22"/>
        </w:rPr>
      </w:pPr>
    </w:p>
    <w:p w:rsidR="003B5F8E" w:rsidRDefault="003B5F8E" w:rsidP="003B5F8E">
      <w:pPr>
        <w:pStyle w:val="ListParagraph"/>
        <w:ind w:left="810"/>
        <w:rPr>
          <w:rFonts w:asciiTheme="minorHAnsi" w:hAnsiTheme="minorHAnsi"/>
          <w:sz w:val="22"/>
        </w:rPr>
      </w:pPr>
      <w:r>
        <w:rPr>
          <w:rFonts w:asciiTheme="minorHAnsi" w:hAnsiTheme="minorHAnsi"/>
          <w:sz w:val="22"/>
        </w:rPr>
        <w:t xml:space="preserve">All programs report the need for documentation as a challenge with the population served. </w:t>
      </w:r>
    </w:p>
    <w:p w:rsidR="00BA3FF2" w:rsidRDefault="00BA3FF2" w:rsidP="00C40B30">
      <w:pPr>
        <w:pStyle w:val="ListParagraph"/>
        <w:rPr>
          <w:rFonts w:asciiTheme="minorHAnsi" w:hAnsiTheme="minorHAnsi"/>
          <w:sz w:val="22"/>
        </w:rPr>
      </w:pPr>
    </w:p>
    <w:p w:rsidR="001F5215" w:rsidRPr="00796FE2" w:rsidRDefault="001F5215" w:rsidP="00C40B30">
      <w:pPr>
        <w:pStyle w:val="ListParagraph"/>
        <w:rPr>
          <w:rFonts w:asciiTheme="minorHAnsi" w:hAnsiTheme="minorHAnsi"/>
          <w:sz w:val="22"/>
        </w:rPr>
      </w:pPr>
    </w:p>
    <w:p w:rsidR="00242F00" w:rsidRPr="00242F00" w:rsidRDefault="00242F00" w:rsidP="00C40B30">
      <w:pPr>
        <w:rPr>
          <w:rFonts w:asciiTheme="minorHAnsi" w:hAnsiTheme="minorHAnsi"/>
          <w:b/>
          <w:bCs/>
          <w:sz w:val="22"/>
        </w:rPr>
      </w:pPr>
      <w:r w:rsidRPr="00242F00">
        <w:rPr>
          <w:rFonts w:asciiTheme="minorHAnsi" w:hAnsiTheme="minorHAnsi"/>
          <w:b/>
          <w:bCs/>
          <w:sz w:val="22"/>
        </w:rPr>
        <w:t>5. Adult Education Standards</w:t>
      </w:r>
    </w:p>
    <w:p w:rsidR="00242F00" w:rsidRPr="00BF29AE" w:rsidRDefault="00242F00" w:rsidP="00C40B30">
      <w:pPr>
        <w:rPr>
          <w:rFonts w:asciiTheme="minorHAnsi" w:hAnsiTheme="minorHAnsi"/>
          <w:i/>
          <w:sz w:val="22"/>
        </w:rPr>
      </w:pPr>
      <w:r w:rsidRPr="00BF29AE">
        <w:rPr>
          <w:rFonts w:asciiTheme="minorHAnsi" w:hAnsiTheme="minorHAnsi"/>
          <w:i/>
          <w:sz w:val="22"/>
        </w:rPr>
        <w:t>If your State has adopted new challenging K-12 standards under title I of the Elementary and</w:t>
      </w:r>
      <w:r w:rsidR="00796FE2" w:rsidRPr="00BF29AE">
        <w:rPr>
          <w:rFonts w:asciiTheme="minorHAnsi" w:hAnsiTheme="minorHAnsi"/>
          <w:i/>
          <w:sz w:val="22"/>
        </w:rPr>
        <w:t xml:space="preserve"> </w:t>
      </w:r>
      <w:r w:rsidRPr="00BF29AE">
        <w:rPr>
          <w:rFonts w:asciiTheme="minorHAnsi" w:hAnsiTheme="minorHAnsi"/>
          <w:i/>
          <w:sz w:val="22"/>
        </w:rPr>
        <w:t>Secondary Education Act of 1965, as amended, describe how your Adult Education content</w:t>
      </w:r>
      <w:r w:rsidR="00796FE2" w:rsidRPr="00BF29AE">
        <w:rPr>
          <w:rFonts w:asciiTheme="minorHAnsi" w:hAnsiTheme="minorHAnsi"/>
          <w:i/>
          <w:sz w:val="22"/>
        </w:rPr>
        <w:t xml:space="preserve"> </w:t>
      </w:r>
      <w:r w:rsidRPr="00BF29AE">
        <w:rPr>
          <w:rFonts w:asciiTheme="minorHAnsi" w:hAnsiTheme="minorHAnsi"/>
          <w:i/>
          <w:sz w:val="22"/>
        </w:rPr>
        <w:t>standards are aligned with those K-12 standards.</w:t>
      </w:r>
    </w:p>
    <w:p w:rsidR="00796FE2" w:rsidRPr="00242F00" w:rsidRDefault="00796FE2" w:rsidP="00C40B30">
      <w:pPr>
        <w:rPr>
          <w:rFonts w:asciiTheme="minorHAnsi" w:hAnsiTheme="minorHAnsi"/>
          <w:sz w:val="22"/>
        </w:rPr>
      </w:pPr>
    </w:p>
    <w:p w:rsidR="00242F00" w:rsidRPr="00BF29AE" w:rsidRDefault="00242F00" w:rsidP="00C40B30">
      <w:pPr>
        <w:pStyle w:val="ListParagraph"/>
        <w:numPr>
          <w:ilvl w:val="0"/>
          <w:numId w:val="1"/>
        </w:numPr>
        <w:rPr>
          <w:rFonts w:asciiTheme="minorHAnsi" w:hAnsiTheme="minorHAnsi"/>
          <w:i/>
          <w:sz w:val="22"/>
        </w:rPr>
      </w:pPr>
      <w:r w:rsidRPr="00BF29AE">
        <w:rPr>
          <w:rFonts w:asciiTheme="minorHAnsi" w:hAnsiTheme="minorHAnsi"/>
          <w:i/>
          <w:sz w:val="22"/>
        </w:rPr>
        <w:t>Optional – Describe implementation efforts, challenges, and any lessons learned.</w:t>
      </w:r>
    </w:p>
    <w:p w:rsidR="00796FE2" w:rsidRDefault="00796FE2" w:rsidP="00C40B30">
      <w:pPr>
        <w:ind w:left="450"/>
        <w:rPr>
          <w:rFonts w:asciiTheme="minorHAnsi" w:hAnsiTheme="minorHAnsi"/>
          <w:sz w:val="22"/>
        </w:rPr>
      </w:pPr>
    </w:p>
    <w:p w:rsidR="0071584A" w:rsidRDefault="0071584A" w:rsidP="00C40B30">
      <w:pPr>
        <w:autoSpaceDE w:val="0"/>
        <w:autoSpaceDN w:val="0"/>
        <w:adjustRightInd w:val="0"/>
        <w:ind w:left="450"/>
        <w:rPr>
          <w:rFonts w:asciiTheme="minorHAnsi" w:hAnsiTheme="minorHAnsi" w:cs="Tahoma"/>
          <w:color w:val="000000" w:themeColor="text1"/>
          <w:sz w:val="22"/>
          <w:szCs w:val="22"/>
        </w:rPr>
      </w:pPr>
      <w:r>
        <w:rPr>
          <w:rFonts w:asciiTheme="minorHAnsi" w:hAnsiTheme="minorHAnsi" w:cs="Tahoma"/>
          <w:color w:val="000000" w:themeColor="text1"/>
          <w:sz w:val="22"/>
          <w:szCs w:val="22"/>
        </w:rPr>
        <w:t>Nevada adopted the Common Core State Standards in 2010, calling the standards the Nevada Academic Content Standards</w:t>
      </w:r>
      <w:r w:rsidR="00957ABF">
        <w:rPr>
          <w:rFonts w:asciiTheme="minorHAnsi" w:hAnsiTheme="minorHAnsi" w:cs="Tahoma"/>
          <w:color w:val="000000" w:themeColor="text1"/>
          <w:sz w:val="22"/>
          <w:szCs w:val="22"/>
        </w:rPr>
        <w:t xml:space="preserve"> for English Language Arts and M</w:t>
      </w:r>
      <w:r>
        <w:rPr>
          <w:rFonts w:asciiTheme="minorHAnsi" w:hAnsiTheme="minorHAnsi" w:cs="Tahoma"/>
          <w:color w:val="000000" w:themeColor="text1"/>
          <w:sz w:val="22"/>
          <w:szCs w:val="22"/>
        </w:rPr>
        <w:t xml:space="preserve">athematics. Nevada </w:t>
      </w:r>
      <w:r w:rsidRPr="00E14CA0">
        <w:rPr>
          <w:rFonts w:asciiTheme="minorHAnsi" w:hAnsiTheme="minorHAnsi" w:cs="Tahoma"/>
          <w:color w:val="000000" w:themeColor="text1"/>
          <w:sz w:val="22"/>
          <w:szCs w:val="22"/>
        </w:rPr>
        <w:t xml:space="preserve">was </w:t>
      </w:r>
      <w:r w:rsidRPr="00E14CA0">
        <w:rPr>
          <w:rFonts w:asciiTheme="minorHAnsi" w:hAnsiTheme="minorHAnsi" w:cs="Tahoma"/>
          <w:color w:val="000000" w:themeColor="text1"/>
          <w:sz w:val="22"/>
          <w:szCs w:val="22"/>
          <w:lang w:val="x-none"/>
        </w:rPr>
        <w:t>one of ten states selected</w:t>
      </w:r>
      <w:r w:rsidRPr="00E14CA0">
        <w:rPr>
          <w:rFonts w:asciiTheme="minorHAnsi" w:hAnsiTheme="minorHAnsi" w:cs="Tahoma"/>
          <w:color w:val="000000" w:themeColor="text1"/>
          <w:sz w:val="22"/>
          <w:szCs w:val="22"/>
        </w:rPr>
        <w:t xml:space="preserve"> to participate in </w:t>
      </w:r>
      <w:r w:rsidRPr="00E14CA0">
        <w:rPr>
          <w:rFonts w:asciiTheme="minorHAnsi" w:hAnsiTheme="minorHAnsi" w:cs="Tahoma"/>
          <w:color w:val="000000" w:themeColor="text1"/>
          <w:sz w:val="22"/>
          <w:szCs w:val="22"/>
          <w:lang w:val="x-none"/>
        </w:rPr>
        <w:t xml:space="preserve">the </w:t>
      </w:r>
      <w:r w:rsidRPr="00E14CA0">
        <w:rPr>
          <w:rFonts w:asciiTheme="minorHAnsi" w:hAnsiTheme="minorHAnsi" w:cs="Tahoma"/>
          <w:color w:val="000000" w:themeColor="text1"/>
          <w:sz w:val="22"/>
          <w:szCs w:val="22"/>
        </w:rPr>
        <w:t xml:space="preserve">U.S. Department of Education’s </w:t>
      </w:r>
      <w:r w:rsidRPr="00E14CA0">
        <w:rPr>
          <w:rFonts w:asciiTheme="minorHAnsi" w:hAnsiTheme="minorHAnsi" w:cs="Tahoma"/>
          <w:color w:val="000000" w:themeColor="text1"/>
          <w:sz w:val="22"/>
          <w:szCs w:val="22"/>
          <w:lang w:val="en"/>
        </w:rPr>
        <w:t xml:space="preserve">Office of Career, Technical, and Adult Education (OCTAE) two-year College and Career Readiness Standards-in-Action </w:t>
      </w:r>
      <w:r w:rsidR="00E935B6">
        <w:rPr>
          <w:rFonts w:asciiTheme="minorHAnsi" w:hAnsiTheme="minorHAnsi" w:cs="Tahoma"/>
          <w:color w:val="000000" w:themeColor="text1"/>
          <w:sz w:val="22"/>
          <w:szCs w:val="22"/>
          <w:lang w:val="en"/>
        </w:rPr>
        <w:t xml:space="preserve">(CCRS) </w:t>
      </w:r>
      <w:r w:rsidRPr="00E14CA0">
        <w:rPr>
          <w:rFonts w:asciiTheme="minorHAnsi" w:hAnsiTheme="minorHAnsi" w:cs="Tahoma"/>
          <w:color w:val="000000" w:themeColor="text1"/>
          <w:sz w:val="22"/>
          <w:szCs w:val="22"/>
          <w:lang w:val="en"/>
        </w:rPr>
        <w:t>initiative.</w:t>
      </w:r>
      <w:r w:rsidR="00957ABF">
        <w:rPr>
          <w:rFonts w:asciiTheme="minorHAnsi" w:hAnsiTheme="minorHAnsi" w:cs="Tahoma"/>
          <w:color w:val="000000" w:themeColor="text1"/>
          <w:sz w:val="22"/>
          <w:szCs w:val="22"/>
          <w:lang w:val="en"/>
        </w:rPr>
        <w:t xml:space="preserve"> </w:t>
      </w:r>
      <w:r w:rsidR="00E935B6">
        <w:rPr>
          <w:rFonts w:asciiTheme="minorHAnsi" w:hAnsiTheme="minorHAnsi" w:cs="Tahoma"/>
          <w:color w:val="000000" w:themeColor="text1"/>
          <w:sz w:val="22"/>
          <w:szCs w:val="22"/>
          <w:lang w:val="en"/>
        </w:rPr>
        <w:t xml:space="preserve">Implementation of the CCRS aligns the Nevada Adult Education content standards with the Nevada K-12 standards. </w:t>
      </w:r>
    </w:p>
    <w:p w:rsidR="0071584A" w:rsidRDefault="0071584A" w:rsidP="00C40B30">
      <w:pPr>
        <w:autoSpaceDE w:val="0"/>
        <w:autoSpaceDN w:val="0"/>
        <w:adjustRightInd w:val="0"/>
        <w:ind w:left="450"/>
        <w:rPr>
          <w:rFonts w:asciiTheme="minorHAnsi" w:hAnsiTheme="minorHAnsi" w:cs="Tahoma"/>
          <w:color w:val="000000" w:themeColor="text1"/>
          <w:sz w:val="22"/>
          <w:szCs w:val="22"/>
        </w:rPr>
      </w:pPr>
    </w:p>
    <w:p w:rsidR="00E935B6" w:rsidRPr="00E14CA0" w:rsidRDefault="00E935B6" w:rsidP="00C40B30">
      <w:pPr>
        <w:autoSpaceDE w:val="0"/>
        <w:autoSpaceDN w:val="0"/>
        <w:adjustRightInd w:val="0"/>
        <w:ind w:left="450"/>
        <w:rPr>
          <w:rFonts w:asciiTheme="minorHAnsi" w:hAnsiTheme="minorHAnsi" w:cs="Tahoma"/>
          <w:color w:val="000000" w:themeColor="text1"/>
          <w:sz w:val="22"/>
          <w:szCs w:val="22"/>
        </w:rPr>
      </w:pPr>
      <w:r w:rsidRPr="00E14CA0">
        <w:rPr>
          <w:rFonts w:asciiTheme="minorHAnsi" w:hAnsiTheme="minorHAnsi" w:cs="Tahoma"/>
          <w:color w:val="000000" w:themeColor="text1"/>
          <w:sz w:val="22"/>
          <w:szCs w:val="22"/>
        </w:rPr>
        <w:t>Nevada’s goal is to develop and sustain a College and Career Readiness Standards-based system that guides curriculum, instruction, assessment, and professional development implemented</w:t>
      </w:r>
      <w:r w:rsidR="003656C5">
        <w:rPr>
          <w:rFonts w:asciiTheme="minorHAnsi" w:hAnsiTheme="minorHAnsi" w:cs="Tahoma"/>
          <w:color w:val="000000" w:themeColor="text1"/>
          <w:sz w:val="22"/>
          <w:szCs w:val="22"/>
        </w:rPr>
        <w:t>,</w:t>
      </w:r>
      <w:r w:rsidRPr="00E14CA0">
        <w:rPr>
          <w:rFonts w:asciiTheme="minorHAnsi" w:hAnsiTheme="minorHAnsi" w:cs="Tahoma"/>
          <w:color w:val="000000" w:themeColor="text1"/>
          <w:sz w:val="22"/>
          <w:szCs w:val="22"/>
        </w:rPr>
        <w:t xml:space="preserve"> at all AEFLA-funded programs and in all </w:t>
      </w:r>
      <w:r w:rsidR="003656C5">
        <w:rPr>
          <w:rFonts w:asciiTheme="minorHAnsi" w:hAnsiTheme="minorHAnsi" w:cs="Tahoma"/>
          <w:color w:val="000000" w:themeColor="text1"/>
          <w:sz w:val="22"/>
          <w:szCs w:val="22"/>
        </w:rPr>
        <w:t xml:space="preserve">levels, </w:t>
      </w:r>
      <w:r>
        <w:rPr>
          <w:rFonts w:asciiTheme="minorHAnsi" w:hAnsiTheme="minorHAnsi" w:cs="Tahoma"/>
          <w:color w:val="000000" w:themeColor="text1"/>
          <w:sz w:val="22"/>
          <w:szCs w:val="22"/>
        </w:rPr>
        <w:t xml:space="preserve">no later than </w:t>
      </w:r>
      <w:r w:rsidRPr="00E14CA0">
        <w:rPr>
          <w:rFonts w:asciiTheme="minorHAnsi" w:hAnsiTheme="minorHAnsi" w:cs="Tahoma"/>
          <w:color w:val="000000" w:themeColor="text1"/>
          <w:sz w:val="22"/>
          <w:szCs w:val="22"/>
        </w:rPr>
        <w:t>June 30, 2019.</w:t>
      </w:r>
    </w:p>
    <w:p w:rsidR="00E935B6" w:rsidRDefault="00E935B6" w:rsidP="00C40B30">
      <w:pPr>
        <w:autoSpaceDE w:val="0"/>
        <w:autoSpaceDN w:val="0"/>
        <w:adjustRightInd w:val="0"/>
        <w:ind w:left="450"/>
        <w:rPr>
          <w:rFonts w:asciiTheme="minorHAnsi" w:hAnsiTheme="minorHAnsi" w:cs="Tahoma"/>
          <w:color w:val="000000" w:themeColor="text1"/>
          <w:sz w:val="22"/>
          <w:szCs w:val="22"/>
        </w:rPr>
      </w:pPr>
    </w:p>
    <w:p w:rsidR="0071584A" w:rsidRPr="00E14CA0" w:rsidRDefault="0071584A" w:rsidP="00C40B30">
      <w:pPr>
        <w:autoSpaceDE w:val="0"/>
        <w:autoSpaceDN w:val="0"/>
        <w:adjustRightInd w:val="0"/>
        <w:ind w:left="450"/>
        <w:rPr>
          <w:rFonts w:asciiTheme="minorHAnsi" w:hAnsiTheme="minorHAnsi" w:cs="Tahoma"/>
          <w:color w:val="000000" w:themeColor="text1"/>
          <w:sz w:val="22"/>
          <w:szCs w:val="22"/>
          <w:lang w:val="x-none"/>
        </w:rPr>
      </w:pPr>
      <w:r w:rsidRPr="00E14CA0">
        <w:rPr>
          <w:rFonts w:asciiTheme="minorHAnsi" w:hAnsiTheme="minorHAnsi" w:cs="Tahoma"/>
          <w:color w:val="000000" w:themeColor="text1"/>
          <w:sz w:val="22"/>
          <w:szCs w:val="22"/>
          <w:lang w:val="x-none"/>
        </w:rPr>
        <w:t xml:space="preserve">State Leadership </w:t>
      </w:r>
      <w:r w:rsidRPr="00E14CA0">
        <w:rPr>
          <w:rFonts w:asciiTheme="minorHAnsi" w:hAnsiTheme="minorHAnsi" w:cs="Tahoma"/>
          <w:color w:val="000000" w:themeColor="text1"/>
          <w:sz w:val="22"/>
          <w:szCs w:val="22"/>
        </w:rPr>
        <w:t xml:space="preserve">worked on </w:t>
      </w:r>
      <w:r w:rsidR="003656C5">
        <w:rPr>
          <w:rFonts w:asciiTheme="minorHAnsi" w:hAnsiTheme="minorHAnsi" w:cs="Tahoma"/>
          <w:color w:val="000000" w:themeColor="text1"/>
          <w:sz w:val="22"/>
          <w:szCs w:val="22"/>
        </w:rPr>
        <w:t xml:space="preserve">continuing the </w:t>
      </w:r>
      <w:r w:rsidRPr="00E14CA0">
        <w:rPr>
          <w:rFonts w:asciiTheme="minorHAnsi" w:hAnsiTheme="minorHAnsi" w:cs="Tahoma"/>
          <w:color w:val="000000" w:themeColor="text1"/>
          <w:sz w:val="22"/>
          <w:szCs w:val="22"/>
          <w:lang w:val="x-none"/>
        </w:rPr>
        <w:t>integra</w:t>
      </w:r>
      <w:r w:rsidRPr="00E14CA0">
        <w:rPr>
          <w:rFonts w:asciiTheme="minorHAnsi" w:hAnsiTheme="minorHAnsi" w:cs="Tahoma"/>
          <w:color w:val="000000" w:themeColor="text1"/>
          <w:sz w:val="22"/>
          <w:szCs w:val="22"/>
        </w:rPr>
        <w:t>tion of</w:t>
      </w:r>
      <w:r w:rsidRPr="00E14CA0">
        <w:rPr>
          <w:rFonts w:asciiTheme="minorHAnsi" w:hAnsiTheme="minorHAnsi" w:cs="Tahoma"/>
          <w:color w:val="000000" w:themeColor="text1"/>
          <w:sz w:val="22"/>
          <w:szCs w:val="22"/>
          <w:lang w:val="x-none"/>
        </w:rPr>
        <w:t xml:space="preserve"> College and Career Readiness into all program levels for all adult learners</w:t>
      </w:r>
      <w:r w:rsidR="003656C5">
        <w:rPr>
          <w:rFonts w:asciiTheme="minorHAnsi" w:hAnsiTheme="minorHAnsi" w:cs="Tahoma"/>
          <w:color w:val="000000" w:themeColor="text1"/>
          <w:sz w:val="22"/>
          <w:szCs w:val="22"/>
        </w:rPr>
        <w:t>.</w:t>
      </w:r>
      <w:r w:rsidRPr="00E14CA0">
        <w:rPr>
          <w:rFonts w:asciiTheme="minorHAnsi" w:hAnsiTheme="minorHAnsi" w:cs="Tahoma"/>
          <w:color w:val="000000" w:themeColor="text1"/>
          <w:sz w:val="22"/>
          <w:szCs w:val="22"/>
          <w:lang w:val="x-none"/>
        </w:rPr>
        <w:t xml:space="preserve"> Helping the teachers learn how to implement the CCRS </w:t>
      </w:r>
      <w:r w:rsidR="003656C5">
        <w:rPr>
          <w:rFonts w:asciiTheme="minorHAnsi" w:hAnsiTheme="minorHAnsi" w:cs="Tahoma"/>
          <w:color w:val="000000" w:themeColor="text1"/>
          <w:sz w:val="22"/>
          <w:szCs w:val="22"/>
        </w:rPr>
        <w:t>has paved</w:t>
      </w:r>
      <w:r w:rsidRPr="00E14CA0">
        <w:rPr>
          <w:rFonts w:asciiTheme="minorHAnsi" w:hAnsiTheme="minorHAnsi" w:cs="Tahoma"/>
          <w:color w:val="000000" w:themeColor="text1"/>
          <w:sz w:val="22"/>
          <w:szCs w:val="22"/>
          <w:lang w:val="x-none"/>
        </w:rPr>
        <w:t xml:space="preserve"> the way for students to make easier transitions to postsecondary education and training</w:t>
      </w:r>
      <w:r w:rsidR="003656C5">
        <w:rPr>
          <w:rFonts w:asciiTheme="minorHAnsi" w:hAnsiTheme="minorHAnsi" w:cs="Tahoma"/>
          <w:color w:val="000000" w:themeColor="text1"/>
          <w:sz w:val="22"/>
          <w:szCs w:val="22"/>
        </w:rPr>
        <w:t xml:space="preserve">. Furthermore, the implementation of CCRS has helped </w:t>
      </w:r>
      <w:r w:rsidRPr="00E14CA0">
        <w:rPr>
          <w:rFonts w:asciiTheme="minorHAnsi" w:hAnsiTheme="minorHAnsi" w:cs="Tahoma"/>
          <w:color w:val="000000" w:themeColor="text1"/>
          <w:sz w:val="22"/>
          <w:szCs w:val="22"/>
          <w:lang w:val="x-none"/>
        </w:rPr>
        <w:t>to align Adult Basic Education programming with workforce and career readiness that leads to certification and credentialing, and to support short-term certification for high demand job sectors based on current Nevada Department of Employment Training and Rehabilitation (DETR) local labor market data.</w:t>
      </w:r>
    </w:p>
    <w:p w:rsidR="0071584A" w:rsidRPr="00E14CA0" w:rsidRDefault="0071584A" w:rsidP="00C40B30">
      <w:pPr>
        <w:autoSpaceDE w:val="0"/>
        <w:autoSpaceDN w:val="0"/>
        <w:adjustRightInd w:val="0"/>
        <w:ind w:left="450"/>
        <w:rPr>
          <w:rFonts w:asciiTheme="minorHAnsi" w:hAnsiTheme="minorHAnsi" w:cs="Tahoma"/>
          <w:color w:val="000000" w:themeColor="text1"/>
          <w:sz w:val="22"/>
          <w:szCs w:val="22"/>
          <w:lang w:val="x-none"/>
        </w:rPr>
      </w:pPr>
    </w:p>
    <w:p w:rsidR="0071584A" w:rsidRPr="00E14CA0" w:rsidRDefault="0071584A" w:rsidP="00C40B30">
      <w:pPr>
        <w:autoSpaceDE w:val="0"/>
        <w:autoSpaceDN w:val="0"/>
        <w:adjustRightInd w:val="0"/>
        <w:ind w:left="450"/>
        <w:rPr>
          <w:rFonts w:asciiTheme="minorHAnsi" w:hAnsiTheme="minorHAnsi" w:cs="Tahoma"/>
          <w:color w:val="000000" w:themeColor="text1"/>
          <w:sz w:val="22"/>
          <w:szCs w:val="22"/>
        </w:rPr>
      </w:pPr>
    </w:p>
    <w:p w:rsidR="00242F00" w:rsidRPr="00242F00" w:rsidRDefault="00242F00" w:rsidP="00C40B30">
      <w:pPr>
        <w:rPr>
          <w:rFonts w:asciiTheme="minorHAnsi" w:hAnsiTheme="minorHAnsi"/>
          <w:b/>
          <w:bCs/>
          <w:sz w:val="22"/>
        </w:rPr>
      </w:pPr>
      <w:r w:rsidRPr="00242F00">
        <w:rPr>
          <w:rFonts w:asciiTheme="minorHAnsi" w:hAnsiTheme="minorHAnsi"/>
          <w:b/>
          <w:bCs/>
          <w:sz w:val="22"/>
        </w:rPr>
        <w:t>6. Programs for Corrections Education and the Education of Other Institutionalized</w:t>
      </w:r>
    </w:p>
    <w:p w:rsidR="00242F00" w:rsidRPr="00242F00" w:rsidRDefault="00242F00" w:rsidP="00C40B30">
      <w:pPr>
        <w:rPr>
          <w:rFonts w:asciiTheme="minorHAnsi" w:hAnsiTheme="minorHAnsi"/>
          <w:sz w:val="22"/>
        </w:rPr>
      </w:pPr>
      <w:r w:rsidRPr="00242F00">
        <w:rPr>
          <w:rFonts w:asciiTheme="minorHAnsi" w:hAnsiTheme="minorHAnsi"/>
          <w:b/>
          <w:bCs/>
          <w:sz w:val="22"/>
        </w:rPr>
        <w:t xml:space="preserve">Individuals </w:t>
      </w:r>
      <w:r w:rsidRPr="00242F00">
        <w:rPr>
          <w:rFonts w:asciiTheme="minorHAnsi" w:hAnsiTheme="minorHAnsi"/>
          <w:sz w:val="22"/>
        </w:rPr>
        <w:t>(AEFLA Section 225)</w:t>
      </w:r>
    </w:p>
    <w:p w:rsidR="00242F00" w:rsidRDefault="00242F00" w:rsidP="00C40B30">
      <w:pPr>
        <w:rPr>
          <w:rFonts w:asciiTheme="minorHAnsi" w:hAnsiTheme="minorHAnsi"/>
          <w:i/>
          <w:sz w:val="22"/>
        </w:rPr>
      </w:pPr>
      <w:r w:rsidRPr="00BF29AE">
        <w:rPr>
          <w:rFonts w:asciiTheme="minorHAnsi" w:hAnsiTheme="minorHAnsi"/>
          <w:i/>
          <w:sz w:val="22"/>
        </w:rPr>
        <w:t>What was the relative rate of recidivism for criminal offenders served? Please describe the</w:t>
      </w:r>
      <w:r w:rsidR="00796FE2" w:rsidRPr="00BF29AE">
        <w:rPr>
          <w:rFonts w:asciiTheme="minorHAnsi" w:hAnsiTheme="minorHAnsi"/>
          <w:i/>
          <w:sz w:val="22"/>
        </w:rPr>
        <w:t xml:space="preserve"> </w:t>
      </w:r>
      <w:r w:rsidRPr="00BF29AE">
        <w:rPr>
          <w:rFonts w:asciiTheme="minorHAnsi" w:hAnsiTheme="minorHAnsi"/>
          <w:i/>
          <w:sz w:val="22"/>
        </w:rPr>
        <w:t>methods and factors used in calculating the rate for this reporting period.</w:t>
      </w:r>
    </w:p>
    <w:p w:rsidR="009F6686" w:rsidRDefault="009F6686" w:rsidP="00C40B30">
      <w:pPr>
        <w:rPr>
          <w:rFonts w:asciiTheme="minorHAnsi" w:hAnsiTheme="minorHAnsi"/>
          <w:i/>
          <w:sz w:val="22"/>
        </w:rPr>
      </w:pPr>
    </w:p>
    <w:p w:rsidR="009F6686" w:rsidRPr="009F6686" w:rsidRDefault="009F6686" w:rsidP="00C40B30">
      <w:pPr>
        <w:rPr>
          <w:rFonts w:asciiTheme="minorHAnsi" w:hAnsiTheme="minorHAnsi"/>
          <w:sz w:val="22"/>
        </w:rPr>
      </w:pPr>
      <w:r>
        <w:rPr>
          <w:rFonts w:asciiTheme="minorHAnsi" w:hAnsiTheme="minorHAnsi"/>
          <w:sz w:val="22"/>
        </w:rPr>
        <w:t xml:space="preserve">During the last program year no AEFLA funds were used for Programs for Corrections Education and the Education of Other institutionalized Individuals. </w:t>
      </w:r>
      <w:r w:rsidR="00693E01">
        <w:rPr>
          <w:rFonts w:asciiTheme="minorHAnsi" w:hAnsiTheme="minorHAnsi"/>
          <w:sz w:val="22"/>
        </w:rPr>
        <w:t xml:space="preserve">We will explore the options for partnering with the existing state funded corrections education program during the coming year. In addition, the Nevada Department of Corrections will be made aware of the next available competitive RFP upon its release in 2017. </w:t>
      </w:r>
    </w:p>
    <w:sectPr w:rsidR="009F6686" w:rsidRPr="009F66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0A" w:rsidRDefault="00603D0A" w:rsidP="00603D0A">
      <w:r>
        <w:separator/>
      </w:r>
    </w:p>
  </w:endnote>
  <w:endnote w:type="continuationSeparator" w:id="0">
    <w:p w:rsidR="00603D0A" w:rsidRDefault="00603D0A" w:rsidP="006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55490"/>
      <w:docPartObj>
        <w:docPartGallery w:val="Page Numbers (Bottom of Page)"/>
        <w:docPartUnique/>
      </w:docPartObj>
    </w:sdtPr>
    <w:sdtEndPr>
      <w:rPr>
        <w:noProof/>
      </w:rPr>
    </w:sdtEndPr>
    <w:sdtContent>
      <w:p w:rsidR="00603D0A" w:rsidRDefault="00603D0A">
        <w:pPr>
          <w:pStyle w:val="Footer"/>
          <w:jc w:val="right"/>
        </w:pPr>
        <w:r>
          <w:fldChar w:fldCharType="begin"/>
        </w:r>
        <w:r>
          <w:instrText xml:space="preserve"> PAGE   \* MERGEFORMAT </w:instrText>
        </w:r>
        <w:r>
          <w:fldChar w:fldCharType="separate"/>
        </w:r>
        <w:r w:rsidR="00F02B3C">
          <w:rPr>
            <w:noProof/>
          </w:rPr>
          <w:t>5</w:t>
        </w:r>
        <w:r>
          <w:rPr>
            <w:noProof/>
          </w:rPr>
          <w:fldChar w:fldCharType="end"/>
        </w:r>
      </w:p>
    </w:sdtContent>
  </w:sdt>
  <w:p w:rsidR="00603D0A" w:rsidRDefault="00603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0A" w:rsidRDefault="00603D0A" w:rsidP="00603D0A">
      <w:r>
        <w:separator/>
      </w:r>
    </w:p>
  </w:footnote>
  <w:footnote w:type="continuationSeparator" w:id="0">
    <w:p w:rsidR="00603D0A" w:rsidRDefault="00603D0A" w:rsidP="0060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B60"/>
    <w:multiLevelType w:val="hybridMultilevel"/>
    <w:tmpl w:val="16AAFB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A213AAA"/>
    <w:multiLevelType w:val="hybridMultilevel"/>
    <w:tmpl w:val="BC0220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A0738A9"/>
    <w:multiLevelType w:val="hybridMultilevel"/>
    <w:tmpl w:val="E6A4D4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A3D1D15"/>
    <w:multiLevelType w:val="hybridMultilevel"/>
    <w:tmpl w:val="D4B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B09A3"/>
    <w:multiLevelType w:val="hybridMultilevel"/>
    <w:tmpl w:val="1FEACACC"/>
    <w:lvl w:ilvl="0" w:tplc="551EC5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86FA6"/>
    <w:multiLevelType w:val="hybridMultilevel"/>
    <w:tmpl w:val="012C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82427"/>
    <w:multiLevelType w:val="hybridMultilevel"/>
    <w:tmpl w:val="5666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764A2"/>
    <w:multiLevelType w:val="hybridMultilevel"/>
    <w:tmpl w:val="0DD6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00"/>
    <w:rsid w:val="000315B1"/>
    <w:rsid w:val="00060E60"/>
    <w:rsid w:val="00090379"/>
    <w:rsid w:val="0014340B"/>
    <w:rsid w:val="001719C7"/>
    <w:rsid w:val="00190AF3"/>
    <w:rsid w:val="001A5B43"/>
    <w:rsid w:val="001F5215"/>
    <w:rsid w:val="00242F00"/>
    <w:rsid w:val="00283FD8"/>
    <w:rsid w:val="00291AEA"/>
    <w:rsid w:val="002B6CEC"/>
    <w:rsid w:val="00315669"/>
    <w:rsid w:val="00331AD5"/>
    <w:rsid w:val="003656C5"/>
    <w:rsid w:val="003920B4"/>
    <w:rsid w:val="0039294B"/>
    <w:rsid w:val="003B5F8E"/>
    <w:rsid w:val="0043153A"/>
    <w:rsid w:val="00457866"/>
    <w:rsid w:val="00470675"/>
    <w:rsid w:val="004A6E1F"/>
    <w:rsid w:val="004E0A13"/>
    <w:rsid w:val="004E3505"/>
    <w:rsid w:val="004E53B6"/>
    <w:rsid w:val="004F0DC5"/>
    <w:rsid w:val="0053597F"/>
    <w:rsid w:val="00550B7F"/>
    <w:rsid w:val="00603D0A"/>
    <w:rsid w:val="006759D4"/>
    <w:rsid w:val="00693E01"/>
    <w:rsid w:val="006F231A"/>
    <w:rsid w:val="0071584A"/>
    <w:rsid w:val="00745A0C"/>
    <w:rsid w:val="00750026"/>
    <w:rsid w:val="00757FE0"/>
    <w:rsid w:val="007634C0"/>
    <w:rsid w:val="00766DF3"/>
    <w:rsid w:val="00796FE2"/>
    <w:rsid w:val="007C3F61"/>
    <w:rsid w:val="00814AB5"/>
    <w:rsid w:val="0083492A"/>
    <w:rsid w:val="008B2C51"/>
    <w:rsid w:val="008C67D0"/>
    <w:rsid w:val="0093602E"/>
    <w:rsid w:val="009532B6"/>
    <w:rsid w:val="00957ABF"/>
    <w:rsid w:val="00967544"/>
    <w:rsid w:val="00983DB7"/>
    <w:rsid w:val="0098547D"/>
    <w:rsid w:val="009B3393"/>
    <w:rsid w:val="009B6F0B"/>
    <w:rsid w:val="009C5A43"/>
    <w:rsid w:val="009F6686"/>
    <w:rsid w:val="00A11F26"/>
    <w:rsid w:val="00A50CD1"/>
    <w:rsid w:val="00AC4E91"/>
    <w:rsid w:val="00BA3FF2"/>
    <w:rsid w:val="00BC365E"/>
    <w:rsid w:val="00BF29AE"/>
    <w:rsid w:val="00C33C10"/>
    <w:rsid w:val="00C40B30"/>
    <w:rsid w:val="00C93B3A"/>
    <w:rsid w:val="00CD2369"/>
    <w:rsid w:val="00CD7212"/>
    <w:rsid w:val="00D472A0"/>
    <w:rsid w:val="00DA2D57"/>
    <w:rsid w:val="00DC48F0"/>
    <w:rsid w:val="00E3682D"/>
    <w:rsid w:val="00E475BD"/>
    <w:rsid w:val="00E814DB"/>
    <w:rsid w:val="00E90C04"/>
    <w:rsid w:val="00E935B6"/>
    <w:rsid w:val="00ED03CA"/>
    <w:rsid w:val="00F02B3C"/>
    <w:rsid w:val="00F94DFE"/>
    <w:rsid w:val="00F950C3"/>
    <w:rsid w:val="00FC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00"/>
    <w:pPr>
      <w:spacing w:after="0" w:line="240" w:lineRule="auto"/>
    </w:pPr>
    <w:rPr>
      <w:rFonts w:ascii="Tms Rmn" w:eastAsia="Times New Roman" w:hAnsi="Tms Rmn" w:cs="Times New Roman"/>
      <w:sz w:val="20"/>
      <w:szCs w:val="20"/>
    </w:rPr>
  </w:style>
  <w:style w:type="paragraph" w:styleId="Heading1">
    <w:name w:val="heading 1"/>
    <w:basedOn w:val="Normal"/>
    <w:next w:val="Normal"/>
    <w:link w:val="Heading1Char"/>
    <w:qFormat/>
    <w:rsid w:val="00242F00"/>
    <w:pPr>
      <w:keepNext/>
      <w:spacing w:before="240" w:after="60"/>
      <w:outlineLvl w:val="0"/>
    </w:pPr>
    <w:rPr>
      <w:rFonts w:asciiTheme="majorHAnsi" w:eastAsiaTheme="majorEastAsia" w:hAnsiTheme="majorHAnsi" w:cstheme="majorBidi"/>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F00"/>
    <w:rPr>
      <w:rFonts w:asciiTheme="majorHAnsi" w:eastAsiaTheme="majorEastAsia" w:hAnsiTheme="majorHAnsi" w:cstheme="majorBidi"/>
      <w:b/>
      <w:bCs/>
      <w:snapToGrid w:val="0"/>
      <w:kern w:val="32"/>
      <w:sz w:val="32"/>
      <w:szCs w:val="32"/>
    </w:rPr>
  </w:style>
  <w:style w:type="paragraph" w:styleId="BalloonText">
    <w:name w:val="Balloon Text"/>
    <w:basedOn w:val="Normal"/>
    <w:link w:val="BalloonTextChar"/>
    <w:uiPriority w:val="99"/>
    <w:semiHidden/>
    <w:unhideWhenUsed/>
    <w:rsid w:val="00242F00"/>
    <w:rPr>
      <w:rFonts w:ascii="Tahoma" w:hAnsi="Tahoma" w:cs="Tahoma"/>
      <w:sz w:val="16"/>
      <w:szCs w:val="16"/>
    </w:rPr>
  </w:style>
  <w:style w:type="character" w:customStyle="1" w:styleId="BalloonTextChar">
    <w:name w:val="Balloon Text Char"/>
    <w:basedOn w:val="DefaultParagraphFont"/>
    <w:link w:val="BalloonText"/>
    <w:uiPriority w:val="99"/>
    <w:semiHidden/>
    <w:rsid w:val="00242F00"/>
    <w:rPr>
      <w:rFonts w:ascii="Tahoma" w:eastAsia="Times New Roman" w:hAnsi="Tahoma" w:cs="Tahoma"/>
      <w:sz w:val="16"/>
      <w:szCs w:val="16"/>
    </w:rPr>
  </w:style>
  <w:style w:type="paragraph" w:styleId="ListParagraph">
    <w:name w:val="List Paragraph"/>
    <w:basedOn w:val="Normal"/>
    <w:uiPriority w:val="34"/>
    <w:qFormat/>
    <w:rsid w:val="00967544"/>
    <w:pPr>
      <w:ind w:left="720"/>
      <w:contextualSpacing/>
    </w:pPr>
  </w:style>
  <w:style w:type="paragraph" w:styleId="Header">
    <w:name w:val="header"/>
    <w:basedOn w:val="Normal"/>
    <w:link w:val="HeaderChar"/>
    <w:uiPriority w:val="99"/>
    <w:unhideWhenUsed/>
    <w:rsid w:val="00603D0A"/>
    <w:pPr>
      <w:tabs>
        <w:tab w:val="center" w:pos="4680"/>
        <w:tab w:val="right" w:pos="9360"/>
      </w:tabs>
    </w:pPr>
  </w:style>
  <w:style w:type="character" w:customStyle="1" w:styleId="HeaderChar">
    <w:name w:val="Header Char"/>
    <w:basedOn w:val="DefaultParagraphFont"/>
    <w:link w:val="Header"/>
    <w:uiPriority w:val="99"/>
    <w:rsid w:val="00603D0A"/>
    <w:rPr>
      <w:rFonts w:ascii="Tms Rmn" w:eastAsia="Times New Roman" w:hAnsi="Tms Rmn" w:cs="Times New Roman"/>
      <w:sz w:val="20"/>
      <w:szCs w:val="20"/>
    </w:rPr>
  </w:style>
  <w:style w:type="paragraph" w:styleId="Footer">
    <w:name w:val="footer"/>
    <w:basedOn w:val="Normal"/>
    <w:link w:val="FooterChar"/>
    <w:uiPriority w:val="99"/>
    <w:unhideWhenUsed/>
    <w:rsid w:val="00603D0A"/>
    <w:pPr>
      <w:tabs>
        <w:tab w:val="center" w:pos="4680"/>
        <w:tab w:val="right" w:pos="9360"/>
      </w:tabs>
    </w:pPr>
  </w:style>
  <w:style w:type="character" w:customStyle="1" w:styleId="FooterChar">
    <w:name w:val="Footer Char"/>
    <w:basedOn w:val="DefaultParagraphFont"/>
    <w:link w:val="Footer"/>
    <w:uiPriority w:val="99"/>
    <w:rsid w:val="00603D0A"/>
    <w:rPr>
      <w:rFonts w:ascii="Tms Rmn" w:eastAsia="Times New Roman" w:hAnsi="Tms Rm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00"/>
    <w:pPr>
      <w:spacing w:after="0" w:line="240" w:lineRule="auto"/>
    </w:pPr>
    <w:rPr>
      <w:rFonts w:ascii="Tms Rmn" w:eastAsia="Times New Roman" w:hAnsi="Tms Rmn" w:cs="Times New Roman"/>
      <w:sz w:val="20"/>
      <w:szCs w:val="20"/>
    </w:rPr>
  </w:style>
  <w:style w:type="paragraph" w:styleId="Heading1">
    <w:name w:val="heading 1"/>
    <w:basedOn w:val="Normal"/>
    <w:next w:val="Normal"/>
    <w:link w:val="Heading1Char"/>
    <w:qFormat/>
    <w:rsid w:val="00242F00"/>
    <w:pPr>
      <w:keepNext/>
      <w:spacing w:before="240" w:after="60"/>
      <w:outlineLvl w:val="0"/>
    </w:pPr>
    <w:rPr>
      <w:rFonts w:asciiTheme="majorHAnsi" w:eastAsiaTheme="majorEastAsia" w:hAnsiTheme="majorHAnsi" w:cstheme="majorBidi"/>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F00"/>
    <w:rPr>
      <w:rFonts w:asciiTheme="majorHAnsi" w:eastAsiaTheme="majorEastAsia" w:hAnsiTheme="majorHAnsi" w:cstheme="majorBidi"/>
      <w:b/>
      <w:bCs/>
      <w:snapToGrid w:val="0"/>
      <w:kern w:val="32"/>
      <w:sz w:val="32"/>
      <w:szCs w:val="32"/>
    </w:rPr>
  </w:style>
  <w:style w:type="paragraph" w:styleId="BalloonText">
    <w:name w:val="Balloon Text"/>
    <w:basedOn w:val="Normal"/>
    <w:link w:val="BalloonTextChar"/>
    <w:uiPriority w:val="99"/>
    <w:semiHidden/>
    <w:unhideWhenUsed/>
    <w:rsid w:val="00242F00"/>
    <w:rPr>
      <w:rFonts w:ascii="Tahoma" w:hAnsi="Tahoma" w:cs="Tahoma"/>
      <w:sz w:val="16"/>
      <w:szCs w:val="16"/>
    </w:rPr>
  </w:style>
  <w:style w:type="character" w:customStyle="1" w:styleId="BalloonTextChar">
    <w:name w:val="Balloon Text Char"/>
    <w:basedOn w:val="DefaultParagraphFont"/>
    <w:link w:val="BalloonText"/>
    <w:uiPriority w:val="99"/>
    <w:semiHidden/>
    <w:rsid w:val="00242F00"/>
    <w:rPr>
      <w:rFonts w:ascii="Tahoma" w:eastAsia="Times New Roman" w:hAnsi="Tahoma" w:cs="Tahoma"/>
      <w:sz w:val="16"/>
      <w:szCs w:val="16"/>
    </w:rPr>
  </w:style>
  <w:style w:type="paragraph" w:styleId="ListParagraph">
    <w:name w:val="List Paragraph"/>
    <w:basedOn w:val="Normal"/>
    <w:uiPriority w:val="34"/>
    <w:qFormat/>
    <w:rsid w:val="00967544"/>
    <w:pPr>
      <w:ind w:left="720"/>
      <w:contextualSpacing/>
    </w:pPr>
  </w:style>
  <w:style w:type="paragraph" w:styleId="Header">
    <w:name w:val="header"/>
    <w:basedOn w:val="Normal"/>
    <w:link w:val="HeaderChar"/>
    <w:uiPriority w:val="99"/>
    <w:unhideWhenUsed/>
    <w:rsid w:val="00603D0A"/>
    <w:pPr>
      <w:tabs>
        <w:tab w:val="center" w:pos="4680"/>
        <w:tab w:val="right" w:pos="9360"/>
      </w:tabs>
    </w:pPr>
  </w:style>
  <w:style w:type="character" w:customStyle="1" w:styleId="HeaderChar">
    <w:name w:val="Header Char"/>
    <w:basedOn w:val="DefaultParagraphFont"/>
    <w:link w:val="Header"/>
    <w:uiPriority w:val="99"/>
    <w:rsid w:val="00603D0A"/>
    <w:rPr>
      <w:rFonts w:ascii="Tms Rmn" w:eastAsia="Times New Roman" w:hAnsi="Tms Rmn" w:cs="Times New Roman"/>
      <w:sz w:val="20"/>
      <w:szCs w:val="20"/>
    </w:rPr>
  </w:style>
  <w:style w:type="paragraph" w:styleId="Footer">
    <w:name w:val="footer"/>
    <w:basedOn w:val="Normal"/>
    <w:link w:val="FooterChar"/>
    <w:uiPriority w:val="99"/>
    <w:unhideWhenUsed/>
    <w:rsid w:val="00603D0A"/>
    <w:pPr>
      <w:tabs>
        <w:tab w:val="center" w:pos="4680"/>
        <w:tab w:val="right" w:pos="9360"/>
      </w:tabs>
    </w:pPr>
  </w:style>
  <w:style w:type="character" w:customStyle="1" w:styleId="FooterChar">
    <w:name w:val="Footer Char"/>
    <w:basedOn w:val="DefaultParagraphFont"/>
    <w:link w:val="Footer"/>
    <w:uiPriority w:val="99"/>
    <w:rsid w:val="00603D0A"/>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Olsen</dc:creator>
  <cp:lastModifiedBy>Nancy Olsen</cp:lastModifiedBy>
  <cp:revision>10</cp:revision>
  <dcterms:created xsi:type="dcterms:W3CDTF">2016-11-29T21:54:00Z</dcterms:created>
  <dcterms:modified xsi:type="dcterms:W3CDTF">2016-12-13T23:27:00Z</dcterms:modified>
</cp:coreProperties>
</file>