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91" w:rsidRPr="001F5F4A" w:rsidRDefault="00872E91" w:rsidP="00872E91">
      <w:pPr>
        <w:autoSpaceDE w:val="0"/>
        <w:autoSpaceDN w:val="0"/>
        <w:adjustRightInd w:val="0"/>
        <w:jc w:val="center"/>
        <w:rPr>
          <w:rFonts w:ascii="Tahoma" w:eastAsiaTheme="minorHAnsi" w:hAnsi="Tahoma" w:cs="Tahoma"/>
          <w:b/>
          <w:color w:val="FF0000"/>
          <w:sz w:val="52"/>
        </w:rPr>
      </w:pPr>
      <w:r w:rsidRPr="001F5F4A">
        <w:rPr>
          <w:rFonts w:ascii="Tahoma" w:hAnsi="Tahoma" w:cs="Tahoma"/>
          <w:b/>
          <w:bCs/>
          <w:noProof/>
          <w:color w:val="FF0000"/>
          <w:sz w:val="28"/>
          <w:szCs w:val="16"/>
        </w:rPr>
        <w:drawing>
          <wp:anchor distT="0" distB="0" distL="114300" distR="114300" simplePos="0" relativeHeight="251659264" behindDoc="0" locked="0" layoutInCell="1" allowOverlap="1" wp14:anchorId="130BBDEE" wp14:editId="44820091">
            <wp:simplePos x="0" y="0"/>
            <wp:positionH relativeFrom="column">
              <wp:posOffset>-400050</wp:posOffset>
            </wp:positionH>
            <wp:positionV relativeFrom="paragraph">
              <wp:posOffset>-742950</wp:posOffset>
            </wp:positionV>
            <wp:extent cx="1666875" cy="581025"/>
            <wp:effectExtent l="0" t="0" r="9525" b="9525"/>
            <wp:wrapNone/>
            <wp:docPr id="2" name="Picture 1" descr="CreatingSuccessLogo_Primary.jpg"/>
            <wp:cNvGraphicFramePr/>
            <a:graphic xmlns:a="http://schemas.openxmlformats.org/drawingml/2006/main">
              <a:graphicData uri="http://schemas.openxmlformats.org/drawingml/2006/picture">
                <pic:pic xmlns:pic="http://schemas.openxmlformats.org/drawingml/2006/picture">
                  <pic:nvPicPr>
                    <pic:cNvPr id="6" name="Picture 5" descr="CreatingSuccessLogo_Primary.jpg"/>
                    <pic:cNvPicPr/>
                  </pic:nvPicPr>
                  <pic:blipFill>
                    <a:blip r:embed="rId7" cstate="print"/>
                    <a:stretch>
                      <a:fillRect/>
                    </a:stretch>
                  </pic:blipFill>
                  <pic:spPr>
                    <a:xfrm>
                      <a:off x="0" y="0"/>
                      <a:ext cx="1666875" cy="581025"/>
                    </a:xfrm>
                    <a:prstGeom prst="rect">
                      <a:avLst/>
                    </a:prstGeom>
                  </pic:spPr>
                </pic:pic>
              </a:graphicData>
            </a:graphic>
          </wp:anchor>
        </w:drawing>
      </w:r>
      <w:r w:rsidRPr="001F5F4A">
        <w:rPr>
          <w:rFonts w:ascii="Tahoma" w:eastAsiaTheme="minorHAnsi" w:hAnsi="Tahoma" w:cs="Tahoma"/>
          <w:b/>
          <w:color w:val="FF0000"/>
          <w:sz w:val="52"/>
        </w:rPr>
        <w:t>North Carolina</w:t>
      </w:r>
      <w:r w:rsidR="001F1D50">
        <w:rPr>
          <w:rFonts w:ascii="Tahoma" w:eastAsiaTheme="minorHAnsi" w:hAnsi="Tahoma" w:cs="Tahoma"/>
          <w:b/>
          <w:color w:val="FF0000"/>
          <w:sz w:val="52"/>
        </w:rPr>
        <w:t xml:space="preserve"> (NC)</w:t>
      </w:r>
    </w:p>
    <w:p w:rsidR="00872E91" w:rsidRPr="00347280" w:rsidRDefault="00872E91" w:rsidP="00872E91">
      <w:pPr>
        <w:autoSpaceDE w:val="0"/>
        <w:autoSpaceDN w:val="0"/>
        <w:adjustRightInd w:val="0"/>
        <w:jc w:val="center"/>
        <w:rPr>
          <w:rFonts w:ascii="Tahoma" w:eastAsiaTheme="minorHAnsi" w:hAnsi="Tahoma" w:cs="Tahoma"/>
          <w:color w:val="000000"/>
          <w:sz w:val="22"/>
        </w:rPr>
      </w:pPr>
      <w:r w:rsidRPr="00347280">
        <w:rPr>
          <w:rFonts w:ascii="Tahoma" w:eastAsiaTheme="minorHAnsi" w:hAnsi="Tahoma" w:cs="Tahoma"/>
          <w:color w:val="000000"/>
          <w:sz w:val="22"/>
        </w:rPr>
        <w:t>201</w:t>
      </w:r>
      <w:r w:rsidR="005F03C5">
        <w:rPr>
          <w:rFonts w:ascii="Tahoma" w:eastAsiaTheme="minorHAnsi" w:hAnsi="Tahoma" w:cs="Tahoma"/>
          <w:color w:val="000000"/>
          <w:sz w:val="22"/>
        </w:rPr>
        <w:t>5</w:t>
      </w:r>
      <w:r w:rsidRPr="00347280">
        <w:rPr>
          <w:rFonts w:ascii="Tahoma" w:eastAsiaTheme="minorHAnsi" w:hAnsi="Tahoma" w:cs="Tahoma"/>
          <w:color w:val="000000"/>
          <w:sz w:val="22"/>
        </w:rPr>
        <w:t xml:space="preserve"> – 201</w:t>
      </w:r>
      <w:r w:rsidR="005F03C5">
        <w:rPr>
          <w:rFonts w:ascii="Tahoma" w:eastAsiaTheme="minorHAnsi" w:hAnsi="Tahoma" w:cs="Tahoma"/>
          <w:color w:val="000000"/>
          <w:sz w:val="22"/>
        </w:rPr>
        <w:t>6</w:t>
      </w:r>
      <w:r w:rsidRPr="00347280">
        <w:rPr>
          <w:rFonts w:ascii="Tahoma" w:eastAsiaTheme="minorHAnsi" w:hAnsi="Tahoma" w:cs="Tahoma"/>
          <w:color w:val="000000"/>
          <w:sz w:val="22"/>
        </w:rPr>
        <w:t xml:space="preserve"> Narrative Report </w:t>
      </w:r>
    </w:p>
    <w:p w:rsidR="00872E91" w:rsidRPr="002838ED" w:rsidRDefault="00D445FB" w:rsidP="00D70D5A">
      <w:pPr>
        <w:autoSpaceDE w:val="0"/>
        <w:autoSpaceDN w:val="0"/>
        <w:adjustRightInd w:val="0"/>
        <w:spacing w:after="275" w:line="276" w:lineRule="atLeast"/>
        <w:rPr>
          <w:rFonts w:ascii="Tahoma" w:eastAsiaTheme="minorHAnsi" w:hAnsi="Tahoma" w:cs="Tahoma"/>
          <w:color w:val="000000"/>
          <w:sz w:val="18"/>
          <w:u w:val="single"/>
        </w:rPr>
      </w:pPr>
      <w:r w:rsidRPr="00D445FB">
        <w:rPr>
          <w:rFonts w:asciiTheme="minorHAnsi" w:eastAsiaTheme="minorHAnsi" w:hAnsiTheme="minorHAnsi"/>
          <w:noProof/>
          <w:color w:val="000000"/>
          <w:sz w:val="23"/>
          <w:szCs w:val="23"/>
          <w:u w:val="single"/>
        </w:rPr>
        <mc:AlternateContent>
          <mc:Choice Requires="wps">
            <w:drawing>
              <wp:anchor distT="0" distB="0" distL="114300" distR="114300" simplePos="0" relativeHeight="251667456" behindDoc="0" locked="0" layoutInCell="1" allowOverlap="1" wp14:anchorId="4909C925" wp14:editId="177675D2">
                <wp:simplePos x="0" y="0"/>
                <wp:positionH relativeFrom="margin">
                  <wp:align>left</wp:align>
                </wp:positionH>
                <wp:positionV relativeFrom="paragraph">
                  <wp:posOffset>353060</wp:posOffset>
                </wp:positionV>
                <wp:extent cx="5934075" cy="3429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445FB" w:rsidRPr="001F1D50" w:rsidRDefault="00D445FB" w:rsidP="00180D9F">
                            <w:pPr>
                              <w:pStyle w:val="ListParagraph"/>
                              <w:numPr>
                                <w:ilvl w:val="0"/>
                                <w:numId w:val="12"/>
                              </w:numPr>
                              <w:jc w:val="center"/>
                              <w:rPr>
                                <w:rFonts w:ascii="Tahoma" w:hAnsi="Tahoma" w:cs="Tahoma"/>
                                <w:b/>
                                <w:color w:val="000000" w:themeColor="text1"/>
                                <w:sz w:val="24"/>
                                <w:szCs w:val="24"/>
                              </w:rPr>
                            </w:pPr>
                            <w:r w:rsidRPr="001F1D50">
                              <w:rPr>
                                <w:rFonts w:ascii="Tahoma" w:hAnsi="Tahoma" w:cs="Tahoma"/>
                                <w:b/>
                                <w:color w:val="000000" w:themeColor="text1"/>
                                <w:sz w:val="24"/>
                                <w:szCs w:val="24"/>
                              </w:rPr>
                              <w:t xml:space="preserve">State Leadership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09C925" id="Rectangle 6" o:spid="_x0000_s1026" style="position:absolute;margin-left:0;margin-top:27.8pt;width:467.25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" fillcolor="#d2d2d2" strokecolor="#a5a5a5" strokeweight=".5pt">
                <v:fill color2="silver" rotate="t" colors="0 #d2d2d2;.5 #c8c8c8;1 silver" focus="100%" type="gradient">
                  <o:fill v:ext="view" type="gradientUnscaled"/>
                </v:fill>
                <v:path arrowok="t"/>
                <v:textbox>
                  <w:txbxContent>
                    <w:p w:rsidR="00D445FB" w:rsidRPr="001F1D50" w:rsidRDefault="00D445FB" w:rsidP="00180D9F">
                      <w:pPr>
                        <w:pStyle w:val="ListParagraph"/>
                        <w:numPr>
                          <w:ilvl w:val="0"/>
                          <w:numId w:val="12"/>
                        </w:numPr>
                        <w:jc w:val="center"/>
                        <w:rPr>
                          <w:rFonts w:ascii="Tahoma" w:hAnsi="Tahoma" w:cs="Tahoma"/>
                          <w:b/>
                          <w:color w:val="000000" w:themeColor="text1"/>
                          <w:sz w:val="24"/>
                          <w:szCs w:val="24"/>
                        </w:rPr>
                      </w:pPr>
                      <w:r w:rsidRPr="001F1D50">
                        <w:rPr>
                          <w:rFonts w:ascii="Tahoma" w:hAnsi="Tahoma" w:cs="Tahoma"/>
                          <w:b/>
                          <w:color w:val="000000" w:themeColor="text1"/>
                          <w:sz w:val="24"/>
                          <w:szCs w:val="24"/>
                        </w:rPr>
                        <w:t xml:space="preserve">State Leadership Activities </w:t>
                      </w:r>
                    </w:p>
                  </w:txbxContent>
                </v:textbox>
                <w10:wrap anchorx="margin"/>
              </v:rect>
            </w:pict>
          </mc:Fallback>
        </mc:AlternateContent>
      </w:r>
    </w:p>
    <w:p w:rsidR="00FF59F4" w:rsidRPr="0086036D" w:rsidRDefault="00FF59F4" w:rsidP="00FF59F4">
      <w:pPr>
        <w:tabs>
          <w:tab w:val="right" w:pos="3510"/>
          <w:tab w:val="right" w:pos="9270"/>
        </w:tabs>
        <w:autoSpaceDE w:val="0"/>
        <w:autoSpaceDN w:val="0"/>
        <w:adjustRightInd w:val="0"/>
        <w:spacing w:line="264" w:lineRule="auto"/>
        <w:rPr>
          <w:rFonts w:ascii="Tahoma" w:eastAsiaTheme="minorHAnsi" w:hAnsi="Tahoma" w:cs="Tahoma"/>
          <w:b/>
          <w:color w:val="FFFFFF" w:themeColor="background1"/>
          <w:sz w:val="28"/>
          <w:shd w:val="clear" w:color="auto" w:fill="171717" w:themeFill="background2" w:themeFillShade="1A"/>
        </w:rPr>
      </w:pPr>
      <w:r w:rsidRPr="0086036D">
        <w:rPr>
          <w:rFonts w:ascii="Tahoma" w:eastAsiaTheme="minorHAnsi" w:hAnsi="Tahoma" w:cs="Tahoma"/>
          <w:b/>
          <w:color w:val="FFFFFF" w:themeColor="background1"/>
          <w:sz w:val="28"/>
          <w:shd w:val="clear" w:color="auto" w:fill="171717" w:themeFill="background2" w:themeFillShade="1A"/>
        </w:rPr>
        <w:t xml:space="preserve"> </w:t>
      </w:r>
    </w:p>
    <w:p w:rsidR="00D70D5A" w:rsidRPr="002838ED" w:rsidRDefault="00FF59F4" w:rsidP="00FF59F4">
      <w:pPr>
        <w:tabs>
          <w:tab w:val="right" w:pos="9270"/>
        </w:tabs>
        <w:autoSpaceDE w:val="0"/>
        <w:autoSpaceDN w:val="0"/>
        <w:adjustRightInd w:val="0"/>
        <w:spacing w:line="264" w:lineRule="auto"/>
        <w:rPr>
          <w:rFonts w:ascii="Tahoma" w:eastAsiaTheme="minorHAnsi" w:hAnsi="Tahoma" w:cs="Tahoma"/>
          <w:b/>
          <w:color w:val="000000"/>
          <w:sz w:val="4"/>
          <w:szCs w:val="6"/>
          <w:u w:val="thick" w:color="BF8F00" w:themeColor="accent4" w:themeShade="BF"/>
        </w:rPr>
      </w:pPr>
      <w:r w:rsidRPr="002838ED">
        <w:rPr>
          <w:rFonts w:ascii="Tahoma" w:eastAsiaTheme="minorHAnsi" w:hAnsi="Tahoma" w:cs="Tahoma"/>
          <w:b/>
          <w:color w:val="000000"/>
          <w:sz w:val="4"/>
          <w:szCs w:val="6"/>
          <w:u w:val="thick" w:color="BF8F00" w:themeColor="accent4" w:themeShade="BF"/>
        </w:rPr>
        <w:tab/>
      </w:r>
      <w:r w:rsidR="00542A5F" w:rsidRPr="002838ED">
        <w:rPr>
          <w:rFonts w:ascii="Tahoma" w:eastAsiaTheme="minorHAnsi" w:hAnsi="Tahoma" w:cs="Tahoma"/>
          <w:b/>
          <w:color w:val="000000"/>
          <w:sz w:val="4"/>
          <w:szCs w:val="6"/>
          <w:u w:val="thick" w:color="BF8F00" w:themeColor="accent4" w:themeShade="BF"/>
        </w:rPr>
        <w:t xml:space="preserve"> </w:t>
      </w:r>
    </w:p>
    <w:p w:rsidR="00347280" w:rsidRDefault="00347280" w:rsidP="00F66F3E">
      <w:pPr>
        <w:spacing w:line="264" w:lineRule="auto"/>
        <w:rPr>
          <w:rFonts w:ascii="Tahoma" w:hAnsi="Tahoma" w:cs="Tahoma"/>
          <w:sz w:val="18"/>
        </w:rPr>
      </w:pPr>
    </w:p>
    <w:p w:rsidR="001F5F4A" w:rsidRPr="00C804D8" w:rsidRDefault="005F03C5" w:rsidP="00C804D8">
      <w:pPr>
        <w:spacing w:line="264" w:lineRule="auto"/>
        <w:rPr>
          <w:rFonts w:ascii="Tahoma" w:hAnsi="Tahoma" w:cs="Tahoma"/>
          <w:sz w:val="20"/>
        </w:rPr>
      </w:pPr>
      <w:r w:rsidRPr="001F5F4A">
        <w:rPr>
          <w:rFonts w:ascii="Tahoma" w:hAnsi="Tahoma" w:cs="Tahoma"/>
          <w:sz w:val="20"/>
        </w:rPr>
        <w:t xml:space="preserve">During 2015-2016, NC System office analyzed organizational capacity to meet new expectations and requirements of WIOA legislation.  We </w:t>
      </w:r>
      <w:r w:rsidR="00BD6150">
        <w:rPr>
          <w:rFonts w:ascii="Tahoma" w:hAnsi="Tahoma" w:cs="Tahoma"/>
          <w:sz w:val="20"/>
        </w:rPr>
        <w:t xml:space="preserve">restructured </w:t>
      </w:r>
      <w:r w:rsidR="001F1D50">
        <w:rPr>
          <w:rFonts w:ascii="Tahoma" w:hAnsi="Tahoma" w:cs="Tahoma"/>
          <w:sz w:val="20"/>
        </w:rPr>
        <w:t xml:space="preserve">and </w:t>
      </w:r>
      <w:r w:rsidRPr="001F5F4A">
        <w:rPr>
          <w:rFonts w:ascii="Tahoma" w:hAnsi="Tahoma" w:cs="Tahoma"/>
          <w:sz w:val="20"/>
        </w:rPr>
        <w:t>organized into three teams:</w:t>
      </w:r>
      <w:r w:rsidR="00C804D8">
        <w:rPr>
          <w:rFonts w:ascii="Tahoma" w:hAnsi="Tahoma" w:cs="Tahoma"/>
          <w:sz w:val="20"/>
        </w:rPr>
        <w:t xml:space="preserve"> </w:t>
      </w:r>
      <w:r w:rsidR="00BD6150" w:rsidRPr="00C804D8">
        <w:rPr>
          <w:rFonts w:ascii="Tahoma" w:hAnsi="Tahoma" w:cs="Tahoma"/>
          <w:sz w:val="20"/>
        </w:rPr>
        <w:t>1. Professional</w:t>
      </w:r>
      <w:r w:rsidRPr="00C804D8">
        <w:rPr>
          <w:rFonts w:ascii="Tahoma" w:hAnsi="Tahoma" w:cs="Tahoma"/>
          <w:sz w:val="20"/>
        </w:rPr>
        <w:t xml:space="preserve"> Development</w:t>
      </w:r>
      <w:r w:rsidR="00C804D8">
        <w:rPr>
          <w:rFonts w:ascii="Tahoma" w:hAnsi="Tahoma" w:cs="Tahoma"/>
          <w:sz w:val="20"/>
        </w:rPr>
        <w:t xml:space="preserve"> and </w:t>
      </w:r>
      <w:r w:rsidR="00B27D5F" w:rsidRPr="00C804D8">
        <w:rPr>
          <w:rFonts w:ascii="Tahoma" w:hAnsi="Tahoma" w:cs="Tahoma"/>
          <w:sz w:val="20"/>
        </w:rPr>
        <w:t xml:space="preserve">Instructional Support </w:t>
      </w:r>
      <w:r w:rsidR="00C804D8">
        <w:rPr>
          <w:rFonts w:ascii="Tahoma" w:hAnsi="Tahoma" w:cs="Tahoma"/>
          <w:sz w:val="20"/>
        </w:rPr>
        <w:t>2</w:t>
      </w:r>
      <w:r w:rsidRPr="00C804D8">
        <w:rPr>
          <w:rFonts w:ascii="Tahoma" w:hAnsi="Tahoma" w:cs="Tahoma"/>
          <w:sz w:val="20"/>
        </w:rPr>
        <w:t>. Compliance and Partner</w:t>
      </w:r>
      <w:r w:rsidR="00B27D5F" w:rsidRPr="00C804D8">
        <w:rPr>
          <w:rFonts w:ascii="Tahoma" w:hAnsi="Tahoma" w:cs="Tahoma"/>
          <w:sz w:val="20"/>
        </w:rPr>
        <w:t xml:space="preserve">ship </w:t>
      </w:r>
      <w:r w:rsidR="003E4CBD" w:rsidRPr="00C804D8">
        <w:rPr>
          <w:rFonts w:ascii="Tahoma" w:hAnsi="Tahoma" w:cs="Tahoma"/>
          <w:sz w:val="20"/>
        </w:rPr>
        <w:t>Development 3</w:t>
      </w:r>
      <w:r w:rsidR="00C804D8" w:rsidRPr="00C804D8">
        <w:rPr>
          <w:rFonts w:ascii="Tahoma" w:hAnsi="Tahoma" w:cs="Tahoma"/>
          <w:sz w:val="20"/>
        </w:rPr>
        <w:t>.</w:t>
      </w:r>
      <w:r w:rsidRPr="00C804D8">
        <w:rPr>
          <w:rFonts w:ascii="Tahoma" w:hAnsi="Tahoma" w:cs="Tahoma"/>
          <w:sz w:val="20"/>
        </w:rPr>
        <w:t xml:space="preserve"> P</w:t>
      </w:r>
      <w:r w:rsidR="00B27D5F" w:rsidRPr="00C804D8">
        <w:rPr>
          <w:rFonts w:ascii="Tahoma" w:hAnsi="Tahoma" w:cs="Tahoma"/>
          <w:sz w:val="20"/>
        </w:rPr>
        <w:t xml:space="preserve">erformance Accountability and Performance Measures. </w:t>
      </w:r>
      <w:r w:rsidR="00BD6150">
        <w:rPr>
          <w:rFonts w:ascii="Tahoma" w:hAnsi="Tahoma" w:cs="Tahoma"/>
          <w:sz w:val="20"/>
        </w:rPr>
        <w:t xml:space="preserve">Subject matter experts </w:t>
      </w:r>
      <w:r w:rsidR="00012081">
        <w:rPr>
          <w:rFonts w:ascii="Tahoma" w:hAnsi="Tahoma" w:cs="Tahoma"/>
          <w:sz w:val="20"/>
        </w:rPr>
        <w:t xml:space="preserve">in </w:t>
      </w:r>
      <w:r w:rsidR="00BD6150">
        <w:rPr>
          <w:rFonts w:ascii="Tahoma" w:hAnsi="Tahoma" w:cs="Tahoma"/>
          <w:sz w:val="20"/>
        </w:rPr>
        <w:t>English language</w:t>
      </w:r>
      <w:r w:rsidR="00012081">
        <w:rPr>
          <w:rFonts w:ascii="Tahoma" w:hAnsi="Tahoma" w:cs="Tahoma"/>
          <w:sz w:val="20"/>
        </w:rPr>
        <w:t xml:space="preserve"> learning, </w:t>
      </w:r>
      <w:r w:rsidR="00BD6150">
        <w:rPr>
          <w:rFonts w:ascii="Tahoma" w:hAnsi="Tahoma" w:cs="Tahoma"/>
          <w:sz w:val="20"/>
        </w:rPr>
        <w:t>reading instruction</w:t>
      </w:r>
      <w:r w:rsidR="00AE65D3">
        <w:rPr>
          <w:rFonts w:ascii="Tahoma" w:hAnsi="Tahoma" w:cs="Tahoma"/>
          <w:sz w:val="20"/>
        </w:rPr>
        <w:t xml:space="preserve">, serving </w:t>
      </w:r>
      <w:r w:rsidR="00BD6150">
        <w:rPr>
          <w:rFonts w:ascii="Tahoma" w:hAnsi="Tahoma" w:cs="Tahoma"/>
          <w:sz w:val="20"/>
        </w:rPr>
        <w:t>adults with disabilities, and career pathways</w:t>
      </w:r>
      <w:r w:rsidR="00AE65D3">
        <w:rPr>
          <w:rFonts w:ascii="Tahoma" w:hAnsi="Tahoma" w:cs="Tahoma"/>
          <w:sz w:val="20"/>
        </w:rPr>
        <w:t xml:space="preserve"> report to the team leads. </w:t>
      </w:r>
      <w:r w:rsidR="00BD6150">
        <w:rPr>
          <w:rFonts w:ascii="Tahoma" w:hAnsi="Tahoma" w:cs="Tahoma"/>
          <w:sz w:val="20"/>
        </w:rPr>
        <w:t xml:space="preserve">  </w:t>
      </w:r>
    </w:p>
    <w:p w:rsidR="004F14DB" w:rsidRPr="001F5F4A" w:rsidRDefault="005F03C5" w:rsidP="001F5F4A">
      <w:pPr>
        <w:spacing w:line="264" w:lineRule="auto"/>
        <w:rPr>
          <w:rFonts w:ascii="Tahoma" w:hAnsi="Tahoma" w:cs="Tahoma"/>
          <w:sz w:val="20"/>
        </w:rPr>
      </w:pPr>
      <w:r w:rsidRPr="001F5F4A">
        <w:rPr>
          <w:rFonts w:ascii="Tahoma" w:hAnsi="Tahoma" w:cs="Tahoma"/>
          <w:sz w:val="20"/>
        </w:rPr>
        <w:t xml:space="preserve">The teams </w:t>
      </w:r>
      <w:r w:rsidR="00BD6150">
        <w:rPr>
          <w:rFonts w:ascii="Tahoma" w:hAnsi="Tahoma" w:cs="Tahoma"/>
          <w:sz w:val="20"/>
        </w:rPr>
        <w:t xml:space="preserve">work collaboratively to </w:t>
      </w:r>
      <w:r w:rsidRPr="001F5F4A">
        <w:rPr>
          <w:rFonts w:ascii="Tahoma" w:hAnsi="Tahoma" w:cs="Tahoma"/>
          <w:sz w:val="20"/>
        </w:rPr>
        <w:t>plan and implement</w:t>
      </w:r>
      <w:r w:rsidR="00562AA9" w:rsidRPr="001F5F4A">
        <w:rPr>
          <w:rFonts w:ascii="Tahoma" w:hAnsi="Tahoma" w:cs="Tahoma"/>
          <w:sz w:val="20"/>
        </w:rPr>
        <w:t xml:space="preserve"> required and permissible activities. </w:t>
      </w:r>
      <w:r w:rsidR="00FE7303" w:rsidRPr="001F5F4A">
        <w:rPr>
          <w:rFonts w:ascii="Tahoma" w:hAnsi="Tahoma" w:cs="Tahoma"/>
          <w:sz w:val="20"/>
        </w:rPr>
        <w:t xml:space="preserve">The main areas of focus for activities </w:t>
      </w:r>
      <w:r w:rsidR="002A536B" w:rsidRPr="001F5F4A">
        <w:rPr>
          <w:rFonts w:ascii="Tahoma" w:hAnsi="Tahoma" w:cs="Tahoma"/>
          <w:sz w:val="20"/>
        </w:rPr>
        <w:t>performed for 2015-2016 program year</w:t>
      </w:r>
      <w:r w:rsidR="004F14DB" w:rsidRPr="001F5F4A">
        <w:rPr>
          <w:rFonts w:ascii="Tahoma" w:hAnsi="Tahoma" w:cs="Tahoma"/>
          <w:sz w:val="20"/>
        </w:rPr>
        <w:t xml:space="preserve"> fall </w:t>
      </w:r>
      <w:r w:rsidR="009B5367" w:rsidRPr="001F5F4A">
        <w:rPr>
          <w:rFonts w:ascii="Tahoma" w:hAnsi="Tahoma" w:cs="Tahoma"/>
          <w:sz w:val="20"/>
        </w:rPr>
        <w:t xml:space="preserve">into four </w:t>
      </w:r>
      <w:r w:rsidR="004F14DB" w:rsidRPr="001F5F4A">
        <w:rPr>
          <w:rFonts w:ascii="Tahoma" w:hAnsi="Tahoma" w:cs="Tahoma"/>
          <w:sz w:val="20"/>
        </w:rPr>
        <w:t>c</w:t>
      </w:r>
      <w:r w:rsidR="00FE7303" w:rsidRPr="001F5F4A">
        <w:rPr>
          <w:rFonts w:ascii="Tahoma" w:hAnsi="Tahoma" w:cs="Tahoma"/>
          <w:sz w:val="20"/>
        </w:rPr>
        <w:t>ategories</w:t>
      </w:r>
      <w:r w:rsidR="004F14DB" w:rsidRPr="001F5F4A">
        <w:rPr>
          <w:rFonts w:ascii="Tahoma" w:hAnsi="Tahoma" w:cs="Tahoma"/>
          <w:sz w:val="20"/>
        </w:rPr>
        <w:t>: Transition to WIOA, Program Development, Instruction, Data Quality and Performance</w:t>
      </w:r>
      <w:r w:rsidR="00A07048">
        <w:rPr>
          <w:rFonts w:ascii="Tahoma" w:hAnsi="Tahoma" w:cs="Tahoma"/>
          <w:sz w:val="20"/>
        </w:rPr>
        <w:t xml:space="preserve"> and Core Credential for Adult Education Instructors. </w:t>
      </w:r>
      <w:r w:rsidR="004F14DB" w:rsidRPr="001F5F4A">
        <w:rPr>
          <w:rFonts w:ascii="Tahoma" w:hAnsi="Tahoma" w:cs="Tahoma"/>
          <w:sz w:val="20"/>
        </w:rPr>
        <w:t xml:space="preserve"> </w:t>
      </w:r>
    </w:p>
    <w:p w:rsidR="00A07048" w:rsidRDefault="00A07048" w:rsidP="00AE0B91">
      <w:pPr>
        <w:pStyle w:val="NormalWeb"/>
        <w:spacing w:before="0" w:beforeAutospacing="0" w:after="0" w:afterAutospacing="0"/>
        <w:rPr>
          <w:rFonts w:ascii="Tahoma" w:hAnsi="Tahoma" w:cs="Tahoma"/>
          <w:b/>
          <w:sz w:val="20"/>
          <w:szCs w:val="20"/>
        </w:rPr>
      </w:pPr>
    </w:p>
    <w:p w:rsidR="00E7536B" w:rsidRPr="00E7536B" w:rsidRDefault="00E7536B" w:rsidP="00AE0B91">
      <w:pPr>
        <w:pStyle w:val="NormalWeb"/>
        <w:spacing w:before="0" w:beforeAutospacing="0" w:after="0" w:afterAutospacing="0"/>
        <w:rPr>
          <w:rFonts w:ascii="Tahoma" w:hAnsi="Tahoma" w:cs="Tahoma"/>
          <w:b/>
          <w:sz w:val="20"/>
          <w:szCs w:val="20"/>
        </w:rPr>
      </w:pPr>
      <w:r w:rsidRPr="00E7536B">
        <w:rPr>
          <w:rFonts w:ascii="Tahoma" w:hAnsi="Tahoma" w:cs="Tahoma"/>
          <w:b/>
          <w:sz w:val="20"/>
          <w:szCs w:val="20"/>
        </w:rPr>
        <w:t xml:space="preserve">Professional Development and Technical Assistance </w:t>
      </w:r>
    </w:p>
    <w:p w:rsidR="00AE0B91" w:rsidRPr="00E7536B" w:rsidRDefault="002A536B" w:rsidP="00AE0B91">
      <w:pPr>
        <w:pStyle w:val="NormalWeb"/>
        <w:spacing w:before="0" w:beforeAutospacing="0" w:after="0" w:afterAutospacing="0"/>
        <w:rPr>
          <w:rFonts w:ascii="Tahoma" w:hAnsi="Tahoma" w:cs="Tahoma"/>
          <w:b/>
          <w:sz w:val="20"/>
          <w:szCs w:val="20"/>
        </w:rPr>
      </w:pPr>
      <w:r w:rsidRPr="00E7536B">
        <w:rPr>
          <w:rFonts w:ascii="Tahoma" w:hAnsi="Tahoma" w:cs="Tahoma"/>
          <w:b/>
          <w:sz w:val="20"/>
          <w:szCs w:val="20"/>
        </w:rPr>
        <w:t>Transition to WIOA</w:t>
      </w:r>
      <w:r w:rsidR="00AE0B91" w:rsidRPr="00E7536B">
        <w:rPr>
          <w:rFonts w:ascii="Tahoma" w:hAnsi="Tahoma" w:cs="Tahoma"/>
          <w:b/>
          <w:sz w:val="20"/>
          <w:szCs w:val="20"/>
        </w:rPr>
        <w:t xml:space="preserve">                                                                                                    </w:t>
      </w:r>
    </w:p>
    <w:p w:rsidR="00CC79A3" w:rsidRPr="00E7536B" w:rsidRDefault="00E7536B" w:rsidP="00AE0B91">
      <w:pPr>
        <w:pStyle w:val="NormalWeb"/>
        <w:spacing w:before="0" w:beforeAutospacing="0" w:after="0" w:afterAutospacing="0"/>
        <w:rPr>
          <w:rFonts w:ascii="Tahoma" w:hAnsi="Tahoma" w:cs="Tahoma"/>
          <w:sz w:val="20"/>
          <w:szCs w:val="20"/>
        </w:rPr>
      </w:pPr>
      <w:r w:rsidRPr="00E7536B">
        <w:rPr>
          <w:rFonts w:ascii="Tahoma" w:hAnsi="Tahoma" w:cs="Tahoma"/>
          <w:sz w:val="20"/>
          <w:szCs w:val="20"/>
        </w:rPr>
        <w:t xml:space="preserve">The central theme was </w:t>
      </w:r>
      <w:r w:rsidR="00AE65D3">
        <w:rPr>
          <w:rFonts w:ascii="Tahoma" w:hAnsi="Tahoma" w:cs="Tahoma"/>
          <w:sz w:val="20"/>
          <w:szCs w:val="20"/>
        </w:rPr>
        <w:t xml:space="preserve">on </w:t>
      </w:r>
      <w:r w:rsidR="0016330B" w:rsidRPr="00E7536B">
        <w:rPr>
          <w:rFonts w:ascii="Tahoma" w:hAnsi="Tahoma" w:cs="Tahoma"/>
          <w:sz w:val="20"/>
          <w:szCs w:val="20"/>
        </w:rPr>
        <w:t>unpacking WIOA requirements</w:t>
      </w:r>
      <w:r w:rsidRPr="00E7536B">
        <w:rPr>
          <w:rFonts w:ascii="Tahoma" w:hAnsi="Tahoma" w:cs="Tahoma"/>
          <w:sz w:val="20"/>
          <w:szCs w:val="20"/>
        </w:rPr>
        <w:t xml:space="preserve"> as they relate to program practice and performance.  </w:t>
      </w:r>
      <w:r w:rsidR="00E5338D" w:rsidRPr="00E7536B">
        <w:rPr>
          <w:rFonts w:ascii="Tahoma" w:hAnsi="Tahoma" w:cs="Tahoma"/>
          <w:sz w:val="20"/>
          <w:szCs w:val="20"/>
        </w:rPr>
        <w:t xml:space="preserve">The following activities </w:t>
      </w:r>
      <w:r w:rsidR="00C33712" w:rsidRPr="00E7536B">
        <w:rPr>
          <w:rFonts w:ascii="Tahoma" w:hAnsi="Tahoma" w:cs="Tahoma"/>
          <w:sz w:val="20"/>
          <w:szCs w:val="20"/>
        </w:rPr>
        <w:t xml:space="preserve">were implemented. </w:t>
      </w:r>
    </w:p>
    <w:p w:rsidR="00AE0B91" w:rsidRPr="00E7536B" w:rsidRDefault="00AE0B91" w:rsidP="00FF4BD6">
      <w:pPr>
        <w:pStyle w:val="NormalWeb"/>
        <w:spacing w:before="0" w:beforeAutospacing="0" w:after="0" w:afterAutospacing="0"/>
        <w:rPr>
          <w:rFonts w:ascii="Tahoma" w:hAnsi="Tahoma" w:cs="Tahoma"/>
          <w:sz w:val="20"/>
          <w:szCs w:val="20"/>
        </w:rPr>
      </w:pPr>
    </w:p>
    <w:p w:rsidR="004F14DB" w:rsidRPr="00E7536B" w:rsidRDefault="00CC79A3" w:rsidP="00180D9F">
      <w:pPr>
        <w:pStyle w:val="NormalWeb"/>
        <w:numPr>
          <w:ilvl w:val="0"/>
          <w:numId w:val="4"/>
        </w:numPr>
        <w:spacing w:before="0" w:beforeAutospacing="0" w:after="0" w:afterAutospacing="0"/>
        <w:rPr>
          <w:rFonts w:ascii="Tahoma" w:hAnsi="Tahoma" w:cs="Tahoma"/>
          <w:sz w:val="20"/>
          <w:szCs w:val="20"/>
        </w:rPr>
      </w:pPr>
      <w:r w:rsidRPr="00E7536B">
        <w:rPr>
          <w:rFonts w:ascii="Tahoma" w:hAnsi="Tahoma" w:cs="Tahoma"/>
          <w:sz w:val="20"/>
          <w:szCs w:val="20"/>
        </w:rPr>
        <w:t xml:space="preserve">5 </w:t>
      </w:r>
      <w:r w:rsidR="00372552" w:rsidRPr="00E7536B">
        <w:rPr>
          <w:rFonts w:ascii="Tahoma" w:hAnsi="Tahoma" w:cs="Tahoma"/>
          <w:sz w:val="20"/>
          <w:szCs w:val="20"/>
        </w:rPr>
        <w:t xml:space="preserve">WIOA Transition </w:t>
      </w:r>
      <w:r w:rsidRPr="00E7536B">
        <w:rPr>
          <w:rFonts w:ascii="Tahoma" w:hAnsi="Tahoma" w:cs="Tahoma"/>
          <w:sz w:val="20"/>
          <w:szCs w:val="20"/>
        </w:rPr>
        <w:t xml:space="preserve">Local </w:t>
      </w:r>
      <w:r w:rsidR="00372552" w:rsidRPr="00E7536B">
        <w:rPr>
          <w:rFonts w:ascii="Tahoma" w:hAnsi="Tahoma" w:cs="Tahoma"/>
          <w:sz w:val="20"/>
          <w:szCs w:val="20"/>
        </w:rPr>
        <w:t>Plan Application</w:t>
      </w:r>
      <w:r w:rsidRPr="00E7536B">
        <w:rPr>
          <w:rFonts w:ascii="Tahoma" w:hAnsi="Tahoma" w:cs="Tahoma"/>
          <w:sz w:val="20"/>
          <w:szCs w:val="20"/>
        </w:rPr>
        <w:t xml:space="preserve"> </w:t>
      </w:r>
      <w:r w:rsidR="004F14DB" w:rsidRPr="00E7536B">
        <w:rPr>
          <w:rFonts w:ascii="Tahoma" w:hAnsi="Tahoma" w:cs="Tahoma"/>
          <w:sz w:val="20"/>
          <w:szCs w:val="20"/>
        </w:rPr>
        <w:t xml:space="preserve">Training </w:t>
      </w:r>
    </w:p>
    <w:p w:rsidR="005C7D1D" w:rsidRPr="00E7536B" w:rsidRDefault="00CC79A3" w:rsidP="00180D9F">
      <w:pPr>
        <w:pStyle w:val="NormalWeb"/>
        <w:numPr>
          <w:ilvl w:val="0"/>
          <w:numId w:val="4"/>
        </w:numPr>
        <w:spacing w:before="0" w:beforeAutospacing="0" w:after="0" w:afterAutospacing="0"/>
        <w:rPr>
          <w:rFonts w:ascii="Tahoma" w:hAnsi="Tahoma" w:cs="Tahoma"/>
          <w:sz w:val="20"/>
          <w:szCs w:val="20"/>
        </w:rPr>
      </w:pPr>
      <w:r w:rsidRPr="00E7536B">
        <w:rPr>
          <w:rFonts w:ascii="Tahoma" w:hAnsi="Tahoma" w:cs="Tahoma"/>
          <w:sz w:val="20"/>
          <w:szCs w:val="20"/>
        </w:rPr>
        <w:t>Weekly WIOA Webinars</w:t>
      </w:r>
      <w:r w:rsidR="004F14DB" w:rsidRPr="00E7536B">
        <w:rPr>
          <w:rFonts w:ascii="Tahoma" w:hAnsi="Tahoma" w:cs="Tahoma"/>
          <w:sz w:val="20"/>
          <w:szCs w:val="20"/>
        </w:rPr>
        <w:t xml:space="preserve"> from August – December 2015</w:t>
      </w:r>
      <w:r w:rsidRPr="00E7536B">
        <w:rPr>
          <w:rFonts w:ascii="Tahoma" w:hAnsi="Tahoma" w:cs="Tahoma"/>
          <w:sz w:val="20"/>
          <w:szCs w:val="20"/>
        </w:rPr>
        <w:t xml:space="preserve"> </w:t>
      </w:r>
    </w:p>
    <w:p w:rsidR="004F14DB" w:rsidRPr="00E7536B" w:rsidRDefault="004F14DB" w:rsidP="00180D9F">
      <w:pPr>
        <w:pStyle w:val="NormalWeb"/>
        <w:numPr>
          <w:ilvl w:val="0"/>
          <w:numId w:val="4"/>
        </w:numPr>
        <w:spacing w:before="0" w:beforeAutospacing="0" w:after="0" w:afterAutospacing="0"/>
        <w:rPr>
          <w:rFonts w:ascii="Tahoma" w:hAnsi="Tahoma" w:cs="Tahoma"/>
          <w:sz w:val="20"/>
          <w:szCs w:val="20"/>
        </w:rPr>
      </w:pPr>
      <w:r w:rsidRPr="00E7536B">
        <w:rPr>
          <w:rFonts w:ascii="Tahoma" w:hAnsi="Tahoma" w:cs="Tahoma"/>
          <w:sz w:val="20"/>
          <w:szCs w:val="20"/>
        </w:rPr>
        <w:t xml:space="preserve">2 regional Sessions - WIOA Update – Program Practices </w:t>
      </w:r>
    </w:p>
    <w:p w:rsidR="00FF4BD6" w:rsidRPr="00E7536B" w:rsidRDefault="00FF4BD6" w:rsidP="00180D9F">
      <w:pPr>
        <w:pStyle w:val="NormalWeb"/>
        <w:numPr>
          <w:ilvl w:val="0"/>
          <w:numId w:val="4"/>
        </w:numPr>
        <w:spacing w:before="0" w:beforeAutospacing="0" w:after="0" w:afterAutospacing="0"/>
        <w:rPr>
          <w:rFonts w:ascii="Tahoma" w:hAnsi="Tahoma" w:cs="Tahoma"/>
          <w:sz w:val="20"/>
          <w:szCs w:val="20"/>
        </w:rPr>
      </w:pPr>
      <w:r w:rsidRPr="00E7536B">
        <w:rPr>
          <w:rFonts w:ascii="Tahoma" w:hAnsi="Tahoma" w:cs="Tahoma"/>
          <w:sz w:val="20"/>
          <w:szCs w:val="20"/>
        </w:rPr>
        <w:t xml:space="preserve">Career Pathways – site visits and conference sessions </w:t>
      </w:r>
      <w:r w:rsidR="00AE65D3">
        <w:rPr>
          <w:rFonts w:ascii="Tahoma" w:hAnsi="Tahoma" w:cs="Tahoma"/>
          <w:sz w:val="20"/>
          <w:szCs w:val="20"/>
        </w:rPr>
        <w:t xml:space="preserve">on the </w:t>
      </w:r>
      <w:r w:rsidRPr="00E7536B">
        <w:rPr>
          <w:rFonts w:ascii="Tahoma" w:hAnsi="Tahoma" w:cs="Tahoma"/>
          <w:sz w:val="20"/>
          <w:szCs w:val="20"/>
        </w:rPr>
        <w:t xml:space="preserve"> nuts and bolts of career pathways </w:t>
      </w:r>
    </w:p>
    <w:p w:rsidR="00FF4BD6" w:rsidRPr="00E7536B" w:rsidRDefault="00FF4BD6" w:rsidP="00180D9F">
      <w:pPr>
        <w:pStyle w:val="NormalWeb"/>
        <w:numPr>
          <w:ilvl w:val="0"/>
          <w:numId w:val="4"/>
        </w:numPr>
        <w:spacing w:before="0" w:beforeAutospacing="0" w:after="0" w:afterAutospacing="0"/>
        <w:rPr>
          <w:rFonts w:ascii="Tahoma" w:hAnsi="Tahoma" w:cs="Tahoma"/>
          <w:sz w:val="20"/>
          <w:szCs w:val="20"/>
        </w:rPr>
      </w:pPr>
      <w:r w:rsidRPr="00E7536B">
        <w:rPr>
          <w:rFonts w:ascii="Tahoma" w:hAnsi="Tahoma" w:cs="Tahoma"/>
          <w:sz w:val="20"/>
          <w:szCs w:val="20"/>
        </w:rPr>
        <w:t xml:space="preserve">Basic Skills Plus – </w:t>
      </w:r>
      <w:r w:rsidR="00603072" w:rsidRPr="00E7536B">
        <w:rPr>
          <w:rFonts w:ascii="Tahoma" w:hAnsi="Tahoma" w:cs="Tahoma"/>
          <w:sz w:val="20"/>
          <w:szCs w:val="20"/>
        </w:rPr>
        <w:t>training was provided NC community college tuition waiver program for students enrolled in IET</w:t>
      </w:r>
      <w:r w:rsidR="00C33712" w:rsidRPr="00E7536B">
        <w:rPr>
          <w:rFonts w:ascii="Tahoma" w:hAnsi="Tahoma" w:cs="Tahoma"/>
          <w:sz w:val="20"/>
          <w:szCs w:val="20"/>
        </w:rPr>
        <w:t xml:space="preserve">. </w:t>
      </w:r>
    </w:p>
    <w:p w:rsidR="00C33712" w:rsidRPr="00E7536B" w:rsidRDefault="00C33712" w:rsidP="00FF4BD6">
      <w:pPr>
        <w:pStyle w:val="NormalWeb"/>
        <w:spacing w:before="0" w:beforeAutospacing="0" w:after="0" w:afterAutospacing="0"/>
        <w:rPr>
          <w:rFonts w:ascii="Tahoma" w:hAnsi="Tahoma" w:cs="Tahoma"/>
          <w:b/>
          <w:sz w:val="20"/>
          <w:szCs w:val="20"/>
        </w:rPr>
      </w:pPr>
      <w:r w:rsidRPr="00E7536B">
        <w:rPr>
          <w:rFonts w:ascii="Tahoma" w:hAnsi="Tahoma" w:cs="Tahoma"/>
          <w:b/>
          <w:sz w:val="20"/>
          <w:szCs w:val="20"/>
        </w:rPr>
        <w:t xml:space="preserve">Program Development </w:t>
      </w:r>
    </w:p>
    <w:p w:rsidR="00AE0B91" w:rsidRPr="00513CD4" w:rsidRDefault="00C33712" w:rsidP="00180D9F">
      <w:pPr>
        <w:pStyle w:val="NormalWeb"/>
        <w:numPr>
          <w:ilvl w:val="0"/>
          <w:numId w:val="5"/>
        </w:numPr>
        <w:spacing w:before="0" w:beforeAutospacing="0" w:after="0" w:afterAutospacing="0"/>
        <w:rPr>
          <w:rFonts w:ascii="Tahoma" w:hAnsi="Tahoma" w:cs="Tahoma"/>
          <w:sz w:val="20"/>
          <w:szCs w:val="20"/>
        </w:rPr>
      </w:pPr>
      <w:r w:rsidRPr="00513CD4">
        <w:rPr>
          <w:rFonts w:ascii="Tahoma" w:hAnsi="Tahoma" w:cs="Tahoma"/>
          <w:sz w:val="20"/>
          <w:szCs w:val="20"/>
        </w:rPr>
        <w:t>Two state conference</w:t>
      </w:r>
      <w:r w:rsidR="00AE0B91" w:rsidRPr="00513CD4">
        <w:rPr>
          <w:rFonts w:ascii="Tahoma" w:hAnsi="Tahoma" w:cs="Tahoma"/>
          <w:sz w:val="20"/>
          <w:szCs w:val="20"/>
        </w:rPr>
        <w:t>s</w:t>
      </w:r>
      <w:r w:rsidRPr="00513CD4">
        <w:rPr>
          <w:rFonts w:ascii="Tahoma" w:hAnsi="Tahoma" w:cs="Tahoma"/>
          <w:sz w:val="20"/>
          <w:szCs w:val="20"/>
        </w:rPr>
        <w:t xml:space="preserve"> focused on </w:t>
      </w:r>
      <w:r w:rsidR="00AE0B91" w:rsidRPr="00513CD4">
        <w:rPr>
          <w:rFonts w:ascii="Tahoma" w:hAnsi="Tahoma" w:cs="Tahoma"/>
          <w:sz w:val="20"/>
          <w:szCs w:val="20"/>
        </w:rPr>
        <w:t>improving retention</w:t>
      </w:r>
      <w:r w:rsidR="00E7536B" w:rsidRPr="00513CD4">
        <w:rPr>
          <w:rFonts w:ascii="Tahoma" w:hAnsi="Tahoma" w:cs="Tahoma"/>
          <w:sz w:val="20"/>
          <w:szCs w:val="20"/>
        </w:rPr>
        <w:t xml:space="preserve"> and </w:t>
      </w:r>
      <w:r w:rsidR="00AE0B91" w:rsidRPr="00513CD4">
        <w:rPr>
          <w:rFonts w:ascii="Tahoma" w:hAnsi="Tahoma" w:cs="Tahoma"/>
          <w:sz w:val="20"/>
          <w:szCs w:val="20"/>
        </w:rPr>
        <w:t xml:space="preserve">using data to inform program policy. </w:t>
      </w:r>
    </w:p>
    <w:p w:rsidR="00AE0B91" w:rsidRDefault="00AE0B91" w:rsidP="00180D9F">
      <w:pPr>
        <w:pStyle w:val="NormalWeb"/>
        <w:numPr>
          <w:ilvl w:val="0"/>
          <w:numId w:val="5"/>
        </w:numPr>
        <w:spacing w:before="0" w:beforeAutospacing="0" w:after="0" w:afterAutospacing="0"/>
        <w:rPr>
          <w:rFonts w:ascii="Tahoma" w:hAnsi="Tahoma" w:cs="Tahoma"/>
          <w:sz w:val="20"/>
          <w:szCs w:val="20"/>
        </w:rPr>
      </w:pPr>
      <w:r w:rsidRPr="00513CD4">
        <w:rPr>
          <w:rFonts w:ascii="Tahoma" w:hAnsi="Tahoma" w:cs="Tahoma"/>
          <w:sz w:val="20"/>
          <w:szCs w:val="20"/>
        </w:rPr>
        <w:t>Regional training</w:t>
      </w:r>
      <w:r w:rsidR="00BD6150" w:rsidRPr="00513CD4">
        <w:rPr>
          <w:rFonts w:ascii="Tahoma" w:hAnsi="Tahoma" w:cs="Tahoma"/>
          <w:sz w:val="20"/>
          <w:szCs w:val="20"/>
        </w:rPr>
        <w:t>s</w:t>
      </w:r>
      <w:r w:rsidR="001F1D50">
        <w:rPr>
          <w:rFonts w:ascii="Tahoma" w:hAnsi="Tahoma" w:cs="Tahoma"/>
          <w:sz w:val="20"/>
          <w:szCs w:val="20"/>
        </w:rPr>
        <w:t xml:space="preserve"> provided an </w:t>
      </w:r>
      <w:r w:rsidR="00E7536B" w:rsidRPr="00513CD4">
        <w:rPr>
          <w:rFonts w:ascii="Tahoma" w:hAnsi="Tahoma" w:cs="Tahoma"/>
          <w:sz w:val="20"/>
          <w:szCs w:val="20"/>
        </w:rPr>
        <w:t xml:space="preserve">understanding </w:t>
      </w:r>
      <w:r w:rsidR="001F1D50">
        <w:rPr>
          <w:rFonts w:ascii="Tahoma" w:hAnsi="Tahoma" w:cs="Tahoma"/>
          <w:sz w:val="20"/>
          <w:szCs w:val="20"/>
        </w:rPr>
        <w:t xml:space="preserve">of </w:t>
      </w:r>
      <w:r w:rsidR="00E7536B" w:rsidRPr="00513CD4">
        <w:rPr>
          <w:rFonts w:ascii="Tahoma" w:hAnsi="Tahoma" w:cs="Tahoma"/>
          <w:sz w:val="20"/>
          <w:szCs w:val="20"/>
        </w:rPr>
        <w:t xml:space="preserve">performance data and how </w:t>
      </w:r>
      <w:r w:rsidRPr="00513CD4">
        <w:rPr>
          <w:rFonts w:ascii="Tahoma" w:hAnsi="Tahoma" w:cs="Tahoma"/>
          <w:sz w:val="20"/>
          <w:szCs w:val="20"/>
        </w:rPr>
        <w:t>instructors can use data to manage their classes.</w:t>
      </w:r>
    </w:p>
    <w:p w:rsidR="00D01745" w:rsidRPr="00513CD4" w:rsidRDefault="00D01745" w:rsidP="00180D9F">
      <w:pPr>
        <w:pStyle w:val="NormalWeb"/>
        <w:numPr>
          <w:ilvl w:val="0"/>
          <w:numId w:val="5"/>
        </w:numPr>
        <w:spacing w:before="0" w:beforeAutospacing="0" w:after="0" w:afterAutospacing="0"/>
        <w:rPr>
          <w:rFonts w:ascii="Tahoma" w:hAnsi="Tahoma" w:cs="Tahoma"/>
          <w:sz w:val="20"/>
          <w:szCs w:val="20"/>
        </w:rPr>
      </w:pPr>
      <w:r>
        <w:rPr>
          <w:rFonts w:ascii="Tahoma" w:hAnsi="Tahoma" w:cs="Tahoma"/>
          <w:sz w:val="20"/>
          <w:szCs w:val="20"/>
        </w:rPr>
        <w:t xml:space="preserve">Director’s Institute </w:t>
      </w:r>
    </w:p>
    <w:p w:rsidR="00E7536B" w:rsidRPr="00513CD4" w:rsidRDefault="00A07048" w:rsidP="00E7536B">
      <w:pPr>
        <w:pStyle w:val="NormalWeb"/>
        <w:spacing w:before="0" w:beforeAutospacing="0" w:after="0" w:afterAutospacing="0"/>
        <w:rPr>
          <w:rFonts w:ascii="Tahoma" w:hAnsi="Tahoma" w:cs="Tahoma"/>
          <w:b/>
          <w:sz w:val="20"/>
          <w:szCs w:val="20"/>
        </w:rPr>
      </w:pPr>
      <w:r w:rsidRPr="00513CD4">
        <w:rPr>
          <w:rFonts w:ascii="Tahoma" w:hAnsi="Tahoma" w:cs="Tahoma"/>
          <w:b/>
          <w:sz w:val="20"/>
          <w:szCs w:val="20"/>
        </w:rPr>
        <w:t xml:space="preserve">Research-based Instruction </w:t>
      </w:r>
    </w:p>
    <w:p w:rsidR="00FC63B1" w:rsidRPr="00513CD4" w:rsidRDefault="00A07048" w:rsidP="00A07048">
      <w:pPr>
        <w:pStyle w:val="NormalWeb"/>
        <w:spacing w:before="0" w:beforeAutospacing="0" w:after="0" w:afterAutospacing="0"/>
        <w:rPr>
          <w:rFonts w:ascii="Tahoma" w:hAnsi="Tahoma" w:cs="Tahoma"/>
          <w:sz w:val="20"/>
          <w:szCs w:val="20"/>
        </w:rPr>
      </w:pPr>
      <w:r w:rsidRPr="00513CD4">
        <w:rPr>
          <w:rFonts w:ascii="Tahoma" w:hAnsi="Tahoma" w:cs="Tahoma"/>
          <w:sz w:val="20"/>
          <w:szCs w:val="20"/>
        </w:rPr>
        <w:t xml:space="preserve">The focus </w:t>
      </w:r>
      <w:r w:rsidR="00FC63B1" w:rsidRPr="00513CD4">
        <w:rPr>
          <w:rFonts w:ascii="Tahoma" w:hAnsi="Tahoma" w:cs="Tahoma"/>
          <w:sz w:val="20"/>
          <w:szCs w:val="20"/>
        </w:rPr>
        <w:t xml:space="preserve">for </w:t>
      </w:r>
      <w:r w:rsidRPr="00513CD4">
        <w:rPr>
          <w:rFonts w:ascii="Tahoma" w:hAnsi="Tahoma" w:cs="Tahoma"/>
          <w:sz w:val="20"/>
          <w:szCs w:val="20"/>
        </w:rPr>
        <w:t xml:space="preserve">training centered around </w:t>
      </w:r>
      <w:r w:rsidR="00FC63B1" w:rsidRPr="00513CD4">
        <w:rPr>
          <w:rFonts w:ascii="Tahoma" w:hAnsi="Tahoma" w:cs="Tahoma"/>
          <w:sz w:val="20"/>
          <w:szCs w:val="20"/>
        </w:rPr>
        <w:t>contextualized instruction</w:t>
      </w:r>
      <w:r w:rsidRPr="00513CD4">
        <w:rPr>
          <w:rFonts w:ascii="Tahoma" w:hAnsi="Tahoma" w:cs="Tahoma"/>
          <w:sz w:val="20"/>
          <w:szCs w:val="20"/>
        </w:rPr>
        <w:t xml:space="preserve"> and serving students at the lowest levels of literacy</w:t>
      </w:r>
      <w:r w:rsidR="00AE65D3">
        <w:rPr>
          <w:rFonts w:ascii="Tahoma" w:hAnsi="Tahoma" w:cs="Tahoma"/>
          <w:sz w:val="20"/>
          <w:szCs w:val="20"/>
        </w:rPr>
        <w:t xml:space="preserve">.  In addition, training was provided on creating career pathways for </w:t>
      </w:r>
      <w:r w:rsidRPr="00513CD4">
        <w:rPr>
          <w:rFonts w:ascii="Tahoma" w:hAnsi="Tahoma" w:cs="Tahoma"/>
          <w:sz w:val="20"/>
          <w:szCs w:val="20"/>
        </w:rPr>
        <w:t>students w</w:t>
      </w:r>
      <w:r w:rsidR="00FC63B1" w:rsidRPr="00513CD4">
        <w:rPr>
          <w:rFonts w:ascii="Tahoma" w:hAnsi="Tahoma" w:cs="Tahoma"/>
          <w:sz w:val="20"/>
          <w:szCs w:val="20"/>
        </w:rPr>
        <w:t>ith disabilities</w:t>
      </w:r>
      <w:r w:rsidR="00AE65D3">
        <w:rPr>
          <w:rFonts w:ascii="Tahoma" w:hAnsi="Tahoma" w:cs="Tahoma"/>
          <w:sz w:val="20"/>
          <w:szCs w:val="20"/>
        </w:rPr>
        <w:t xml:space="preserve">. </w:t>
      </w:r>
    </w:p>
    <w:p w:rsidR="00FC63B1" w:rsidRPr="00513CD4" w:rsidRDefault="00FC63B1" w:rsidP="00180D9F">
      <w:pPr>
        <w:pStyle w:val="NormalWeb"/>
        <w:numPr>
          <w:ilvl w:val="0"/>
          <w:numId w:val="6"/>
        </w:numPr>
        <w:spacing w:before="0" w:beforeAutospacing="0" w:after="0" w:afterAutospacing="0"/>
        <w:rPr>
          <w:rFonts w:ascii="Tahoma" w:hAnsi="Tahoma" w:cs="Tahoma"/>
          <w:sz w:val="20"/>
          <w:szCs w:val="20"/>
        </w:rPr>
      </w:pPr>
      <w:r w:rsidRPr="00513CD4">
        <w:rPr>
          <w:rFonts w:ascii="Tahoma" w:hAnsi="Tahoma" w:cs="Tahoma"/>
          <w:sz w:val="20"/>
          <w:szCs w:val="20"/>
        </w:rPr>
        <w:t>Regional w</w:t>
      </w:r>
      <w:r w:rsidR="002E3FE6" w:rsidRPr="00513CD4">
        <w:rPr>
          <w:rFonts w:ascii="Tahoma" w:hAnsi="Tahoma" w:cs="Tahoma"/>
          <w:sz w:val="20"/>
          <w:szCs w:val="20"/>
        </w:rPr>
        <w:t xml:space="preserve">orkshop on serving students with disabilities and student </w:t>
      </w:r>
      <w:r w:rsidR="001F1D50">
        <w:rPr>
          <w:rFonts w:ascii="Tahoma" w:hAnsi="Tahoma" w:cs="Tahoma"/>
          <w:sz w:val="20"/>
          <w:szCs w:val="20"/>
        </w:rPr>
        <w:t>at the lowest level of literacy</w:t>
      </w:r>
    </w:p>
    <w:p w:rsidR="00207807" w:rsidRPr="00513CD4" w:rsidRDefault="00FC63B1" w:rsidP="00180D9F">
      <w:pPr>
        <w:pStyle w:val="NormalWeb"/>
        <w:numPr>
          <w:ilvl w:val="0"/>
          <w:numId w:val="6"/>
        </w:numPr>
        <w:spacing w:before="0" w:beforeAutospacing="0" w:after="0" w:afterAutospacing="0"/>
        <w:rPr>
          <w:rFonts w:ascii="Tahoma" w:hAnsi="Tahoma" w:cs="Tahoma"/>
          <w:sz w:val="20"/>
          <w:szCs w:val="20"/>
        </w:rPr>
      </w:pPr>
      <w:r w:rsidRPr="00513CD4">
        <w:rPr>
          <w:rFonts w:ascii="Tahoma" w:hAnsi="Tahoma" w:cs="Tahoma"/>
          <w:sz w:val="20"/>
          <w:szCs w:val="20"/>
        </w:rPr>
        <w:t xml:space="preserve">Webinars </w:t>
      </w:r>
      <w:r w:rsidR="00AE65D3">
        <w:rPr>
          <w:rFonts w:ascii="Tahoma" w:hAnsi="Tahoma" w:cs="Tahoma"/>
          <w:sz w:val="20"/>
          <w:szCs w:val="20"/>
        </w:rPr>
        <w:t xml:space="preserve">on </w:t>
      </w:r>
      <w:r w:rsidR="00207807" w:rsidRPr="00513CD4">
        <w:rPr>
          <w:rFonts w:ascii="Tahoma" w:hAnsi="Tahoma" w:cs="Tahoma"/>
          <w:sz w:val="20"/>
          <w:szCs w:val="20"/>
        </w:rPr>
        <w:t>best practices for Integrated Education and Training pathways</w:t>
      </w:r>
      <w:r w:rsidR="001F1D50">
        <w:rPr>
          <w:rFonts w:ascii="Tahoma" w:hAnsi="Tahoma" w:cs="Tahoma"/>
          <w:sz w:val="20"/>
          <w:szCs w:val="20"/>
        </w:rPr>
        <w:t xml:space="preserve"> for low literacy level adults</w:t>
      </w:r>
    </w:p>
    <w:p w:rsidR="00207807" w:rsidRPr="00513CD4" w:rsidRDefault="00207807" w:rsidP="00180D9F">
      <w:pPr>
        <w:pStyle w:val="NormalWeb"/>
        <w:numPr>
          <w:ilvl w:val="0"/>
          <w:numId w:val="6"/>
        </w:numPr>
        <w:spacing w:before="0" w:beforeAutospacing="0" w:after="0" w:afterAutospacing="0"/>
        <w:rPr>
          <w:rFonts w:ascii="Tahoma" w:hAnsi="Tahoma" w:cs="Tahoma"/>
          <w:sz w:val="20"/>
          <w:szCs w:val="20"/>
        </w:rPr>
      </w:pPr>
      <w:r w:rsidRPr="00513CD4">
        <w:rPr>
          <w:rFonts w:ascii="Tahoma" w:hAnsi="Tahoma" w:cs="Tahoma"/>
          <w:sz w:val="20"/>
          <w:szCs w:val="20"/>
        </w:rPr>
        <w:t>12 regional workshops on how to contextualize instruction</w:t>
      </w:r>
    </w:p>
    <w:p w:rsidR="002A6354" w:rsidRPr="00513CD4" w:rsidRDefault="00207807" w:rsidP="00180D9F">
      <w:pPr>
        <w:pStyle w:val="NormalWeb"/>
        <w:numPr>
          <w:ilvl w:val="0"/>
          <w:numId w:val="6"/>
        </w:numPr>
        <w:spacing w:before="0" w:beforeAutospacing="0" w:after="0" w:afterAutospacing="0"/>
        <w:rPr>
          <w:rFonts w:ascii="Tahoma" w:hAnsi="Tahoma" w:cs="Tahoma"/>
          <w:sz w:val="20"/>
          <w:szCs w:val="20"/>
        </w:rPr>
      </w:pPr>
      <w:r w:rsidRPr="00513CD4">
        <w:rPr>
          <w:rFonts w:ascii="Tahoma" w:hAnsi="Tahoma" w:cs="Tahoma"/>
          <w:sz w:val="20"/>
          <w:szCs w:val="20"/>
        </w:rPr>
        <w:t>Career Infused lessons – Regional training on integrating career a</w:t>
      </w:r>
      <w:r w:rsidR="001F1D50">
        <w:rPr>
          <w:rFonts w:ascii="Tahoma" w:hAnsi="Tahoma" w:cs="Tahoma"/>
          <w:sz w:val="20"/>
          <w:szCs w:val="20"/>
        </w:rPr>
        <w:t>wareness into the ABE classroom</w:t>
      </w:r>
      <w:r w:rsidRPr="00513CD4">
        <w:rPr>
          <w:rFonts w:ascii="Tahoma" w:hAnsi="Tahoma" w:cs="Tahoma"/>
          <w:sz w:val="20"/>
          <w:szCs w:val="20"/>
        </w:rPr>
        <w:t xml:space="preserve"> </w:t>
      </w:r>
    </w:p>
    <w:p w:rsidR="00207807" w:rsidRPr="00513CD4" w:rsidRDefault="002A6354" w:rsidP="00180D9F">
      <w:pPr>
        <w:pStyle w:val="NormalWeb"/>
        <w:numPr>
          <w:ilvl w:val="0"/>
          <w:numId w:val="6"/>
        </w:numPr>
        <w:spacing w:before="0" w:beforeAutospacing="0" w:after="0" w:afterAutospacing="0"/>
        <w:rPr>
          <w:rFonts w:ascii="Tahoma" w:hAnsi="Tahoma" w:cs="Tahoma"/>
          <w:sz w:val="20"/>
          <w:szCs w:val="20"/>
        </w:rPr>
      </w:pPr>
      <w:r w:rsidRPr="00513CD4">
        <w:rPr>
          <w:rFonts w:ascii="Tahoma" w:hAnsi="Tahoma" w:cs="Tahoma"/>
          <w:sz w:val="20"/>
          <w:szCs w:val="20"/>
        </w:rPr>
        <w:t xml:space="preserve">STAR Research based reading instruction – Essential Components of Reading </w:t>
      </w:r>
      <w:r w:rsidR="00207807" w:rsidRPr="00513CD4">
        <w:rPr>
          <w:rFonts w:ascii="Tahoma" w:hAnsi="Tahoma" w:cs="Tahoma"/>
          <w:sz w:val="20"/>
          <w:szCs w:val="20"/>
        </w:rPr>
        <w:t xml:space="preserve"> </w:t>
      </w:r>
    </w:p>
    <w:p w:rsidR="008E5F2A" w:rsidRPr="00513CD4" w:rsidRDefault="00BD6150" w:rsidP="008E5F2A">
      <w:pPr>
        <w:pStyle w:val="NormalWeb"/>
        <w:spacing w:before="0" w:beforeAutospacing="0" w:after="0" w:afterAutospacing="0"/>
        <w:rPr>
          <w:rFonts w:ascii="Tahoma" w:hAnsi="Tahoma" w:cs="Tahoma"/>
          <w:b/>
          <w:sz w:val="20"/>
          <w:szCs w:val="20"/>
        </w:rPr>
      </w:pPr>
      <w:r w:rsidRPr="00513CD4">
        <w:rPr>
          <w:rFonts w:ascii="Tahoma" w:hAnsi="Tahoma" w:cs="Tahoma"/>
          <w:b/>
          <w:sz w:val="20"/>
          <w:szCs w:val="20"/>
        </w:rPr>
        <w:t xml:space="preserve">Data Quality and Performance </w:t>
      </w:r>
      <w:r w:rsidR="008E5F2A" w:rsidRPr="00513CD4">
        <w:rPr>
          <w:rFonts w:ascii="Tahoma" w:hAnsi="Tahoma" w:cs="Tahoma"/>
          <w:b/>
          <w:sz w:val="20"/>
          <w:szCs w:val="20"/>
        </w:rPr>
        <w:t xml:space="preserve">Technical Assistance                                                                                                                                                 </w:t>
      </w:r>
    </w:p>
    <w:p w:rsidR="00142045" w:rsidRPr="00513CD4" w:rsidRDefault="008E5F2A" w:rsidP="008E5F2A">
      <w:pPr>
        <w:pStyle w:val="NormalWeb"/>
        <w:spacing w:before="0" w:beforeAutospacing="0" w:after="0" w:afterAutospacing="0"/>
        <w:rPr>
          <w:rFonts w:ascii="Tahoma" w:hAnsi="Tahoma" w:cs="Tahoma"/>
          <w:sz w:val="20"/>
          <w:szCs w:val="20"/>
        </w:rPr>
      </w:pPr>
      <w:r w:rsidRPr="00513CD4">
        <w:rPr>
          <w:rFonts w:ascii="Tahoma" w:hAnsi="Tahoma" w:cs="Tahoma"/>
          <w:sz w:val="20"/>
          <w:szCs w:val="20"/>
        </w:rPr>
        <w:t xml:space="preserve">The focus has been on providing general webinars on collecting and entering data and specific site visits on assisting </w:t>
      </w:r>
      <w:r w:rsidR="004166E7" w:rsidRPr="00513CD4">
        <w:rPr>
          <w:rFonts w:ascii="Tahoma" w:hAnsi="Tahoma" w:cs="Tahoma"/>
          <w:sz w:val="20"/>
          <w:szCs w:val="20"/>
        </w:rPr>
        <w:t>program</w:t>
      </w:r>
      <w:r w:rsidRPr="00513CD4">
        <w:rPr>
          <w:rFonts w:ascii="Tahoma" w:hAnsi="Tahoma" w:cs="Tahoma"/>
          <w:sz w:val="20"/>
          <w:szCs w:val="20"/>
        </w:rPr>
        <w:t xml:space="preserve"> in the analysis of data for information program practice.</w:t>
      </w:r>
      <w:r w:rsidR="004166E7" w:rsidRPr="00513CD4">
        <w:rPr>
          <w:rFonts w:ascii="Tahoma" w:hAnsi="Tahoma" w:cs="Tahoma"/>
          <w:sz w:val="20"/>
          <w:szCs w:val="20"/>
        </w:rPr>
        <w:t xml:space="preserve">   We leveraged a state wide initiative, NC Performance Summit, to assist programs with specific</w:t>
      </w:r>
      <w:r w:rsidR="00C43A24" w:rsidRPr="00513CD4">
        <w:rPr>
          <w:rFonts w:ascii="Tahoma" w:hAnsi="Tahoma" w:cs="Tahoma"/>
          <w:sz w:val="20"/>
          <w:szCs w:val="20"/>
        </w:rPr>
        <w:t xml:space="preserve"> </w:t>
      </w:r>
      <w:r w:rsidR="00D01745">
        <w:rPr>
          <w:rFonts w:ascii="Tahoma" w:hAnsi="Tahoma" w:cs="Tahoma"/>
          <w:sz w:val="20"/>
          <w:szCs w:val="20"/>
        </w:rPr>
        <w:t xml:space="preserve">metrics </w:t>
      </w:r>
      <w:r w:rsidR="00513CD4" w:rsidRPr="00513CD4">
        <w:rPr>
          <w:rFonts w:ascii="Tahoma" w:hAnsi="Tahoma" w:cs="Tahoma"/>
          <w:sz w:val="20"/>
          <w:szCs w:val="20"/>
        </w:rPr>
        <w:t xml:space="preserve">and training. </w:t>
      </w:r>
    </w:p>
    <w:p w:rsidR="00BD6150" w:rsidRPr="00513CD4" w:rsidRDefault="004166E7" w:rsidP="00180D9F">
      <w:pPr>
        <w:pStyle w:val="NormalWeb"/>
        <w:numPr>
          <w:ilvl w:val="0"/>
          <w:numId w:val="7"/>
        </w:numPr>
        <w:spacing w:before="0" w:beforeAutospacing="0" w:after="0" w:afterAutospacing="0"/>
        <w:rPr>
          <w:rFonts w:ascii="Tahoma" w:hAnsi="Tahoma" w:cs="Tahoma"/>
          <w:b/>
          <w:sz w:val="20"/>
          <w:szCs w:val="20"/>
        </w:rPr>
      </w:pPr>
      <w:r w:rsidRPr="00513CD4">
        <w:rPr>
          <w:rFonts w:ascii="Tahoma" w:hAnsi="Tahoma" w:cs="Tahoma"/>
          <w:color w:val="000000"/>
          <w:sz w:val="20"/>
          <w:szCs w:val="20"/>
        </w:rPr>
        <w:t xml:space="preserve">NC </w:t>
      </w:r>
      <w:r w:rsidR="008E5F2A" w:rsidRPr="00513CD4">
        <w:rPr>
          <w:rFonts w:ascii="Tahoma" w:hAnsi="Tahoma" w:cs="Tahoma"/>
          <w:color w:val="000000"/>
          <w:sz w:val="20"/>
          <w:szCs w:val="20"/>
        </w:rPr>
        <w:t xml:space="preserve">System-wide </w:t>
      </w:r>
      <w:r w:rsidR="00513CD4" w:rsidRPr="00513CD4">
        <w:rPr>
          <w:rFonts w:ascii="Tahoma" w:hAnsi="Tahoma" w:cs="Tahoma"/>
          <w:color w:val="000000"/>
          <w:sz w:val="20"/>
          <w:szCs w:val="20"/>
        </w:rPr>
        <w:t>Performance S</w:t>
      </w:r>
      <w:r w:rsidR="008E5F2A" w:rsidRPr="00513CD4">
        <w:rPr>
          <w:rFonts w:ascii="Tahoma" w:hAnsi="Tahoma" w:cs="Tahoma"/>
          <w:color w:val="000000"/>
          <w:sz w:val="20"/>
          <w:szCs w:val="20"/>
        </w:rPr>
        <w:t xml:space="preserve">ummit </w:t>
      </w:r>
    </w:p>
    <w:p w:rsidR="00BD6150" w:rsidRPr="00513CD4" w:rsidRDefault="00513CD4" w:rsidP="00180D9F">
      <w:pPr>
        <w:numPr>
          <w:ilvl w:val="0"/>
          <w:numId w:val="3"/>
        </w:numPr>
        <w:spacing w:after="160" w:line="259" w:lineRule="auto"/>
        <w:contextualSpacing/>
        <w:rPr>
          <w:rFonts w:ascii="Tahoma" w:eastAsiaTheme="minorHAnsi" w:hAnsi="Tahoma" w:cs="Tahoma"/>
          <w:sz w:val="20"/>
        </w:rPr>
      </w:pPr>
      <w:r w:rsidRPr="00513CD4">
        <w:rPr>
          <w:rFonts w:ascii="Tahoma" w:eastAsiaTheme="minorHAnsi" w:hAnsi="Tahoma" w:cs="Tahoma"/>
          <w:sz w:val="20"/>
        </w:rPr>
        <w:t>Western Region Workshop – Data Quality (</w:t>
      </w:r>
      <w:r w:rsidR="00BD6150" w:rsidRPr="00513CD4">
        <w:rPr>
          <w:rFonts w:ascii="Tahoma" w:eastAsiaTheme="minorHAnsi" w:hAnsi="Tahoma" w:cs="Tahoma"/>
          <w:sz w:val="20"/>
        </w:rPr>
        <w:t>13 programs)</w:t>
      </w:r>
    </w:p>
    <w:p w:rsidR="00BD6150" w:rsidRPr="00513CD4" w:rsidRDefault="00BD6150" w:rsidP="00180D9F">
      <w:pPr>
        <w:numPr>
          <w:ilvl w:val="0"/>
          <w:numId w:val="3"/>
        </w:numPr>
        <w:spacing w:after="160" w:line="259" w:lineRule="auto"/>
        <w:contextualSpacing/>
        <w:rPr>
          <w:rFonts w:ascii="Tahoma" w:eastAsiaTheme="minorHAnsi" w:hAnsi="Tahoma" w:cs="Tahoma"/>
          <w:sz w:val="20"/>
        </w:rPr>
      </w:pPr>
      <w:r w:rsidRPr="00513CD4">
        <w:rPr>
          <w:rFonts w:ascii="Tahoma" w:eastAsiaTheme="minorHAnsi" w:hAnsi="Tahoma" w:cs="Tahoma"/>
          <w:sz w:val="20"/>
        </w:rPr>
        <w:t xml:space="preserve">Central </w:t>
      </w:r>
      <w:r w:rsidR="00513CD4" w:rsidRPr="00513CD4">
        <w:rPr>
          <w:rFonts w:ascii="Tahoma" w:eastAsiaTheme="minorHAnsi" w:hAnsi="Tahoma" w:cs="Tahoma"/>
          <w:sz w:val="20"/>
        </w:rPr>
        <w:t>R</w:t>
      </w:r>
      <w:r w:rsidRPr="00513CD4">
        <w:rPr>
          <w:rFonts w:ascii="Tahoma" w:eastAsiaTheme="minorHAnsi" w:hAnsi="Tahoma" w:cs="Tahoma"/>
          <w:sz w:val="20"/>
        </w:rPr>
        <w:t xml:space="preserve">egion </w:t>
      </w:r>
      <w:r w:rsidR="00513CD4" w:rsidRPr="00513CD4">
        <w:rPr>
          <w:rFonts w:ascii="Tahoma" w:eastAsiaTheme="minorHAnsi" w:hAnsi="Tahoma" w:cs="Tahoma"/>
          <w:sz w:val="20"/>
        </w:rPr>
        <w:t xml:space="preserve">Workshop </w:t>
      </w:r>
      <w:r w:rsidRPr="00513CD4">
        <w:rPr>
          <w:rFonts w:ascii="Tahoma" w:eastAsiaTheme="minorHAnsi" w:hAnsi="Tahoma" w:cs="Tahoma"/>
          <w:sz w:val="20"/>
        </w:rPr>
        <w:t>(10 programs)</w:t>
      </w:r>
    </w:p>
    <w:p w:rsidR="004F14DB" w:rsidRPr="00513CD4" w:rsidRDefault="00207807" w:rsidP="00FF4BD6">
      <w:pPr>
        <w:pStyle w:val="NormalWeb"/>
        <w:spacing w:before="0" w:beforeAutospacing="0" w:after="0" w:afterAutospacing="0"/>
        <w:rPr>
          <w:rFonts w:ascii="Tahoma" w:hAnsi="Tahoma" w:cs="Tahoma"/>
          <w:b/>
          <w:sz w:val="20"/>
          <w:szCs w:val="20"/>
        </w:rPr>
      </w:pPr>
      <w:r w:rsidRPr="00513CD4">
        <w:rPr>
          <w:rFonts w:ascii="Tahoma" w:hAnsi="Tahoma" w:cs="Tahoma"/>
          <w:b/>
          <w:sz w:val="20"/>
          <w:szCs w:val="20"/>
        </w:rPr>
        <w:t xml:space="preserve">Core Credentials for Adult Education Instruction </w:t>
      </w:r>
    </w:p>
    <w:p w:rsidR="00E7536B" w:rsidRPr="00513CD4" w:rsidRDefault="00207807"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lastRenderedPageBreak/>
        <w:t>T</w:t>
      </w:r>
      <w:r w:rsidR="00E7536B" w:rsidRPr="00513CD4">
        <w:rPr>
          <w:rFonts w:ascii="Tahoma" w:hAnsi="Tahoma" w:cs="Tahoma"/>
          <w:color w:val="000000"/>
          <w:sz w:val="20"/>
          <w:szCs w:val="20"/>
        </w:rPr>
        <w:t>he College and Career Readiness section, in partnership with our training providers, Appalachian State University, Motheread, Inc., and several community college and community-based orga</w:t>
      </w:r>
      <w:r w:rsidR="001F1D50">
        <w:rPr>
          <w:rFonts w:ascii="Tahoma" w:hAnsi="Tahoma" w:cs="Tahoma"/>
          <w:color w:val="000000"/>
          <w:sz w:val="20"/>
          <w:szCs w:val="20"/>
        </w:rPr>
        <w:t xml:space="preserve">nization faculty, continues </w:t>
      </w:r>
      <w:r w:rsidR="00E7536B" w:rsidRPr="00513CD4">
        <w:rPr>
          <w:rFonts w:ascii="Tahoma" w:hAnsi="Tahoma" w:cs="Tahoma"/>
          <w:color w:val="000000"/>
          <w:sz w:val="20"/>
          <w:szCs w:val="20"/>
        </w:rPr>
        <w:t>to provide a high quality credentialing system for our local instructors.</w:t>
      </w:r>
      <w:r w:rsidRPr="00513CD4">
        <w:rPr>
          <w:rFonts w:ascii="Tahoma" w:hAnsi="Tahoma" w:cs="Tahoma"/>
          <w:color w:val="000000"/>
          <w:sz w:val="20"/>
          <w:szCs w:val="20"/>
        </w:rPr>
        <w:t xml:space="preserve"> </w:t>
      </w:r>
      <w:r w:rsidR="00E7536B" w:rsidRPr="00513CD4">
        <w:rPr>
          <w:rFonts w:ascii="Tahoma" w:hAnsi="Tahoma" w:cs="Tahoma"/>
          <w:color w:val="000000"/>
          <w:sz w:val="20"/>
          <w:szCs w:val="20"/>
        </w:rPr>
        <w:t xml:space="preserve">In its fourth year of implementation, </w:t>
      </w:r>
      <w:r w:rsidR="001F1D50">
        <w:rPr>
          <w:rFonts w:ascii="Tahoma" w:hAnsi="Tahoma" w:cs="Tahoma"/>
          <w:color w:val="000000"/>
          <w:sz w:val="20"/>
          <w:szCs w:val="20"/>
        </w:rPr>
        <w:t xml:space="preserve">the system has awarded </w:t>
      </w:r>
      <w:r w:rsidR="00BD6150" w:rsidRPr="00513CD4">
        <w:rPr>
          <w:rFonts w:ascii="Tahoma" w:hAnsi="Tahoma" w:cs="Tahoma"/>
          <w:color w:val="000000"/>
          <w:sz w:val="20"/>
          <w:szCs w:val="20"/>
        </w:rPr>
        <w:t>398 NC Community College System Office cr</w:t>
      </w:r>
      <w:r w:rsidR="001F1D50">
        <w:rPr>
          <w:rFonts w:ascii="Tahoma" w:hAnsi="Tahoma" w:cs="Tahoma"/>
          <w:color w:val="000000"/>
          <w:sz w:val="20"/>
          <w:szCs w:val="20"/>
        </w:rPr>
        <w:t>edentials in 2015-2016.</w:t>
      </w:r>
      <w:r w:rsidR="00BD6150" w:rsidRPr="00513CD4">
        <w:rPr>
          <w:rFonts w:ascii="Tahoma" w:hAnsi="Tahoma" w:cs="Tahoma"/>
          <w:color w:val="000000"/>
          <w:sz w:val="20"/>
          <w:szCs w:val="20"/>
        </w:rPr>
        <w:t xml:space="preserve"> </w:t>
      </w:r>
    </w:p>
    <w:tbl>
      <w:tblPr>
        <w:tblStyle w:val="TableGrid"/>
        <w:tblW w:w="0" w:type="auto"/>
        <w:tblLook w:val="04A0" w:firstRow="1" w:lastRow="0" w:firstColumn="1" w:lastColumn="0" w:noHBand="0" w:noVBand="1"/>
      </w:tblPr>
      <w:tblGrid>
        <w:gridCol w:w="1432"/>
        <w:gridCol w:w="7178"/>
      </w:tblGrid>
      <w:tr w:rsidR="00207807" w:rsidRPr="00513CD4" w:rsidTr="001F1D50">
        <w:trPr>
          <w:trHeight w:val="201"/>
        </w:trPr>
        <w:tc>
          <w:tcPr>
            <w:tcW w:w="1432" w:type="dxa"/>
            <w:shd w:val="clear" w:color="auto" w:fill="E7E6E6" w:themeFill="background2"/>
          </w:tcPr>
          <w:p w:rsidR="00207807" w:rsidRPr="00513CD4" w:rsidRDefault="00207807"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Number </w:t>
            </w:r>
          </w:p>
        </w:tc>
        <w:tc>
          <w:tcPr>
            <w:tcW w:w="7178" w:type="dxa"/>
            <w:shd w:val="clear" w:color="auto" w:fill="E7E6E6" w:themeFill="background2"/>
          </w:tcPr>
          <w:p w:rsidR="00207807" w:rsidRPr="00513CD4" w:rsidRDefault="00207807"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Credential </w:t>
            </w:r>
          </w:p>
        </w:tc>
      </w:tr>
      <w:tr w:rsidR="00207807" w:rsidRPr="00513CD4" w:rsidTr="00513CD4">
        <w:trPr>
          <w:trHeight w:val="201"/>
        </w:trPr>
        <w:tc>
          <w:tcPr>
            <w:tcW w:w="1432" w:type="dxa"/>
          </w:tcPr>
          <w:p w:rsidR="00207807" w:rsidRPr="00513CD4" w:rsidRDefault="00207807"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156</w:t>
            </w:r>
          </w:p>
        </w:tc>
        <w:tc>
          <w:tcPr>
            <w:tcW w:w="7178" w:type="dxa"/>
          </w:tcPr>
          <w:p w:rsidR="00207807" w:rsidRPr="00513CD4" w:rsidRDefault="00207807"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CORE</w:t>
            </w:r>
            <w:r w:rsidRPr="00513CD4">
              <w:rPr>
                <w:rFonts w:ascii="Tahoma" w:hAnsi="Tahoma" w:cs="Tahoma"/>
                <w:color w:val="000000"/>
                <w:sz w:val="20"/>
                <w:szCs w:val="20"/>
              </w:rPr>
              <w:tab/>
            </w:r>
          </w:p>
        </w:tc>
      </w:tr>
      <w:tr w:rsidR="00207807" w:rsidRPr="00513CD4" w:rsidTr="00513CD4">
        <w:trPr>
          <w:trHeight w:val="201"/>
        </w:trPr>
        <w:tc>
          <w:tcPr>
            <w:tcW w:w="1432" w:type="dxa"/>
          </w:tcPr>
          <w:p w:rsidR="00207807" w:rsidRPr="00513CD4" w:rsidRDefault="00207807"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 42</w:t>
            </w:r>
          </w:p>
        </w:tc>
        <w:tc>
          <w:tcPr>
            <w:tcW w:w="7178" w:type="dxa"/>
          </w:tcPr>
          <w:p w:rsidR="00207807" w:rsidRPr="00513CD4" w:rsidRDefault="00207807"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ASE General </w:t>
            </w:r>
          </w:p>
        </w:tc>
      </w:tr>
      <w:tr w:rsidR="00207807" w:rsidRPr="00513CD4" w:rsidTr="00513CD4">
        <w:trPr>
          <w:trHeight w:val="201"/>
        </w:trPr>
        <w:tc>
          <w:tcPr>
            <w:tcW w:w="1432" w:type="dxa"/>
          </w:tcPr>
          <w:p w:rsidR="00207807" w:rsidRPr="00513CD4" w:rsidRDefault="00207807" w:rsidP="002A6354">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   9</w:t>
            </w:r>
          </w:p>
        </w:tc>
        <w:tc>
          <w:tcPr>
            <w:tcW w:w="7178" w:type="dxa"/>
          </w:tcPr>
          <w:p w:rsidR="00207807" w:rsidRPr="00513CD4" w:rsidRDefault="00207807"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ASE Language Arts/ Social Studies </w:t>
            </w:r>
          </w:p>
        </w:tc>
      </w:tr>
      <w:tr w:rsidR="00207807" w:rsidRPr="00513CD4" w:rsidTr="00513CD4">
        <w:trPr>
          <w:trHeight w:val="201"/>
        </w:trPr>
        <w:tc>
          <w:tcPr>
            <w:tcW w:w="1432" w:type="dxa"/>
          </w:tcPr>
          <w:p w:rsidR="00207807" w:rsidRPr="00513CD4" w:rsidRDefault="002A6354"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41 </w:t>
            </w:r>
          </w:p>
        </w:tc>
        <w:tc>
          <w:tcPr>
            <w:tcW w:w="7178" w:type="dxa"/>
          </w:tcPr>
          <w:p w:rsidR="00207807" w:rsidRPr="00513CD4" w:rsidRDefault="002A6354" w:rsidP="002A6354">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ESOL </w:t>
            </w:r>
          </w:p>
        </w:tc>
      </w:tr>
      <w:tr w:rsidR="002A6354" w:rsidRPr="00513CD4" w:rsidTr="00513CD4">
        <w:trPr>
          <w:trHeight w:val="201"/>
        </w:trPr>
        <w:tc>
          <w:tcPr>
            <w:tcW w:w="1432" w:type="dxa"/>
          </w:tcPr>
          <w:p w:rsidR="002A6354" w:rsidRPr="00513CD4" w:rsidRDefault="002A6354" w:rsidP="00207807">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60</w:t>
            </w:r>
          </w:p>
        </w:tc>
        <w:tc>
          <w:tcPr>
            <w:tcW w:w="7178" w:type="dxa"/>
          </w:tcPr>
          <w:p w:rsidR="002A6354" w:rsidRPr="00513CD4" w:rsidRDefault="002A6354" w:rsidP="002A6354">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STAR (Student Achievement in Reading) </w:t>
            </w:r>
          </w:p>
        </w:tc>
      </w:tr>
      <w:tr w:rsidR="002A6354" w:rsidRPr="00513CD4" w:rsidTr="00513CD4">
        <w:trPr>
          <w:trHeight w:val="201"/>
        </w:trPr>
        <w:tc>
          <w:tcPr>
            <w:tcW w:w="8610" w:type="dxa"/>
            <w:gridSpan w:val="2"/>
          </w:tcPr>
          <w:p w:rsidR="002A6354" w:rsidRPr="00513CD4" w:rsidRDefault="002A6354" w:rsidP="002A6354">
            <w:pPr>
              <w:pStyle w:val="NormalWeb"/>
              <w:spacing w:before="0" w:beforeAutospacing="0"/>
              <w:rPr>
                <w:rFonts w:ascii="Tahoma" w:hAnsi="Tahoma" w:cs="Tahoma"/>
                <w:color w:val="000000"/>
                <w:sz w:val="20"/>
                <w:szCs w:val="20"/>
              </w:rPr>
            </w:pPr>
            <w:r w:rsidRPr="00513CD4">
              <w:rPr>
                <w:rFonts w:ascii="Tahoma" w:hAnsi="Tahoma" w:cs="Tahoma"/>
                <w:color w:val="000000"/>
                <w:sz w:val="20"/>
                <w:szCs w:val="20"/>
              </w:rPr>
              <w:t xml:space="preserve">Summary </w:t>
            </w:r>
          </w:p>
        </w:tc>
      </w:tr>
      <w:tr w:rsidR="002A6354" w:rsidRPr="00513CD4" w:rsidTr="001F1D50">
        <w:trPr>
          <w:trHeight w:val="1331"/>
        </w:trPr>
        <w:tc>
          <w:tcPr>
            <w:tcW w:w="8610" w:type="dxa"/>
            <w:gridSpan w:val="2"/>
          </w:tcPr>
          <w:p w:rsidR="002A6354" w:rsidRPr="00513CD4" w:rsidRDefault="002A6354" w:rsidP="002A6354">
            <w:pPr>
              <w:pStyle w:val="NormalWeb"/>
              <w:rPr>
                <w:rFonts w:ascii="Tahoma" w:hAnsi="Tahoma" w:cs="Tahoma"/>
                <w:color w:val="000000"/>
                <w:sz w:val="20"/>
                <w:szCs w:val="20"/>
              </w:rPr>
            </w:pPr>
            <w:r w:rsidRPr="00513CD4">
              <w:rPr>
                <w:rFonts w:ascii="Tahoma" w:hAnsi="Tahoma" w:cs="Tahoma"/>
                <w:color w:val="000000"/>
                <w:sz w:val="20"/>
                <w:szCs w:val="20"/>
              </w:rPr>
              <w:t>A total of 2,385 individuals completed CEU-bearing courses. They represented 55 community college providers, and all 18 of the Title II- funded CBOs. The total rating in response to the prompt " the information from this course will improve instruction when implemented in the classroom" was 5.85 on a Likert scale with the number 6 indicating "strongly agree." The average rating per specific course ranged from 5.96 to 5.80.</w:t>
            </w:r>
          </w:p>
        </w:tc>
      </w:tr>
    </w:tbl>
    <w:p w:rsidR="00D445FB" w:rsidRDefault="00D445FB" w:rsidP="00513CD4">
      <w:pPr>
        <w:pStyle w:val="NormalWeb"/>
        <w:spacing w:before="0" w:beforeAutospacing="0" w:after="0" w:afterAutospacing="0"/>
        <w:rPr>
          <w:rFonts w:ascii="Arial Narrow" w:hAnsi="Arial Narrow"/>
          <w:color w:val="000000"/>
        </w:rPr>
      </w:pPr>
    </w:p>
    <w:p w:rsidR="00513CD4" w:rsidRDefault="00E7536B" w:rsidP="00513CD4">
      <w:pPr>
        <w:pStyle w:val="NormalWeb"/>
        <w:spacing w:before="0" w:beforeAutospacing="0" w:after="0" w:afterAutospacing="0"/>
        <w:rPr>
          <w:rFonts w:ascii="Tahoma" w:hAnsi="Tahoma" w:cs="Tahoma"/>
          <w:b/>
          <w:color w:val="000000"/>
          <w:sz w:val="20"/>
          <w:szCs w:val="20"/>
          <w:u w:val="single"/>
        </w:rPr>
      </w:pPr>
      <w:r w:rsidRPr="00E7536B">
        <w:rPr>
          <w:rFonts w:ascii="Arial Narrow" w:hAnsi="Arial Narrow"/>
          <w:color w:val="000000"/>
        </w:rPr>
        <w:t xml:space="preserve"> </w:t>
      </w:r>
      <w:r w:rsidR="00B27D5F" w:rsidRPr="00513CD4">
        <w:rPr>
          <w:rFonts w:ascii="Tahoma" w:hAnsi="Tahoma" w:cs="Tahoma"/>
          <w:b/>
          <w:color w:val="000000"/>
          <w:sz w:val="20"/>
          <w:szCs w:val="20"/>
          <w:u w:val="single"/>
        </w:rPr>
        <w:t>Program Monitoring (2015-2016)</w:t>
      </w:r>
    </w:p>
    <w:p w:rsidR="00B27D5F" w:rsidRPr="00513CD4" w:rsidRDefault="00B27D5F" w:rsidP="00513CD4">
      <w:pPr>
        <w:pStyle w:val="NormalWeb"/>
        <w:spacing w:before="0" w:beforeAutospacing="0" w:after="0" w:afterAutospacing="0"/>
        <w:rPr>
          <w:rFonts w:ascii="Tahoma" w:hAnsi="Tahoma" w:cs="Tahoma"/>
          <w:sz w:val="20"/>
          <w:szCs w:val="20"/>
        </w:rPr>
      </w:pPr>
      <w:r w:rsidRPr="00513CD4">
        <w:rPr>
          <w:rFonts w:ascii="Tahoma" w:hAnsi="Tahoma" w:cs="Tahoma"/>
          <w:sz w:val="20"/>
          <w:szCs w:val="20"/>
        </w:rPr>
        <w:t>System Office staff conducted on-site program monitoring visits at fifteen local providers located throughout the state. This sampling represents twenty percent of our overall providers. All monitoring visits were based and evaluated on the required thirteen considerations. The visits focused on three main areas: program management, adult literacy instruction, and data quality and evaluation. Copies of the program monitoring report</w:t>
      </w:r>
      <w:r w:rsidR="001F1D50">
        <w:rPr>
          <w:rFonts w:ascii="Tahoma" w:hAnsi="Tahoma" w:cs="Tahoma"/>
          <w:sz w:val="20"/>
          <w:szCs w:val="20"/>
        </w:rPr>
        <w:t>s</w:t>
      </w:r>
      <w:r w:rsidRPr="00513CD4">
        <w:rPr>
          <w:rFonts w:ascii="Tahoma" w:hAnsi="Tahoma" w:cs="Tahoma"/>
          <w:sz w:val="20"/>
          <w:szCs w:val="20"/>
        </w:rPr>
        <w:t xml:space="preserve"> are on file at the System Office along with any Corrective Action Plans</w:t>
      </w:r>
      <w:r w:rsidR="001F1D50">
        <w:rPr>
          <w:rFonts w:ascii="Tahoma" w:hAnsi="Tahoma" w:cs="Tahoma"/>
          <w:sz w:val="20"/>
          <w:szCs w:val="20"/>
        </w:rPr>
        <w:t xml:space="preserve"> that were required</w:t>
      </w:r>
      <w:r w:rsidRPr="00513CD4">
        <w:rPr>
          <w:rFonts w:ascii="Tahoma" w:hAnsi="Tahoma" w:cs="Tahoma"/>
          <w:sz w:val="20"/>
          <w:szCs w:val="20"/>
        </w:rPr>
        <w:t xml:space="preserve">. </w:t>
      </w:r>
    </w:p>
    <w:p w:rsidR="00B27D5F" w:rsidRPr="00513CD4" w:rsidRDefault="00B27D5F" w:rsidP="00B27D5F">
      <w:pPr>
        <w:widowControl w:val="0"/>
        <w:autoSpaceDE w:val="0"/>
        <w:autoSpaceDN w:val="0"/>
        <w:adjustRightInd w:val="0"/>
        <w:spacing w:line="264" w:lineRule="auto"/>
        <w:ind w:left="360"/>
        <w:rPr>
          <w:rFonts w:ascii="Tahoma" w:hAnsi="Tahoma" w:cs="Tahoma"/>
          <w:sz w:val="20"/>
        </w:rPr>
      </w:pPr>
    </w:p>
    <w:p w:rsidR="00D445FB" w:rsidRDefault="00B27D5F" w:rsidP="00D445FB">
      <w:pPr>
        <w:widowControl w:val="0"/>
        <w:autoSpaceDE w:val="0"/>
        <w:autoSpaceDN w:val="0"/>
        <w:adjustRightInd w:val="0"/>
        <w:spacing w:line="264" w:lineRule="auto"/>
        <w:rPr>
          <w:rFonts w:ascii="Tahoma" w:hAnsi="Tahoma" w:cs="Tahoma"/>
          <w:sz w:val="20"/>
        </w:rPr>
      </w:pPr>
      <w:r w:rsidRPr="00513CD4">
        <w:rPr>
          <w:rFonts w:ascii="Tahoma" w:hAnsi="Tahoma" w:cs="Tahoma"/>
          <w:sz w:val="20"/>
        </w:rPr>
        <w:t xml:space="preserve">In addition to onsite monitoring, System Office staff also monitor program accountability through annual desktop monitoring reports and quarterly interim reports.  These reports offer local programs insight that may be used to improve performance throughout the year or to generate change at the start of a new program year.  The reports also allow System Office staff to conduct red flag monitoring and technical assistance for programs who show poor performance on either a quarterly or yearly basis.  </w:t>
      </w:r>
    </w:p>
    <w:p w:rsidR="00D3772B" w:rsidRDefault="00D3772B" w:rsidP="00D445FB">
      <w:pPr>
        <w:widowControl w:val="0"/>
        <w:autoSpaceDE w:val="0"/>
        <w:autoSpaceDN w:val="0"/>
        <w:adjustRightInd w:val="0"/>
        <w:spacing w:line="264" w:lineRule="auto"/>
        <w:rPr>
          <w:rFonts w:ascii="Arial Narrow" w:hAnsi="Arial Narrow"/>
          <w:color w:val="000000"/>
          <w:sz w:val="36"/>
          <w:szCs w:val="36"/>
        </w:rPr>
      </w:pPr>
      <w:r>
        <w:rPr>
          <w:rFonts w:ascii="Arial Narrow" w:hAnsi="Arial Narrow"/>
          <w:color w:val="000000"/>
          <w:sz w:val="36"/>
          <w:szCs w:val="36"/>
        </w:rPr>
        <w:t>           </w:t>
      </w:r>
    </w:p>
    <w:p w:rsidR="00A767FB" w:rsidRPr="002838ED" w:rsidRDefault="00D3772B" w:rsidP="00D445FB">
      <w:pPr>
        <w:pStyle w:val="NormalWeb"/>
        <w:rPr>
          <w:rFonts w:ascii="Tahoma" w:eastAsiaTheme="minorHAnsi" w:hAnsi="Tahoma" w:cs="Tahoma"/>
          <w:b/>
          <w:color w:val="000000"/>
          <w:sz w:val="4"/>
          <w:szCs w:val="6"/>
          <w:u w:val="thick" w:color="BF8F00" w:themeColor="accent4" w:themeShade="BF"/>
        </w:rPr>
      </w:pPr>
      <w:r>
        <w:rPr>
          <w:rFonts w:ascii="Arial Narrow" w:hAnsi="Arial Narrow"/>
          <w:color w:val="000000"/>
          <w:sz w:val="36"/>
          <w:szCs w:val="36"/>
        </w:rPr>
        <w:t xml:space="preserve">                  </w:t>
      </w:r>
      <w:r w:rsidR="00D01745" w:rsidRPr="00D01745">
        <w:rPr>
          <w:rFonts w:asciiTheme="minorHAnsi" w:eastAsiaTheme="minorHAnsi" w:hAnsiTheme="minorHAnsi"/>
          <w:noProof/>
          <w:color w:val="000000"/>
          <w:sz w:val="23"/>
          <w:szCs w:val="23"/>
          <w:u w:val="single"/>
        </w:rPr>
        <mc:AlternateContent>
          <mc:Choice Requires="wps">
            <w:drawing>
              <wp:anchor distT="0" distB="0" distL="114300" distR="114300" simplePos="0" relativeHeight="251661312" behindDoc="0" locked="0" layoutInCell="1" allowOverlap="1" wp14:anchorId="705979B4" wp14:editId="339ED4BE">
                <wp:simplePos x="0" y="0"/>
                <wp:positionH relativeFrom="margin">
                  <wp:posOffset>0</wp:posOffset>
                </wp:positionH>
                <wp:positionV relativeFrom="paragraph">
                  <wp:posOffset>0</wp:posOffset>
                </wp:positionV>
                <wp:extent cx="5934075" cy="3429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01745" w:rsidRPr="001F1D50" w:rsidRDefault="00D445FB" w:rsidP="00D01745">
                            <w:pPr>
                              <w:pStyle w:val="ListParagraph"/>
                              <w:jc w:val="center"/>
                              <w:rPr>
                                <w:rFonts w:ascii="Tahoma" w:hAnsi="Tahoma" w:cs="Tahoma"/>
                                <w:b/>
                                <w:color w:val="000000" w:themeColor="text1"/>
                                <w:sz w:val="24"/>
                                <w:szCs w:val="24"/>
                              </w:rPr>
                            </w:pPr>
                            <w:r w:rsidRPr="001F1D50">
                              <w:rPr>
                                <w:rFonts w:ascii="Tahoma" w:hAnsi="Tahoma" w:cs="Tahoma"/>
                                <w:b/>
                                <w:color w:val="000000" w:themeColor="text1"/>
                                <w:sz w:val="24"/>
                                <w:szCs w:val="24"/>
                              </w:rPr>
                              <w:t xml:space="preserve">2. </w:t>
                            </w:r>
                            <w:r w:rsidR="00D01745" w:rsidRPr="001F1D50">
                              <w:rPr>
                                <w:rFonts w:ascii="Tahoma" w:hAnsi="Tahoma" w:cs="Tahoma"/>
                                <w:b/>
                                <w:color w:val="000000" w:themeColor="text1"/>
                                <w:sz w:val="24"/>
                                <w:szCs w:val="24"/>
                              </w:rPr>
                              <w:t>P</w:t>
                            </w:r>
                            <w:r w:rsidRPr="001F1D50">
                              <w:rPr>
                                <w:rFonts w:ascii="Tahoma" w:hAnsi="Tahoma" w:cs="Tahoma"/>
                                <w:b/>
                                <w:color w:val="000000" w:themeColor="text1"/>
                                <w:sz w:val="24"/>
                                <w:szCs w:val="24"/>
                              </w:rPr>
                              <w:t xml:space="preserve">erformance </w:t>
                            </w:r>
                            <w:r w:rsidR="00D01745" w:rsidRPr="001F1D50">
                              <w:rPr>
                                <w:rFonts w:ascii="Tahoma" w:hAnsi="Tahoma" w:cs="Tahoma"/>
                                <w:b/>
                                <w:color w:val="000000" w:themeColor="text1"/>
                                <w:sz w:val="24"/>
                                <w:szCs w:val="24"/>
                              </w:rPr>
                              <w:t>D</w:t>
                            </w:r>
                            <w:r w:rsidRPr="001F1D50">
                              <w:rPr>
                                <w:rFonts w:ascii="Tahoma" w:hAnsi="Tahoma" w:cs="Tahoma"/>
                                <w:b/>
                                <w:color w:val="000000" w:themeColor="text1"/>
                                <w:sz w:val="24"/>
                                <w:szCs w:val="24"/>
                              </w:rPr>
                              <w:t xml:space="preserve">ata </w:t>
                            </w:r>
                            <w:r w:rsidR="00D01745" w:rsidRPr="001F1D50">
                              <w:rPr>
                                <w:rFonts w:ascii="Tahoma" w:hAnsi="Tahoma" w:cs="Tahoma"/>
                                <w:b/>
                                <w:color w:val="000000" w:themeColor="text1"/>
                                <w:sz w:val="24"/>
                                <w:szCs w:val="24"/>
                              </w:rPr>
                              <w:t>A</w:t>
                            </w:r>
                            <w:r w:rsidRPr="001F1D50">
                              <w:rPr>
                                <w:rFonts w:ascii="Tahoma" w:hAnsi="Tahoma" w:cs="Tahoma"/>
                                <w:b/>
                                <w:color w:val="000000" w:themeColor="text1"/>
                                <w:sz w:val="24"/>
                                <w:szCs w:val="24"/>
                              </w:rPr>
                              <w:t>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979B4" id="Rectangle 1" o:spid="_x0000_s1027" style="position:absolute;left:0;text-align:left;margin-left:0;margin-top:0;width:467.2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" fillcolor="#d2d2d2" strokecolor="#a5a5a5" strokeweight=".5pt">
                <v:fill color2="silver" rotate="t" colors="0 #d2d2d2;.5 #c8c8c8;1 silver" focus="100%" type="gradient">
                  <o:fill v:ext="view" type="gradientUnscaled"/>
                </v:fill>
                <v:path arrowok="t"/>
                <v:textbox>
                  <w:txbxContent>
                    <w:p w:rsidR="00D01745" w:rsidRPr="001F1D50" w:rsidRDefault="00D445FB" w:rsidP="00D01745">
                      <w:pPr>
                        <w:pStyle w:val="ListParagraph"/>
                        <w:jc w:val="center"/>
                        <w:rPr>
                          <w:rFonts w:ascii="Tahoma" w:hAnsi="Tahoma" w:cs="Tahoma"/>
                          <w:b/>
                          <w:color w:val="000000" w:themeColor="text1"/>
                          <w:sz w:val="24"/>
                          <w:szCs w:val="24"/>
                        </w:rPr>
                      </w:pPr>
                      <w:r w:rsidRPr="001F1D50">
                        <w:rPr>
                          <w:rFonts w:ascii="Tahoma" w:hAnsi="Tahoma" w:cs="Tahoma"/>
                          <w:b/>
                          <w:color w:val="000000" w:themeColor="text1"/>
                          <w:sz w:val="24"/>
                          <w:szCs w:val="24"/>
                        </w:rPr>
                        <w:t xml:space="preserve">2. </w:t>
                      </w:r>
                      <w:r w:rsidR="00D01745" w:rsidRPr="001F1D50">
                        <w:rPr>
                          <w:rFonts w:ascii="Tahoma" w:hAnsi="Tahoma" w:cs="Tahoma"/>
                          <w:b/>
                          <w:color w:val="000000" w:themeColor="text1"/>
                          <w:sz w:val="24"/>
                          <w:szCs w:val="24"/>
                        </w:rPr>
                        <w:t>P</w:t>
                      </w:r>
                      <w:r w:rsidRPr="001F1D50">
                        <w:rPr>
                          <w:rFonts w:ascii="Tahoma" w:hAnsi="Tahoma" w:cs="Tahoma"/>
                          <w:b/>
                          <w:color w:val="000000" w:themeColor="text1"/>
                          <w:sz w:val="24"/>
                          <w:szCs w:val="24"/>
                        </w:rPr>
                        <w:t xml:space="preserve">erformance </w:t>
                      </w:r>
                      <w:r w:rsidR="00D01745" w:rsidRPr="001F1D50">
                        <w:rPr>
                          <w:rFonts w:ascii="Tahoma" w:hAnsi="Tahoma" w:cs="Tahoma"/>
                          <w:b/>
                          <w:color w:val="000000" w:themeColor="text1"/>
                          <w:sz w:val="24"/>
                          <w:szCs w:val="24"/>
                        </w:rPr>
                        <w:t>D</w:t>
                      </w:r>
                      <w:r w:rsidRPr="001F1D50">
                        <w:rPr>
                          <w:rFonts w:ascii="Tahoma" w:hAnsi="Tahoma" w:cs="Tahoma"/>
                          <w:b/>
                          <w:color w:val="000000" w:themeColor="text1"/>
                          <w:sz w:val="24"/>
                          <w:szCs w:val="24"/>
                        </w:rPr>
                        <w:t xml:space="preserve">ata </w:t>
                      </w:r>
                      <w:r w:rsidR="00D01745" w:rsidRPr="001F1D50">
                        <w:rPr>
                          <w:rFonts w:ascii="Tahoma" w:hAnsi="Tahoma" w:cs="Tahoma"/>
                          <w:b/>
                          <w:color w:val="000000" w:themeColor="text1"/>
                          <w:sz w:val="24"/>
                          <w:szCs w:val="24"/>
                        </w:rPr>
                        <w:t>A</w:t>
                      </w:r>
                      <w:r w:rsidRPr="001F1D50">
                        <w:rPr>
                          <w:rFonts w:ascii="Tahoma" w:hAnsi="Tahoma" w:cs="Tahoma"/>
                          <w:b/>
                          <w:color w:val="000000" w:themeColor="text1"/>
                          <w:sz w:val="24"/>
                          <w:szCs w:val="24"/>
                        </w:rPr>
                        <w:t>nalysis</w:t>
                      </w:r>
                    </w:p>
                  </w:txbxContent>
                </v:textbox>
                <w10:wrap anchorx="margin"/>
              </v:rect>
            </w:pict>
          </mc:Fallback>
        </mc:AlternateContent>
      </w:r>
      <w:r w:rsidR="00A767FB" w:rsidRPr="002838ED">
        <w:rPr>
          <w:rFonts w:ascii="Tahoma" w:eastAsiaTheme="minorHAnsi" w:hAnsi="Tahoma" w:cs="Tahoma"/>
          <w:b/>
          <w:color w:val="000000"/>
          <w:sz w:val="4"/>
          <w:szCs w:val="6"/>
          <w:u w:val="thick" w:color="BF8F00" w:themeColor="accent4" w:themeShade="BF"/>
        </w:rPr>
        <w:t xml:space="preserve"> </w:t>
      </w:r>
    </w:p>
    <w:p w:rsidR="00D01745" w:rsidRPr="00D01745" w:rsidRDefault="00D01745" w:rsidP="00180D9F">
      <w:pPr>
        <w:numPr>
          <w:ilvl w:val="0"/>
          <w:numId w:val="1"/>
        </w:numPr>
        <w:tabs>
          <w:tab w:val="left" w:pos="7110"/>
        </w:tabs>
        <w:rPr>
          <w:rFonts w:ascii="Tahoma" w:eastAsiaTheme="minorHAnsi" w:hAnsi="Tahoma" w:cs="Tahoma"/>
          <w:color w:val="000000" w:themeColor="text1"/>
          <w:sz w:val="20"/>
        </w:rPr>
      </w:pPr>
      <w:r w:rsidRPr="00D01745">
        <w:rPr>
          <w:rFonts w:ascii="Tahoma" w:eastAsiaTheme="minorHAnsi" w:hAnsi="Tahoma" w:cs="Tahoma"/>
          <w:color w:val="000000" w:themeColor="text1"/>
          <w:sz w:val="20"/>
        </w:rPr>
        <w:t>70,701 students were served in Basic Skills in 2014-2015. This is a decrease of 6,382 students or 8% from 2013-2014.</w:t>
      </w:r>
    </w:p>
    <w:p w:rsidR="00D01745" w:rsidRPr="00D01745" w:rsidRDefault="00D01745" w:rsidP="00180D9F">
      <w:pPr>
        <w:numPr>
          <w:ilvl w:val="0"/>
          <w:numId w:val="1"/>
        </w:numPr>
        <w:tabs>
          <w:tab w:val="left" w:pos="7110"/>
        </w:tabs>
        <w:rPr>
          <w:rFonts w:ascii="Tahoma" w:eastAsiaTheme="minorHAnsi" w:hAnsi="Tahoma" w:cs="Tahoma"/>
          <w:color w:val="000000" w:themeColor="text1"/>
          <w:sz w:val="20"/>
        </w:rPr>
      </w:pPr>
      <w:r w:rsidRPr="00D01745">
        <w:rPr>
          <w:rFonts w:ascii="Tahoma" w:eastAsiaTheme="minorHAnsi" w:hAnsi="Tahoma" w:cs="Tahoma"/>
          <w:color w:val="000000" w:themeColor="text1"/>
          <w:sz w:val="20"/>
        </w:rPr>
        <w:t>37,941 students were served in ABE, a decrease of 5,228 students or 12% from 2013-2014.</w:t>
      </w:r>
    </w:p>
    <w:p w:rsidR="00D01745" w:rsidRPr="00D01745" w:rsidRDefault="00D01745" w:rsidP="00180D9F">
      <w:pPr>
        <w:numPr>
          <w:ilvl w:val="0"/>
          <w:numId w:val="2"/>
        </w:numPr>
        <w:tabs>
          <w:tab w:val="left" w:pos="7110"/>
        </w:tabs>
        <w:rPr>
          <w:rFonts w:ascii="Tahoma" w:eastAsiaTheme="minorHAnsi" w:hAnsi="Tahoma" w:cs="Tahoma"/>
          <w:color w:val="000000" w:themeColor="text1"/>
          <w:sz w:val="20"/>
        </w:rPr>
      </w:pPr>
      <w:r w:rsidRPr="00D01745">
        <w:rPr>
          <w:rFonts w:ascii="Tahoma" w:eastAsiaTheme="minorHAnsi" w:hAnsi="Tahoma" w:cs="Tahoma"/>
          <w:color w:val="000000" w:themeColor="text1"/>
          <w:sz w:val="20"/>
        </w:rPr>
        <w:t xml:space="preserve">11,012 students were served in ASE, a decrease of 994 students or 8% from 2013-2014.  </w:t>
      </w:r>
    </w:p>
    <w:p w:rsidR="00D01745" w:rsidRPr="00D01745" w:rsidRDefault="00D01745" w:rsidP="00180D9F">
      <w:pPr>
        <w:numPr>
          <w:ilvl w:val="0"/>
          <w:numId w:val="2"/>
        </w:numPr>
        <w:tabs>
          <w:tab w:val="left" w:pos="7110"/>
        </w:tabs>
        <w:rPr>
          <w:rFonts w:ascii="Tahoma" w:eastAsiaTheme="minorHAnsi" w:hAnsi="Tahoma" w:cs="Tahoma"/>
          <w:color w:val="000000" w:themeColor="text1"/>
          <w:sz w:val="20"/>
        </w:rPr>
      </w:pPr>
      <w:r w:rsidRPr="00D01745">
        <w:rPr>
          <w:rFonts w:ascii="Tahoma" w:eastAsiaTheme="minorHAnsi" w:hAnsi="Tahoma" w:cs="Tahoma"/>
          <w:color w:val="000000" w:themeColor="text1"/>
          <w:sz w:val="20"/>
        </w:rPr>
        <w:t xml:space="preserve">21,757 students were served in ESL, a decrease of 160 students or 1% from 2013-2014. </w:t>
      </w:r>
    </w:p>
    <w:p w:rsidR="00D01745" w:rsidRPr="00C27456" w:rsidRDefault="00D01745" w:rsidP="00D01745">
      <w:pPr>
        <w:tabs>
          <w:tab w:val="left" w:pos="7110"/>
        </w:tabs>
        <w:rPr>
          <w:rFonts w:ascii="Tahoma" w:hAnsi="Tahoma" w:cs="Tahoma"/>
          <w:color w:val="000000" w:themeColor="text1"/>
          <w:sz w:val="20"/>
        </w:rPr>
      </w:pPr>
      <w:r w:rsidRPr="00D01745">
        <w:rPr>
          <w:rFonts w:ascii="Tahoma" w:eastAsiaTheme="minorHAnsi" w:hAnsi="Tahoma" w:cs="Tahoma"/>
          <w:color w:val="000000" w:themeColor="text1"/>
          <w:sz w:val="20"/>
        </w:rPr>
        <w:t xml:space="preserve">While the decrease in students is not as pronounced in 2015-16 as it was in 2016-17, this decrease indicates that North Carolina needs to continue to focus on student retention, increase student outreach and recruitment strategies. The most substantial change was in the ABE/ASE program areas, with the least amount of change in ESL. </w:t>
      </w:r>
    </w:p>
    <w:p w:rsidR="00D01745" w:rsidRPr="00C27456" w:rsidRDefault="00D01745">
      <w:pPr>
        <w:spacing w:after="160" w:line="259" w:lineRule="auto"/>
        <w:rPr>
          <w:rFonts w:ascii="Tahoma" w:hAnsi="Tahoma" w:cs="Tahoma"/>
          <w:color w:val="000000" w:themeColor="text1"/>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4860"/>
        <w:gridCol w:w="1597"/>
      </w:tblGrid>
      <w:tr w:rsidR="007573F3" w:rsidRPr="007573F3" w:rsidTr="0061579E">
        <w:trPr>
          <w:trHeight w:val="620"/>
        </w:trPr>
        <w:tc>
          <w:tcPr>
            <w:tcW w:w="2988"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Federal Core Indicators</w:t>
            </w: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Projected Outcome Measures (Targets)</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 xml:space="preserve">2015-2016 Outcomes </w:t>
            </w:r>
          </w:p>
        </w:tc>
      </w:tr>
      <w:tr w:rsidR="007573F3" w:rsidRPr="007573F3" w:rsidTr="0061579E">
        <w:tc>
          <w:tcPr>
            <w:tcW w:w="2988" w:type="dxa"/>
            <w:vMerge w:val="restart"/>
            <w:tcBorders>
              <w:top w:val="single" w:sz="4" w:space="0" w:color="auto"/>
              <w:left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 xml:space="preserve">Indicator #1:  Demonstrated </w:t>
            </w:r>
            <w:r w:rsidRPr="007573F3">
              <w:rPr>
                <w:rFonts w:ascii="Tahoma" w:eastAsiaTheme="minorHAnsi" w:hAnsi="Tahoma" w:cs="Tahoma"/>
                <w:b/>
                <w:color w:val="000000" w:themeColor="text1"/>
                <w:sz w:val="20"/>
              </w:rPr>
              <w:lastRenderedPageBreak/>
              <w:t>Improvements in literacy skill levels in reading, writing, and speaking the English language, numeracy, problem-solving, English language acquisition, and other literacy skills.</w:t>
            </w: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lastRenderedPageBreak/>
              <w:t>31%</w:t>
            </w:r>
            <w:r w:rsidRPr="007573F3">
              <w:rPr>
                <w:rFonts w:ascii="Tahoma" w:eastAsiaTheme="minorHAnsi" w:hAnsi="Tahoma" w:cs="Tahoma"/>
                <w:color w:val="000000" w:themeColor="text1"/>
                <w:sz w:val="20"/>
              </w:rPr>
              <w:t xml:space="preserve"> of beginning literacy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20%</w:t>
            </w:r>
            <w:r w:rsidRPr="007573F3">
              <w:rPr>
                <w:rFonts w:ascii="Tahoma" w:eastAsiaTheme="minorHAnsi" w:hAnsi="Tahoma" w:cs="Tahoma"/>
                <w:color w:val="000000" w:themeColor="text1"/>
                <w:sz w:val="20"/>
              </w:rPr>
              <w:t xml:space="preserve"> 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40%</w:t>
            </w:r>
            <w:r w:rsidRPr="007573F3">
              <w:rPr>
                <w:rFonts w:ascii="Tahoma" w:eastAsiaTheme="minorHAnsi" w:hAnsi="Tahoma" w:cs="Tahoma"/>
                <w:color w:val="000000" w:themeColor="text1"/>
                <w:sz w:val="20"/>
              </w:rPr>
              <w:t xml:space="preserve"> of beginning ABE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36%</w:t>
            </w:r>
            <w:r w:rsidRPr="007573F3">
              <w:rPr>
                <w:rFonts w:ascii="Tahoma" w:eastAsiaTheme="minorHAnsi" w:hAnsi="Tahoma" w:cs="Tahoma"/>
                <w:color w:val="000000" w:themeColor="text1"/>
                <w:sz w:val="20"/>
              </w:rPr>
              <w:t xml:space="preserve"> 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41%</w:t>
            </w:r>
            <w:r w:rsidRPr="007573F3">
              <w:rPr>
                <w:rFonts w:ascii="Tahoma" w:eastAsiaTheme="minorHAnsi" w:hAnsi="Tahoma" w:cs="Tahoma"/>
                <w:color w:val="000000" w:themeColor="text1"/>
                <w:sz w:val="20"/>
              </w:rPr>
              <w:t xml:space="preserve"> of low intermediate ABE learners will acquire the level of basic skill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35%</w:t>
            </w:r>
            <w:r w:rsidRPr="007573F3">
              <w:rPr>
                <w:rFonts w:ascii="Tahoma" w:eastAsiaTheme="minorHAnsi" w:hAnsi="Tahoma" w:cs="Tahoma"/>
                <w:color w:val="000000" w:themeColor="text1"/>
                <w:sz w:val="20"/>
              </w:rPr>
              <w:t xml:space="preserve"> 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39%</w:t>
            </w:r>
            <w:r w:rsidRPr="007573F3">
              <w:rPr>
                <w:rFonts w:ascii="Tahoma" w:eastAsiaTheme="minorHAnsi" w:hAnsi="Tahoma" w:cs="Tahoma"/>
                <w:color w:val="000000" w:themeColor="text1"/>
                <w:sz w:val="20"/>
              </w:rPr>
              <w:t xml:space="preserve"> of high intermediate ABE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34%</w:t>
            </w:r>
            <w:r w:rsidRPr="007573F3">
              <w:rPr>
                <w:rFonts w:ascii="Tahoma" w:eastAsiaTheme="minorHAnsi" w:hAnsi="Tahoma" w:cs="Tahoma"/>
                <w:color w:val="000000" w:themeColor="text1"/>
                <w:sz w:val="20"/>
              </w:rPr>
              <w:t xml:space="preserve"> 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34%</w:t>
            </w:r>
            <w:r w:rsidRPr="007573F3">
              <w:rPr>
                <w:rFonts w:ascii="Tahoma" w:eastAsiaTheme="minorHAnsi" w:hAnsi="Tahoma" w:cs="Tahoma"/>
                <w:color w:val="000000" w:themeColor="text1"/>
                <w:sz w:val="20"/>
              </w:rPr>
              <w:t xml:space="preserve"> of Low Adult Secondary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35%</w:t>
            </w:r>
            <w:r w:rsidRPr="007573F3">
              <w:rPr>
                <w:rFonts w:ascii="Tahoma" w:eastAsiaTheme="minorHAnsi" w:hAnsi="Tahoma" w:cs="Tahoma"/>
                <w:color w:val="000000" w:themeColor="text1"/>
                <w:sz w:val="20"/>
              </w:rPr>
              <w:t xml:space="preserve"> 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40%</w:t>
            </w:r>
            <w:r w:rsidRPr="007573F3">
              <w:rPr>
                <w:rFonts w:ascii="Tahoma" w:eastAsiaTheme="minorHAnsi" w:hAnsi="Tahoma" w:cs="Tahoma"/>
                <w:color w:val="000000" w:themeColor="text1"/>
                <w:sz w:val="20"/>
              </w:rPr>
              <w:t xml:space="preserve"> of ESL literacy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 xml:space="preserve">37% </w:t>
            </w:r>
            <w:r w:rsidRPr="007573F3">
              <w:rPr>
                <w:rFonts w:ascii="Tahoma" w:eastAsiaTheme="minorHAnsi" w:hAnsi="Tahoma" w:cs="Tahoma"/>
                <w:color w:val="000000" w:themeColor="text1"/>
                <w:sz w:val="20"/>
              </w:rPr>
              <w:t xml:space="preserve">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 xml:space="preserve">47% </w:t>
            </w:r>
            <w:r w:rsidRPr="007573F3">
              <w:rPr>
                <w:rFonts w:ascii="Tahoma" w:eastAsiaTheme="minorHAnsi" w:hAnsi="Tahoma" w:cs="Tahoma"/>
                <w:color w:val="000000" w:themeColor="text1"/>
                <w:sz w:val="20"/>
              </w:rPr>
              <w:t>of low beginning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 xml:space="preserve">40% </w:t>
            </w:r>
            <w:r w:rsidRPr="007573F3">
              <w:rPr>
                <w:rFonts w:ascii="Tahoma" w:eastAsiaTheme="minorHAnsi" w:hAnsi="Tahoma" w:cs="Tahoma"/>
                <w:color w:val="000000" w:themeColor="text1"/>
                <w:sz w:val="20"/>
              </w:rPr>
              <w:t xml:space="preserve">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46%</w:t>
            </w:r>
            <w:r w:rsidRPr="007573F3">
              <w:rPr>
                <w:rFonts w:ascii="Tahoma" w:eastAsiaTheme="minorHAnsi" w:hAnsi="Tahoma" w:cs="Tahoma"/>
                <w:color w:val="000000" w:themeColor="text1"/>
                <w:sz w:val="20"/>
              </w:rPr>
              <w:t xml:space="preserve"> of high beginning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 xml:space="preserve">41% </w:t>
            </w:r>
            <w:r w:rsidRPr="007573F3">
              <w:rPr>
                <w:rFonts w:ascii="Tahoma" w:eastAsiaTheme="minorHAnsi" w:hAnsi="Tahoma" w:cs="Tahoma"/>
                <w:color w:val="000000" w:themeColor="text1"/>
                <w:sz w:val="20"/>
              </w:rPr>
              <w:t xml:space="preserve">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37%</w:t>
            </w:r>
            <w:r w:rsidRPr="007573F3">
              <w:rPr>
                <w:rFonts w:ascii="Tahoma" w:eastAsiaTheme="minorHAnsi" w:hAnsi="Tahoma" w:cs="Tahoma"/>
                <w:color w:val="000000" w:themeColor="text1"/>
                <w:sz w:val="20"/>
              </w:rPr>
              <w:t xml:space="preserve"> of low intermediate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7573F3" w:rsidRPr="007573F3" w:rsidRDefault="007573F3" w:rsidP="007573F3">
            <w:pPr>
              <w:tabs>
                <w:tab w:val="left" w:pos="7110"/>
              </w:tabs>
              <w:jc w:val="center"/>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 xml:space="preserve">34% </w:t>
            </w:r>
            <w:r w:rsidRPr="007573F3">
              <w:rPr>
                <w:rFonts w:ascii="Tahoma" w:eastAsiaTheme="minorHAnsi" w:hAnsi="Tahoma" w:cs="Tahoma"/>
                <w:color w:val="000000" w:themeColor="text1"/>
                <w:sz w:val="20"/>
              </w:rPr>
              <w:t xml:space="preserve">completed </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34%</w:t>
            </w:r>
            <w:r w:rsidRPr="007573F3">
              <w:rPr>
                <w:rFonts w:ascii="Tahoma" w:eastAsiaTheme="minorHAnsi" w:hAnsi="Tahoma" w:cs="Tahoma"/>
                <w:color w:val="000000" w:themeColor="text1"/>
                <w:sz w:val="20"/>
              </w:rPr>
              <w:t xml:space="preserve"> of high intermediate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 xml:space="preserve">33% </w:t>
            </w:r>
            <w:r w:rsidRPr="007573F3">
              <w:rPr>
                <w:rFonts w:ascii="Tahoma" w:eastAsiaTheme="minorHAnsi" w:hAnsi="Tahoma" w:cs="Tahoma"/>
                <w:color w:val="000000" w:themeColor="text1"/>
                <w:sz w:val="20"/>
              </w:rPr>
              <w:t xml:space="preserve">completed </w:t>
            </w:r>
          </w:p>
        </w:tc>
      </w:tr>
      <w:tr w:rsidR="007573F3" w:rsidRPr="007573F3" w:rsidTr="0061579E">
        <w:tc>
          <w:tcPr>
            <w:tcW w:w="2988" w:type="dxa"/>
            <w:vMerge/>
            <w:tcBorders>
              <w:left w:val="single" w:sz="4" w:space="0" w:color="auto"/>
              <w:bottom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22%</w:t>
            </w:r>
            <w:r w:rsidRPr="007573F3">
              <w:rPr>
                <w:rFonts w:ascii="Tahoma" w:eastAsiaTheme="minorHAnsi" w:hAnsi="Tahoma" w:cs="Tahoma"/>
                <w:color w:val="000000" w:themeColor="text1"/>
                <w:sz w:val="20"/>
              </w:rPr>
              <w:t xml:space="preserve"> of advanced ESL learners will acquire the level of basic skills needed to complete the EFL.</w:t>
            </w:r>
          </w:p>
        </w:tc>
        <w:tc>
          <w:tcPr>
            <w:tcW w:w="1597" w:type="dxa"/>
            <w:tcBorders>
              <w:top w:val="single" w:sz="4" w:space="0" w:color="auto"/>
              <w:left w:val="single" w:sz="4" w:space="0" w:color="auto"/>
              <w:bottom w:val="single" w:sz="4" w:space="0" w:color="auto"/>
              <w:right w:val="single" w:sz="4" w:space="0" w:color="auto"/>
            </w:tcBorders>
          </w:tcPr>
          <w:p w:rsidR="007573F3" w:rsidRPr="007573F3" w:rsidRDefault="007573F3" w:rsidP="007573F3">
            <w:pPr>
              <w:tabs>
                <w:tab w:val="left" w:pos="7110"/>
              </w:tabs>
              <w:jc w:val="center"/>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 xml:space="preserve">21% </w:t>
            </w:r>
            <w:r w:rsidRPr="007573F3">
              <w:rPr>
                <w:rFonts w:ascii="Tahoma" w:eastAsiaTheme="minorHAnsi" w:hAnsi="Tahoma" w:cs="Tahoma"/>
                <w:color w:val="000000" w:themeColor="text1"/>
                <w:sz w:val="20"/>
              </w:rPr>
              <w:t xml:space="preserve">completed </w:t>
            </w:r>
          </w:p>
        </w:tc>
      </w:tr>
      <w:tr w:rsidR="007573F3" w:rsidRPr="007573F3" w:rsidTr="0061579E">
        <w:tc>
          <w:tcPr>
            <w:tcW w:w="2988" w:type="dxa"/>
            <w:vMerge w:val="restart"/>
            <w:tcBorders>
              <w:top w:val="single" w:sz="4" w:space="0" w:color="auto"/>
              <w:left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Indicator #2:</w:t>
            </w:r>
          </w:p>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Placement in, retention in, or completion of postsecondary education, training, unsubsidized employment or career advancement.</w:t>
            </w: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36</w:t>
            </w:r>
            <w:r w:rsidRPr="007573F3">
              <w:rPr>
                <w:rFonts w:ascii="Tahoma" w:eastAsiaTheme="minorHAnsi" w:hAnsi="Tahoma" w:cs="Tahoma"/>
                <w:color w:val="000000" w:themeColor="text1"/>
                <w:sz w:val="20"/>
              </w:rPr>
              <w:t xml:space="preserve">% of adult learners who exit the program during the current program year after either (1) obtaining a high school equivalency (HSE), or (2) have an HSE upon entry, or are enrolled in a transition program will transition into postsecondary education </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sz w:val="20"/>
              </w:rPr>
            </w:pPr>
          </w:p>
          <w:p w:rsidR="007573F3" w:rsidRPr="007573F3" w:rsidRDefault="007573F3" w:rsidP="007573F3">
            <w:pPr>
              <w:tabs>
                <w:tab w:val="left" w:pos="7110"/>
              </w:tabs>
              <w:jc w:val="center"/>
              <w:rPr>
                <w:rFonts w:ascii="Tahoma" w:eastAsiaTheme="minorHAnsi" w:hAnsi="Tahoma" w:cs="Tahoma"/>
                <w:sz w:val="20"/>
              </w:rPr>
            </w:pPr>
            <w:r w:rsidRPr="007573F3">
              <w:rPr>
                <w:rFonts w:ascii="Tahoma" w:eastAsiaTheme="minorHAnsi" w:hAnsi="Tahoma" w:cs="Tahoma"/>
                <w:b/>
                <w:sz w:val="20"/>
              </w:rPr>
              <w:t>26%</w:t>
            </w:r>
            <w:r w:rsidRPr="007573F3">
              <w:rPr>
                <w:rFonts w:ascii="Tahoma" w:eastAsiaTheme="minorHAnsi" w:hAnsi="Tahoma" w:cs="Tahoma"/>
                <w:sz w:val="20"/>
              </w:rPr>
              <w:t xml:space="preserve"> Enrolled in postsecondary Ed </w:t>
            </w:r>
          </w:p>
        </w:tc>
      </w:tr>
      <w:tr w:rsidR="007573F3" w:rsidRPr="007573F3" w:rsidTr="0061579E">
        <w:tc>
          <w:tcPr>
            <w:tcW w:w="2988" w:type="dxa"/>
            <w:vMerge/>
            <w:tcBorders>
              <w:top w:val="single" w:sz="4" w:space="0" w:color="auto"/>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color w:val="000000" w:themeColor="text1"/>
                <w:sz w:val="20"/>
              </w:rPr>
              <w:t>% of adult learners who exit the program during the prior program year after either (1) obtaining a high school equivalency (HSE), or (2) have an HSE upon entry, or are enrolled in a transition program will transition into postsecondary education.</w:t>
            </w:r>
          </w:p>
        </w:tc>
        <w:tc>
          <w:tcPr>
            <w:tcW w:w="1597" w:type="dxa"/>
            <w:tcBorders>
              <w:top w:val="single" w:sz="4" w:space="0" w:color="auto"/>
              <w:left w:val="single" w:sz="4" w:space="0" w:color="auto"/>
              <w:bottom w:val="single" w:sz="4" w:space="0" w:color="auto"/>
              <w:right w:val="single" w:sz="4" w:space="0" w:color="auto"/>
            </w:tcBorders>
          </w:tcPr>
          <w:p w:rsidR="007573F3" w:rsidRPr="007573F3" w:rsidRDefault="007573F3" w:rsidP="007573F3">
            <w:pPr>
              <w:tabs>
                <w:tab w:val="left" w:pos="7110"/>
              </w:tabs>
              <w:jc w:val="center"/>
              <w:rPr>
                <w:rFonts w:ascii="Tahoma" w:eastAsiaTheme="minorHAnsi" w:hAnsi="Tahoma" w:cs="Tahoma"/>
                <w:b/>
                <w:sz w:val="20"/>
              </w:rPr>
            </w:pPr>
            <w:r w:rsidRPr="007573F3">
              <w:rPr>
                <w:rFonts w:ascii="Tahoma" w:eastAsiaTheme="minorHAnsi" w:hAnsi="Tahoma" w:cs="Tahoma"/>
                <w:b/>
                <w:sz w:val="20"/>
              </w:rPr>
              <w:t>36%</w:t>
            </w:r>
            <w:r w:rsidRPr="007573F3">
              <w:rPr>
                <w:rFonts w:ascii="Tahoma" w:eastAsiaTheme="minorHAnsi" w:hAnsi="Tahoma" w:cs="Tahoma"/>
                <w:sz w:val="20"/>
              </w:rPr>
              <w:t xml:space="preserve"> Enrolled in postsecondary ed</w:t>
            </w:r>
          </w:p>
        </w:tc>
      </w:tr>
      <w:tr w:rsidR="007573F3" w:rsidRPr="007573F3" w:rsidTr="0061579E">
        <w:tc>
          <w:tcPr>
            <w:tcW w:w="2988" w:type="dxa"/>
            <w:vMerge/>
            <w:tcBorders>
              <w:left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b/>
                <w:color w:val="000000" w:themeColor="text1"/>
                <w:sz w:val="20"/>
              </w:rPr>
              <w:t>41%</w:t>
            </w:r>
            <w:r w:rsidRPr="007573F3">
              <w:rPr>
                <w:rFonts w:ascii="Tahoma" w:eastAsiaTheme="minorHAnsi" w:hAnsi="Tahoma" w:cs="Tahoma"/>
                <w:color w:val="000000" w:themeColor="text1"/>
                <w:sz w:val="20"/>
              </w:rPr>
              <w:t xml:space="preserve"> of unemployed adult learners enrolled, who are in the workforce, will obtain employment by the end of the first quarter after the program exit.</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b/>
                <w:sz w:val="20"/>
              </w:rPr>
            </w:pPr>
            <w:r w:rsidRPr="007573F3">
              <w:rPr>
                <w:rFonts w:ascii="Tahoma" w:eastAsiaTheme="minorHAnsi" w:hAnsi="Tahoma" w:cs="Tahoma"/>
                <w:b/>
                <w:sz w:val="20"/>
              </w:rPr>
              <w:t>40%</w:t>
            </w:r>
            <w:r w:rsidRPr="007573F3">
              <w:rPr>
                <w:rFonts w:ascii="Tahoma" w:eastAsiaTheme="minorHAnsi" w:hAnsi="Tahoma" w:cs="Tahoma"/>
                <w:sz w:val="20"/>
              </w:rPr>
              <w:t xml:space="preserve"> attained employment</w:t>
            </w:r>
          </w:p>
        </w:tc>
      </w:tr>
      <w:tr w:rsidR="007573F3" w:rsidRPr="007573F3" w:rsidTr="0061579E">
        <w:tc>
          <w:tcPr>
            <w:tcW w:w="2988" w:type="dxa"/>
            <w:vMerge/>
            <w:tcBorders>
              <w:left w:val="single" w:sz="4" w:space="0" w:color="auto"/>
              <w:bottom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 xml:space="preserve">63% </w:t>
            </w:r>
            <w:r w:rsidRPr="007573F3">
              <w:rPr>
                <w:rFonts w:ascii="Tahoma" w:eastAsiaTheme="minorHAnsi" w:hAnsi="Tahoma" w:cs="Tahoma"/>
                <w:color w:val="000000" w:themeColor="text1"/>
                <w:sz w:val="20"/>
              </w:rPr>
              <w:t>of adult learners who either enter the program employed or successfully achieve employment after exit will be retained on the job or advance on the job 3 quarters after exit.</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sz w:val="20"/>
              </w:rPr>
            </w:pPr>
            <w:r w:rsidRPr="007573F3">
              <w:rPr>
                <w:rFonts w:ascii="Tahoma" w:eastAsiaTheme="minorHAnsi" w:hAnsi="Tahoma" w:cs="Tahoma"/>
                <w:b/>
                <w:sz w:val="20"/>
              </w:rPr>
              <w:t>57%</w:t>
            </w:r>
            <w:r w:rsidRPr="007573F3">
              <w:rPr>
                <w:rFonts w:ascii="Tahoma" w:eastAsiaTheme="minorHAnsi" w:hAnsi="Tahoma" w:cs="Tahoma"/>
                <w:sz w:val="20"/>
              </w:rPr>
              <w:t xml:space="preserve"> retained employment</w:t>
            </w:r>
          </w:p>
        </w:tc>
      </w:tr>
      <w:tr w:rsidR="007573F3" w:rsidRPr="007573F3" w:rsidTr="0061579E">
        <w:tc>
          <w:tcPr>
            <w:tcW w:w="2988" w:type="dxa"/>
            <w:tcBorders>
              <w:top w:val="single" w:sz="4" w:space="0" w:color="auto"/>
              <w:left w:val="single" w:sz="4" w:space="0" w:color="auto"/>
              <w:bottom w:val="single" w:sz="4" w:space="0" w:color="auto"/>
              <w:right w:val="single" w:sz="4" w:space="0" w:color="auto"/>
            </w:tcBorders>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Indicator 3:</w:t>
            </w:r>
          </w:p>
          <w:p w:rsidR="007573F3" w:rsidRPr="007573F3" w:rsidRDefault="007573F3" w:rsidP="007573F3">
            <w:pPr>
              <w:tabs>
                <w:tab w:val="left" w:pos="7110"/>
              </w:tabs>
              <w:rPr>
                <w:rFonts w:ascii="Tahoma" w:eastAsiaTheme="minorHAnsi" w:hAnsi="Tahoma" w:cs="Tahoma"/>
                <w:b/>
                <w:bCs/>
                <w:color w:val="000000" w:themeColor="text1"/>
                <w:sz w:val="20"/>
              </w:rPr>
            </w:pPr>
            <w:r w:rsidRPr="007573F3">
              <w:rPr>
                <w:rFonts w:ascii="Tahoma" w:eastAsiaTheme="minorHAnsi" w:hAnsi="Tahoma" w:cs="Tahoma"/>
                <w:b/>
                <w:bCs/>
                <w:color w:val="000000" w:themeColor="text1"/>
                <w:sz w:val="20"/>
              </w:rPr>
              <w:t>Receipt of a secondary school diploma or its recognized equivalent.</w:t>
            </w:r>
          </w:p>
        </w:tc>
        <w:tc>
          <w:tcPr>
            <w:tcW w:w="4860"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rPr>
                <w:rFonts w:ascii="Tahoma" w:eastAsiaTheme="minorHAnsi" w:hAnsi="Tahoma" w:cs="Tahoma"/>
                <w:b/>
                <w:color w:val="000000" w:themeColor="text1"/>
                <w:sz w:val="20"/>
              </w:rPr>
            </w:pPr>
            <w:r w:rsidRPr="007573F3">
              <w:rPr>
                <w:rFonts w:ascii="Tahoma" w:eastAsiaTheme="minorHAnsi" w:hAnsi="Tahoma" w:cs="Tahoma"/>
                <w:b/>
                <w:color w:val="000000" w:themeColor="text1"/>
                <w:sz w:val="20"/>
              </w:rPr>
              <w:t>90%</w:t>
            </w:r>
            <w:r w:rsidRPr="007573F3">
              <w:rPr>
                <w:rFonts w:ascii="Tahoma" w:eastAsiaTheme="minorHAnsi" w:hAnsi="Tahoma" w:cs="Tahoma"/>
                <w:color w:val="000000" w:themeColor="text1"/>
                <w:sz w:val="20"/>
              </w:rPr>
              <w:t xml:space="preserve"> of adult learners who either take all components of their HSE test or are enrolled in adult high school programs with an entry level of ASE Low of High will earn a diploma or its equivalent.</w:t>
            </w:r>
          </w:p>
        </w:tc>
        <w:tc>
          <w:tcPr>
            <w:tcW w:w="1597" w:type="dxa"/>
            <w:tcBorders>
              <w:top w:val="single" w:sz="4" w:space="0" w:color="auto"/>
              <w:left w:val="single" w:sz="4" w:space="0" w:color="auto"/>
              <w:bottom w:val="single" w:sz="4" w:space="0" w:color="auto"/>
              <w:right w:val="single" w:sz="4" w:space="0" w:color="auto"/>
            </w:tcBorders>
            <w:hideMark/>
          </w:tcPr>
          <w:p w:rsidR="007573F3" w:rsidRPr="007573F3" w:rsidRDefault="007573F3" w:rsidP="007573F3">
            <w:pPr>
              <w:tabs>
                <w:tab w:val="left" w:pos="7110"/>
              </w:tabs>
              <w:jc w:val="center"/>
              <w:rPr>
                <w:rFonts w:ascii="Tahoma" w:eastAsiaTheme="minorHAnsi" w:hAnsi="Tahoma" w:cs="Tahoma"/>
                <w:b/>
                <w:sz w:val="20"/>
              </w:rPr>
            </w:pPr>
            <w:r w:rsidRPr="007573F3">
              <w:rPr>
                <w:rFonts w:ascii="Tahoma" w:eastAsiaTheme="minorHAnsi" w:hAnsi="Tahoma" w:cs="Tahoma"/>
                <w:b/>
                <w:sz w:val="20"/>
              </w:rPr>
              <w:t>82%</w:t>
            </w:r>
            <w:r w:rsidRPr="007573F3">
              <w:rPr>
                <w:rFonts w:ascii="Tahoma" w:eastAsiaTheme="minorHAnsi" w:hAnsi="Tahoma" w:cs="Tahoma"/>
                <w:sz w:val="20"/>
              </w:rPr>
              <w:t xml:space="preserve"> earned a high school diploma or its equivalent</w:t>
            </w:r>
          </w:p>
        </w:tc>
      </w:tr>
    </w:tbl>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color w:val="000000" w:themeColor="text1"/>
          <w:sz w:val="20"/>
        </w:rPr>
        <w:t xml:space="preserve">In 2015-16, North Carolina met one of the outcome measures for progressing students from one educational functioning level (EFL) to the next, Low Adult Secondary Education.  In two EFL’s, the state fell short by only 1% from the target.   From 2014-15, North Carolina showed an increase in performance in all EFL’s from 2014-15. There is still work to be done in educational gains as evidenced by the number of targets the state did not reach this year. </w:t>
      </w:r>
    </w:p>
    <w:p w:rsidR="007573F3" w:rsidRPr="007573F3" w:rsidRDefault="007573F3" w:rsidP="007573F3">
      <w:pPr>
        <w:tabs>
          <w:tab w:val="left" w:pos="7110"/>
        </w:tabs>
        <w:rPr>
          <w:rFonts w:ascii="Tahoma" w:eastAsiaTheme="minorHAnsi" w:hAnsi="Tahoma" w:cs="Tahoma"/>
          <w:color w:val="000000" w:themeColor="text1"/>
          <w:sz w:val="20"/>
        </w:rPr>
      </w:pPr>
    </w:p>
    <w:p w:rsidR="007573F3" w:rsidRP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color w:val="000000" w:themeColor="text1"/>
          <w:sz w:val="20"/>
        </w:rPr>
        <w:t xml:space="preserve">North Carolina began a data initiative in 2012, in which the mission was to look at the data being collected and improve the data quality through extensive validations with programs, trainings, and in some cases new programming in the state MIS. The work of the group, that was comprised of both local program experts and state level staff, was completed in 2014 with the last programming change coming out in early 2015. As we hypothesized in 2012-13, the level completions would increase over the next 3 – 5 years. While there was a </w:t>
      </w:r>
      <w:r w:rsidRPr="007573F3">
        <w:rPr>
          <w:rFonts w:ascii="Tahoma" w:eastAsiaTheme="minorHAnsi" w:hAnsi="Tahoma" w:cs="Tahoma"/>
          <w:color w:val="000000" w:themeColor="text1"/>
          <w:sz w:val="20"/>
        </w:rPr>
        <w:lastRenderedPageBreak/>
        <w:t xml:space="preserve">drop in some EFL’s in the 2014-15 program year, the rates for most EFL’s have increased back to or surpassing where they were in 2013-14. In 2016, the state has put even more focus on the importance of meeting the federal measures; and thus look forward to seeing the impact this will have on the next several years of outcomes. </w:t>
      </w:r>
    </w:p>
    <w:p w:rsidR="007573F3" w:rsidRPr="007573F3" w:rsidRDefault="007573F3" w:rsidP="007573F3">
      <w:pPr>
        <w:tabs>
          <w:tab w:val="left" w:pos="7110"/>
        </w:tabs>
        <w:rPr>
          <w:rFonts w:ascii="Tahoma" w:eastAsiaTheme="minorHAnsi" w:hAnsi="Tahoma" w:cs="Tahoma"/>
          <w:color w:val="000000" w:themeColor="text1"/>
          <w:sz w:val="20"/>
        </w:rPr>
      </w:pPr>
    </w:p>
    <w:p w:rsidR="005609B8" w:rsidRPr="00C27456" w:rsidRDefault="007573F3" w:rsidP="0086036D">
      <w:pPr>
        <w:spacing w:after="120" w:line="264" w:lineRule="auto"/>
        <w:rPr>
          <w:rFonts w:ascii="Tahoma" w:eastAsiaTheme="minorHAnsi" w:hAnsi="Tahoma" w:cs="Tahoma"/>
          <w:b/>
          <w:color w:val="000000"/>
          <w:sz w:val="20"/>
          <w:u w:val="single"/>
        </w:rPr>
      </w:pPr>
      <w:r w:rsidRPr="00C27456">
        <w:rPr>
          <w:rFonts w:ascii="Tahoma" w:hAnsi="Tahoma" w:cs="Tahoma"/>
          <w:noProof/>
          <w:sz w:val="20"/>
        </w:rPr>
        <w:drawing>
          <wp:inline distT="0" distB="0" distL="0" distR="0" wp14:anchorId="6825870C" wp14:editId="02BAC67B">
            <wp:extent cx="616267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73F3" w:rsidRPr="00C27456" w:rsidRDefault="007573F3" w:rsidP="007573F3">
      <w:pPr>
        <w:tabs>
          <w:tab w:val="left" w:pos="7110"/>
        </w:tabs>
        <w:rPr>
          <w:rFonts w:ascii="Tahoma" w:eastAsiaTheme="minorHAnsi" w:hAnsi="Tahoma" w:cs="Tahoma"/>
          <w:color w:val="000000" w:themeColor="text1"/>
          <w:sz w:val="20"/>
        </w:rPr>
      </w:pPr>
    </w:p>
    <w:p w:rsidR="007573F3" w:rsidRDefault="007573F3" w:rsidP="007573F3">
      <w:pPr>
        <w:tabs>
          <w:tab w:val="left" w:pos="7110"/>
        </w:tabs>
        <w:rPr>
          <w:rFonts w:ascii="Tahoma" w:eastAsiaTheme="minorHAnsi" w:hAnsi="Tahoma" w:cs="Tahoma"/>
          <w:color w:val="000000" w:themeColor="text1"/>
          <w:sz w:val="20"/>
        </w:rPr>
      </w:pPr>
      <w:r w:rsidRPr="007573F3">
        <w:rPr>
          <w:rFonts w:ascii="Tahoma" w:eastAsiaTheme="minorHAnsi" w:hAnsi="Tahoma" w:cs="Tahoma"/>
          <w:color w:val="000000" w:themeColor="text1"/>
          <w:sz w:val="20"/>
        </w:rPr>
        <w:t xml:space="preserve">In 2015-16, North Carolina did not meet any of the follow up outcome targets. From the 2014-2015 to the 2015-2016 program year, North Carolina increased in the Entered Employment follow-up outcome (35% to 40%). The Retained Employment and Entered Postsecondary Education or Training for the current year measures each went down 2%.   The Entered Postsecondary Education or Training for the prior year cohort went down, but only by 1%. The most notable difference between 2014-15 and 2015-16 was in the Obtained a High School Equivalency, and further disaggregation of the data found that the decline was in our correctional students. Due to circumstances out of our control, there were six months between the time the Transfer Waiver Program of the GED 2002 series ending and HiSET testing began in prisons. Thus we had a full 6 months (January – June 2016) in which no correctional education students could take HSE tests. Pass rates for the 2014 series GED as well as HiSET show NC to be at or surpassing national pass rates. Preliminary reports of correctional testing using HiSET in the last half of 2016, show an increase in pass rates by about 10%. </w:t>
      </w:r>
    </w:p>
    <w:p w:rsidR="00D445FB" w:rsidRDefault="00D445FB" w:rsidP="007573F3">
      <w:pPr>
        <w:tabs>
          <w:tab w:val="left" w:pos="7110"/>
        </w:tabs>
        <w:rPr>
          <w:rFonts w:ascii="Tahoma" w:eastAsiaTheme="minorHAnsi" w:hAnsi="Tahoma" w:cs="Tahoma"/>
          <w:color w:val="000000" w:themeColor="text1"/>
          <w:sz w:val="20"/>
        </w:rPr>
      </w:pPr>
    </w:p>
    <w:p w:rsidR="00D445FB" w:rsidRDefault="00D445FB" w:rsidP="007573F3">
      <w:pPr>
        <w:tabs>
          <w:tab w:val="left" w:pos="7110"/>
        </w:tabs>
        <w:rPr>
          <w:rFonts w:ascii="Tahoma" w:eastAsiaTheme="minorHAnsi" w:hAnsi="Tahoma" w:cs="Tahoma"/>
          <w:color w:val="000000" w:themeColor="text1"/>
          <w:sz w:val="20"/>
        </w:rPr>
      </w:pPr>
      <w:r w:rsidRPr="00D445FB">
        <w:rPr>
          <w:rFonts w:asciiTheme="minorHAnsi" w:eastAsiaTheme="minorHAnsi" w:hAnsiTheme="minorHAnsi"/>
          <w:noProof/>
          <w:color w:val="000000"/>
          <w:sz w:val="23"/>
          <w:szCs w:val="23"/>
          <w:u w:val="single"/>
        </w:rPr>
        <mc:AlternateContent>
          <mc:Choice Requires="wps">
            <w:drawing>
              <wp:anchor distT="0" distB="0" distL="114300" distR="114300" simplePos="0" relativeHeight="251669504" behindDoc="0" locked="0" layoutInCell="1" allowOverlap="1" wp14:anchorId="700DD751" wp14:editId="5E0A3808">
                <wp:simplePos x="0" y="0"/>
                <wp:positionH relativeFrom="margin">
                  <wp:align>left</wp:align>
                </wp:positionH>
                <wp:positionV relativeFrom="paragraph">
                  <wp:posOffset>8890</wp:posOffset>
                </wp:positionV>
                <wp:extent cx="5934075" cy="3429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445FB" w:rsidRPr="002B5076" w:rsidRDefault="00D445FB" w:rsidP="00D445FB">
                            <w:pPr>
                              <w:pStyle w:val="ListParagraph"/>
                              <w:jc w:val="center"/>
                              <w:rPr>
                                <w:rFonts w:ascii="Tahoma" w:hAnsi="Tahoma" w:cs="Tahoma"/>
                                <w:b/>
                                <w:color w:val="000000" w:themeColor="text1"/>
                                <w:sz w:val="24"/>
                                <w:szCs w:val="24"/>
                              </w:rPr>
                            </w:pPr>
                            <w:r w:rsidRPr="002B5076">
                              <w:rPr>
                                <w:rFonts w:ascii="Tahoma" w:hAnsi="Tahoma" w:cs="Tahoma"/>
                                <w:b/>
                                <w:color w:val="000000" w:themeColor="text1"/>
                                <w:sz w:val="24"/>
                                <w:szCs w:val="24"/>
                              </w:rPr>
                              <w:t xml:space="preserve">3. </w:t>
                            </w:r>
                            <w:r w:rsidRPr="002B5076">
                              <w:rPr>
                                <w:rFonts w:ascii="Tahoma" w:hAnsi="Tahoma" w:cs="Tahoma"/>
                                <w:b/>
                                <w:sz w:val="24"/>
                                <w:szCs w:val="24"/>
                              </w:rPr>
                              <w:t>Integration with One-stop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DD751" id="Rectangle 7" o:spid="_x0000_s1028" style="position:absolute;margin-left:0;margin-top:.7pt;width:467.25pt;height:2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" fillcolor="#d2d2d2" strokecolor="#a5a5a5" strokeweight=".5pt">
                <v:fill color2="silver" rotate="t" colors="0 #d2d2d2;.5 #c8c8c8;1 silver" focus="100%" type="gradient">
                  <o:fill v:ext="view" type="gradientUnscaled"/>
                </v:fill>
                <v:path arrowok="t"/>
                <v:textbox>
                  <w:txbxContent>
                    <w:p w:rsidR="00D445FB" w:rsidRPr="002B5076" w:rsidRDefault="00D445FB" w:rsidP="00D445FB">
                      <w:pPr>
                        <w:pStyle w:val="ListParagraph"/>
                        <w:jc w:val="center"/>
                        <w:rPr>
                          <w:rFonts w:ascii="Tahoma" w:hAnsi="Tahoma" w:cs="Tahoma"/>
                          <w:b/>
                          <w:color w:val="000000" w:themeColor="text1"/>
                          <w:sz w:val="24"/>
                          <w:szCs w:val="24"/>
                        </w:rPr>
                      </w:pPr>
                      <w:r w:rsidRPr="002B5076">
                        <w:rPr>
                          <w:rFonts w:ascii="Tahoma" w:hAnsi="Tahoma" w:cs="Tahoma"/>
                          <w:b/>
                          <w:color w:val="000000" w:themeColor="text1"/>
                          <w:sz w:val="24"/>
                          <w:szCs w:val="24"/>
                        </w:rPr>
                        <w:t xml:space="preserve">3. </w:t>
                      </w:r>
                      <w:r w:rsidRPr="002B5076">
                        <w:rPr>
                          <w:rFonts w:ascii="Tahoma" w:hAnsi="Tahoma" w:cs="Tahoma"/>
                          <w:b/>
                          <w:sz w:val="24"/>
                          <w:szCs w:val="24"/>
                        </w:rPr>
                        <w:t>Integration with One-stop Partners</w:t>
                      </w:r>
                    </w:p>
                  </w:txbxContent>
                </v:textbox>
                <w10:wrap anchorx="margin"/>
              </v:rect>
            </w:pict>
          </mc:Fallback>
        </mc:AlternateContent>
      </w:r>
    </w:p>
    <w:p w:rsidR="00D445FB" w:rsidRDefault="00D445FB" w:rsidP="007573F3">
      <w:pPr>
        <w:tabs>
          <w:tab w:val="left" w:pos="7110"/>
        </w:tabs>
        <w:rPr>
          <w:rFonts w:ascii="Tahoma" w:eastAsiaTheme="minorHAnsi" w:hAnsi="Tahoma" w:cs="Tahoma"/>
          <w:color w:val="000000" w:themeColor="text1"/>
          <w:sz w:val="20"/>
        </w:rPr>
      </w:pPr>
    </w:p>
    <w:p w:rsidR="00D445FB" w:rsidRDefault="00D445FB" w:rsidP="00D445FB">
      <w:pPr>
        <w:pStyle w:val="NormalWeb"/>
        <w:rPr>
          <w:rFonts w:ascii="Tahoma" w:hAnsi="Tahoma" w:cs="Tahoma"/>
          <w:color w:val="000000"/>
          <w:sz w:val="20"/>
          <w:szCs w:val="20"/>
        </w:rPr>
      </w:pPr>
      <w:r>
        <w:rPr>
          <w:rFonts w:ascii="Tahoma" w:hAnsi="Tahoma" w:cs="Tahoma"/>
          <w:color w:val="000000"/>
          <w:sz w:val="20"/>
          <w:szCs w:val="20"/>
        </w:rPr>
        <w:t>NC Works Centers</w:t>
      </w:r>
      <w:r w:rsidR="009E014F">
        <w:rPr>
          <w:rFonts w:ascii="Tahoma" w:hAnsi="Tahoma" w:cs="Tahoma"/>
          <w:color w:val="000000"/>
          <w:sz w:val="20"/>
          <w:szCs w:val="20"/>
        </w:rPr>
        <w:t xml:space="preserve"> </w:t>
      </w:r>
      <w:r>
        <w:rPr>
          <w:rFonts w:ascii="Tahoma" w:hAnsi="Tahoma" w:cs="Tahoma"/>
          <w:color w:val="000000"/>
          <w:sz w:val="20"/>
          <w:szCs w:val="20"/>
        </w:rPr>
        <w:t>(One-Stop</w:t>
      </w:r>
      <w:r w:rsidR="009E014F">
        <w:rPr>
          <w:rFonts w:ascii="Tahoma" w:hAnsi="Tahoma" w:cs="Tahoma"/>
          <w:color w:val="000000"/>
          <w:sz w:val="20"/>
          <w:szCs w:val="20"/>
        </w:rPr>
        <w:t xml:space="preserve"> Centers</w:t>
      </w:r>
      <w:r>
        <w:rPr>
          <w:rFonts w:ascii="Tahoma" w:hAnsi="Tahoma" w:cs="Tahoma"/>
          <w:color w:val="000000"/>
          <w:sz w:val="20"/>
          <w:szCs w:val="20"/>
        </w:rPr>
        <w:t xml:space="preserve">) </w:t>
      </w:r>
      <w:r w:rsidR="009E014F">
        <w:rPr>
          <w:rFonts w:ascii="Tahoma" w:hAnsi="Tahoma" w:cs="Tahoma"/>
          <w:color w:val="000000"/>
          <w:sz w:val="20"/>
          <w:szCs w:val="20"/>
        </w:rPr>
        <w:t>play an integral</w:t>
      </w:r>
      <w:r>
        <w:rPr>
          <w:rFonts w:ascii="Tahoma" w:hAnsi="Tahoma" w:cs="Tahoma"/>
          <w:color w:val="000000"/>
          <w:sz w:val="20"/>
          <w:szCs w:val="20"/>
        </w:rPr>
        <w:t xml:space="preserve"> and multi-faceted </w:t>
      </w:r>
      <w:r w:rsidR="009E014F">
        <w:rPr>
          <w:rFonts w:ascii="Tahoma" w:hAnsi="Tahoma" w:cs="Tahoma"/>
          <w:color w:val="000000"/>
          <w:sz w:val="20"/>
          <w:szCs w:val="20"/>
        </w:rPr>
        <w:t>role in delivery of services. T</w:t>
      </w:r>
      <w:r>
        <w:rPr>
          <w:rFonts w:ascii="Tahoma" w:hAnsi="Tahoma" w:cs="Tahoma"/>
          <w:color w:val="000000"/>
          <w:sz w:val="20"/>
          <w:szCs w:val="20"/>
        </w:rPr>
        <w:t xml:space="preserve">his year we focused on becoming </w:t>
      </w:r>
      <w:r w:rsidR="00AE65D3">
        <w:rPr>
          <w:rFonts w:ascii="Tahoma" w:hAnsi="Tahoma" w:cs="Tahoma"/>
          <w:color w:val="000000"/>
          <w:sz w:val="20"/>
          <w:szCs w:val="20"/>
        </w:rPr>
        <w:t>familiar with f</w:t>
      </w:r>
      <w:r>
        <w:rPr>
          <w:rFonts w:ascii="Tahoma" w:hAnsi="Tahoma" w:cs="Tahoma"/>
          <w:color w:val="000000"/>
          <w:sz w:val="20"/>
          <w:szCs w:val="20"/>
        </w:rPr>
        <w:t xml:space="preserve">unctions and operations of the </w:t>
      </w:r>
      <w:r w:rsidR="009E014F">
        <w:rPr>
          <w:rFonts w:ascii="Tahoma" w:hAnsi="Tahoma" w:cs="Tahoma"/>
          <w:color w:val="000000"/>
          <w:sz w:val="20"/>
          <w:szCs w:val="20"/>
        </w:rPr>
        <w:t>23 Workforce</w:t>
      </w:r>
      <w:r>
        <w:rPr>
          <w:rFonts w:ascii="Tahoma" w:hAnsi="Tahoma" w:cs="Tahoma"/>
          <w:color w:val="000000"/>
          <w:sz w:val="20"/>
          <w:szCs w:val="20"/>
        </w:rPr>
        <w:t xml:space="preserve"> Development Boards and the</w:t>
      </w:r>
      <w:r w:rsidR="009E014F">
        <w:rPr>
          <w:rFonts w:ascii="Tahoma" w:hAnsi="Tahoma" w:cs="Tahoma"/>
          <w:color w:val="000000"/>
          <w:sz w:val="20"/>
          <w:szCs w:val="20"/>
        </w:rPr>
        <w:t xml:space="preserve"> operation of the NC Works Centers. We established a working relationship with state Workforce Development Board </w:t>
      </w:r>
      <w:r w:rsidR="002B5076">
        <w:rPr>
          <w:rFonts w:ascii="Tahoma" w:hAnsi="Tahoma" w:cs="Tahoma"/>
          <w:color w:val="000000"/>
          <w:sz w:val="20"/>
          <w:szCs w:val="20"/>
        </w:rPr>
        <w:t xml:space="preserve">leadership. </w:t>
      </w:r>
      <w:r w:rsidR="009E014F">
        <w:rPr>
          <w:rFonts w:ascii="Tahoma" w:hAnsi="Tahoma" w:cs="Tahoma"/>
          <w:color w:val="000000"/>
          <w:sz w:val="20"/>
          <w:szCs w:val="20"/>
        </w:rPr>
        <w:t>Currently, providers work with their NC Works Centers by having services provided at center</w:t>
      </w:r>
      <w:r w:rsidR="002B5076">
        <w:rPr>
          <w:rFonts w:ascii="Tahoma" w:hAnsi="Tahoma" w:cs="Tahoma"/>
          <w:color w:val="000000"/>
          <w:sz w:val="20"/>
          <w:szCs w:val="20"/>
        </w:rPr>
        <w:t xml:space="preserve">s by the provider and or through </w:t>
      </w:r>
      <w:r w:rsidR="009E014F">
        <w:rPr>
          <w:rFonts w:ascii="Tahoma" w:hAnsi="Tahoma" w:cs="Tahoma"/>
          <w:color w:val="000000"/>
          <w:sz w:val="20"/>
          <w:szCs w:val="20"/>
        </w:rPr>
        <w:t xml:space="preserve">a referral system.  </w:t>
      </w:r>
      <w:r>
        <w:rPr>
          <w:rFonts w:ascii="Tahoma" w:hAnsi="Tahoma" w:cs="Tahoma"/>
          <w:color w:val="000000"/>
          <w:sz w:val="20"/>
          <w:szCs w:val="20"/>
        </w:rPr>
        <w:t xml:space="preserve">The most common services provided are literacy and numeracy assessment and </w:t>
      </w:r>
      <w:r w:rsidR="009E014F">
        <w:rPr>
          <w:rFonts w:ascii="Tahoma" w:hAnsi="Tahoma" w:cs="Tahoma"/>
          <w:color w:val="000000"/>
          <w:sz w:val="20"/>
          <w:szCs w:val="20"/>
        </w:rPr>
        <w:t xml:space="preserve">advising on </w:t>
      </w:r>
      <w:r>
        <w:rPr>
          <w:rFonts w:ascii="Tahoma" w:hAnsi="Tahoma" w:cs="Tahoma"/>
          <w:color w:val="000000"/>
          <w:sz w:val="20"/>
          <w:szCs w:val="20"/>
        </w:rPr>
        <w:t>transition to education and training.  </w:t>
      </w:r>
      <w:r w:rsidR="009E014F">
        <w:rPr>
          <w:rFonts w:ascii="Tahoma" w:hAnsi="Tahoma" w:cs="Tahoma"/>
          <w:color w:val="000000"/>
          <w:sz w:val="20"/>
          <w:szCs w:val="20"/>
        </w:rPr>
        <w:t>W</w:t>
      </w:r>
      <w:r>
        <w:rPr>
          <w:rFonts w:ascii="Tahoma" w:hAnsi="Tahoma" w:cs="Tahoma"/>
          <w:color w:val="000000"/>
          <w:sz w:val="20"/>
          <w:szCs w:val="20"/>
        </w:rPr>
        <w:t xml:space="preserve">ith a total of 77 Title II providers working across the 23 workforce regions, there are numerous opportunities for program and outcome alignment as well as collaboration and resource enhancement. </w:t>
      </w:r>
    </w:p>
    <w:p w:rsidR="00D445FB" w:rsidRDefault="00D445FB" w:rsidP="007573F3">
      <w:pPr>
        <w:tabs>
          <w:tab w:val="left" w:pos="7110"/>
        </w:tabs>
        <w:rPr>
          <w:rFonts w:ascii="Tahoma" w:eastAsiaTheme="minorHAnsi" w:hAnsi="Tahoma" w:cs="Tahoma"/>
          <w:color w:val="000000" w:themeColor="text1"/>
          <w:sz w:val="20"/>
        </w:rPr>
      </w:pPr>
    </w:p>
    <w:p w:rsidR="00D445FB" w:rsidRPr="007573F3" w:rsidRDefault="00D445FB" w:rsidP="007573F3">
      <w:pPr>
        <w:tabs>
          <w:tab w:val="left" w:pos="7110"/>
        </w:tabs>
        <w:rPr>
          <w:rFonts w:ascii="Tahoma" w:eastAsiaTheme="minorHAnsi" w:hAnsi="Tahoma" w:cs="Tahoma"/>
          <w:color w:val="000000" w:themeColor="text1"/>
          <w:sz w:val="20"/>
        </w:rPr>
      </w:pPr>
    </w:p>
    <w:p w:rsidR="007573F3" w:rsidRPr="00C27456" w:rsidRDefault="007573F3" w:rsidP="007573F3">
      <w:pPr>
        <w:tabs>
          <w:tab w:val="left" w:pos="7110"/>
        </w:tabs>
        <w:rPr>
          <w:rFonts w:ascii="Tahoma" w:eastAsiaTheme="minorHAnsi" w:hAnsi="Tahoma" w:cs="Tahoma"/>
          <w:color w:val="000000" w:themeColor="text1"/>
          <w:sz w:val="20"/>
        </w:rPr>
      </w:pPr>
    </w:p>
    <w:p w:rsidR="00B36E6E" w:rsidRDefault="00E07D71" w:rsidP="007573F3">
      <w:pPr>
        <w:tabs>
          <w:tab w:val="left" w:pos="7110"/>
        </w:tabs>
        <w:rPr>
          <w:rFonts w:ascii="Tahoma" w:eastAsiaTheme="minorHAnsi" w:hAnsi="Tahoma" w:cs="Tahoma"/>
          <w:color w:val="000000" w:themeColor="text1"/>
          <w:sz w:val="20"/>
        </w:rPr>
      </w:pPr>
      <w:r w:rsidRPr="00E07D71">
        <w:rPr>
          <w:rFonts w:asciiTheme="minorHAnsi" w:eastAsiaTheme="minorHAnsi" w:hAnsiTheme="minorHAnsi"/>
          <w:noProof/>
          <w:color w:val="000000"/>
          <w:sz w:val="23"/>
          <w:szCs w:val="23"/>
          <w:u w:val="single"/>
        </w:rPr>
        <mc:AlternateContent>
          <mc:Choice Requires="wps">
            <w:drawing>
              <wp:anchor distT="0" distB="0" distL="114300" distR="114300" simplePos="0" relativeHeight="251663360" behindDoc="0" locked="0" layoutInCell="1" allowOverlap="1" wp14:anchorId="076BC773" wp14:editId="4CCF3DC6">
                <wp:simplePos x="0" y="0"/>
                <wp:positionH relativeFrom="margin">
                  <wp:posOffset>0</wp:posOffset>
                </wp:positionH>
                <wp:positionV relativeFrom="paragraph">
                  <wp:posOffset>0</wp:posOffset>
                </wp:positionV>
                <wp:extent cx="5934075" cy="3429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E07D71" w:rsidRPr="002B5076" w:rsidRDefault="00D445FB" w:rsidP="00E07D71">
                            <w:pPr>
                              <w:pStyle w:val="ListParagraph"/>
                              <w:jc w:val="center"/>
                              <w:rPr>
                                <w:rFonts w:ascii="Tahoma" w:hAnsi="Tahoma" w:cs="Tahoma"/>
                                <w:b/>
                                <w:color w:val="000000" w:themeColor="text1"/>
                                <w:sz w:val="24"/>
                                <w:szCs w:val="24"/>
                              </w:rPr>
                            </w:pPr>
                            <w:r w:rsidRPr="002B5076">
                              <w:rPr>
                                <w:rFonts w:ascii="Tahoma" w:hAnsi="Tahoma" w:cs="Tahoma"/>
                                <w:b/>
                                <w:color w:val="000000" w:themeColor="text1"/>
                                <w:sz w:val="24"/>
                                <w:szCs w:val="24"/>
                              </w:rPr>
                              <w:t xml:space="preserve">4. </w:t>
                            </w:r>
                            <w:r w:rsidR="00E07D71" w:rsidRPr="002B5076">
                              <w:rPr>
                                <w:rFonts w:ascii="Tahoma" w:hAnsi="Tahoma" w:cs="Tahoma"/>
                                <w:b/>
                                <w:color w:val="000000" w:themeColor="text1"/>
                                <w:sz w:val="24"/>
                                <w:szCs w:val="24"/>
                              </w:rPr>
                              <w:t xml:space="preserve">Integrated English Literacy/Civics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BC773" id="Rectangle 4" o:spid="_x0000_s1029" style="position:absolute;margin-left:0;margin-top:0;width:467.2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" fillcolor="#d2d2d2" strokecolor="#a5a5a5" strokeweight=".5pt">
                <v:fill color2="silver" rotate="t" colors="0 #d2d2d2;.5 #c8c8c8;1 silver" focus="100%" type="gradient">
                  <o:fill v:ext="view" type="gradientUnscaled"/>
                </v:fill>
                <v:path arrowok="t"/>
                <v:textbox>
                  <w:txbxContent>
                    <w:p w:rsidR="00E07D71" w:rsidRPr="002B5076" w:rsidRDefault="00D445FB" w:rsidP="00E07D71">
                      <w:pPr>
                        <w:pStyle w:val="ListParagraph"/>
                        <w:jc w:val="center"/>
                        <w:rPr>
                          <w:rFonts w:ascii="Tahoma" w:hAnsi="Tahoma" w:cs="Tahoma"/>
                          <w:b/>
                          <w:color w:val="000000" w:themeColor="text1"/>
                          <w:sz w:val="24"/>
                          <w:szCs w:val="24"/>
                        </w:rPr>
                      </w:pPr>
                      <w:r w:rsidRPr="002B5076">
                        <w:rPr>
                          <w:rFonts w:ascii="Tahoma" w:hAnsi="Tahoma" w:cs="Tahoma"/>
                          <w:b/>
                          <w:color w:val="000000" w:themeColor="text1"/>
                          <w:sz w:val="24"/>
                          <w:szCs w:val="24"/>
                        </w:rPr>
                        <w:t xml:space="preserve">4. </w:t>
                      </w:r>
                      <w:r w:rsidR="00E07D71" w:rsidRPr="002B5076">
                        <w:rPr>
                          <w:rFonts w:ascii="Tahoma" w:hAnsi="Tahoma" w:cs="Tahoma"/>
                          <w:b/>
                          <w:color w:val="000000" w:themeColor="text1"/>
                          <w:sz w:val="24"/>
                          <w:szCs w:val="24"/>
                        </w:rPr>
                        <w:t xml:space="preserve">Integrated English Literacy/Civics Education    </w:t>
                      </w:r>
                    </w:p>
                  </w:txbxContent>
                </v:textbox>
                <w10:wrap anchorx="margin"/>
              </v:rect>
            </w:pict>
          </mc:Fallback>
        </mc:AlternateContent>
      </w:r>
    </w:p>
    <w:p w:rsidR="00E07D71" w:rsidRDefault="00E07D71" w:rsidP="007573F3">
      <w:pPr>
        <w:tabs>
          <w:tab w:val="left" w:pos="7110"/>
        </w:tabs>
        <w:rPr>
          <w:rFonts w:ascii="Tahoma" w:eastAsiaTheme="minorHAnsi" w:hAnsi="Tahoma" w:cs="Tahoma"/>
          <w:color w:val="000000" w:themeColor="text1"/>
          <w:sz w:val="20"/>
        </w:rPr>
      </w:pPr>
    </w:p>
    <w:p w:rsidR="00E07D71" w:rsidRPr="007573F3" w:rsidRDefault="00E07D71" w:rsidP="007573F3">
      <w:pPr>
        <w:tabs>
          <w:tab w:val="left" w:pos="7110"/>
        </w:tabs>
        <w:rPr>
          <w:rFonts w:ascii="Tahoma" w:eastAsiaTheme="minorHAnsi" w:hAnsi="Tahoma" w:cs="Tahoma"/>
          <w:color w:val="000000" w:themeColor="text1"/>
          <w:sz w:val="20"/>
        </w:rPr>
      </w:pPr>
    </w:p>
    <w:p w:rsidR="00B36E6E" w:rsidRPr="00C27456" w:rsidRDefault="00B36E6E" w:rsidP="00B36E6E">
      <w:pPr>
        <w:rPr>
          <w:rFonts w:ascii="Tahoma" w:hAnsi="Tahoma" w:cs="Tahoma"/>
          <w:sz w:val="20"/>
        </w:rPr>
      </w:pPr>
      <w:r w:rsidRPr="00C27456">
        <w:rPr>
          <w:rFonts w:ascii="Tahoma" w:hAnsi="Tahoma" w:cs="Tahoma"/>
          <w:sz w:val="20"/>
        </w:rPr>
        <w:t>North Carolina was awarded a total of $1,103,764 to conduct Integrated English Literacy/Civics Education activities. For the 2015-2016 transition program year, North Carolina did not hold an open application process, but continued funding to the colleges and community-based organizations which received funding in the 2014-2015 fiscal year. As part of the 2015 application process, eligible providers updated their current plan and responded to specific Workforce Innovation and Opportunity Act (WIOA) transitional planning strategies. All thirty-three current providers submitted continuation plans and were approved by the NC State Board of Community Colleges on July 17, 2015.</w:t>
      </w:r>
    </w:p>
    <w:p w:rsidR="00B36E6E" w:rsidRPr="00C27456" w:rsidRDefault="00B36E6E" w:rsidP="00B36E6E">
      <w:pPr>
        <w:shd w:val="clear" w:color="auto" w:fill="FFFFFF"/>
        <w:rPr>
          <w:rFonts w:ascii="Tahoma" w:hAnsi="Tahoma" w:cs="Tahoma"/>
          <w:color w:val="000000"/>
          <w:sz w:val="20"/>
        </w:rPr>
      </w:pPr>
      <w:r w:rsidRPr="00C27456">
        <w:rPr>
          <w:rFonts w:ascii="Tahoma" w:hAnsi="Tahoma" w:cs="Tahoma"/>
          <w:color w:val="000000"/>
          <w:sz w:val="20"/>
        </w:rPr>
        <w:t>Below are responses how North Carolina used funds to support activities under Section 243:</w:t>
      </w:r>
    </w:p>
    <w:p w:rsidR="00B36E6E" w:rsidRPr="00C27456" w:rsidRDefault="00B36E6E" w:rsidP="00B36E6E">
      <w:pPr>
        <w:shd w:val="clear" w:color="auto" w:fill="FFFFFF"/>
        <w:rPr>
          <w:rFonts w:ascii="Tahoma" w:hAnsi="Tahoma" w:cs="Tahoma"/>
          <w:color w:val="000000"/>
          <w:sz w:val="20"/>
        </w:rPr>
      </w:pPr>
    </w:p>
    <w:p w:rsidR="00B36E6E" w:rsidRPr="00C27456" w:rsidRDefault="00B36E6E" w:rsidP="00B36E6E">
      <w:pPr>
        <w:shd w:val="clear" w:color="auto" w:fill="FFFFFF"/>
        <w:rPr>
          <w:rFonts w:ascii="Tahoma" w:hAnsi="Tahoma" w:cs="Tahoma"/>
          <w:color w:val="000000"/>
          <w:sz w:val="20"/>
        </w:rPr>
      </w:pPr>
      <w:r w:rsidRPr="00C27456">
        <w:rPr>
          <w:rFonts w:ascii="Tahoma" w:hAnsi="Tahoma" w:cs="Tahoma"/>
          <w:b/>
          <w:color w:val="000000"/>
          <w:sz w:val="20"/>
        </w:rPr>
        <w:t>IELCE services in combination with integrated education and training</w:t>
      </w:r>
      <w:r w:rsidRPr="00C27456">
        <w:rPr>
          <w:rFonts w:ascii="Tahoma" w:hAnsi="Tahoma" w:cs="Tahoma"/>
          <w:color w:val="000000"/>
          <w:sz w:val="20"/>
        </w:rPr>
        <w:t>:</w:t>
      </w:r>
    </w:p>
    <w:p w:rsidR="00B36E6E" w:rsidRPr="00C27456" w:rsidRDefault="00B36E6E" w:rsidP="00180D9F">
      <w:pPr>
        <w:numPr>
          <w:ilvl w:val="0"/>
          <w:numId w:val="10"/>
        </w:numPr>
        <w:shd w:val="clear" w:color="auto" w:fill="FFFFFF"/>
        <w:rPr>
          <w:rFonts w:ascii="Tahoma" w:hAnsi="Tahoma" w:cs="Tahoma"/>
          <w:color w:val="000000"/>
          <w:sz w:val="20"/>
        </w:rPr>
      </w:pPr>
      <w:r w:rsidRPr="00C27456">
        <w:rPr>
          <w:rFonts w:ascii="Tahoma" w:hAnsi="Tahoma" w:cs="Tahoma"/>
          <w:color w:val="000000"/>
          <w:sz w:val="20"/>
        </w:rPr>
        <w:t>Providers transitioned from English language acquisition classes with primarily civics education and citizenship content to program models that focused on integrated education and training and career pathways.  Providers began to identify the in-demand industries in their metro and regional areas and some programs began to develop contextualized lesson plans and new curriculum for the identified occupational and career areas.  Providers developed:</w:t>
      </w:r>
    </w:p>
    <w:p w:rsidR="00B36E6E" w:rsidRPr="00C27456" w:rsidRDefault="00B36E6E" w:rsidP="00180D9F">
      <w:pPr>
        <w:numPr>
          <w:ilvl w:val="1"/>
          <w:numId w:val="9"/>
        </w:numPr>
        <w:shd w:val="clear" w:color="auto" w:fill="FFFFFF"/>
        <w:rPr>
          <w:rFonts w:ascii="Tahoma" w:hAnsi="Tahoma" w:cs="Tahoma"/>
          <w:color w:val="000000"/>
          <w:sz w:val="20"/>
        </w:rPr>
      </w:pPr>
      <w:r w:rsidRPr="00C27456">
        <w:rPr>
          <w:rFonts w:ascii="Tahoma" w:hAnsi="Tahoma" w:cs="Tahoma"/>
          <w:color w:val="000000"/>
          <w:sz w:val="20"/>
        </w:rPr>
        <w:t>ESL Career and College Readiness Academy modules for NRS levels 2, 3, and 4 that assisted students with college/career planning, advising, and training in technology.</w:t>
      </w:r>
    </w:p>
    <w:p w:rsidR="00B36E6E" w:rsidRPr="00C27456" w:rsidRDefault="00B36E6E" w:rsidP="00180D9F">
      <w:pPr>
        <w:numPr>
          <w:ilvl w:val="1"/>
          <w:numId w:val="9"/>
        </w:numPr>
        <w:shd w:val="clear" w:color="auto" w:fill="FFFFFF"/>
        <w:rPr>
          <w:rFonts w:ascii="Tahoma" w:hAnsi="Tahoma" w:cs="Tahoma"/>
          <w:color w:val="000000"/>
          <w:sz w:val="20"/>
        </w:rPr>
      </w:pPr>
      <w:r w:rsidRPr="00C27456">
        <w:rPr>
          <w:rFonts w:ascii="Tahoma" w:hAnsi="Tahoma" w:cs="Tahoma"/>
          <w:color w:val="000000"/>
          <w:sz w:val="20"/>
        </w:rPr>
        <w:t>Bridge to STEM for ESL learners for NRS level 6 that prepared students for credit bearing courses and certificate programs</w:t>
      </w:r>
    </w:p>
    <w:p w:rsidR="00B36E6E" w:rsidRPr="00C27456" w:rsidRDefault="00B36E6E" w:rsidP="00180D9F">
      <w:pPr>
        <w:numPr>
          <w:ilvl w:val="1"/>
          <w:numId w:val="9"/>
        </w:numPr>
        <w:shd w:val="clear" w:color="auto" w:fill="FFFFFF"/>
        <w:rPr>
          <w:rFonts w:ascii="Tahoma" w:hAnsi="Tahoma" w:cs="Tahoma"/>
          <w:color w:val="000000"/>
          <w:sz w:val="20"/>
        </w:rPr>
      </w:pPr>
      <w:r w:rsidRPr="00C27456">
        <w:rPr>
          <w:rFonts w:ascii="Tahoma" w:hAnsi="Tahoma" w:cs="Tahoma"/>
          <w:color w:val="000000"/>
          <w:sz w:val="20"/>
        </w:rPr>
        <w:t xml:space="preserve">Half of the programs revised their intake protocol to include an advising or career coaching component. For some programs, a transition specialist was part of the intake re-design. An intentional intake process was designed to more accurately assess the true skills, knowledge, and abilities of the students. </w:t>
      </w:r>
    </w:p>
    <w:p w:rsidR="00B36E6E" w:rsidRPr="00C27456" w:rsidRDefault="002B5076" w:rsidP="00180D9F">
      <w:pPr>
        <w:numPr>
          <w:ilvl w:val="1"/>
          <w:numId w:val="9"/>
        </w:numPr>
        <w:shd w:val="clear" w:color="auto" w:fill="FFFFFF"/>
        <w:rPr>
          <w:rFonts w:ascii="Tahoma" w:hAnsi="Tahoma" w:cs="Tahoma"/>
          <w:color w:val="000000"/>
          <w:sz w:val="20"/>
        </w:rPr>
      </w:pPr>
      <w:r>
        <w:rPr>
          <w:rFonts w:ascii="Tahoma" w:hAnsi="Tahoma" w:cs="Tahoma"/>
          <w:color w:val="000000"/>
          <w:sz w:val="20"/>
        </w:rPr>
        <w:t>M</w:t>
      </w:r>
      <w:r w:rsidR="00B36E6E" w:rsidRPr="00C27456">
        <w:rPr>
          <w:rFonts w:ascii="Tahoma" w:hAnsi="Tahoma" w:cs="Tahoma"/>
          <w:color w:val="000000"/>
          <w:sz w:val="20"/>
        </w:rPr>
        <w:t>anufacturing vocabulary lessons that supported the attainment of the Manufacturing Certificate for the local industry. Another program engaged in an entrepreneurial project to assist students who wished to start their own small businesses.</w:t>
      </w:r>
    </w:p>
    <w:p w:rsidR="00B36E6E" w:rsidRPr="00C27456" w:rsidRDefault="002B5076" w:rsidP="00180D9F">
      <w:pPr>
        <w:numPr>
          <w:ilvl w:val="1"/>
          <w:numId w:val="9"/>
        </w:numPr>
        <w:shd w:val="clear" w:color="auto" w:fill="FFFFFF"/>
        <w:rPr>
          <w:rFonts w:ascii="Tahoma" w:hAnsi="Tahoma" w:cs="Tahoma"/>
          <w:color w:val="000000"/>
          <w:sz w:val="20"/>
        </w:rPr>
      </w:pPr>
      <w:r>
        <w:rPr>
          <w:rFonts w:ascii="Tahoma" w:hAnsi="Tahoma" w:cs="Tahoma"/>
          <w:color w:val="000000"/>
          <w:sz w:val="20"/>
        </w:rPr>
        <w:t>N</w:t>
      </w:r>
      <w:r w:rsidR="00B36E6E" w:rsidRPr="00C27456">
        <w:rPr>
          <w:rFonts w:ascii="Tahoma" w:hAnsi="Tahoma" w:cs="Tahoma"/>
          <w:color w:val="000000"/>
          <w:sz w:val="20"/>
        </w:rPr>
        <w:t>ew relationships with internal and external partners, including human resource development, that assisted with employability skills training, volunteer and pre-apprenticeship opportunities, and other support and training resources.</w:t>
      </w:r>
    </w:p>
    <w:p w:rsidR="00B36E6E" w:rsidRPr="00C27456" w:rsidRDefault="002B5076" w:rsidP="00180D9F">
      <w:pPr>
        <w:numPr>
          <w:ilvl w:val="1"/>
          <w:numId w:val="9"/>
        </w:numPr>
        <w:shd w:val="clear" w:color="auto" w:fill="FFFFFF"/>
        <w:rPr>
          <w:rFonts w:ascii="Tahoma" w:hAnsi="Tahoma" w:cs="Tahoma"/>
          <w:color w:val="000000"/>
          <w:sz w:val="20"/>
        </w:rPr>
      </w:pPr>
      <w:r>
        <w:rPr>
          <w:rFonts w:ascii="Tahoma" w:hAnsi="Tahoma" w:cs="Tahoma"/>
          <w:color w:val="000000"/>
          <w:sz w:val="20"/>
        </w:rPr>
        <w:t>E</w:t>
      </w:r>
      <w:r w:rsidR="00B36E6E" w:rsidRPr="00C27456">
        <w:rPr>
          <w:rFonts w:ascii="Tahoma" w:hAnsi="Tahoma" w:cs="Tahoma"/>
          <w:color w:val="000000"/>
          <w:sz w:val="20"/>
        </w:rPr>
        <w:t>nhanced curriculum that included digital literacy skills, interviewing skills, resume writing, occupational exploration and the navigation of related websites, workplace skills and “soft” skills training, Integrated Career Awareness curriculum, Career Readiness Certificate training, and more.</w:t>
      </w:r>
    </w:p>
    <w:p w:rsidR="00B36E6E" w:rsidRPr="00C27456" w:rsidRDefault="00B36E6E" w:rsidP="00B36E6E">
      <w:pPr>
        <w:shd w:val="clear" w:color="auto" w:fill="FFFFFF"/>
        <w:rPr>
          <w:rFonts w:ascii="Tahoma" w:hAnsi="Tahoma" w:cs="Tahoma"/>
          <w:color w:val="000000"/>
          <w:sz w:val="20"/>
        </w:rPr>
      </w:pPr>
    </w:p>
    <w:p w:rsidR="00B36E6E" w:rsidRPr="00C27456" w:rsidRDefault="00B36E6E" w:rsidP="00B36E6E">
      <w:pPr>
        <w:shd w:val="clear" w:color="auto" w:fill="FFFFFF"/>
        <w:rPr>
          <w:rFonts w:ascii="Tahoma" w:hAnsi="Tahoma" w:cs="Tahoma"/>
          <w:color w:val="000000"/>
          <w:sz w:val="20"/>
        </w:rPr>
      </w:pPr>
      <w:r w:rsidRPr="00C27456">
        <w:rPr>
          <w:rFonts w:ascii="Tahoma" w:hAnsi="Tahoma" w:cs="Tahoma"/>
          <w:b/>
          <w:color w:val="000000"/>
          <w:sz w:val="20"/>
        </w:rPr>
        <w:t>Progression towards preparing and placing IELCE students in unsubsidized employment in in-demand industries and performance results, challenges, and lessons learned</w:t>
      </w:r>
      <w:r w:rsidRPr="00C27456">
        <w:rPr>
          <w:rFonts w:ascii="Tahoma" w:hAnsi="Tahoma" w:cs="Tahoma"/>
          <w:color w:val="000000"/>
          <w:sz w:val="20"/>
        </w:rPr>
        <w:t>:</w:t>
      </w:r>
    </w:p>
    <w:p w:rsidR="00B36E6E" w:rsidRPr="00C27456" w:rsidRDefault="00B36E6E" w:rsidP="00180D9F">
      <w:pPr>
        <w:numPr>
          <w:ilvl w:val="0"/>
          <w:numId w:val="8"/>
        </w:numPr>
        <w:shd w:val="clear" w:color="auto" w:fill="FFFFFF"/>
        <w:rPr>
          <w:rFonts w:ascii="Tahoma" w:hAnsi="Tahoma" w:cs="Tahoma"/>
          <w:color w:val="000000"/>
          <w:sz w:val="20"/>
        </w:rPr>
      </w:pPr>
      <w:r w:rsidRPr="00C27456">
        <w:rPr>
          <w:rFonts w:ascii="Tahoma" w:hAnsi="Tahoma" w:cs="Tahoma"/>
          <w:color w:val="000000"/>
          <w:sz w:val="20"/>
        </w:rPr>
        <w:t>Providers made steps in researching local industries and their specific training and education associated with the respective in-demand field of employment.  Providers recognized some basic and immediate challenges and re-tooled instruction that aligned with the needs of the employer and with the gaps in preparation of the student.</w:t>
      </w:r>
    </w:p>
    <w:p w:rsidR="00B36E6E" w:rsidRPr="00C27456" w:rsidRDefault="00B36E6E" w:rsidP="00B36E6E">
      <w:pPr>
        <w:shd w:val="clear" w:color="auto" w:fill="FFFFFF"/>
        <w:rPr>
          <w:rFonts w:ascii="Tahoma" w:hAnsi="Tahoma" w:cs="Tahoma"/>
          <w:color w:val="000000"/>
          <w:sz w:val="20"/>
        </w:rPr>
      </w:pPr>
    </w:p>
    <w:p w:rsidR="00B36E6E" w:rsidRPr="00C27456" w:rsidRDefault="00B36E6E" w:rsidP="00B36E6E">
      <w:pPr>
        <w:shd w:val="clear" w:color="auto" w:fill="FFFFFF"/>
        <w:rPr>
          <w:rFonts w:ascii="Tahoma" w:hAnsi="Tahoma" w:cs="Tahoma"/>
          <w:color w:val="000000"/>
          <w:sz w:val="20"/>
        </w:rPr>
      </w:pPr>
      <w:r w:rsidRPr="00C27456">
        <w:rPr>
          <w:rFonts w:ascii="Tahoma" w:hAnsi="Tahoma" w:cs="Tahoma"/>
          <w:b/>
          <w:color w:val="000000"/>
          <w:sz w:val="20"/>
        </w:rPr>
        <w:t>Progression towards ensuring IELCE program activities are integrated with the local workforce development system and any performance results, challenges, and lessons learned</w:t>
      </w:r>
      <w:r w:rsidRPr="00C27456">
        <w:rPr>
          <w:rFonts w:ascii="Tahoma" w:hAnsi="Tahoma" w:cs="Tahoma"/>
          <w:color w:val="000000"/>
          <w:sz w:val="20"/>
        </w:rPr>
        <w:t>:</w:t>
      </w:r>
    </w:p>
    <w:p w:rsidR="00B36E6E" w:rsidRPr="002B5076" w:rsidRDefault="00B36E6E" w:rsidP="00180D9F">
      <w:pPr>
        <w:numPr>
          <w:ilvl w:val="0"/>
          <w:numId w:val="8"/>
        </w:numPr>
        <w:shd w:val="clear" w:color="auto" w:fill="FFFFFF"/>
        <w:rPr>
          <w:rFonts w:ascii="Tahoma" w:hAnsi="Tahoma" w:cs="Tahoma"/>
          <w:sz w:val="20"/>
        </w:rPr>
      </w:pPr>
      <w:r w:rsidRPr="00C27456">
        <w:rPr>
          <w:rFonts w:ascii="Tahoma" w:hAnsi="Tahoma" w:cs="Tahoma"/>
          <w:color w:val="000000"/>
          <w:sz w:val="20"/>
        </w:rPr>
        <w:t>Almost all providers became active partners with their job center network, NC Works Career Center. On-site classes were created at the NC Works Center and/or students registered and regularly visited there. Some performance outcomes include the development of a workshop on the job center, revised curriculum including the NC Career Clusters, and developed lessons on Mastering Soft Skills for Workplace Success.</w:t>
      </w:r>
    </w:p>
    <w:p w:rsidR="002B5076" w:rsidRDefault="002B5076" w:rsidP="002B5076">
      <w:pPr>
        <w:shd w:val="clear" w:color="auto" w:fill="FFFFFF"/>
        <w:rPr>
          <w:rFonts w:ascii="Tahoma" w:hAnsi="Tahoma" w:cs="Tahoma"/>
          <w:color w:val="000000"/>
          <w:sz w:val="20"/>
        </w:rPr>
      </w:pPr>
    </w:p>
    <w:p w:rsidR="002B5076" w:rsidRDefault="002B5076" w:rsidP="002B5076">
      <w:pPr>
        <w:shd w:val="clear" w:color="auto" w:fill="FFFFFF"/>
        <w:rPr>
          <w:rFonts w:ascii="Tahoma" w:hAnsi="Tahoma" w:cs="Tahoma"/>
          <w:color w:val="000000"/>
          <w:sz w:val="20"/>
        </w:rPr>
      </w:pPr>
    </w:p>
    <w:p w:rsidR="002B5076" w:rsidRPr="00C27456" w:rsidRDefault="002B5076" w:rsidP="002B5076">
      <w:pPr>
        <w:shd w:val="clear" w:color="auto" w:fill="FFFFFF"/>
        <w:rPr>
          <w:rFonts w:ascii="Tahoma" w:hAnsi="Tahoma" w:cs="Tahoma"/>
          <w:sz w:val="20"/>
        </w:rPr>
      </w:pPr>
    </w:p>
    <w:p w:rsidR="00B36E6E" w:rsidRPr="00C27456" w:rsidRDefault="00E07D71" w:rsidP="00B36E6E">
      <w:pPr>
        <w:rPr>
          <w:rFonts w:ascii="Tahoma" w:hAnsi="Tahoma" w:cs="Tahoma"/>
          <w:sz w:val="20"/>
        </w:rPr>
      </w:pPr>
      <w:r w:rsidRPr="00E07D71">
        <w:rPr>
          <w:rFonts w:asciiTheme="minorHAnsi" w:eastAsiaTheme="minorHAnsi" w:hAnsiTheme="minorHAnsi"/>
          <w:noProof/>
          <w:color w:val="000000"/>
          <w:sz w:val="23"/>
          <w:szCs w:val="23"/>
          <w:u w:val="single"/>
        </w:rPr>
        <mc:AlternateContent>
          <mc:Choice Requires="wps">
            <w:drawing>
              <wp:anchor distT="0" distB="0" distL="114300" distR="114300" simplePos="0" relativeHeight="251665408" behindDoc="0" locked="0" layoutInCell="1" allowOverlap="1" wp14:anchorId="33F8CFEE" wp14:editId="6B4DA2FE">
                <wp:simplePos x="0" y="0"/>
                <wp:positionH relativeFrom="margin">
                  <wp:posOffset>0</wp:posOffset>
                </wp:positionH>
                <wp:positionV relativeFrom="paragraph">
                  <wp:posOffset>0</wp:posOffset>
                </wp:positionV>
                <wp:extent cx="5934075" cy="3429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E07D71" w:rsidRPr="003D5C03" w:rsidRDefault="00E07D71" w:rsidP="00E07D71">
                            <w:pPr>
                              <w:pStyle w:val="ListParagraph"/>
                              <w:jc w:val="center"/>
                              <w:rPr>
                                <w:color w:val="000000" w:themeColor="text1"/>
                                <w:sz w:val="36"/>
                              </w:rPr>
                            </w:pPr>
                            <w:r>
                              <w:rPr>
                                <w:color w:val="000000" w:themeColor="text1"/>
                                <w:sz w:val="36"/>
                              </w:rPr>
                              <w:t xml:space="preserve">NC Adult Content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8CFEE" id="Rectangle 5" o:spid="_x0000_s1030" style="position:absolute;margin-left:0;margin-top:0;width:467.2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" fillcolor="#d2d2d2" strokecolor="#a5a5a5" strokeweight=".5pt">
                <v:fill color2="silver" rotate="t" colors="0 #d2d2d2;.5 #c8c8c8;1 silver" focus="100%" type="gradient">
                  <o:fill v:ext="view" type="gradientUnscaled"/>
                </v:fill>
                <v:path arrowok="t"/>
                <v:textbox>
                  <w:txbxContent>
                    <w:p w:rsidR="00E07D71" w:rsidRPr="003D5C03" w:rsidRDefault="00E07D71" w:rsidP="00E07D71">
                      <w:pPr>
                        <w:pStyle w:val="ListParagraph"/>
                        <w:jc w:val="center"/>
                        <w:rPr>
                          <w:color w:val="000000" w:themeColor="text1"/>
                          <w:sz w:val="36"/>
                        </w:rPr>
                      </w:pPr>
                      <w:r>
                        <w:rPr>
                          <w:color w:val="000000" w:themeColor="text1"/>
                          <w:sz w:val="36"/>
                        </w:rPr>
                        <w:t xml:space="preserve">NC Adult Content Standards   </w:t>
                      </w:r>
                    </w:p>
                  </w:txbxContent>
                </v:textbox>
                <w10:wrap anchorx="margin"/>
              </v:rect>
            </w:pict>
          </mc:Fallback>
        </mc:AlternateContent>
      </w:r>
    </w:p>
    <w:p w:rsidR="007573F3" w:rsidRPr="00C27456" w:rsidRDefault="007573F3" w:rsidP="0086036D">
      <w:pPr>
        <w:spacing w:after="120" w:line="264" w:lineRule="auto"/>
        <w:rPr>
          <w:rFonts w:ascii="Tahoma" w:eastAsiaTheme="minorHAnsi" w:hAnsi="Tahoma" w:cs="Tahoma"/>
          <w:b/>
          <w:color w:val="000000"/>
          <w:sz w:val="20"/>
          <w:u w:val="single"/>
        </w:rPr>
      </w:pPr>
    </w:p>
    <w:p w:rsidR="004B3911" w:rsidRPr="00C27456" w:rsidRDefault="004B3911" w:rsidP="00BA40C9">
      <w:pPr>
        <w:tabs>
          <w:tab w:val="right" w:pos="3510"/>
          <w:tab w:val="right" w:pos="9270"/>
        </w:tabs>
        <w:autoSpaceDE w:val="0"/>
        <w:autoSpaceDN w:val="0"/>
        <w:adjustRightInd w:val="0"/>
        <w:spacing w:line="264" w:lineRule="auto"/>
        <w:rPr>
          <w:rFonts w:ascii="Tahoma" w:eastAsiaTheme="minorHAnsi" w:hAnsi="Tahoma" w:cs="Tahoma"/>
          <w:b/>
          <w:color w:val="FFFFFF" w:themeColor="background1"/>
          <w:sz w:val="20"/>
          <w:shd w:val="clear" w:color="auto" w:fill="171717" w:themeFill="background2" w:themeFillShade="1A"/>
        </w:rPr>
      </w:pPr>
    </w:p>
    <w:p w:rsidR="00E07D71" w:rsidRPr="00476FEA" w:rsidRDefault="00E07D71" w:rsidP="00E07D71">
      <w:pPr>
        <w:autoSpaceDE w:val="0"/>
        <w:autoSpaceDN w:val="0"/>
        <w:adjustRightInd w:val="0"/>
        <w:spacing w:after="120" w:line="276" w:lineRule="atLeast"/>
        <w:ind w:right="259"/>
        <w:rPr>
          <w:rFonts w:ascii="Tahoma" w:eastAsiaTheme="minorHAnsi" w:hAnsi="Tahoma" w:cs="Tahoma"/>
          <w:color w:val="000000"/>
          <w:sz w:val="20"/>
        </w:rPr>
      </w:pPr>
      <w:r w:rsidRPr="00E07D71">
        <w:rPr>
          <w:rFonts w:ascii="Tahoma" w:eastAsiaTheme="minorHAnsi" w:hAnsi="Tahoma" w:cs="Tahoma"/>
          <w:color w:val="000000"/>
          <w:sz w:val="20"/>
        </w:rPr>
        <w:t>In 2007, North Carolina began developing their own set of adult content standards</w:t>
      </w:r>
      <w:r w:rsidR="00AE65D3">
        <w:rPr>
          <w:rFonts w:ascii="Tahoma" w:eastAsiaTheme="minorHAnsi" w:hAnsi="Tahoma" w:cs="Tahoma"/>
          <w:color w:val="000000"/>
          <w:sz w:val="20"/>
        </w:rPr>
        <w:t xml:space="preserve">. In </w:t>
      </w:r>
      <w:r w:rsidRPr="00476FEA">
        <w:rPr>
          <w:rFonts w:ascii="Tahoma" w:eastAsiaTheme="minorHAnsi" w:hAnsi="Tahoma" w:cs="Tahoma"/>
          <w:color w:val="000000"/>
          <w:sz w:val="20"/>
        </w:rPr>
        <w:t xml:space="preserve">2013, the NC Content Standards were aligned with the </w:t>
      </w:r>
      <w:r w:rsidRPr="00E07D71">
        <w:rPr>
          <w:rFonts w:ascii="Tahoma" w:eastAsiaTheme="minorHAnsi" w:hAnsi="Tahoma" w:cs="Tahoma"/>
          <w:color w:val="000000"/>
          <w:sz w:val="20"/>
        </w:rPr>
        <w:t>College and Career Readiness Adult Education Content Standards from the Office of Career and Technical Adult Education (OCTAE)</w:t>
      </w:r>
      <w:r w:rsidRPr="00476FEA">
        <w:rPr>
          <w:rFonts w:ascii="Tahoma" w:eastAsiaTheme="minorHAnsi" w:hAnsi="Tahoma" w:cs="Tahoma"/>
          <w:color w:val="000000"/>
          <w:sz w:val="20"/>
        </w:rPr>
        <w:t xml:space="preserve">.  </w:t>
      </w:r>
    </w:p>
    <w:p w:rsidR="00476FEA" w:rsidRPr="00476FEA" w:rsidRDefault="00476FEA" w:rsidP="00476FEA">
      <w:pPr>
        <w:autoSpaceDE w:val="0"/>
        <w:autoSpaceDN w:val="0"/>
        <w:spacing w:after="120" w:line="276" w:lineRule="atLeast"/>
        <w:ind w:right="259"/>
        <w:rPr>
          <w:rFonts w:ascii="Tahoma" w:hAnsi="Tahoma" w:cs="Tahoma"/>
          <w:color w:val="000000"/>
          <w:sz w:val="20"/>
        </w:rPr>
      </w:pPr>
      <w:r w:rsidRPr="00476FEA">
        <w:rPr>
          <w:rFonts w:ascii="Tahoma" w:hAnsi="Tahoma" w:cs="Tahoma"/>
          <w:color w:val="000000"/>
          <w:sz w:val="20"/>
        </w:rPr>
        <w:t>The following events occurred during 2015-2016 to support</w:t>
      </w:r>
      <w:r w:rsidR="002B5076">
        <w:rPr>
          <w:rFonts w:ascii="Tahoma" w:hAnsi="Tahoma" w:cs="Tahoma"/>
          <w:color w:val="000000"/>
          <w:sz w:val="20"/>
        </w:rPr>
        <w:t xml:space="preserve"> and ensure that the NCAES are implemented in all adult literacy instruction: </w:t>
      </w:r>
    </w:p>
    <w:p w:rsidR="00476FEA" w:rsidRPr="00476FEA" w:rsidRDefault="00476FEA" w:rsidP="00180D9F">
      <w:pPr>
        <w:pStyle w:val="ListParagraph"/>
        <w:numPr>
          <w:ilvl w:val="0"/>
          <w:numId w:val="11"/>
        </w:numPr>
        <w:autoSpaceDE w:val="0"/>
        <w:autoSpaceDN w:val="0"/>
        <w:spacing w:after="120" w:line="276" w:lineRule="atLeast"/>
        <w:ind w:right="259"/>
        <w:rPr>
          <w:rFonts w:ascii="Tahoma" w:hAnsi="Tahoma" w:cs="Tahoma"/>
          <w:color w:val="000000"/>
          <w:sz w:val="20"/>
          <w:szCs w:val="20"/>
        </w:rPr>
      </w:pPr>
      <w:r w:rsidRPr="00476FEA">
        <w:rPr>
          <w:rFonts w:ascii="Tahoma" w:hAnsi="Tahoma" w:cs="Tahoma"/>
          <w:color w:val="000000"/>
          <w:sz w:val="20"/>
          <w:szCs w:val="20"/>
        </w:rPr>
        <w:t>All colleges and community based organizations have copies of the NCAES either by hardcopy or on CD  </w:t>
      </w:r>
    </w:p>
    <w:p w:rsidR="00476FEA" w:rsidRPr="00476FEA" w:rsidRDefault="00476FEA" w:rsidP="00180D9F">
      <w:pPr>
        <w:pStyle w:val="ListParagraph"/>
        <w:numPr>
          <w:ilvl w:val="0"/>
          <w:numId w:val="11"/>
        </w:numPr>
        <w:autoSpaceDE w:val="0"/>
        <w:autoSpaceDN w:val="0"/>
        <w:spacing w:after="120" w:line="276" w:lineRule="atLeast"/>
        <w:ind w:right="259"/>
        <w:rPr>
          <w:rFonts w:ascii="Tahoma" w:hAnsi="Tahoma" w:cs="Tahoma"/>
          <w:color w:val="000000"/>
          <w:sz w:val="20"/>
          <w:szCs w:val="20"/>
        </w:rPr>
      </w:pPr>
      <w:r w:rsidRPr="00476FEA">
        <w:rPr>
          <w:rFonts w:ascii="Tahoma" w:hAnsi="Tahoma" w:cs="Tahoma"/>
          <w:color w:val="000000"/>
          <w:sz w:val="20"/>
          <w:szCs w:val="20"/>
        </w:rPr>
        <w:t xml:space="preserve">Provided various on-site technical assistance visits to local providers as requested </w:t>
      </w:r>
    </w:p>
    <w:p w:rsidR="00476FEA" w:rsidRPr="00476FEA" w:rsidRDefault="00476FEA" w:rsidP="00180D9F">
      <w:pPr>
        <w:pStyle w:val="ListParagraph"/>
        <w:numPr>
          <w:ilvl w:val="0"/>
          <w:numId w:val="11"/>
        </w:numPr>
        <w:autoSpaceDE w:val="0"/>
        <w:autoSpaceDN w:val="0"/>
        <w:spacing w:after="120" w:line="276" w:lineRule="atLeast"/>
        <w:ind w:right="259"/>
        <w:rPr>
          <w:rFonts w:ascii="Tahoma" w:hAnsi="Tahoma" w:cs="Tahoma"/>
          <w:color w:val="000000"/>
          <w:sz w:val="20"/>
          <w:szCs w:val="20"/>
        </w:rPr>
      </w:pPr>
      <w:r w:rsidRPr="00476FEA">
        <w:rPr>
          <w:rFonts w:ascii="Tahoma" w:hAnsi="Tahoma" w:cs="Tahoma"/>
          <w:color w:val="000000"/>
          <w:sz w:val="20"/>
          <w:szCs w:val="20"/>
        </w:rPr>
        <w:t>Made presentation at the Director’s Institute in October 2015 at the North Carolina Community College System Conference</w:t>
      </w:r>
    </w:p>
    <w:p w:rsidR="00476FEA" w:rsidRPr="00476FEA" w:rsidRDefault="00476FEA" w:rsidP="00180D9F">
      <w:pPr>
        <w:pStyle w:val="ListParagraph"/>
        <w:numPr>
          <w:ilvl w:val="0"/>
          <w:numId w:val="11"/>
        </w:numPr>
        <w:autoSpaceDE w:val="0"/>
        <w:autoSpaceDN w:val="0"/>
        <w:spacing w:after="120" w:line="276" w:lineRule="atLeast"/>
        <w:ind w:right="259"/>
        <w:rPr>
          <w:rFonts w:ascii="Tahoma" w:hAnsi="Tahoma" w:cs="Tahoma"/>
          <w:color w:val="000000"/>
          <w:sz w:val="20"/>
          <w:szCs w:val="20"/>
        </w:rPr>
      </w:pPr>
      <w:r w:rsidRPr="00476FEA">
        <w:rPr>
          <w:rFonts w:ascii="Tahoma" w:hAnsi="Tahoma" w:cs="Tahoma"/>
          <w:color w:val="000000"/>
          <w:sz w:val="20"/>
          <w:szCs w:val="20"/>
        </w:rPr>
        <w:t>Continue to revise the NCAES learning activities to include content that implements contextualized instruction</w:t>
      </w:r>
    </w:p>
    <w:p w:rsidR="00476FEA" w:rsidRPr="00476FEA" w:rsidRDefault="00476FEA" w:rsidP="00180D9F">
      <w:pPr>
        <w:pStyle w:val="ListParagraph"/>
        <w:numPr>
          <w:ilvl w:val="0"/>
          <w:numId w:val="11"/>
        </w:numPr>
        <w:autoSpaceDE w:val="0"/>
        <w:autoSpaceDN w:val="0"/>
        <w:spacing w:after="120" w:line="276" w:lineRule="atLeast"/>
        <w:ind w:right="259"/>
        <w:rPr>
          <w:rFonts w:ascii="Tahoma" w:hAnsi="Tahoma" w:cs="Tahoma"/>
          <w:color w:val="000000"/>
          <w:sz w:val="20"/>
          <w:szCs w:val="20"/>
        </w:rPr>
      </w:pPr>
      <w:r w:rsidRPr="00476FEA">
        <w:rPr>
          <w:rFonts w:ascii="Tahoma" w:hAnsi="Tahoma" w:cs="Tahoma"/>
          <w:color w:val="000000"/>
          <w:sz w:val="20"/>
          <w:szCs w:val="20"/>
        </w:rPr>
        <w:t>All CORE &amp; ASE Courses stress the importance of implementing the NCAES in all levels of instruction</w:t>
      </w:r>
    </w:p>
    <w:p w:rsidR="00476FEA" w:rsidRPr="00476FEA" w:rsidRDefault="00476FEA" w:rsidP="00180D9F">
      <w:pPr>
        <w:pStyle w:val="ListParagraph"/>
        <w:numPr>
          <w:ilvl w:val="0"/>
          <w:numId w:val="11"/>
        </w:numPr>
        <w:autoSpaceDE w:val="0"/>
        <w:autoSpaceDN w:val="0"/>
        <w:spacing w:after="120" w:line="276" w:lineRule="atLeast"/>
        <w:ind w:right="259"/>
        <w:rPr>
          <w:rFonts w:ascii="Tahoma" w:hAnsi="Tahoma" w:cs="Tahoma"/>
          <w:color w:val="000000"/>
          <w:sz w:val="20"/>
          <w:szCs w:val="20"/>
        </w:rPr>
      </w:pPr>
      <w:r w:rsidRPr="00476FEA">
        <w:rPr>
          <w:rFonts w:ascii="Tahoma" w:hAnsi="Tahoma" w:cs="Tahoma"/>
          <w:color w:val="000000"/>
          <w:sz w:val="20"/>
          <w:szCs w:val="20"/>
        </w:rPr>
        <w:t xml:space="preserve">All sixteen of the face-to-face monitoring visits were evaluated on the implementation of the NCAES </w:t>
      </w:r>
    </w:p>
    <w:p w:rsidR="00476FEA" w:rsidRPr="00476FEA" w:rsidRDefault="009242EA" w:rsidP="00E07D71">
      <w:pPr>
        <w:autoSpaceDE w:val="0"/>
        <w:autoSpaceDN w:val="0"/>
        <w:adjustRightInd w:val="0"/>
        <w:spacing w:after="120" w:line="276" w:lineRule="atLeast"/>
        <w:ind w:right="259"/>
        <w:rPr>
          <w:rFonts w:ascii="Tahoma" w:eastAsiaTheme="minorHAnsi" w:hAnsi="Tahoma" w:cs="Tahoma"/>
          <w:color w:val="000000"/>
          <w:sz w:val="20"/>
        </w:rPr>
      </w:pPr>
      <w:r w:rsidRPr="00E07D71">
        <w:rPr>
          <w:rFonts w:asciiTheme="minorHAnsi" w:eastAsiaTheme="minorHAnsi" w:hAnsiTheme="minorHAnsi"/>
          <w:noProof/>
          <w:color w:val="000000"/>
          <w:sz w:val="23"/>
          <w:szCs w:val="23"/>
          <w:u w:val="single"/>
        </w:rPr>
        <mc:AlternateContent>
          <mc:Choice Requires="wps">
            <w:drawing>
              <wp:anchor distT="0" distB="0" distL="114300" distR="114300" simplePos="0" relativeHeight="251671552" behindDoc="0" locked="0" layoutInCell="1" allowOverlap="1" wp14:anchorId="440F4586" wp14:editId="18EB1001">
                <wp:simplePos x="0" y="0"/>
                <wp:positionH relativeFrom="margin">
                  <wp:align>left</wp:align>
                </wp:positionH>
                <wp:positionV relativeFrom="paragraph">
                  <wp:posOffset>-1271</wp:posOffset>
                </wp:positionV>
                <wp:extent cx="5934075" cy="6381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381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242EA" w:rsidRPr="003D5C03" w:rsidRDefault="009242EA" w:rsidP="009242EA">
                            <w:pPr>
                              <w:pStyle w:val="ListParagraph"/>
                              <w:jc w:val="center"/>
                              <w:rPr>
                                <w:color w:val="000000" w:themeColor="text1"/>
                                <w:sz w:val="36"/>
                              </w:rPr>
                            </w:pPr>
                            <w:r>
                              <w:rPr>
                                <w:color w:val="000000" w:themeColor="text1"/>
                                <w:sz w:val="36"/>
                              </w:rPr>
                              <w:t xml:space="preserve">Programs for Corrections Education and Education of Other Institutionalized Individuals </w:t>
                            </w:r>
                            <w:r>
                              <w:rPr>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F4586" id="Rectangle 8" o:spid="_x0000_s1031" style="position:absolute;margin-left:0;margin-top:-.1pt;width:467.25pt;height:50.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" fillcolor="#d2d2d2" strokecolor="#a5a5a5" strokeweight=".5pt">
                <v:fill color2="silver" rotate="t" colors="0 #d2d2d2;.5 #c8c8c8;1 silver" focus="100%" type="gradient">
                  <o:fill v:ext="view" type="gradientUnscaled"/>
                </v:fill>
                <v:path arrowok="t"/>
                <v:textbox>
                  <w:txbxContent>
                    <w:p w:rsidR="009242EA" w:rsidRPr="003D5C03" w:rsidRDefault="009242EA" w:rsidP="009242EA">
                      <w:pPr>
                        <w:pStyle w:val="ListParagraph"/>
                        <w:jc w:val="center"/>
                        <w:rPr>
                          <w:color w:val="000000" w:themeColor="text1"/>
                          <w:sz w:val="36"/>
                        </w:rPr>
                      </w:pPr>
                      <w:r>
                        <w:rPr>
                          <w:color w:val="000000" w:themeColor="text1"/>
                          <w:sz w:val="36"/>
                        </w:rPr>
                        <w:t xml:space="preserve">Programs for Corrections Education and Education of Other Institutionalized Individuals </w:t>
                      </w:r>
                      <w:r>
                        <w:rPr>
                          <w:color w:val="000000" w:themeColor="text1"/>
                          <w:sz w:val="36"/>
                        </w:rPr>
                        <w:t xml:space="preserve">  </w:t>
                      </w:r>
                    </w:p>
                  </w:txbxContent>
                </v:textbox>
                <w10:wrap anchorx="margin"/>
              </v:rect>
            </w:pict>
          </mc:Fallback>
        </mc:AlternateContent>
      </w:r>
    </w:p>
    <w:p w:rsidR="00E07D71" w:rsidRDefault="00E07D71" w:rsidP="0054611A">
      <w:pPr>
        <w:tabs>
          <w:tab w:val="right" w:pos="3510"/>
          <w:tab w:val="right" w:pos="9270"/>
        </w:tabs>
        <w:autoSpaceDE w:val="0"/>
        <w:autoSpaceDN w:val="0"/>
        <w:adjustRightInd w:val="0"/>
        <w:spacing w:line="264" w:lineRule="auto"/>
        <w:rPr>
          <w:rFonts w:ascii="Tahoma" w:eastAsiaTheme="minorHAnsi" w:hAnsi="Tahoma" w:cs="Tahoma"/>
          <w:b/>
          <w:color w:val="FFFFFF" w:themeColor="background1"/>
          <w:sz w:val="20"/>
          <w:shd w:val="clear" w:color="auto" w:fill="171717" w:themeFill="background2" w:themeFillShade="1A"/>
        </w:rPr>
      </w:pPr>
    </w:p>
    <w:p w:rsidR="00E07D71" w:rsidRDefault="00E07D71" w:rsidP="0054611A">
      <w:pPr>
        <w:tabs>
          <w:tab w:val="right" w:pos="3510"/>
          <w:tab w:val="right" w:pos="9270"/>
        </w:tabs>
        <w:autoSpaceDE w:val="0"/>
        <w:autoSpaceDN w:val="0"/>
        <w:adjustRightInd w:val="0"/>
        <w:spacing w:line="264" w:lineRule="auto"/>
        <w:rPr>
          <w:rFonts w:ascii="Tahoma" w:eastAsiaTheme="minorHAnsi" w:hAnsi="Tahoma" w:cs="Tahoma"/>
          <w:b/>
          <w:color w:val="FFFFFF" w:themeColor="background1"/>
          <w:sz w:val="20"/>
          <w:shd w:val="clear" w:color="auto" w:fill="171717" w:themeFill="background2" w:themeFillShade="1A"/>
        </w:rPr>
      </w:pPr>
    </w:p>
    <w:p w:rsidR="009242EA" w:rsidRDefault="009242EA" w:rsidP="009242EA">
      <w:pPr>
        <w:pStyle w:val="Heading3"/>
        <w:ind w:left="345" w:hanging="360"/>
      </w:pPr>
    </w:p>
    <w:p w:rsidR="009242EA" w:rsidRDefault="009242EA" w:rsidP="009242EA">
      <w:pPr>
        <w:pStyle w:val="Heading3"/>
        <w:ind w:left="345" w:hanging="360"/>
      </w:pPr>
    </w:p>
    <w:p w:rsidR="009242EA" w:rsidRDefault="009242EA" w:rsidP="009242EA">
      <w:pPr>
        <w:pStyle w:val="PlainText"/>
        <w:rPr>
          <w:rFonts w:ascii="Tahoma" w:hAnsi="Tahoma" w:cs="Tahoma"/>
          <w:sz w:val="20"/>
          <w:szCs w:val="20"/>
        </w:rPr>
      </w:pPr>
      <w:r>
        <w:rPr>
          <w:rFonts w:ascii="Tahoma" w:hAnsi="Tahoma" w:cs="Tahoma"/>
          <w:sz w:val="20"/>
          <w:szCs w:val="20"/>
        </w:rPr>
        <w:t>Officially NC Department of Public Safety does not calculate recidivism rates.  I</w:t>
      </w:r>
      <w:r>
        <w:t xml:space="preserve">t’s statutorily required of the NC Sentencing Commission, </w:t>
      </w:r>
      <w:r>
        <w:t xml:space="preserve">NC Sentencing and Policy Advisory Commission.  </w:t>
      </w:r>
      <w:r>
        <w:rPr>
          <w:rFonts w:ascii="Tahoma" w:hAnsi="Tahoma" w:cs="Tahoma"/>
          <w:sz w:val="20"/>
          <w:szCs w:val="20"/>
        </w:rPr>
        <w:t xml:space="preserve"> </w:t>
      </w:r>
      <w:r w:rsidRPr="009242EA">
        <w:rPr>
          <w:rFonts w:ascii="Tahoma" w:hAnsi="Tahoma" w:cs="Tahoma"/>
          <w:sz w:val="20"/>
          <w:szCs w:val="20"/>
        </w:rPr>
        <w:t xml:space="preserve">However, </w:t>
      </w:r>
      <w:r>
        <w:rPr>
          <w:rFonts w:ascii="Tahoma" w:hAnsi="Tahoma" w:cs="Tahoma"/>
          <w:sz w:val="20"/>
          <w:szCs w:val="20"/>
        </w:rPr>
        <w:t xml:space="preserve">we have been in communication with NC Department of Public Safety to ascertain if they can get data on recidivism rates for participants who attended Basic Skills instruction.  They agreed to research ways to calculate a </w:t>
      </w:r>
      <w:r w:rsidRPr="009242EA">
        <w:rPr>
          <w:rFonts w:ascii="Tahoma" w:hAnsi="Tahoma" w:cs="Tahoma"/>
          <w:sz w:val="20"/>
          <w:szCs w:val="20"/>
          <w:u w:val="single"/>
        </w:rPr>
        <w:t>return-to-prison rates</w:t>
      </w:r>
      <w:r>
        <w:rPr>
          <w:rFonts w:ascii="Tahoma" w:hAnsi="Tahoma" w:cs="Tahoma"/>
          <w:sz w:val="20"/>
          <w:szCs w:val="20"/>
        </w:rPr>
        <w:t xml:space="preserve"> on inmates who participated in Basic Skills.</w:t>
      </w:r>
    </w:p>
    <w:p w:rsidR="009242EA" w:rsidRDefault="009242EA" w:rsidP="009242EA">
      <w:pPr>
        <w:pStyle w:val="PlainText"/>
        <w:rPr>
          <w:rFonts w:ascii="Tahoma" w:hAnsi="Tahoma" w:cs="Tahoma"/>
          <w:sz w:val="20"/>
          <w:szCs w:val="20"/>
        </w:rPr>
      </w:pPr>
    </w:p>
    <w:p w:rsidR="0054611A" w:rsidRDefault="0054611A" w:rsidP="0054611A">
      <w:pPr>
        <w:tabs>
          <w:tab w:val="right" w:pos="9270"/>
        </w:tabs>
        <w:autoSpaceDE w:val="0"/>
        <w:autoSpaceDN w:val="0"/>
        <w:adjustRightInd w:val="0"/>
        <w:spacing w:line="264" w:lineRule="auto"/>
        <w:rPr>
          <w:rFonts w:ascii="Tahoma" w:eastAsiaTheme="minorHAnsi" w:hAnsi="Tahoma" w:cs="Tahoma"/>
          <w:b/>
          <w:color w:val="000000"/>
          <w:sz w:val="20"/>
          <w:u w:val="thick" w:color="BF8F00" w:themeColor="accent4" w:themeShade="BF"/>
        </w:rPr>
      </w:pPr>
    </w:p>
    <w:p w:rsidR="009E4801" w:rsidRPr="00C27456" w:rsidRDefault="009E4801" w:rsidP="0054611A">
      <w:pPr>
        <w:tabs>
          <w:tab w:val="right" w:pos="9270"/>
        </w:tabs>
        <w:autoSpaceDE w:val="0"/>
        <w:autoSpaceDN w:val="0"/>
        <w:adjustRightInd w:val="0"/>
        <w:spacing w:line="264" w:lineRule="auto"/>
        <w:rPr>
          <w:rFonts w:ascii="Tahoma" w:eastAsiaTheme="minorHAnsi" w:hAnsi="Tahoma" w:cs="Tahoma"/>
          <w:b/>
          <w:color w:val="000000"/>
          <w:sz w:val="20"/>
          <w:u w:val="thick" w:color="BF8F00" w:themeColor="accent4" w:themeShade="BF"/>
        </w:rPr>
      </w:pPr>
      <w:bookmarkStart w:id="0" w:name="_GoBack"/>
      <w:bookmarkEnd w:id="0"/>
    </w:p>
    <w:p w:rsidR="0054611A" w:rsidRPr="00C27456" w:rsidRDefault="0054611A" w:rsidP="0054611A">
      <w:pPr>
        <w:autoSpaceDE w:val="0"/>
        <w:autoSpaceDN w:val="0"/>
        <w:adjustRightInd w:val="0"/>
        <w:spacing w:line="276" w:lineRule="atLeast"/>
        <w:ind w:right="262"/>
        <w:rPr>
          <w:rFonts w:ascii="Tahoma" w:hAnsi="Tahoma" w:cs="Tahoma"/>
          <w:sz w:val="20"/>
        </w:rPr>
      </w:pPr>
    </w:p>
    <w:p w:rsidR="0054611A" w:rsidRPr="00C27456" w:rsidRDefault="0054611A" w:rsidP="0054611A">
      <w:pPr>
        <w:autoSpaceDE w:val="0"/>
        <w:autoSpaceDN w:val="0"/>
        <w:adjustRightInd w:val="0"/>
        <w:spacing w:line="276" w:lineRule="atLeast"/>
        <w:ind w:right="262"/>
        <w:rPr>
          <w:rFonts w:ascii="Tahoma" w:eastAsiaTheme="minorHAnsi" w:hAnsi="Tahoma" w:cs="Tahoma"/>
          <w:color w:val="000000"/>
          <w:sz w:val="20"/>
        </w:rPr>
      </w:pPr>
    </w:p>
    <w:sectPr w:rsidR="0054611A" w:rsidRPr="00C27456" w:rsidSect="00347280">
      <w:headerReference w:type="default" r:id="rId9"/>
      <w:pgSz w:w="12240" w:h="15840"/>
      <w:pgMar w:top="1530" w:right="1080" w:bottom="12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92" w:rsidRDefault="00D92B92" w:rsidP="00145B72">
      <w:r>
        <w:separator/>
      </w:r>
    </w:p>
  </w:endnote>
  <w:endnote w:type="continuationSeparator" w:id="0">
    <w:p w:rsidR="00D92B92" w:rsidRDefault="00D92B92" w:rsidP="0014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92" w:rsidRDefault="00D92B92" w:rsidP="00145B72">
      <w:r>
        <w:separator/>
      </w:r>
    </w:p>
  </w:footnote>
  <w:footnote w:type="continuationSeparator" w:id="0">
    <w:p w:rsidR="00D92B92" w:rsidRDefault="00D92B92" w:rsidP="0014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50" w:rsidRDefault="00BD6150" w:rsidP="00145B72">
    <w:pPr>
      <w:pStyle w:val="Header"/>
      <w:jc w:val="right"/>
      <w:rPr>
        <w:rFonts w:ascii="Tahoma" w:hAnsi="Tahoma" w:cs="Tahoma"/>
        <w:bCs/>
        <w:sz w:val="18"/>
        <w:szCs w:val="18"/>
      </w:rPr>
    </w:pPr>
    <w:r w:rsidRPr="00872E91">
      <w:rPr>
        <w:rFonts w:ascii="Tahoma" w:hAnsi="Tahoma" w:cs="Tahoma"/>
        <w:sz w:val="18"/>
        <w:szCs w:val="18"/>
      </w:rPr>
      <w:t xml:space="preserve">Page </w:t>
    </w:r>
    <w:r w:rsidRPr="00872E91">
      <w:rPr>
        <w:rFonts w:ascii="Tahoma" w:hAnsi="Tahoma" w:cs="Tahoma"/>
        <w:bCs/>
        <w:sz w:val="18"/>
        <w:szCs w:val="18"/>
      </w:rPr>
      <w:fldChar w:fldCharType="begin"/>
    </w:r>
    <w:r w:rsidRPr="00872E91">
      <w:rPr>
        <w:rFonts w:ascii="Tahoma" w:hAnsi="Tahoma" w:cs="Tahoma"/>
        <w:bCs/>
        <w:sz w:val="18"/>
        <w:szCs w:val="18"/>
      </w:rPr>
      <w:instrText xml:space="preserve"> PAGE  \* Arabic  \* MERGEFORMAT </w:instrText>
    </w:r>
    <w:r w:rsidRPr="00872E91">
      <w:rPr>
        <w:rFonts w:ascii="Tahoma" w:hAnsi="Tahoma" w:cs="Tahoma"/>
        <w:bCs/>
        <w:sz w:val="18"/>
        <w:szCs w:val="18"/>
      </w:rPr>
      <w:fldChar w:fldCharType="separate"/>
    </w:r>
    <w:r w:rsidR="009E4801">
      <w:rPr>
        <w:rFonts w:ascii="Tahoma" w:hAnsi="Tahoma" w:cs="Tahoma"/>
        <w:bCs/>
        <w:noProof/>
        <w:sz w:val="18"/>
        <w:szCs w:val="18"/>
      </w:rPr>
      <w:t>6</w:t>
    </w:r>
    <w:r w:rsidRPr="00872E91">
      <w:rPr>
        <w:rFonts w:ascii="Tahoma" w:hAnsi="Tahoma" w:cs="Tahoma"/>
        <w:bCs/>
        <w:sz w:val="18"/>
        <w:szCs w:val="18"/>
      </w:rPr>
      <w:fldChar w:fldCharType="end"/>
    </w:r>
    <w:r w:rsidRPr="00872E91">
      <w:rPr>
        <w:rFonts w:ascii="Tahoma" w:hAnsi="Tahoma" w:cs="Tahoma"/>
        <w:sz w:val="18"/>
        <w:szCs w:val="18"/>
      </w:rPr>
      <w:t xml:space="preserve"> of </w:t>
    </w:r>
    <w:r w:rsidR="00D92B92">
      <w:fldChar w:fldCharType="begin"/>
    </w:r>
    <w:r w:rsidR="00D92B92">
      <w:instrText xml:space="preserve"> NUMPAGES  \* Arabic  \* MERGEFORMAT </w:instrText>
    </w:r>
    <w:r w:rsidR="00D92B92">
      <w:fldChar w:fldCharType="separate"/>
    </w:r>
    <w:r w:rsidR="009E4801" w:rsidRPr="009E4801">
      <w:rPr>
        <w:rFonts w:ascii="Tahoma" w:hAnsi="Tahoma" w:cs="Tahoma"/>
        <w:bCs/>
        <w:noProof/>
        <w:sz w:val="18"/>
        <w:szCs w:val="18"/>
      </w:rPr>
      <w:t>6</w:t>
    </w:r>
    <w:r w:rsidR="00D92B92">
      <w:rPr>
        <w:rFonts w:ascii="Tahoma" w:hAnsi="Tahoma" w:cs="Tahoma"/>
        <w:bCs/>
        <w:noProof/>
        <w:sz w:val="18"/>
        <w:szCs w:val="18"/>
      </w:rPr>
      <w:fldChar w:fldCharType="end"/>
    </w:r>
  </w:p>
  <w:p w:rsidR="00BD6150" w:rsidRDefault="00BD6150" w:rsidP="00872E91">
    <w:pPr>
      <w:pStyle w:val="Header"/>
      <w:jc w:val="center"/>
      <w:rPr>
        <w:rFonts w:ascii="Tahoma" w:hAnsi="Tahoma" w:cs="Tahoma"/>
        <w:bCs/>
        <w:sz w:val="18"/>
        <w:szCs w:val="18"/>
      </w:rPr>
    </w:pPr>
    <w:r>
      <w:rPr>
        <w:rFonts w:ascii="Tahoma" w:hAnsi="Tahoma" w:cs="Tahoma"/>
        <w:bCs/>
        <w:sz w:val="18"/>
        <w:szCs w:val="18"/>
      </w:rPr>
      <w:t xml:space="preserve">North Carolina </w:t>
    </w:r>
  </w:p>
  <w:p w:rsidR="00BD6150" w:rsidRDefault="00BD6150" w:rsidP="00872E91">
    <w:pPr>
      <w:pStyle w:val="Header"/>
      <w:jc w:val="center"/>
      <w:rPr>
        <w:rFonts w:ascii="Tahoma" w:hAnsi="Tahoma" w:cs="Tahoma"/>
        <w:bCs/>
        <w:sz w:val="18"/>
        <w:szCs w:val="18"/>
      </w:rPr>
    </w:pPr>
    <w:r>
      <w:rPr>
        <w:rFonts w:ascii="Tahoma" w:hAnsi="Tahoma" w:cs="Tahoma"/>
        <w:bCs/>
        <w:sz w:val="18"/>
        <w:szCs w:val="18"/>
      </w:rPr>
      <w:t>201</w:t>
    </w:r>
    <w:r w:rsidR="00513CD4">
      <w:rPr>
        <w:rFonts w:ascii="Tahoma" w:hAnsi="Tahoma" w:cs="Tahoma"/>
        <w:bCs/>
        <w:sz w:val="18"/>
        <w:szCs w:val="18"/>
      </w:rPr>
      <w:t>5</w:t>
    </w:r>
    <w:r>
      <w:rPr>
        <w:rFonts w:ascii="Tahoma" w:hAnsi="Tahoma" w:cs="Tahoma"/>
        <w:bCs/>
        <w:sz w:val="18"/>
        <w:szCs w:val="18"/>
      </w:rPr>
      <w:t xml:space="preserve"> – 201</w:t>
    </w:r>
    <w:r w:rsidR="00513CD4">
      <w:rPr>
        <w:rFonts w:ascii="Tahoma" w:hAnsi="Tahoma" w:cs="Tahoma"/>
        <w:bCs/>
        <w:sz w:val="18"/>
        <w:szCs w:val="18"/>
      </w:rPr>
      <w:t>6</w:t>
    </w:r>
    <w:r>
      <w:rPr>
        <w:rFonts w:ascii="Tahoma" w:hAnsi="Tahoma" w:cs="Tahoma"/>
        <w:bCs/>
        <w:sz w:val="18"/>
        <w:szCs w:val="18"/>
      </w:rPr>
      <w:t xml:space="preserve"> Narrative Report </w:t>
    </w:r>
  </w:p>
  <w:p w:rsidR="00BD6150" w:rsidRPr="00872E91" w:rsidRDefault="00BD6150" w:rsidP="00872E91">
    <w:pPr>
      <w:pStyle w:val="Header"/>
      <w:rPr>
        <w:rFonts w:ascii="Tahoma" w:hAnsi="Tahoma" w:cs="Tahoma"/>
        <w:sz w:val="18"/>
        <w:szCs w:val="18"/>
        <w:u w:val="single"/>
      </w:rPr>
    </w:pPr>
    <w:r>
      <w:rPr>
        <w:rFonts w:ascii="Tahoma" w:hAnsi="Tahoma" w:cs="Tahoma"/>
        <w:bCs/>
        <w:sz w:val="18"/>
        <w:szCs w:val="18"/>
        <w:u w:val="single"/>
      </w:rPr>
      <w:tab/>
    </w:r>
    <w:r>
      <w:rPr>
        <w:rFonts w:ascii="Tahoma" w:hAnsi="Tahoma" w:cs="Tahoma"/>
        <w:bCs/>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CDC"/>
    <w:multiLevelType w:val="hybridMultilevel"/>
    <w:tmpl w:val="41142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932"/>
    <w:multiLevelType w:val="hybridMultilevel"/>
    <w:tmpl w:val="E486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6E60"/>
    <w:multiLevelType w:val="hybridMultilevel"/>
    <w:tmpl w:val="3642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39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01129F"/>
    <w:multiLevelType w:val="hybridMultilevel"/>
    <w:tmpl w:val="0A1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06C19"/>
    <w:multiLevelType w:val="hybridMultilevel"/>
    <w:tmpl w:val="C87232A2"/>
    <w:lvl w:ilvl="0" w:tplc="745ED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0A408C"/>
    <w:multiLevelType w:val="hybridMultilevel"/>
    <w:tmpl w:val="037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504A3"/>
    <w:multiLevelType w:val="hybridMultilevel"/>
    <w:tmpl w:val="38CE95BA"/>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1001A67"/>
    <w:multiLevelType w:val="hybridMultilevel"/>
    <w:tmpl w:val="2A58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2634"/>
    <w:multiLevelType w:val="hybridMultilevel"/>
    <w:tmpl w:val="E586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06BF2"/>
    <w:multiLevelType w:val="hybridMultilevel"/>
    <w:tmpl w:val="9176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D67F3"/>
    <w:multiLevelType w:val="hybridMultilevel"/>
    <w:tmpl w:val="2BD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10"/>
  </w:num>
  <w:num w:numId="6">
    <w:abstractNumId w:val="6"/>
  </w:num>
  <w:num w:numId="7">
    <w:abstractNumId w:val="11"/>
  </w:num>
  <w:num w:numId="8">
    <w:abstractNumId w:val="4"/>
  </w:num>
  <w:num w:numId="9">
    <w:abstractNumId w:val="2"/>
  </w:num>
  <w:num w:numId="10">
    <w:abstractNumId w:val="8"/>
  </w:num>
  <w:num w:numId="11">
    <w:abstractNumId w:val="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55"/>
    <w:rsid w:val="00012081"/>
    <w:rsid w:val="00031022"/>
    <w:rsid w:val="00054773"/>
    <w:rsid w:val="00061DD7"/>
    <w:rsid w:val="0007063F"/>
    <w:rsid w:val="00074730"/>
    <w:rsid w:val="000A2921"/>
    <w:rsid w:val="000B28F1"/>
    <w:rsid w:val="000B582F"/>
    <w:rsid w:val="000E70F6"/>
    <w:rsid w:val="000F5A92"/>
    <w:rsid w:val="001068AB"/>
    <w:rsid w:val="00142045"/>
    <w:rsid w:val="00145B72"/>
    <w:rsid w:val="001578DA"/>
    <w:rsid w:val="0016330B"/>
    <w:rsid w:val="00171ED8"/>
    <w:rsid w:val="00176C15"/>
    <w:rsid w:val="00180D9F"/>
    <w:rsid w:val="001A57B7"/>
    <w:rsid w:val="001A5C55"/>
    <w:rsid w:val="001C3E32"/>
    <w:rsid w:val="001C4207"/>
    <w:rsid w:val="001C5132"/>
    <w:rsid w:val="001D56FE"/>
    <w:rsid w:val="001F1D50"/>
    <w:rsid w:val="001F5F4A"/>
    <w:rsid w:val="001F7A65"/>
    <w:rsid w:val="00207807"/>
    <w:rsid w:val="00246EBA"/>
    <w:rsid w:val="00263BFA"/>
    <w:rsid w:val="002838ED"/>
    <w:rsid w:val="002A536B"/>
    <w:rsid w:val="002A6354"/>
    <w:rsid w:val="002B5076"/>
    <w:rsid w:val="002E3C34"/>
    <w:rsid w:val="002E3FE6"/>
    <w:rsid w:val="003310A5"/>
    <w:rsid w:val="00347280"/>
    <w:rsid w:val="00372552"/>
    <w:rsid w:val="00376BF8"/>
    <w:rsid w:val="003D6068"/>
    <w:rsid w:val="003E05C0"/>
    <w:rsid w:val="003E4CBD"/>
    <w:rsid w:val="00403E2D"/>
    <w:rsid w:val="004166E7"/>
    <w:rsid w:val="004307B1"/>
    <w:rsid w:val="00437362"/>
    <w:rsid w:val="00455716"/>
    <w:rsid w:val="00460A1B"/>
    <w:rsid w:val="00476FEA"/>
    <w:rsid w:val="0047714D"/>
    <w:rsid w:val="0048285E"/>
    <w:rsid w:val="004B3911"/>
    <w:rsid w:val="004D38BA"/>
    <w:rsid w:val="004F14DB"/>
    <w:rsid w:val="0050024B"/>
    <w:rsid w:val="00506C90"/>
    <w:rsid w:val="00513CD4"/>
    <w:rsid w:val="00525013"/>
    <w:rsid w:val="00542A5F"/>
    <w:rsid w:val="0054611A"/>
    <w:rsid w:val="005468FE"/>
    <w:rsid w:val="00547749"/>
    <w:rsid w:val="005609B8"/>
    <w:rsid w:val="00562AA9"/>
    <w:rsid w:val="00564281"/>
    <w:rsid w:val="00570330"/>
    <w:rsid w:val="00571AF7"/>
    <w:rsid w:val="005A1E24"/>
    <w:rsid w:val="005B0447"/>
    <w:rsid w:val="005C44EE"/>
    <w:rsid w:val="005C7D1D"/>
    <w:rsid w:val="005E300B"/>
    <w:rsid w:val="005E349C"/>
    <w:rsid w:val="005F03C5"/>
    <w:rsid w:val="005F3F07"/>
    <w:rsid w:val="00603072"/>
    <w:rsid w:val="00604A2D"/>
    <w:rsid w:val="00621CA7"/>
    <w:rsid w:val="0067640C"/>
    <w:rsid w:val="006B5620"/>
    <w:rsid w:val="006B756D"/>
    <w:rsid w:val="006E65CC"/>
    <w:rsid w:val="007067E4"/>
    <w:rsid w:val="007151C7"/>
    <w:rsid w:val="00723BEE"/>
    <w:rsid w:val="0075460D"/>
    <w:rsid w:val="007573F3"/>
    <w:rsid w:val="00772276"/>
    <w:rsid w:val="0078341C"/>
    <w:rsid w:val="00787A64"/>
    <w:rsid w:val="00790A4E"/>
    <w:rsid w:val="007B7B00"/>
    <w:rsid w:val="007C26D0"/>
    <w:rsid w:val="007E3FD4"/>
    <w:rsid w:val="007F69A9"/>
    <w:rsid w:val="00831259"/>
    <w:rsid w:val="00842081"/>
    <w:rsid w:val="0086036D"/>
    <w:rsid w:val="00872E91"/>
    <w:rsid w:val="008C323C"/>
    <w:rsid w:val="008E3843"/>
    <w:rsid w:val="008E5F2A"/>
    <w:rsid w:val="009242EA"/>
    <w:rsid w:val="0092643C"/>
    <w:rsid w:val="00944D83"/>
    <w:rsid w:val="00956369"/>
    <w:rsid w:val="00974E6C"/>
    <w:rsid w:val="0099736D"/>
    <w:rsid w:val="009A7435"/>
    <w:rsid w:val="009A7ABC"/>
    <w:rsid w:val="009B5367"/>
    <w:rsid w:val="009D6EFD"/>
    <w:rsid w:val="009E014F"/>
    <w:rsid w:val="009E4801"/>
    <w:rsid w:val="00A07048"/>
    <w:rsid w:val="00A16DDD"/>
    <w:rsid w:val="00A32281"/>
    <w:rsid w:val="00A373B6"/>
    <w:rsid w:val="00A767FB"/>
    <w:rsid w:val="00AD480B"/>
    <w:rsid w:val="00AE0B91"/>
    <w:rsid w:val="00AE65D3"/>
    <w:rsid w:val="00B10B87"/>
    <w:rsid w:val="00B27D5F"/>
    <w:rsid w:val="00B36E6E"/>
    <w:rsid w:val="00B50618"/>
    <w:rsid w:val="00B57AD8"/>
    <w:rsid w:val="00B83EE4"/>
    <w:rsid w:val="00BA40C9"/>
    <w:rsid w:val="00BA4A60"/>
    <w:rsid w:val="00BB2C89"/>
    <w:rsid w:val="00BD6150"/>
    <w:rsid w:val="00C064A8"/>
    <w:rsid w:val="00C07FE6"/>
    <w:rsid w:val="00C27456"/>
    <w:rsid w:val="00C33712"/>
    <w:rsid w:val="00C418F6"/>
    <w:rsid w:val="00C43A24"/>
    <w:rsid w:val="00C7398E"/>
    <w:rsid w:val="00C804D8"/>
    <w:rsid w:val="00CC1C8A"/>
    <w:rsid w:val="00CC2D1F"/>
    <w:rsid w:val="00CC79A3"/>
    <w:rsid w:val="00CD1234"/>
    <w:rsid w:val="00D01745"/>
    <w:rsid w:val="00D3772B"/>
    <w:rsid w:val="00D40424"/>
    <w:rsid w:val="00D445FB"/>
    <w:rsid w:val="00D70D5A"/>
    <w:rsid w:val="00D92B92"/>
    <w:rsid w:val="00DA1397"/>
    <w:rsid w:val="00DA4731"/>
    <w:rsid w:val="00DB6985"/>
    <w:rsid w:val="00DC0A71"/>
    <w:rsid w:val="00DC1846"/>
    <w:rsid w:val="00DF70BB"/>
    <w:rsid w:val="00E07D71"/>
    <w:rsid w:val="00E10E6A"/>
    <w:rsid w:val="00E165DC"/>
    <w:rsid w:val="00E5338D"/>
    <w:rsid w:val="00E7536B"/>
    <w:rsid w:val="00EA524E"/>
    <w:rsid w:val="00EB663B"/>
    <w:rsid w:val="00EC4BAA"/>
    <w:rsid w:val="00EC60C5"/>
    <w:rsid w:val="00EE4B60"/>
    <w:rsid w:val="00F150B2"/>
    <w:rsid w:val="00F4673F"/>
    <w:rsid w:val="00F46BCF"/>
    <w:rsid w:val="00F66F3E"/>
    <w:rsid w:val="00F6776A"/>
    <w:rsid w:val="00F67E34"/>
    <w:rsid w:val="00F852AF"/>
    <w:rsid w:val="00FC042D"/>
    <w:rsid w:val="00FC63B1"/>
    <w:rsid w:val="00FD26F9"/>
    <w:rsid w:val="00FE7303"/>
    <w:rsid w:val="00FF4BD6"/>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8275"/>
  <w15:docId w15:val="{D98C326C-85C7-4606-9933-9C25F9F0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5C5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831259"/>
    <w:pPr>
      <w:keepNext/>
      <w:outlineLvl w:val="1"/>
    </w:pPr>
    <w:rPr>
      <w:sz w:val="28"/>
    </w:rPr>
  </w:style>
  <w:style w:type="paragraph" w:styleId="Heading3">
    <w:name w:val="heading 3"/>
    <w:basedOn w:val="Normal"/>
    <w:next w:val="Normal"/>
    <w:link w:val="Heading3Char"/>
    <w:uiPriority w:val="9"/>
    <w:semiHidden/>
    <w:unhideWhenUsed/>
    <w:qFormat/>
    <w:rsid w:val="009242E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83125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uiPriority w:val="99"/>
    <w:rsid w:val="001A5C55"/>
    <w:pPr>
      <w:autoSpaceDE w:val="0"/>
      <w:autoSpaceDN w:val="0"/>
    </w:pPr>
    <w:rPr>
      <w:rFonts w:eastAsiaTheme="minorHAnsi"/>
      <w:szCs w:val="24"/>
    </w:rPr>
  </w:style>
  <w:style w:type="paragraph" w:styleId="ListParagraph">
    <w:name w:val="List Paragraph"/>
    <w:basedOn w:val="Normal"/>
    <w:uiPriority w:val="34"/>
    <w:qFormat/>
    <w:rsid w:val="001A5C55"/>
    <w:pPr>
      <w:ind w:left="720"/>
      <w:contextualSpacing/>
    </w:pPr>
    <w:rPr>
      <w:rFonts w:ascii="Calibri" w:eastAsiaTheme="minorHAnsi" w:hAnsi="Calibri"/>
      <w:sz w:val="22"/>
      <w:szCs w:val="22"/>
    </w:rPr>
  </w:style>
  <w:style w:type="table" w:styleId="TableGrid">
    <w:name w:val="Table Grid"/>
    <w:basedOn w:val="TableNormal"/>
    <w:uiPriority w:val="59"/>
    <w:rsid w:val="0003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0B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0A71"/>
    <w:rPr>
      <w:color w:val="0563C1" w:themeColor="hyperlink"/>
      <w:u w:val="single"/>
    </w:rPr>
  </w:style>
  <w:style w:type="paragraph" w:styleId="NoSpacing">
    <w:name w:val="No Spacing"/>
    <w:uiPriority w:val="1"/>
    <w:qFormat/>
    <w:rsid w:val="00542A5F"/>
    <w:pPr>
      <w:spacing w:after="0" w:line="240" w:lineRule="auto"/>
    </w:pPr>
  </w:style>
  <w:style w:type="paragraph" w:styleId="BodyText">
    <w:name w:val="Body Text"/>
    <w:basedOn w:val="Normal"/>
    <w:link w:val="BodyTextChar"/>
    <w:semiHidden/>
    <w:rsid w:val="00542A5F"/>
    <w:pPr>
      <w:spacing w:after="240"/>
      <w:jc w:val="both"/>
    </w:pPr>
    <w:rPr>
      <w:sz w:val="20"/>
    </w:rPr>
  </w:style>
  <w:style w:type="character" w:customStyle="1" w:styleId="BodyTextChar">
    <w:name w:val="Body Text Char"/>
    <w:basedOn w:val="DefaultParagraphFont"/>
    <w:link w:val="BodyText"/>
    <w:semiHidden/>
    <w:rsid w:val="00542A5F"/>
    <w:rPr>
      <w:rFonts w:ascii="Times New Roman" w:eastAsia="Times New Roman" w:hAnsi="Times New Roman" w:cs="Times New Roman"/>
      <w:sz w:val="20"/>
      <w:szCs w:val="20"/>
    </w:rPr>
  </w:style>
  <w:style w:type="paragraph" w:customStyle="1" w:styleId="CM12">
    <w:name w:val="CM12"/>
    <w:basedOn w:val="Default"/>
    <w:next w:val="Default"/>
    <w:uiPriority w:val="99"/>
    <w:rsid w:val="00542A5F"/>
    <w:rPr>
      <w:rFonts w:ascii="Times New Roman" w:hAnsi="Times New Roman" w:cs="Times New Roman"/>
      <w:color w:val="auto"/>
    </w:rPr>
  </w:style>
  <w:style w:type="paragraph" w:customStyle="1" w:styleId="CM9">
    <w:name w:val="CM9"/>
    <w:basedOn w:val="Default"/>
    <w:next w:val="Default"/>
    <w:uiPriority w:val="99"/>
    <w:rsid w:val="00542A5F"/>
    <w:pPr>
      <w:spacing w:line="276" w:lineRule="atLeast"/>
    </w:pPr>
    <w:rPr>
      <w:rFonts w:ascii="Times New Roman" w:hAnsi="Times New Roman" w:cs="Times New Roman"/>
      <w:color w:val="auto"/>
    </w:rPr>
  </w:style>
  <w:style w:type="paragraph" w:styleId="Header">
    <w:name w:val="header"/>
    <w:basedOn w:val="Normal"/>
    <w:link w:val="HeaderChar"/>
    <w:uiPriority w:val="99"/>
    <w:unhideWhenUsed/>
    <w:rsid w:val="00145B72"/>
    <w:pPr>
      <w:tabs>
        <w:tab w:val="center" w:pos="4680"/>
        <w:tab w:val="right" w:pos="9360"/>
      </w:tabs>
    </w:pPr>
  </w:style>
  <w:style w:type="character" w:customStyle="1" w:styleId="HeaderChar">
    <w:name w:val="Header Char"/>
    <w:basedOn w:val="DefaultParagraphFont"/>
    <w:link w:val="Header"/>
    <w:uiPriority w:val="99"/>
    <w:rsid w:val="00145B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5B72"/>
    <w:pPr>
      <w:tabs>
        <w:tab w:val="center" w:pos="4680"/>
        <w:tab w:val="right" w:pos="9360"/>
      </w:tabs>
    </w:pPr>
  </w:style>
  <w:style w:type="character" w:customStyle="1" w:styleId="FooterChar">
    <w:name w:val="Footer Char"/>
    <w:basedOn w:val="DefaultParagraphFont"/>
    <w:link w:val="Footer"/>
    <w:uiPriority w:val="99"/>
    <w:rsid w:val="00145B7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831259"/>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31259"/>
    <w:rPr>
      <w:rFonts w:ascii="Times New Roman" w:eastAsia="Times New Roman" w:hAnsi="Times New Roman" w:cs="Times New Roman"/>
      <w:b/>
      <w:bCs/>
      <w:sz w:val="24"/>
      <w:szCs w:val="20"/>
    </w:rPr>
  </w:style>
  <w:style w:type="paragraph" w:styleId="NormalWeb">
    <w:name w:val="Normal (Web)"/>
    <w:basedOn w:val="Normal"/>
    <w:uiPriority w:val="99"/>
    <w:unhideWhenUsed/>
    <w:rsid w:val="00F46BCF"/>
    <w:pPr>
      <w:spacing w:before="100" w:beforeAutospacing="1" w:after="100" w:afterAutospacing="1"/>
      <w:jc w:val="both"/>
    </w:pPr>
    <w:rPr>
      <w:szCs w:val="24"/>
    </w:rPr>
  </w:style>
  <w:style w:type="character" w:styleId="Strong">
    <w:name w:val="Strong"/>
    <w:basedOn w:val="DefaultParagraphFont"/>
    <w:uiPriority w:val="22"/>
    <w:qFormat/>
    <w:rsid w:val="000F5A92"/>
    <w:rPr>
      <w:b/>
      <w:bCs/>
    </w:rPr>
  </w:style>
  <w:style w:type="character" w:styleId="Emphasis">
    <w:name w:val="Emphasis"/>
    <w:basedOn w:val="DefaultParagraphFont"/>
    <w:uiPriority w:val="20"/>
    <w:qFormat/>
    <w:rsid w:val="000F5A92"/>
    <w:rPr>
      <w:i/>
      <w:iCs/>
    </w:rPr>
  </w:style>
  <w:style w:type="paragraph" w:styleId="BalloonText">
    <w:name w:val="Balloon Text"/>
    <w:basedOn w:val="Normal"/>
    <w:link w:val="BalloonTextChar"/>
    <w:uiPriority w:val="99"/>
    <w:semiHidden/>
    <w:unhideWhenUsed/>
    <w:rsid w:val="00455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1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9242EA"/>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9242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242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9891">
      <w:bodyDiv w:val="1"/>
      <w:marLeft w:val="0"/>
      <w:marRight w:val="0"/>
      <w:marTop w:val="0"/>
      <w:marBottom w:val="0"/>
      <w:divBdr>
        <w:top w:val="none" w:sz="0" w:space="0" w:color="auto"/>
        <w:left w:val="none" w:sz="0" w:space="0" w:color="auto"/>
        <w:bottom w:val="none" w:sz="0" w:space="0" w:color="auto"/>
        <w:right w:val="none" w:sz="0" w:space="0" w:color="auto"/>
      </w:divBdr>
    </w:div>
    <w:div w:id="338121425">
      <w:bodyDiv w:val="1"/>
      <w:marLeft w:val="0"/>
      <w:marRight w:val="0"/>
      <w:marTop w:val="0"/>
      <w:marBottom w:val="0"/>
      <w:divBdr>
        <w:top w:val="none" w:sz="0" w:space="0" w:color="auto"/>
        <w:left w:val="none" w:sz="0" w:space="0" w:color="auto"/>
        <w:bottom w:val="none" w:sz="0" w:space="0" w:color="auto"/>
        <w:right w:val="none" w:sz="0" w:space="0" w:color="auto"/>
      </w:divBdr>
    </w:div>
    <w:div w:id="426117340">
      <w:bodyDiv w:val="1"/>
      <w:marLeft w:val="0"/>
      <w:marRight w:val="0"/>
      <w:marTop w:val="0"/>
      <w:marBottom w:val="0"/>
      <w:divBdr>
        <w:top w:val="none" w:sz="0" w:space="0" w:color="auto"/>
        <w:left w:val="none" w:sz="0" w:space="0" w:color="auto"/>
        <w:bottom w:val="none" w:sz="0" w:space="0" w:color="auto"/>
        <w:right w:val="none" w:sz="0" w:space="0" w:color="auto"/>
      </w:divBdr>
    </w:div>
    <w:div w:id="555549433">
      <w:bodyDiv w:val="1"/>
      <w:marLeft w:val="0"/>
      <w:marRight w:val="0"/>
      <w:marTop w:val="0"/>
      <w:marBottom w:val="0"/>
      <w:divBdr>
        <w:top w:val="none" w:sz="0" w:space="0" w:color="auto"/>
        <w:left w:val="none" w:sz="0" w:space="0" w:color="auto"/>
        <w:bottom w:val="none" w:sz="0" w:space="0" w:color="auto"/>
        <w:right w:val="none" w:sz="0" w:space="0" w:color="auto"/>
      </w:divBdr>
    </w:div>
    <w:div w:id="572088636">
      <w:bodyDiv w:val="1"/>
      <w:marLeft w:val="0"/>
      <w:marRight w:val="0"/>
      <w:marTop w:val="0"/>
      <w:marBottom w:val="0"/>
      <w:divBdr>
        <w:top w:val="none" w:sz="0" w:space="0" w:color="auto"/>
        <w:left w:val="none" w:sz="0" w:space="0" w:color="auto"/>
        <w:bottom w:val="none" w:sz="0" w:space="0" w:color="auto"/>
        <w:right w:val="none" w:sz="0" w:space="0" w:color="auto"/>
      </w:divBdr>
    </w:div>
    <w:div w:id="593519334">
      <w:bodyDiv w:val="1"/>
      <w:marLeft w:val="0"/>
      <w:marRight w:val="0"/>
      <w:marTop w:val="0"/>
      <w:marBottom w:val="0"/>
      <w:divBdr>
        <w:top w:val="none" w:sz="0" w:space="0" w:color="auto"/>
        <w:left w:val="none" w:sz="0" w:space="0" w:color="auto"/>
        <w:bottom w:val="none" w:sz="0" w:space="0" w:color="auto"/>
        <w:right w:val="none" w:sz="0" w:space="0" w:color="auto"/>
      </w:divBdr>
    </w:div>
    <w:div w:id="750662749">
      <w:bodyDiv w:val="1"/>
      <w:marLeft w:val="0"/>
      <w:marRight w:val="0"/>
      <w:marTop w:val="0"/>
      <w:marBottom w:val="0"/>
      <w:divBdr>
        <w:top w:val="none" w:sz="0" w:space="0" w:color="auto"/>
        <w:left w:val="none" w:sz="0" w:space="0" w:color="auto"/>
        <w:bottom w:val="none" w:sz="0" w:space="0" w:color="auto"/>
        <w:right w:val="none" w:sz="0" w:space="0" w:color="auto"/>
      </w:divBdr>
    </w:div>
    <w:div w:id="1307540677">
      <w:bodyDiv w:val="1"/>
      <w:marLeft w:val="0"/>
      <w:marRight w:val="0"/>
      <w:marTop w:val="0"/>
      <w:marBottom w:val="0"/>
      <w:divBdr>
        <w:top w:val="none" w:sz="0" w:space="0" w:color="auto"/>
        <w:left w:val="none" w:sz="0" w:space="0" w:color="auto"/>
        <w:bottom w:val="none" w:sz="0" w:space="0" w:color="auto"/>
        <w:right w:val="none" w:sz="0" w:space="0" w:color="auto"/>
      </w:divBdr>
    </w:div>
    <w:div w:id="1683119991">
      <w:bodyDiv w:val="1"/>
      <w:marLeft w:val="0"/>
      <w:marRight w:val="0"/>
      <w:marTop w:val="0"/>
      <w:marBottom w:val="0"/>
      <w:divBdr>
        <w:top w:val="none" w:sz="0" w:space="0" w:color="auto"/>
        <w:left w:val="none" w:sz="0" w:space="0" w:color="auto"/>
        <w:bottom w:val="none" w:sz="0" w:space="0" w:color="auto"/>
        <w:right w:val="none" w:sz="0" w:space="0" w:color="auto"/>
      </w:divBdr>
    </w:div>
    <w:div w:id="1700662867">
      <w:bodyDiv w:val="1"/>
      <w:marLeft w:val="0"/>
      <w:marRight w:val="0"/>
      <w:marTop w:val="0"/>
      <w:marBottom w:val="0"/>
      <w:divBdr>
        <w:top w:val="none" w:sz="0" w:space="0" w:color="auto"/>
        <w:left w:val="none" w:sz="0" w:space="0" w:color="auto"/>
        <w:bottom w:val="none" w:sz="0" w:space="0" w:color="auto"/>
        <w:right w:val="none" w:sz="0" w:space="0" w:color="auto"/>
      </w:divBdr>
    </w:div>
    <w:div w:id="1792285439">
      <w:bodyDiv w:val="1"/>
      <w:marLeft w:val="0"/>
      <w:marRight w:val="0"/>
      <w:marTop w:val="0"/>
      <w:marBottom w:val="0"/>
      <w:divBdr>
        <w:top w:val="none" w:sz="0" w:space="0" w:color="auto"/>
        <w:left w:val="none" w:sz="0" w:space="0" w:color="auto"/>
        <w:bottom w:val="none" w:sz="0" w:space="0" w:color="auto"/>
        <w:right w:val="none" w:sz="0" w:space="0" w:color="auto"/>
      </w:divBdr>
    </w:div>
    <w:div w:id="1863081349">
      <w:bodyDiv w:val="1"/>
      <w:marLeft w:val="0"/>
      <w:marRight w:val="0"/>
      <w:marTop w:val="0"/>
      <w:marBottom w:val="0"/>
      <w:divBdr>
        <w:top w:val="none" w:sz="0" w:space="0" w:color="auto"/>
        <w:left w:val="none" w:sz="0" w:space="0" w:color="auto"/>
        <w:bottom w:val="none" w:sz="0" w:space="0" w:color="auto"/>
        <w:right w:val="none" w:sz="0" w:space="0" w:color="auto"/>
      </w:divBdr>
    </w:div>
    <w:div w:id="2025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Educational</a:t>
            </a:r>
            <a:r>
              <a:rPr lang="en-US" baseline="0"/>
              <a:t> Gains by Educational Functioning Level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2012-13</c:v>
                </c:pt>
              </c:strCache>
            </c:strRef>
          </c:tx>
          <c:spPr>
            <a:solidFill>
              <a:schemeClr val="accent1"/>
            </a:solidFill>
            <a:ln>
              <a:noFill/>
            </a:ln>
            <a:effectLst/>
          </c:spPr>
          <c:invertIfNegative val="0"/>
          <c:cat>
            <c:strRef>
              <c:f>Sheet1!$A$2:$A$12</c:f>
              <c:strCache>
                <c:ptCount val="11"/>
                <c:pt idx="0">
                  <c:v>ABE Beginning Literacy</c:v>
                </c:pt>
                <c:pt idx="1">
                  <c:v>ABE Beginning Basic Education</c:v>
                </c:pt>
                <c:pt idx="2">
                  <c:v>ABE Intermediate Low</c:v>
                </c:pt>
                <c:pt idx="3">
                  <c:v>ABE Intermediate High</c:v>
                </c:pt>
                <c:pt idx="4">
                  <c:v>ASE Low</c:v>
                </c:pt>
                <c:pt idx="5">
                  <c:v>ESL Beginning Literacy</c:v>
                </c:pt>
                <c:pt idx="6">
                  <c:v>ESL Low Beginning</c:v>
                </c:pt>
                <c:pt idx="7">
                  <c:v>ESL High Beginning</c:v>
                </c:pt>
                <c:pt idx="8">
                  <c:v>ESL Intermediate Low</c:v>
                </c:pt>
                <c:pt idx="9">
                  <c:v>ESL Intermediate High</c:v>
                </c:pt>
                <c:pt idx="10">
                  <c:v>ESL Advanced</c:v>
                </c:pt>
              </c:strCache>
            </c:strRef>
          </c:cat>
          <c:val>
            <c:numRef>
              <c:f>Sheet1!$B$2:$B$12</c:f>
              <c:numCache>
                <c:formatCode>0%</c:formatCode>
                <c:ptCount val="11"/>
                <c:pt idx="0">
                  <c:v>0.17</c:v>
                </c:pt>
                <c:pt idx="1">
                  <c:v>0.32</c:v>
                </c:pt>
                <c:pt idx="2">
                  <c:v>0.33</c:v>
                </c:pt>
                <c:pt idx="3">
                  <c:v>0.32</c:v>
                </c:pt>
                <c:pt idx="4">
                  <c:v>0.2</c:v>
                </c:pt>
                <c:pt idx="5">
                  <c:v>0.3</c:v>
                </c:pt>
                <c:pt idx="6">
                  <c:v>0.33</c:v>
                </c:pt>
                <c:pt idx="7">
                  <c:v>0.35</c:v>
                </c:pt>
                <c:pt idx="8">
                  <c:v>0.27</c:v>
                </c:pt>
                <c:pt idx="9">
                  <c:v>0.26</c:v>
                </c:pt>
                <c:pt idx="10">
                  <c:v>0.11</c:v>
                </c:pt>
              </c:numCache>
            </c:numRef>
          </c:val>
          <c:extLst>
            <c:ext xmlns:c16="http://schemas.microsoft.com/office/drawing/2014/chart" uri="{C3380CC4-5D6E-409C-BE32-E72D297353CC}">
              <c16:uniqueId val="{00000000-8998-45F0-A5C6-A5D92B57A192}"/>
            </c:ext>
          </c:extLst>
        </c:ser>
        <c:ser>
          <c:idx val="1"/>
          <c:order val="1"/>
          <c:tx>
            <c:strRef>
              <c:f>Sheet1!$C$1</c:f>
              <c:strCache>
                <c:ptCount val="1"/>
                <c:pt idx="0">
                  <c:v>2013-14</c:v>
                </c:pt>
              </c:strCache>
            </c:strRef>
          </c:tx>
          <c:spPr>
            <a:solidFill>
              <a:schemeClr val="accent2"/>
            </a:solidFill>
            <a:ln>
              <a:noFill/>
            </a:ln>
            <a:effectLst/>
          </c:spPr>
          <c:invertIfNegative val="0"/>
          <c:cat>
            <c:strRef>
              <c:f>Sheet1!$A$2:$A$12</c:f>
              <c:strCache>
                <c:ptCount val="11"/>
                <c:pt idx="0">
                  <c:v>ABE Beginning Literacy</c:v>
                </c:pt>
                <c:pt idx="1">
                  <c:v>ABE Beginning Basic Education</c:v>
                </c:pt>
                <c:pt idx="2">
                  <c:v>ABE Intermediate Low</c:v>
                </c:pt>
                <c:pt idx="3">
                  <c:v>ABE Intermediate High</c:v>
                </c:pt>
                <c:pt idx="4">
                  <c:v>ASE Low</c:v>
                </c:pt>
                <c:pt idx="5">
                  <c:v>ESL Beginning Literacy</c:v>
                </c:pt>
                <c:pt idx="6">
                  <c:v>ESL Low Beginning</c:v>
                </c:pt>
                <c:pt idx="7">
                  <c:v>ESL High Beginning</c:v>
                </c:pt>
                <c:pt idx="8">
                  <c:v>ESL Intermediate Low</c:v>
                </c:pt>
                <c:pt idx="9">
                  <c:v>ESL Intermediate High</c:v>
                </c:pt>
                <c:pt idx="10">
                  <c:v>ESL Advanced</c:v>
                </c:pt>
              </c:strCache>
            </c:strRef>
          </c:cat>
          <c:val>
            <c:numRef>
              <c:f>Sheet1!$C$2:$C$12</c:f>
              <c:numCache>
                <c:formatCode>0%</c:formatCode>
                <c:ptCount val="11"/>
                <c:pt idx="0">
                  <c:v>0.18</c:v>
                </c:pt>
                <c:pt idx="1">
                  <c:v>0.35</c:v>
                </c:pt>
                <c:pt idx="2">
                  <c:v>0.36</c:v>
                </c:pt>
                <c:pt idx="3">
                  <c:v>0.34</c:v>
                </c:pt>
                <c:pt idx="4">
                  <c:v>0.28000000000000003</c:v>
                </c:pt>
                <c:pt idx="5">
                  <c:v>0.32</c:v>
                </c:pt>
                <c:pt idx="6">
                  <c:v>0.4</c:v>
                </c:pt>
                <c:pt idx="7">
                  <c:v>0.38</c:v>
                </c:pt>
                <c:pt idx="8">
                  <c:v>0.31</c:v>
                </c:pt>
                <c:pt idx="9">
                  <c:v>0.28999999999999998</c:v>
                </c:pt>
                <c:pt idx="10">
                  <c:v>0.14000000000000001</c:v>
                </c:pt>
              </c:numCache>
            </c:numRef>
          </c:val>
          <c:extLst>
            <c:ext xmlns:c16="http://schemas.microsoft.com/office/drawing/2014/chart" uri="{C3380CC4-5D6E-409C-BE32-E72D297353CC}">
              <c16:uniqueId val="{00000001-8998-45F0-A5C6-A5D92B57A192}"/>
            </c:ext>
          </c:extLst>
        </c:ser>
        <c:ser>
          <c:idx val="2"/>
          <c:order val="2"/>
          <c:tx>
            <c:strRef>
              <c:f>Sheet1!$D$1</c:f>
              <c:strCache>
                <c:ptCount val="1"/>
                <c:pt idx="0">
                  <c:v>2014-15</c:v>
                </c:pt>
              </c:strCache>
            </c:strRef>
          </c:tx>
          <c:spPr>
            <a:solidFill>
              <a:schemeClr val="accent3"/>
            </a:solidFill>
            <a:ln>
              <a:noFill/>
            </a:ln>
            <a:effectLst/>
          </c:spPr>
          <c:invertIfNegative val="0"/>
          <c:cat>
            <c:strRef>
              <c:f>Sheet1!$A$2:$A$12</c:f>
              <c:strCache>
                <c:ptCount val="11"/>
                <c:pt idx="0">
                  <c:v>ABE Beginning Literacy</c:v>
                </c:pt>
                <c:pt idx="1">
                  <c:v>ABE Beginning Basic Education</c:v>
                </c:pt>
                <c:pt idx="2">
                  <c:v>ABE Intermediate Low</c:v>
                </c:pt>
                <c:pt idx="3">
                  <c:v>ABE Intermediate High</c:v>
                </c:pt>
                <c:pt idx="4">
                  <c:v>ASE Low</c:v>
                </c:pt>
                <c:pt idx="5">
                  <c:v>ESL Beginning Literacy</c:v>
                </c:pt>
                <c:pt idx="6">
                  <c:v>ESL Low Beginning</c:v>
                </c:pt>
                <c:pt idx="7">
                  <c:v>ESL High Beginning</c:v>
                </c:pt>
                <c:pt idx="8">
                  <c:v>ESL Intermediate Low</c:v>
                </c:pt>
                <c:pt idx="9">
                  <c:v>ESL Intermediate High</c:v>
                </c:pt>
                <c:pt idx="10">
                  <c:v>ESL Advanced</c:v>
                </c:pt>
              </c:strCache>
            </c:strRef>
          </c:cat>
          <c:val>
            <c:numRef>
              <c:f>Sheet1!$D$2:$D$12</c:f>
              <c:numCache>
                <c:formatCode>0%</c:formatCode>
                <c:ptCount val="11"/>
                <c:pt idx="0">
                  <c:v>0.19</c:v>
                </c:pt>
                <c:pt idx="1">
                  <c:v>0.34</c:v>
                </c:pt>
                <c:pt idx="2">
                  <c:v>0.34</c:v>
                </c:pt>
                <c:pt idx="3">
                  <c:v>0.32</c:v>
                </c:pt>
                <c:pt idx="4">
                  <c:v>0.31</c:v>
                </c:pt>
                <c:pt idx="5">
                  <c:v>0.36</c:v>
                </c:pt>
                <c:pt idx="6">
                  <c:v>0.38</c:v>
                </c:pt>
                <c:pt idx="7">
                  <c:v>0.38</c:v>
                </c:pt>
                <c:pt idx="8">
                  <c:v>0.32</c:v>
                </c:pt>
                <c:pt idx="9">
                  <c:v>0.3</c:v>
                </c:pt>
                <c:pt idx="10">
                  <c:v>0.18</c:v>
                </c:pt>
              </c:numCache>
            </c:numRef>
          </c:val>
          <c:extLst>
            <c:ext xmlns:c16="http://schemas.microsoft.com/office/drawing/2014/chart" uri="{C3380CC4-5D6E-409C-BE32-E72D297353CC}">
              <c16:uniqueId val="{00000002-8998-45F0-A5C6-A5D92B57A192}"/>
            </c:ext>
          </c:extLst>
        </c:ser>
        <c:ser>
          <c:idx val="3"/>
          <c:order val="3"/>
          <c:tx>
            <c:strRef>
              <c:f>Sheet1!$E$1</c:f>
              <c:strCache>
                <c:ptCount val="1"/>
                <c:pt idx="0">
                  <c:v>2015-16</c:v>
                </c:pt>
              </c:strCache>
            </c:strRef>
          </c:tx>
          <c:spPr>
            <a:solidFill>
              <a:schemeClr val="accent4"/>
            </a:solidFill>
            <a:ln>
              <a:noFill/>
            </a:ln>
            <a:effectLst/>
          </c:spPr>
          <c:invertIfNegative val="0"/>
          <c:cat>
            <c:strRef>
              <c:f>Sheet1!$A$2:$A$12</c:f>
              <c:strCache>
                <c:ptCount val="11"/>
                <c:pt idx="0">
                  <c:v>ABE Beginning Literacy</c:v>
                </c:pt>
                <c:pt idx="1">
                  <c:v>ABE Beginning Basic Education</c:v>
                </c:pt>
                <c:pt idx="2">
                  <c:v>ABE Intermediate Low</c:v>
                </c:pt>
                <c:pt idx="3">
                  <c:v>ABE Intermediate High</c:v>
                </c:pt>
                <c:pt idx="4">
                  <c:v>ASE Low</c:v>
                </c:pt>
                <c:pt idx="5">
                  <c:v>ESL Beginning Literacy</c:v>
                </c:pt>
                <c:pt idx="6">
                  <c:v>ESL Low Beginning</c:v>
                </c:pt>
                <c:pt idx="7">
                  <c:v>ESL High Beginning</c:v>
                </c:pt>
                <c:pt idx="8">
                  <c:v>ESL Intermediate Low</c:v>
                </c:pt>
                <c:pt idx="9">
                  <c:v>ESL Intermediate High</c:v>
                </c:pt>
                <c:pt idx="10">
                  <c:v>ESL Advanced</c:v>
                </c:pt>
              </c:strCache>
            </c:strRef>
          </c:cat>
          <c:val>
            <c:numRef>
              <c:f>Sheet1!$E$2:$E$12</c:f>
              <c:numCache>
                <c:formatCode>0%</c:formatCode>
                <c:ptCount val="11"/>
                <c:pt idx="0">
                  <c:v>0.2</c:v>
                </c:pt>
                <c:pt idx="1">
                  <c:v>0.36</c:v>
                </c:pt>
                <c:pt idx="2">
                  <c:v>0.35</c:v>
                </c:pt>
                <c:pt idx="3">
                  <c:v>0.34</c:v>
                </c:pt>
                <c:pt idx="4">
                  <c:v>0.35</c:v>
                </c:pt>
                <c:pt idx="5">
                  <c:v>0.37</c:v>
                </c:pt>
                <c:pt idx="6">
                  <c:v>0.4</c:v>
                </c:pt>
                <c:pt idx="7">
                  <c:v>0.41</c:v>
                </c:pt>
                <c:pt idx="8">
                  <c:v>0.34</c:v>
                </c:pt>
                <c:pt idx="9">
                  <c:v>0.33</c:v>
                </c:pt>
                <c:pt idx="10">
                  <c:v>0.21</c:v>
                </c:pt>
              </c:numCache>
            </c:numRef>
          </c:val>
          <c:extLst>
            <c:ext xmlns:c16="http://schemas.microsoft.com/office/drawing/2014/chart" uri="{C3380CC4-5D6E-409C-BE32-E72D297353CC}">
              <c16:uniqueId val="{00000003-8998-45F0-A5C6-A5D92B57A192}"/>
            </c:ext>
          </c:extLst>
        </c:ser>
        <c:dLbls>
          <c:showLegendKey val="0"/>
          <c:showVal val="0"/>
          <c:showCatName val="0"/>
          <c:showSerName val="0"/>
          <c:showPercent val="0"/>
          <c:showBubbleSize val="0"/>
        </c:dLbls>
        <c:gapWidth val="219"/>
        <c:overlap val="-27"/>
        <c:axId val="455186032"/>
        <c:axId val="453303704"/>
      </c:barChart>
      <c:catAx>
        <c:axId val="45518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303704"/>
        <c:crosses val="autoZero"/>
        <c:auto val="1"/>
        <c:lblAlgn val="ctr"/>
        <c:lblOffset val="100"/>
        <c:noMultiLvlLbl val="0"/>
      </c:catAx>
      <c:valAx>
        <c:axId val="453303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18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Atkinson</dc:creator>
  <cp:lastModifiedBy>Gilda Rubio-Festa</cp:lastModifiedBy>
  <cp:revision>2</cp:revision>
  <cp:lastPrinted>2017-02-21T20:09:00Z</cp:lastPrinted>
  <dcterms:created xsi:type="dcterms:W3CDTF">2017-02-21T21:35:00Z</dcterms:created>
  <dcterms:modified xsi:type="dcterms:W3CDTF">2017-02-21T21:35:00Z</dcterms:modified>
</cp:coreProperties>
</file>