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35" w:rsidRPr="007B5902" w:rsidRDefault="00555C35">
      <w:pPr>
        <w:pStyle w:val="FootnoteText"/>
        <w:rPr>
          <w:sz w:val="24"/>
          <w:szCs w:val="24"/>
        </w:rPr>
      </w:pPr>
    </w:p>
    <w:p w:rsidR="00555C35" w:rsidRPr="007B5902" w:rsidRDefault="00555C35">
      <w:pPr>
        <w:rPr>
          <w:b/>
          <w:bCs/>
        </w:rPr>
      </w:pPr>
      <w:r w:rsidRPr="007B5902">
        <w:rPr>
          <w:b/>
          <w:bCs/>
        </w:rPr>
        <w:t>PART II:  Narrative</w:t>
      </w:r>
    </w:p>
    <w:p w:rsidR="00555C35" w:rsidRPr="007B5902" w:rsidRDefault="00555C35">
      <w:pPr>
        <w:jc w:val="both"/>
        <w:rPr>
          <w:b/>
          <w:bCs/>
        </w:rPr>
      </w:pPr>
    </w:p>
    <w:p w:rsidR="00555C35" w:rsidRPr="007B5902" w:rsidRDefault="00D80048" w:rsidP="00C93DC5">
      <w:pPr>
        <w:pStyle w:val="BodyTextIndent"/>
        <w:numPr>
          <w:ilvl w:val="0"/>
          <w:numId w:val="1"/>
        </w:numPr>
        <w:tabs>
          <w:tab w:val="clear" w:pos="720"/>
          <w:tab w:val="left" w:pos="0"/>
        </w:tabs>
        <w:ind w:left="0"/>
        <w:rPr>
          <w:b/>
          <w:bCs/>
          <w:color w:val="auto"/>
          <w:sz w:val="24"/>
          <w:szCs w:val="24"/>
        </w:rPr>
      </w:pPr>
      <w:r w:rsidRPr="007B5902">
        <w:rPr>
          <w:b/>
          <w:bCs/>
          <w:color w:val="auto"/>
          <w:sz w:val="24"/>
          <w:szCs w:val="24"/>
        </w:rPr>
        <w:t xml:space="preserve">(a). </w:t>
      </w:r>
      <w:r w:rsidR="00555C35" w:rsidRPr="007B5902">
        <w:rPr>
          <w:b/>
          <w:bCs/>
          <w:color w:val="auto"/>
          <w:sz w:val="24"/>
          <w:szCs w:val="24"/>
        </w:rPr>
        <w:t xml:space="preserve">Describe </w:t>
      </w:r>
      <w:r w:rsidR="00DD19AA" w:rsidRPr="007B5902">
        <w:rPr>
          <w:b/>
          <w:bCs/>
          <w:color w:val="auto"/>
          <w:sz w:val="24"/>
          <w:szCs w:val="24"/>
        </w:rPr>
        <w:t>how the State has used funds made available under section 223</w:t>
      </w:r>
      <w:r w:rsidR="00555C35" w:rsidRPr="007B5902">
        <w:rPr>
          <w:b/>
          <w:bCs/>
          <w:color w:val="auto"/>
          <w:sz w:val="24"/>
          <w:szCs w:val="24"/>
        </w:rPr>
        <w:t xml:space="preserve"> </w:t>
      </w:r>
      <w:r w:rsidR="00DD19AA" w:rsidRPr="007B5902">
        <w:rPr>
          <w:b/>
          <w:bCs/>
          <w:color w:val="auto"/>
          <w:sz w:val="24"/>
          <w:szCs w:val="24"/>
        </w:rPr>
        <w:t>(</w:t>
      </w:r>
      <w:r w:rsidR="00555C35" w:rsidRPr="007B5902">
        <w:rPr>
          <w:b/>
          <w:bCs/>
          <w:color w:val="auto"/>
          <w:sz w:val="24"/>
          <w:szCs w:val="24"/>
        </w:rPr>
        <w:t xml:space="preserve">State Leadership </w:t>
      </w:r>
      <w:r w:rsidR="00DD19AA" w:rsidRPr="007B5902">
        <w:rPr>
          <w:b/>
          <w:bCs/>
          <w:color w:val="auto"/>
          <w:sz w:val="24"/>
          <w:szCs w:val="24"/>
        </w:rPr>
        <w:t>activities) for each of the following required activities:</w:t>
      </w:r>
    </w:p>
    <w:p w:rsidR="00555C35" w:rsidRPr="007B5902" w:rsidRDefault="00555C35">
      <w:pPr>
        <w:pStyle w:val="BodyTextIndent"/>
        <w:tabs>
          <w:tab w:val="left" w:pos="360"/>
        </w:tabs>
        <w:ind w:hanging="360"/>
        <w:rPr>
          <w:color w:val="auto"/>
          <w:sz w:val="24"/>
          <w:szCs w:val="24"/>
        </w:rPr>
      </w:pPr>
    </w:p>
    <w:p w:rsidR="00DD19AA" w:rsidRPr="007B5902" w:rsidRDefault="00755ACE" w:rsidP="00DD19AA">
      <w:pPr>
        <w:pStyle w:val="BodyTextIndent"/>
        <w:tabs>
          <w:tab w:val="left" w:pos="0"/>
          <w:tab w:val="left" w:pos="360"/>
        </w:tabs>
        <w:jc w:val="left"/>
        <w:rPr>
          <w:color w:val="auto"/>
          <w:sz w:val="24"/>
          <w:szCs w:val="24"/>
        </w:rPr>
      </w:pPr>
      <w:r w:rsidRPr="007B5902">
        <w:rPr>
          <w:b/>
          <w:bCs/>
          <w:color w:val="auto"/>
          <w:sz w:val="24"/>
          <w:szCs w:val="24"/>
        </w:rPr>
        <w:t xml:space="preserve">Alignment of adult education and literacy activities with other one-stop required partners to implement the strategies in the Unified State Plan as described in </w:t>
      </w:r>
      <w:r w:rsidR="00333D33" w:rsidRPr="007B5902">
        <w:rPr>
          <w:b/>
          <w:bCs/>
          <w:color w:val="auto"/>
          <w:sz w:val="24"/>
          <w:szCs w:val="24"/>
        </w:rPr>
        <w:t>section 223(1)(a</w:t>
      </w:r>
      <w:r w:rsidRPr="007B5902">
        <w:rPr>
          <w:b/>
          <w:bCs/>
          <w:color w:val="auto"/>
          <w:sz w:val="24"/>
          <w:szCs w:val="24"/>
        </w:rPr>
        <w:t>).</w:t>
      </w:r>
    </w:p>
    <w:p w:rsidR="00DD19AA" w:rsidRPr="007B5902" w:rsidRDefault="00DD19AA" w:rsidP="00DD19AA">
      <w:r w:rsidRPr="007B5902">
        <w:t xml:space="preserve">The Governor and Workforce Development Agency’s central mission is to grow Michigan’s economy and lower the unemployment rate has remained a top priority. Michigan has continued to build a seamless and integrated service delivery system that includes academic instruction geared toward career interests, workforce services to help individuals find new or better jobs, and other wrap around services that help employers increase the skills of their workers. The Talent Map is one of the tools being developed to make all resources within each region readily accessible to all. </w:t>
      </w:r>
    </w:p>
    <w:p w:rsidR="00FB6B22" w:rsidRPr="007B5902" w:rsidRDefault="00FB6B22" w:rsidP="00DD19AA"/>
    <w:p w:rsidR="00DD19AA" w:rsidRPr="007B5902" w:rsidRDefault="00BC453F" w:rsidP="00DD19AA">
      <w:r w:rsidRPr="007B5902">
        <w:t>Ano</w:t>
      </w:r>
      <w:r w:rsidR="00DD19AA" w:rsidRPr="007B5902">
        <w:t xml:space="preserve">ther </w:t>
      </w:r>
      <w:r w:rsidRPr="007B5902">
        <w:t xml:space="preserve">alignment of adult education and literacy activities involve the coordination of </w:t>
      </w:r>
      <w:r w:rsidR="00DD19AA" w:rsidRPr="007B5902">
        <w:t xml:space="preserve">existing infrastructures for all Michigan residents (especially job seekers and employers) </w:t>
      </w:r>
      <w:r w:rsidRPr="007B5902">
        <w:t>and the provision of</w:t>
      </w:r>
      <w:r w:rsidR="00DD19AA" w:rsidRPr="007B5902">
        <w:t xml:space="preserve"> </w:t>
      </w:r>
      <w:r w:rsidR="009B24D4" w:rsidRPr="007B5902">
        <w:t xml:space="preserve">convenient </w:t>
      </w:r>
      <w:r w:rsidR="00DD19AA" w:rsidRPr="007B5902">
        <w:t xml:space="preserve">access </w:t>
      </w:r>
      <w:r w:rsidRPr="007B5902">
        <w:t xml:space="preserve">to </w:t>
      </w:r>
      <w:r w:rsidR="00DD19AA" w:rsidRPr="007B5902">
        <w:t>entry services from a wide array of programs</w:t>
      </w:r>
      <w:r w:rsidR="00F25448" w:rsidRPr="007B5902">
        <w:t>. Education and employment s</w:t>
      </w:r>
      <w:r w:rsidRPr="007B5902">
        <w:t>ervices</w:t>
      </w:r>
      <w:r w:rsidR="00DD19AA" w:rsidRPr="007B5902">
        <w:t xml:space="preserve"> are provided by (1) electronic access to comprehensive web-based information at </w:t>
      </w:r>
      <w:hyperlink r:id="rId7" w:history="1">
        <w:r w:rsidR="00DD19AA" w:rsidRPr="007B5902">
          <w:rPr>
            <w:rStyle w:val="Hyperlink"/>
            <w:color w:val="auto"/>
          </w:rPr>
          <w:t>www.MiTalent.org</w:t>
        </w:r>
      </w:hyperlink>
      <w:r w:rsidR="00DD19AA" w:rsidRPr="007B5902">
        <w:rPr>
          <w:rStyle w:val="Hyperlink"/>
          <w:color w:val="auto"/>
          <w:u w:val="none"/>
        </w:rPr>
        <w:t xml:space="preserve"> or Pure Michigan Talent Connect</w:t>
      </w:r>
      <w:r w:rsidR="00DD19AA" w:rsidRPr="007B5902">
        <w:t>; (2) a statewide network of certified Michigan Works! One Stop Service Centers; (3) a department telephone system that can automatically route callers to local services (telephone 1-800-285-WORKS); and (4) a sophisticated Talent Bank for employers and employees dedicated for hiring purposes.</w:t>
      </w:r>
    </w:p>
    <w:p w:rsidR="00DD19AA" w:rsidRPr="007B5902" w:rsidRDefault="00DD19AA" w:rsidP="00DD19AA">
      <w:pPr>
        <w:pStyle w:val="BodyTextIndent"/>
        <w:tabs>
          <w:tab w:val="left" w:pos="0"/>
          <w:tab w:val="left" w:pos="360"/>
        </w:tabs>
        <w:rPr>
          <w:color w:val="auto"/>
          <w:sz w:val="24"/>
          <w:szCs w:val="24"/>
        </w:rPr>
      </w:pPr>
    </w:p>
    <w:p w:rsidR="00DD19AA" w:rsidRPr="007B5902" w:rsidRDefault="00DD19AA" w:rsidP="00DD19AA">
      <w:pPr>
        <w:pStyle w:val="BodyTextIndent"/>
        <w:tabs>
          <w:tab w:val="left" w:pos="0"/>
          <w:tab w:val="left" w:pos="360"/>
        </w:tabs>
        <w:rPr>
          <w:color w:val="auto"/>
          <w:sz w:val="24"/>
          <w:szCs w:val="24"/>
        </w:rPr>
      </w:pPr>
      <w:r w:rsidRPr="007B5902">
        <w:rPr>
          <w:color w:val="auto"/>
          <w:sz w:val="24"/>
          <w:szCs w:val="24"/>
        </w:rPr>
        <w:t>T</w:t>
      </w:r>
      <w:r w:rsidR="00533709" w:rsidRPr="007B5902">
        <w:rPr>
          <w:color w:val="auto"/>
          <w:sz w:val="24"/>
          <w:szCs w:val="24"/>
        </w:rPr>
        <w:t xml:space="preserve">he Talent </w:t>
      </w:r>
      <w:r w:rsidRPr="007B5902">
        <w:rPr>
          <w:color w:val="auto"/>
          <w:sz w:val="24"/>
          <w:szCs w:val="24"/>
        </w:rPr>
        <w:t>I</w:t>
      </w:r>
      <w:r w:rsidR="00533709" w:rsidRPr="007B5902">
        <w:rPr>
          <w:color w:val="auto"/>
          <w:sz w:val="24"/>
          <w:szCs w:val="24"/>
        </w:rPr>
        <w:t xml:space="preserve">nvestment </w:t>
      </w:r>
      <w:r w:rsidRPr="007B5902">
        <w:rPr>
          <w:color w:val="auto"/>
          <w:sz w:val="24"/>
          <w:szCs w:val="24"/>
        </w:rPr>
        <w:t>A</w:t>
      </w:r>
      <w:r w:rsidR="00533709" w:rsidRPr="007B5902">
        <w:rPr>
          <w:color w:val="auto"/>
          <w:sz w:val="24"/>
          <w:szCs w:val="24"/>
        </w:rPr>
        <w:t>gency</w:t>
      </w:r>
      <w:r w:rsidRPr="007B5902">
        <w:rPr>
          <w:color w:val="auto"/>
          <w:sz w:val="24"/>
          <w:szCs w:val="24"/>
        </w:rPr>
        <w:t xml:space="preserve"> </w:t>
      </w:r>
      <w:r w:rsidR="00BC6659" w:rsidRPr="007B5902">
        <w:rPr>
          <w:color w:val="auto"/>
          <w:sz w:val="24"/>
          <w:szCs w:val="24"/>
        </w:rPr>
        <w:t xml:space="preserve">(TIA) </w:t>
      </w:r>
      <w:r w:rsidR="00E4759C" w:rsidRPr="007B5902">
        <w:rPr>
          <w:color w:val="auto"/>
          <w:sz w:val="24"/>
          <w:szCs w:val="24"/>
        </w:rPr>
        <w:t>oversees</w:t>
      </w:r>
      <w:r w:rsidRPr="007B5902">
        <w:rPr>
          <w:color w:val="auto"/>
          <w:sz w:val="24"/>
          <w:szCs w:val="24"/>
        </w:rPr>
        <w:t xml:space="preserve"> two agencies: Workforce Development Agency (WDA) and Unemployment Insurance Agency (UIA).</w:t>
      </w:r>
      <w:r w:rsidR="00627876">
        <w:rPr>
          <w:color w:val="auto"/>
          <w:sz w:val="24"/>
          <w:szCs w:val="24"/>
        </w:rPr>
        <w:t xml:space="preserve"> </w:t>
      </w:r>
      <w:r w:rsidRPr="007B5902">
        <w:rPr>
          <w:color w:val="auto"/>
          <w:sz w:val="24"/>
          <w:szCs w:val="24"/>
        </w:rPr>
        <w:t xml:space="preserve"> Within WDA are the following federal programs: Carl Perkins </w:t>
      </w:r>
      <w:r w:rsidR="00533709" w:rsidRPr="007B5902">
        <w:rPr>
          <w:color w:val="auto"/>
          <w:sz w:val="24"/>
          <w:szCs w:val="24"/>
        </w:rPr>
        <w:t>Community College Services</w:t>
      </w:r>
      <w:r w:rsidRPr="007B5902">
        <w:rPr>
          <w:color w:val="auto"/>
          <w:sz w:val="24"/>
          <w:szCs w:val="24"/>
        </w:rPr>
        <w:t>, Food Stamp Employment and Training, Veteran’s Education, Wagner-Peyser Employment Services, Partnership Accountability Training and Hope (PATH), WIOA Title I, Dislocated Worker and Youth, WI</w:t>
      </w:r>
      <w:r w:rsidR="00BC6659" w:rsidRPr="007B5902">
        <w:rPr>
          <w:color w:val="auto"/>
          <w:sz w:val="24"/>
          <w:szCs w:val="24"/>
        </w:rPr>
        <w:t>O</w:t>
      </w:r>
      <w:r w:rsidRPr="007B5902">
        <w:rPr>
          <w:color w:val="auto"/>
          <w:sz w:val="24"/>
          <w:szCs w:val="24"/>
        </w:rPr>
        <w:t xml:space="preserve">A Title II Adult Education and Family Literacy, and WIOA Title IV. </w:t>
      </w:r>
      <w:r w:rsidR="00627876">
        <w:rPr>
          <w:color w:val="auto"/>
          <w:sz w:val="24"/>
          <w:szCs w:val="24"/>
        </w:rPr>
        <w:t xml:space="preserve"> </w:t>
      </w:r>
      <w:r w:rsidRPr="007B5902">
        <w:rPr>
          <w:color w:val="auto"/>
          <w:sz w:val="24"/>
          <w:szCs w:val="24"/>
        </w:rPr>
        <w:t>In addition</w:t>
      </w:r>
      <w:r w:rsidR="00BC6659" w:rsidRPr="007B5902">
        <w:rPr>
          <w:color w:val="auto"/>
          <w:sz w:val="24"/>
          <w:szCs w:val="24"/>
        </w:rPr>
        <w:t>,</w:t>
      </w:r>
      <w:r w:rsidRPr="007B5902">
        <w:rPr>
          <w:color w:val="auto"/>
          <w:sz w:val="24"/>
          <w:szCs w:val="24"/>
        </w:rPr>
        <w:t xml:space="preserve"> </w:t>
      </w:r>
      <w:r w:rsidR="00BC6659" w:rsidRPr="007B5902">
        <w:rPr>
          <w:color w:val="auto"/>
          <w:sz w:val="24"/>
          <w:szCs w:val="24"/>
        </w:rPr>
        <w:t>TIA</w:t>
      </w:r>
      <w:r w:rsidRPr="007B5902">
        <w:rPr>
          <w:color w:val="auto"/>
          <w:sz w:val="24"/>
          <w:szCs w:val="24"/>
        </w:rPr>
        <w:t xml:space="preserve"> works collaboratively with the BLS Labor Market Information. These multiple programs work collaboratively to provide almost seamless educational and workforce delivery services to adults in Michigan.</w:t>
      </w:r>
    </w:p>
    <w:p w:rsidR="00DD19AA" w:rsidRPr="007B5902" w:rsidRDefault="00DD19AA" w:rsidP="00DD19AA">
      <w:pPr>
        <w:pStyle w:val="BodyTextIndent"/>
        <w:tabs>
          <w:tab w:val="left" w:pos="0"/>
        </w:tabs>
        <w:rPr>
          <w:b/>
          <w:bCs/>
          <w:color w:val="auto"/>
          <w:sz w:val="24"/>
          <w:szCs w:val="24"/>
          <w:u w:val="single"/>
        </w:rPr>
      </w:pPr>
    </w:p>
    <w:p w:rsidR="00333D33" w:rsidRPr="007B5902" w:rsidRDefault="00333D33" w:rsidP="004456D0">
      <w:pPr>
        <w:rPr>
          <w:b/>
        </w:rPr>
      </w:pPr>
      <w:r w:rsidRPr="007B5902">
        <w:rPr>
          <w:b/>
        </w:rPr>
        <w:t>Establishment or operation of a high quality professional developme</w:t>
      </w:r>
      <w:r w:rsidR="0035227C" w:rsidRPr="007B5902">
        <w:rPr>
          <w:b/>
        </w:rPr>
        <w:t>n</w:t>
      </w:r>
      <w:r w:rsidRPr="007B5902">
        <w:rPr>
          <w:b/>
        </w:rPr>
        <w:t xml:space="preserve">t programs as described in </w:t>
      </w:r>
      <w:r w:rsidR="00943A74" w:rsidRPr="007B5902">
        <w:rPr>
          <w:b/>
        </w:rPr>
        <w:t>section 223(1</w:t>
      </w:r>
      <w:r w:rsidR="00627876" w:rsidRPr="007B5902">
        <w:rPr>
          <w:b/>
        </w:rPr>
        <w:t>) (</w:t>
      </w:r>
      <w:r w:rsidR="00943A74" w:rsidRPr="007B5902">
        <w:rPr>
          <w:b/>
        </w:rPr>
        <w:t>b):</w:t>
      </w:r>
    </w:p>
    <w:p w:rsidR="0035227C" w:rsidRPr="007B5902" w:rsidRDefault="0035227C" w:rsidP="0035227C">
      <w:pPr>
        <w:rPr>
          <w:b/>
        </w:rPr>
      </w:pPr>
    </w:p>
    <w:p w:rsidR="00FB6B22" w:rsidRPr="007B5902" w:rsidRDefault="0035227C" w:rsidP="0035227C">
      <w:pPr>
        <w:rPr>
          <w:b/>
        </w:rPr>
      </w:pPr>
      <w:r w:rsidRPr="007B5902">
        <w:rPr>
          <w:b/>
        </w:rPr>
        <w:t>Professional Development Activities</w:t>
      </w:r>
    </w:p>
    <w:p w:rsidR="00707BD0" w:rsidRPr="007B5902" w:rsidRDefault="00707BD0" w:rsidP="0035227C">
      <w:r w:rsidRPr="007B5902">
        <w:t>National and state professional opportunities were provided to OAE staff such as OCTAE state directors’ workshop, the NTI, NRS, TESOL, MiTESOL, etc. In addition, state had the opportunity to attend various State of Michigan Civil Service professional development activities.</w:t>
      </w:r>
    </w:p>
    <w:p w:rsidR="0035227C" w:rsidRPr="007B5902" w:rsidRDefault="00707BD0" w:rsidP="0035227C">
      <w:r w:rsidRPr="007B5902">
        <w:t>At the providers’ level, m</w:t>
      </w:r>
      <w:r w:rsidR="0035227C" w:rsidRPr="007B5902">
        <w:t>ost adult educators and teachers were served through face-to-face professional development activities (workshops, statewide conferences, and sessions) conducted during 2015-2016, including: Michigan Association of Community and Adult Education (</w:t>
      </w:r>
      <w:r w:rsidR="0035227C" w:rsidRPr="007B5902">
        <w:rPr>
          <w:b/>
        </w:rPr>
        <w:t>MACAE) c</w:t>
      </w:r>
      <w:r w:rsidR="0035227C" w:rsidRPr="007B5902">
        <w:t>onference, multi-media presentations that focused on College and Career Readiness Standards and GED</w:t>
      </w:r>
      <w:r w:rsidR="0035227C" w:rsidRPr="007B5902">
        <w:rPr>
          <w:vertAlign w:val="superscript"/>
        </w:rPr>
        <w:t>®</w:t>
      </w:r>
      <w:r w:rsidR="0035227C" w:rsidRPr="007B5902">
        <w:t xml:space="preserve"> testing for high school completion. </w:t>
      </w:r>
    </w:p>
    <w:p w:rsidR="0035227C" w:rsidRPr="007B5902" w:rsidRDefault="0035227C" w:rsidP="0035227C">
      <w:pPr>
        <w:rPr>
          <w:rFonts w:eastAsiaTheme="minorHAnsi"/>
        </w:rPr>
      </w:pPr>
    </w:p>
    <w:p w:rsidR="00334128" w:rsidRDefault="00334128">
      <w:pPr>
        <w:rPr>
          <w:b/>
          <w:bCs/>
        </w:rPr>
      </w:pPr>
      <w:r>
        <w:rPr>
          <w:b/>
          <w:bCs/>
        </w:rPr>
        <w:br w:type="page"/>
      </w:r>
    </w:p>
    <w:p w:rsidR="0035227C" w:rsidRPr="007B5902" w:rsidRDefault="00FB6B22" w:rsidP="0035227C">
      <w:pPr>
        <w:rPr>
          <w:i/>
          <w:iCs/>
        </w:rPr>
      </w:pPr>
      <w:r w:rsidRPr="002C3FD4">
        <w:rPr>
          <w:b/>
          <w:bCs/>
        </w:rPr>
        <w:lastRenderedPageBreak/>
        <w:t>Comprehensive Adult Student Assessment System</w:t>
      </w:r>
      <w:r>
        <w:rPr>
          <w:b/>
          <w:bCs/>
        </w:rPr>
        <w:t xml:space="preserve"> (</w:t>
      </w:r>
      <w:r w:rsidR="0035227C" w:rsidRPr="007B5902">
        <w:rPr>
          <w:b/>
          <w:bCs/>
        </w:rPr>
        <w:t>CASAS</w:t>
      </w:r>
      <w:r>
        <w:rPr>
          <w:b/>
          <w:bCs/>
        </w:rPr>
        <w:t>)</w:t>
      </w:r>
      <w:r w:rsidR="0035227C" w:rsidRPr="007B5902">
        <w:rPr>
          <w:b/>
          <w:bCs/>
        </w:rPr>
        <w:t xml:space="preserve"> Certification training</w:t>
      </w:r>
      <w:r w:rsidR="0035227C" w:rsidRPr="007B5902">
        <w:t>—was provided on April 1st, 2016 (25 Participants). This training targeted programs that needed either a refresher on implementation of CASAS or those who had new staff members that required training. This training is required in order for local programs to use</w:t>
      </w:r>
      <w:r>
        <w:t xml:space="preserve"> </w:t>
      </w:r>
      <w:r w:rsidRPr="00596CB1">
        <w:t>CASAS</w:t>
      </w:r>
      <w:r w:rsidR="0035227C" w:rsidRPr="00596CB1">
        <w:t>.</w:t>
      </w:r>
    </w:p>
    <w:p w:rsidR="0035227C" w:rsidRPr="007B5902" w:rsidRDefault="0035227C" w:rsidP="0035227C"/>
    <w:p w:rsidR="0035227C" w:rsidRPr="007B5902" w:rsidRDefault="0035227C" w:rsidP="0035227C">
      <w:pPr>
        <w:pStyle w:val="BodyText"/>
        <w:rPr>
          <w:rFonts w:ascii="Times New Roman" w:hAnsi="Times New Roman" w:cs="Times New Roman"/>
          <w:b/>
          <w:bCs/>
          <w:sz w:val="24"/>
          <w:szCs w:val="24"/>
        </w:rPr>
      </w:pPr>
      <w:r w:rsidRPr="007B5902">
        <w:rPr>
          <w:rFonts w:ascii="Times New Roman" w:hAnsi="Times New Roman" w:cs="Times New Roman"/>
          <w:b/>
          <w:sz w:val="24"/>
          <w:szCs w:val="24"/>
        </w:rPr>
        <w:t>(ESL) Advisory Council’s Fall Training Session</w:t>
      </w:r>
    </w:p>
    <w:p w:rsidR="0035227C" w:rsidRPr="007B5902" w:rsidRDefault="0035227C" w:rsidP="0035227C">
      <w:pPr>
        <w:pStyle w:val="BodyText"/>
        <w:rPr>
          <w:rFonts w:ascii="Times New Roman" w:hAnsi="Times New Roman" w:cs="Times New Roman"/>
          <w:sz w:val="24"/>
          <w:szCs w:val="24"/>
        </w:rPr>
      </w:pPr>
      <w:r w:rsidRPr="007B5902">
        <w:rPr>
          <w:rFonts w:ascii="Times New Roman" w:hAnsi="Times New Roman" w:cs="Times New Roman"/>
          <w:bCs/>
          <w:sz w:val="24"/>
          <w:szCs w:val="24"/>
        </w:rPr>
        <w:t xml:space="preserve">The central focus of the workshop was “Pathways to Success”.  Break-Out presentation selections included: “Teaching Culture to your Students” with the MSU International Program; “How to Host a Workforce Symposium” with Sister Janice Brown of Dominican Literacy; “CASAS/ESL Assessments/In Depth State Update” with Brian Frazier, WDA State of Michigan; CCRS in the classroom-ESLPAC Committee; “Team Teaching in the classroom” with A+ English Language Program (125 participants). </w:t>
      </w:r>
    </w:p>
    <w:p w:rsidR="0035227C" w:rsidRPr="007B5902" w:rsidRDefault="0035227C" w:rsidP="0035227C">
      <w:pPr>
        <w:rPr>
          <w:b/>
          <w:bCs/>
        </w:rPr>
      </w:pPr>
    </w:p>
    <w:p w:rsidR="0035227C" w:rsidRPr="007B5902" w:rsidRDefault="0035227C" w:rsidP="0035227C">
      <w:r w:rsidRPr="007B5902">
        <w:rPr>
          <w:b/>
          <w:bCs/>
        </w:rPr>
        <w:t>English as a Second Language (ESL) Advisory Council’s Spring Training Session</w:t>
      </w:r>
    </w:p>
    <w:p w:rsidR="0035227C" w:rsidRPr="007B5902" w:rsidRDefault="0035227C" w:rsidP="0035227C">
      <w:pPr>
        <w:pStyle w:val="BodyText"/>
        <w:rPr>
          <w:rFonts w:ascii="Times New Roman" w:hAnsi="Times New Roman" w:cs="Times New Roman"/>
          <w:sz w:val="24"/>
          <w:szCs w:val="24"/>
        </w:rPr>
      </w:pPr>
      <w:r w:rsidRPr="007B5902">
        <w:rPr>
          <w:rFonts w:ascii="Times New Roman" w:hAnsi="Times New Roman" w:cs="Times New Roman"/>
          <w:bCs/>
          <w:sz w:val="24"/>
          <w:szCs w:val="24"/>
        </w:rPr>
        <w:t>The central focus of the workshop was facing challenges when identifying learning disabilities with the English as Second Language learner.  Participants were actively engaged in whole and small group activities to further develop their skills in teaching by creating an awareness of learning disabilities at all levels of ESL.  Rochelle Kenyon conducted the session that included instructional strategies, using informal screening to determine the primary cause of difficulty, dispelling commonly held beliefs, and utilizing assistive technology and resources.  The break-out sessions include</w:t>
      </w:r>
      <w:r w:rsidRPr="007B5902">
        <w:rPr>
          <w:rFonts w:ascii="Times New Roman" w:hAnsi="Times New Roman" w:cs="Times New Roman"/>
          <w:sz w:val="24"/>
          <w:szCs w:val="24"/>
        </w:rPr>
        <w:t xml:space="preserve">: </w:t>
      </w:r>
      <w:r w:rsidRPr="007B5902">
        <w:rPr>
          <w:rFonts w:ascii="Times New Roman" w:hAnsi="Times New Roman" w:cs="Times New Roman"/>
          <w:bCs/>
          <w:sz w:val="24"/>
          <w:szCs w:val="24"/>
        </w:rPr>
        <w:t>“Cultural Awareness and Diversity” with the experts from MSU Office of International Students; “Immigration 101” with Frank Castria from USCIS (120 participants).</w:t>
      </w:r>
    </w:p>
    <w:p w:rsidR="0035227C" w:rsidRPr="007B5902" w:rsidRDefault="0035227C" w:rsidP="0035227C">
      <w:pPr>
        <w:pStyle w:val="BodyText"/>
        <w:rPr>
          <w:rFonts w:ascii="Times New Roman" w:hAnsi="Times New Roman" w:cs="Times New Roman"/>
          <w:b/>
          <w:bCs/>
          <w:sz w:val="24"/>
          <w:szCs w:val="24"/>
        </w:rPr>
      </w:pPr>
    </w:p>
    <w:p w:rsidR="0035227C" w:rsidRPr="007B5902" w:rsidRDefault="0035227C" w:rsidP="0035227C">
      <w:pPr>
        <w:rPr>
          <w:b/>
        </w:rPr>
      </w:pPr>
      <w:r w:rsidRPr="007B5902">
        <w:rPr>
          <w:b/>
        </w:rPr>
        <w:t>WIOA Title II Resources for Adult Educators</w:t>
      </w:r>
    </w:p>
    <w:p w:rsidR="0035227C" w:rsidRPr="007B5902" w:rsidRDefault="0035227C" w:rsidP="0035227C">
      <w:pPr>
        <w:numPr>
          <w:ilvl w:val="0"/>
          <w:numId w:val="8"/>
        </w:numPr>
      </w:pPr>
      <w:r w:rsidRPr="007B5902">
        <w:t>College and Career Readiness Standards (CCRS) for Adult Education – resources for the classroom.</w:t>
      </w:r>
    </w:p>
    <w:p w:rsidR="0035227C" w:rsidRPr="007B5902" w:rsidRDefault="0035227C" w:rsidP="0035227C">
      <w:pPr>
        <w:numPr>
          <w:ilvl w:val="0"/>
          <w:numId w:val="8"/>
        </w:numPr>
      </w:pPr>
      <w:r w:rsidRPr="007B5902">
        <w:t>Career Pathways – Resource materials to assist adult education program directors and managers to work in collaboration with local business/industry to identify areas of need within the workforce and begin process of adapting programs to help adult learners meet the needs of job opportunities within the community.</w:t>
      </w:r>
    </w:p>
    <w:p w:rsidR="0035227C" w:rsidRPr="007B5902" w:rsidRDefault="0035227C" w:rsidP="0035227C">
      <w:pPr>
        <w:numPr>
          <w:ilvl w:val="0"/>
          <w:numId w:val="8"/>
        </w:numPr>
      </w:pPr>
      <w:r w:rsidRPr="007B5902">
        <w:t>High School Equivalency – Resources to assist adult education teachers in meeting the higher standards within the GED</w:t>
      </w:r>
      <w:r w:rsidRPr="007B5902">
        <w:rPr>
          <w:vertAlign w:val="superscript"/>
        </w:rPr>
        <w:t>®</w:t>
      </w:r>
      <w:r w:rsidRPr="007B5902">
        <w:t xml:space="preserve"> test and the College and Career Readiness Standards for Adult Education.</w:t>
      </w:r>
    </w:p>
    <w:p w:rsidR="00DC5543" w:rsidRPr="007B5902" w:rsidRDefault="00DC5543" w:rsidP="00AA504B">
      <w:pPr>
        <w:rPr>
          <w:b/>
          <w:bCs/>
        </w:rPr>
      </w:pPr>
    </w:p>
    <w:p w:rsidR="00AA504B" w:rsidRPr="007B5902" w:rsidRDefault="00DC5543" w:rsidP="00AA504B">
      <w:pPr>
        <w:rPr>
          <w:b/>
          <w:bCs/>
        </w:rPr>
      </w:pPr>
      <w:r w:rsidRPr="007B5902">
        <w:rPr>
          <w:b/>
          <w:bCs/>
        </w:rPr>
        <w:t>Provision of technical assistance to funded eligible providers as described in section 223(1</w:t>
      </w:r>
      <w:r w:rsidR="00627876" w:rsidRPr="007B5902">
        <w:rPr>
          <w:b/>
          <w:bCs/>
        </w:rPr>
        <w:t>) (</w:t>
      </w:r>
      <w:r w:rsidRPr="007B5902">
        <w:rPr>
          <w:b/>
          <w:bCs/>
        </w:rPr>
        <w:t>c)</w:t>
      </w:r>
      <w:r w:rsidR="00016752" w:rsidRPr="007B5902">
        <w:rPr>
          <w:b/>
          <w:bCs/>
        </w:rPr>
        <w:t>:</w:t>
      </w:r>
    </w:p>
    <w:p w:rsidR="00D11DCF" w:rsidRPr="007B5902" w:rsidRDefault="00C02337" w:rsidP="00AA504B">
      <w:pPr>
        <w:rPr>
          <w:bCs/>
        </w:rPr>
      </w:pPr>
      <w:r w:rsidRPr="007B5902">
        <w:rPr>
          <w:bCs/>
        </w:rPr>
        <w:t xml:space="preserve">Michigan has </w:t>
      </w:r>
      <w:r w:rsidR="006146A7" w:rsidRPr="007B5902">
        <w:rPr>
          <w:bCs/>
        </w:rPr>
        <w:t xml:space="preserve">dedicated </w:t>
      </w:r>
      <w:r w:rsidRPr="007B5902">
        <w:rPr>
          <w:bCs/>
        </w:rPr>
        <w:t>professional staff charged with the responsibilities of reviewing grant applications for the three funding sources (Sections 231, 225 and 243), tracking and providing oversight throughout the year. On a weekly ba</w:t>
      </w:r>
      <w:r w:rsidR="005F491E" w:rsidRPr="007B5902">
        <w:rPr>
          <w:bCs/>
        </w:rPr>
        <w:t>sis the financial analyst runs reports that track budgetary activities in the Michigan Electronic Grant System (MEGS) and the cash and reimbursements draw-downs from the Cash Management System (CMS) to ensure sub-recipients comply with the state cash management system regulations and policies.</w:t>
      </w:r>
      <w:r w:rsidR="002A4878" w:rsidRPr="007B5902">
        <w:rPr>
          <w:bCs/>
        </w:rPr>
        <w:t xml:space="preserve"> The Michigan Adult Education Reporting System (MAERS) team also meet at least twice month to review data reporting and collection methods. Michigan has MAERS Help Desk that allows sub-recipients to call anytime of the day with MAERS questions which the team addresses the next day or within 24 hours. In addition, on-site visits and regional meetings provide face-to-face opportunity to provide technical assistance. They (sub-recipients) also have 24-hour access to both the TIA and LINC websites for resources. They are invited or provided the opportunity to participate in webinars scheduled by OCTAE, LINCS, and DOL.</w:t>
      </w:r>
    </w:p>
    <w:p w:rsidR="00197DF4" w:rsidRPr="007B5902" w:rsidRDefault="00197DF4" w:rsidP="00AA504B">
      <w:pPr>
        <w:rPr>
          <w:bCs/>
        </w:rPr>
      </w:pPr>
    </w:p>
    <w:p w:rsidR="00016752" w:rsidRPr="007B5902" w:rsidRDefault="00197DF4" w:rsidP="00AA504B">
      <w:pPr>
        <w:rPr>
          <w:b/>
          <w:bCs/>
        </w:rPr>
      </w:pPr>
      <w:r w:rsidRPr="007B5902">
        <w:rPr>
          <w:b/>
          <w:bCs/>
        </w:rPr>
        <w:t>Monitoring and evaluation of the quality and improvement of adult education activities as described in section 223(1</w:t>
      </w:r>
      <w:r w:rsidR="00627876" w:rsidRPr="007B5902">
        <w:rPr>
          <w:b/>
          <w:bCs/>
        </w:rPr>
        <w:t>) (</w:t>
      </w:r>
      <w:r w:rsidRPr="007B5902">
        <w:rPr>
          <w:b/>
          <w:bCs/>
        </w:rPr>
        <w:t>d).</w:t>
      </w:r>
    </w:p>
    <w:p w:rsidR="00C21112" w:rsidRPr="007B5902" w:rsidRDefault="0071754F" w:rsidP="00C21112">
      <w:pPr>
        <w:rPr>
          <w:bCs/>
        </w:rPr>
      </w:pPr>
      <w:r w:rsidRPr="007B5902">
        <w:rPr>
          <w:bCs/>
        </w:rPr>
        <w:t xml:space="preserve">As mentioned above, Michigan has the MAERS, Grants’ Review, and the Monitoring teams. </w:t>
      </w:r>
      <w:r w:rsidR="00E22AFF" w:rsidRPr="007B5902">
        <w:rPr>
          <w:bCs/>
        </w:rPr>
        <w:t xml:space="preserve">Each team provides valuable data used in evaluating compliance risks, and developing appropriate monitoring tools for program evaluation. Michigan monitors 100% of all sub-recipients – covering grant activities, allowable costs, data </w:t>
      </w:r>
      <w:r w:rsidR="008F7317" w:rsidRPr="007B5902">
        <w:rPr>
          <w:bCs/>
        </w:rPr>
        <w:t xml:space="preserve">collection, data reporting and data </w:t>
      </w:r>
      <w:r w:rsidR="00E22AFF" w:rsidRPr="007B5902">
        <w:rPr>
          <w:bCs/>
        </w:rPr>
        <w:t>quality.</w:t>
      </w:r>
      <w:r w:rsidR="004C3F18" w:rsidRPr="007B5902">
        <w:rPr>
          <w:bCs/>
        </w:rPr>
        <w:t xml:space="preserve"> In addition, we conduct</w:t>
      </w:r>
      <w:r w:rsidR="008A44A2" w:rsidRPr="007B5902">
        <w:rPr>
          <w:bCs/>
        </w:rPr>
        <w:t>ed on-site monitoring visi</w:t>
      </w:r>
      <w:r w:rsidR="004C3F18" w:rsidRPr="007B5902">
        <w:rPr>
          <w:bCs/>
        </w:rPr>
        <w:t>t</w:t>
      </w:r>
      <w:r w:rsidR="008A44A2" w:rsidRPr="007B5902">
        <w:rPr>
          <w:bCs/>
        </w:rPr>
        <w:t>s</w:t>
      </w:r>
      <w:r w:rsidR="004C3F18" w:rsidRPr="007B5902">
        <w:rPr>
          <w:bCs/>
        </w:rPr>
        <w:t xml:space="preserve"> to com</w:t>
      </w:r>
      <w:r w:rsidR="008A44A2" w:rsidRPr="007B5902">
        <w:rPr>
          <w:bCs/>
        </w:rPr>
        <w:t>pliment the 100% desk reviews and provided technical assistance du</w:t>
      </w:r>
      <w:r w:rsidR="004C3F18" w:rsidRPr="007B5902">
        <w:rPr>
          <w:bCs/>
        </w:rPr>
        <w:t>ring</w:t>
      </w:r>
      <w:r w:rsidR="008A44A2" w:rsidRPr="007B5902">
        <w:rPr>
          <w:bCs/>
        </w:rPr>
        <w:t xml:space="preserve"> such visits.</w:t>
      </w:r>
      <w:r w:rsidR="004C3F18" w:rsidRPr="007B5902">
        <w:rPr>
          <w:bCs/>
        </w:rPr>
        <w:t xml:space="preserve"> </w:t>
      </w:r>
      <w:r w:rsidR="003B65A5" w:rsidRPr="007B5902">
        <w:rPr>
          <w:bCs/>
        </w:rPr>
        <w:t>The results of the monitoring and evaluation are documented in the performance section below.</w:t>
      </w:r>
    </w:p>
    <w:p w:rsidR="00C21112" w:rsidRPr="007B5902" w:rsidRDefault="00C21112" w:rsidP="00C21112">
      <w:pPr>
        <w:rPr>
          <w:bCs/>
        </w:rPr>
      </w:pPr>
    </w:p>
    <w:p w:rsidR="007B5902" w:rsidRPr="007B5902" w:rsidRDefault="00C21112" w:rsidP="007B5902">
      <w:r w:rsidRPr="007B5902">
        <w:rPr>
          <w:b/>
          <w:bCs/>
        </w:rPr>
        <w:t>1 (b)</w:t>
      </w:r>
      <w:r w:rsidR="00526B15" w:rsidRPr="007B5902">
        <w:rPr>
          <w:b/>
          <w:bCs/>
        </w:rPr>
        <w:t xml:space="preserve">. </w:t>
      </w:r>
      <w:r w:rsidR="00526B15" w:rsidRPr="007B5902">
        <w:rPr>
          <w:bCs/>
        </w:rPr>
        <w:t xml:space="preserve"> Michigan used leadership funds to upgrade our MAERS system to meet the new </w:t>
      </w:r>
      <w:r w:rsidR="00253396" w:rsidRPr="007B5902">
        <w:rPr>
          <w:bCs/>
        </w:rPr>
        <w:t>performance measures</w:t>
      </w:r>
      <w:r w:rsidR="00526B15" w:rsidRPr="007B5902">
        <w:rPr>
          <w:bCs/>
        </w:rPr>
        <w:t xml:space="preserve"> outlined in section </w:t>
      </w:r>
      <w:r w:rsidR="00253396" w:rsidRPr="007B5902">
        <w:rPr>
          <w:bCs/>
        </w:rPr>
        <w:t>116.</w:t>
      </w:r>
      <w:r w:rsidR="000B5145" w:rsidRPr="007B5902">
        <w:rPr>
          <w:bCs/>
        </w:rPr>
        <w:t xml:space="preserve"> </w:t>
      </w:r>
      <w:r w:rsidR="00DF2966">
        <w:t>N</w:t>
      </w:r>
      <w:r w:rsidR="007B5902" w:rsidRPr="007B5902">
        <w:t xml:space="preserve">otable accomplishments </w:t>
      </w:r>
      <w:r w:rsidR="00DF2966">
        <w:t>by</w:t>
      </w:r>
      <w:r w:rsidR="007B5902" w:rsidRPr="007B5902">
        <w:t xml:space="preserve"> the MAERS team are:</w:t>
      </w:r>
    </w:p>
    <w:p w:rsidR="007B5902" w:rsidRPr="007B5902" w:rsidRDefault="007B5902" w:rsidP="007B5902"/>
    <w:p w:rsidR="007B5902" w:rsidRPr="007B5902" w:rsidRDefault="007B5902" w:rsidP="007B5902">
      <w:pPr>
        <w:pStyle w:val="ListParagraph"/>
        <w:numPr>
          <w:ilvl w:val="0"/>
          <w:numId w:val="18"/>
        </w:numPr>
        <w:spacing w:after="0" w:line="240" w:lineRule="auto"/>
        <w:contextualSpacing w:val="0"/>
        <w:rPr>
          <w:rFonts w:ascii="Times New Roman" w:hAnsi="Times New Roman" w:cs="Times New Roman"/>
          <w:sz w:val="24"/>
          <w:szCs w:val="24"/>
        </w:rPr>
      </w:pPr>
      <w:r w:rsidRPr="007B5902">
        <w:rPr>
          <w:rFonts w:ascii="Times New Roman" w:hAnsi="Times New Roman" w:cs="Times New Roman"/>
          <w:sz w:val="24"/>
          <w:szCs w:val="24"/>
        </w:rPr>
        <w:t xml:space="preserve">The MAERS Team met weekly to review and discuss the necessary system changes needed to meet the new requirements under WIOA and to increase the overall functionality of MAERS.  This was an arduous process to review the new law, joint guidance released from OCTAE and USDOL, and the new reporting requirements, including the combined statewide report, updated NRS Tables, and the PIRL.  </w:t>
      </w:r>
    </w:p>
    <w:p w:rsidR="007B5902" w:rsidRPr="007B5902" w:rsidRDefault="007B5902" w:rsidP="007B5902">
      <w:pPr>
        <w:pStyle w:val="ListParagraph"/>
        <w:numPr>
          <w:ilvl w:val="0"/>
          <w:numId w:val="18"/>
        </w:numPr>
        <w:spacing w:after="0" w:line="240" w:lineRule="auto"/>
        <w:contextualSpacing w:val="0"/>
        <w:rPr>
          <w:rFonts w:ascii="Times New Roman" w:hAnsi="Times New Roman" w:cs="Times New Roman"/>
          <w:sz w:val="24"/>
          <w:szCs w:val="24"/>
        </w:rPr>
      </w:pPr>
      <w:r w:rsidRPr="007B5902">
        <w:rPr>
          <w:rFonts w:ascii="Times New Roman" w:hAnsi="Times New Roman" w:cs="Times New Roman"/>
          <w:sz w:val="24"/>
          <w:szCs w:val="24"/>
        </w:rPr>
        <w:t xml:space="preserve">The MAERS Team has created mock ups of the necessary screen changes, detailed the specifications, and created power point presentations to provide guidance to the field on the updates.  </w:t>
      </w:r>
    </w:p>
    <w:p w:rsidR="007B5902" w:rsidRPr="007B5902" w:rsidRDefault="007B5902" w:rsidP="007B5902">
      <w:pPr>
        <w:pStyle w:val="ListParagraph"/>
        <w:numPr>
          <w:ilvl w:val="0"/>
          <w:numId w:val="18"/>
        </w:numPr>
        <w:spacing w:after="0" w:line="240" w:lineRule="auto"/>
        <w:contextualSpacing w:val="0"/>
        <w:rPr>
          <w:rFonts w:ascii="Times New Roman" w:hAnsi="Times New Roman" w:cs="Times New Roman"/>
          <w:sz w:val="24"/>
          <w:szCs w:val="24"/>
        </w:rPr>
      </w:pPr>
      <w:r w:rsidRPr="007B5902">
        <w:rPr>
          <w:rFonts w:ascii="Times New Roman" w:hAnsi="Times New Roman" w:cs="Times New Roman"/>
          <w:sz w:val="24"/>
          <w:szCs w:val="24"/>
        </w:rPr>
        <w:t>The team also ensured the Adult Learning Plan (intake form) was updated to collect the required information at the start of the program year.</w:t>
      </w:r>
    </w:p>
    <w:p w:rsidR="00C21112" w:rsidRPr="007B5902" w:rsidRDefault="00526B15" w:rsidP="00C21112">
      <w:pPr>
        <w:pStyle w:val="BodyTextIndent"/>
        <w:tabs>
          <w:tab w:val="left" w:pos="0"/>
        </w:tabs>
        <w:rPr>
          <w:bCs/>
          <w:color w:val="auto"/>
          <w:sz w:val="24"/>
          <w:szCs w:val="24"/>
        </w:rPr>
      </w:pPr>
      <w:r w:rsidRPr="007B5902">
        <w:rPr>
          <w:bCs/>
          <w:color w:val="auto"/>
          <w:sz w:val="24"/>
          <w:szCs w:val="24"/>
        </w:rPr>
        <w:t xml:space="preserve"> </w:t>
      </w:r>
    </w:p>
    <w:p w:rsidR="00555C35" w:rsidRPr="007B5902" w:rsidRDefault="00B56CD5">
      <w:pPr>
        <w:pStyle w:val="BodyTextIndent"/>
        <w:numPr>
          <w:ilvl w:val="0"/>
          <w:numId w:val="1"/>
        </w:numPr>
        <w:tabs>
          <w:tab w:val="clear" w:pos="720"/>
          <w:tab w:val="left" w:pos="0"/>
        </w:tabs>
        <w:ind w:left="0"/>
        <w:rPr>
          <w:b/>
          <w:bCs/>
          <w:color w:val="auto"/>
          <w:sz w:val="24"/>
          <w:szCs w:val="24"/>
        </w:rPr>
      </w:pPr>
      <w:r w:rsidRPr="007B5902">
        <w:rPr>
          <w:b/>
          <w:bCs/>
          <w:color w:val="auto"/>
          <w:sz w:val="24"/>
          <w:szCs w:val="24"/>
        </w:rPr>
        <w:t xml:space="preserve">Performance and Data Analysis. </w:t>
      </w:r>
      <w:r w:rsidR="00555C35" w:rsidRPr="007B5902">
        <w:rPr>
          <w:b/>
          <w:bCs/>
          <w:color w:val="auto"/>
          <w:sz w:val="24"/>
          <w:szCs w:val="24"/>
        </w:rPr>
        <w:t>Describe any significant findings from the Eligible Agency’s evaluation of the effectiveness of the adult education and literacy activities based on the core indicators of performance.</w:t>
      </w:r>
    </w:p>
    <w:p w:rsidR="00555C35" w:rsidRPr="007B5902" w:rsidRDefault="00555C35">
      <w:pPr>
        <w:pStyle w:val="BodyTextIndent"/>
        <w:tabs>
          <w:tab w:val="left" w:pos="360"/>
        </w:tabs>
        <w:rPr>
          <w:color w:val="auto"/>
          <w:sz w:val="24"/>
          <w:szCs w:val="24"/>
        </w:rPr>
      </w:pPr>
    </w:p>
    <w:p w:rsidR="00555C35" w:rsidRPr="007B5902" w:rsidRDefault="00555C35">
      <w:pPr>
        <w:tabs>
          <w:tab w:val="left" w:pos="360"/>
        </w:tabs>
        <w:jc w:val="both"/>
      </w:pPr>
      <w:r w:rsidRPr="007B5902">
        <w:t>The NRS data tables 4, 4B, and 5 reflect the aggregate participants’ i</w:t>
      </w:r>
      <w:r w:rsidR="00FB6B22">
        <w:t xml:space="preserve">nformation gathered through </w:t>
      </w:r>
      <w:r w:rsidR="00FB6B22" w:rsidRPr="003A45A0">
        <w:t>MAERS</w:t>
      </w:r>
      <w:r w:rsidRPr="007B5902">
        <w:t xml:space="preserve"> that met</w:t>
      </w:r>
      <w:r w:rsidR="00A90DA1" w:rsidRPr="007B5902">
        <w:t xml:space="preserve"> and/or exceeded </w:t>
      </w:r>
      <w:r w:rsidRPr="007B5902">
        <w:t xml:space="preserve">the </w:t>
      </w:r>
      <w:r w:rsidR="00A90DA1" w:rsidRPr="007B5902">
        <w:t>negotiated performance measures</w:t>
      </w:r>
      <w:r w:rsidR="002B3BDE" w:rsidRPr="007B5902">
        <w:t xml:space="preserve"> per the </w:t>
      </w:r>
      <w:r w:rsidRPr="007B5902">
        <w:t xml:space="preserve">National Reporting System (NRS) requirements. </w:t>
      </w:r>
      <w:r w:rsidR="00242CBD" w:rsidRPr="007B5902">
        <w:t>D</w:t>
      </w:r>
      <w:r w:rsidRPr="007B5902">
        <w:t xml:space="preserve">ata tables completed for this report contain information </w:t>
      </w:r>
      <w:r w:rsidR="00A57DB1" w:rsidRPr="007B5902">
        <w:t xml:space="preserve">(participants with at least 12 hours of instruction) </w:t>
      </w:r>
      <w:r w:rsidRPr="007B5902">
        <w:t xml:space="preserve">reported during the year of operation </w:t>
      </w:r>
      <w:r w:rsidR="00242CBD" w:rsidRPr="007B5902">
        <w:t>for</w:t>
      </w:r>
      <w:r w:rsidRPr="007B5902">
        <w:t xml:space="preserve"> the data system. </w:t>
      </w:r>
      <w:r w:rsidR="00CE27FA" w:rsidRPr="007B5902">
        <w:t>In-depth</w:t>
      </w:r>
      <w:r w:rsidRPr="007B5902">
        <w:t xml:space="preserve"> data analysis will continue to identify specific system policies and areas that require technical assistance to</w:t>
      </w:r>
      <w:r w:rsidR="00D67031" w:rsidRPr="007B5902">
        <w:t xml:space="preserve"> </w:t>
      </w:r>
      <w:r w:rsidRPr="007B5902">
        <w:t>program providers to improve data quality, reliability and validity.</w:t>
      </w:r>
    </w:p>
    <w:p w:rsidR="00555C35" w:rsidRPr="007B5902" w:rsidRDefault="00555C35">
      <w:pPr>
        <w:tabs>
          <w:tab w:val="left" w:pos="0"/>
        </w:tabs>
        <w:jc w:val="both"/>
      </w:pPr>
    </w:p>
    <w:p w:rsidR="00555C35" w:rsidRPr="007B5902" w:rsidRDefault="00555C35">
      <w:pPr>
        <w:tabs>
          <w:tab w:val="left" w:pos="0"/>
        </w:tabs>
        <w:jc w:val="both"/>
      </w:pPr>
      <w:r w:rsidRPr="007B5902">
        <w:t>The following are a few highlights of the findings based on Tables 4, 4B</w:t>
      </w:r>
      <w:r w:rsidR="00640103" w:rsidRPr="007B5902">
        <w:t>,</w:t>
      </w:r>
      <w:r w:rsidRPr="007B5902">
        <w:t xml:space="preserve"> and 5 respectively, the indicators of performance for the core measures:</w:t>
      </w:r>
    </w:p>
    <w:p w:rsidR="00691842" w:rsidRPr="007B5902" w:rsidRDefault="00691842">
      <w:pPr>
        <w:pStyle w:val="Heading5"/>
        <w:ind w:left="0"/>
        <w:jc w:val="center"/>
        <w:rPr>
          <w:rFonts w:ascii="Times New Roman" w:hAnsi="Times New Roman" w:cs="Times New Roman"/>
          <w:color w:val="auto"/>
          <w:sz w:val="24"/>
          <w:szCs w:val="24"/>
        </w:rPr>
      </w:pPr>
    </w:p>
    <w:p w:rsidR="00555C35" w:rsidRPr="007B5902" w:rsidRDefault="00555C35">
      <w:pPr>
        <w:pStyle w:val="Heading5"/>
        <w:ind w:left="0"/>
        <w:jc w:val="center"/>
        <w:rPr>
          <w:rFonts w:ascii="Times New Roman" w:hAnsi="Times New Roman" w:cs="Times New Roman"/>
          <w:color w:val="auto"/>
          <w:sz w:val="24"/>
          <w:szCs w:val="24"/>
        </w:rPr>
      </w:pPr>
      <w:r w:rsidRPr="007B5902">
        <w:rPr>
          <w:rFonts w:ascii="Times New Roman" w:hAnsi="Times New Roman" w:cs="Times New Roman"/>
          <w:color w:val="auto"/>
          <w:sz w:val="24"/>
          <w:szCs w:val="24"/>
        </w:rPr>
        <w:t xml:space="preserve">Table </w:t>
      </w:r>
      <w:r w:rsidR="00E16864" w:rsidRPr="007B5902">
        <w:rPr>
          <w:rFonts w:ascii="Times New Roman" w:hAnsi="Times New Roman" w:cs="Times New Roman"/>
          <w:color w:val="auto"/>
          <w:sz w:val="24"/>
          <w:szCs w:val="24"/>
        </w:rPr>
        <w:t>A</w:t>
      </w:r>
      <w:r w:rsidRPr="007B5902">
        <w:rPr>
          <w:rFonts w:ascii="Times New Roman" w:hAnsi="Times New Roman" w:cs="Times New Roman"/>
          <w:color w:val="auto"/>
          <w:sz w:val="24"/>
          <w:szCs w:val="24"/>
        </w:rPr>
        <w:t>:  Michigan Enrollment Trend Data</w:t>
      </w:r>
    </w:p>
    <w:p w:rsidR="00A75E48" w:rsidRPr="007B5902" w:rsidRDefault="00555C35" w:rsidP="00196E81">
      <w:pPr>
        <w:numPr>
          <w:ilvl w:val="0"/>
          <w:numId w:val="2"/>
        </w:numPr>
        <w:tabs>
          <w:tab w:val="left" w:pos="0"/>
        </w:tabs>
        <w:ind w:left="0"/>
        <w:jc w:val="both"/>
      </w:pPr>
      <w:r w:rsidRPr="007B5902">
        <w:t xml:space="preserve">Table </w:t>
      </w:r>
      <w:r w:rsidR="001918D7" w:rsidRPr="007B5902">
        <w:t>A</w:t>
      </w:r>
      <w:r w:rsidRPr="007B5902">
        <w:t xml:space="preserve"> and the corresponding graph illustrate the trend of enrollments </w:t>
      </w:r>
      <w:r w:rsidR="005C3F89" w:rsidRPr="007B5902">
        <w:t xml:space="preserve">(unduplicated) </w:t>
      </w:r>
      <w:r w:rsidRPr="007B5902">
        <w:t>in Michigan since 1999/2000 as reported to NRS</w:t>
      </w:r>
      <w:r w:rsidR="006F6507" w:rsidRPr="007B5902">
        <w:t xml:space="preserve"> </w:t>
      </w:r>
      <w:r w:rsidR="005C3F89" w:rsidRPr="007B5902">
        <w:t>that</w:t>
      </w:r>
      <w:r w:rsidR="006F6507" w:rsidRPr="007B5902">
        <w:t xml:space="preserve"> </w:t>
      </w:r>
      <w:r w:rsidR="005C3F89" w:rsidRPr="007B5902">
        <w:t>received at least</w:t>
      </w:r>
      <w:r w:rsidR="006F6507" w:rsidRPr="007B5902">
        <w:t xml:space="preserve"> 12</w:t>
      </w:r>
      <w:r w:rsidR="00640103" w:rsidRPr="007B5902">
        <w:t xml:space="preserve"> </w:t>
      </w:r>
      <w:r w:rsidR="006F6507" w:rsidRPr="007B5902">
        <w:t>instructional hours</w:t>
      </w:r>
      <w:r w:rsidRPr="007B5902">
        <w:t xml:space="preserve">. </w:t>
      </w:r>
      <w:r w:rsidR="00B21D1B" w:rsidRPr="007B5902">
        <w:t xml:space="preserve"> </w:t>
      </w:r>
      <w:r w:rsidR="00F1732A" w:rsidRPr="007B5902">
        <w:t>However, i</w:t>
      </w:r>
      <w:r w:rsidRPr="007B5902">
        <w:t xml:space="preserve">n </w:t>
      </w:r>
      <w:r w:rsidR="00585E63" w:rsidRPr="007B5902">
        <w:t>2015-2016</w:t>
      </w:r>
      <w:r w:rsidR="00CA7163" w:rsidRPr="007B5902">
        <w:t xml:space="preserve"> 30,051</w:t>
      </w:r>
      <w:r w:rsidR="00B53A43" w:rsidRPr="007B5902">
        <w:t xml:space="preserve"> </w:t>
      </w:r>
      <w:r w:rsidR="00F1732A" w:rsidRPr="007B5902">
        <w:t>adults registered for adult education program</w:t>
      </w:r>
      <w:r w:rsidR="00F1732A" w:rsidRPr="00FB6B22">
        <w:t>s</w:t>
      </w:r>
      <w:r w:rsidR="00FB6B22" w:rsidRPr="00EF578C">
        <w:t>,</w:t>
      </w:r>
      <w:r w:rsidR="00CA7163" w:rsidRPr="007B5902">
        <w:t xml:space="preserve"> </w:t>
      </w:r>
      <w:r w:rsidR="00692F14" w:rsidRPr="007B5902">
        <w:t xml:space="preserve">a small increase from the previous year </w:t>
      </w:r>
      <w:r w:rsidR="00CA7163" w:rsidRPr="007B5902">
        <w:t>and 27,48</w:t>
      </w:r>
      <w:r w:rsidR="00B53A43" w:rsidRPr="007B5902">
        <w:t>3</w:t>
      </w:r>
      <w:r w:rsidR="006F6507" w:rsidRPr="007B5902">
        <w:t xml:space="preserve"> </w:t>
      </w:r>
      <w:r w:rsidR="00B53A43" w:rsidRPr="007B5902">
        <w:t>received at least 12 hours of in</w:t>
      </w:r>
      <w:r w:rsidR="006D1693" w:rsidRPr="007B5902">
        <w:t>struction (about 91</w:t>
      </w:r>
      <w:r w:rsidR="00294D15" w:rsidRPr="007B5902">
        <w:t>% retention</w:t>
      </w:r>
      <w:r w:rsidR="00254FD9" w:rsidRPr="007B5902">
        <w:t xml:space="preserve"> rate</w:t>
      </w:r>
      <w:r w:rsidR="00294D15" w:rsidRPr="007B5902">
        <w:t>)</w:t>
      </w:r>
      <w:r w:rsidR="008915B2" w:rsidRPr="007B5902">
        <w:t>.</w:t>
      </w:r>
      <w:r w:rsidR="00573310" w:rsidRPr="007B5902">
        <w:t>T</w:t>
      </w:r>
      <w:r w:rsidR="00D77354" w:rsidRPr="007B5902">
        <w:t>he average pre-posttest rate was approximately</w:t>
      </w:r>
      <w:r w:rsidR="00B53A43" w:rsidRPr="007B5902">
        <w:t xml:space="preserve"> </w:t>
      </w:r>
      <w:r w:rsidR="006D1693" w:rsidRPr="007B5902">
        <w:t>60</w:t>
      </w:r>
      <w:r w:rsidR="00D77354" w:rsidRPr="007B5902">
        <w:t>%</w:t>
      </w:r>
      <w:r w:rsidR="00294D15" w:rsidRPr="007B5902">
        <w:t>,</w:t>
      </w:r>
      <w:r w:rsidR="00B53A43" w:rsidRPr="007B5902">
        <w:t xml:space="preserve"> </w:t>
      </w:r>
      <w:r w:rsidR="006D1693" w:rsidRPr="007B5902">
        <w:t xml:space="preserve">a drop compared to the previous year (2014-2015) of 64% but within striking distance of </w:t>
      </w:r>
      <w:r w:rsidR="00294D15" w:rsidRPr="007B5902">
        <w:t xml:space="preserve">the </w:t>
      </w:r>
      <w:r w:rsidR="00B53A43" w:rsidRPr="007B5902">
        <w:t xml:space="preserve">65% posttest rate stated in </w:t>
      </w:r>
      <w:r w:rsidR="006D1693" w:rsidRPr="007B5902">
        <w:t xml:space="preserve">the </w:t>
      </w:r>
      <w:r w:rsidR="00B53A43" w:rsidRPr="007B5902">
        <w:t>state policy.</w:t>
      </w:r>
    </w:p>
    <w:p w:rsidR="00555C35" w:rsidRPr="007B5902" w:rsidRDefault="00B21D1B" w:rsidP="00A75E48">
      <w:pPr>
        <w:tabs>
          <w:tab w:val="left" w:pos="0"/>
        </w:tabs>
        <w:jc w:val="both"/>
      </w:pPr>
      <w:r w:rsidRPr="007B5902">
        <w:t xml:space="preserve"> </w:t>
      </w:r>
    </w:p>
    <w:p w:rsidR="00A629CA" w:rsidRPr="006A759F" w:rsidRDefault="00FB6B22" w:rsidP="00A629CA">
      <w:pPr>
        <w:numPr>
          <w:ilvl w:val="0"/>
          <w:numId w:val="2"/>
        </w:numPr>
        <w:tabs>
          <w:tab w:val="left" w:pos="0"/>
        </w:tabs>
        <w:ind w:left="0"/>
        <w:jc w:val="both"/>
        <w:rPr>
          <w:b/>
        </w:rPr>
      </w:pPr>
      <w:r w:rsidRPr="006A759F">
        <w:rPr>
          <w:b/>
        </w:rPr>
        <w:lastRenderedPageBreak/>
        <w:t>Table A</w:t>
      </w:r>
    </w:p>
    <w:tbl>
      <w:tblPr>
        <w:tblpPr w:leftFromText="180" w:rightFromText="180" w:vertAnchor="text" w:tblpY="1"/>
        <w:tblOverlap w:val="never"/>
        <w:tblW w:w="3220" w:type="dxa"/>
        <w:tblLook w:val="04A0" w:firstRow="1" w:lastRow="0" w:firstColumn="1" w:lastColumn="0" w:noHBand="0" w:noVBand="1"/>
      </w:tblPr>
      <w:tblGrid>
        <w:gridCol w:w="1720"/>
        <w:gridCol w:w="1500"/>
      </w:tblGrid>
      <w:tr w:rsidR="00790A8C" w:rsidRPr="007B5902" w:rsidTr="00790A8C">
        <w:trPr>
          <w:trHeight w:val="324"/>
        </w:trPr>
        <w:tc>
          <w:tcPr>
            <w:tcW w:w="1720" w:type="dxa"/>
            <w:tcBorders>
              <w:top w:val="nil"/>
              <w:left w:val="nil"/>
              <w:bottom w:val="nil"/>
              <w:right w:val="nil"/>
            </w:tcBorders>
            <w:shd w:val="clear" w:color="auto" w:fill="auto"/>
            <w:noWrap/>
            <w:vAlign w:val="center"/>
            <w:hideMark/>
          </w:tcPr>
          <w:p w:rsidR="00790A8C" w:rsidRPr="007B5902" w:rsidRDefault="00790A8C" w:rsidP="00790A8C"/>
        </w:tc>
        <w:tc>
          <w:tcPr>
            <w:tcW w:w="1500" w:type="dxa"/>
            <w:tcBorders>
              <w:top w:val="nil"/>
              <w:left w:val="nil"/>
              <w:bottom w:val="nil"/>
              <w:right w:val="nil"/>
            </w:tcBorders>
            <w:shd w:val="clear" w:color="auto" w:fill="auto"/>
            <w:noWrap/>
            <w:vAlign w:val="bottom"/>
            <w:hideMark/>
          </w:tcPr>
          <w:p w:rsidR="00790A8C" w:rsidRPr="007B5902" w:rsidRDefault="00790A8C" w:rsidP="00790A8C"/>
        </w:tc>
      </w:tr>
      <w:tr w:rsidR="00790A8C" w:rsidRPr="007B5902" w:rsidTr="00790A8C">
        <w:trPr>
          <w:trHeight w:val="324"/>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b/>
                <w:bCs/>
                <w:color w:val="000000"/>
              </w:rPr>
            </w:pPr>
            <w:r w:rsidRPr="007B5902">
              <w:rPr>
                <w:b/>
                <w:bCs/>
                <w:color w:val="000000"/>
              </w:rPr>
              <w:t>Year</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790A8C" w:rsidRPr="007B5902" w:rsidRDefault="00790A8C" w:rsidP="00790A8C">
            <w:pPr>
              <w:jc w:val="both"/>
              <w:rPr>
                <w:b/>
                <w:bCs/>
                <w:color w:val="000000"/>
              </w:rPr>
            </w:pPr>
            <w:r w:rsidRPr="007B5902">
              <w:rPr>
                <w:b/>
                <w:bCs/>
                <w:color w:val="000000"/>
              </w:rPr>
              <w:t>Enrollment</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1999/2000</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86,218</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2000/2001</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56,096</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2001/2002</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75,988</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2002/2003</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70,893</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2003/2004</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48,237</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2004/2005</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34,768</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2005/2006</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32,024</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2006/2007</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32,856</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2007-2008</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30,571</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2008-2009</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28,243</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2009-2010</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31,106</w:t>
            </w:r>
          </w:p>
        </w:tc>
      </w:tr>
      <w:tr w:rsidR="00790A8C" w:rsidRPr="007B5902" w:rsidTr="00790A8C">
        <w:trPr>
          <w:trHeight w:val="324"/>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2010-2011</w:t>
            </w:r>
          </w:p>
        </w:tc>
        <w:tc>
          <w:tcPr>
            <w:tcW w:w="1500" w:type="dxa"/>
            <w:tcBorders>
              <w:top w:val="nil"/>
              <w:left w:val="nil"/>
              <w:bottom w:val="single" w:sz="8" w:space="0" w:color="auto"/>
              <w:right w:val="single" w:sz="8" w:space="0" w:color="auto"/>
            </w:tcBorders>
            <w:shd w:val="clear" w:color="auto" w:fill="auto"/>
            <w:vAlign w:val="center"/>
            <w:hideMark/>
          </w:tcPr>
          <w:p w:rsidR="00790A8C" w:rsidRPr="007B5902" w:rsidRDefault="00790A8C" w:rsidP="00790A8C">
            <w:pPr>
              <w:jc w:val="both"/>
              <w:rPr>
                <w:color w:val="000000"/>
              </w:rPr>
            </w:pPr>
            <w:r w:rsidRPr="007B5902">
              <w:rPr>
                <w:color w:val="000000"/>
              </w:rPr>
              <w:t>32,840</w:t>
            </w:r>
          </w:p>
        </w:tc>
      </w:tr>
      <w:tr w:rsidR="00790A8C" w:rsidRPr="007B5902" w:rsidTr="00790A8C">
        <w:trPr>
          <w:trHeight w:val="30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790A8C" w:rsidRPr="007B5902" w:rsidRDefault="00790A8C" w:rsidP="00790A8C">
            <w:pPr>
              <w:rPr>
                <w:color w:val="000000"/>
              </w:rPr>
            </w:pPr>
            <w:r w:rsidRPr="007B5902">
              <w:rPr>
                <w:color w:val="000000"/>
              </w:rPr>
              <w:t>2011-2012</w:t>
            </w:r>
          </w:p>
        </w:tc>
        <w:tc>
          <w:tcPr>
            <w:tcW w:w="1500" w:type="dxa"/>
            <w:tcBorders>
              <w:top w:val="nil"/>
              <w:left w:val="nil"/>
              <w:bottom w:val="single" w:sz="8" w:space="0" w:color="auto"/>
              <w:right w:val="single" w:sz="8" w:space="0" w:color="auto"/>
            </w:tcBorders>
            <w:shd w:val="clear" w:color="auto" w:fill="auto"/>
            <w:noWrap/>
            <w:vAlign w:val="bottom"/>
            <w:hideMark/>
          </w:tcPr>
          <w:p w:rsidR="00790A8C" w:rsidRPr="007B5902" w:rsidRDefault="00790A8C" w:rsidP="00790A8C">
            <w:pPr>
              <w:rPr>
                <w:color w:val="000000"/>
              </w:rPr>
            </w:pPr>
            <w:r w:rsidRPr="007B5902">
              <w:rPr>
                <w:color w:val="000000"/>
              </w:rPr>
              <w:t>34,220</w:t>
            </w:r>
          </w:p>
        </w:tc>
      </w:tr>
      <w:tr w:rsidR="00790A8C" w:rsidRPr="007B5902" w:rsidTr="00790A8C">
        <w:trPr>
          <w:trHeight w:val="30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790A8C" w:rsidRPr="007B5902" w:rsidRDefault="00790A8C" w:rsidP="00790A8C">
            <w:pPr>
              <w:rPr>
                <w:color w:val="000000"/>
              </w:rPr>
            </w:pPr>
            <w:r w:rsidRPr="007B5902">
              <w:rPr>
                <w:color w:val="000000"/>
              </w:rPr>
              <w:t>2012-2013</w:t>
            </w:r>
          </w:p>
        </w:tc>
        <w:tc>
          <w:tcPr>
            <w:tcW w:w="1500" w:type="dxa"/>
            <w:tcBorders>
              <w:top w:val="nil"/>
              <w:left w:val="nil"/>
              <w:bottom w:val="single" w:sz="8" w:space="0" w:color="auto"/>
              <w:right w:val="single" w:sz="8" w:space="0" w:color="auto"/>
            </w:tcBorders>
            <w:shd w:val="clear" w:color="auto" w:fill="auto"/>
            <w:noWrap/>
            <w:vAlign w:val="bottom"/>
            <w:hideMark/>
          </w:tcPr>
          <w:p w:rsidR="00790A8C" w:rsidRPr="007B5902" w:rsidRDefault="00790A8C" w:rsidP="00790A8C">
            <w:pPr>
              <w:rPr>
                <w:color w:val="000000"/>
              </w:rPr>
            </w:pPr>
            <w:r w:rsidRPr="007B5902">
              <w:rPr>
                <w:color w:val="000000"/>
              </w:rPr>
              <w:t>29,533</w:t>
            </w:r>
          </w:p>
        </w:tc>
      </w:tr>
      <w:tr w:rsidR="00790A8C" w:rsidRPr="007B5902" w:rsidTr="00790A8C">
        <w:trPr>
          <w:trHeight w:val="30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790A8C" w:rsidRPr="007B5902" w:rsidRDefault="00790A8C" w:rsidP="00790A8C">
            <w:pPr>
              <w:rPr>
                <w:color w:val="000000"/>
              </w:rPr>
            </w:pPr>
            <w:r w:rsidRPr="007B5902">
              <w:rPr>
                <w:color w:val="000000"/>
              </w:rPr>
              <w:t>2013-2014</w:t>
            </w:r>
          </w:p>
        </w:tc>
        <w:tc>
          <w:tcPr>
            <w:tcW w:w="1500" w:type="dxa"/>
            <w:tcBorders>
              <w:top w:val="nil"/>
              <w:left w:val="nil"/>
              <w:bottom w:val="single" w:sz="8" w:space="0" w:color="auto"/>
              <w:right w:val="single" w:sz="8" w:space="0" w:color="auto"/>
            </w:tcBorders>
            <w:shd w:val="clear" w:color="auto" w:fill="auto"/>
            <w:noWrap/>
            <w:vAlign w:val="bottom"/>
            <w:hideMark/>
          </w:tcPr>
          <w:p w:rsidR="00790A8C" w:rsidRPr="007B5902" w:rsidRDefault="00790A8C" w:rsidP="00790A8C">
            <w:pPr>
              <w:rPr>
                <w:color w:val="000000"/>
              </w:rPr>
            </w:pPr>
            <w:r w:rsidRPr="007B5902">
              <w:rPr>
                <w:color w:val="000000"/>
              </w:rPr>
              <w:t>28,625</w:t>
            </w:r>
          </w:p>
        </w:tc>
      </w:tr>
      <w:tr w:rsidR="00790A8C" w:rsidRPr="007B5902" w:rsidTr="00790A8C">
        <w:trPr>
          <w:trHeight w:val="30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790A8C" w:rsidRPr="007B5902" w:rsidRDefault="00790A8C" w:rsidP="00790A8C">
            <w:pPr>
              <w:rPr>
                <w:color w:val="000000"/>
              </w:rPr>
            </w:pPr>
            <w:r w:rsidRPr="007B5902">
              <w:rPr>
                <w:color w:val="000000"/>
              </w:rPr>
              <w:t>2014-2015</w:t>
            </w:r>
          </w:p>
        </w:tc>
        <w:tc>
          <w:tcPr>
            <w:tcW w:w="1500" w:type="dxa"/>
            <w:tcBorders>
              <w:top w:val="nil"/>
              <w:left w:val="nil"/>
              <w:bottom w:val="single" w:sz="8" w:space="0" w:color="auto"/>
              <w:right w:val="single" w:sz="8" w:space="0" w:color="auto"/>
            </w:tcBorders>
            <w:shd w:val="clear" w:color="auto" w:fill="auto"/>
            <w:noWrap/>
            <w:vAlign w:val="bottom"/>
            <w:hideMark/>
          </w:tcPr>
          <w:p w:rsidR="00790A8C" w:rsidRPr="007B5902" w:rsidRDefault="00790A8C" w:rsidP="00790A8C">
            <w:pPr>
              <w:rPr>
                <w:color w:val="000000"/>
              </w:rPr>
            </w:pPr>
            <w:r w:rsidRPr="007B5902">
              <w:rPr>
                <w:color w:val="000000"/>
              </w:rPr>
              <w:t>27,443</w:t>
            </w:r>
          </w:p>
        </w:tc>
      </w:tr>
      <w:tr w:rsidR="00790A8C" w:rsidRPr="007B5902" w:rsidTr="00790A8C">
        <w:trPr>
          <w:trHeight w:val="30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790A8C" w:rsidRPr="007B5902" w:rsidRDefault="00790A8C" w:rsidP="00790A8C">
            <w:pPr>
              <w:rPr>
                <w:color w:val="000000"/>
              </w:rPr>
            </w:pPr>
            <w:r w:rsidRPr="007B5902">
              <w:rPr>
                <w:color w:val="000000"/>
              </w:rPr>
              <w:t>2015-2016</w:t>
            </w:r>
          </w:p>
        </w:tc>
        <w:tc>
          <w:tcPr>
            <w:tcW w:w="1500" w:type="dxa"/>
            <w:tcBorders>
              <w:top w:val="nil"/>
              <w:left w:val="nil"/>
              <w:bottom w:val="single" w:sz="8" w:space="0" w:color="auto"/>
              <w:right w:val="single" w:sz="8" w:space="0" w:color="auto"/>
            </w:tcBorders>
            <w:shd w:val="clear" w:color="auto" w:fill="auto"/>
            <w:noWrap/>
            <w:vAlign w:val="bottom"/>
            <w:hideMark/>
          </w:tcPr>
          <w:p w:rsidR="00790A8C" w:rsidRPr="007B5902" w:rsidRDefault="00790A8C" w:rsidP="00790A8C">
            <w:pPr>
              <w:rPr>
                <w:color w:val="000000"/>
              </w:rPr>
            </w:pPr>
            <w:r w:rsidRPr="007B5902">
              <w:rPr>
                <w:color w:val="000000"/>
              </w:rPr>
              <w:t>30,051</w:t>
            </w:r>
          </w:p>
        </w:tc>
      </w:tr>
      <w:tr w:rsidR="00790A8C" w:rsidRPr="007B5902" w:rsidTr="00790A8C">
        <w:trPr>
          <w:trHeight w:val="288"/>
        </w:trPr>
        <w:tc>
          <w:tcPr>
            <w:tcW w:w="1720" w:type="dxa"/>
            <w:tcBorders>
              <w:top w:val="nil"/>
              <w:left w:val="nil"/>
              <w:bottom w:val="nil"/>
              <w:right w:val="nil"/>
            </w:tcBorders>
            <w:shd w:val="clear" w:color="auto" w:fill="auto"/>
            <w:noWrap/>
            <w:vAlign w:val="bottom"/>
            <w:hideMark/>
          </w:tcPr>
          <w:p w:rsidR="00790A8C" w:rsidRPr="007B5902" w:rsidRDefault="00790A8C" w:rsidP="00790A8C">
            <w:pPr>
              <w:rPr>
                <w:color w:val="000000"/>
              </w:rPr>
            </w:pPr>
          </w:p>
        </w:tc>
        <w:tc>
          <w:tcPr>
            <w:tcW w:w="1500" w:type="dxa"/>
            <w:tcBorders>
              <w:top w:val="nil"/>
              <w:left w:val="nil"/>
              <w:bottom w:val="nil"/>
              <w:right w:val="nil"/>
            </w:tcBorders>
            <w:shd w:val="clear" w:color="auto" w:fill="auto"/>
            <w:noWrap/>
            <w:vAlign w:val="bottom"/>
            <w:hideMark/>
          </w:tcPr>
          <w:p w:rsidR="00790A8C" w:rsidRPr="007B5902" w:rsidRDefault="00790A8C" w:rsidP="00790A8C"/>
        </w:tc>
      </w:tr>
    </w:tbl>
    <w:p w:rsidR="00790A8C" w:rsidRPr="007B5902" w:rsidRDefault="00790A8C">
      <w:r w:rsidRPr="007B5902">
        <w:br w:type="textWrapping" w:clear="all"/>
      </w:r>
    </w:p>
    <w:tbl>
      <w:tblPr>
        <w:tblW w:w="8784" w:type="dxa"/>
        <w:tblLook w:val="04A0" w:firstRow="1" w:lastRow="0" w:firstColumn="1" w:lastColumn="0" w:noHBand="0" w:noVBand="1"/>
      </w:tblPr>
      <w:tblGrid>
        <w:gridCol w:w="1176"/>
        <w:gridCol w:w="976"/>
        <w:gridCol w:w="976"/>
        <w:gridCol w:w="976"/>
        <w:gridCol w:w="976"/>
        <w:gridCol w:w="976"/>
        <w:gridCol w:w="976"/>
        <w:gridCol w:w="976"/>
        <w:gridCol w:w="976"/>
      </w:tblGrid>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pPr>
              <w:rPr>
                <w:color w:val="000000"/>
              </w:rPr>
            </w:pPr>
            <w:r w:rsidRPr="007B5902">
              <w:rPr>
                <w:noProof/>
                <w:color w:val="000000"/>
              </w:rPr>
              <w:drawing>
                <wp:anchor distT="0" distB="0" distL="114300" distR="114300" simplePos="0" relativeHeight="251658240" behindDoc="0" locked="0" layoutInCell="1" allowOverlap="1">
                  <wp:simplePos x="0" y="0"/>
                  <wp:positionH relativeFrom="column">
                    <wp:posOffset>563880</wp:posOffset>
                  </wp:positionH>
                  <wp:positionV relativeFrom="paragraph">
                    <wp:posOffset>152400</wp:posOffset>
                  </wp:positionV>
                  <wp:extent cx="4587240" cy="3329940"/>
                  <wp:effectExtent l="0" t="0" r="3810" b="3810"/>
                  <wp:wrapNone/>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790A8C" w:rsidRPr="007B5902">
              <w:trPr>
                <w:trHeight w:val="324"/>
                <w:tblCellSpacing w:w="0" w:type="dxa"/>
              </w:trPr>
              <w:tc>
                <w:tcPr>
                  <w:tcW w:w="960" w:type="dxa"/>
                  <w:tcBorders>
                    <w:top w:val="nil"/>
                    <w:left w:val="nil"/>
                    <w:bottom w:val="nil"/>
                    <w:right w:val="nil"/>
                  </w:tcBorders>
                  <w:shd w:val="clear" w:color="auto" w:fill="auto"/>
                  <w:noWrap/>
                  <w:vAlign w:val="bottom"/>
                  <w:hideMark/>
                </w:tcPr>
                <w:p w:rsidR="00790A8C" w:rsidRPr="007B5902" w:rsidRDefault="00790A8C">
                  <w:pPr>
                    <w:rPr>
                      <w:color w:val="000000"/>
                    </w:rPr>
                  </w:pPr>
                </w:p>
              </w:tc>
            </w:tr>
          </w:tbl>
          <w:p w:rsidR="00790A8C" w:rsidRPr="007B5902" w:rsidRDefault="00790A8C">
            <w:pPr>
              <w:rPr>
                <w:color w:val="000000"/>
              </w:rPr>
            </w:pPr>
          </w:p>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24"/>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00"/>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00"/>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00"/>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00"/>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r w:rsidR="00790A8C" w:rsidRPr="007B5902" w:rsidTr="00790A8C">
        <w:trPr>
          <w:trHeight w:val="300"/>
        </w:trPr>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c>
          <w:tcPr>
            <w:tcW w:w="976" w:type="dxa"/>
            <w:tcBorders>
              <w:top w:val="nil"/>
              <w:left w:val="nil"/>
              <w:bottom w:val="nil"/>
              <w:right w:val="nil"/>
            </w:tcBorders>
            <w:shd w:val="clear" w:color="auto" w:fill="auto"/>
            <w:noWrap/>
            <w:vAlign w:val="bottom"/>
            <w:hideMark/>
          </w:tcPr>
          <w:p w:rsidR="00790A8C" w:rsidRPr="007B5902" w:rsidRDefault="00790A8C"/>
        </w:tc>
      </w:tr>
    </w:tbl>
    <w:p w:rsidR="00A629CA" w:rsidRPr="007B5902" w:rsidRDefault="00790A8C" w:rsidP="00787A47">
      <w:r w:rsidRPr="007B5902">
        <w:br w:type="page"/>
      </w:r>
      <w:r w:rsidR="00A629CA" w:rsidRPr="007B5902">
        <w:lastRenderedPageBreak/>
        <w:t>The following are Michigan’s performance compared to the levels negotiated with the U.S. Department of Education.</w:t>
      </w:r>
    </w:p>
    <w:p w:rsidR="00A629CA" w:rsidRPr="007B5902" w:rsidRDefault="00A629CA"/>
    <w:p w:rsidR="00555C35" w:rsidRPr="007B5902" w:rsidRDefault="00F0126F">
      <w:pPr>
        <w:pStyle w:val="BodyTextIndent"/>
        <w:tabs>
          <w:tab w:val="left" w:pos="360"/>
        </w:tabs>
        <w:ind w:hanging="360"/>
        <w:jc w:val="center"/>
        <w:rPr>
          <w:b/>
          <w:bCs/>
          <w:color w:val="auto"/>
          <w:sz w:val="24"/>
          <w:szCs w:val="24"/>
        </w:rPr>
      </w:pPr>
      <w:r w:rsidRPr="007B5902">
        <w:rPr>
          <w:b/>
          <w:bCs/>
          <w:color w:val="auto"/>
          <w:sz w:val="24"/>
          <w:szCs w:val="24"/>
        </w:rPr>
        <w:t>Table B</w:t>
      </w:r>
      <w:r w:rsidR="001A7E4E" w:rsidRPr="007B5902">
        <w:rPr>
          <w:b/>
          <w:bCs/>
          <w:color w:val="auto"/>
          <w:sz w:val="24"/>
          <w:szCs w:val="24"/>
        </w:rPr>
        <w:t xml:space="preserve">: NRS Table 4 - </w:t>
      </w:r>
      <w:r w:rsidR="00555C35" w:rsidRPr="007B5902">
        <w:rPr>
          <w:b/>
          <w:bCs/>
          <w:color w:val="auto"/>
          <w:sz w:val="24"/>
          <w:szCs w:val="24"/>
        </w:rPr>
        <w:t>Educational Gains and Attendance by EFL</w:t>
      </w:r>
    </w:p>
    <w:p w:rsidR="00555C35" w:rsidRPr="007B5902" w:rsidRDefault="00555C35">
      <w:pPr>
        <w:pStyle w:val="BodyTextIndent"/>
        <w:tabs>
          <w:tab w:val="left" w:pos="360"/>
        </w:tabs>
        <w:ind w:hanging="360"/>
        <w:rPr>
          <w:color w:val="auto"/>
          <w:sz w:val="24"/>
          <w:szCs w:val="24"/>
        </w:rPr>
      </w:pPr>
      <w:r w:rsidRPr="007B5902">
        <w:rPr>
          <w:color w:val="auto"/>
          <w:sz w:val="24"/>
          <w:szCs w:val="24"/>
        </w:rPr>
        <w:tab/>
      </w:r>
      <w:r w:rsidRPr="007B5902">
        <w:rPr>
          <w:color w:val="auto"/>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39"/>
        <w:gridCol w:w="1177"/>
        <w:gridCol w:w="1260"/>
      </w:tblGrid>
      <w:tr w:rsidR="00E54A82" w:rsidRPr="007B5902" w:rsidTr="00676E25">
        <w:trPr>
          <w:cantSplit/>
          <w:trHeight w:val="404"/>
          <w:jc w:val="center"/>
        </w:trPr>
        <w:tc>
          <w:tcPr>
            <w:tcW w:w="4839" w:type="dxa"/>
            <w:tcBorders>
              <w:top w:val="single" w:sz="4" w:space="0" w:color="auto"/>
            </w:tcBorders>
          </w:tcPr>
          <w:p w:rsidR="00267609" w:rsidRPr="007B5902" w:rsidRDefault="00267609">
            <w:pPr>
              <w:jc w:val="both"/>
              <w:rPr>
                <w:b/>
                <w:bCs/>
                <w:i/>
                <w:iCs/>
              </w:rPr>
            </w:pPr>
          </w:p>
          <w:p w:rsidR="00676E25" w:rsidRPr="007B5902" w:rsidRDefault="00585E63" w:rsidP="008F631D">
            <w:pPr>
              <w:jc w:val="center"/>
              <w:rPr>
                <w:b/>
                <w:bCs/>
                <w:i/>
                <w:iCs/>
              </w:rPr>
            </w:pPr>
            <w:r w:rsidRPr="007B5902">
              <w:rPr>
                <w:b/>
                <w:bCs/>
                <w:i/>
                <w:iCs/>
              </w:rPr>
              <w:t>2015-2016</w:t>
            </w:r>
            <w:r w:rsidR="00676E25" w:rsidRPr="007B5902">
              <w:rPr>
                <w:b/>
                <w:bCs/>
                <w:i/>
                <w:iCs/>
              </w:rPr>
              <w:t xml:space="preserve"> Benchmarks</w:t>
            </w:r>
          </w:p>
        </w:tc>
        <w:tc>
          <w:tcPr>
            <w:tcW w:w="1177" w:type="dxa"/>
            <w:tcBorders>
              <w:top w:val="single" w:sz="4" w:space="0" w:color="auto"/>
            </w:tcBorders>
          </w:tcPr>
          <w:p w:rsidR="00676E25" w:rsidRPr="007B5902" w:rsidRDefault="00985B18" w:rsidP="00267609">
            <w:pPr>
              <w:jc w:val="center"/>
              <w:rPr>
                <w:b/>
                <w:bCs/>
                <w:i/>
                <w:iCs/>
              </w:rPr>
            </w:pPr>
            <w:r w:rsidRPr="007B5902">
              <w:rPr>
                <w:b/>
                <w:bCs/>
                <w:i/>
                <w:iCs/>
              </w:rPr>
              <w:t>Federal Target</w:t>
            </w:r>
          </w:p>
        </w:tc>
        <w:tc>
          <w:tcPr>
            <w:tcW w:w="1260" w:type="dxa"/>
            <w:tcBorders>
              <w:top w:val="single" w:sz="4" w:space="0" w:color="auto"/>
            </w:tcBorders>
          </w:tcPr>
          <w:p w:rsidR="00267609" w:rsidRPr="007B5902" w:rsidRDefault="00985B18" w:rsidP="00267609">
            <w:pPr>
              <w:jc w:val="center"/>
              <w:rPr>
                <w:b/>
                <w:bCs/>
                <w:i/>
                <w:iCs/>
              </w:rPr>
            </w:pPr>
            <w:r w:rsidRPr="007B5902">
              <w:rPr>
                <w:b/>
                <w:bCs/>
                <w:i/>
                <w:iCs/>
              </w:rPr>
              <w:t xml:space="preserve">State </w:t>
            </w:r>
          </w:p>
          <w:p w:rsidR="00676E25" w:rsidRPr="007B5902" w:rsidRDefault="00985B18" w:rsidP="00267609">
            <w:pPr>
              <w:jc w:val="center"/>
              <w:rPr>
                <w:b/>
                <w:bCs/>
                <w:i/>
                <w:iCs/>
              </w:rPr>
            </w:pPr>
            <w:r w:rsidRPr="007B5902">
              <w:rPr>
                <w:b/>
                <w:bCs/>
                <w:i/>
                <w:iCs/>
              </w:rPr>
              <w:t>Actual</w:t>
            </w:r>
          </w:p>
        </w:tc>
      </w:tr>
      <w:tr w:rsidR="00E54A82" w:rsidRPr="007B5902" w:rsidTr="00676E25">
        <w:trPr>
          <w:cantSplit/>
          <w:trHeight w:val="300"/>
          <w:jc w:val="center"/>
        </w:trPr>
        <w:tc>
          <w:tcPr>
            <w:tcW w:w="4839" w:type="dxa"/>
          </w:tcPr>
          <w:p w:rsidR="00676E25" w:rsidRPr="007B5902" w:rsidRDefault="00676E25">
            <w:pPr>
              <w:jc w:val="both"/>
            </w:pPr>
            <w:r w:rsidRPr="007B5902">
              <w:t>Beginning ABE Literacy</w:t>
            </w:r>
          </w:p>
        </w:tc>
        <w:tc>
          <w:tcPr>
            <w:tcW w:w="1177" w:type="dxa"/>
          </w:tcPr>
          <w:p w:rsidR="00676E25" w:rsidRPr="007B5902" w:rsidRDefault="005435ED">
            <w:pPr>
              <w:jc w:val="both"/>
            </w:pPr>
            <w:r w:rsidRPr="007B5902">
              <w:t>44</w:t>
            </w:r>
            <w:r w:rsidR="00676E25" w:rsidRPr="007B5902">
              <w:t>%</w:t>
            </w:r>
          </w:p>
        </w:tc>
        <w:tc>
          <w:tcPr>
            <w:tcW w:w="1260" w:type="dxa"/>
          </w:tcPr>
          <w:p w:rsidR="00676E25" w:rsidRPr="007B5902" w:rsidRDefault="00981247">
            <w:pPr>
              <w:jc w:val="both"/>
              <w:rPr>
                <w:b/>
              </w:rPr>
            </w:pPr>
            <w:r w:rsidRPr="007B5902">
              <w:rPr>
                <w:b/>
              </w:rPr>
              <w:t>45</w:t>
            </w:r>
            <w:r w:rsidR="00676E25" w:rsidRPr="007B5902">
              <w:rPr>
                <w:b/>
              </w:rPr>
              <w:t>%</w:t>
            </w:r>
          </w:p>
        </w:tc>
      </w:tr>
      <w:tr w:rsidR="00E54A82" w:rsidRPr="007B5902" w:rsidTr="00676E25">
        <w:trPr>
          <w:cantSplit/>
          <w:trHeight w:val="300"/>
          <w:jc w:val="center"/>
        </w:trPr>
        <w:tc>
          <w:tcPr>
            <w:tcW w:w="4839" w:type="dxa"/>
          </w:tcPr>
          <w:p w:rsidR="00676E25" w:rsidRPr="007B5902" w:rsidRDefault="00676E25">
            <w:pPr>
              <w:jc w:val="both"/>
            </w:pPr>
            <w:r w:rsidRPr="007B5902">
              <w:t>Beginning ABE Education</w:t>
            </w:r>
          </w:p>
        </w:tc>
        <w:tc>
          <w:tcPr>
            <w:tcW w:w="1177" w:type="dxa"/>
          </w:tcPr>
          <w:p w:rsidR="00676E25" w:rsidRPr="007B5902" w:rsidRDefault="005435ED">
            <w:pPr>
              <w:jc w:val="both"/>
            </w:pPr>
            <w:r w:rsidRPr="007B5902">
              <w:t>42</w:t>
            </w:r>
            <w:r w:rsidR="00676E25" w:rsidRPr="007B5902">
              <w:t>%</w:t>
            </w:r>
          </w:p>
        </w:tc>
        <w:tc>
          <w:tcPr>
            <w:tcW w:w="1260" w:type="dxa"/>
          </w:tcPr>
          <w:p w:rsidR="00676E25" w:rsidRPr="007B5902" w:rsidRDefault="00981247">
            <w:pPr>
              <w:jc w:val="both"/>
              <w:rPr>
                <w:b/>
              </w:rPr>
            </w:pPr>
            <w:r w:rsidRPr="007B5902">
              <w:rPr>
                <w:b/>
              </w:rPr>
              <w:t>32</w:t>
            </w:r>
            <w:r w:rsidR="00676E25" w:rsidRPr="007B5902">
              <w:rPr>
                <w:b/>
              </w:rPr>
              <w:t>%</w:t>
            </w:r>
            <w:r w:rsidR="005F465B" w:rsidRPr="007B5902">
              <w:rPr>
                <w:b/>
              </w:rPr>
              <w:t>*</w:t>
            </w:r>
          </w:p>
        </w:tc>
      </w:tr>
      <w:tr w:rsidR="00E54A82" w:rsidRPr="007B5902" w:rsidTr="00676E25">
        <w:trPr>
          <w:cantSplit/>
          <w:trHeight w:val="300"/>
          <w:jc w:val="center"/>
        </w:trPr>
        <w:tc>
          <w:tcPr>
            <w:tcW w:w="4839" w:type="dxa"/>
          </w:tcPr>
          <w:p w:rsidR="00676E25" w:rsidRPr="007B5902" w:rsidRDefault="00676E25">
            <w:r w:rsidRPr="007B5902">
              <w:t>Low Intermediate Basic Education</w:t>
            </w:r>
          </w:p>
        </w:tc>
        <w:tc>
          <w:tcPr>
            <w:tcW w:w="1177" w:type="dxa"/>
          </w:tcPr>
          <w:p w:rsidR="00676E25" w:rsidRPr="007B5902" w:rsidRDefault="005435ED">
            <w:pPr>
              <w:jc w:val="both"/>
            </w:pPr>
            <w:r w:rsidRPr="007B5902">
              <w:t>37</w:t>
            </w:r>
            <w:r w:rsidR="00676E25" w:rsidRPr="007B5902">
              <w:t>%</w:t>
            </w:r>
          </w:p>
        </w:tc>
        <w:tc>
          <w:tcPr>
            <w:tcW w:w="1260" w:type="dxa"/>
          </w:tcPr>
          <w:p w:rsidR="00676E25" w:rsidRPr="007B5902" w:rsidRDefault="00976465">
            <w:pPr>
              <w:jc w:val="both"/>
              <w:rPr>
                <w:b/>
              </w:rPr>
            </w:pPr>
            <w:r w:rsidRPr="007B5902">
              <w:rPr>
                <w:b/>
              </w:rPr>
              <w:t>33</w:t>
            </w:r>
            <w:r w:rsidR="00676E25" w:rsidRPr="007B5902">
              <w:rPr>
                <w:b/>
              </w:rPr>
              <w:t>%</w:t>
            </w:r>
            <w:r w:rsidR="00E25799" w:rsidRPr="007B5902">
              <w:rPr>
                <w:b/>
              </w:rPr>
              <w:t>*</w:t>
            </w:r>
          </w:p>
        </w:tc>
      </w:tr>
      <w:tr w:rsidR="00E54A82" w:rsidRPr="007B5902" w:rsidTr="00676E25">
        <w:trPr>
          <w:cantSplit/>
          <w:trHeight w:val="300"/>
          <w:jc w:val="center"/>
        </w:trPr>
        <w:tc>
          <w:tcPr>
            <w:tcW w:w="4839" w:type="dxa"/>
          </w:tcPr>
          <w:p w:rsidR="00676E25" w:rsidRPr="007B5902" w:rsidRDefault="00676E25">
            <w:r w:rsidRPr="007B5902">
              <w:t>High Intermediate Basic Education</w:t>
            </w:r>
          </w:p>
        </w:tc>
        <w:tc>
          <w:tcPr>
            <w:tcW w:w="1177" w:type="dxa"/>
          </w:tcPr>
          <w:p w:rsidR="00676E25" w:rsidRPr="007B5902" w:rsidRDefault="005435ED">
            <w:pPr>
              <w:jc w:val="both"/>
            </w:pPr>
            <w:r w:rsidRPr="007B5902">
              <w:t>31</w:t>
            </w:r>
            <w:r w:rsidR="00676E25" w:rsidRPr="007B5902">
              <w:t>%</w:t>
            </w:r>
          </w:p>
        </w:tc>
        <w:tc>
          <w:tcPr>
            <w:tcW w:w="1260" w:type="dxa"/>
          </w:tcPr>
          <w:p w:rsidR="00676E25" w:rsidRPr="007B5902" w:rsidRDefault="00976465">
            <w:pPr>
              <w:jc w:val="both"/>
              <w:rPr>
                <w:b/>
              </w:rPr>
            </w:pPr>
            <w:r w:rsidRPr="007B5902">
              <w:rPr>
                <w:b/>
              </w:rPr>
              <w:t>29</w:t>
            </w:r>
            <w:r w:rsidR="00676E25" w:rsidRPr="007B5902">
              <w:rPr>
                <w:b/>
              </w:rPr>
              <w:t>%</w:t>
            </w:r>
            <w:r w:rsidR="00E25799" w:rsidRPr="007B5902">
              <w:rPr>
                <w:b/>
              </w:rPr>
              <w:t>*</w:t>
            </w:r>
          </w:p>
        </w:tc>
      </w:tr>
      <w:tr w:rsidR="00E54A82" w:rsidRPr="007B5902" w:rsidTr="00676E25">
        <w:trPr>
          <w:cantSplit/>
          <w:trHeight w:val="300"/>
          <w:jc w:val="center"/>
        </w:trPr>
        <w:tc>
          <w:tcPr>
            <w:tcW w:w="4839" w:type="dxa"/>
          </w:tcPr>
          <w:p w:rsidR="00676E25" w:rsidRPr="007B5902" w:rsidRDefault="00676E25">
            <w:r w:rsidRPr="007B5902">
              <w:t>Low Adult Secondary Education</w:t>
            </w:r>
          </w:p>
        </w:tc>
        <w:tc>
          <w:tcPr>
            <w:tcW w:w="1177" w:type="dxa"/>
          </w:tcPr>
          <w:p w:rsidR="00676E25" w:rsidRPr="007B5902" w:rsidRDefault="005A0F80">
            <w:pPr>
              <w:jc w:val="both"/>
            </w:pPr>
            <w:r w:rsidRPr="007B5902">
              <w:t>34</w:t>
            </w:r>
            <w:r w:rsidR="00676E25" w:rsidRPr="007B5902">
              <w:t>%</w:t>
            </w:r>
          </w:p>
        </w:tc>
        <w:tc>
          <w:tcPr>
            <w:tcW w:w="1260" w:type="dxa"/>
          </w:tcPr>
          <w:p w:rsidR="00676E25" w:rsidRPr="007B5902" w:rsidRDefault="00976465">
            <w:pPr>
              <w:jc w:val="both"/>
              <w:rPr>
                <w:b/>
              </w:rPr>
            </w:pPr>
            <w:r w:rsidRPr="007B5902">
              <w:rPr>
                <w:b/>
              </w:rPr>
              <w:t>32</w:t>
            </w:r>
            <w:r w:rsidR="00676E25" w:rsidRPr="007B5902">
              <w:rPr>
                <w:b/>
              </w:rPr>
              <w:t>%</w:t>
            </w:r>
            <w:r w:rsidR="00E25799" w:rsidRPr="007B5902">
              <w:rPr>
                <w:b/>
              </w:rPr>
              <w:t>*</w:t>
            </w:r>
          </w:p>
        </w:tc>
      </w:tr>
      <w:tr w:rsidR="00E54A82" w:rsidRPr="007B5902" w:rsidTr="00676E25">
        <w:trPr>
          <w:cantSplit/>
          <w:trHeight w:val="300"/>
          <w:jc w:val="center"/>
        </w:trPr>
        <w:tc>
          <w:tcPr>
            <w:tcW w:w="4839" w:type="dxa"/>
          </w:tcPr>
          <w:p w:rsidR="00676E25" w:rsidRPr="007B5902" w:rsidRDefault="00676E25">
            <w:r w:rsidRPr="007B5902">
              <w:t>High Adult Secondary Education</w:t>
            </w:r>
          </w:p>
        </w:tc>
        <w:tc>
          <w:tcPr>
            <w:tcW w:w="1177" w:type="dxa"/>
          </w:tcPr>
          <w:p w:rsidR="00676E25" w:rsidRPr="007B5902" w:rsidRDefault="00676E25">
            <w:pPr>
              <w:jc w:val="both"/>
            </w:pPr>
            <w:r w:rsidRPr="007B5902">
              <w:t>N/A</w:t>
            </w:r>
          </w:p>
        </w:tc>
        <w:tc>
          <w:tcPr>
            <w:tcW w:w="1260" w:type="dxa"/>
          </w:tcPr>
          <w:p w:rsidR="00676E25" w:rsidRPr="007B5902" w:rsidRDefault="00676E25">
            <w:pPr>
              <w:jc w:val="both"/>
              <w:rPr>
                <w:b/>
              </w:rPr>
            </w:pPr>
            <w:r w:rsidRPr="007B5902">
              <w:rPr>
                <w:b/>
              </w:rPr>
              <w:t>N/A</w:t>
            </w:r>
          </w:p>
        </w:tc>
      </w:tr>
      <w:tr w:rsidR="00E54A82" w:rsidRPr="007B5902" w:rsidTr="00676E25">
        <w:trPr>
          <w:cantSplit/>
          <w:trHeight w:val="300"/>
          <w:jc w:val="center"/>
        </w:trPr>
        <w:tc>
          <w:tcPr>
            <w:tcW w:w="4839" w:type="dxa"/>
          </w:tcPr>
          <w:p w:rsidR="00676E25" w:rsidRPr="007B5902" w:rsidRDefault="00676E25">
            <w:pPr>
              <w:jc w:val="both"/>
            </w:pPr>
          </w:p>
        </w:tc>
        <w:tc>
          <w:tcPr>
            <w:tcW w:w="1177" w:type="dxa"/>
          </w:tcPr>
          <w:p w:rsidR="00676E25" w:rsidRPr="007B5902" w:rsidRDefault="00676E25">
            <w:pPr>
              <w:jc w:val="both"/>
            </w:pPr>
          </w:p>
        </w:tc>
        <w:tc>
          <w:tcPr>
            <w:tcW w:w="1260" w:type="dxa"/>
          </w:tcPr>
          <w:p w:rsidR="00676E25" w:rsidRPr="007B5902" w:rsidRDefault="00676E25">
            <w:pPr>
              <w:jc w:val="both"/>
              <w:rPr>
                <w:b/>
              </w:rPr>
            </w:pPr>
          </w:p>
        </w:tc>
      </w:tr>
      <w:tr w:rsidR="00E54A82" w:rsidRPr="007B5902" w:rsidTr="00676E25">
        <w:trPr>
          <w:cantSplit/>
          <w:trHeight w:val="300"/>
          <w:jc w:val="center"/>
        </w:trPr>
        <w:tc>
          <w:tcPr>
            <w:tcW w:w="4839" w:type="dxa"/>
          </w:tcPr>
          <w:p w:rsidR="00676E25" w:rsidRPr="007B5902" w:rsidRDefault="00676E25">
            <w:pPr>
              <w:jc w:val="both"/>
            </w:pPr>
            <w:r w:rsidRPr="007B5902">
              <w:t>Beginning ESL Literacy</w:t>
            </w:r>
          </w:p>
        </w:tc>
        <w:tc>
          <w:tcPr>
            <w:tcW w:w="1177" w:type="dxa"/>
          </w:tcPr>
          <w:p w:rsidR="00676E25" w:rsidRPr="007B5902" w:rsidRDefault="005435ED">
            <w:pPr>
              <w:jc w:val="both"/>
            </w:pPr>
            <w:r w:rsidRPr="007B5902">
              <w:t>57</w:t>
            </w:r>
            <w:r w:rsidR="00676E25" w:rsidRPr="007B5902">
              <w:t>%</w:t>
            </w:r>
          </w:p>
        </w:tc>
        <w:tc>
          <w:tcPr>
            <w:tcW w:w="1260" w:type="dxa"/>
          </w:tcPr>
          <w:p w:rsidR="00676E25" w:rsidRPr="007B5902" w:rsidRDefault="00976465">
            <w:pPr>
              <w:jc w:val="both"/>
              <w:rPr>
                <w:b/>
              </w:rPr>
            </w:pPr>
            <w:r w:rsidRPr="007B5902">
              <w:rPr>
                <w:b/>
              </w:rPr>
              <w:t>57</w:t>
            </w:r>
            <w:r w:rsidR="00676E25" w:rsidRPr="007B5902">
              <w:rPr>
                <w:b/>
              </w:rPr>
              <w:t>%</w:t>
            </w:r>
          </w:p>
        </w:tc>
      </w:tr>
      <w:tr w:rsidR="00E54A82" w:rsidRPr="007B5902" w:rsidTr="00676E25">
        <w:trPr>
          <w:cantSplit/>
          <w:trHeight w:val="300"/>
          <w:jc w:val="center"/>
        </w:trPr>
        <w:tc>
          <w:tcPr>
            <w:tcW w:w="4839" w:type="dxa"/>
          </w:tcPr>
          <w:p w:rsidR="00676E25" w:rsidRPr="007B5902" w:rsidRDefault="00676E25">
            <w:pPr>
              <w:jc w:val="both"/>
            </w:pPr>
            <w:r w:rsidRPr="007B5902">
              <w:t xml:space="preserve">Low Beginning ESL </w:t>
            </w:r>
          </w:p>
        </w:tc>
        <w:tc>
          <w:tcPr>
            <w:tcW w:w="1177" w:type="dxa"/>
          </w:tcPr>
          <w:p w:rsidR="00676E25" w:rsidRPr="007B5902" w:rsidRDefault="00676E25">
            <w:pPr>
              <w:jc w:val="both"/>
            </w:pPr>
            <w:r w:rsidRPr="007B5902">
              <w:t>6</w:t>
            </w:r>
            <w:r w:rsidR="005435ED" w:rsidRPr="007B5902">
              <w:t>5</w:t>
            </w:r>
            <w:r w:rsidRPr="007B5902">
              <w:t>%</w:t>
            </w:r>
          </w:p>
        </w:tc>
        <w:tc>
          <w:tcPr>
            <w:tcW w:w="1260" w:type="dxa"/>
          </w:tcPr>
          <w:p w:rsidR="00676E25" w:rsidRPr="007B5902" w:rsidRDefault="00976465">
            <w:pPr>
              <w:jc w:val="both"/>
              <w:rPr>
                <w:b/>
              </w:rPr>
            </w:pPr>
            <w:r w:rsidRPr="007B5902">
              <w:rPr>
                <w:b/>
              </w:rPr>
              <w:t>68</w:t>
            </w:r>
            <w:r w:rsidR="00676E25" w:rsidRPr="007B5902">
              <w:rPr>
                <w:b/>
              </w:rPr>
              <w:t>%</w:t>
            </w:r>
          </w:p>
        </w:tc>
      </w:tr>
      <w:tr w:rsidR="00E54A82" w:rsidRPr="007B5902" w:rsidTr="00676E25">
        <w:trPr>
          <w:cantSplit/>
          <w:trHeight w:val="300"/>
          <w:jc w:val="center"/>
        </w:trPr>
        <w:tc>
          <w:tcPr>
            <w:tcW w:w="4839" w:type="dxa"/>
          </w:tcPr>
          <w:p w:rsidR="00676E25" w:rsidRPr="007B5902" w:rsidRDefault="00676E25">
            <w:pPr>
              <w:jc w:val="both"/>
            </w:pPr>
            <w:r w:rsidRPr="007B5902">
              <w:t>High Beginning ESL</w:t>
            </w:r>
          </w:p>
        </w:tc>
        <w:tc>
          <w:tcPr>
            <w:tcW w:w="1177" w:type="dxa"/>
          </w:tcPr>
          <w:p w:rsidR="00676E25" w:rsidRPr="007B5902" w:rsidRDefault="007A0C13">
            <w:pPr>
              <w:jc w:val="both"/>
            </w:pPr>
            <w:r w:rsidRPr="007B5902">
              <w:t>60</w:t>
            </w:r>
            <w:r w:rsidR="00676E25" w:rsidRPr="007B5902">
              <w:t>%</w:t>
            </w:r>
          </w:p>
        </w:tc>
        <w:tc>
          <w:tcPr>
            <w:tcW w:w="1260" w:type="dxa"/>
          </w:tcPr>
          <w:p w:rsidR="00676E25" w:rsidRPr="007B5902" w:rsidRDefault="00976465" w:rsidP="00D11254">
            <w:pPr>
              <w:jc w:val="both"/>
              <w:rPr>
                <w:b/>
              </w:rPr>
            </w:pPr>
            <w:r w:rsidRPr="007B5902">
              <w:rPr>
                <w:b/>
              </w:rPr>
              <w:t>60</w:t>
            </w:r>
            <w:r w:rsidR="00D11254" w:rsidRPr="007B5902">
              <w:rPr>
                <w:b/>
              </w:rPr>
              <w:t>%</w:t>
            </w:r>
          </w:p>
        </w:tc>
      </w:tr>
      <w:tr w:rsidR="00E54A82" w:rsidRPr="007B5902" w:rsidTr="00676E25">
        <w:trPr>
          <w:cantSplit/>
          <w:trHeight w:val="300"/>
          <w:jc w:val="center"/>
        </w:trPr>
        <w:tc>
          <w:tcPr>
            <w:tcW w:w="4839" w:type="dxa"/>
          </w:tcPr>
          <w:p w:rsidR="00676E25" w:rsidRPr="007B5902" w:rsidRDefault="00676E25">
            <w:pPr>
              <w:jc w:val="both"/>
            </w:pPr>
            <w:r w:rsidRPr="007B5902">
              <w:t>Low Intermediate ESL</w:t>
            </w:r>
          </w:p>
        </w:tc>
        <w:tc>
          <w:tcPr>
            <w:tcW w:w="1177" w:type="dxa"/>
          </w:tcPr>
          <w:p w:rsidR="00676E25" w:rsidRPr="007B5902" w:rsidRDefault="005435ED">
            <w:pPr>
              <w:jc w:val="both"/>
            </w:pPr>
            <w:r w:rsidRPr="007B5902">
              <w:t>47</w:t>
            </w:r>
            <w:r w:rsidR="00676E25" w:rsidRPr="007B5902">
              <w:t>%</w:t>
            </w:r>
          </w:p>
        </w:tc>
        <w:tc>
          <w:tcPr>
            <w:tcW w:w="1260" w:type="dxa"/>
          </w:tcPr>
          <w:p w:rsidR="00676E25" w:rsidRPr="007B5902" w:rsidRDefault="00976465">
            <w:pPr>
              <w:jc w:val="both"/>
              <w:rPr>
                <w:b/>
              </w:rPr>
            </w:pPr>
            <w:r w:rsidRPr="007B5902">
              <w:rPr>
                <w:b/>
              </w:rPr>
              <w:t>51</w:t>
            </w:r>
            <w:r w:rsidR="00676E25" w:rsidRPr="007B5902">
              <w:rPr>
                <w:b/>
              </w:rPr>
              <w:t>%</w:t>
            </w:r>
          </w:p>
        </w:tc>
      </w:tr>
      <w:tr w:rsidR="00E54A82" w:rsidRPr="007B5902" w:rsidTr="00676E25">
        <w:trPr>
          <w:cantSplit/>
          <w:trHeight w:val="300"/>
          <w:jc w:val="center"/>
        </w:trPr>
        <w:tc>
          <w:tcPr>
            <w:tcW w:w="4839" w:type="dxa"/>
          </w:tcPr>
          <w:p w:rsidR="00676E25" w:rsidRPr="007B5902" w:rsidRDefault="00676E25">
            <w:pPr>
              <w:jc w:val="both"/>
            </w:pPr>
            <w:r w:rsidRPr="007B5902">
              <w:t>High Intermediate ESL</w:t>
            </w:r>
          </w:p>
        </w:tc>
        <w:tc>
          <w:tcPr>
            <w:tcW w:w="1177" w:type="dxa"/>
          </w:tcPr>
          <w:p w:rsidR="00676E25" w:rsidRPr="007B5902" w:rsidRDefault="005435ED" w:rsidP="00114B52">
            <w:pPr>
              <w:jc w:val="both"/>
            </w:pPr>
            <w:r w:rsidRPr="007B5902">
              <w:t>44</w:t>
            </w:r>
            <w:r w:rsidR="00676E25" w:rsidRPr="007B5902">
              <w:t>%</w:t>
            </w:r>
          </w:p>
        </w:tc>
        <w:tc>
          <w:tcPr>
            <w:tcW w:w="1260" w:type="dxa"/>
          </w:tcPr>
          <w:p w:rsidR="00676E25" w:rsidRPr="007B5902" w:rsidRDefault="00976465">
            <w:pPr>
              <w:jc w:val="both"/>
              <w:rPr>
                <w:b/>
              </w:rPr>
            </w:pPr>
            <w:r w:rsidRPr="007B5902">
              <w:rPr>
                <w:b/>
              </w:rPr>
              <w:t>51</w:t>
            </w:r>
            <w:r w:rsidR="00676E25" w:rsidRPr="007B5902">
              <w:rPr>
                <w:b/>
              </w:rPr>
              <w:t>%</w:t>
            </w:r>
          </w:p>
        </w:tc>
      </w:tr>
      <w:tr w:rsidR="00E54A82" w:rsidRPr="007B5902" w:rsidTr="00676E25">
        <w:trPr>
          <w:cantSplit/>
          <w:trHeight w:val="300"/>
          <w:jc w:val="center"/>
        </w:trPr>
        <w:tc>
          <w:tcPr>
            <w:tcW w:w="4839" w:type="dxa"/>
            <w:tcBorders>
              <w:bottom w:val="single" w:sz="4" w:space="0" w:color="auto"/>
            </w:tcBorders>
          </w:tcPr>
          <w:p w:rsidR="00676E25" w:rsidRPr="007B5902" w:rsidRDefault="00676E25">
            <w:pPr>
              <w:jc w:val="both"/>
            </w:pPr>
            <w:r w:rsidRPr="007B5902">
              <w:t>Advanced ESL</w:t>
            </w:r>
          </w:p>
        </w:tc>
        <w:tc>
          <w:tcPr>
            <w:tcW w:w="1177" w:type="dxa"/>
            <w:tcBorders>
              <w:bottom w:val="single" w:sz="4" w:space="0" w:color="auto"/>
            </w:tcBorders>
          </w:tcPr>
          <w:p w:rsidR="00676E25" w:rsidRPr="007B5902" w:rsidRDefault="005435ED" w:rsidP="00114B52">
            <w:pPr>
              <w:jc w:val="both"/>
            </w:pPr>
            <w:r w:rsidRPr="007B5902">
              <w:t>20</w:t>
            </w:r>
            <w:r w:rsidR="00676E25" w:rsidRPr="007B5902">
              <w:t>%</w:t>
            </w:r>
          </w:p>
        </w:tc>
        <w:tc>
          <w:tcPr>
            <w:tcW w:w="1260" w:type="dxa"/>
            <w:tcBorders>
              <w:bottom w:val="single" w:sz="4" w:space="0" w:color="auto"/>
            </w:tcBorders>
          </w:tcPr>
          <w:p w:rsidR="00676E25" w:rsidRPr="007B5902" w:rsidRDefault="00954942">
            <w:pPr>
              <w:jc w:val="both"/>
              <w:rPr>
                <w:b/>
              </w:rPr>
            </w:pPr>
            <w:r w:rsidRPr="007B5902">
              <w:rPr>
                <w:b/>
              </w:rPr>
              <w:t>31</w:t>
            </w:r>
            <w:r w:rsidR="00676E25" w:rsidRPr="007B5902">
              <w:rPr>
                <w:b/>
              </w:rPr>
              <w:t>%</w:t>
            </w:r>
          </w:p>
        </w:tc>
      </w:tr>
    </w:tbl>
    <w:p w:rsidR="004952B0" w:rsidRPr="007B5902" w:rsidRDefault="004952B0" w:rsidP="00A23E55">
      <w:pPr>
        <w:pStyle w:val="BodyTextIndent"/>
        <w:tabs>
          <w:tab w:val="left" w:pos="360"/>
          <w:tab w:val="left" w:pos="1080"/>
          <w:tab w:val="left" w:pos="1440"/>
          <w:tab w:val="left" w:pos="1980"/>
          <w:tab w:val="left" w:pos="4320"/>
          <w:tab w:val="left" w:pos="5040"/>
          <w:tab w:val="left" w:pos="6840"/>
          <w:tab w:val="left" w:pos="7200"/>
          <w:tab w:val="left" w:pos="7755"/>
        </w:tabs>
        <w:jc w:val="center"/>
        <w:rPr>
          <w:b/>
          <w:bCs/>
          <w:color w:val="auto"/>
          <w:sz w:val="24"/>
          <w:szCs w:val="24"/>
        </w:rPr>
      </w:pPr>
    </w:p>
    <w:p w:rsidR="004952B0" w:rsidRPr="007B5902" w:rsidRDefault="004952B0">
      <w:pPr>
        <w:pStyle w:val="BodyTextIndent"/>
        <w:tabs>
          <w:tab w:val="left" w:pos="360"/>
          <w:tab w:val="left" w:pos="1080"/>
          <w:tab w:val="left" w:pos="1440"/>
          <w:tab w:val="left" w:pos="1980"/>
          <w:tab w:val="left" w:pos="4320"/>
          <w:tab w:val="left" w:pos="5040"/>
          <w:tab w:val="left" w:pos="6840"/>
          <w:tab w:val="left" w:pos="7200"/>
          <w:tab w:val="left" w:pos="7755"/>
        </w:tabs>
        <w:jc w:val="center"/>
        <w:rPr>
          <w:b/>
          <w:bCs/>
          <w:color w:val="auto"/>
          <w:sz w:val="24"/>
          <w:szCs w:val="24"/>
        </w:rPr>
      </w:pPr>
    </w:p>
    <w:p w:rsidR="00555C35" w:rsidRPr="007B5902" w:rsidRDefault="00117F2F">
      <w:pPr>
        <w:pStyle w:val="BodyTextIndent"/>
        <w:tabs>
          <w:tab w:val="left" w:pos="360"/>
          <w:tab w:val="left" w:pos="1080"/>
          <w:tab w:val="left" w:pos="1440"/>
          <w:tab w:val="left" w:pos="1980"/>
          <w:tab w:val="left" w:pos="4320"/>
          <w:tab w:val="left" w:pos="5040"/>
          <w:tab w:val="left" w:pos="6840"/>
          <w:tab w:val="left" w:pos="7200"/>
          <w:tab w:val="left" w:pos="7755"/>
        </w:tabs>
        <w:jc w:val="center"/>
        <w:rPr>
          <w:b/>
          <w:bCs/>
          <w:color w:val="auto"/>
          <w:sz w:val="24"/>
          <w:szCs w:val="24"/>
        </w:rPr>
      </w:pPr>
      <w:r w:rsidRPr="007B5902">
        <w:rPr>
          <w:b/>
          <w:bCs/>
          <w:color w:val="auto"/>
          <w:sz w:val="24"/>
          <w:szCs w:val="24"/>
        </w:rPr>
        <w:t xml:space="preserve">Table </w:t>
      </w:r>
      <w:r w:rsidR="00CB1725" w:rsidRPr="007B5902">
        <w:rPr>
          <w:b/>
          <w:bCs/>
          <w:color w:val="auto"/>
          <w:sz w:val="24"/>
          <w:szCs w:val="24"/>
        </w:rPr>
        <w:t>C</w:t>
      </w:r>
      <w:r w:rsidR="0053733D" w:rsidRPr="007B5902">
        <w:rPr>
          <w:b/>
          <w:bCs/>
          <w:color w:val="auto"/>
          <w:sz w:val="24"/>
          <w:szCs w:val="24"/>
        </w:rPr>
        <w:t xml:space="preserve">: </w:t>
      </w:r>
      <w:r w:rsidR="00555C35" w:rsidRPr="007B5902">
        <w:rPr>
          <w:b/>
          <w:bCs/>
          <w:color w:val="auto"/>
          <w:sz w:val="24"/>
          <w:szCs w:val="24"/>
        </w:rPr>
        <w:t>NRS Table 4B</w:t>
      </w:r>
      <w:r w:rsidR="0053733D" w:rsidRPr="007B5902">
        <w:rPr>
          <w:b/>
          <w:bCs/>
          <w:color w:val="auto"/>
          <w:sz w:val="24"/>
          <w:szCs w:val="24"/>
        </w:rPr>
        <w:t xml:space="preserve"> - </w:t>
      </w:r>
      <w:r w:rsidR="00555C35" w:rsidRPr="007B5902">
        <w:rPr>
          <w:b/>
          <w:bCs/>
          <w:color w:val="auto"/>
          <w:sz w:val="24"/>
          <w:szCs w:val="24"/>
        </w:rPr>
        <w:t>Pre and Post tested Participants</w:t>
      </w:r>
    </w:p>
    <w:p w:rsidR="00555C35" w:rsidRPr="007B5902" w:rsidRDefault="00555C35">
      <w:pPr>
        <w:pStyle w:val="BodyTextIndent"/>
        <w:tabs>
          <w:tab w:val="left" w:pos="360"/>
        </w:tabs>
        <w:rPr>
          <w:color w:val="auto"/>
          <w:sz w:val="24"/>
          <w:szCs w:val="24"/>
        </w:rPr>
      </w:pPr>
      <w:r w:rsidRPr="007B5902">
        <w:rPr>
          <w:color w:val="auto"/>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71"/>
        <w:gridCol w:w="1260"/>
        <w:gridCol w:w="1260"/>
      </w:tblGrid>
      <w:tr w:rsidR="00E54A82" w:rsidRPr="007B5902" w:rsidTr="0062552E">
        <w:trPr>
          <w:cantSplit/>
          <w:trHeight w:val="270"/>
          <w:jc w:val="center"/>
        </w:trPr>
        <w:tc>
          <w:tcPr>
            <w:tcW w:w="4871" w:type="dxa"/>
            <w:tcBorders>
              <w:top w:val="single" w:sz="4" w:space="0" w:color="auto"/>
            </w:tcBorders>
          </w:tcPr>
          <w:p w:rsidR="00267609" w:rsidRPr="007B5902" w:rsidRDefault="00267609" w:rsidP="00267609">
            <w:pPr>
              <w:jc w:val="center"/>
              <w:rPr>
                <w:b/>
                <w:bCs/>
                <w:i/>
                <w:iCs/>
              </w:rPr>
            </w:pPr>
          </w:p>
          <w:p w:rsidR="00FC5C2E" w:rsidRPr="007B5902" w:rsidRDefault="00585E63" w:rsidP="008F631D">
            <w:pPr>
              <w:jc w:val="center"/>
              <w:rPr>
                <w:b/>
                <w:bCs/>
                <w:i/>
                <w:iCs/>
              </w:rPr>
            </w:pPr>
            <w:r w:rsidRPr="007B5902">
              <w:rPr>
                <w:b/>
                <w:bCs/>
                <w:i/>
                <w:iCs/>
              </w:rPr>
              <w:t>2015-2016</w:t>
            </w:r>
            <w:r w:rsidR="00FC5C2E" w:rsidRPr="007B5902">
              <w:rPr>
                <w:b/>
                <w:bCs/>
                <w:i/>
                <w:iCs/>
              </w:rPr>
              <w:t xml:space="preserve"> Benchmarks</w:t>
            </w:r>
          </w:p>
        </w:tc>
        <w:tc>
          <w:tcPr>
            <w:tcW w:w="1260" w:type="dxa"/>
            <w:tcBorders>
              <w:top w:val="single" w:sz="4" w:space="0" w:color="auto"/>
            </w:tcBorders>
          </w:tcPr>
          <w:p w:rsidR="00FC5C2E" w:rsidRPr="007B5902" w:rsidRDefault="00FC5C2E" w:rsidP="00267609">
            <w:pPr>
              <w:jc w:val="center"/>
              <w:rPr>
                <w:b/>
                <w:bCs/>
                <w:i/>
                <w:iCs/>
              </w:rPr>
            </w:pPr>
            <w:r w:rsidRPr="007B5902">
              <w:rPr>
                <w:b/>
                <w:bCs/>
                <w:i/>
                <w:iCs/>
              </w:rPr>
              <w:t>Federal Target</w:t>
            </w:r>
          </w:p>
        </w:tc>
        <w:tc>
          <w:tcPr>
            <w:tcW w:w="1260" w:type="dxa"/>
            <w:tcBorders>
              <w:top w:val="single" w:sz="4" w:space="0" w:color="auto"/>
            </w:tcBorders>
          </w:tcPr>
          <w:p w:rsidR="00267609" w:rsidRPr="007B5902" w:rsidRDefault="00FC5C2E" w:rsidP="00267609">
            <w:pPr>
              <w:jc w:val="center"/>
              <w:rPr>
                <w:b/>
                <w:bCs/>
                <w:i/>
                <w:iCs/>
              </w:rPr>
            </w:pPr>
            <w:r w:rsidRPr="007B5902">
              <w:rPr>
                <w:b/>
                <w:bCs/>
                <w:i/>
                <w:iCs/>
              </w:rPr>
              <w:t xml:space="preserve">State </w:t>
            </w:r>
          </w:p>
          <w:p w:rsidR="00FC5C2E" w:rsidRPr="007B5902" w:rsidRDefault="00FC5C2E" w:rsidP="00267609">
            <w:pPr>
              <w:jc w:val="center"/>
              <w:rPr>
                <w:b/>
                <w:bCs/>
                <w:i/>
                <w:iCs/>
              </w:rPr>
            </w:pPr>
            <w:r w:rsidRPr="007B5902">
              <w:rPr>
                <w:b/>
                <w:bCs/>
                <w:i/>
                <w:iCs/>
              </w:rPr>
              <w:t>Actual</w:t>
            </w:r>
          </w:p>
        </w:tc>
      </w:tr>
      <w:tr w:rsidR="00E54A82" w:rsidRPr="007B5902" w:rsidTr="0062552E">
        <w:trPr>
          <w:cantSplit/>
          <w:trHeight w:val="300"/>
          <w:jc w:val="center"/>
        </w:trPr>
        <w:tc>
          <w:tcPr>
            <w:tcW w:w="4871" w:type="dxa"/>
          </w:tcPr>
          <w:p w:rsidR="00FC5C2E" w:rsidRPr="007B5902" w:rsidRDefault="00FC5C2E">
            <w:pPr>
              <w:jc w:val="both"/>
            </w:pPr>
            <w:r w:rsidRPr="007B5902">
              <w:t>Beginning ABE Literacy</w:t>
            </w:r>
          </w:p>
        </w:tc>
        <w:tc>
          <w:tcPr>
            <w:tcW w:w="1260" w:type="dxa"/>
          </w:tcPr>
          <w:p w:rsidR="00FC5C2E" w:rsidRPr="007B5902" w:rsidRDefault="00324516" w:rsidP="0062552E">
            <w:pPr>
              <w:jc w:val="both"/>
            </w:pPr>
            <w:r w:rsidRPr="007B5902">
              <w:t>44</w:t>
            </w:r>
            <w:r w:rsidR="00FC5C2E" w:rsidRPr="007B5902">
              <w:t>%</w:t>
            </w:r>
          </w:p>
        </w:tc>
        <w:tc>
          <w:tcPr>
            <w:tcW w:w="1260" w:type="dxa"/>
          </w:tcPr>
          <w:p w:rsidR="00FC5C2E" w:rsidRPr="007B5902" w:rsidRDefault="003D4D3B" w:rsidP="000B2C98">
            <w:pPr>
              <w:jc w:val="both"/>
              <w:rPr>
                <w:b/>
              </w:rPr>
            </w:pPr>
            <w:r w:rsidRPr="007B5902">
              <w:rPr>
                <w:b/>
              </w:rPr>
              <w:t>72</w:t>
            </w:r>
            <w:r w:rsidR="00FC5C2E" w:rsidRPr="007B5902">
              <w:rPr>
                <w:b/>
              </w:rPr>
              <w:t>%</w:t>
            </w:r>
          </w:p>
        </w:tc>
      </w:tr>
      <w:tr w:rsidR="00E54A82" w:rsidRPr="007B5902" w:rsidTr="0062552E">
        <w:trPr>
          <w:cantSplit/>
          <w:trHeight w:val="300"/>
          <w:jc w:val="center"/>
        </w:trPr>
        <w:tc>
          <w:tcPr>
            <w:tcW w:w="4871" w:type="dxa"/>
          </w:tcPr>
          <w:p w:rsidR="00FC5C2E" w:rsidRPr="007B5902" w:rsidRDefault="00FC5C2E">
            <w:pPr>
              <w:jc w:val="both"/>
            </w:pPr>
            <w:r w:rsidRPr="007B5902">
              <w:t>Beginning ABE Education</w:t>
            </w:r>
          </w:p>
        </w:tc>
        <w:tc>
          <w:tcPr>
            <w:tcW w:w="1260" w:type="dxa"/>
          </w:tcPr>
          <w:p w:rsidR="00FC5C2E" w:rsidRPr="007B5902" w:rsidRDefault="00324516" w:rsidP="0062552E">
            <w:pPr>
              <w:jc w:val="both"/>
            </w:pPr>
            <w:r w:rsidRPr="007B5902">
              <w:t>42</w:t>
            </w:r>
            <w:r w:rsidR="00FC5C2E" w:rsidRPr="007B5902">
              <w:t>%</w:t>
            </w:r>
          </w:p>
        </w:tc>
        <w:tc>
          <w:tcPr>
            <w:tcW w:w="1260" w:type="dxa"/>
          </w:tcPr>
          <w:p w:rsidR="00FC5C2E" w:rsidRPr="007B5902" w:rsidRDefault="003D4D3B">
            <w:pPr>
              <w:jc w:val="both"/>
              <w:rPr>
                <w:b/>
              </w:rPr>
            </w:pPr>
            <w:r w:rsidRPr="007B5902">
              <w:rPr>
                <w:b/>
              </w:rPr>
              <w:t>51</w:t>
            </w:r>
            <w:r w:rsidR="00FC5C2E" w:rsidRPr="007B5902">
              <w:rPr>
                <w:b/>
              </w:rPr>
              <w:t>%</w:t>
            </w:r>
          </w:p>
        </w:tc>
      </w:tr>
      <w:tr w:rsidR="00E54A82" w:rsidRPr="007B5902" w:rsidTr="0062552E">
        <w:trPr>
          <w:cantSplit/>
          <w:trHeight w:val="300"/>
          <w:jc w:val="center"/>
        </w:trPr>
        <w:tc>
          <w:tcPr>
            <w:tcW w:w="4871" w:type="dxa"/>
          </w:tcPr>
          <w:p w:rsidR="00FC5C2E" w:rsidRPr="007B5902" w:rsidRDefault="00FC5C2E">
            <w:r w:rsidRPr="007B5902">
              <w:t>Low Intermediate Basic Education</w:t>
            </w:r>
          </w:p>
        </w:tc>
        <w:tc>
          <w:tcPr>
            <w:tcW w:w="1260" w:type="dxa"/>
          </w:tcPr>
          <w:p w:rsidR="00FC5C2E" w:rsidRPr="007B5902" w:rsidRDefault="00324516" w:rsidP="0062552E">
            <w:pPr>
              <w:jc w:val="both"/>
            </w:pPr>
            <w:r w:rsidRPr="007B5902">
              <w:t>37</w:t>
            </w:r>
            <w:r w:rsidR="00FC5C2E" w:rsidRPr="007B5902">
              <w:t>%</w:t>
            </w:r>
          </w:p>
        </w:tc>
        <w:tc>
          <w:tcPr>
            <w:tcW w:w="1260" w:type="dxa"/>
          </w:tcPr>
          <w:p w:rsidR="00FC5C2E" w:rsidRPr="007B5902" w:rsidRDefault="003D4D3B">
            <w:pPr>
              <w:jc w:val="both"/>
              <w:rPr>
                <w:b/>
              </w:rPr>
            </w:pPr>
            <w:r w:rsidRPr="007B5902">
              <w:rPr>
                <w:b/>
              </w:rPr>
              <w:t>55</w:t>
            </w:r>
            <w:r w:rsidR="00FC5C2E" w:rsidRPr="007B5902">
              <w:rPr>
                <w:b/>
              </w:rPr>
              <w:t>%</w:t>
            </w:r>
          </w:p>
        </w:tc>
      </w:tr>
      <w:tr w:rsidR="00E54A82" w:rsidRPr="007B5902" w:rsidTr="0062552E">
        <w:trPr>
          <w:cantSplit/>
          <w:trHeight w:val="300"/>
          <w:jc w:val="center"/>
        </w:trPr>
        <w:tc>
          <w:tcPr>
            <w:tcW w:w="4871" w:type="dxa"/>
          </w:tcPr>
          <w:p w:rsidR="00FC5C2E" w:rsidRPr="007B5902" w:rsidRDefault="00FC5C2E">
            <w:r w:rsidRPr="007B5902">
              <w:t>High Intermediate Basic Education</w:t>
            </w:r>
          </w:p>
        </w:tc>
        <w:tc>
          <w:tcPr>
            <w:tcW w:w="1260" w:type="dxa"/>
          </w:tcPr>
          <w:p w:rsidR="00FC5C2E" w:rsidRPr="007B5902" w:rsidRDefault="00324516" w:rsidP="0062552E">
            <w:pPr>
              <w:jc w:val="both"/>
            </w:pPr>
            <w:r w:rsidRPr="007B5902">
              <w:t>31</w:t>
            </w:r>
            <w:r w:rsidR="00FC5C2E" w:rsidRPr="007B5902">
              <w:t>%</w:t>
            </w:r>
          </w:p>
        </w:tc>
        <w:tc>
          <w:tcPr>
            <w:tcW w:w="1260" w:type="dxa"/>
          </w:tcPr>
          <w:p w:rsidR="00FC5C2E" w:rsidRPr="007B5902" w:rsidRDefault="003D4D3B">
            <w:pPr>
              <w:jc w:val="both"/>
              <w:rPr>
                <w:b/>
              </w:rPr>
            </w:pPr>
            <w:r w:rsidRPr="007B5902">
              <w:rPr>
                <w:b/>
              </w:rPr>
              <w:t>48</w:t>
            </w:r>
            <w:r w:rsidR="00FC5C2E" w:rsidRPr="007B5902">
              <w:rPr>
                <w:b/>
              </w:rPr>
              <w:t>%</w:t>
            </w:r>
          </w:p>
        </w:tc>
      </w:tr>
      <w:tr w:rsidR="00E54A82" w:rsidRPr="007B5902" w:rsidTr="0062552E">
        <w:trPr>
          <w:cantSplit/>
          <w:trHeight w:val="300"/>
          <w:jc w:val="center"/>
        </w:trPr>
        <w:tc>
          <w:tcPr>
            <w:tcW w:w="4871" w:type="dxa"/>
          </w:tcPr>
          <w:p w:rsidR="00FC5C2E" w:rsidRPr="007B5902" w:rsidRDefault="00FC5C2E">
            <w:r w:rsidRPr="007B5902">
              <w:t>Low Adult Secondary Education</w:t>
            </w:r>
          </w:p>
        </w:tc>
        <w:tc>
          <w:tcPr>
            <w:tcW w:w="1260" w:type="dxa"/>
          </w:tcPr>
          <w:p w:rsidR="00FC5C2E" w:rsidRPr="007B5902" w:rsidRDefault="004A0BD8" w:rsidP="0062552E">
            <w:pPr>
              <w:jc w:val="both"/>
            </w:pPr>
            <w:r w:rsidRPr="007B5902">
              <w:t>34</w:t>
            </w:r>
            <w:r w:rsidR="00FC5C2E" w:rsidRPr="007B5902">
              <w:t>%</w:t>
            </w:r>
          </w:p>
        </w:tc>
        <w:tc>
          <w:tcPr>
            <w:tcW w:w="1260" w:type="dxa"/>
          </w:tcPr>
          <w:p w:rsidR="00FC5C2E" w:rsidRPr="007B5902" w:rsidRDefault="003D4D3B">
            <w:pPr>
              <w:jc w:val="both"/>
              <w:rPr>
                <w:b/>
              </w:rPr>
            </w:pPr>
            <w:r w:rsidRPr="007B5902">
              <w:rPr>
                <w:b/>
              </w:rPr>
              <w:t>50</w:t>
            </w:r>
            <w:r w:rsidR="00FC5C2E" w:rsidRPr="007B5902">
              <w:rPr>
                <w:b/>
              </w:rPr>
              <w:t>%</w:t>
            </w:r>
          </w:p>
        </w:tc>
      </w:tr>
      <w:tr w:rsidR="00E54A82" w:rsidRPr="007B5902" w:rsidTr="0062552E">
        <w:trPr>
          <w:cantSplit/>
          <w:trHeight w:val="300"/>
          <w:jc w:val="center"/>
        </w:trPr>
        <w:tc>
          <w:tcPr>
            <w:tcW w:w="4871" w:type="dxa"/>
          </w:tcPr>
          <w:p w:rsidR="00FC5C2E" w:rsidRPr="007B5902" w:rsidRDefault="00FC5C2E">
            <w:r w:rsidRPr="007B5902">
              <w:t>High Adult Secondary Education</w:t>
            </w:r>
          </w:p>
        </w:tc>
        <w:tc>
          <w:tcPr>
            <w:tcW w:w="1260" w:type="dxa"/>
          </w:tcPr>
          <w:p w:rsidR="00FC5C2E" w:rsidRPr="007B5902" w:rsidRDefault="00FC5C2E" w:rsidP="0062552E">
            <w:pPr>
              <w:jc w:val="both"/>
            </w:pPr>
            <w:r w:rsidRPr="007B5902">
              <w:t>N/A</w:t>
            </w:r>
          </w:p>
        </w:tc>
        <w:tc>
          <w:tcPr>
            <w:tcW w:w="1260" w:type="dxa"/>
          </w:tcPr>
          <w:p w:rsidR="00FC5C2E" w:rsidRPr="007B5902" w:rsidRDefault="00FC5C2E">
            <w:pPr>
              <w:jc w:val="both"/>
              <w:rPr>
                <w:b/>
              </w:rPr>
            </w:pPr>
            <w:r w:rsidRPr="007B5902">
              <w:rPr>
                <w:b/>
              </w:rPr>
              <w:t>N/A</w:t>
            </w:r>
          </w:p>
        </w:tc>
      </w:tr>
      <w:tr w:rsidR="00E54A82" w:rsidRPr="007B5902" w:rsidTr="0062552E">
        <w:trPr>
          <w:cantSplit/>
          <w:trHeight w:val="300"/>
          <w:jc w:val="center"/>
        </w:trPr>
        <w:tc>
          <w:tcPr>
            <w:tcW w:w="4871" w:type="dxa"/>
          </w:tcPr>
          <w:p w:rsidR="00FC5C2E" w:rsidRPr="007B5902" w:rsidRDefault="00FC5C2E">
            <w:pPr>
              <w:jc w:val="both"/>
            </w:pPr>
          </w:p>
        </w:tc>
        <w:tc>
          <w:tcPr>
            <w:tcW w:w="1260" w:type="dxa"/>
          </w:tcPr>
          <w:p w:rsidR="00FC5C2E" w:rsidRPr="007B5902" w:rsidRDefault="00FC5C2E" w:rsidP="0062552E">
            <w:pPr>
              <w:jc w:val="both"/>
            </w:pPr>
          </w:p>
        </w:tc>
        <w:tc>
          <w:tcPr>
            <w:tcW w:w="1260" w:type="dxa"/>
          </w:tcPr>
          <w:p w:rsidR="00FC5C2E" w:rsidRPr="007B5902" w:rsidRDefault="00FC5C2E">
            <w:pPr>
              <w:jc w:val="both"/>
              <w:rPr>
                <w:b/>
              </w:rPr>
            </w:pPr>
          </w:p>
        </w:tc>
      </w:tr>
      <w:tr w:rsidR="00E54A82" w:rsidRPr="007B5902" w:rsidTr="0062552E">
        <w:trPr>
          <w:cantSplit/>
          <w:trHeight w:val="300"/>
          <w:jc w:val="center"/>
        </w:trPr>
        <w:tc>
          <w:tcPr>
            <w:tcW w:w="4871" w:type="dxa"/>
          </w:tcPr>
          <w:p w:rsidR="00FC5C2E" w:rsidRPr="007B5902" w:rsidRDefault="00FC5C2E">
            <w:pPr>
              <w:jc w:val="both"/>
            </w:pPr>
            <w:r w:rsidRPr="007B5902">
              <w:t>Beginning ESL Literacy</w:t>
            </w:r>
          </w:p>
        </w:tc>
        <w:tc>
          <w:tcPr>
            <w:tcW w:w="1260" w:type="dxa"/>
          </w:tcPr>
          <w:p w:rsidR="00FC5C2E" w:rsidRPr="007B5902" w:rsidRDefault="00324516" w:rsidP="0062552E">
            <w:pPr>
              <w:jc w:val="both"/>
            </w:pPr>
            <w:r w:rsidRPr="007B5902">
              <w:t>57</w:t>
            </w:r>
            <w:r w:rsidR="00FC5C2E" w:rsidRPr="007B5902">
              <w:t>%</w:t>
            </w:r>
          </w:p>
        </w:tc>
        <w:tc>
          <w:tcPr>
            <w:tcW w:w="1260" w:type="dxa"/>
          </w:tcPr>
          <w:p w:rsidR="00FC5C2E" w:rsidRPr="007B5902" w:rsidRDefault="003D4D3B">
            <w:pPr>
              <w:jc w:val="both"/>
              <w:rPr>
                <w:b/>
              </w:rPr>
            </w:pPr>
            <w:r w:rsidRPr="007B5902">
              <w:rPr>
                <w:b/>
              </w:rPr>
              <w:t>74</w:t>
            </w:r>
            <w:r w:rsidR="00FC5C2E" w:rsidRPr="007B5902">
              <w:rPr>
                <w:b/>
              </w:rPr>
              <w:t>%</w:t>
            </w:r>
          </w:p>
        </w:tc>
      </w:tr>
      <w:tr w:rsidR="00E54A82" w:rsidRPr="007B5902" w:rsidTr="0062552E">
        <w:trPr>
          <w:cantSplit/>
          <w:trHeight w:val="300"/>
          <w:jc w:val="center"/>
        </w:trPr>
        <w:tc>
          <w:tcPr>
            <w:tcW w:w="4871" w:type="dxa"/>
          </w:tcPr>
          <w:p w:rsidR="00FC5C2E" w:rsidRPr="007B5902" w:rsidRDefault="00FC5C2E">
            <w:pPr>
              <w:jc w:val="both"/>
            </w:pPr>
            <w:r w:rsidRPr="007B5902">
              <w:t xml:space="preserve">Low Beginning ESL </w:t>
            </w:r>
          </w:p>
        </w:tc>
        <w:tc>
          <w:tcPr>
            <w:tcW w:w="1260" w:type="dxa"/>
          </w:tcPr>
          <w:p w:rsidR="00FC5C2E" w:rsidRPr="007B5902" w:rsidRDefault="00324516" w:rsidP="0062552E">
            <w:pPr>
              <w:jc w:val="both"/>
            </w:pPr>
            <w:r w:rsidRPr="007B5902">
              <w:t>65</w:t>
            </w:r>
            <w:r w:rsidR="00FC5C2E" w:rsidRPr="007B5902">
              <w:t>%</w:t>
            </w:r>
          </w:p>
        </w:tc>
        <w:tc>
          <w:tcPr>
            <w:tcW w:w="1260" w:type="dxa"/>
          </w:tcPr>
          <w:p w:rsidR="00FC5C2E" w:rsidRPr="007B5902" w:rsidRDefault="003D4D3B">
            <w:pPr>
              <w:jc w:val="both"/>
              <w:rPr>
                <w:b/>
              </w:rPr>
            </w:pPr>
            <w:r w:rsidRPr="007B5902">
              <w:rPr>
                <w:b/>
              </w:rPr>
              <w:t>86</w:t>
            </w:r>
            <w:r w:rsidR="00FC5C2E" w:rsidRPr="007B5902">
              <w:rPr>
                <w:b/>
              </w:rPr>
              <w:t>%</w:t>
            </w:r>
          </w:p>
        </w:tc>
      </w:tr>
      <w:tr w:rsidR="00E54A82" w:rsidRPr="007B5902" w:rsidTr="0062552E">
        <w:trPr>
          <w:cantSplit/>
          <w:trHeight w:val="300"/>
          <w:jc w:val="center"/>
        </w:trPr>
        <w:tc>
          <w:tcPr>
            <w:tcW w:w="4871" w:type="dxa"/>
          </w:tcPr>
          <w:p w:rsidR="00FC5C2E" w:rsidRPr="007B5902" w:rsidRDefault="00FC5C2E">
            <w:pPr>
              <w:jc w:val="both"/>
            </w:pPr>
            <w:r w:rsidRPr="007B5902">
              <w:t>High Beginning ESL</w:t>
            </w:r>
          </w:p>
        </w:tc>
        <w:tc>
          <w:tcPr>
            <w:tcW w:w="1260" w:type="dxa"/>
          </w:tcPr>
          <w:p w:rsidR="00FC5C2E" w:rsidRPr="007B5902" w:rsidRDefault="004A0BD8" w:rsidP="0062552E">
            <w:pPr>
              <w:jc w:val="both"/>
            </w:pPr>
            <w:r w:rsidRPr="007B5902">
              <w:t>60</w:t>
            </w:r>
            <w:r w:rsidR="00FC5C2E" w:rsidRPr="007B5902">
              <w:t>%</w:t>
            </w:r>
          </w:p>
        </w:tc>
        <w:tc>
          <w:tcPr>
            <w:tcW w:w="1260" w:type="dxa"/>
          </w:tcPr>
          <w:p w:rsidR="00FC5C2E" w:rsidRPr="007B5902" w:rsidRDefault="003D4D3B">
            <w:pPr>
              <w:jc w:val="both"/>
              <w:rPr>
                <w:b/>
              </w:rPr>
            </w:pPr>
            <w:r w:rsidRPr="007B5902">
              <w:rPr>
                <w:b/>
              </w:rPr>
              <w:t>78</w:t>
            </w:r>
            <w:r w:rsidR="00FC5C2E" w:rsidRPr="007B5902">
              <w:rPr>
                <w:b/>
              </w:rPr>
              <w:t>%</w:t>
            </w:r>
          </w:p>
        </w:tc>
      </w:tr>
      <w:tr w:rsidR="00E54A82" w:rsidRPr="007B5902" w:rsidTr="0062552E">
        <w:trPr>
          <w:cantSplit/>
          <w:trHeight w:val="300"/>
          <w:jc w:val="center"/>
        </w:trPr>
        <w:tc>
          <w:tcPr>
            <w:tcW w:w="4871" w:type="dxa"/>
          </w:tcPr>
          <w:p w:rsidR="00FC5C2E" w:rsidRPr="007B5902" w:rsidRDefault="00FC5C2E">
            <w:pPr>
              <w:jc w:val="both"/>
            </w:pPr>
            <w:r w:rsidRPr="007B5902">
              <w:t>Low Intermediate ESL</w:t>
            </w:r>
          </w:p>
        </w:tc>
        <w:tc>
          <w:tcPr>
            <w:tcW w:w="1260" w:type="dxa"/>
          </w:tcPr>
          <w:p w:rsidR="00FC5C2E" w:rsidRPr="007B5902" w:rsidRDefault="00324516" w:rsidP="0062552E">
            <w:pPr>
              <w:jc w:val="both"/>
            </w:pPr>
            <w:r w:rsidRPr="007B5902">
              <w:t>47</w:t>
            </w:r>
            <w:r w:rsidR="00FC5C2E" w:rsidRPr="007B5902">
              <w:t>%</w:t>
            </w:r>
          </w:p>
        </w:tc>
        <w:tc>
          <w:tcPr>
            <w:tcW w:w="1260" w:type="dxa"/>
          </w:tcPr>
          <w:p w:rsidR="00FC5C2E" w:rsidRPr="007B5902" w:rsidRDefault="003D4D3B">
            <w:pPr>
              <w:jc w:val="both"/>
              <w:rPr>
                <w:b/>
              </w:rPr>
            </w:pPr>
            <w:r w:rsidRPr="007B5902">
              <w:rPr>
                <w:b/>
              </w:rPr>
              <w:t>66</w:t>
            </w:r>
            <w:r w:rsidR="00FC5C2E" w:rsidRPr="007B5902">
              <w:rPr>
                <w:b/>
              </w:rPr>
              <w:t>%</w:t>
            </w:r>
          </w:p>
        </w:tc>
      </w:tr>
      <w:tr w:rsidR="00E54A82" w:rsidRPr="007B5902" w:rsidTr="0062552E">
        <w:trPr>
          <w:cantSplit/>
          <w:trHeight w:val="300"/>
          <w:jc w:val="center"/>
        </w:trPr>
        <w:tc>
          <w:tcPr>
            <w:tcW w:w="4871" w:type="dxa"/>
          </w:tcPr>
          <w:p w:rsidR="00FC5C2E" w:rsidRPr="007B5902" w:rsidRDefault="00FC5C2E">
            <w:pPr>
              <w:jc w:val="both"/>
            </w:pPr>
            <w:r w:rsidRPr="007B5902">
              <w:t>High Intermediate ESL</w:t>
            </w:r>
          </w:p>
        </w:tc>
        <w:tc>
          <w:tcPr>
            <w:tcW w:w="1260" w:type="dxa"/>
          </w:tcPr>
          <w:p w:rsidR="00FC5C2E" w:rsidRPr="007B5902" w:rsidRDefault="00324516" w:rsidP="0062552E">
            <w:pPr>
              <w:jc w:val="both"/>
            </w:pPr>
            <w:r w:rsidRPr="007B5902">
              <w:t>44</w:t>
            </w:r>
            <w:r w:rsidR="00FC5C2E" w:rsidRPr="007B5902">
              <w:t>%</w:t>
            </w:r>
          </w:p>
        </w:tc>
        <w:tc>
          <w:tcPr>
            <w:tcW w:w="1260" w:type="dxa"/>
          </w:tcPr>
          <w:p w:rsidR="00FC5C2E" w:rsidRPr="007B5902" w:rsidRDefault="003D4D3B">
            <w:pPr>
              <w:jc w:val="both"/>
              <w:rPr>
                <w:b/>
              </w:rPr>
            </w:pPr>
            <w:r w:rsidRPr="007B5902">
              <w:rPr>
                <w:b/>
              </w:rPr>
              <w:t>66</w:t>
            </w:r>
            <w:r w:rsidR="00FC5C2E" w:rsidRPr="007B5902">
              <w:rPr>
                <w:b/>
              </w:rPr>
              <w:t>%</w:t>
            </w:r>
          </w:p>
        </w:tc>
      </w:tr>
      <w:tr w:rsidR="00E54A82" w:rsidRPr="007B5902" w:rsidTr="0062552E">
        <w:trPr>
          <w:cantSplit/>
          <w:trHeight w:val="300"/>
          <w:jc w:val="center"/>
        </w:trPr>
        <w:tc>
          <w:tcPr>
            <w:tcW w:w="4871" w:type="dxa"/>
            <w:tcBorders>
              <w:bottom w:val="single" w:sz="4" w:space="0" w:color="auto"/>
            </w:tcBorders>
          </w:tcPr>
          <w:p w:rsidR="00FC5C2E" w:rsidRPr="007B5902" w:rsidRDefault="00FC5C2E">
            <w:pPr>
              <w:jc w:val="both"/>
            </w:pPr>
            <w:r w:rsidRPr="007B5902">
              <w:t>Advanced ESL</w:t>
            </w:r>
          </w:p>
        </w:tc>
        <w:tc>
          <w:tcPr>
            <w:tcW w:w="1260" w:type="dxa"/>
            <w:tcBorders>
              <w:bottom w:val="single" w:sz="4" w:space="0" w:color="auto"/>
            </w:tcBorders>
          </w:tcPr>
          <w:p w:rsidR="00FC5C2E" w:rsidRPr="007B5902" w:rsidRDefault="00324516" w:rsidP="0062552E">
            <w:pPr>
              <w:jc w:val="both"/>
            </w:pPr>
            <w:r w:rsidRPr="007B5902">
              <w:t>20</w:t>
            </w:r>
            <w:r w:rsidR="00FC5C2E" w:rsidRPr="007B5902">
              <w:t>%</w:t>
            </w:r>
          </w:p>
        </w:tc>
        <w:tc>
          <w:tcPr>
            <w:tcW w:w="1260" w:type="dxa"/>
            <w:tcBorders>
              <w:bottom w:val="single" w:sz="4" w:space="0" w:color="auto"/>
            </w:tcBorders>
          </w:tcPr>
          <w:p w:rsidR="00FC5C2E" w:rsidRPr="007B5902" w:rsidRDefault="008C2F9E">
            <w:pPr>
              <w:jc w:val="both"/>
              <w:rPr>
                <w:b/>
              </w:rPr>
            </w:pPr>
            <w:r w:rsidRPr="007B5902">
              <w:rPr>
                <w:b/>
              </w:rPr>
              <w:t>41</w:t>
            </w:r>
            <w:r w:rsidR="00FC5C2E" w:rsidRPr="007B5902">
              <w:rPr>
                <w:b/>
              </w:rPr>
              <w:t>%</w:t>
            </w:r>
          </w:p>
        </w:tc>
      </w:tr>
    </w:tbl>
    <w:p w:rsidR="00555C35" w:rsidRPr="007B5902" w:rsidRDefault="00555C35">
      <w:pPr>
        <w:pStyle w:val="BodyTextIndent2"/>
        <w:tabs>
          <w:tab w:val="left" w:pos="0"/>
        </w:tabs>
        <w:ind w:left="0"/>
        <w:jc w:val="both"/>
        <w:rPr>
          <w:rFonts w:ascii="Times New Roman" w:hAnsi="Times New Roman" w:cs="Times New Roman"/>
          <w:sz w:val="24"/>
          <w:szCs w:val="24"/>
        </w:rPr>
      </w:pPr>
    </w:p>
    <w:p w:rsidR="000B2C98" w:rsidRPr="007B5902" w:rsidRDefault="000B2C98" w:rsidP="00CD75CE">
      <w:pPr>
        <w:pStyle w:val="BodyTextIndent2"/>
        <w:numPr>
          <w:ilvl w:val="0"/>
          <w:numId w:val="3"/>
        </w:numPr>
        <w:tabs>
          <w:tab w:val="left" w:pos="0"/>
        </w:tabs>
        <w:ind w:left="0"/>
        <w:jc w:val="both"/>
        <w:rPr>
          <w:rFonts w:ascii="Times New Roman" w:hAnsi="Times New Roman" w:cs="Times New Roman"/>
          <w:sz w:val="24"/>
          <w:szCs w:val="24"/>
        </w:rPr>
      </w:pPr>
      <w:r w:rsidRPr="007B5902">
        <w:rPr>
          <w:rFonts w:ascii="Times New Roman" w:hAnsi="Times New Roman" w:cs="Times New Roman"/>
          <w:sz w:val="24"/>
          <w:szCs w:val="24"/>
        </w:rPr>
        <w:t>* Indicates performance measures the state did not meet</w:t>
      </w:r>
      <w:r w:rsidR="00AD74D5" w:rsidRPr="007B5902">
        <w:rPr>
          <w:rFonts w:ascii="Times New Roman" w:hAnsi="Times New Roman" w:cs="Times New Roman"/>
          <w:sz w:val="24"/>
          <w:szCs w:val="24"/>
        </w:rPr>
        <w:t xml:space="preserve"> on Table B (or NRS Table 4)</w:t>
      </w:r>
      <w:r w:rsidRPr="007B5902">
        <w:rPr>
          <w:rFonts w:ascii="Times New Roman" w:hAnsi="Times New Roman" w:cs="Times New Roman"/>
          <w:sz w:val="24"/>
          <w:szCs w:val="24"/>
        </w:rPr>
        <w:t>.</w:t>
      </w:r>
    </w:p>
    <w:p w:rsidR="00BB713C" w:rsidRPr="007B5902" w:rsidRDefault="00207481" w:rsidP="00CD75CE">
      <w:pPr>
        <w:pStyle w:val="BodyTextIndent2"/>
        <w:numPr>
          <w:ilvl w:val="0"/>
          <w:numId w:val="3"/>
        </w:numPr>
        <w:tabs>
          <w:tab w:val="left" w:pos="0"/>
        </w:tabs>
        <w:ind w:left="0"/>
        <w:jc w:val="both"/>
        <w:rPr>
          <w:rFonts w:ascii="Times New Roman" w:hAnsi="Times New Roman" w:cs="Times New Roman"/>
          <w:sz w:val="24"/>
          <w:szCs w:val="24"/>
        </w:rPr>
      </w:pPr>
      <w:r w:rsidRPr="007B5902">
        <w:rPr>
          <w:rFonts w:ascii="Times New Roman" w:hAnsi="Times New Roman" w:cs="Times New Roman"/>
          <w:sz w:val="24"/>
          <w:szCs w:val="24"/>
        </w:rPr>
        <w:t xml:space="preserve">Table </w:t>
      </w:r>
      <w:r w:rsidR="00DD2B34" w:rsidRPr="007B5902">
        <w:rPr>
          <w:rFonts w:ascii="Times New Roman" w:hAnsi="Times New Roman" w:cs="Times New Roman"/>
          <w:sz w:val="24"/>
          <w:szCs w:val="24"/>
        </w:rPr>
        <w:t>B</w:t>
      </w:r>
      <w:r w:rsidRPr="007B5902">
        <w:rPr>
          <w:rFonts w:ascii="Times New Roman" w:hAnsi="Times New Roman" w:cs="Times New Roman"/>
          <w:sz w:val="24"/>
          <w:szCs w:val="24"/>
        </w:rPr>
        <w:t xml:space="preserve"> (</w:t>
      </w:r>
      <w:r w:rsidR="00555C35" w:rsidRPr="007B5902">
        <w:rPr>
          <w:rFonts w:ascii="Times New Roman" w:hAnsi="Times New Roman" w:cs="Times New Roman"/>
          <w:sz w:val="24"/>
          <w:szCs w:val="24"/>
        </w:rPr>
        <w:t>NRS Table 4</w:t>
      </w:r>
      <w:r w:rsidRPr="007B5902">
        <w:rPr>
          <w:rFonts w:ascii="Times New Roman" w:hAnsi="Times New Roman" w:cs="Times New Roman"/>
          <w:sz w:val="24"/>
          <w:szCs w:val="24"/>
        </w:rPr>
        <w:t>)</w:t>
      </w:r>
      <w:r w:rsidR="00555C35" w:rsidRPr="007B5902">
        <w:rPr>
          <w:rFonts w:ascii="Times New Roman" w:hAnsi="Times New Roman" w:cs="Times New Roman"/>
          <w:sz w:val="24"/>
          <w:szCs w:val="24"/>
        </w:rPr>
        <w:t xml:space="preserve"> shows Michigan</w:t>
      </w:r>
      <w:r w:rsidR="00D47D1E" w:rsidRPr="007B5902">
        <w:rPr>
          <w:rFonts w:ascii="Times New Roman" w:hAnsi="Times New Roman" w:cs="Times New Roman"/>
          <w:sz w:val="24"/>
          <w:szCs w:val="24"/>
        </w:rPr>
        <w:t xml:space="preserve"> </w:t>
      </w:r>
      <w:r w:rsidR="001A5316" w:rsidRPr="007B5902">
        <w:rPr>
          <w:rFonts w:ascii="Times New Roman" w:hAnsi="Times New Roman" w:cs="Times New Roman"/>
          <w:sz w:val="24"/>
          <w:szCs w:val="24"/>
        </w:rPr>
        <w:t xml:space="preserve">is still struggling with adult basic education but improved significantly with the beginning literacy </w:t>
      </w:r>
      <w:r w:rsidR="00C94803" w:rsidRPr="007B5902">
        <w:rPr>
          <w:rFonts w:ascii="Times New Roman" w:hAnsi="Times New Roman" w:cs="Times New Roman"/>
          <w:sz w:val="24"/>
          <w:szCs w:val="24"/>
        </w:rPr>
        <w:t xml:space="preserve">compared to </w:t>
      </w:r>
      <w:r w:rsidR="001A5316" w:rsidRPr="007B5902">
        <w:rPr>
          <w:rFonts w:ascii="Times New Roman" w:hAnsi="Times New Roman" w:cs="Times New Roman"/>
          <w:sz w:val="24"/>
          <w:szCs w:val="24"/>
        </w:rPr>
        <w:t>the previous year (2014</w:t>
      </w:r>
      <w:r w:rsidR="00550F17" w:rsidRPr="007B5902">
        <w:rPr>
          <w:rFonts w:ascii="Times New Roman" w:hAnsi="Times New Roman" w:cs="Times New Roman"/>
          <w:sz w:val="24"/>
          <w:szCs w:val="24"/>
        </w:rPr>
        <w:t>-201</w:t>
      </w:r>
      <w:r w:rsidR="001A5316" w:rsidRPr="007B5902">
        <w:rPr>
          <w:rFonts w:ascii="Times New Roman" w:hAnsi="Times New Roman" w:cs="Times New Roman"/>
          <w:sz w:val="24"/>
          <w:szCs w:val="24"/>
        </w:rPr>
        <w:t>5</w:t>
      </w:r>
      <w:r w:rsidR="002D2F06" w:rsidRPr="007B5902">
        <w:rPr>
          <w:rFonts w:ascii="Times New Roman" w:hAnsi="Times New Roman" w:cs="Times New Roman"/>
          <w:sz w:val="24"/>
          <w:szCs w:val="24"/>
        </w:rPr>
        <w:t>)</w:t>
      </w:r>
      <w:r w:rsidR="00550F17" w:rsidRPr="007B5902">
        <w:rPr>
          <w:rFonts w:ascii="Times New Roman" w:hAnsi="Times New Roman" w:cs="Times New Roman"/>
          <w:sz w:val="24"/>
          <w:szCs w:val="24"/>
        </w:rPr>
        <w:t xml:space="preserve">. In </w:t>
      </w:r>
      <w:r w:rsidR="00585E63" w:rsidRPr="007B5902">
        <w:rPr>
          <w:rFonts w:ascii="Times New Roman" w:hAnsi="Times New Roman" w:cs="Times New Roman"/>
          <w:sz w:val="24"/>
          <w:szCs w:val="24"/>
        </w:rPr>
        <w:t>2015-2016</w:t>
      </w:r>
      <w:r w:rsidR="00550F17" w:rsidRPr="007B5902">
        <w:rPr>
          <w:rFonts w:ascii="Times New Roman" w:hAnsi="Times New Roman" w:cs="Times New Roman"/>
          <w:sz w:val="24"/>
          <w:szCs w:val="24"/>
        </w:rPr>
        <w:t xml:space="preserve"> Michigan </w:t>
      </w:r>
      <w:r w:rsidR="00064C38" w:rsidRPr="007B5902">
        <w:rPr>
          <w:rFonts w:ascii="Times New Roman" w:hAnsi="Times New Roman" w:cs="Times New Roman"/>
          <w:sz w:val="24"/>
          <w:szCs w:val="24"/>
        </w:rPr>
        <w:t xml:space="preserve">met and exceeded </w:t>
      </w:r>
      <w:r w:rsidR="00160DFD" w:rsidRPr="007B5902">
        <w:rPr>
          <w:rFonts w:ascii="Times New Roman" w:hAnsi="Times New Roman" w:cs="Times New Roman"/>
          <w:sz w:val="24"/>
          <w:szCs w:val="24"/>
        </w:rPr>
        <w:t xml:space="preserve">all the </w:t>
      </w:r>
      <w:r w:rsidR="00064C38" w:rsidRPr="007B5902">
        <w:rPr>
          <w:rFonts w:ascii="Times New Roman" w:hAnsi="Times New Roman" w:cs="Times New Roman"/>
          <w:sz w:val="24"/>
          <w:szCs w:val="24"/>
        </w:rPr>
        <w:t>perfor</w:t>
      </w:r>
      <w:r w:rsidR="00DD2B34" w:rsidRPr="007B5902">
        <w:rPr>
          <w:rFonts w:ascii="Times New Roman" w:hAnsi="Times New Roman" w:cs="Times New Roman"/>
          <w:sz w:val="24"/>
          <w:szCs w:val="24"/>
        </w:rPr>
        <w:t>mance measures</w:t>
      </w:r>
      <w:r w:rsidR="00FB6B22">
        <w:rPr>
          <w:rFonts w:ascii="Times New Roman" w:hAnsi="Times New Roman" w:cs="Times New Roman"/>
          <w:sz w:val="24"/>
          <w:szCs w:val="24"/>
        </w:rPr>
        <w:t xml:space="preserve"> </w:t>
      </w:r>
      <w:r w:rsidR="00FB6B22" w:rsidRPr="007B0921">
        <w:rPr>
          <w:rFonts w:ascii="Times New Roman" w:hAnsi="Times New Roman" w:cs="Times New Roman"/>
          <w:sz w:val="24"/>
          <w:szCs w:val="24"/>
        </w:rPr>
        <w:t>for</w:t>
      </w:r>
      <w:r w:rsidR="00160DFD" w:rsidRPr="007B5902">
        <w:rPr>
          <w:rFonts w:ascii="Times New Roman" w:hAnsi="Times New Roman" w:cs="Times New Roman"/>
          <w:sz w:val="24"/>
          <w:szCs w:val="24"/>
        </w:rPr>
        <w:t xml:space="preserve"> ESL participants</w:t>
      </w:r>
      <w:r w:rsidR="00DD2B34" w:rsidRPr="007B5902">
        <w:rPr>
          <w:rFonts w:ascii="Times New Roman" w:hAnsi="Times New Roman" w:cs="Times New Roman"/>
          <w:sz w:val="24"/>
          <w:szCs w:val="24"/>
        </w:rPr>
        <w:t>. However, Table C</w:t>
      </w:r>
      <w:r w:rsidR="00064C38" w:rsidRPr="007B5902">
        <w:rPr>
          <w:rFonts w:ascii="Times New Roman" w:hAnsi="Times New Roman" w:cs="Times New Roman"/>
          <w:sz w:val="24"/>
          <w:szCs w:val="24"/>
        </w:rPr>
        <w:t xml:space="preserve"> (NRS </w:t>
      </w:r>
      <w:r w:rsidR="00064C38" w:rsidRPr="007B5902">
        <w:rPr>
          <w:rFonts w:ascii="Times New Roman" w:hAnsi="Times New Roman" w:cs="Times New Roman"/>
          <w:sz w:val="24"/>
          <w:szCs w:val="24"/>
        </w:rPr>
        <w:lastRenderedPageBreak/>
        <w:t xml:space="preserve">Table 4B) shows </w:t>
      </w:r>
      <w:r w:rsidR="00555C35" w:rsidRPr="007B5902">
        <w:rPr>
          <w:rFonts w:ascii="Times New Roman" w:hAnsi="Times New Roman" w:cs="Times New Roman"/>
          <w:sz w:val="24"/>
          <w:szCs w:val="24"/>
        </w:rPr>
        <w:t xml:space="preserve">a </w:t>
      </w:r>
      <w:r w:rsidR="005D70E8" w:rsidRPr="007B5902">
        <w:rPr>
          <w:rFonts w:ascii="Times New Roman" w:hAnsi="Times New Roman" w:cs="Times New Roman"/>
          <w:sz w:val="24"/>
          <w:szCs w:val="24"/>
        </w:rPr>
        <w:t>remarkable</w:t>
      </w:r>
      <w:r w:rsidR="00555C35" w:rsidRPr="007B5902">
        <w:rPr>
          <w:rFonts w:ascii="Times New Roman" w:hAnsi="Times New Roman" w:cs="Times New Roman"/>
          <w:sz w:val="24"/>
          <w:szCs w:val="24"/>
        </w:rPr>
        <w:t xml:space="preserve"> </w:t>
      </w:r>
      <w:r w:rsidR="00554C56" w:rsidRPr="007B5902">
        <w:rPr>
          <w:rFonts w:ascii="Times New Roman" w:hAnsi="Times New Roman" w:cs="Times New Roman"/>
          <w:sz w:val="24"/>
          <w:szCs w:val="24"/>
        </w:rPr>
        <w:t xml:space="preserve">performance </w:t>
      </w:r>
      <w:r w:rsidR="005B275F" w:rsidRPr="007B5902">
        <w:rPr>
          <w:rFonts w:ascii="Times New Roman" w:hAnsi="Times New Roman" w:cs="Times New Roman"/>
          <w:sz w:val="24"/>
          <w:szCs w:val="24"/>
        </w:rPr>
        <w:t xml:space="preserve">in all </w:t>
      </w:r>
      <w:r w:rsidR="00555C35" w:rsidRPr="007B5902">
        <w:rPr>
          <w:rFonts w:ascii="Times New Roman" w:hAnsi="Times New Roman" w:cs="Times New Roman"/>
          <w:sz w:val="24"/>
          <w:szCs w:val="24"/>
        </w:rPr>
        <w:t>categories</w:t>
      </w:r>
      <w:r w:rsidR="005B275F" w:rsidRPr="007B5902">
        <w:rPr>
          <w:rFonts w:ascii="Times New Roman" w:hAnsi="Times New Roman" w:cs="Times New Roman"/>
          <w:sz w:val="24"/>
          <w:szCs w:val="24"/>
        </w:rPr>
        <w:t xml:space="preserve"> </w:t>
      </w:r>
      <w:r w:rsidR="0061010B" w:rsidRPr="007B5902">
        <w:rPr>
          <w:rFonts w:ascii="Times New Roman" w:hAnsi="Times New Roman" w:cs="Times New Roman"/>
          <w:sz w:val="24"/>
          <w:szCs w:val="24"/>
        </w:rPr>
        <w:t xml:space="preserve">due to </w:t>
      </w:r>
      <w:r w:rsidR="002B3A42" w:rsidRPr="007B5902">
        <w:rPr>
          <w:rFonts w:ascii="Times New Roman" w:hAnsi="Times New Roman" w:cs="Times New Roman"/>
          <w:sz w:val="24"/>
          <w:szCs w:val="24"/>
        </w:rPr>
        <w:t>perfect</w:t>
      </w:r>
      <w:r w:rsidR="0061010B" w:rsidRPr="007B5902">
        <w:rPr>
          <w:rFonts w:ascii="Times New Roman" w:hAnsi="Times New Roman" w:cs="Times New Roman"/>
          <w:sz w:val="24"/>
          <w:szCs w:val="24"/>
        </w:rPr>
        <w:t xml:space="preserve"> pre and posttest rate</w:t>
      </w:r>
      <w:r w:rsidR="00CC37F7" w:rsidRPr="007B5902">
        <w:rPr>
          <w:rFonts w:ascii="Times New Roman" w:hAnsi="Times New Roman" w:cs="Times New Roman"/>
          <w:sz w:val="24"/>
          <w:szCs w:val="24"/>
        </w:rPr>
        <w:t>s</w:t>
      </w:r>
      <w:r w:rsidR="0061010B" w:rsidRPr="007B5902">
        <w:rPr>
          <w:rFonts w:ascii="Times New Roman" w:hAnsi="Times New Roman" w:cs="Times New Roman"/>
          <w:sz w:val="24"/>
          <w:szCs w:val="24"/>
        </w:rPr>
        <w:t xml:space="preserve"> compared to </w:t>
      </w:r>
      <w:r w:rsidR="005D70E8" w:rsidRPr="007B5902">
        <w:rPr>
          <w:rFonts w:ascii="Times New Roman" w:hAnsi="Times New Roman" w:cs="Times New Roman"/>
          <w:sz w:val="24"/>
          <w:szCs w:val="24"/>
        </w:rPr>
        <w:t>60</w:t>
      </w:r>
      <w:r w:rsidR="0061010B" w:rsidRPr="007B5902">
        <w:rPr>
          <w:rFonts w:ascii="Times New Roman" w:hAnsi="Times New Roman" w:cs="Times New Roman"/>
          <w:sz w:val="24"/>
          <w:szCs w:val="24"/>
        </w:rPr>
        <w:t>%</w:t>
      </w:r>
      <w:r w:rsidR="002B3A42" w:rsidRPr="007B5902">
        <w:rPr>
          <w:rFonts w:ascii="Times New Roman" w:hAnsi="Times New Roman" w:cs="Times New Roman"/>
          <w:sz w:val="24"/>
          <w:szCs w:val="24"/>
        </w:rPr>
        <w:t xml:space="preserve"> on </w:t>
      </w:r>
      <w:r w:rsidR="008359B8" w:rsidRPr="007B5902">
        <w:rPr>
          <w:rFonts w:ascii="Times New Roman" w:hAnsi="Times New Roman" w:cs="Times New Roman"/>
          <w:sz w:val="24"/>
          <w:szCs w:val="24"/>
        </w:rPr>
        <w:t xml:space="preserve">NRS </w:t>
      </w:r>
      <w:r w:rsidR="002B3A42" w:rsidRPr="007B5902">
        <w:rPr>
          <w:rFonts w:ascii="Times New Roman" w:hAnsi="Times New Roman" w:cs="Times New Roman"/>
          <w:sz w:val="24"/>
          <w:szCs w:val="24"/>
        </w:rPr>
        <w:t>Table 4</w:t>
      </w:r>
      <w:r w:rsidR="00555C35" w:rsidRPr="007B5902">
        <w:rPr>
          <w:rFonts w:ascii="Times New Roman" w:hAnsi="Times New Roman" w:cs="Times New Roman"/>
          <w:sz w:val="24"/>
          <w:szCs w:val="24"/>
        </w:rPr>
        <w:t xml:space="preserve">. </w:t>
      </w:r>
      <w:r w:rsidR="006A6AF5" w:rsidRPr="007B5902">
        <w:rPr>
          <w:rFonts w:ascii="Times New Roman" w:hAnsi="Times New Roman" w:cs="Times New Roman"/>
          <w:sz w:val="24"/>
          <w:szCs w:val="24"/>
        </w:rPr>
        <w:t>Throughout the reporting period</w:t>
      </w:r>
      <w:r w:rsidR="00E479CF" w:rsidRPr="007B5902">
        <w:rPr>
          <w:rFonts w:ascii="Times New Roman" w:hAnsi="Times New Roman" w:cs="Times New Roman"/>
          <w:sz w:val="24"/>
          <w:szCs w:val="24"/>
        </w:rPr>
        <w:t>,</w:t>
      </w:r>
      <w:r w:rsidR="006A6AF5" w:rsidRPr="007B5902">
        <w:rPr>
          <w:rFonts w:ascii="Times New Roman" w:hAnsi="Times New Roman" w:cs="Times New Roman"/>
          <w:color w:val="FF0000"/>
          <w:sz w:val="24"/>
          <w:szCs w:val="24"/>
        </w:rPr>
        <w:t xml:space="preserve"> </w:t>
      </w:r>
      <w:r w:rsidR="006A6AF5" w:rsidRPr="007B5902">
        <w:rPr>
          <w:rFonts w:ascii="Times New Roman" w:hAnsi="Times New Roman" w:cs="Times New Roman"/>
          <w:sz w:val="24"/>
          <w:szCs w:val="24"/>
        </w:rPr>
        <w:t xml:space="preserve">Michigan has </w:t>
      </w:r>
      <w:r w:rsidR="00E43545" w:rsidRPr="007B5902">
        <w:rPr>
          <w:rFonts w:ascii="Times New Roman" w:hAnsi="Times New Roman" w:cs="Times New Roman"/>
          <w:sz w:val="24"/>
          <w:szCs w:val="24"/>
        </w:rPr>
        <w:t>continue</w:t>
      </w:r>
      <w:r w:rsidR="006A6AF5" w:rsidRPr="007B5902">
        <w:rPr>
          <w:rFonts w:ascii="Times New Roman" w:hAnsi="Times New Roman" w:cs="Times New Roman"/>
          <w:sz w:val="24"/>
          <w:szCs w:val="24"/>
        </w:rPr>
        <w:t>d</w:t>
      </w:r>
      <w:r w:rsidR="00E43545" w:rsidRPr="007B5902">
        <w:rPr>
          <w:rFonts w:ascii="Times New Roman" w:hAnsi="Times New Roman" w:cs="Times New Roman"/>
          <w:sz w:val="24"/>
          <w:szCs w:val="24"/>
        </w:rPr>
        <w:t xml:space="preserve"> to upgrade </w:t>
      </w:r>
      <w:r w:rsidR="006A6AF5" w:rsidRPr="007B5902">
        <w:rPr>
          <w:rFonts w:ascii="Times New Roman" w:hAnsi="Times New Roman" w:cs="Times New Roman"/>
          <w:sz w:val="24"/>
          <w:szCs w:val="24"/>
        </w:rPr>
        <w:t xml:space="preserve">the </w:t>
      </w:r>
      <w:r w:rsidR="00FF1C99" w:rsidRPr="007B5902">
        <w:rPr>
          <w:rFonts w:ascii="Times New Roman" w:hAnsi="Times New Roman" w:cs="Times New Roman"/>
          <w:sz w:val="24"/>
          <w:szCs w:val="24"/>
        </w:rPr>
        <w:t xml:space="preserve">MAERS </w:t>
      </w:r>
      <w:r w:rsidR="00E43545" w:rsidRPr="007B5902">
        <w:rPr>
          <w:rFonts w:ascii="Times New Roman" w:hAnsi="Times New Roman" w:cs="Times New Roman"/>
          <w:sz w:val="24"/>
          <w:szCs w:val="24"/>
        </w:rPr>
        <w:t>data collection and reporting system</w:t>
      </w:r>
      <w:r w:rsidR="006A6AF5" w:rsidRPr="007B5902">
        <w:rPr>
          <w:rFonts w:ascii="Times New Roman" w:hAnsi="Times New Roman" w:cs="Times New Roman"/>
          <w:sz w:val="24"/>
          <w:szCs w:val="24"/>
        </w:rPr>
        <w:t xml:space="preserve"> to</w:t>
      </w:r>
      <w:r w:rsidR="00E43545" w:rsidRPr="007B5902">
        <w:rPr>
          <w:rFonts w:ascii="Times New Roman" w:hAnsi="Times New Roman" w:cs="Times New Roman"/>
          <w:sz w:val="24"/>
          <w:szCs w:val="24"/>
        </w:rPr>
        <w:t xml:space="preserve"> </w:t>
      </w:r>
      <w:r w:rsidR="00FF1C99" w:rsidRPr="007B5902">
        <w:rPr>
          <w:rFonts w:ascii="Times New Roman" w:hAnsi="Times New Roman" w:cs="Times New Roman"/>
          <w:sz w:val="24"/>
          <w:szCs w:val="24"/>
        </w:rPr>
        <w:t>increase</w:t>
      </w:r>
      <w:r w:rsidR="00E43545" w:rsidRPr="007B5902">
        <w:rPr>
          <w:rFonts w:ascii="Times New Roman" w:hAnsi="Times New Roman" w:cs="Times New Roman"/>
          <w:sz w:val="24"/>
          <w:szCs w:val="24"/>
        </w:rPr>
        <w:t xml:space="preserve"> the flexibility of the system and </w:t>
      </w:r>
      <w:r w:rsidR="00FF1C99" w:rsidRPr="007B5902">
        <w:rPr>
          <w:rFonts w:ascii="Times New Roman" w:hAnsi="Times New Roman" w:cs="Times New Roman"/>
          <w:sz w:val="24"/>
          <w:szCs w:val="24"/>
        </w:rPr>
        <w:t xml:space="preserve">the ability of </w:t>
      </w:r>
      <w:r w:rsidR="00247CDB" w:rsidRPr="007B5902">
        <w:rPr>
          <w:rFonts w:ascii="Times New Roman" w:hAnsi="Times New Roman" w:cs="Times New Roman"/>
          <w:sz w:val="24"/>
          <w:szCs w:val="24"/>
        </w:rPr>
        <w:t xml:space="preserve">running more </w:t>
      </w:r>
      <w:r w:rsidR="00FF1C99" w:rsidRPr="007B5902">
        <w:rPr>
          <w:rFonts w:ascii="Times New Roman" w:hAnsi="Times New Roman" w:cs="Times New Roman"/>
          <w:sz w:val="24"/>
          <w:szCs w:val="24"/>
        </w:rPr>
        <w:t xml:space="preserve">on-time </w:t>
      </w:r>
      <w:r w:rsidR="00E43545" w:rsidRPr="007B5902">
        <w:rPr>
          <w:rFonts w:ascii="Times New Roman" w:hAnsi="Times New Roman" w:cs="Times New Roman"/>
          <w:sz w:val="24"/>
          <w:szCs w:val="24"/>
        </w:rPr>
        <w:t>reports</w:t>
      </w:r>
      <w:r w:rsidR="00FF1C99" w:rsidRPr="007B5902">
        <w:rPr>
          <w:rFonts w:ascii="Times New Roman" w:hAnsi="Times New Roman" w:cs="Times New Roman"/>
          <w:sz w:val="24"/>
          <w:szCs w:val="24"/>
        </w:rPr>
        <w:t xml:space="preserve">. </w:t>
      </w:r>
      <w:r w:rsidR="00FA3B6C" w:rsidRPr="007B5902">
        <w:rPr>
          <w:rFonts w:ascii="Times New Roman" w:hAnsi="Times New Roman" w:cs="Times New Roman"/>
          <w:sz w:val="24"/>
          <w:szCs w:val="24"/>
        </w:rPr>
        <w:t>In addition, there was the constant reminder of the importance of quality and on-time data reporting.</w:t>
      </w:r>
    </w:p>
    <w:p w:rsidR="00575E3E" w:rsidRPr="007B5902" w:rsidRDefault="00575E3E" w:rsidP="00575E3E">
      <w:pPr>
        <w:pStyle w:val="BodyTextIndent2"/>
        <w:tabs>
          <w:tab w:val="left" w:pos="0"/>
        </w:tabs>
        <w:ind w:left="-720"/>
        <w:jc w:val="both"/>
        <w:rPr>
          <w:rFonts w:ascii="Times New Roman" w:hAnsi="Times New Roman" w:cs="Times New Roman"/>
          <w:sz w:val="24"/>
          <w:szCs w:val="24"/>
        </w:rPr>
      </w:pPr>
    </w:p>
    <w:p w:rsidR="006003FD" w:rsidRPr="007B5902" w:rsidRDefault="005211B8" w:rsidP="00CD75CE">
      <w:pPr>
        <w:pStyle w:val="BodyTextIndent2"/>
        <w:numPr>
          <w:ilvl w:val="0"/>
          <w:numId w:val="3"/>
        </w:numPr>
        <w:tabs>
          <w:tab w:val="left" w:pos="0"/>
        </w:tabs>
        <w:ind w:left="0"/>
        <w:jc w:val="both"/>
        <w:rPr>
          <w:rFonts w:ascii="Times New Roman" w:hAnsi="Times New Roman" w:cs="Times New Roman"/>
          <w:sz w:val="24"/>
          <w:szCs w:val="24"/>
        </w:rPr>
      </w:pPr>
      <w:r w:rsidRPr="007B5902">
        <w:rPr>
          <w:rFonts w:ascii="Times New Roman" w:hAnsi="Times New Roman" w:cs="Times New Roman"/>
          <w:sz w:val="24"/>
          <w:szCs w:val="24"/>
        </w:rPr>
        <w:t xml:space="preserve">NRS </w:t>
      </w:r>
      <w:r w:rsidR="00FA577A" w:rsidRPr="007B5902">
        <w:rPr>
          <w:rFonts w:ascii="Times New Roman" w:hAnsi="Times New Roman" w:cs="Times New Roman"/>
          <w:sz w:val="24"/>
          <w:szCs w:val="24"/>
        </w:rPr>
        <w:t>Table 4C</w:t>
      </w:r>
      <w:r w:rsidR="006003FD" w:rsidRPr="007B5902">
        <w:rPr>
          <w:rFonts w:ascii="Times New Roman" w:hAnsi="Times New Roman" w:cs="Times New Roman"/>
          <w:sz w:val="24"/>
          <w:szCs w:val="24"/>
        </w:rPr>
        <w:t xml:space="preserve"> performance </w:t>
      </w:r>
      <w:r w:rsidRPr="007B5902">
        <w:rPr>
          <w:rFonts w:ascii="Times New Roman" w:hAnsi="Times New Roman" w:cs="Times New Roman"/>
          <w:sz w:val="24"/>
          <w:szCs w:val="24"/>
        </w:rPr>
        <w:t xml:space="preserve">report </w:t>
      </w:r>
      <w:r w:rsidR="00C90F7A" w:rsidRPr="007B5902">
        <w:rPr>
          <w:rFonts w:ascii="Times New Roman" w:hAnsi="Times New Roman" w:cs="Times New Roman"/>
          <w:sz w:val="24"/>
          <w:szCs w:val="24"/>
        </w:rPr>
        <w:t>shows</w:t>
      </w:r>
      <w:r w:rsidR="006003FD" w:rsidRPr="007B5902">
        <w:rPr>
          <w:rFonts w:ascii="Times New Roman" w:hAnsi="Times New Roman" w:cs="Times New Roman"/>
          <w:sz w:val="24"/>
          <w:szCs w:val="24"/>
        </w:rPr>
        <w:t xml:space="preserve"> </w:t>
      </w:r>
      <w:r w:rsidR="00C90F7A" w:rsidRPr="007B5902">
        <w:rPr>
          <w:rFonts w:ascii="Times New Roman" w:hAnsi="Times New Roman" w:cs="Times New Roman"/>
          <w:sz w:val="24"/>
          <w:szCs w:val="24"/>
        </w:rPr>
        <w:t>very</w:t>
      </w:r>
      <w:r w:rsidR="006003FD" w:rsidRPr="007B5902">
        <w:rPr>
          <w:rFonts w:ascii="Times New Roman" w:hAnsi="Times New Roman" w:cs="Times New Roman"/>
          <w:sz w:val="24"/>
          <w:szCs w:val="24"/>
        </w:rPr>
        <w:t xml:space="preserve"> few </w:t>
      </w:r>
      <w:r w:rsidR="00C90F7A" w:rsidRPr="007B5902">
        <w:rPr>
          <w:rFonts w:ascii="Times New Roman" w:hAnsi="Times New Roman" w:cs="Times New Roman"/>
          <w:sz w:val="24"/>
          <w:szCs w:val="24"/>
        </w:rPr>
        <w:t xml:space="preserve">adults </w:t>
      </w:r>
      <w:r w:rsidR="009D755B" w:rsidRPr="007B5902">
        <w:rPr>
          <w:rFonts w:ascii="Times New Roman" w:hAnsi="Times New Roman" w:cs="Times New Roman"/>
          <w:sz w:val="24"/>
          <w:szCs w:val="24"/>
        </w:rPr>
        <w:t>(</w:t>
      </w:r>
      <w:r w:rsidR="00A536CE" w:rsidRPr="007B5902">
        <w:rPr>
          <w:rFonts w:ascii="Times New Roman" w:hAnsi="Times New Roman" w:cs="Times New Roman"/>
          <w:sz w:val="24"/>
          <w:szCs w:val="24"/>
        </w:rPr>
        <w:t>about 400</w:t>
      </w:r>
      <w:r w:rsidR="009D755B" w:rsidRPr="007B5902">
        <w:rPr>
          <w:rFonts w:ascii="Times New Roman" w:hAnsi="Times New Roman" w:cs="Times New Roman"/>
          <w:sz w:val="24"/>
          <w:szCs w:val="24"/>
        </w:rPr>
        <w:t>)</w:t>
      </w:r>
      <w:r w:rsidR="00CD1694" w:rsidRPr="007B5902">
        <w:rPr>
          <w:rFonts w:ascii="Times New Roman" w:hAnsi="Times New Roman" w:cs="Times New Roman"/>
          <w:sz w:val="24"/>
          <w:szCs w:val="24"/>
        </w:rPr>
        <w:t xml:space="preserve"> </w:t>
      </w:r>
      <w:r w:rsidR="006003FD" w:rsidRPr="007B5902">
        <w:rPr>
          <w:rFonts w:ascii="Times New Roman" w:hAnsi="Times New Roman" w:cs="Times New Roman"/>
          <w:sz w:val="24"/>
          <w:szCs w:val="24"/>
        </w:rPr>
        <w:t>participated in distance learning</w:t>
      </w:r>
      <w:r w:rsidR="00CD1694" w:rsidRPr="007B5902">
        <w:rPr>
          <w:rFonts w:ascii="Times New Roman" w:hAnsi="Times New Roman" w:cs="Times New Roman"/>
          <w:sz w:val="24"/>
          <w:szCs w:val="24"/>
        </w:rPr>
        <w:t xml:space="preserve"> and they </w:t>
      </w:r>
      <w:r w:rsidRPr="007B5902">
        <w:rPr>
          <w:rFonts w:ascii="Times New Roman" w:hAnsi="Times New Roman" w:cs="Times New Roman"/>
          <w:sz w:val="24"/>
          <w:szCs w:val="24"/>
        </w:rPr>
        <w:t>we</w:t>
      </w:r>
      <w:r w:rsidR="00CD1694" w:rsidRPr="007B5902">
        <w:rPr>
          <w:rFonts w:ascii="Times New Roman" w:hAnsi="Times New Roman" w:cs="Times New Roman"/>
          <w:sz w:val="24"/>
          <w:szCs w:val="24"/>
        </w:rPr>
        <w:t>re mostly ABE and ASE participants</w:t>
      </w:r>
      <w:r w:rsidR="00781AEF" w:rsidRPr="007B5902">
        <w:rPr>
          <w:rFonts w:ascii="Times New Roman" w:hAnsi="Times New Roman" w:cs="Times New Roman"/>
          <w:sz w:val="24"/>
          <w:szCs w:val="24"/>
        </w:rPr>
        <w:t>. It is very likely</w:t>
      </w:r>
      <w:r w:rsidR="00FA577A" w:rsidRPr="007B5902">
        <w:rPr>
          <w:rFonts w:ascii="Times New Roman" w:hAnsi="Times New Roman" w:cs="Times New Roman"/>
          <w:sz w:val="24"/>
          <w:szCs w:val="24"/>
        </w:rPr>
        <w:t xml:space="preserve"> that</w:t>
      </w:r>
      <w:r w:rsidR="00781AEF" w:rsidRPr="007B5902">
        <w:rPr>
          <w:rFonts w:ascii="Times New Roman" w:hAnsi="Times New Roman" w:cs="Times New Roman"/>
          <w:sz w:val="24"/>
          <w:szCs w:val="24"/>
        </w:rPr>
        <w:t xml:space="preserve"> the </w:t>
      </w:r>
      <w:r w:rsidR="0055043D" w:rsidRPr="007B5902">
        <w:rPr>
          <w:rFonts w:ascii="Times New Roman" w:hAnsi="Times New Roman" w:cs="Times New Roman"/>
          <w:sz w:val="24"/>
          <w:szCs w:val="24"/>
        </w:rPr>
        <w:t xml:space="preserve">low </w:t>
      </w:r>
      <w:r w:rsidR="00781AEF" w:rsidRPr="007B5902">
        <w:rPr>
          <w:rFonts w:ascii="Times New Roman" w:hAnsi="Times New Roman" w:cs="Times New Roman"/>
          <w:sz w:val="24"/>
          <w:szCs w:val="24"/>
        </w:rPr>
        <w:t>number of p</w:t>
      </w:r>
      <w:r w:rsidR="00FA577A" w:rsidRPr="007B5902">
        <w:rPr>
          <w:rFonts w:ascii="Times New Roman" w:hAnsi="Times New Roman" w:cs="Times New Roman"/>
          <w:sz w:val="24"/>
          <w:szCs w:val="24"/>
        </w:rPr>
        <w:t>articipants reported on Table 4C</w:t>
      </w:r>
      <w:r w:rsidR="00781AEF" w:rsidRPr="007B5902">
        <w:rPr>
          <w:rFonts w:ascii="Times New Roman" w:hAnsi="Times New Roman" w:cs="Times New Roman"/>
          <w:sz w:val="24"/>
          <w:szCs w:val="24"/>
        </w:rPr>
        <w:t xml:space="preserve"> is based on Michigan</w:t>
      </w:r>
      <w:r w:rsidR="0055043D" w:rsidRPr="007B5902">
        <w:rPr>
          <w:rFonts w:ascii="Times New Roman" w:hAnsi="Times New Roman" w:cs="Times New Roman"/>
          <w:sz w:val="24"/>
          <w:szCs w:val="24"/>
        </w:rPr>
        <w:t>’s</w:t>
      </w:r>
      <w:r w:rsidR="00781AEF" w:rsidRPr="007B5902">
        <w:rPr>
          <w:rFonts w:ascii="Times New Roman" w:hAnsi="Times New Roman" w:cs="Times New Roman"/>
          <w:sz w:val="24"/>
          <w:szCs w:val="24"/>
        </w:rPr>
        <w:t xml:space="preserve"> narrow definition of distance learning. I</w:t>
      </w:r>
      <w:r w:rsidR="000E63A6" w:rsidRPr="007B5902">
        <w:rPr>
          <w:rFonts w:ascii="Times New Roman" w:hAnsi="Times New Roman" w:cs="Times New Roman"/>
          <w:sz w:val="24"/>
          <w:szCs w:val="24"/>
        </w:rPr>
        <w:t xml:space="preserve">t is </w:t>
      </w:r>
      <w:r w:rsidR="0055043D" w:rsidRPr="007B5902">
        <w:rPr>
          <w:rFonts w:ascii="Times New Roman" w:hAnsi="Times New Roman" w:cs="Times New Roman"/>
          <w:sz w:val="24"/>
          <w:szCs w:val="24"/>
        </w:rPr>
        <w:t>too</w:t>
      </w:r>
      <w:r w:rsidR="000E63A6" w:rsidRPr="007B5902">
        <w:rPr>
          <w:rFonts w:ascii="Times New Roman" w:hAnsi="Times New Roman" w:cs="Times New Roman"/>
          <w:sz w:val="24"/>
          <w:szCs w:val="24"/>
        </w:rPr>
        <w:t xml:space="preserve"> soon</w:t>
      </w:r>
      <w:r w:rsidR="006003FD" w:rsidRPr="007B5902">
        <w:rPr>
          <w:rFonts w:ascii="Times New Roman" w:hAnsi="Times New Roman" w:cs="Times New Roman"/>
          <w:sz w:val="24"/>
          <w:szCs w:val="24"/>
        </w:rPr>
        <w:t xml:space="preserve"> to quantify any success or failure until we implement our new</w:t>
      </w:r>
      <w:r w:rsidR="000E63A6" w:rsidRPr="007B5902">
        <w:rPr>
          <w:rFonts w:ascii="Times New Roman" w:hAnsi="Times New Roman" w:cs="Times New Roman"/>
          <w:sz w:val="24"/>
          <w:szCs w:val="24"/>
        </w:rPr>
        <w:t>ly</w:t>
      </w:r>
      <w:r w:rsidR="006003FD" w:rsidRPr="007B5902">
        <w:rPr>
          <w:rFonts w:ascii="Times New Roman" w:hAnsi="Times New Roman" w:cs="Times New Roman"/>
          <w:sz w:val="24"/>
          <w:szCs w:val="24"/>
        </w:rPr>
        <w:t xml:space="preserve"> approved distance learning policy.</w:t>
      </w:r>
    </w:p>
    <w:p w:rsidR="00343C04" w:rsidRPr="007B5902" w:rsidRDefault="00343C04" w:rsidP="00343C04">
      <w:pPr>
        <w:pStyle w:val="BodyTextIndent2"/>
        <w:tabs>
          <w:tab w:val="left" w:pos="0"/>
        </w:tabs>
        <w:ind w:left="0"/>
        <w:jc w:val="both"/>
        <w:rPr>
          <w:rFonts w:ascii="Times New Roman" w:hAnsi="Times New Roman" w:cs="Times New Roman"/>
          <w:sz w:val="24"/>
          <w:szCs w:val="24"/>
        </w:rPr>
      </w:pPr>
    </w:p>
    <w:p w:rsidR="00AA42B2" w:rsidRPr="007B5902" w:rsidRDefault="00AA42B2" w:rsidP="00343C04">
      <w:pPr>
        <w:pStyle w:val="BodyTextIndent"/>
        <w:tabs>
          <w:tab w:val="left" w:pos="360"/>
        </w:tabs>
        <w:ind w:left="1440"/>
        <w:rPr>
          <w:b/>
          <w:bCs/>
          <w:color w:val="auto"/>
          <w:sz w:val="24"/>
          <w:szCs w:val="24"/>
        </w:rPr>
      </w:pPr>
      <w:r w:rsidRPr="007B5902">
        <w:rPr>
          <w:b/>
          <w:bCs/>
          <w:color w:val="auto"/>
          <w:sz w:val="24"/>
          <w:szCs w:val="24"/>
        </w:rPr>
        <w:t xml:space="preserve">Table D: NRS Table 4C </w:t>
      </w:r>
      <w:r w:rsidR="00FA5557" w:rsidRPr="007B5902">
        <w:rPr>
          <w:b/>
          <w:bCs/>
          <w:color w:val="auto"/>
          <w:sz w:val="24"/>
          <w:szCs w:val="24"/>
        </w:rPr>
        <w:t>–</w:t>
      </w:r>
      <w:r w:rsidRPr="007B5902">
        <w:rPr>
          <w:b/>
          <w:bCs/>
          <w:color w:val="auto"/>
          <w:sz w:val="24"/>
          <w:szCs w:val="24"/>
        </w:rPr>
        <w:t xml:space="preserve"> </w:t>
      </w:r>
      <w:r w:rsidR="00FA5557" w:rsidRPr="007B5902">
        <w:rPr>
          <w:b/>
          <w:bCs/>
          <w:color w:val="auto"/>
          <w:sz w:val="24"/>
          <w:szCs w:val="24"/>
        </w:rPr>
        <w:t xml:space="preserve">Distance Learning and </w:t>
      </w:r>
      <w:r w:rsidRPr="007B5902">
        <w:rPr>
          <w:b/>
          <w:bCs/>
          <w:color w:val="auto"/>
          <w:sz w:val="24"/>
          <w:szCs w:val="24"/>
        </w:rPr>
        <w:t>Educational Gains and Attendance by EFL</w:t>
      </w:r>
    </w:p>
    <w:p w:rsidR="00AA42B2" w:rsidRPr="007B5902" w:rsidRDefault="00AA42B2" w:rsidP="00A237F5">
      <w:pPr>
        <w:pStyle w:val="BodyTextIndent"/>
        <w:tabs>
          <w:tab w:val="left" w:pos="360"/>
        </w:tabs>
        <w:ind w:left="1440"/>
        <w:rPr>
          <w:color w:val="auto"/>
          <w:sz w:val="24"/>
          <w:szCs w:val="24"/>
        </w:rPr>
      </w:pPr>
      <w:r w:rsidRPr="007B5902">
        <w:rPr>
          <w:color w:val="auto"/>
          <w:sz w:val="24"/>
          <w:szCs w:val="24"/>
        </w:rPr>
        <w:tab/>
      </w:r>
      <w:r w:rsidRPr="007B5902">
        <w:rPr>
          <w:color w:val="auto"/>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39"/>
        <w:gridCol w:w="1177"/>
        <w:gridCol w:w="1260"/>
      </w:tblGrid>
      <w:tr w:rsidR="00AA42B2" w:rsidRPr="007B5902" w:rsidTr="00D9623D">
        <w:trPr>
          <w:cantSplit/>
          <w:trHeight w:val="404"/>
          <w:jc w:val="center"/>
        </w:trPr>
        <w:tc>
          <w:tcPr>
            <w:tcW w:w="4839" w:type="dxa"/>
            <w:tcBorders>
              <w:top w:val="single" w:sz="4" w:space="0" w:color="auto"/>
            </w:tcBorders>
          </w:tcPr>
          <w:p w:rsidR="00AA42B2" w:rsidRPr="007B5902" w:rsidRDefault="00AA42B2" w:rsidP="00D9623D">
            <w:pPr>
              <w:jc w:val="both"/>
              <w:rPr>
                <w:b/>
                <w:bCs/>
                <w:i/>
                <w:iCs/>
              </w:rPr>
            </w:pPr>
          </w:p>
          <w:p w:rsidR="00AA42B2" w:rsidRPr="007B5902" w:rsidRDefault="00AA42B2" w:rsidP="00D9623D">
            <w:pPr>
              <w:jc w:val="center"/>
              <w:rPr>
                <w:b/>
                <w:bCs/>
                <w:i/>
                <w:iCs/>
              </w:rPr>
            </w:pPr>
            <w:r w:rsidRPr="007B5902">
              <w:rPr>
                <w:b/>
                <w:bCs/>
                <w:i/>
                <w:iCs/>
              </w:rPr>
              <w:t>2015-2016 Benchmarks</w:t>
            </w:r>
          </w:p>
        </w:tc>
        <w:tc>
          <w:tcPr>
            <w:tcW w:w="1177" w:type="dxa"/>
            <w:tcBorders>
              <w:top w:val="single" w:sz="4" w:space="0" w:color="auto"/>
            </w:tcBorders>
          </w:tcPr>
          <w:p w:rsidR="00AA42B2" w:rsidRPr="007B5902" w:rsidRDefault="00FA5557" w:rsidP="00D9623D">
            <w:pPr>
              <w:jc w:val="center"/>
              <w:rPr>
                <w:b/>
                <w:bCs/>
                <w:i/>
                <w:iCs/>
              </w:rPr>
            </w:pPr>
            <w:r w:rsidRPr="007B5902">
              <w:rPr>
                <w:b/>
                <w:bCs/>
                <w:i/>
                <w:iCs/>
              </w:rPr>
              <w:t>Registered</w:t>
            </w:r>
          </w:p>
        </w:tc>
        <w:tc>
          <w:tcPr>
            <w:tcW w:w="1260" w:type="dxa"/>
            <w:tcBorders>
              <w:top w:val="single" w:sz="4" w:space="0" w:color="auto"/>
            </w:tcBorders>
          </w:tcPr>
          <w:p w:rsidR="00AA42B2" w:rsidRPr="007B5902" w:rsidRDefault="00FA5557" w:rsidP="00D9623D">
            <w:pPr>
              <w:jc w:val="center"/>
              <w:rPr>
                <w:b/>
                <w:bCs/>
                <w:i/>
                <w:iCs/>
              </w:rPr>
            </w:pPr>
            <w:r w:rsidRPr="007B5902">
              <w:rPr>
                <w:b/>
                <w:bCs/>
                <w:i/>
                <w:iCs/>
              </w:rPr>
              <w:t>Completion Percentage</w:t>
            </w:r>
          </w:p>
        </w:tc>
      </w:tr>
      <w:tr w:rsidR="00AA42B2" w:rsidRPr="007B5902" w:rsidTr="00D9623D">
        <w:trPr>
          <w:cantSplit/>
          <w:trHeight w:val="300"/>
          <w:jc w:val="center"/>
        </w:trPr>
        <w:tc>
          <w:tcPr>
            <w:tcW w:w="4839" w:type="dxa"/>
          </w:tcPr>
          <w:p w:rsidR="00AA42B2" w:rsidRPr="007B5902" w:rsidRDefault="00AA42B2" w:rsidP="00D9623D">
            <w:pPr>
              <w:jc w:val="both"/>
            </w:pPr>
            <w:r w:rsidRPr="007B5902">
              <w:t>Beginning ABE Literacy</w:t>
            </w:r>
          </w:p>
        </w:tc>
        <w:tc>
          <w:tcPr>
            <w:tcW w:w="1177" w:type="dxa"/>
          </w:tcPr>
          <w:p w:rsidR="00AA42B2" w:rsidRPr="007B5902" w:rsidRDefault="00FA5557" w:rsidP="00D9623D">
            <w:pPr>
              <w:jc w:val="both"/>
            </w:pPr>
            <w:r w:rsidRPr="007B5902">
              <w:t>20</w:t>
            </w:r>
          </w:p>
        </w:tc>
        <w:tc>
          <w:tcPr>
            <w:tcW w:w="1260" w:type="dxa"/>
          </w:tcPr>
          <w:p w:rsidR="00AA42B2" w:rsidRPr="007B5902" w:rsidRDefault="001E55EF" w:rsidP="00D9623D">
            <w:pPr>
              <w:jc w:val="both"/>
              <w:rPr>
                <w:b/>
              </w:rPr>
            </w:pPr>
            <w:r w:rsidRPr="007B5902">
              <w:rPr>
                <w:b/>
              </w:rPr>
              <w:t>55</w:t>
            </w:r>
            <w:r w:rsidR="00AA42B2" w:rsidRPr="007B5902">
              <w:rPr>
                <w:b/>
              </w:rPr>
              <w:t>%</w:t>
            </w:r>
          </w:p>
        </w:tc>
      </w:tr>
      <w:tr w:rsidR="00AA42B2" w:rsidRPr="007B5902" w:rsidTr="00D9623D">
        <w:trPr>
          <w:cantSplit/>
          <w:trHeight w:val="300"/>
          <w:jc w:val="center"/>
        </w:trPr>
        <w:tc>
          <w:tcPr>
            <w:tcW w:w="4839" w:type="dxa"/>
          </w:tcPr>
          <w:p w:rsidR="00AA42B2" w:rsidRPr="007B5902" w:rsidRDefault="00AA42B2" w:rsidP="00D9623D">
            <w:pPr>
              <w:jc w:val="both"/>
            </w:pPr>
            <w:r w:rsidRPr="007B5902">
              <w:t>Beginning ABE Education</w:t>
            </w:r>
          </w:p>
        </w:tc>
        <w:tc>
          <w:tcPr>
            <w:tcW w:w="1177" w:type="dxa"/>
          </w:tcPr>
          <w:p w:rsidR="00AA42B2" w:rsidRPr="007B5902" w:rsidRDefault="00FA5557" w:rsidP="00D9623D">
            <w:pPr>
              <w:jc w:val="both"/>
            </w:pPr>
            <w:r w:rsidRPr="007B5902">
              <w:t>59</w:t>
            </w:r>
          </w:p>
        </w:tc>
        <w:tc>
          <w:tcPr>
            <w:tcW w:w="1260" w:type="dxa"/>
          </w:tcPr>
          <w:p w:rsidR="00AA42B2" w:rsidRPr="007B5902" w:rsidRDefault="00AA42B2" w:rsidP="00D9623D">
            <w:pPr>
              <w:jc w:val="both"/>
              <w:rPr>
                <w:b/>
              </w:rPr>
            </w:pPr>
            <w:r w:rsidRPr="007B5902">
              <w:rPr>
                <w:b/>
              </w:rPr>
              <w:t>32%</w:t>
            </w:r>
          </w:p>
        </w:tc>
      </w:tr>
      <w:tr w:rsidR="00AA42B2" w:rsidRPr="007B5902" w:rsidTr="00D9623D">
        <w:trPr>
          <w:cantSplit/>
          <w:trHeight w:val="300"/>
          <w:jc w:val="center"/>
        </w:trPr>
        <w:tc>
          <w:tcPr>
            <w:tcW w:w="4839" w:type="dxa"/>
          </w:tcPr>
          <w:p w:rsidR="00AA42B2" w:rsidRPr="007B5902" w:rsidRDefault="00AA42B2" w:rsidP="00D9623D">
            <w:r w:rsidRPr="007B5902">
              <w:t>Low Intermediate Basic Education</w:t>
            </w:r>
          </w:p>
        </w:tc>
        <w:tc>
          <w:tcPr>
            <w:tcW w:w="1177" w:type="dxa"/>
          </w:tcPr>
          <w:p w:rsidR="00AA42B2" w:rsidRPr="007B5902" w:rsidRDefault="00FA5557" w:rsidP="00D9623D">
            <w:pPr>
              <w:jc w:val="both"/>
            </w:pPr>
            <w:r w:rsidRPr="007B5902">
              <w:t>104</w:t>
            </w:r>
          </w:p>
        </w:tc>
        <w:tc>
          <w:tcPr>
            <w:tcW w:w="1260" w:type="dxa"/>
          </w:tcPr>
          <w:p w:rsidR="00AA42B2" w:rsidRPr="007B5902" w:rsidRDefault="001E55EF" w:rsidP="00D9623D">
            <w:pPr>
              <w:jc w:val="both"/>
              <w:rPr>
                <w:b/>
              </w:rPr>
            </w:pPr>
            <w:r w:rsidRPr="007B5902">
              <w:rPr>
                <w:b/>
              </w:rPr>
              <w:t>30</w:t>
            </w:r>
            <w:r w:rsidR="00AA42B2" w:rsidRPr="007B5902">
              <w:rPr>
                <w:b/>
              </w:rPr>
              <w:t>%</w:t>
            </w:r>
          </w:p>
        </w:tc>
      </w:tr>
      <w:tr w:rsidR="00AA42B2" w:rsidRPr="007B5902" w:rsidTr="00D9623D">
        <w:trPr>
          <w:cantSplit/>
          <w:trHeight w:val="300"/>
          <w:jc w:val="center"/>
        </w:trPr>
        <w:tc>
          <w:tcPr>
            <w:tcW w:w="4839" w:type="dxa"/>
          </w:tcPr>
          <w:p w:rsidR="00AA42B2" w:rsidRPr="007B5902" w:rsidRDefault="00AA42B2" w:rsidP="00D9623D">
            <w:r w:rsidRPr="007B5902">
              <w:t>High Intermediate Basic Education</w:t>
            </w:r>
          </w:p>
        </w:tc>
        <w:tc>
          <w:tcPr>
            <w:tcW w:w="1177" w:type="dxa"/>
          </w:tcPr>
          <w:p w:rsidR="00AA42B2" w:rsidRPr="007B5902" w:rsidRDefault="001E55EF" w:rsidP="00D9623D">
            <w:pPr>
              <w:jc w:val="both"/>
            </w:pPr>
            <w:r w:rsidRPr="007B5902">
              <w:t>112</w:t>
            </w:r>
          </w:p>
        </w:tc>
        <w:tc>
          <w:tcPr>
            <w:tcW w:w="1260" w:type="dxa"/>
          </w:tcPr>
          <w:p w:rsidR="00AA42B2" w:rsidRPr="007B5902" w:rsidRDefault="001E55EF" w:rsidP="001E55EF">
            <w:pPr>
              <w:jc w:val="both"/>
              <w:rPr>
                <w:b/>
              </w:rPr>
            </w:pPr>
            <w:r w:rsidRPr="007B5902">
              <w:rPr>
                <w:b/>
              </w:rPr>
              <w:t>33</w:t>
            </w:r>
            <w:r w:rsidR="00AA42B2" w:rsidRPr="007B5902">
              <w:rPr>
                <w:b/>
              </w:rPr>
              <w:t>%</w:t>
            </w:r>
          </w:p>
        </w:tc>
      </w:tr>
      <w:tr w:rsidR="00AA42B2" w:rsidRPr="007B5902" w:rsidTr="00D9623D">
        <w:trPr>
          <w:cantSplit/>
          <w:trHeight w:val="300"/>
          <w:jc w:val="center"/>
        </w:trPr>
        <w:tc>
          <w:tcPr>
            <w:tcW w:w="4839" w:type="dxa"/>
          </w:tcPr>
          <w:p w:rsidR="00AA42B2" w:rsidRPr="007B5902" w:rsidRDefault="00AA42B2" w:rsidP="00D9623D">
            <w:r w:rsidRPr="007B5902">
              <w:t>Low Adult Secondary Education</w:t>
            </w:r>
          </w:p>
        </w:tc>
        <w:tc>
          <w:tcPr>
            <w:tcW w:w="1177" w:type="dxa"/>
          </w:tcPr>
          <w:p w:rsidR="00AA42B2" w:rsidRPr="007B5902" w:rsidRDefault="001E55EF" w:rsidP="00D9623D">
            <w:pPr>
              <w:jc w:val="both"/>
            </w:pPr>
            <w:r w:rsidRPr="007B5902">
              <w:t>51</w:t>
            </w:r>
          </w:p>
        </w:tc>
        <w:tc>
          <w:tcPr>
            <w:tcW w:w="1260" w:type="dxa"/>
          </w:tcPr>
          <w:p w:rsidR="00AA42B2" w:rsidRPr="007B5902" w:rsidRDefault="001E55EF" w:rsidP="00D9623D">
            <w:pPr>
              <w:jc w:val="both"/>
              <w:rPr>
                <w:b/>
              </w:rPr>
            </w:pPr>
            <w:r w:rsidRPr="007B5902">
              <w:rPr>
                <w:b/>
              </w:rPr>
              <w:t>31</w:t>
            </w:r>
            <w:r w:rsidR="00AA42B2" w:rsidRPr="007B5902">
              <w:rPr>
                <w:b/>
              </w:rPr>
              <w:t>%</w:t>
            </w:r>
          </w:p>
        </w:tc>
      </w:tr>
      <w:tr w:rsidR="00AA42B2" w:rsidRPr="007B5902" w:rsidTr="00D9623D">
        <w:trPr>
          <w:cantSplit/>
          <w:trHeight w:val="300"/>
          <w:jc w:val="center"/>
        </w:trPr>
        <w:tc>
          <w:tcPr>
            <w:tcW w:w="4839" w:type="dxa"/>
          </w:tcPr>
          <w:p w:rsidR="00AA42B2" w:rsidRPr="007B5902" w:rsidRDefault="00AA42B2" w:rsidP="00D9623D">
            <w:r w:rsidRPr="007B5902">
              <w:t>High Adult Secondary Education</w:t>
            </w:r>
          </w:p>
        </w:tc>
        <w:tc>
          <w:tcPr>
            <w:tcW w:w="1177" w:type="dxa"/>
          </w:tcPr>
          <w:p w:rsidR="00AA42B2" w:rsidRPr="007B5902" w:rsidRDefault="001E55EF" w:rsidP="00D9623D">
            <w:pPr>
              <w:jc w:val="both"/>
            </w:pPr>
            <w:r w:rsidRPr="007B5902">
              <w:t>36</w:t>
            </w:r>
          </w:p>
        </w:tc>
        <w:tc>
          <w:tcPr>
            <w:tcW w:w="1260" w:type="dxa"/>
          </w:tcPr>
          <w:p w:rsidR="00AA42B2" w:rsidRPr="007B5902" w:rsidRDefault="00AA42B2" w:rsidP="00D9623D">
            <w:pPr>
              <w:jc w:val="both"/>
              <w:rPr>
                <w:b/>
              </w:rPr>
            </w:pPr>
            <w:r w:rsidRPr="007B5902">
              <w:rPr>
                <w:b/>
              </w:rPr>
              <w:t>N/A</w:t>
            </w:r>
          </w:p>
        </w:tc>
      </w:tr>
      <w:tr w:rsidR="00AA42B2" w:rsidRPr="007B5902" w:rsidTr="00D9623D">
        <w:trPr>
          <w:cantSplit/>
          <w:trHeight w:val="300"/>
          <w:jc w:val="center"/>
        </w:trPr>
        <w:tc>
          <w:tcPr>
            <w:tcW w:w="4839" w:type="dxa"/>
          </w:tcPr>
          <w:p w:rsidR="00AA42B2" w:rsidRPr="007B5902" w:rsidRDefault="00AA42B2" w:rsidP="00D9623D">
            <w:pPr>
              <w:jc w:val="both"/>
            </w:pPr>
          </w:p>
        </w:tc>
        <w:tc>
          <w:tcPr>
            <w:tcW w:w="1177" w:type="dxa"/>
          </w:tcPr>
          <w:p w:rsidR="00AA42B2" w:rsidRPr="007B5902" w:rsidRDefault="00AA42B2" w:rsidP="00D9623D">
            <w:pPr>
              <w:jc w:val="both"/>
            </w:pPr>
          </w:p>
        </w:tc>
        <w:tc>
          <w:tcPr>
            <w:tcW w:w="1260" w:type="dxa"/>
          </w:tcPr>
          <w:p w:rsidR="00AA42B2" w:rsidRPr="007B5902" w:rsidRDefault="00AA42B2" w:rsidP="00D9623D">
            <w:pPr>
              <w:jc w:val="both"/>
              <w:rPr>
                <w:b/>
              </w:rPr>
            </w:pPr>
          </w:p>
        </w:tc>
      </w:tr>
      <w:tr w:rsidR="00AA42B2" w:rsidRPr="007B5902" w:rsidTr="00D9623D">
        <w:trPr>
          <w:cantSplit/>
          <w:trHeight w:val="300"/>
          <w:jc w:val="center"/>
        </w:trPr>
        <w:tc>
          <w:tcPr>
            <w:tcW w:w="4839" w:type="dxa"/>
          </w:tcPr>
          <w:p w:rsidR="00AA42B2" w:rsidRPr="007B5902" w:rsidRDefault="00AA42B2" w:rsidP="00D9623D">
            <w:pPr>
              <w:jc w:val="both"/>
            </w:pPr>
            <w:r w:rsidRPr="007B5902">
              <w:t>Beginning ESL Literacy</w:t>
            </w:r>
          </w:p>
        </w:tc>
        <w:tc>
          <w:tcPr>
            <w:tcW w:w="1177" w:type="dxa"/>
          </w:tcPr>
          <w:p w:rsidR="00AA42B2" w:rsidRPr="007B5902" w:rsidRDefault="001E55EF" w:rsidP="00D9623D">
            <w:pPr>
              <w:jc w:val="both"/>
            </w:pPr>
            <w:r w:rsidRPr="007B5902">
              <w:t>1</w:t>
            </w:r>
          </w:p>
        </w:tc>
        <w:tc>
          <w:tcPr>
            <w:tcW w:w="1260" w:type="dxa"/>
          </w:tcPr>
          <w:p w:rsidR="00AA42B2" w:rsidRPr="007B5902" w:rsidRDefault="00CD3484" w:rsidP="00D9623D">
            <w:pPr>
              <w:jc w:val="both"/>
              <w:rPr>
                <w:b/>
              </w:rPr>
            </w:pPr>
            <w:r w:rsidRPr="007B5902">
              <w:rPr>
                <w:b/>
              </w:rPr>
              <w:t>100</w:t>
            </w:r>
            <w:r w:rsidR="00AA42B2" w:rsidRPr="007B5902">
              <w:rPr>
                <w:b/>
              </w:rPr>
              <w:t>%</w:t>
            </w:r>
          </w:p>
        </w:tc>
      </w:tr>
      <w:tr w:rsidR="00AA42B2" w:rsidRPr="007B5902" w:rsidTr="00D9623D">
        <w:trPr>
          <w:cantSplit/>
          <w:trHeight w:val="300"/>
          <w:jc w:val="center"/>
        </w:trPr>
        <w:tc>
          <w:tcPr>
            <w:tcW w:w="4839" w:type="dxa"/>
          </w:tcPr>
          <w:p w:rsidR="00AA42B2" w:rsidRPr="007B5902" w:rsidRDefault="00AA42B2" w:rsidP="00D9623D">
            <w:pPr>
              <w:jc w:val="both"/>
            </w:pPr>
            <w:r w:rsidRPr="007B5902">
              <w:t xml:space="preserve">Low Beginning ESL </w:t>
            </w:r>
          </w:p>
        </w:tc>
        <w:tc>
          <w:tcPr>
            <w:tcW w:w="1177" w:type="dxa"/>
          </w:tcPr>
          <w:p w:rsidR="00AA42B2" w:rsidRPr="007B5902" w:rsidRDefault="001E55EF" w:rsidP="00D9623D">
            <w:pPr>
              <w:jc w:val="both"/>
            </w:pPr>
            <w:r w:rsidRPr="007B5902">
              <w:t>2</w:t>
            </w:r>
          </w:p>
        </w:tc>
        <w:tc>
          <w:tcPr>
            <w:tcW w:w="1260" w:type="dxa"/>
          </w:tcPr>
          <w:p w:rsidR="00AA42B2" w:rsidRPr="007B5902" w:rsidRDefault="00CD3484" w:rsidP="00D9623D">
            <w:pPr>
              <w:jc w:val="both"/>
              <w:rPr>
                <w:b/>
              </w:rPr>
            </w:pPr>
            <w:r w:rsidRPr="007B5902">
              <w:rPr>
                <w:b/>
              </w:rPr>
              <w:t>50</w:t>
            </w:r>
            <w:r w:rsidR="00AA42B2" w:rsidRPr="007B5902">
              <w:rPr>
                <w:b/>
              </w:rPr>
              <w:t>%</w:t>
            </w:r>
          </w:p>
        </w:tc>
      </w:tr>
      <w:tr w:rsidR="00AA42B2" w:rsidRPr="007B5902" w:rsidTr="00D9623D">
        <w:trPr>
          <w:cantSplit/>
          <w:trHeight w:val="300"/>
          <w:jc w:val="center"/>
        </w:trPr>
        <w:tc>
          <w:tcPr>
            <w:tcW w:w="4839" w:type="dxa"/>
          </w:tcPr>
          <w:p w:rsidR="00AA42B2" w:rsidRPr="007B5902" w:rsidRDefault="00AA42B2" w:rsidP="00D9623D">
            <w:pPr>
              <w:jc w:val="both"/>
            </w:pPr>
            <w:r w:rsidRPr="007B5902">
              <w:t>High Beginning ESL</w:t>
            </w:r>
          </w:p>
        </w:tc>
        <w:tc>
          <w:tcPr>
            <w:tcW w:w="1177" w:type="dxa"/>
          </w:tcPr>
          <w:p w:rsidR="00AA42B2" w:rsidRPr="007B5902" w:rsidRDefault="001E55EF" w:rsidP="00D9623D">
            <w:pPr>
              <w:jc w:val="both"/>
            </w:pPr>
            <w:r w:rsidRPr="007B5902">
              <w:t>1</w:t>
            </w:r>
          </w:p>
        </w:tc>
        <w:tc>
          <w:tcPr>
            <w:tcW w:w="1260" w:type="dxa"/>
          </w:tcPr>
          <w:p w:rsidR="00AA42B2" w:rsidRPr="007B5902" w:rsidRDefault="00CD3484" w:rsidP="00D9623D">
            <w:pPr>
              <w:jc w:val="both"/>
              <w:rPr>
                <w:b/>
              </w:rPr>
            </w:pPr>
            <w:r w:rsidRPr="007B5902">
              <w:rPr>
                <w:b/>
              </w:rPr>
              <w:t>0</w:t>
            </w:r>
            <w:r w:rsidR="00AA42B2" w:rsidRPr="007B5902">
              <w:rPr>
                <w:b/>
              </w:rPr>
              <w:t>%</w:t>
            </w:r>
          </w:p>
        </w:tc>
      </w:tr>
      <w:tr w:rsidR="00AA42B2" w:rsidRPr="007B5902" w:rsidTr="00D9623D">
        <w:trPr>
          <w:cantSplit/>
          <w:trHeight w:val="300"/>
          <w:jc w:val="center"/>
        </w:trPr>
        <w:tc>
          <w:tcPr>
            <w:tcW w:w="4839" w:type="dxa"/>
          </w:tcPr>
          <w:p w:rsidR="00AA42B2" w:rsidRPr="007B5902" w:rsidRDefault="00AA42B2" w:rsidP="00D9623D">
            <w:pPr>
              <w:jc w:val="both"/>
            </w:pPr>
            <w:r w:rsidRPr="007B5902">
              <w:t>Low Intermediate ESL</w:t>
            </w:r>
          </w:p>
        </w:tc>
        <w:tc>
          <w:tcPr>
            <w:tcW w:w="1177" w:type="dxa"/>
          </w:tcPr>
          <w:p w:rsidR="00AA42B2" w:rsidRPr="007B5902" w:rsidRDefault="001E55EF" w:rsidP="00D9623D">
            <w:pPr>
              <w:jc w:val="both"/>
            </w:pPr>
            <w:r w:rsidRPr="007B5902">
              <w:t>5</w:t>
            </w:r>
          </w:p>
        </w:tc>
        <w:tc>
          <w:tcPr>
            <w:tcW w:w="1260" w:type="dxa"/>
          </w:tcPr>
          <w:p w:rsidR="00AA42B2" w:rsidRPr="007B5902" w:rsidRDefault="00CD3484" w:rsidP="00D9623D">
            <w:pPr>
              <w:jc w:val="both"/>
              <w:rPr>
                <w:b/>
              </w:rPr>
            </w:pPr>
            <w:r w:rsidRPr="007B5902">
              <w:rPr>
                <w:b/>
              </w:rPr>
              <w:t>40</w:t>
            </w:r>
            <w:r w:rsidR="00AA42B2" w:rsidRPr="007B5902">
              <w:rPr>
                <w:b/>
              </w:rPr>
              <w:t>%</w:t>
            </w:r>
          </w:p>
        </w:tc>
      </w:tr>
      <w:tr w:rsidR="00AA42B2" w:rsidRPr="007B5902" w:rsidTr="00D9623D">
        <w:trPr>
          <w:cantSplit/>
          <w:trHeight w:val="300"/>
          <w:jc w:val="center"/>
        </w:trPr>
        <w:tc>
          <w:tcPr>
            <w:tcW w:w="4839" w:type="dxa"/>
          </w:tcPr>
          <w:p w:rsidR="00AA42B2" w:rsidRPr="007B5902" w:rsidRDefault="00AA42B2" w:rsidP="00D9623D">
            <w:pPr>
              <w:jc w:val="both"/>
            </w:pPr>
            <w:r w:rsidRPr="007B5902">
              <w:t>High Intermediate ESL</w:t>
            </w:r>
          </w:p>
        </w:tc>
        <w:tc>
          <w:tcPr>
            <w:tcW w:w="1177" w:type="dxa"/>
          </w:tcPr>
          <w:p w:rsidR="00AA42B2" w:rsidRPr="007B5902" w:rsidRDefault="001E55EF" w:rsidP="00D9623D">
            <w:pPr>
              <w:jc w:val="both"/>
            </w:pPr>
            <w:r w:rsidRPr="007B5902">
              <w:t>6</w:t>
            </w:r>
          </w:p>
        </w:tc>
        <w:tc>
          <w:tcPr>
            <w:tcW w:w="1260" w:type="dxa"/>
          </w:tcPr>
          <w:p w:rsidR="00AA42B2" w:rsidRPr="007B5902" w:rsidRDefault="00CD3484" w:rsidP="00D9623D">
            <w:pPr>
              <w:jc w:val="both"/>
              <w:rPr>
                <w:b/>
              </w:rPr>
            </w:pPr>
            <w:r w:rsidRPr="007B5902">
              <w:rPr>
                <w:b/>
              </w:rPr>
              <w:t>67</w:t>
            </w:r>
            <w:r w:rsidR="00AA42B2" w:rsidRPr="007B5902">
              <w:rPr>
                <w:b/>
              </w:rPr>
              <w:t>%</w:t>
            </w:r>
          </w:p>
        </w:tc>
      </w:tr>
      <w:tr w:rsidR="00AA42B2" w:rsidRPr="007B5902" w:rsidTr="00D9623D">
        <w:trPr>
          <w:cantSplit/>
          <w:trHeight w:val="300"/>
          <w:jc w:val="center"/>
        </w:trPr>
        <w:tc>
          <w:tcPr>
            <w:tcW w:w="4839" w:type="dxa"/>
            <w:tcBorders>
              <w:bottom w:val="single" w:sz="4" w:space="0" w:color="auto"/>
            </w:tcBorders>
          </w:tcPr>
          <w:p w:rsidR="00AA42B2" w:rsidRPr="007B5902" w:rsidRDefault="00AA42B2" w:rsidP="00D9623D">
            <w:pPr>
              <w:jc w:val="both"/>
            </w:pPr>
            <w:r w:rsidRPr="007B5902">
              <w:t>Advanced ESL</w:t>
            </w:r>
          </w:p>
        </w:tc>
        <w:tc>
          <w:tcPr>
            <w:tcW w:w="1177" w:type="dxa"/>
            <w:tcBorders>
              <w:bottom w:val="single" w:sz="4" w:space="0" w:color="auto"/>
            </w:tcBorders>
          </w:tcPr>
          <w:p w:rsidR="00AA42B2" w:rsidRPr="007B5902" w:rsidRDefault="001E55EF" w:rsidP="00D9623D">
            <w:pPr>
              <w:jc w:val="both"/>
            </w:pPr>
            <w:r w:rsidRPr="007B5902">
              <w:t>3</w:t>
            </w:r>
          </w:p>
        </w:tc>
        <w:tc>
          <w:tcPr>
            <w:tcW w:w="1260" w:type="dxa"/>
            <w:tcBorders>
              <w:bottom w:val="single" w:sz="4" w:space="0" w:color="auto"/>
            </w:tcBorders>
          </w:tcPr>
          <w:p w:rsidR="00AA42B2" w:rsidRPr="007B5902" w:rsidRDefault="00CD3484" w:rsidP="00D9623D">
            <w:pPr>
              <w:jc w:val="both"/>
              <w:rPr>
                <w:b/>
              </w:rPr>
            </w:pPr>
            <w:r w:rsidRPr="007B5902">
              <w:rPr>
                <w:b/>
              </w:rPr>
              <w:t>33</w:t>
            </w:r>
            <w:r w:rsidR="00AA42B2" w:rsidRPr="007B5902">
              <w:rPr>
                <w:b/>
              </w:rPr>
              <w:t>%</w:t>
            </w:r>
          </w:p>
        </w:tc>
      </w:tr>
    </w:tbl>
    <w:p w:rsidR="00AA42B2" w:rsidRPr="007B5902" w:rsidRDefault="00AA42B2" w:rsidP="00605448">
      <w:pPr>
        <w:pStyle w:val="BodyTextIndent"/>
        <w:tabs>
          <w:tab w:val="left" w:pos="360"/>
          <w:tab w:val="left" w:pos="1080"/>
          <w:tab w:val="left" w:pos="1440"/>
          <w:tab w:val="left" w:pos="1980"/>
          <w:tab w:val="left" w:pos="4320"/>
          <w:tab w:val="left" w:pos="5040"/>
          <w:tab w:val="left" w:pos="6840"/>
          <w:tab w:val="left" w:pos="7200"/>
          <w:tab w:val="left" w:pos="7755"/>
        </w:tabs>
        <w:ind w:left="1440"/>
        <w:rPr>
          <w:b/>
          <w:bCs/>
          <w:color w:val="auto"/>
          <w:sz w:val="24"/>
          <w:szCs w:val="24"/>
        </w:rPr>
      </w:pPr>
    </w:p>
    <w:p w:rsidR="00AB32D4" w:rsidRPr="007B5902" w:rsidRDefault="00AB32D4" w:rsidP="00AB32D4">
      <w:pPr>
        <w:pStyle w:val="BodyTextIndent2"/>
        <w:tabs>
          <w:tab w:val="left" w:pos="0"/>
        </w:tabs>
        <w:ind w:left="-360"/>
        <w:jc w:val="both"/>
        <w:rPr>
          <w:rFonts w:ascii="Times New Roman" w:hAnsi="Times New Roman" w:cs="Times New Roman"/>
          <w:sz w:val="24"/>
          <w:szCs w:val="24"/>
        </w:rPr>
      </w:pPr>
    </w:p>
    <w:p w:rsidR="00555C35" w:rsidRPr="007B5902" w:rsidRDefault="00555C35" w:rsidP="00D9623D">
      <w:pPr>
        <w:pStyle w:val="BodyTextIndent2"/>
        <w:numPr>
          <w:ilvl w:val="0"/>
          <w:numId w:val="3"/>
        </w:numPr>
        <w:tabs>
          <w:tab w:val="left" w:pos="0"/>
        </w:tabs>
        <w:ind w:left="0"/>
        <w:jc w:val="both"/>
        <w:rPr>
          <w:rFonts w:ascii="Times New Roman" w:hAnsi="Times New Roman" w:cs="Times New Roman"/>
          <w:b/>
          <w:bCs/>
          <w:sz w:val="24"/>
          <w:szCs w:val="24"/>
        </w:rPr>
      </w:pPr>
      <w:r w:rsidRPr="007B5902">
        <w:rPr>
          <w:rFonts w:ascii="Times New Roman" w:hAnsi="Times New Roman" w:cs="Times New Roman"/>
          <w:sz w:val="24"/>
          <w:szCs w:val="24"/>
        </w:rPr>
        <w:t xml:space="preserve">The Michigan Department of Corrections (MDOC) data </w:t>
      </w:r>
      <w:r w:rsidR="00AD7A34" w:rsidRPr="007B5902">
        <w:rPr>
          <w:rFonts w:ascii="Times New Roman" w:hAnsi="Times New Roman" w:cs="Times New Roman"/>
          <w:sz w:val="24"/>
          <w:szCs w:val="24"/>
        </w:rPr>
        <w:t xml:space="preserve">collection </w:t>
      </w:r>
      <w:r w:rsidR="00C90F7A" w:rsidRPr="007B5902">
        <w:rPr>
          <w:rFonts w:ascii="Times New Roman" w:hAnsi="Times New Roman" w:cs="Times New Roman"/>
          <w:sz w:val="24"/>
          <w:szCs w:val="24"/>
        </w:rPr>
        <w:t xml:space="preserve">and reporting </w:t>
      </w:r>
      <w:r w:rsidR="005A778B" w:rsidRPr="007B5902">
        <w:rPr>
          <w:rFonts w:ascii="Times New Roman" w:hAnsi="Times New Roman" w:cs="Times New Roman"/>
          <w:sz w:val="24"/>
          <w:szCs w:val="24"/>
        </w:rPr>
        <w:t xml:space="preserve">improved compared to the </w:t>
      </w:r>
      <w:r w:rsidR="00C90F7A" w:rsidRPr="007B5902">
        <w:rPr>
          <w:rFonts w:ascii="Times New Roman" w:hAnsi="Times New Roman" w:cs="Times New Roman"/>
          <w:sz w:val="24"/>
          <w:szCs w:val="24"/>
        </w:rPr>
        <w:t>recent past</w:t>
      </w:r>
      <w:r w:rsidR="005A778B" w:rsidRPr="007B5902">
        <w:rPr>
          <w:rFonts w:ascii="Times New Roman" w:hAnsi="Times New Roman" w:cs="Times New Roman"/>
          <w:sz w:val="24"/>
          <w:szCs w:val="24"/>
        </w:rPr>
        <w:t xml:space="preserve">. </w:t>
      </w:r>
      <w:r w:rsidR="00FC0728" w:rsidRPr="007B5902">
        <w:rPr>
          <w:rFonts w:ascii="Times New Roman" w:hAnsi="Times New Roman" w:cs="Times New Roman"/>
          <w:sz w:val="24"/>
          <w:szCs w:val="24"/>
        </w:rPr>
        <w:t>6,149</w:t>
      </w:r>
      <w:r w:rsidR="000E1E93" w:rsidRPr="007B5902">
        <w:rPr>
          <w:rFonts w:ascii="Times New Roman" w:hAnsi="Times New Roman" w:cs="Times New Roman"/>
          <w:sz w:val="24"/>
          <w:szCs w:val="24"/>
        </w:rPr>
        <w:t xml:space="preserve"> inmates</w:t>
      </w:r>
      <w:r w:rsidR="00464F6E" w:rsidRPr="007B5902">
        <w:rPr>
          <w:rFonts w:ascii="Times New Roman" w:hAnsi="Times New Roman" w:cs="Times New Roman"/>
          <w:sz w:val="24"/>
          <w:szCs w:val="24"/>
        </w:rPr>
        <w:t xml:space="preserve"> </w:t>
      </w:r>
      <w:r w:rsidR="00FC0728" w:rsidRPr="007B5902">
        <w:rPr>
          <w:rFonts w:ascii="Times New Roman" w:hAnsi="Times New Roman" w:cs="Times New Roman"/>
          <w:sz w:val="24"/>
          <w:szCs w:val="24"/>
        </w:rPr>
        <w:t>passed GED subtests and 1,186</w:t>
      </w:r>
      <w:r w:rsidR="003249B4" w:rsidRPr="007B5902">
        <w:rPr>
          <w:rFonts w:ascii="Times New Roman" w:hAnsi="Times New Roman" w:cs="Times New Roman"/>
          <w:sz w:val="24"/>
          <w:szCs w:val="24"/>
        </w:rPr>
        <w:t xml:space="preserve"> passed the full battery (obtained</w:t>
      </w:r>
      <w:r w:rsidR="00FB6B22">
        <w:rPr>
          <w:rFonts w:ascii="Times New Roman" w:hAnsi="Times New Roman" w:cs="Times New Roman"/>
          <w:sz w:val="24"/>
          <w:szCs w:val="24"/>
        </w:rPr>
        <w:t xml:space="preserve"> </w:t>
      </w:r>
      <w:r w:rsidR="00FB6B22" w:rsidRPr="009B37DC">
        <w:rPr>
          <w:rFonts w:ascii="Times New Roman" w:hAnsi="Times New Roman" w:cs="Times New Roman"/>
          <w:sz w:val="24"/>
          <w:szCs w:val="24"/>
        </w:rPr>
        <w:t>a</w:t>
      </w:r>
      <w:r w:rsidR="003249B4" w:rsidRPr="007B5902">
        <w:rPr>
          <w:rFonts w:ascii="Times New Roman" w:hAnsi="Times New Roman" w:cs="Times New Roman"/>
          <w:sz w:val="24"/>
          <w:szCs w:val="24"/>
        </w:rPr>
        <w:t xml:space="preserve"> GED). </w:t>
      </w:r>
    </w:p>
    <w:p w:rsidR="00FC0728" w:rsidRPr="007B5902" w:rsidRDefault="00FC0728" w:rsidP="00FC0728">
      <w:pPr>
        <w:pStyle w:val="BodyTextIndent2"/>
        <w:tabs>
          <w:tab w:val="left" w:pos="0"/>
        </w:tabs>
        <w:ind w:left="0"/>
        <w:jc w:val="both"/>
        <w:rPr>
          <w:rFonts w:ascii="Times New Roman" w:hAnsi="Times New Roman" w:cs="Times New Roman"/>
          <w:b/>
          <w:bCs/>
          <w:sz w:val="24"/>
          <w:szCs w:val="24"/>
        </w:rPr>
      </w:pPr>
    </w:p>
    <w:p w:rsidR="00555C35" w:rsidRPr="007B5902" w:rsidRDefault="00555C35">
      <w:pPr>
        <w:pStyle w:val="Heading5"/>
        <w:tabs>
          <w:tab w:val="clear" w:pos="360"/>
          <w:tab w:val="left" w:pos="0"/>
          <w:tab w:val="left" w:pos="900"/>
        </w:tabs>
        <w:ind w:left="0" w:firstLine="0"/>
        <w:jc w:val="center"/>
        <w:rPr>
          <w:rFonts w:ascii="Times New Roman" w:hAnsi="Times New Roman" w:cs="Times New Roman"/>
          <w:color w:val="auto"/>
          <w:sz w:val="24"/>
          <w:szCs w:val="24"/>
        </w:rPr>
      </w:pPr>
      <w:r w:rsidRPr="007B5902">
        <w:rPr>
          <w:rFonts w:ascii="Times New Roman" w:hAnsi="Times New Roman" w:cs="Times New Roman"/>
          <w:color w:val="auto"/>
          <w:sz w:val="24"/>
          <w:szCs w:val="24"/>
        </w:rPr>
        <w:t>NRS Table 5:</w:t>
      </w:r>
      <w:r w:rsidRPr="007B5902">
        <w:rPr>
          <w:rFonts w:ascii="Times New Roman" w:hAnsi="Times New Roman" w:cs="Times New Roman"/>
          <w:color w:val="auto"/>
          <w:sz w:val="24"/>
          <w:szCs w:val="24"/>
        </w:rPr>
        <w:tab/>
        <w:t>Core Follow-up Outcome Achievement</w:t>
      </w:r>
    </w:p>
    <w:p w:rsidR="00555C35" w:rsidRPr="007B5902" w:rsidRDefault="00555C35">
      <w:pPr>
        <w:tabs>
          <w:tab w:val="left" w:pos="0"/>
        </w:tabs>
        <w:rPr>
          <w:b/>
          <w:bCs/>
        </w:rPr>
      </w:pPr>
    </w:p>
    <w:p w:rsidR="00EE18D1" w:rsidRPr="007B5902" w:rsidRDefault="00A17D2D" w:rsidP="00CD75CE">
      <w:pPr>
        <w:numPr>
          <w:ilvl w:val="0"/>
          <w:numId w:val="3"/>
        </w:numPr>
        <w:tabs>
          <w:tab w:val="num" w:pos="0"/>
        </w:tabs>
        <w:ind w:left="0"/>
        <w:jc w:val="both"/>
      </w:pPr>
      <w:r w:rsidRPr="007B5902">
        <w:t>19,640</w:t>
      </w:r>
      <w:r w:rsidR="00033EF4" w:rsidRPr="007B5902">
        <w:t xml:space="preserve"> out of </w:t>
      </w:r>
      <w:r w:rsidRPr="007B5902">
        <w:t>27,48</w:t>
      </w:r>
      <w:r w:rsidR="00E44C18" w:rsidRPr="007B5902">
        <w:t>3</w:t>
      </w:r>
      <w:r w:rsidR="0086093C" w:rsidRPr="007B5902">
        <w:t xml:space="preserve"> participants </w:t>
      </w:r>
      <w:r w:rsidR="00B24C3C" w:rsidRPr="007B5902">
        <w:t>wer</w:t>
      </w:r>
      <w:r w:rsidR="0091200F" w:rsidRPr="007B5902">
        <w:t>e in follow-up cohort</w:t>
      </w:r>
      <w:r w:rsidR="00F97296" w:rsidRPr="007B5902">
        <w:t>s</w:t>
      </w:r>
      <w:r w:rsidR="0091200F" w:rsidRPr="007B5902">
        <w:t xml:space="preserve">. </w:t>
      </w:r>
      <w:r w:rsidR="0016783E" w:rsidRPr="007B5902">
        <w:t>This repr</w:t>
      </w:r>
      <w:r w:rsidR="00FA577A" w:rsidRPr="007B5902">
        <w:t xml:space="preserve">esents about </w:t>
      </w:r>
      <w:r w:rsidR="009A0284" w:rsidRPr="007B5902">
        <w:t>7</w:t>
      </w:r>
      <w:r w:rsidR="00E44C18" w:rsidRPr="007B5902">
        <w:t>1</w:t>
      </w:r>
      <w:r w:rsidR="00FA577A" w:rsidRPr="007B5902">
        <w:t xml:space="preserve">% of the </w:t>
      </w:r>
      <w:r w:rsidR="00700C95" w:rsidRPr="007B5902">
        <w:t xml:space="preserve">total </w:t>
      </w:r>
      <w:r w:rsidR="00FA577A" w:rsidRPr="007B5902">
        <w:t>population</w:t>
      </w:r>
      <w:r w:rsidR="0016783E" w:rsidRPr="007B5902">
        <w:t xml:space="preserve"> that received adult education services</w:t>
      </w:r>
      <w:r w:rsidR="00700C95" w:rsidRPr="007B5902">
        <w:t xml:space="preserve"> </w:t>
      </w:r>
      <w:r w:rsidR="005D3E03" w:rsidRPr="007B5902">
        <w:t xml:space="preserve">and </w:t>
      </w:r>
      <w:r w:rsidR="00A4448D" w:rsidRPr="007B5902">
        <w:t>with</w:t>
      </w:r>
      <w:r w:rsidR="00700C95" w:rsidRPr="007B5902">
        <w:t xml:space="preserve"> at least 12 </w:t>
      </w:r>
      <w:r w:rsidR="00A4448D" w:rsidRPr="007B5902">
        <w:t xml:space="preserve">instructional </w:t>
      </w:r>
      <w:r w:rsidR="00700C95" w:rsidRPr="007B5902">
        <w:t>hours</w:t>
      </w:r>
      <w:r w:rsidR="0016783E" w:rsidRPr="007B5902">
        <w:t xml:space="preserve">. </w:t>
      </w:r>
      <w:r w:rsidR="00700C95" w:rsidRPr="007B5902">
        <w:t xml:space="preserve">Last year the average </w:t>
      </w:r>
      <w:r w:rsidR="0016783E" w:rsidRPr="007B5902">
        <w:t xml:space="preserve">response rate </w:t>
      </w:r>
      <w:r w:rsidR="00482C3B" w:rsidRPr="007B5902">
        <w:t xml:space="preserve">for job-related goals </w:t>
      </w:r>
      <w:r w:rsidR="00700C95" w:rsidRPr="007B5902">
        <w:t xml:space="preserve">was </w:t>
      </w:r>
      <w:r w:rsidR="009A0284" w:rsidRPr="007B5902">
        <w:t>about</w:t>
      </w:r>
      <w:r w:rsidR="0016783E" w:rsidRPr="007B5902">
        <w:t xml:space="preserve"> </w:t>
      </w:r>
      <w:r w:rsidR="009A0284" w:rsidRPr="007B5902">
        <w:t>77</w:t>
      </w:r>
      <w:r w:rsidR="0016783E" w:rsidRPr="007B5902">
        <w:t xml:space="preserve">% due to </w:t>
      </w:r>
      <w:r w:rsidR="005D3E03" w:rsidRPr="007B5902">
        <w:t xml:space="preserve">the </w:t>
      </w:r>
      <w:r w:rsidR="00700C95" w:rsidRPr="007B5902">
        <w:t xml:space="preserve">concerted efforts and technical assistance </w:t>
      </w:r>
      <w:r w:rsidR="005D3E03" w:rsidRPr="007B5902">
        <w:t xml:space="preserve">provided </w:t>
      </w:r>
      <w:r w:rsidR="00294D15" w:rsidRPr="007B5902">
        <w:t>to</w:t>
      </w:r>
      <w:r w:rsidR="00700C95" w:rsidRPr="007B5902">
        <w:t xml:space="preserve"> local</w:t>
      </w:r>
      <w:r w:rsidR="00294D15" w:rsidRPr="007B5902">
        <w:t xml:space="preserve"> programs</w:t>
      </w:r>
      <w:r w:rsidR="00700C95" w:rsidRPr="007B5902">
        <w:t>.</w:t>
      </w:r>
      <w:r w:rsidR="0016783E" w:rsidRPr="007B5902">
        <w:t xml:space="preserve"> </w:t>
      </w:r>
      <w:r w:rsidR="00D14191" w:rsidRPr="007B5902">
        <w:t xml:space="preserve">In addition, </w:t>
      </w:r>
      <w:r w:rsidR="00482C3B" w:rsidRPr="007B5902">
        <w:t xml:space="preserve">the number that obtained HSD/GED </w:t>
      </w:r>
      <w:r w:rsidR="00430F63" w:rsidRPr="007B5902">
        <w:t>continues to grow annual</w:t>
      </w:r>
      <w:r w:rsidR="00AD7AE0" w:rsidRPr="007B5902">
        <w:t>ly (</w:t>
      </w:r>
      <w:r w:rsidR="009A0284" w:rsidRPr="007B5902">
        <w:t>3,487</w:t>
      </w:r>
      <w:r w:rsidR="00AD7AE0" w:rsidRPr="007B5902">
        <w:t>)</w:t>
      </w:r>
      <w:r w:rsidR="004B06A7" w:rsidRPr="007B5902">
        <w:t xml:space="preserve"> with </w:t>
      </w:r>
      <w:r w:rsidR="009A0284" w:rsidRPr="007B5902">
        <w:t>91</w:t>
      </w:r>
      <w:r w:rsidR="004B06A7" w:rsidRPr="007B5902">
        <w:t>% response rate</w:t>
      </w:r>
      <w:r w:rsidR="009A055C" w:rsidRPr="007B5902">
        <w:t xml:space="preserve"> </w:t>
      </w:r>
      <w:r w:rsidR="009566B6" w:rsidRPr="007B5902">
        <w:t xml:space="preserve">and </w:t>
      </w:r>
      <w:r w:rsidR="00393DD7" w:rsidRPr="007B5902">
        <w:t>3,921 (</w:t>
      </w:r>
      <w:r w:rsidR="009A0284" w:rsidRPr="007B5902">
        <w:t>1</w:t>
      </w:r>
      <w:r w:rsidR="00393DD7" w:rsidRPr="007B5902">
        <w:t>st</w:t>
      </w:r>
      <w:r w:rsidR="009A0284" w:rsidRPr="007B5902">
        <w:t xml:space="preserve"> &amp; 2</w:t>
      </w:r>
      <w:r w:rsidR="00393DD7" w:rsidRPr="007B5902">
        <w:rPr>
          <w:vertAlign w:val="superscript"/>
        </w:rPr>
        <w:t>nd</w:t>
      </w:r>
      <w:r w:rsidR="00393DD7" w:rsidRPr="007B5902">
        <w:t xml:space="preserve"> year</w:t>
      </w:r>
      <w:r w:rsidR="009A0284" w:rsidRPr="007B5902">
        <w:t xml:space="preserve"> combined)</w:t>
      </w:r>
      <w:r w:rsidR="009566B6" w:rsidRPr="007B5902">
        <w:t xml:space="preserve"> entered postsecondary/training with </w:t>
      </w:r>
      <w:r w:rsidR="009A0284" w:rsidRPr="007B5902">
        <w:t>an average of 71</w:t>
      </w:r>
      <w:r w:rsidR="009566B6" w:rsidRPr="007B5902">
        <w:t>% response rate</w:t>
      </w:r>
      <w:r w:rsidR="00393DD7" w:rsidRPr="007B5902">
        <w:t xml:space="preserve">. </w:t>
      </w:r>
      <w:r w:rsidR="00F81C87" w:rsidRPr="007B5902">
        <w:t>The first (1</w:t>
      </w:r>
      <w:r w:rsidR="00F81C87" w:rsidRPr="007B5902">
        <w:rPr>
          <w:vertAlign w:val="superscript"/>
        </w:rPr>
        <w:t>st</w:t>
      </w:r>
      <w:r w:rsidR="00F81C87" w:rsidRPr="009B37DC">
        <w:t>)</w:t>
      </w:r>
      <w:r w:rsidR="00FB6B22" w:rsidRPr="009B37DC">
        <w:t xml:space="preserve"> </w:t>
      </w:r>
      <w:r w:rsidR="00A125C5" w:rsidRPr="009B37DC">
        <w:t>cohort</w:t>
      </w:r>
      <w:r w:rsidR="00A125C5" w:rsidRPr="007B5902">
        <w:t xml:space="preserve"> </w:t>
      </w:r>
      <w:r w:rsidR="00CD1694" w:rsidRPr="007B5902">
        <w:t>met or exceeded</w:t>
      </w:r>
      <w:r w:rsidR="005C689B" w:rsidRPr="007B5902">
        <w:t xml:space="preserve"> </w:t>
      </w:r>
      <w:r w:rsidR="00BA4364" w:rsidRPr="007B5902">
        <w:t>performance</w:t>
      </w:r>
      <w:r w:rsidR="009A055C" w:rsidRPr="007B5902">
        <w:t xml:space="preserve"> </w:t>
      </w:r>
      <w:r w:rsidR="00A125C5" w:rsidRPr="007B5902">
        <w:t>the state negotiat</w:t>
      </w:r>
      <w:r w:rsidR="00393DD7" w:rsidRPr="007B5902">
        <w:t xml:space="preserve">ed performance measure but </w:t>
      </w:r>
      <w:r w:rsidR="00A125C5" w:rsidRPr="007B5902">
        <w:t>2</w:t>
      </w:r>
      <w:r w:rsidR="00393DD7" w:rsidRPr="007B5902">
        <w:rPr>
          <w:vertAlign w:val="superscript"/>
        </w:rPr>
        <w:t>nd</w:t>
      </w:r>
      <w:r w:rsidR="00393DD7" w:rsidRPr="007B5902">
        <w:t xml:space="preserve"> year</w:t>
      </w:r>
      <w:r w:rsidR="00A125C5" w:rsidRPr="007B5902">
        <w:t xml:space="preserve"> participants were </w:t>
      </w:r>
      <w:r w:rsidR="009A055C" w:rsidRPr="007B5902">
        <w:t>below the negotiated target level of 2</w:t>
      </w:r>
      <w:r w:rsidR="00A125C5" w:rsidRPr="007B5902">
        <w:t>8%</w:t>
      </w:r>
      <w:r w:rsidR="00482C3B" w:rsidRPr="007B5902">
        <w:t xml:space="preserve">.  </w:t>
      </w:r>
      <w:r w:rsidR="00EE18D1" w:rsidRPr="007B5902">
        <w:t xml:space="preserve">The overall job-related numbers </w:t>
      </w:r>
      <w:r w:rsidR="00A125C5" w:rsidRPr="007B5902">
        <w:t xml:space="preserve">have </w:t>
      </w:r>
      <w:r w:rsidR="00CE0110" w:rsidRPr="007B5902">
        <w:t xml:space="preserve">continued to </w:t>
      </w:r>
      <w:r w:rsidR="00A125C5" w:rsidRPr="007B5902">
        <w:t xml:space="preserve">grow </w:t>
      </w:r>
      <w:r w:rsidR="00EE18D1" w:rsidRPr="007B5902">
        <w:t xml:space="preserve">because </w:t>
      </w:r>
      <w:r w:rsidR="00CE0110" w:rsidRPr="007B5902">
        <w:t>of</w:t>
      </w:r>
      <w:r w:rsidR="00EE18D1" w:rsidRPr="007B5902">
        <w:t xml:space="preserve"> </w:t>
      </w:r>
      <w:r w:rsidR="00A125C5" w:rsidRPr="007B5902">
        <w:t xml:space="preserve">the capability of </w:t>
      </w:r>
      <w:r w:rsidR="00EE18D1" w:rsidRPr="007B5902">
        <w:t>data-match.</w:t>
      </w:r>
    </w:p>
    <w:p w:rsidR="00EC7BC6" w:rsidRPr="007B5902" w:rsidRDefault="00EE18D1" w:rsidP="00A4448D">
      <w:pPr>
        <w:jc w:val="both"/>
      </w:pPr>
      <w:r w:rsidRPr="007B5902">
        <w:t xml:space="preserve"> </w:t>
      </w:r>
    </w:p>
    <w:p w:rsidR="00555C35" w:rsidRPr="007B5902" w:rsidRDefault="003F257E">
      <w:pPr>
        <w:pStyle w:val="Heading6"/>
        <w:tabs>
          <w:tab w:val="clear" w:pos="360"/>
          <w:tab w:val="left" w:pos="0"/>
        </w:tabs>
        <w:ind w:left="0" w:hanging="360"/>
        <w:rPr>
          <w:rFonts w:ascii="Times New Roman" w:hAnsi="Times New Roman" w:cs="Times New Roman"/>
          <w:color w:val="auto"/>
          <w:sz w:val="24"/>
          <w:szCs w:val="24"/>
        </w:rPr>
      </w:pPr>
      <w:r w:rsidRPr="007B5902">
        <w:rPr>
          <w:rFonts w:ascii="Times New Roman" w:hAnsi="Times New Roman" w:cs="Times New Roman"/>
          <w:color w:val="auto"/>
          <w:sz w:val="24"/>
          <w:szCs w:val="24"/>
        </w:rPr>
        <w:lastRenderedPageBreak/>
        <w:t>Table F</w:t>
      </w:r>
      <w:r w:rsidR="00003F2E" w:rsidRPr="007B5902">
        <w:rPr>
          <w:rFonts w:ascii="Times New Roman" w:hAnsi="Times New Roman" w:cs="Times New Roman"/>
          <w:color w:val="auto"/>
          <w:sz w:val="24"/>
          <w:szCs w:val="24"/>
        </w:rPr>
        <w:t xml:space="preserve">: NRS Table 5 - </w:t>
      </w:r>
      <w:r w:rsidR="00555C35" w:rsidRPr="007B5902">
        <w:rPr>
          <w:rFonts w:ascii="Times New Roman" w:hAnsi="Times New Roman" w:cs="Times New Roman"/>
          <w:color w:val="auto"/>
          <w:sz w:val="24"/>
          <w:szCs w:val="24"/>
        </w:rPr>
        <w:t>Core Indicator #2</w:t>
      </w:r>
    </w:p>
    <w:p w:rsidR="00555C35" w:rsidRPr="007B5902" w:rsidRDefault="00555C35">
      <w:pPr>
        <w:tabs>
          <w:tab w:val="left" w:pos="0"/>
        </w:tabs>
        <w:ind w:hanging="360"/>
      </w:pPr>
    </w:p>
    <w:tbl>
      <w:tblPr>
        <w:tblW w:w="109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60"/>
        <w:gridCol w:w="2250"/>
        <w:gridCol w:w="1926"/>
        <w:gridCol w:w="1926"/>
      </w:tblGrid>
      <w:tr w:rsidR="00E54A82" w:rsidRPr="007B5902" w:rsidTr="004B06A7">
        <w:trPr>
          <w:cantSplit/>
          <w:trHeight w:val="295"/>
          <w:jc w:val="center"/>
        </w:trPr>
        <w:tc>
          <w:tcPr>
            <w:tcW w:w="4860" w:type="dxa"/>
            <w:tcBorders>
              <w:top w:val="single" w:sz="4" w:space="0" w:color="auto"/>
            </w:tcBorders>
          </w:tcPr>
          <w:p w:rsidR="004B06A7" w:rsidRPr="007B5902" w:rsidRDefault="00585E63" w:rsidP="008F631D">
            <w:pPr>
              <w:tabs>
                <w:tab w:val="left" w:pos="0"/>
              </w:tabs>
              <w:ind w:hanging="360"/>
              <w:jc w:val="center"/>
              <w:rPr>
                <w:b/>
                <w:bCs/>
                <w:i/>
                <w:iCs/>
              </w:rPr>
            </w:pPr>
            <w:r w:rsidRPr="007B5902">
              <w:rPr>
                <w:b/>
                <w:bCs/>
                <w:i/>
                <w:iCs/>
              </w:rPr>
              <w:t>2015-2016</w:t>
            </w:r>
            <w:r w:rsidR="004B06A7" w:rsidRPr="007B5902">
              <w:rPr>
                <w:b/>
                <w:bCs/>
                <w:i/>
                <w:iCs/>
              </w:rPr>
              <w:t xml:space="preserve"> Benchmarks</w:t>
            </w:r>
          </w:p>
        </w:tc>
        <w:tc>
          <w:tcPr>
            <w:tcW w:w="2250" w:type="dxa"/>
            <w:tcBorders>
              <w:top w:val="single" w:sz="4" w:space="0" w:color="auto"/>
            </w:tcBorders>
          </w:tcPr>
          <w:p w:rsidR="004B06A7" w:rsidRPr="007B5902" w:rsidRDefault="004B06A7" w:rsidP="006C6FCB">
            <w:pPr>
              <w:tabs>
                <w:tab w:val="left" w:pos="0"/>
              </w:tabs>
              <w:ind w:hanging="360"/>
              <w:jc w:val="center"/>
              <w:rPr>
                <w:b/>
                <w:bCs/>
                <w:i/>
                <w:iCs/>
              </w:rPr>
            </w:pPr>
            <w:r w:rsidRPr="007B5902">
              <w:rPr>
                <w:b/>
                <w:bCs/>
                <w:i/>
                <w:iCs/>
              </w:rPr>
              <w:t xml:space="preserve">   Federal Target</w:t>
            </w:r>
          </w:p>
        </w:tc>
        <w:tc>
          <w:tcPr>
            <w:tcW w:w="1926" w:type="dxa"/>
            <w:tcBorders>
              <w:top w:val="single" w:sz="4" w:space="0" w:color="auto"/>
            </w:tcBorders>
          </w:tcPr>
          <w:p w:rsidR="004B06A7" w:rsidRPr="007B5902" w:rsidRDefault="004B06A7" w:rsidP="006C6FCB">
            <w:pPr>
              <w:tabs>
                <w:tab w:val="left" w:pos="0"/>
              </w:tabs>
              <w:ind w:hanging="360"/>
              <w:jc w:val="center"/>
              <w:rPr>
                <w:b/>
                <w:bCs/>
                <w:i/>
                <w:iCs/>
              </w:rPr>
            </w:pPr>
            <w:r w:rsidRPr="007B5902">
              <w:rPr>
                <w:b/>
                <w:bCs/>
                <w:i/>
                <w:iCs/>
              </w:rPr>
              <w:t xml:space="preserve">    State Actual</w:t>
            </w:r>
          </w:p>
        </w:tc>
        <w:tc>
          <w:tcPr>
            <w:tcW w:w="1926" w:type="dxa"/>
            <w:tcBorders>
              <w:top w:val="single" w:sz="4" w:space="0" w:color="auto"/>
            </w:tcBorders>
          </w:tcPr>
          <w:p w:rsidR="004B06A7" w:rsidRPr="007B5902" w:rsidRDefault="004B06A7" w:rsidP="00BE578C">
            <w:pPr>
              <w:tabs>
                <w:tab w:val="left" w:pos="0"/>
              </w:tabs>
              <w:ind w:hanging="360"/>
              <w:jc w:val="center"/>
              <w:rPr>
                <w:b/>
                <w:bCs/>
                <w:i/>
                <w:iCs/>
              </w:rPr>
            </w:pPr>
            <w:r w:rsidRPr="007B5902">
              <w:rPr>
                <w:b/>
                <w:bCs/>
                <w:i/>
                <w:iCs/>
              </w:rPr>
              <w:t>Response Rate</w:t>
            </w:r>
            <w:r w:rsidR="00747D6A" w:rsidRPr="007B5902">
              <w:rPr>
                <w:b/>
                <w:bCs/>
                <w:i/>
                <w:iCs/>
              </w:rPr>
              <w:t xml:space="preserve"> or % Available for </w:t>
            </w:r>
            <w:r w:rsidR="00BE578C" w:rsidRPr="007B5902">
              <w:rPr>
                <w:b/>
                <w:bCs/>
                <w:i/>
                <w:iCs/>
              </w:rPr>
              <w:t xml:space="preserve">Data </w:t>
            </w:r>
            <w:r w:rsidR="00747D6A" w:rsidRPr="007B5902">
              <w:rPr>
                <w:b/>
                <w:bCs/>
                <w:i/>
                <w:iCs/>
              </w:rPr>
              <w:t>Match</w:t>
            </w:r>
          </w:p>
        </w:tc>
      </w:tr>
      <w:tr w:rsidR="00E54A82" w:rsidRPr="007B5902" w:rsidTr="004B06A7">
        <w:trPr>
          <w:cantSplit/>
          <w:trHeight w:val="328"/>
          <w:jc w:val="center"/>
        </w:trPr>
        <w:tc>
          <w:tcPr>
            <w:tcW w:w="4860" w:type="dxa"/>
          </w:tcPr>
          <w:p w:rsidR="004B06A7" w:rsidRPr="007B5902" w:rsidRDefault="004B06A7" w:rsidP="006C6FCB">
            <w:pPr>
              <w:tabs>
                <w:tab w:val="left" w:pos="0"/>
              </w:tabs>
              <w:ind w:hanging="360"/>
            </w:pPr>
            <w:r w:rsidRPr="007B5902">
              <w:t>Pl   Placement in Postsecondary</w:t>
            </w:r>
            <w:r w:rsidR="00616917" w:rsidRPr="007B5902">
              <w:t>/Training</w:t>
            </w:r>
            <w:r w:rsidR="00F01673" w:rsidRPr="007B5902">
              <w:t xml:space="preserve"> Year 1</w:t>
            </w:r>
          </w:p>
        </w:tc>
        <w:tc>
          <w:tcPr>
            <w:tcW w:w="2250" w:type="dxa"/>
          </w:tcPr>
          <w:p w:rsidR="004B06A7" w:rsidRPr="007B5902" w:rsidRDefault="009B3BFF" w:rsidP="00F74953">
            <w:pPr>
              <w:tabs>
                <w:tab w:val="left" w:pos="0"/>
              </w:tabs>
              <w:ind w:hanging="360"/>
              <w:jc w:val="center"/>
            </w:pPr>
            <w:r w:rsidRPr="007B5902">
              <w:t>29</w:t>
            </w:r>
            <w:r w:rsidR="004B06A7" w:rsidRPr="007B5902">
              <w:t>%</w:t>
            </w:r>
          </w:p>
        </w:tc>
        <w:tc>
          <w:tcPr>
            <w:tcW w:w="1926" w:type="dxa"/>
          </w:tcPr>
          <w:p w:rsidR="004B06A7" w:rsidRPr="007B5902" w:rsidRDefault="00243A10" w:rsidP="006C6FCB">
            <w:pPr>
              <w:tabs>
                <w:tab w:val="left" w:pos="0"/>
              </w:tabs>
              <w:ind w:hanging="360"/>
              <w:jc w:val="center"/>
              <w:rPr>
                <w:b/>
              </w:rPr>
            </w:pPr>
            <w:r w:rsidRPr="007B5902">
              <w:rPr>
                <w:b/>
              </w:rPr>
              <w:t>28</w:t>
            </w:r>
            <w:r w:rsidR="004B06A7" w:rsidRPr="007B5902">
              <w:rPr>
                <w:b/>
              </w:rPr>
              <w:t>%</w:t>
            </w:r>
            <w:r w:rsidR="00CB4593" w:rsidRPr="007B5902">
              <w:rPr>
                <w:b/>
              </w:rPr>
              <w:t>*</w:t>
            </w:r>
          </w:p>
        </w:tc>
        <w:tc>
          <w:tcPr>
            <w:tcW w:w="1926" w:type="dxa"/>
          </w:tcPr>
          <w:p w:rsidR="004B06A7" w:rsidRPr="007B5902" w:rsidRDefault="00010292" w:rsidP="006C6FCB">
            <w:pPr>
              <w:tabs>
                <w:tab w:val="left" w:pos="0"/>
              </w:tabs>
              <w:ind w:hanging="360"/>
              <w:jc w:val="center"/>
              <w:rPr>
                <w:b/>
              </w:rPr>
            </w:pPr>
            <w:r w:rsidRPr="007B5902">
              <w:rPr>
                <w:b/>
              </w:rPr>
              <w:t>68</w:t>
            </w:r>
            <w:r w:rsidR="004B06A7" w:rsidRPr="007B5902">
              <w:rPr>
                <w:b/>
              </w:rPr>
              <w:t>%</w:t>
            </w:r>
          </w:p>
        </w:tc>
      </w:tr>
      <w:tr w:rsidR="00F01673" w:rsidRPr="007B5902" w:rsidTr="004B06A7">
        <w:trPr>
          <w:cantSplit/>
          <w:trHeight w:val="328"/>
          <w:jc w:val="center"/>
        </w:trPr>
        <w:tc>
          <w:tcPr>
            <w:tcW w:w="4860" w:type="dxa"/>
          </w:tcPr>
          <w:p w:rsidR="00F01673" w:rsidRPr="007B5902" w:rsidRDefault="00F01673" w:rsidP="00F01673">
            <w:pPr>
              <w:tabs>
                <w:tab w:val="left" w:pos="1692"/>
              </w:tabs>
              <w:ind w:hanging="360"/>
            </w:pPr>
            <w:r w:rsidRPr="007B5902">
              <w:tab/>
              <w:t>Placement in Postsecondary/Training Year 2</w:t>
            </w:r>
          </w:p>
        </w:tc>
        <w:tc>
          <w:tcPr>
            <w:tcW w:w="2250" w:type="dxa"/>
          </w:tcPr>
          <w:p w:rsidR="00F01673" w:rsidRPr="007B5902" w:rsidRDefault="00243A10" w:rsidP="00F74953">
            <w:pPr>
              <w:tabs>
                <w:tab w:val="left" w:pos="0"/>
              </w:tabs>
              <w:ind w:hanging="360"/>
              <w:jc w:val="center"/>
            </w:pPr>
            <w:r w:rsidRPr="007B5902">
              <w:t>23%</w:t>
            </w:r>
          </w:p>
        </w:tc>
        <w:tc>
          <w:tcPr>
            <w:tcW w:w="1926" w:type="dxa"/>
          </w:tcPr>
          <w:p w:rsidR="00F01673" w:rsidRPr="007B5902" w:rsidRDefault="006D7299" w:rsidP="006C6FCB">
            <w:pPr>
              <w:tabs>
                <w:tab w:val="left" w:pos="0"/>
              </w:tabs>
              <w:ind w:hanging="360"/>
              <w:jc w:val="center"/>
              <w:rPr>
                <w:b/>
              </w:rPr>
            </w:pPr>
            <w:r w:rsidRPr="007B5902">
              <w:rPr>
                <w:b/>
              </w:rPr>
              <w:t>28%</w:t>
            </w:r>
          </w:p>
        </w:tc>
        <w:tc>
          <w:tcPr>
            <w:tcW w:w="1926" w:type="dxa"/>
          </w:tcPr>
          <w:p w:rsidR="00F01673" w:rsidRPr="007B5902" w:rsidRDefault="00A75EDE" w:rsidP="006C6FCB">
            <w:pPr>
              <w:tabs>
                <w:tab w:val="left" w:pos="0"/>
              </w:tabs>
              <w:ind w:hanging="360"/>
              <w:jc w:val="center"/>
              <w:rPr>
                <w:b/>
              </w:rPr>
            </w:pPr>
            <w:r w:rsidRPr="007B5902">
              <w:rPr>
                <w:b/>
              </w:rPr>
              <w:t>74</w:t>
            </w:r>
            <w:r w:rsidR="00010292" w:rsidRPr="007B5902">
              <w:rPr>
                <w:b/>
              </w:rPr>
              <w:t>%</w:t>
            </w:r>
          </w:p>
        </w:tc>
      </w:tr>
      <w:tr w:rsidR="00E54A82" w:rsidRPr="007B5902" w:rsidTr="004B06A7">
        <w:trPr>
          <w:cantSplit/>
          <w:trHeight w:val="328"/>
          <w:jc w:val="center"/>
        </w:trPr>
        <w:tc>
          <w:tcPr>
            <w:tcW w:w="4860" w:type="dxa"/>
          </w:tcPr>
          <w:p w:rsidR="004B06A7" w:rsidRPr="007B5902" w:rsidRDefault="004B06A7" w:rsidP="006C6FCB">
            <w:pPr>
              <w:tabs>
                <w:tab w:val="left" w:pos="0"/>
              </w:tabs>
              <w:ind w:hanging="360"/>
            </w:pPr>
            <w:r w:rsidRPr="007B5902">
              <w:t xml:space="preserve">      Entered Employment</w:t>
            </w:r>
          </w:p>
        </w:tc>
        <w:tc>
          <w:tcPr>
            <w:tcW w:w="2250" w:type="dxa"/>
          </w:tcPr>
          <w:p w:rsidR="004B06A7" w:rsidRPr="007B5902" w:rsidRDefault="009B3BFF" w:rsidP="006C6FCB">
            <w:pPr>
              <w:tabs>
                <w:tab w:val="left" w:pos="0"/>
              </w:tabs>
              <w:ind w:hanging="360"/>
              <w:jc w:val="center"/>
            </w:pPr>
            <w:r w:rsidRPr="007B5902">
              <w:t>26</w:t>
            </w:r>
            <w:r w:rsidR="004B06A7" w:rsidRPr="007B5902">
              <w:t>%</w:t>
            </w:r>
          </w:p>
        </w:tc>
        <w:tc>
          <w:tcPr>
            <w:tcW w:w="1926" w:type="dxa"/>
          </w:tcPr>
          <w:p w:rsidR="004B06A7" w:rsidRPr="007B5902" w:rsidRDefault="005C58E4" w:rsidP="009F00FF">
            <w:pPr>
              <w:tabs>
                <w:tab w:val="left" w:pos="0"/>
              </w:tabs>
              <w:ind w:hanging="360"/>
              <w:jc w:val="center"/>
              <w:rPr>
                <w:b/>
              </w:rPr>
            </w:pPr>
            <w:r w:rsidRPr="007B5902">
              <w:rPr>
                <w:b/>
              </w:rPr>
              <w:t>35</w:t>
            </w:r>
            <w:r w:rsidR="004B06A7" w:rsidRPr="007B5902">
              <w:rPr>
                <w:b/>
              </w:rPr>
              <w:t>%</w:t>
            </w:r>
          </w:p>
        </w:tc>
        <w:tc>
          <w:tcPr>
            <w:tcW w:w="1926" w:type="dxa"/>
          </w:tcPr>
          <w:p w:rsidR="004B06A7" w:rsidRPr="007B5902" w:rsidRDefault="00A75EDE" w:rsidP="009F00FF">
            <w:pPr>
              <w:tabs>
                <w:tab w:val="left" w:pos="0"/>
              </w:tabs>
              <w:ind w:hanging="360"/>
              <w:jc w:val="center"/>
              <w:rPr>
                <w:b/>
              </w:rPr>
            </w:pPr>
            <w:r w:rsidRPr="007B5902">
              <w:rPr>
                <w:b/>
              </w:rPr>
              <w:t>83</w:t>
            </w:r>
            <w:r w:rsidR="004B06A7" w:rsidRPr="007B5902">
              <w:rPr>
                <w:b/>
              </w:rPr>
              <w:t>%</w:t>
            </w:r>
          </w:p>
        </w:tc>
      </w:tr>
      <w:tr w:rsidR="00E54A82" w:rsidRPr="007B5902" w:rsidTr="004B06A7">
        <w:trPr>
          <w:cantSplit/>
          <w:trHeight w:val="328"/>
          <w:jc w:val="center"/>
        </w:trPr>
        <w:tc>
          <w:tcPr>
            <w:tcW w:w="4860" w:type="dxa"/>
            <w:tcBorders>
              <w:bottom w:val="single" w:sz="4" w:space="0" w:color="auto"/>
            </w:tcBorders>
          </w:tcPr>
          <w:p w:rsidR="004B06A7" w:rsidRPr="007B5902" w:rsidRDefault="004B06A7" w:rsidP="006C6FCB">
            <w:pPr>
              <w:tabs>
                <w:tab w:val="left" w:pos="0"/>
              </w:tabs>
              <w:ind w:hanging="360"/>
            </w:pPr>
            <w:r w:rsidRPr="007B5902">
              <w:t xml:space="preserve">      Retained or Improved Employment</w:t>
            </w:r>
          </w:p>
        </w:tc>
        <w:tc>
          <w:tcPr>
            <w:tcW w:w="2250" w:type="dxa"/>
            <w:tcBorders>
              <w:bottom w:val="single" w:sz="4" w:space="0" w:color="auto"/>
            </w:tcBorders>
          </w:tcPr>
          <w:p w:rsidR="004B06A7" w:rsidRPr="007B5902" w:rsidRDefault="00F74953" w:rsidP="006C6FCB">
            <w:pPr>
              <w:tabs>
                <w:tab w:val="left" w:pos="0"/>
              </w:tabs>
              <w:ind w:hanging="360"/>
              <w:jc w:val="center"/>
            </w:pPr>
            <w:r w:rsidRPr="007B5902">
              <w:t>51</w:t>
            </w:r>
            <w:r w:rsidR="004B06A7" w:rsidRPr="007B5902">
              <w:t>%</w:t>
            </w:r>
          </w:p>
        </w:tc>
        <w:tc>
          <w:tcPr>
            <w:tcW w:w="1926" w:type="dxa"/>
            <w:tcBorders>
              <w:bottom w:val="single" w:sz="4" w:space="0" w:color="auto"/>
            </w:tcBorders>
          </w:tcPr>
          <w:p w:rsidR="004B06A7" w:rsidRPr="007B5902" w:rsidRDefault="005C58E4" w:rsidP="006C6FCB">
            <w:pPr>
              <w:tabs>
                <w:tab w:val="left" w:pos="0"/>
              </w:tabs>
              <w:ind w:hanging="360"/>
              <w:jc w:val="center"/>
              <w:rPr>
                <w:b/>
              </w:rPr>
            </w:pPr>
            <w:r w:rsidRPr="007B5902">
              <w:rPr>
                <w:b/>
              </w:rPr>
              <w:t>79</w:t>
            </w:r>
            <w:r w:rsidR="004B06A7" w:rsidRPr="007B5902">
              <w:rPr>
                <w:b/>
              </w:rPr>
              <w:t>%</w:t>
            </w:r>
          </w:p>
        </w:tc>
        <w:tc>
          <w:tcPr>
            <w:tcW w:w="1926" w:type="dxa"/>
            <w:tcBorders>
              <w:bottom w:val="single" w:sz="4" w:space="0" w:color="auto"/>
            </w:tcBorders>
          </w:tcPr>
          <w:p w:rsidR="004B06A7" w:rsidRPr="007B5902" w:rsidRDefault="00A75EDE" w:rsidP="006C6FCB">
            <w:pPr>
              <w:tabs>
                <w:tab w:val="left" w:pos="0"/>
              </w:tabs>
              <w:ind w:hanging="360"/>
              <w:jc w:val="center"/>
              <w:rPr>
                <w:b/>
              </w:rPr>
            </w:pPr>
            <w:r w:rsidRPr="007B5902">
              <w:rPr>
                <w:b/>
              </w:rPr>
              <w:t>69</w:t>
            </w:r>
            <w:r w:rsidR="009C6B13" w:rsidRPr="007B5902">
              <w:rPr>
                <w:b/>
              </w:rPr>
              <w:t>%</w:t>
            </w:r>
          </w:p>
        </w:tc>
      </w:tr>
    </w:tbl>
    <w:p w:rsidR="00555C35" w:rsidRPr="007B5902" w:rsidRDefault="00555C35">
      <w:pPr>
        <w:pStyle w:val="BodyTextIndent2"/>
        <w:tabs>
          <w:tab w:val="left" w:pos="0"/>
          <w:tab w:val="left" w:pos="1260"/>
        </w:tabs>
        <w:ind w:left="0"/>
        <w:jc w:val="both"/>
        <w:rPr>
          <w:rFonts w:ascii="Times New Roman" w:hAnsi="Times New Roman" w:cs="Times New Roman"/>
          <w:sz w:val="24"/>
          <w:szCs w:val="24"/>
        </w:rPr>
      </w:pPr>
      <w:r w:rsidRPr="007B5902">
        <w:rPr>
          <w:rFonts w:ascii="Times New Roman" w:hAnsi="Times New Roman" w:cs="Times New Roman"/>
          <w:sz w:val="24"/>
          <w:szCs w:val="24"/>
        </w:rPr>
        <w:tab/>
      </w:r>
    </w:p>
    <w:p w:rsidR="00555C35" w:rsidRPr="007B5902" w:rsidRDefault="00555C35" w:rsidP="00612437">
      <w:pPr>
        <w:pStyle w:val="BodyTextIndent2"/>
        <w:tabs>
          <w:tab w:val="left" w:pos="0"/>
          <w:tab w:val="left" w:pos="1260"/>
        </w:tabs>
        <w:ind w:left="0"/>
        <w:jc w:val="both"/>
        <w:rPr>
          <w:rFonts w:ascii="Times New Roman" w:hAnsi="Times New Roman" w:cs="Times New Roman"/>
          <w:b/>
          <w:bCs/>
          <w:sz w:val="24"/>
          <w:szCs w:val="24"/>
        </w:rPr>
      </w:pPr>
    </w:p>
    <w:p w:rsidR="00555C35" w:rsidRPr="007B5902" w:rsidRDefault="00666498">
      <w:pPr>
        <w:pStyle w:val="BodyTextIndent2"/>
        <w:tabs>
          <w:tab w:val="left" w:pos="0"/>
          <w:tab w:val="left" w:pos="1260"/>
        </w:tabs>
        <w:ind w:left="0"/>
        <w:jc w:val="center"/>
        <w:rPr>
          <w:rFonts w:ascii="Times New Roman" w:hAnsi="Times New Roman" w:cs="Times New Roman"/>
          <w:b/>
          <w:bCs/>
          <w:sz w:val="24"/>
          <w:szCs w:val="24"/>
        </w:rPr>
      </w:pPr>
      <w:r w:rsidRPr="007B5902">
        <w:rPr>
          <w:rFonts w:ascii="Times New Roman" w:hAnsi="Times New Roman" w:cs="Times New Roman"/>
          <w:b/>
          <w:bCs/>
          <w:sz w:val="24"/>
          <w:szCs w:val="24"/>
        </w:rPr>
        <w:t>Table G</w:t>
      </w:r>
      <w:r w:rsidR="00FF368C" w:rsidRPr="007B5902">
        <w:rPr>
          <w:rFonts w:ascii="Times New Roman" w:hAnsi="Times New Roman" w:cs="Times New Roman"/>
          <w:b/>
          <w:bCs/>
          <w:sz w:val="24"/>
          <w:szCs w:val="24"/>
        </w:rPr>
        <w:t xml:space="preserve">: </w:t>
      </w:r>
      <w:r w:rsidR="00555C35" w:rsidRPr="007B5902">
        <w:rPr>
          <w:rFonts w:ascii="Times New Roman" w:hAnsi="Times New Roman" w:cs="Times New Roman"/>
          <w:b/>
          <w:bCs/>
          <w:sz w:val="24"/>
          <w:szCs w:val="24"/>
        </w:rPr>
        <w:t>NRS Table 5</w:t>
      </w:r>
      <w:r w:rsidR="00FF368C" w:rsidRPr="007B5902">
        <w:rPr>
          <w:rFonts w:ascii="Times New Roman" w:hAnsi="Times New Roman" w:cs="Times New Roman"/>
          <w:b/>
          <w:bCs/>
          <w:sz w:val="24"/>
          <w:szCs w:val="24"/>
        </w:rPr>
        <w:t xml:space="preserve"> - </w:t>
      </w:r>
      <w:r w:rsidR="00555C35" w:rsidRPr="007B5902">
        <w:rPr>
          <w:rFonts w:ascii="Times New Roman" w:hAnsi="Times New Roman" w:cs="Times New Roman"/>
          <w:b/>
          <w:bCs/>
          <w:sz w:val="24"/>
          <w:szCs w:val="24"/>
        </w:rPr>
        <w:t>Core Indicator #3</w:t>
      </w:r>
    </w:p>
    <w:p w:rsidR="00555C35" w:rsidRPr="007B5902" w:rsidRDefault="00555C35">
      <w:pPr>
        <w:pStyle w:val="BodyTextIndent2"/>
        <w:tabs>
          <w:tab w:val="left" w:pos="0"/>
          <w:tab w:val="left" w:pos="1260"/>
        </w:tabs>
        <w:ind w:left="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1776"/>
        <w:gridCol w:w="1953"/>
        <w:gridCol w:w="2005"/>
      </w:tblGrid>
      <w:tr w:rsidR="00E54A82" w:rsidRPr="007B5902" w:rsidTr="009D4208">
        <w:trPr>
          <w:jc w:val="center"/>
        </w:trPr>
        <w:tc>
          <w:tcPr>
            <w:tcW w:w="4846" w:type="dxa"/>
          </w:tcPr>
          <w:p w:rsidR="009D4208" w:rsidRPr="007B5902" w:rsidRDefault="00585E63" w:rsidP="008F631D">
            <w:pPr>
              <w:pStyle w:val="BodyTextIndent2"/>
              <w:tabs>
                <w:tab w:val="left" w:pos="0"/>
                <w:tab w:val="left" w:pos="1260"/>
              </w:tabs>
              <w:ind w:left="0"/>
              <w:jc w:val="center"/>
              <w:rPr>
                <w:rFonts w:ascii="Times New Roman" w:hAnsi="Times New Roman" w:cs="Times New Roman"/>
                <w:b/>
                <w:bCs/>
                <w:i/>
                <w:iCs/>
                <w:sz w:val="24"/>
                <w:szCs w:val="24"/>
              </w:rPr>
            </w:pPr>
            <w:r w:rsidRPr="007B5902">
              <w:rPr>
                <w:rFonts w:ascii="Times New Roman" w:hAnsi="Times New Roman" w:cs="Times New Roman"/>
                <w:b/>
                <w:bCs/>
                <w:i/>
                <w:iCs/>
                <w:sz w:val="24"/>
                <w:szCs w:val="24"/>
              </w:rPr>
              <w:t>2015-2016</w:t>
            </w:r>
            <w:r w:rsidR="009D4208" w:rsidRPr="007B5902">
              <w:rPr>
                <w:rFonts w:ascii="Times New Roman" w:hAnsi="Times New Roman" w:cs="Times New Roman"/>
                <w:b/>
                <w:bCs/>
                <w:i/>
                <w:iCs/>
                <w:sz w:val="24"/>
                <w:szCs w:val="24"/>
              </w:rPr>
              <w:t xml:space="preserve"> Benchmark</w:t>
            </w:r>
          </w:p>
        </w:tc>
        <w:tc>
          <w:tcPr>
            <w:tcW w:w="1958" w:type="dxa"/>
          </w:tcPr>
          <w:p w:rsidR="009D4208" w:rsidRPr="007B5902" w:rsidRDefault="009D4208">
            <w:pPr>
              <w:pStyle w:val="BodyTextIndent2"/>
              <w:tabs>
                <w:tab w:val="left" w:pos="0"/>
                <w:tab w:val="left" w:pos="1260"/>
              </w:tabs>
              <w:ind w:left="0"/>
              <w:jc w:val="center"/>
              <w:rPr>
                <w:rFonts w:ascii="Times New Roman" w:hAnsi="Times New Roman" w:cs="Times New Roman"/>
                <w:b/>
                <w:bCs/>
                <w:i/>
                <w:iCs/>
                <w:sz w:val="24"/>
                <w:szCs w:val="24"/>
              </w:rPr>
            </w:pPr>
            <w:r w:rsidRPr="007B5902">
              <w:rPr>
                <w:rFonts w:ascii="Times New Roman" w:hAnsi="Times New Roman" w:cs="Times New Roman"/>
                <w:b/>
                <w:bCs/>
                <w:i/>
                <w:iCs/>
                <w:sz w:val="24"/>
                <w:szCs w:val="24"/>
              </w:rPr>
              <w:t>Federal Target</w:t>
            </w:r>
          </w:p>
        </w:tc>
        <w:tc>
          <w:tcPr>
            <w:tcW w:w="2204" w:type="dxa"/>
          </w:tcPr>
          <w:p w:rsidR="009D4208" w:rsidRPr="007B5902" w:rsidRDefault="009D4208">
            <w:pPr>
              <w:pStyle w:val="BodyTextIndent2"/>
              <w:tabs>
                <w:tab w:val="left" w:pos="0"/>
                <w:tab w:val="left" w:pos="1260"/>
              </w:tabs>
              <w:ind w:left="0"/>
              <w:jc w:val="center"/>
              <w:rPr>
                <w:rFonts w:ascii="Times New Roman" w:hAnsi="Times New Roman" w:cs="Times New Roman"/>
                <w:b/>
                <w:bCs/>
                <w:i/>
                <w:iCs/>
                <w:sz w:val="24"/>
                <w:szCs w:val="24"/>
              </w:rPr>
            </w:pPr>
            <w:r w:rsidRPr="007B5902">
              <w:rPr>
                <w:rFonts w:ascii="Times New Roman" w:hAnsi="Times New Roman" w:cs="Times New Roman"/>
                <w:b/>
                <w:bCs/>
                <w:i/>
                <w:iCs/>
                <w:sz w:val="24"/>
                <w:szCs w:val="24"/>
              </w:rPr>
              <w:t>State Actual</w:t>
            </w:r>
          </w:p>
        </w:tc>
        <w:tc>
          <w:tcPr>
            <w:tcW w:w="2203" w:type="dxa"/>
          </w:tcPr>
          <w:p w:rsidR="009D4208" w:rsidRPr="007B5902" w:rsidRDefault="009D4208">
            <w:pPr>
              <w:pStyle w:val="BodyTextIndent2"/>
              <w:tabs>
                <w:tab w:val="left" w:pos="0"/>
                <w:tab w:val="left" w:pos="1260"/>
              </w:tabs>
              <w:ind w:left="0"/>
              <w:jc w:val="center"/>
              <w:rPr>
                <w:rFonts w:ascii="Times New Roman" w:hAnsi="Times New Roman" w:cs="Times New Roman"/>
                <w:b/>
                <w:bCs/>
                <w:i/>
                <w:iCs/>
                <w:sz w:val="24"/>
                <w:szCs w:val="24"/>
              </w:rPr>
            </w:pPr>
            <w:r w:rsidRPr="007B5902">
              <w:rPr>
                <w:rFonts w:ascii="Times New Roman" w:hAnsi="Times New Roman" w:cs="Times New Roman"/>
                <w:b/>
                <w:bCs/>
                <w:i/>
                <w:iCs/>
                <w:sz w:val="24"/>
                <w:szCs w:val="24"/>
              </w:rPr>
              <w:t>Response Rate</w:t>
            </w:r>
            <w:r w:rsidR="00EC4206" w:rsidRPr="007B5902">
              <w:rPr>
                <w:rFonts w:ascii="Times New Roman" w:hAnsi="Times New Roman" w:cs="Times New Roman"/>
                <w:b/>
                <w:bCs/>
                <w:i/>
                <w:iCs/>
                <w:sz w:val="24"/>
                <w:szCs w:val="24"/>
              </w:rPr>
              <w:t xml:space="preserve"> or % Available for Data Match</w:t>
            </w:r>
          </w:p>
        </w:tc>
      </w:tr>
      <w:tr w:rsidR="00E54A82" w:rsidRPr="007B5902" w:rsidTr="009D4208">
        <w:trPr>
          <w:jc w:val="center"/>
        </w:trPr>
        <w:tc>
          <w:tcPr>
            <w:tcW w:w="4846" w:type="dxa"/>
          </w:tcPr>
          <w:p w:rsidR="009D4208" w:rsidRPr="007B5902" w:rsidRDefault="009D4208">
            <w:pPr>
              <w:tabs>
                <w:tab w:val="left" w:pos="0"/>
              </w:tabs>
            </w:pPr>
            <w:r w:rsidRPr="007B5902">
              <w:t>Obtained GED or High School Diploma</w:t>
            </w:r>
          </w:p>
        </w:tc>
        <w:tc>
          <w:tcPr>
            <w:tcW w:w="1958" w:type="dxa"/>
          </w:tcPr>
          <w:p w:rsidR="009D4208" w:rsidRPr="007B5902" w:rsidRDefault="005C0B8C">
            <w:pPr>
              <w:tabs>
                <w:tab w:val="left" w:pos="0"/>
              </w:tabs>
              <w:jc w:val="center"/>
            </w:pPr>
            <w:r w:rsidRPr="007B5902">
              <w:t>78</w:t>
            </w:r>
            <w:r w:rsidR="009D4208" w:rsidRPr="007B5902">
              <w:t>%</w:t>
            </w:r>
          </w:p>
        </w:tc>
        <w:tc>
          <w:tcPr>
            <w:tcW w:w="2204" w:type="dxa"/>
          </w:tcPr>
          <w:p w:rsidR="009D4208" w:rsidRPr="007B5902" w:rsidRDefault="005C0B8C">
            <w:pPr>
              <w:tabs>
                <w:tab w:val="left" w:pos="0"/>
              </w:tabs>
              <w:jc w:val="center"/>
              <w:rPr>
                <w:b/>
              </w:rPr>
            </w:pPr>
            <w:r w:rsidRPr="007B5902">
              <w:rPr>
                <w:b/>
              </w:rPr>
              <w:t>75</w:t>
            </w:r>
            <w:r w:rsidR="009D4208" w:rsidRPr="007B5902">
              <w:rPr>
                <w:b/>
              </w:rPr>
              <w:t>%</w:t>
            </w:r>
            <w:r w:rsidR="0099263C">
              <w:rPr>
                <w:b/>
              </w:rPr>
              <w:t>*</w:t>
            </w:r>
          </w:p>
        </w:tc>
        <w:tc>
          <w:tcPr>
            <w:tcW w:w="2203" w:type="dxa"/>
          </w:tcPr>
          <w:p w:rsidR="009D4208" w:rsidRPr="007B5902" w:rsidRDefault="00EC4206">
            <w:pPr>
              <w:tabs>
                <w:tab w:val="left" w:pos="0"/>
              </w:tabs>
              <w:jc w:val="center"/>
              <w:rPr>
                <w:b/>
              </w:rPr>
            </w:pPr>
            <w:r w:rsidRPr="007B5902">
              <w:rPr>
                <w:b/>
              </w:rPr>
              <w:t>91</w:t>
            </w:r>
            <w:r w:rsidR="009D4208" w:rsidRPr="007B5902">
              <w:rPr>
                <w:b/>
              </w:rPr>
              <w:t>%</w:t>
            </w:r>
          </w:p>
        </w:tc>
      </w:tr>
    </w:tbl>
    <w:p w:rsidR="00555C35" w:rsidRPr="007B5902" w:rsidRDefault="00555C35">
      <w:pPr>
        <w:pStyle w:val="BodyTextIndent2"/>
        <w:tabs>
          <w:tab w:val="left" w:pos="0"/>
          <w:tab w:val="left" w:pos="1260"/>
        </w:tabs>
        <w:ind w:left="0"/>
        <w:jc w:val="center"/>
        <w:rPr>
          <w:rFonts w:ascii="Times New Roman" w:hAnsi="Times New Roman" w:cs="Times New Roman"/>
          <w:sz w:val="24"/>
          <w:szCs w:val="24"/>
        </w:rPr>
      </w:pPr>
    </w:p>
    <w:p w:rsidR="00757313" w:rsidRPr="007B5902" w:rsidRDefault="00757313">
      <w:pPr>
        <w:pStyle w:val="BodyTextIndent2"/>
        <w:tabs>
          <w:tab w:val="left" w:pos="0"/>
          <w:tab w:val="left" w:pos="1260"/>
        </w:tabs>
        <w:ind w:left="0"/>
        <w:jc w:val="center"/>
        <w:rPr>
          <w:rFonts w:ascii="Times New Roman" w:hAnsi="Times New Roman" w:cs="Times New Roman"/>
          <w:sz w:val="24"/>
          <w:szCs w:val="24"/>
        </w:rPr>
      </w:pPr>
    </w:p>
    <w:p w:rsidR="00555C35" w:rsidRPr="007B5902" w:rsidRDefault="00555C35">
      <w:pPr>
        <w:pStyle w:val="BodyTextIndent"/>
        <w:tabs>
          <w:tab w:val="left" w:pos="0"/>
          <w:tab w:val="left" w:pos="720"/>
          <w:tab w:val="left" w:pos="1440"/>
          <w:tab w:val="left" w:pos="1980"/>
          <w:tab w:val="left" w:pos="4320"/>
          <w:tab w:val="left" w:pos="5040"/>
          <w:tab w:val="left" w:pos="6840"/>
          <w:tab w:val="left" w:pos="7200"/>
          <w:tab w:val="left" w:pos="7755"/>
        </w:tabs>
        <w:jc w:val="left"/>
        <w:rPr>
          <w:color w:val="auto"/>
          <w:sz w:val="24"/>
          <w:szCs w:val="24"/>
        </w:rPr>
      </w:pPr>
    </w:p>
    <w:p w:rsidR="004D26E1" w:rsidRPr="007B5902" w:rsidRDefault="004D26E1" w:rsidP="004D26E1"/>
    <w:p w:rsidR="00EA1E82" w:rsidRPr="007B5902" w:rsidRDefault="00EA1E82" w:rsidP="00EF5A62">
      <w:pPr>
        <w:pStyle w:val="BodyTextIndent"/>
        <w:numPr>
          <w:ilvl w:val="0"/>
          <w:numId w:val="1"/>
        </w:numPr>
        <w:tabs>
          <w:tab w:val="clear" w:pos="720"/>
          <w:tab w:val="left" w:pos="0"/>
        </w:tabs>
        <w:ind w:left="0"/>
        <w:rPr>
          <w:b/>
          <w:bCs/>
          <w:color w:val="auto"/>
          <w:sz w:val="24"/>
          <w:szCs w:val="24"/>
        </w:rPr>
      </w:pPr>
      <w:r w:rsidRPr="007B5902">
        <w:rPr>
          <w:b/>
          <w:bCs/>
          <w:color w:val="auto"/>
          <w:sz w:val="24"/>
          <w:szCs w:val="24"/>
        </w:rPr>
        <w:t xml:space="preserve">Integration with One-Stop Partners. Describe how the Eligible Agency has supported the integration of activities sponsored under Title II with other adult education, career development, and employment and training activities. Include a description of how the eligible agency is being represented on the Local Workforce Investment Boards, adult education’s involvement on the State Workforce Investment Board, the provision of core and other services through the One-Stop system and an estimate of Title II funds being used to support activities and services through the One-Stop delivery system. </w:t>
      </w:r>
    </w:p>
    <w:p w:rsidR="00F85E2D" w:rsidRPr="007B5902" w:rsidRDefault="00F85E2D" w:rsidP="00EA1E82">
      <w:pPr>
        <w:pStyle w:val="BodyTextIndent"/>
        <w:tabs>
          <w:tab w:val="left" w:pos="0"/>
        </w:tabs>
        <w:ind w:left="720"/>
        <w:jc w:val="left"/>
        <w:rPr>
          <w:b/>
          <w:bCs/>
          <w:color w:val="auto"/>
          <w:sz w:val="24"/>
          <w:szCs w:val="24"/>
          <w:u w:val="single"/>
        </w:rPr>
      </w:pPr>
    </w:p>
    <w:p w:rsidR="00FB6B22" w:rsidRPr="00C52EBB" w:rsidRDefault="00EA1E82" w:rsidP="00B95A17">
      <w:pPr>
        <w:pStyle w:val="BodyTextIndent"/>
        <w:tabs>
          <w:tab w:val="left" w:pos="0"/>
        </w:tabs>
        <w:jc w:val="left"/>
        <w:rPr>
          <w:color w:val="auto"/>
          <w:sz w:val="24"/>
          <w:szCs w:val="24"/>
        </w:rPr>
      </w:pPr>
      <w:r w:rsidRPr="007B5902">
        <w:rPr>
          <w:b/>
          <w:bCs/>
          <w:color w:val="auto"/>
          <w:sz w:val="24"/>
          <w:szCs w:val="24"/>
          <w:u w:val="single"/>
        </w:rPr>
        <w:t>One-Stop Core Services</w:t>
      </w:r>
      <w:r w:rsidRPr="007B5902">
        <w:rPr>
          <w:b/>
          <w:bCs/>
          <w:color w:val="auto"/>
          <w:sz w:val="24"/>
          <w:szCs w:val="24"/>
        </w:rPr>
        <w:t>:</w:t>
      </w:r>
      <w:r w:rsidRPr="007B5902">
        <w:rPr>
          <w:color w:val="auto"/>
          <w:sz w:val="24"/>
          <w:szCs w:val="24"/>
        </w:rPr>
        <w:t xml:space="preserve">  WIOA Title II requires</w:t>
      </w:r>
      <w:r w:rsidR="00FB6B22">
        <w:rPr>
          <w:color w:val="auto"/>
          <w:sz w:val="24"/>
          <w:szCs w:val="24"/>
        </w:rPr>
        <w:t xml:space="preserve"> AEFLA funding to support </w:t>
      </w:r>
      <w:r w:rsidR="00FB6B22" w:rsidRPr="00C52EBB">
        <w:rPr>
          <w:color w:val="auto"/>
          <w:sz w:val="24"/>
          <w:szCs w:val="24"/>
        </w:rPr>
        <w:t>infra</w:t>
      </w:r>
      <w:r w:rsidRPr="00C52EBB">
        <w:rPr>
          <w:color w:val="auto"/>
          <w:sz w:val="24"/>
          <w:szCs w:val="24"/>
        </w:rPr>
        <w:t>structure</w:t>
      </w:r>
      <w:r w:rsidRPr="007B5902">
        <w:rPr>
          <w:color w:val="auto"/>
          <w:sz w:val="24"/>
          <w:szCs w:val="24"/>
        </w:rPr>
        <w:t xml:space="preserve"> costs at the Michigan Works! One-Stop Service Centers.  However, the funding formula has not </w:t>
      </w:r>
      <w:r w:rsidR="00FB6B22">
        <w:rPr>
          <w:color w:val="auto"/>
          <w:sz w:val="24"/>
          <w:szCs w:val="24"/>
        </w:rPr>
        <w:t xml:space="preserve">been fully worked out in </w:t>
      </w:r>
      <w:r w:rsidR="00FB6B22" w:rsidRPr="00C52EBB">
        <w:rPr>
          <w:color w:val="auto"/>
          <w:sz w:val="24"/>
          <w:szCs w:val="24"/>
        </w:rPr>
        <w:t>all</w:t>
      </w:r>
      <w:r w:rsidRPr="00C52EBB">
        <w:rPr>
          <w:color w:val="auto"/>
          <w:sz w:val="24"/>
          <w:szCs w:val="24"/>
        </w:rPr>
        <w:t xml:space="preserve"> 10</w:t>
      </w:r>
      <w:r w:rsidRPr="007B5902">
        <w:rPr>
          <w:color w:val="auto"/>
          <w:sz w:val="24"/>
          <w:szCs w:val="24"/>
        </w:rPr>
        <w:t xml:space="preserve"> prosperity regions and in 2015-2016 Michigan (State School Section 107) operated a decentralized education and workforce development system, and so many spending decisions were made at the local level. The considerable collaboration between Michigan’s adult education programs and the Michigan Works! One-Stop service system continues to expand. Local strategies for collaboration and program design vary considerably, but all participate in mutual delivery of services.</w:t>
      </w:r>
      <w:r w:rsidR="00926641">
        <w:rPr>
          <w:color w:val="auto"/>
          <w:sz w:val="24"/>
          <w:szCs w:val="24"/>
        </w:rPr>
        <w:t xml:space="preserve"> </w:t>
      </w:r>
      <w:r w:rsidR="00FB6B22" w:rsidRPr="00C52EBB">
        <w:rPr>
          <w:color w:val="auto"/>
          <w:sz w:val="24"/>
          <w:szCs w:val="24"/>
        </w:rPr>
        <w:t xml:space="preserve">In many one-stop regions adult education is a member of the local workforce investment board, and/or participated in the formation of new local plans under WIOA. </w:t>
      </w:r>
    </w:p>
    <w:p w:rsidR="00926641" w:rsidRPr="00C52EBB" w:rsidRDefault="00926641" w:rsidP="00926641">
      <w:pPr>
        <w:pStyle w:val="BodyTextIndent"/>
        <w:tabs>
          <w:tab w:val="left" w:pos="0"/>
        </w:tabs>
        <w:ind w:left="720"/>
        <w:jc w:val="left"/>
        <w:rPr>
          <w:color w:val="auto"/>
          <w:sz w:val="24"/>
          <w:szCs w:val="24"/>
        </w:rPr>
      </w:pPr>
    </w:p>
    <w:p w:rsidR="00926641" w:rsidRDefault="00926641" w:rsidP="00B95A17">
      <w:pPr>
        <w:pStyle w:val="BodyTextIndent"/>
        <w:tabs>
          <w:tab w:val="left" w:pos="0"/>
        </w:tabs>
        <w:jc w:val="left"/>
        <w:rPr>
          <w:color w:val="auto"/>
          <w:sz w:val="24"/>
          <w:szCs w:val="24"/>
        </w:rPr>
      </w:pPr>
      <w:r w:rsidRPr="00C52EBB">
        <w:rPr>
          <w:b/>
          <w:color w:val="auto"/>
          <w:sz w:val="24"/>
          <w:szCs w:val="24"/>
        </w:rPr>
        <w:t>State Workforce Investment Board (referred to as the Governor’s Talent Investment Board (GTIB)):</w:t>
      </w:r>
      <w:r w:rsidRPr="00C52EBB">
        <w:rPr>
          <w:color w:val="auto"/>
          <w:sz w:val="24"/>
          <w:szCs w:val="24"/>
        </w:rPr>
        <w:t xml:space="preserve">  The GTIB is the principal private-sector policy advisor on building a strong workforce system aligned with state education policies and economic development goals. Created by Executive Order 2015-11, GTIB is a business majority led board of industry executives, legislators, labor officials, education leaders, local elected officials, state agency directors and other representatives consistent with the provisions of the WIOA Section 101(b).</w:t>
      </w:r>
      <w:r w:rsidRPr="00CC235F">
        <w:rPr>
          <w:color w:val="auto"/>
          <w:sz w:val="24"/>
          <w:szCs w:val="24"/>
        </w:rPr>
        <w:t xml:space="preserve"> </w:t>
      </w:r>
      <w:r w:rsidRPr="00D94086">
        <w:rPr>
          <w:color w:val="auto"/>
          <w:sz w:val="24"/>
          <w:szCs w:val="24"/>
        </w:rPr>
        <w:t xml:space="preserve">The GTIB provides a vital role in bringing citizen involvement, engagement, and oversight to the state's talent enhancement effort, and serves as a catalyst for talent enhancement and economic development entities. The GTIB recommends policies to </w:t>
      </w:r>
      <w:r w:rsidRPr="00D94086">
        <w:rPr>
          <w:color w:val="auto"/>
          <w:sz w:val="24"/>
          <w:szCs w:val="24"/>
        </w:rPr>
        <w:lastRenderedPageBreak/>
        <w:t>the Governor and state departments that guide workforce investment and training at both the state and local levels. The manager of GTIB is a staff of TIA and provides guidance to the adult education state director who is responsible for administering adult education and other educational programs and also responsible for the policies of the Talent District Career Council (TDCC) of the Workforce Development Board (WDB).  The state director for adult education is a member of the GTIB and attends the meetings and the opportunity to present adult education program issues to the GTIB is always offered to the director of Education and Career Success before each GTIB meeting.</w:t>
      </w:r>
    </w:p>
    <w:p w:rsidR="001D2BDD" w:rsidRPr="007B5902" w:rsidRDefault="001D2BDD" w:rsidP="00926641">
      <w:pPr>
        <w:pStyle w:val="BodyTextIndent"/>
        <w:tabs>
          <w:tab w:val="left" w:pos="0"/>
        </w:tabs>
        <w:ind w:left="720"/>
        <w:jc w:val="left"/>
        <w:rPr>
          <w:color w:val="auto"/>
          <w:sz w:val="24"/>
          <w:szCs w:val="24"/>
        </w:rPr>
      </w:pPr>
    </w:p>
    <w:p w:rsidR="00F85E2D" w:rsidRPr="007B5902" w:rsidRDefault="00F85E2D" w:rsidP="00F85E2D">
      <w:pPr>
        <w:rPr>
          <w:b/>
          <w:bCs/>
        </w:rPr>
      </w:pPr>
      <w:r w:rsidRPr="007B5902">
        <w:rPr>
          <w:b/>
          <w:bCs/>
        </w:rPr>
        <w:t xml:space="preserve">Career Pathways Initiative </w:t>
      </w:r>
    </w:p>
    <w:p w:rsidR="00F85E2D" w:rsidRPr="007B5902" w:rsidRDefault="00F85E2D" w:rsidP="00F85E2D">
      <w:pPr>
        <w:autoSpaceDE w:val="0"/>
        <w:autoSpaceDN w:val="0"/>
        <w:adjustRightInd w:val="0"/>
      </w:pPr>
      <w:r w:rsidRPr="007B5902">
        <w:t xml:space="preserve">The Office of Adult Education’s participation in the </w:t>
      </w:r>
      <w:r w:rsidRPr="007B5902">
        <w:rPr>
          <w:i/>
        </w:rPr>
        <w:t xml:space="preserve">Moving Pathways Forward: Supporting Career Pathways Integration </w:t>
      </w:r>
      <w:r w:rsidRPr="007B5902">
        <w:t>project during program year 2014-2015 continued to drive the advancement of career pathway program development in the state.  The intensive technical assistance provided through the initiative was incredibly valuable in order to conceptualize and document career pathway programs for adult learners at all levels, and identify the necessary components and elements.  The technical assistance helped to provide both state staff as well as local program staff with tangible and actionable steps and program elements, not just research and buzzwords.</w:t>
      </w:r>
    </w:p>
    <w:p w:rsidR="00F85E2D" w:rsidRPr="007B5902" w:rsidRDefault="00F85E2D" w:rsidP="00F85E2D">
      <w:pPr>
        <w:autoSpaceDE w:val="0"/>
        <w:autoSpaceDN w:val="0"/>
        <w:adjustRightInd w:val="0"/>
      </w:pPr>
    </w:p>
    <w:p w:rsidR="00F85E2D" w:rsidRPr="007B5902" w:rsidRDefault="00F85E2D" w:rsidP="00F85E2D">
      <w:pPr>
        <w:autoSpaceDE w:val="0"/>
        <w:autoSpaceDN w:val="0"/>
        <w:adjustRightInd w:val="0"/>
      </w:pPr>
      <w:r w:rsidRPr="007B5902">
        <w:t xml:space="preserve">In the first year of the initiative, the Office of Adult Education convened the </w:t>
      </w:r>
      <w:r w:rsidRPr="007B5902">
        <w:rPr>
          <w:i/>
        </w:rPr>
        <w:t>Moving Pathways Forward</w:t>
      </w:r>
      <w:r w:rsidRPr="007B5902">
        <w:t xml:space="preserve"> Steering Committee that had the important role of guiding the development of a career pathways framework to transition low-skilled adults to postsecondary education and employment in high-demand occupations.  The target for the initiative is low-skilled adults, but the committee was very clear in its belief that a comprehensive career pathway system will benefit all learners.  The steering committee has representation from all the WIOA core programs including the Community College Services, other state departments (Education – CTE/Office of School Improvement and Corrections), Michigan Access Network, Bureau of Labor Market Information and Strategic Initiatives, LEAs, Michigan Works (One-Stop), President’s Council, State Universities of Michigan, Michigan Leagues for Public Policy, Workforce Intelligence Network, and Great Lakes Comprehensive Center.</w:t>
      </w:r>
    </w:p>
    <w:p w:rsidR="00F85E2D" w:rsidRPr="007B5902" w:rsidRDefault="00F85E2D" w:rsidP="00F85E2D">
      <w:pPr>
        <w:autoSpaceDE w:val="0"/>
        <w:autoSpaceDN w:val="0"/>
        <w:adjustRightInd w:val="0"/>
      </w:pPr>
    </w:p>
    <w:p w:rsidR="00F85E2D" w:rsidRPr="007B5902" w:rsidRDefault="00F85E2D" w:rsidP="00F85E2D">
      <w:r w:rsidRPr="007B5902">
        <w:t>Key accomplishments of the steering committee include but are not limited to:</w:t>
      </w:r>
    </w:p>
    <w:p w:rsidR="00F85E2D" w:rsidRPr="007B5902" w:rsidRDefault="00F85E2D" w:rsidP="00F85E2D">
      <w:pPr>
        <w:pStyle w:val="ListParagraph"/>
        <w:numPr>
          <w:ilvl w:val="0"/>
          <w:numId w:val="17"/>
        </w:numPr>
        <w:rPr>
          <w:rFonts w:ascii="Times New Roman" w:hAnsi="Times New Roman" w:cs="Times New Roman"/>
          <w:i/>
          <w:sz w:val="24"/>
          <w:szCs w:val="24"/>
        </w:rPr>
      </w:pPr>
      <w:r w:rsidRPr="007B5902">
        <w:rPr>
          <w:rFonts w:ascii="Times New Roman" w:hAnsi="Times New Roman" w:cs="Times New Roman"/>
          <w:sz w:val="24"/>
          <w:szCs w:val="24"/>
        </w:rPr>
        <w:t>Creating a vision statement – “</w:t>
      </w:r>
      <w:r w:rsidRPr="007B5902">
        <w:rPr>
          <w:rFonts w:ascii="Times New Roman" w:hAnsi="Times New Roman" w:cs="Times New Roman"/>
          <w:i/>
          <w:sz w:val="24"/>
          <w:szCs w:val="24"/>
        </w:rPr>
        <w:t>Michigan’s career pathway system provides academic and industry-recognized credentials and skills needed for in-demand careers.”</w:t>
      </w:r>
    </w:p>
    <w:p w:rsidR="00F85E2D" w:rsidRPr="007B5902" w:rsidRDefault="00F85E2D" w:rsidP="00F85E2D">
      <w:pPr>
        <w:pStyle w:val="ListParagraph"/>
        <w:numPr>
          <w:ilvl w:val="0"/>
          <w:numId w:val="17"/>
        </w:numPr>
        <w:rPr>
          <w:rFonts w:ascii="Times New Roman" w:hAnsi="Times New Roman" w:cs="Times New Roman"/>
          <w:sz w:val="24"/>
          <w:szCs w:val="24"/>
        </w:rPr>
      </w:pPr>
      <w:r w:rsidRPr="007B5902">
        <w:rPr>
          <w:rFonts w:ascii="Times New Roman" w:hAnsi="Times New Roman" w:cs="Times New Roman"/>
          <w:sz w:val="24"/>
          <w:szCs w:val="24"/>
        </w:rPr>
        <w:t>Creating a mission statement – “</w:t>
      </w:r>
      <w:r w:rsidRPr="007B5902">
        <w:rPr>
          <w:rFonts w:ascii="Times New Roman" w:hAnsi="Times New Roman" w:cs="Times New Roman"/>
          <w:i/>
          <w:sz w:val="24"/>
          <w:szCs w:val="24"/>
        </w:rPr>
        <w:t>To develop and implement a high-quality, comprehensive career pathway system with multiple entry and exit points that meets learners where they are, provides education, training and support services needed for career advancement, and ensures a skilled workforce that meets Michigan’s talent needs.”</w:t>
      </w:r>
    </w:p>
    <w:p w:rsidR="00F85E2D" w:rsidRPr="007B5902" w:rsidRDefault="00F85E2D" w:rsidP="00F85E2D">
      <w:pPr>
        <w:pStyle w:val="ListParagraph"/>
        <w:numPr>
          <w:ilvl w:val="0"/>
          <w:numId w:val="17"/>
        </w:numPr>
        <w:rPr>
          <w:rFonts w:ascii="Times New Roman" w:hAnsi="Times New Roman" w:cs="Times New Roman"/>
          <w:sz w:val="24"/>
          <w:szCs w:val="24"/>
        </w:rPr>
      </w:pPr>
      <w:r w:rsidRPr="007B5902">
        <w:rPr>
          <w:rFonts w:ascii="Times New Roman" w:hAnsi="Times New Roman" w:cs="Times New Roman"/>
          <w:sz w:val="24"/>
          <w:szCs w:val="24"/>
        </w:rPr>
        <w:t>Defined partner agencies and potential role in the career pathway system</w:t>
      </w:r>
    </w:p>
    <w:p w:rsidR="00F85E2D" w:rsidRPr="007B5902" w:rsidRDefault="00F85E2D" w:rsidP="00F85E2D">
      <w:pPr>
        <w:pStyle w:val="ListParagraph"/>
        <w:numPr>
          <w:ilvl w:val="0"/>
          <w:numId w:val="17"/>
        </w:numPr>
        <w:rPr>
          <w:rFonts w:ascii="Times New Roman" w:hAnsi="Times New Roman" w:cs="Times New Roman"/>
          <w:sz w:val="24"/>
          <w:szCs w:val="24"/>
        </w:rPr>
      </w:pPr>
      <w:r w:rsidRPr="007B5902">
        <w:rPr>
          <w:rFonts w:ascii="Times New Roman" w:hAnsi="Times New Roman" w:cs="Times New Roman"/>
          <w:sz w:val="24"/>
          <w:szCs w:val="24"/>
        </w:rPr>
        <w:t>Reviewed labor market information and sector partnerships in the state to identify key industries for career pathway programs</w:t>
      </w:r>
    </w:p>
    <w:p w:rsidR="00F85E2D" w:rsidRPr="007B5902" w:rsidRDefault="00F85E2D" w:rsidP="00F85E2D">
      <w:pPr>
        <w:pStyle w:val="ListParagraph"/>
        <w:numPr>
          <w:ilvl w:val="0"/>
          <w:numId w:val="17"/>
        </w:numPr>
        <w:rPr>
          <w:rFonts w:ascii="Times New Roman" w:hAnsi="Times New Roman" w:cs="Times New Roman"/>
          <w:sz w:val="24"/>
          <w:szCs w:val="24"/>
        </w:rPr>
      </w:pPr>
      <w:r w:rsidRPr="007B5902">
        <w:rPr>
          <w:rFonts w:ascii="Times New Roman" w:hAnsi="Times New Roman" w:cs="Times New Roman"/>
          <w:sz w:val="24"/>
          <w:szCs w:val="24"/>
        </w:rPr>
        <w:t>Shared examples and best practices of employer engagement strategies</w:t>
      </w:r>
    </w:p>
    <w:p w:rsidR="00F85E2D" w:rsidRPr="007B5902" w:rsidRDefault="00F85E2D" w:rsidP="00F85E2D">
      <w:r w:rsidRPr="007B5902">
        <w:t xml:space="preserve">To conclude participation in the </w:t>
      </w:r>
      <w:r w:rsidRPr="007B5902">
        <w:rPr>
          <w:i/>
        </w:rPr>
        <w:t xml:space="preserve">Moving Pathways Forward </w:t>
      </w:r>
      <w:r w:rsidRPr="007B5902">
        <w:t xml:space="preserve">initiative, the Office of Adult Education sent a survey out to all providers in June 2016 to gather information on the activities being implemented at the local level in each of the seven key components of career pathways.  Nineteen (19) programs responded to the survey, which is less than 20% of the adult education providers in Michigan.  The highest rated component was Coordinating with Interagency Partners (29%), and the </w:t>
      </w:r>
      <w:r w:rsidRPr="007B5902">
        <w:lastRenderedPageBreak/>
        <w:t xml:space="preserve">lowest rated component (2%) was Use Data to Monitor and Evaluate Performance.  The other important take away from reviewing the survey results was that most programs rated themselves as having implemented a number of activities but in reading the description of the activities implemented, the identified activities did not meet the requirements.  It was clear that there still is a lack of understanding of career pathways and many programs still have not discovered that developing career pathways for adult learners requires adult education services to be delivered differently at all levels.  For example, the partnership required with postsecondary institutions and workforce development must go beyond referrals between agencies, and identify opportunities for dual enrollment, aligning entry and exit requirements, articulation agreements, and integrated education and training opportunities. Also, contextualizing curriculum for specific occupations is not simply offering soft skills and employability skills training.  Although progress has been made and more programs are moving in the necessary direction, more professional development and technical assistance is needed to get all programs up to speed. </w:t>
      </w:r>
    </w:p>
    <w:p w:rsidR="00F85E2D" w:rsidRPr="007B5902" w:rsidRDefault="00F85E2D" w:rsidP="00F85E2D"/>
    <w:p w:rsidR="00F85E2D" w:rsidRPr="007B5902" w:rsidRDefault="00F85E2D" w:rsidP="00F85E2D">
      <w:r w:rsidRPr="007B5902">
        <w:t xml:space="preserve">In program year 2015-2016, the Office of Adult Education convened a focus group of adult education directors that are piloting or implementing one or more career pathway components.  This focus group was pulled together to share and evaluate promising approaches to collaboration with Michigan Works!, contextualized curriculum for all levels of instruction, integrated education and training programs, a common intake process, and comprehensive career planning.  The group provided valuable insight specifically around partnering with Michigan Works! </w:t>
      </w:r>
      <w:r w:rsidR="00627876" w:rsidRPr="007B5902">
        <w:t>And</w:t>
      </w:r>
      <w:r w:rsidRPr="007B5902">
        <w:t xml:space="preserve"> reinforced the fact that each region of the state varies in the depth and extent of the partnership.  Some regions are co-located and one area has a common intake process, and these regions have a high percentage of adult learners co-enrolled in other core programs.  In another area of the state, the Michigan Works! and adult education staff are in the third cycle of a workforce preparation program that rotates each week between the adult education program and the Michigan Works’ location.  Other areas are trying to establish a relationship, so the information provided will be used to create a resource guide with examples and suggestions for initial conversations and starting blocks.  </w:t>
      </w:r>
    </w:p>
    <w:p w:rsidR="00F85E2D" w:rsidRPr="007B5902" w:rsidRDefault="00F85E2D" w:rsidP="00F85E2D"/>
    <w:p w:rsidR="00F85E2D" w:rsidRPr="007B5902" w:rsidRDefault="00F85E2D" w:rsidP="00F85E2D">
      <w:r w:rsidRPr="007B5902">
        <w:t>The Office of Adult Education has offered and will continue to o</w:t>
      </w:r>
      <w:r w:rsidR="001D2BDD">
        <w:t xml:space="preserve">ffer professional development </w:t>
      </w:r>
      <w:r w:rsidR="001D2BDD" w:rsidRPr="00DA795E">
        <w:t>for</w:t>
      </w:r>
      <w:r w:rsidRPr="007B5902">
        <w:t xml:space="preserve"> career pathways for core partners as requested.  In previous years, professional development has been provided to adult education providers, Michigan Works! Agencies, and community colleges on the career pathways model, key components, and resources to assist local providers in the development of career pathway programs.  In PY 2015-16, technical assistance was provided regionally and was tailored based on the requests of each region.  The majority of the regions requested a presentation on the key components of career pathways, while Region 9 brought together adult education providers, community colleges, Michigan Works!, and key employers in the region to begin discussion on specific programs to develop.</w:t>
      </w:r>
    </w:p>
    <w:p w:rsidR="00F85E2D" w:rsidRPr="007B5902" w:rsidRDefault="00F85E2D" w:rsidP="00F85E2D"/>
    <w:p w:rsidR="00555C35" w:rsidRPr="007B5902" w:rsidRDefault="004D26E1" w:rsidP="004D26E1">
      <w:pPr>
        <w:pStyle w:val="BodyTextIndent"/>
        <w:tabs>
          <w:tab w:val="left" w:pos="0"/>
          <w:tab w:val="left" w:pos="2556"/>
        </w:tabs>
        <w:rPr>
          <w:b/>
          <w:bCs/>
          <w:color w:val="auto"/>
          <w:sz w:val="24"/>
          <w:szCs w:val="24"/>
        </w:rPr>
      </w:pPr>
      <w:r w:rsidRPr="007B5902">
        <w:rPr>
          <w:b/>
          <w:bCs/>
          <w:color w:val="auto"/>
          <w:sz w:val="24"/>
          <w:szCs w:val="24"/>
        </w:rPr>
        <w:tab/>
      </w:r>
    </w:p>
    <w:p w:rsidR="00555C35" w:rsidRPr="007B5902" w:rsidRDefault="00AC26A8" w:rsidP="00EF5A62">
      <w:pPr>
        <w:pStyle w:val="BodyTextIndent"/>
        <w:numPr>
          <w:ilvl w:val="0"/>
          <w:numId w:val="1"/>
        </w:numPr>
        <w:tabs>
          <w:tab w:val="clear" w:pos="720"/>
          <w:tab w:val="left" w:pos="0"/>
        </w:tabs>
        <w:ind w:left="0"/>
        <w:rPr>
          <w:b/>
          <w:bCs/>
          <w:color w:val="auto"/>
          <w:sz w:val="24"/>
          <w:szCs w:val="24"/>
        </w:rPr>
      </w:pPr>
      <w:r w:rsidRPr="007B5902">
        <w:rPr>
          <w:b/>
          <w:bCs/>
          <w:color w:val="auto"/>
          <w:sz w:val="24"/>
          <w:szCs w:val="24"/>
        </w:rPr>
        <w:t xml:space="preserve">Integrated English Literacy and Civics Education (IELCE) Program (AEFLA Section 243). </w:t>
      </w:r>
      <w:r w:rsidR="00555C35" w:rsidRPr="007B5902">
        <w:rPr>
          <w:b/>
          <w:bCs/>
          <w:color w:val="auto"/>
          <w:sz w:val="24"/>
          <w:szCs w:val="24"/>
        </w:rPr>
        <w:t xml:space="preserve">Describe </w:t>
      </w:r>
      <w:r w:rsidRPr="007B5902">
        <w:rPr>
          <w:b/>
          <w:bCs/>
          <w:color w:val="auto"/>
          <w:sz w:val="24"/>
          <w:szCs w:val="24"/>
        </w:rPr>
        <w:t>how the state is using funds under section 243 to support the following activities under IELCE program</w:t>
      </w:r>
      <w:r w:rsidR="00555C35" w:rsidRPr="007B5902">
        <w:rPr>
          <w:b/>
          <w:bCs/>
          <w:color w:val="auto"/>
          <w:sz w:val="24"/>
          <w:szCs w:val="24"/>
        </w:rPr>
        <w:t>.</w:t>
      </w:r>
    </w:p>
    <w:p w:rsidR="00555C35" w:rsidRPr="007B5902" w:rsidRDefault="00555C35">
      <w:pPr>
        <w:tabs>
          <w:tab w:val="left" w:pos="0"/>
        </w:tabs>
      </w:pPr>
    </w:p>
    <w:p w:rsidR="00625994" w:rsidRPr="007B5902" w:rsidRDefault="00625994" w:rsidP="00D95451">
      <w:pPr>
        <w:tabs>
          <w:tab w:val="left" w:pos="0"/>
        </w:tabs>
        <w:jc w:val="both"/>
        <w:rPr>
          <w:b/>
        </w:rPr>
      </w:pPr>
      <w:r w:rsidRPr="007B5902">
        <w:rPr>
          <w:b/>
        </w:rPr>
        <w:t>Describe when your state held a competition for IELCE program funds and the number of grants awarded by your state to support the following IELCE programs.</w:t>
      </w:r>
    </w:p>
    <w:p w:rsidR="00625994" w:rsidRPr="007B5902" w:rsidRDefault="00D95451" w:rsidP="00D95451">
      <w:pPr>
        <w:tabs>
          <w:tab w:val="left" w:pos="0"/>
        </w:tabs>
        <w:jc w:val="both"/>
      </w:pPr>
      <w:r w:rsidRPr="007B5902">
        <w:t xml:space="preserve">In </w:t>
      </w:r>
      <w:r w:rsidR="00585E63" w:rsidRPr="007B5902">
        <w:t>2015-2016</w:t>
      </w:r>
      <w:r w:rsidR="002B6027" w:rsidRPr="007B5902">
        <w:t xml:space="preserve"> program year</w:t>
      </w:r>
      <w:r w:rsidR="00AC26A8" w:rsidRPr="007B5902">
        <w:t xml:space="preserve"> no IELCE competitive grant was conducted for IELCE program. </w:t>
      </w:r>
    </w:p>
    <w:p w:rsidR="00625994" w:rsidRPr="007B5902" w:rsidRDefault="00625994" w:rsidP="00D95451">
      <w:pPr>
        <w:tabs>
          <w:tab w:val="left" w:pos="0"/>
        </w:tabs>
        <w:jc w:val="both"/>
      </w:pPr>
    </w:p>
    <w:p w:rsidR="00625994" w:rsidRPr="007B5902" w:rsidRDefault="00625994" w:rsidP="00D95451">
      <w:pPr>
        <w:tabs>
          <w:tab w:val="left" w:pos="0"/>
        </w:tabs>
        <w:jc w:val="both"/>
        <w:rPr>
          <w:b/>
        </w:rPr>
      </w:pPr>
      <w:r w:rsidRPr="007B5902">
        <w:rPr>
          <w:b/>
        </w:rPr>
        <w:lastRenderedPageBreak/>
        <w:t>Describe your state efforts in meeting the requirement to provide IELCE services in combination with integrated education and training activities.</w:t>
      </w:r>
    </w:p>
    <w:p w:rsidR="00C96C3B" w:rsidRPr="007B5902" w:rsidRDefault="00AC26A8" w:rsidP="00D95451">
      <w:pPr>
        <w:tabs>
          <w:tab w:val="left" w:pos="0"/>
        </w:tabs>
        <w:jc w:val="both"/>
      </w:pPr>
      <w:r w:rsidRPr="007B5902">
        <w:t>Under the state transitional plan, most of the funds used for IELCE services were under section 231</w:t>
      </w:r>
      <w:r w:rsidR="001D2BDD">
        <w:t xml:space="preserve"> </w:t>
      </w:r>
      <w:r w:rsidR="001D2BDD" w:rsidRPr="00DA795E">
        <w:t>and</w:t>
      </w:r>
      <w:r w:rsidRPr="007B5902">
        <w:t xml:space="preserve"> provided</w:t>
      </w:r>
      <w:r w:rsidR="00E918FD" w:rsidRPr="007B5902">
        <w:t xml:space="preserve"> 4</w:t>
      </w:r>
      <w:r w:rsidR="003B6B2B" w:rsidRPr="007B5902">
        <w:t>3</w:t>
      </w:r>
      <w:r w:rsidR="00F55663" w:rsidRPr="007B5902">
        <w:t xml:space="preserve"> local providers </w:t>
      </w:r>
      <w:r w:rsidRPr="007B5902">
        <w:t>E</w:t>
      </w:r>
      <w:r w:rsidR="00F55663" w:rsidRPr="007B5902">
        <w:t xml:space="preserve">L </w:t>
      </w:r>
      <w:r w:rsidR="002B6027" w:rsidRPr="007B5902">
        <w:t xml:space="preserve">Civics funds to serve </w:t>
      </w:r>
      <w:r w:rsidR="00D95451" w:rsidRPr="007B5902">
        <w:t>8</w:t>
      </w:r>
      <w:r w:rsidR="00ED6875" w:rsidRPr="007B5902">
        <w:t>,</w:t>
      </w:r>
      <w:r w:rsidR="003B6B2B" w:rsidRPr="007B5902">
        <w:t>5</w:t>
      </w:r>
      <w:r w:rsidR="005729F6" w:rsidRPr="007B5902">
        <w:t>43</w:t>
      </w:r>
      <w:r w:rsidR="008E20A7" w:rsidRPr="007B5902">
        <w:t xml:space="preserve"> </w:t>
      </w:r>
      <w:r w:rsidR="002B6027" w:rsidRPr="007B5902">
        <w:t>(</w:t>
      </w:r>
      <w:r w:rsidR="008E20A7" w:rsidRPr="007B5902">
        <w:t>unduplicated</w:t>
      </w:r>
      <w:r w:rsidR="002B6027" w:rsidRPr="007B5902">
        <w:t>)</w:t>
      </w:r>
      <w:r w:rsidR="00D95451" w:rsidRPr="007B5902">
        <w:t xml:space="preserve"> participants</w:t>
      </w:r>
      <w:r w:rsidR="001D2BDD" w:rsidRPr="00DA795E">
        <w:t>,</w:t>
      </w:r>
      <w:r w:rsidR="00D95451" w:rsidRPr="007B5902">
        <w:t xml:space="preserve"> including inmates in both state correctional facilities</w:t>
      </w:r>
      <w:r w:rsidR="005729F6" w:rsidRPr="007B5902">
        <w:t xml:space="preserve"> and community county jails that received at least 12 hours of instruction</w:t>
      </w:r>
      <w:r w:rsidR="00D95451" w:rsidRPr="007B5902">
        <w:t>. </w:t>
      </w:r>
      <w:r w:rsidR="002B6027" w:rsidRPr="007B5902">
        <w:t xml:space="preserve">A total of </w:t>
      </w:r>
      <w:r w:rsidR="00EE3218" w:rsidRPr="007B5902">
        <w:t>16,193</w:t>
      </w:r>
      <w:r w:rsidR="00104625" w:rsidRPr="007B5902">
        <w:t xml:space="preserve"> </w:t>
      </w:r>
      <w:r w:rsidR="00C443D8" w:rsidRPr="007B5902">
        <w:t xml:space="preserve">(duplicated) </w:t>
      </w:r>
      <w:r w:rsidR="00EE3218" w:rsidRPr="007B5902">
        <w:t xml:space="preserve">participants were </w:t>
      </w:r>
      <w:r w:rsidR="002B6027" w:rsidRPr="007B5902">
        <w:t>enroll</w:t>
      </w:r>
      <w:r w:rsidR="00104625" w:rsidRPr="007B5902">
        <w:t xml:space="preserve">ed in ESL classes </w:t>
      </w:r>
      <w:r w:rsidR="002B6027" w:rsidRPr="007B5902">
        <w:t>across</w:t>
      </w:r>
      <w:r w:rsidR="00D95451" w:rsidRPr="007B5902">
        <w:t xml:space="preserve"> local adult education programs</w:t>
      </w:r>
      <w:r w:rsidR="00620571" w:rsidRPr="007B5902">
        <w:t>,</w:t>
      </w:r>
      <w:r w:rsidR="00D95451" w:rsidRPr="007B5902">
        <w:t xml:space="preserve"> literacy </w:t>
      </w:r>
      <w:r w:rsidR="002B6027" w:rsidRPr="007B5902">
        <w:t>council</w:t>
      </w:r>
      <w:r w:rsidR="00D95451" w:rsidRPr="007B5902">
        <w:t>s, community-based organizations and state correctio</w:t>
      </w:r>
      <w:r w:rsidR="007A6B89" w:rsidRPr="007B5902">
        <w:t xml:space="preserve">nal facilities. The state met </w:t>
      </w:r>
      <w:r w:rsidR="002752B7" w:rsidRPr="007B5902">
        <w:t xml:space="preserve">all </w:t>
      </w:r>
      <w:r w:rsidR="007A6B89" w:rsidRPr="007B5902">
        <w:t>the</w:t>
      </w:r>
      <w:r w:rsidR="00D95451" w:rsidRPr="007B5902">
        <w:t xml:space="preserve"> </w:t>
      </w:r>
      <w:r w:rsidR="00ED6875" w:rsidRPr="007B5902">
        <w:t>six</w:t>
      </w:r>
      <w:r w:rsidR="001D2BDD">
        <w:t xml:space="preserve"> negotiated EFL </w:t>
      </w:r>
      <w:r w:rsidR="00D95451" w:rsidRPr="007B5902">
        <w:t>performance measures</w:t>
      </w:r>
      <w:r w:rsidR="00ED6875" w:rsidRPr="007B5902">
        <w:t xml:space="preserve"> in</w:t>
      </w:r>
      <w:r w:rsidR="00D95451" w:rsidRPr="007B5902">
        <w:t xml:space="preserve"> ESL categories</w:t>
      </w:r>
      <w:r w:rsidR="006C2763" w:rsidRPr="007B5902">
        <w:t xml:space="preserve"> a significant improvement compared to the previous year. </w:t>
      </w:r>
      <w:r w:rsidR="00D42708" w:rsidRPr="007B5902">
        <w:t xml:space="preserve">This achievement is attributed to more accurate performance measures negotiation with OCTAE. </w:t>
      </w:r>
      <w:r w:rsidR="00D95451" w:rsidRPr="007B5902">
        <w:t xml:space="preserve"> </w:t>
      </w:r>
      <w:r w:rsidR="00B26DA6" w:rsidRPr="007B5902">
        <w:t>In spit</w:t>
      </w:r>
      <w:r w:rsidR="00B733F0" w:rsidRPr="007B5902">
        <w:t>e o</w:t>
      </w:r>
      <w:r w:rsidR="00B26DA6" w:rsidRPr="007B5902">
        <w:t xml:space="preserve">f the progress made, </w:t>
      </w:r>
      <w:r w:rsidR="00D95451" w:rsidRPr="007B5902">
        <w:t xml:space="preserve">Michigan </w:t>
      </w:r>
      <w:r w:rsidR="00DD0D14" w:rsidRPr="007B5902">
        <w:t xml:space="preserve">still contends that ESL programs’ performance benchmarks are very </w:t>
      </w:r>
      <w:r w:rsidR="00D95451" w:rsidRPr="007B5902">
        <w:t>hig</w:t>
      </w:r>
      <w:r w:rsidR="00DD0D14" w:rsidRPr="007B5902">
        <w:t>h (4th</w:t>
      </w:r>
      <w:r w:rsidR="00D95451" w:rsidRPr="007B5902">
        <w:t xml:space="preserve"> quartile</w:t>
      </w:r>
      <w:r w:rsidR="00DD0D14" w:rsidRPr="007B5902">
        <w:t xml:space="preserve">) and makes it </w:t>
      </w:r>
      <w:r w:rsidR="00C96C3B" w:rsidRPr="007B5902">
        <w:t xml:space="preserve">difficult </w:t>
      </w:r>
      <w:r w:rsidR="00DD0D14" w:rsidRPr="007B5902">
        <w:t xml:space="preserve">to meet </w:t>
      </w:r>
      <w:r w:rsidR="009B7527" w:rsidRPr="007B5902">
        <w:t xml:space="preserve">all </w:t>
      </w:r>
      <w:r w:rsidR="00DD0D14" w:rsidRPr="007B5902">
        <w:t xml:space="preserve">the target-levels. </w:t>
      </w:r>
      <w:r w:rsidR="00625994" w:rsidRPr="007B5902">
        <w:t>Various providers are at</w:t>
      </w:r>
      <w:r w:rsidR="001D2BDD">
        <w:t xml:space="preserve"> various stages of developing</w:t>
      </w:r>
      <w:r w:rsidR="00625994" w:rsidRPr="007B5902">
        <w:t xml:space="preserve"> integrated education and training (IET) as they learn more of the components of IET. </w:t>
      </w:r>
    </w:p>
    <w:p w:rsidR="00C96C3B" w:rsidRPr="007B5902" w:rsidRDefault="00C96C3B" w:rsidP="00D95451">
      <w:pPr>
        <w:tabs>
          <w:tab w:val="left" w:pos="0"/>
        </w:tabs>
        <w:jc w:val="both"/>
      </w:pPr>
    </w:p>
    <w:p w:rsidR="00555C35" w:rsidRPr="007B5902" w:rsidRDefault="003D2C40" w:rsidP="00DA795E">
      <w:r w:rsidRPr="007B5902">
        <w:t xml:space="preserve">This year (2016-2017) </w:t>
      </w:r>
      <w:r w:rsidR="00D95451" w:rsidRPr="007B5902">
        <w:t xml:space="preserve">Michigan </w:t>
      </w:r>
      <w:r w:rsidRPr="007B5902">
        <w:t>is going to conduct a competitive award process for both</w:t>
      </w:r>
      <w:r w:rsidR="001D2BDD">
        <w:t xml:space="preserve"> </w:t>
      </w:r>
      <w:r w:rsidR="001D2BDD" w:rsidRPr="00DA795E">
        <w:t>Instruction/</w:t>
      </w:r>
      <w:r w:rsidRPr="007B5902">
        <w:t xml:space="preserve"> IET and IELCE program</w:t>
      </w:r>
      <w:r w:rsidR="001D2BDD" w:rsidRPr="00DA795E">
        <w:t>s</w:t>
      </w:r>
      <w:r w:rsidRPr="00DA795E">
        <w:t>.</w:t>
      </w:r>
    </w:p>
    <w:p w:rsidR="004B492E" w:rsidRPr="007B5902" w:rsidRDefault="004B492E" w:rsidP="00D95451">
      <w:pPr>
        <w:tabs>
          <w:tab w:val="left" w:pos="0"/>
        </w:tabs>
        <w:jc w:val="both"/>
      </w:pPr>
    </w:p>
    <w:p w:rsidR="003D2C40" w:rsidRPr="007B5902" w:rsidRDefault="003D2C40" w:rsidP="00D95451">
      <w:pPr>
        <w:tabs>
          <w:tab w:val="left" w:pos="0"/>
        </w:tabs>
        <w:jc w:val="both"/>
        <w:rPr>
          <w:b/>
        </w:rPr>
      </w:pPr>
      <w:r w:rsidRPr="007B5902">
        <w:rPr>
          <w:b/>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w:t>
      </w:r>
    </w:p>
    <w:p w:rsidR="008218A4" w:rsidRPr="007B5902" w:rsidRDefault="008218A4" w:rsidP="003D2C40">
      <w:pPr>
        <w:tabs>
          <w:tab w:val="left" w:pos="0"/>
        </w:tabs>
        <w:jc w:val="both"/>
      </w:pPr>
    </w:p>
    <w:p w:rsidR="003D2C40" w:rsidRPr="007B5902" w:rsidRDefault="003D2C40" w:rsidP="003D2C40">
      <w:pPr>
        <w:tabs>
          <w:tab w:val="left" w:pos="0"/>
        </w:tabs>
        <w:jc w:val="both"/>
      </w:pPr>
      <w:r w:rsidRPr="007B5902">
        <w:t xml:space="preserve">Michigan did not </w:t>
      </w:r>
      <w:r w:rsidR="006D1444" w:rsidRPr="007B5902">
        <w:t>conduct or award any dedicated funds for IELCE program</w:t>
      </w:r>
      <w:r w:rsidR="004B753F" w:rsidRPr="007B5902">
        <w:t xml:space="preserve"> because the final rules were </w:t>
      </w:r>
      <w:r w:rsidR="00E67F8C">
        <w:t xml:space="preserve">not </w:t>
      </w:r>
      <w:r w:rsidR="004B753F" w:rsidRPr="007B5902">
        <w:t>available</w:t>
      </w:r>
      <w:r w:rsidR="00DA26CA">
        <w:t>. However, sub-recipients especially in the Southeast region of the state where there is high concentration of immigrants have started collaborating with Michigan Works! (Title I), Career and Technical Centers and Community Colleges in developing the components of an IELCE program.</w:t>
      </w:r>
      <w:r w:rsidR="0041798E">
        <w:t xml:space="preserve"> Some of the challenges at this time </w:t>
      </w:r>
      <w:r w:rsidR="000C7FB8">
        <w:t>but not limited are</w:t>
      </w:r>
      <w:r w:rsidR="0041798E">
        <w:t>: developing a short and an effective IELCE with single objective for this transient population; cost of such programs; transportation to the IET centers; scheduling of staff (since Michigan is not college system); matching basic skills with the demanding technical skills of the IET program.</w:t>
      </w:r>
      <w:r w:rsidR="00837BE9">
        <w:t xml:space="preserve"> One of the lessons learned is the participants are excited with the expanded opportunities and some employers are indicating interest in forging partnership with adult education programs.</w:t>
      </w:r>
    </w:p>
    <w:p w:rsidR="00DA60BF" w:rsidRPr="007B5902" w:rsidRDefault="00DA60BF" w:rsidP="003D2C40">
      <w:pPr>
        <w:tabs>
          <w:tab w:val="left" w:pos="0"/>
        </w:tabs>
        <w:jc w:val="both"/>
      </w:pPr>
    </w:p>
    <w:p w:rsidR="00DA60BF" w:rsidRPr="007B5902" w:rsidRDefault="00DA60BF" w:rsidP="003D2C40">
      <w:pPr>
        <w:tabs>
          <w:tab w:val="left" w:pos="0"/>
        </w:tabs>
        <w:jc w:val="both"/>
        <w:rPr>
          <w:b/>
        </w:rPr>
      </w:pPr>
      <w:r w:rsidRPr="007B5902">
        <w:rPr>
          <w:b/>
        </w:rPr>
        <w:t>Describe how the state is progressing towards program goals of ensuring that IELCE pr</w:t>
      </w:r>
      <w:r w:rsidR="005805CA" w:rsidRPr="007B5902">
        <w:rPr>
          <w:b/>
        </w:rPr>
        <w:t>ogram activities are integrated with the local workforce development system and its functions as described in section 243(c)(2) and discuss any performance results, challenges, and lessons learned from implementing those program goals.</w:t>
      </w:r>
    </w:p>
    <w:p w:rsidR="007174D2" w:rsidRDefault="005805CA" w:rsidP="003D2C40">
      <w:pPr>
        <w:tabs>
          <w:tab w:val="left" w:pos="0"/>
        </w:tabs>
        <w:jc w:val="both"/>
      </w:pPr>
      <w:r w:rsidRPr="007B5902">
        <w:t xml:space="preserve">In 2015-2016 Michigan did not allocate AEFLA </w:t>
      </w:r>
      <w:r w:rsidR="0007491E" w:rsidRPr="007B5902">
        <w:t xml:space="preserve">section 243 </w:t>
      </w:r>
      <w:r w:rsidRPr="007B5902">
        <w:t xml:space="preserve">funds for </w:t>
      </w:r>
      <w:r w:rsidR="0007491E" w:rsidRPr="007B5902">
        <w:t>an IELCE program</w:t>
      </w:r>
      <w:r w:rsidRPr="007B5902">
        <w:t>, however</w:t>
      </w:r>
      <w:r w:rsidR="00FA0685" w:rsidRPr="007B5902">
        <w:t xml:space="preserve">, the state instituted a pilot program with all the elements of an IET (based on our understanding at the time) with state funds. </w:t>
      </w:r>
      <w:r w:rsidR="007174D2" w:rsidRPr="007B5902">
        <w:t>In 2016-2017, the state is using the lessons learned to conduct a competitive funding for an IELCE program.</w:t>
      </w:r>
    </w:p>
    <w:p w:rsidR="00627876" w:rsidRPr="007B5902" w:rsidRDefault="00627876" w:rsidP="003D2C40">
      <w:pPr>
        <w:tabs>
          <w:tab w:val="left" w:pos="0"/>
        </w:tabs>
        <w:jc w:val="both"/>
      </w:pPr>
    </w:p>
    <w:p w:rsidR="005805CA" w:rsidRPr="007B5902" w:rsidRDefault="00FA0685" w:rsidP="003D2C40">
      <w:pPr>
        <w:tabs>
          <w:tab w:val="left" w:pos="0"/>
        </w:tabs>
        <w:jc w:val="both"/>
      </w:pPr>
      <w:r w:rsidRPr="007B5902">
        <w:t>Below is a summary report</w:t>
      </w:r>
      <w:r w:rsidR="007174D2" w:rsidRPr="007B5902">
        <w:t xml:space="preserve"> of the pilot</w:t>
      </w:r>
      <w:r w:rsidR="004D0869" w:rsidRPr="007B5902">
        <w:t xml:space="preserve"> called </w:t>
      </w:r>
      <w:r w:rsidR="008218A4" w:rsidRPr="007B5902">
        <w:t>“</w:t>
      </w:r>
      <w:r w:rsidR="004D0869" w:rsidRPr="007B5902">
        <w:t>Linked Muskegon County</w:t>
      </w:r>
      <w:r w:rsidR="008218A4" w:rsidRPr="007B5902">
        <w:t>”</w:t>
      </w:r>
      <w:r w:rsidR="007174D2" w:rsidRPr="007B5902">
        <w:t>:</w:t>
      </w:r>
    </w:p>
    <w:p w:rsidR="00237F79" w:rsidRDefault="00237F79" w:rsidP="00DA795E">
      <w:r w:rsidRPr="007B5902">
        <w:t>Linked Muskegon County (Linked) is a collaboration between Adult Education (AE)</w:t>
      </w:r>
      <w:r w:rsidR="00FA0685" w:rsidRPr="007B5902">
        <w:t xml:space="preserve"> programs</w:t>
      </w:r>
      <w:r w:rsidRPr="007B5902">
        <w:t xml:space="preserve"> within Muskegon County, West Michigan Works! (WMW), the Muskegon Area</w:t>
      </w:r>
      <w:r w:rsidR="00FA0685" w:rsidRPr="007B5902">
        <w:t xml:space="preserve"> </w:t>
      </w:r>
      <w:r w:rsidRPr="007B5902">
        <w:t>Career/Tech Center</w:t>
      </w:r>
      <w:r w:rsidR="00FA0685" w:rsidRPr="007B5902">
        <w:t xml:space="preserve"> (</w:t>
      </w:r>
      <w:r w:rsidRPr="007B5902">
        <w:t>MACTC), and local employers.</w:t>
      </w:r>
      <w:r w:rsidR="00FA0685" w:rsidRPr="007B5902">
        <w:t xml:space="preserve"> </w:t>
      </w:r>
      <w:r w:rsidRPr="007B5902">
        <w:t>Cohorts of adult education students are dually enrolled in adult education programming</w:t>
      </w:r>
      <w:r w:rsidR="00FA0685" w:rsidRPr="007B5902">
        <w:t xml:space="preserve"> </w:t>
      </w:r>
      <w:r w:rsidRPr="007B5902">
        <w:t>along with a technical training course at the MACTC. Through coursework in both programs,</w:t>
      </w:r>
      <w:r w:rsidR="00FA0685" w:rsidRPr="007B5902">
        <w:t xml:space="preserve"> </w:t>
      </w:r>
      <w:r w:rsidRPr="007B5902">
        <w:t>and with the help of WMW!, these students will complete their high school diploma</w:t>
      </w:r>
      <w:r w:rsidR="00FA0685" w:rsidRPr="007B5902">
        <w:t xml:space="preserve"> </w:t>
      </w:r>
      <w:r w:rsidRPr="007B5902">
        <w:lastRenderedPageBreak/>
        <w:t>requirements or receive a GED, gain specific manufacturing skills being sought by local</w:t>
      </w:r>
      <w:r w:rsidR="00FA0685" w:rsidRPr="007B5902">
        <w:t xml:space="preserve"> </w:t>
      </w:r>
      <w:r w:rsidRPr="007B5902">
        <w:t>employers, and increase their employability skills. Successful students will receive internship or</w:t>
      </w:r>
      <w:r w:rsidR="00FA0685" w:rsidRPr="007B5902">
        <w:t xml:space="preserve"> </w:t>
      </w:r>
      <w:r w:rsidRPr="007B5902">
        <w:t>employment opportunities through locally identified employers that will provide on the job</w:t>
      </w:r>
      <w:r w:rsidR="00FA0685" w:rsidRPr="007B5902">
        <w:t xml:space="preserve"> </w:t>
      </w:r>
      <w:r w:rsidRPr="007B5902">
        <w:t>training to further enhance skills and better prepare our workforce to meet local demand.</w:t>
      </w:r>
      <w:r w:rsidR="00FA0685" w:rsidRPr="007B5902">
        <w:t xml:space="preserve"> </w:t>
      </w:r>
      <w:r w:rsidRPr="007B5902">
        <w:t>To help recruit and retain successful student participants, an Adult Education Navigator</w:t>
      </w:r>
      <w:r w:rsidR="00FA0685" w:rsidRPr="007B5902">
        <w:t xml:space="preserve"> </w:t>
      </w:r>
      <w:r w:rsidRPr="007B5902">
        <w:t>serves as a caseworker for each student. This Navigator works with adult education staff,</w:t>
      </w:r>
      <w:r w:rsidR="00FA0685" w:rsidRPr="007B5902">
        <w:t xml:space="preserve"> </w:t>
      </w:r>
      <w:r w:rsidRPr="007B5902">
        <w:t>MACTC staff, local human service agencies, and potential employers to design an educational</w:t>
      </w:r>
      <w:r w:rsidR="00FA0685" w:rsidRPr="007B5902">
        <w:t xml:space="preserve"> </w:t>
      </w:r>
      <w:r w:rsidRPr="007B5902">
        <w:t>program best suited to the personal and employment needs of the student, and also helps identify</w:t>
      </w:r>
      <w:r w:rsidR="00FA0685" w:rsidRPr="007B5902">
        <w:t xml:space="preserve"> </w:t>
      </w:r>
      <w:r w:rsidRPr="007B5902">
        <w:t>and address individual barriers to each student’s success. The Navigator keeps students on</w:t>
      </w:r>
      <w:r w:rsidR="00FA0685" w:rsidRPr="007B5902">
        <w:t xml:space="preserve"> </w:t>
      </w:r>
      <w:r w:rsidRPr="007B5902">
        <w:t>his/her caseload through successful completion of the academic program and helps with their</w:t>
      </w:r>
      <w:r w:rsidR="00FA0685" w:rsidRPr="007B5902">
        <w:t xml:space="preserve"> </w:t>
      </w:r>
      <w:r w:rsidRPr="007B5902">
        <w:t>transition to employment.</w:t>
      </w:r>
    </w:p>
    <w:p w:rsidR="00B95A17" w:rsidRPr="007B5902" w:rsidRDefault="00B95A17" w:rsidP="00DA795E"/>
    <w:p w:rsidR="008218A4" w:rsidRPr="007B5902" w:rsidRDefault="008218A4" w:rsidP="008218A4">
      <w:r w:rsidRPr="007B5902">
        <w:t>In 2015-2016, the State School Aid Act, Section 107 maintained the regional funding structure that goes directly to local education agencies (LEA) to regions, based on Michigan’s ten prosperity regions.  The creation of the 10 Prosperity Regions in 2012 has facilitated stronger relationships among local and regional partners and has also allowed the state to recognize local efforts, align services and collaborative efforts of regional stakeholders and decision makers. The goal is to support regional economic activities and prosperity.  </w:t>
      </w:r>
    </w:p>
    <w:p w:rsidR="00B84D8C" w:rsidRPr="007B5902" w:rsidRDefault="00B84D8C" w:rsidP="00FA0685">
      <w:pPr>
        <w:autoSpaceDE w:val="0"/>
        <w:autoSpaceDN w:val="0"/>
        <w:adjustRightInd w:val="0"/>
      </w:pPr>
    </w:p>
    <w:p w:rsidR="00FF4F46" w:rsidRPr="00EF5A62" w:rsidRDefault="00D47A19" w:rsidP="00EF5A62">
      <w:pPr>
        <w:pStyle w:val="BodyTextIndent"/>
        <w:numPr>
          <w:ilvl w:val="0"/>
          <w:numId w:val="1"/>
        </w:numPr>
        <w:tabs>
          <w:tab w:val="clear" w:pos="720"/>
          <w:tab w:val="left" w:pos="0"/>
        </w:tabs>
        <w:ind w:left="0"/>
        <w:rPr>
          <w:b/>
          <w:sz w:val="24"/>
          <w:szCs w:val="24"/>
        </w:rPr>
      </w:pPr>
      <w:r w:rsidRPr="00EF5A62">
        <w:rPr>
          <w:b/>
          <w:sz w:val="24"/>
          <w:szCs w:val="24"/>
        </w:rPr>
        <w:t>Adult Education Standards</w:t>
      </w:r>
    </w:p>
    <w:p w:rsidR="00FF4F46" w:rsidRPr="007B5902" w:rsidRDefault="00FF4F46" w:rsidP="00FF4F46">
      <w:pPr>
        <w:pStyle w:val="Default"/>
        <w:spacing w:before="40" w:after="40"/>
        <w:rPr>
          <w:rFonts w:ascii="Times New Roman" w:hAnsi="Times New Roman" w:cs="Times New Roman"/>
          <w:sz w:val="24"/>
          <w:szCs w:val="24"/>
        </w:rPr>
      </w:pPr>
      <w:r w:rsidRPr="00EF5A62">
        <w:rPr>
          <w:rFonts w:ascii="Times New Roman" w:hAnsi="Times New Roman" w:cs="Times New Roman"/>
          <w:sz w:val="24"/>
          <w:szCs w:val="24"/>
        </w:rPr>
        <w:t>All Michigan local educations agencies that are recipients of AEFLA funds and operate high school completion</w:t>
      </w:r>
      <w:r w:rsidRPr="007B5902">
        <w:rPr>
          <w:rFonts w:ascii="Times New Roman" w:hAnsi="Times New Roman" w:cs="Times New Roman"/>
          <w:sz w:val="24"/>
          <w:szCs w:val="24"/>
        </w:rPr>
        <w:t xml:space="preserve"> program and some other providers use the Michigan K12 standards for the high school program. Michigan adult education also adopted the College and Career Readiness Standards (CCRC) disseminated by the OCTAE and has continued to roll out the standards and how to use them in the classroom throughout the state, through regional training institutes and conference venues.</w:t>
      </w:r>
      <w:r w:rsidR="005222C6" w:rsidRPr="007B5902">
        <w:rPr>
          <w:rFonts w:ascii="Times New Roman" w:hAnsi="Times New Roman" w:cs="Times New Roman"/>
          <w:sz w:val="24"/>
          <w:szCs w:val="24"/>
        </w:rPr>
        <w:t xml:space="preserve"> One of the lessons learned is the </w:t>
      </w:r>
      <w:r w:rsidR="00EA51A2" w:rsidRPr="007B5902">
        <w:rPr>
          <w:rFonts w:ascii="Times New Roman" w:hAnsi="Times New Roman" w:cs="Times New Roman"/>
          <w:sz w:val="24"/>
          <w:szCs w:val="24"/>
        </w:rPr>
        <w:t>constant question</w:t>
      </w:r>
      <w:r w:rsidR="00677393" w:rsidRPr="007B5902">
        <w:rPr>
          <w:rFonts w:ascii="Times New Roman" w:hAnsi="Times New Roman" w:cs="Times New Roman"/>
          <w:sz w:val="24"/>
          <w:szCs w:val="24"/>
        </w:rPr>
        <w:t>/concern</w:t>
      </w:r>
      <w:r w:rsidR="00EA51A2" w:rsidRPr="007B5902">
        <w:rPr>
          <w:rFonts w:ascii="Times New Roman" w:hAnsi="Times New Roman" w:cs="Times New Roman"/>
          <w:sz w:val="24"/>
          <w:szCs w:val="24"/>
        </w:rPr>
        <w:t xml:space="preserve"> of doing more with less</w:t>
      </w:r>
      <w:r w:rsidR="00677393" w:rsidRPr="007B5902">
        <w:rPr>
          <w:rFonts w:ascii="Times New Roman" w:hAnsi="Times New Roman" w:cs="Times New Roman"/>
          <w:sz w:val="24"/>
          <w:szCs w:val="24"/>
        </w:rPr>
        <w:t xml:space="preserve"> and the challenges of dealing with the very low level learners and the rigorous curriculum.</w:t>
      </w:r>
    </w:p>
    <w:p w:rsidR="00FF4F46" w:rsidRPr="007B5902" w:rsidRDefault="00FF4F46" w:rsidP="00FF4F46">
      <w:r w:rsidRPr="007B5902">
        <w:rPr>
          <w:iCs/>
        </w:rPr>
        <w:t> </w:t>
      </w:r>
      <w:r w:rsidRPr="007B5902">
        <w:rPr>
          <w:strike/>
          <w:color w:val="FF0000"/>
        </w:rPr>
        <w:t xml:space="preserve"> </w:t>
      </w:r>
    </w:p>
    <w:p w:rsidR="00FF4F46" w:rsidRPr="007B5902" w:rsidRDefault="00FF4F46" w:rsidP="00FF4F46">
      <w:pPr>
        <w:rPr>
          <w:b/>
          <w:bCs/>
        </w:rPr>
      </w:pPr>
      <w:r w:rsidRPr="007B5902">
        <w:rPr>
          <w:b/>
        </w:rPr>
        <w:t>GED®</w:t>
      </w:r>
    </w:p>
    <w:p w:rsidR="00FF4F46" w:rsidRPr="007B5902" w:rsidRDefault="00FF4F46" w:rsidP="00FF4F46">
      <w:r w:rsidRPr="007B5902">
        <w:t xml:space="preserve">For period covering July 1, 2015 through June 30, 2016 Michigan’s GED® testers pass rate was 81% compared to the national pass rate of 82%: </w:t>
      </w:r>
    </w:p>
    <w:p w:rsidR="00FF4F46" w:rsidRPr="007B5902" w:rsidRDefault="00FF4F46" w:rsidP="00FF4F46"/>
    <w:p w:rsidR="00FF4F46" w:rsidRPr="007B5902" w:rsidRDefault="00FF4F46" w:rsidP="00FF4F46">
      <w:pPr>
        <w:pStyle w:val="ListParagraph"/>
        <w:numPr>
          <w:ilvl w:val="0"/>
          <w:numId w:val="15"/>
        </w:numPr>
        <w:spacing w:after="0" w:line="240" w:lineRule="auto"/>
        <w:rPr>
          <w:rFonts w:ascii="Times New Roman" w:hAnsi="Times New Roman" w:cs="Times New Roman"/>
          <w:sz w:val="24"/>
          <w:szCs w:val="24"/>
        </w:rPr>
      </w:pPr>
      <w:r w:rsidRPr="007B5902">
        <w:rPr>
          <w:rFonts w:ascii="Times New Roman" w:hAnsi="Times New Roman" w:cs="Times New Roman"/>
          <w:sz w:val="24"/>
          <w:szCs w:val="24"/>
        </w:rPr>
        <w:t>7,774 individuals tested in Michigan   </w:t>
      </w:r>
    </w:p>
    <w:p w:rsidR="00FF4F46" w:rsidRPr="007B5902" w:rsidRDefault="00FF4F46" w:rsidP="00FF4F46">
      <w:pPr>
        <w:pStyle w:val="ListParagraph"/>
        <w:numPr>
          <w:ilvl w:val="0"/>
          <w:numId w:val="15"/>
        </w:numPr>
        <w:spacing w:after="0" w:line="240" w:lineRule="auto"/>
        <w:rPr>
          <w:rFonts w:ascii="Times New Roman" w:hAnsi="Times New Roman" w:cs="Times New Roman"/>
          <w:sz w:val="24"/>
          <w:szCs w:val="24"/>
        </w:rPr>
      </w:pPr>
      <w:r w:rsidRPr="007B5902">
        <w:rPr>
          <w:rFonts w:ascii="Times New Roman" w:hAnsi="Times New Roman" w:cs="Times New Roman"/>
          <w:sz w:val="24"/>
          <w:szCs w:val="24"/>
        </w:rPr>
        <w:t>5,071 people completed all of the required exams</w:t>
      </w:r>
    </w:p>
    <w:p w:rsidR="00FF4F46" w:rsidRPr="007B5902" w:rsidRDefault="00FF4F46" w:rsidP="00FF4F46">
      <w:pPr>
        <w:pStyle w:val="ListParagraph"/>
        <w:numPr>
          <w:ilvl w:val="0"/>
          <w:numId w:val="15"/>
        </w:numPr>
        <w:spacing w:after="0" w:line="240" w:lineRule="auto"/>
        <w:rPr>
          <w:rFonts w:ascii="Times New Roman" w:hAnsi="Times New Roman" w:cs="Times New Roman"/>
          <w:sz w:val="24"/>
          <w:szCs w:val="24"/>
        </w:rPr>
      </w:pPr>
      <w:r w:rsidRPr="007B5902">
        <w:rPr>
          <w:rFonts w:ascii="Times New Roman" w:hAnsi="Times New Roman" w:cs="Times New Roman"/>
          <w:sz w:val="24"/>
          <w:szCs w:val="24"/>
        </w:rPr>
        <w:t xml:space="preserve">4,122 people earned the high school equivalency credential  </w:t>
      </w:r>
    </w:p>
    <w:p w:rsidR="00FF4F46" w:rsidRPr="007B5902" w:rsidRDefault="00FF4F46" w:rsidP="00FF4F46"/>
    <w:p w:rsidR="00FF4F46" w:rsidRPr="007B5902" w:rsidRDefault="00FF4F46" w:rsidP="00FF4F46">
      <w:r w:rsidRPr="007B5902">
        <w:t xml:space="preserve">The </w:t>
      </w:r>
      <w:r w:rsidRPr="007B5902">
        <w:rPr>
          <w:i/>
          <w:iCs/>
        </w:rPr>
        <w:t>GED® To School</w:t>
      </w:r>
      <w:r w:rsidRPr="007B5902">
        <w:t xml:space="preserve"> program, which was mentioned in the previous report, was implemented during the reporting period.  The </w:t>
      </w:r>
      <w:r w:rsidRPr="007B5902">
        <w:rPr>
          <w:i/>
          <w:iCs/>
        </w:rPr>
        <w:t>GED® To School</w:t>
      </w:r>
      <w:r w:rsidRPr="007B5902">
        <w:t xml:space="preserve"> program is an effort to incent Michigan residents to pursue post-secondary education and career focused training after earning a high school equivalency credential.  </w:t>
      </w:r>
    </w:p>
    <w:p w:rsidR="00FF4F46" w:rsidRPr="007B5902" w:rsidRDefault="00FF4F46" w:rsidP="00FF4F46">
      <w:r w:rsidRPr="007B5902">
        <w:t xml:space="preserve">The program launch in June of 2016, covering only one month of the reporting period below. </w:t>
      </w:r>
    </w:p>
    <w:p w:rsidR="00FF4F46" w:rsidRPr="007B5902" w:rsidRDefault="00FF4F46" w:rsidP="00FF4F46"/>
    <w:p w:rsidR="00FF4F46" w:rsidRPr="007B5902" w:rsidRDefault="00FF4F46" w:rsidP="00FF4F46">
      <w:r w:rsidRPr="007B5902">
        <w:t>GED-To-School June 1, 2015 through June 30, 2016:</w:t>
      </w:r>
    </w:p>
    <w:p w:rsidR="00FF4F46" w:rsidRPr="007B5902" w:rsidRDefault="00FF4F46" w:rsidP="00FF4F46"/>
    <w:p w:rsidR="00FF4F46" w:rsidRPr="007B5902" w:rsidRDefault="00FF4F46" w:rsidP="00FF4F46">
      <w:pPr>
        <w:pStyle w:val="ListParagraph"/>
        <w:numPr>
          <w:ilvl w:val="0"/>
          <w:numId w:val="16"/>
        </w:numPr>
        <w:spacing w:after="0" w:line="240" w:lineRule="auto"/>
        <w:rPr>
          <w:rFonts w:ascii="Times New Roman" w:hAnsi="Times New Roman" w:cs="Times New Roman"/>
          <w:sz w:val="24"/>
          <w:szCs w:val="24"/>
        </w:rPr>
      </w:pPr>
      <w:r w:rsidRPr="007B5902">
        <w:rPr>
          <w:rFonts w:ascii="Times New Roman" w:hAnsi="Times New Roman" w:cs="Times New Roman"/>
          <w:sz w:val="24"/>
          <w:szCs w:val="24"/>
        </w:rPr>
        <w:t>119 participants approved for at least one subject testing voucher</w:t>
      </w:r>
    </w:p>
    <w:p w:rsidR="00FF4F46" w:rsidRPr="007B5902" w:rsidRDefault="00FF4F46" w:rsidP="00FF4F46">
      <w:pPr>
        <w:pStyle w:val="ListParagraph"/>
        <w:numPr>
          <w:ilvl w:val="0"/>
          <w:numId w:val="16"/>
        </w:numPr>
        <w:spacing w:after="0" w:line="240" w:lineRule="auto"/>
        <w:rPr>
          <w:rFonts w:ascii="Times New Roman" w:hAnsi="Times New Roman" w:cs="Times New Roman"/>
          <w:sz w:val="24"/>
          <w:szCs w:val="24"/>
        </w:rPr>
      </w:pPr>
      <w:r w:rsidRPr="007B5902">
        <w:rPr>
          <w:rFonts w:ascii="Times New Roman" w:hAnsi="Times New Roman" w:cs="Times New Roman"/>
          <w:sz w:val="24"/>
          <w:szCs w:val="24"/>
        </w:rPr>
        <w:t>Of these 119 participants, 45 have received their high school equivalency credential in 2016</w:t>
      </w:r>
    </w:p>
    <w:p w:rsidR="00FF4F46" w:rsidRPr="007B5902" w:rsidRDefault="00FF4F46" w:rsidP="00FF4F46"/>
    <w:p w:rsidR="00FF4F46" w:rsidRPr="007B5902" w:rsidRDefault="00FF4F46" w:rsidP="00FF4F46">
      <w:pPr>
        <w:rPr>
          <w:b/>
        </w:rPr>
      </w:pPr>
      <w:r w:rsidRPr="007B5902">
        <w:rPr>
          <w:b/>
        </w:rPr>
        <w:t>New/Alternative High School Equivalency Assessments</w:t>
      </w:r>
    </w:p>
    <w:p w:rsidR="00D47A19" w:rsidRPr="007B5902" w:rsidRDefault="00FF4F46" w:rsidP="00FF4F46">
      <w:pPr>
        <w:autoSpaceDE w:val="0"/>
        <w:autoSpaceDN w:val="0"/>
        <w:adjustRightInd w:val="0"/>
      </w:pPr>
      <w:r w:rsidRPr="007B5902">
        <w:lastRenderedPageBreak/>
        <w:t xml:space="preserve">New alternative high school equivalency assessments in addition to the </w:t>
      </w:r>
      <w:r w:rsidRPr="007B5902">
        <w:rPr>
          <w:i/>
          <w:iCs/>
        </w:rPr>
        <w:t xml:space="preserve">GED® </w:t>
      </w:r>
      <w:r w:rsidRPr="007B5902">
        <w:t>were approved to be recognized by the state of Michigan during the reporting period by the legislature and governor.  Implementation of the new assessments is in process.  Progress and outcome data will be reported in the next report.</w:t>
      </w:r>
    </w:p>
    <w:p w:rsidR="004A5B8A" w:rsidRPr="007B5902" w:rsidRDefault="004A5B8A" w:rsidP="00FF4F46">
      <w:pPr>
        <w:autoSpaceDE w:val="0"/>
        <w:autoSpaceDN w:val="0"/>
        <w:adjustRightInd w:val="0"/>
      </w:pPr>
    </w:p>
    <w:p w:rsidR="004A5B8A" w:rsidRPr="00EF3F3E" w:rsidRDefault="004A5B8A" w:rsidP="00EF3F3E">
      <w:pPr>
        <w:pStyle w:val="BodyTextIndent"/>
        <w:numPr>
          <w:ilvl w:val="0"/>
          <w:numId w:val="1"/>
        </w:numPr>
        <w:tabs>
          <w:tab w:val="clear" w:pos="720"/>
          <w:tab w:val="left" w:pos="0"/>
        </w:tabs>
        <w:ind w:left="0"/>
        <w:rPr>
          <w:b/>
          <w:sz w:val="24"/>
          <w:szCs w:val="24"/>
        </w:rPr>
      </w:pPr>
      <w:r w:rsidRPr="00EF3F3E">
        <w:rPr>
          <w:b/>
          <w:sz w:val="24"/>
          <w:szCs w:val="24"/>
        </w:rPr>
        <w:t>Programs for Correction Education and the Education of Other Institutionalized Individuals (AEFLA Section 225).</w:t>
      </w:r>
    </w:p>
    <w:p w:rsidR="004707AA" w:rsidRPr="007B5902" w:rsidRDefault="004707AA" w:rsidP="004707AA">
      <w:pPr>
        <w:rPr>
          <w:b/>
        </w:rPr>
      </w:pPr>
    </w:p>
    <w:p w:rsidR="004707AA" w:rsidRPr="007B5902" w:rsidRDefault="004707AA" w:rsidP="004707AA">
      <w:pPr>
        <w:rPr>
          <w:b/>
        </w:rPr>
      </w:pPr>
      <w:r w:rsidRPr="007B5902">
        <w:rPr>
          <w:b/>
        </w:rPr>
        <w:t>State Correctional Facilities (Michigan Department of Correction – MDOC)</w:t>
      </w:r>
    </w:p>
    <w:p w:rsidR="00592DA1" w:rsidRDefault="00CC019B" w:rsidP="00592DA1">
      <w:pPr>
        <w:rPr>
          <w:sz w:val="22"/>
          <w:szCs w:val="22"/>
        </w:rPr>
      </w:pPr>
      <w:r w:rsidRPr="007B5902">
        <w:t>In 2015-2016, the State Adult Education</w:t>
      </w:r>
      <w:r w:rsidR="001D2BDD">
        <w:t xml:space="preserve"> </w:t>
      </w:r>
      <w:r w:rsidR="001D2BDD" w:rsidRPr="00DA795E">
        <w:t>Office</w:t>
      </w:r>
      <w:r w:rsidRPr="007B5902">
        <w:t xml:space="preserve"> has not developed a mechanism of tracking recidivism for criminal offenders served with AEFLA funds</w:t>
      </w:r>
      <w:r w:rsidR="00592DA1">
        <w:t xml:space="preserve"> at the county and local correctional institutions</w:t>
      </w:r>
      <w:r w:rsidRPr="007B5902">
        <w:t>. However, MDOC has its own tracking system funded with state funds</w:t>
      </w:r>
      <w:r w:rsidR="0027649F" w:rsidRPr="007B5902">
        <w:t xml:space="preserve"> that calculates recidivism rate</w:t>
      </w:r>
      <w:r w:rsidRPr="007B5902">
        <w:t>.</w:t>
      </w:r>
      <w:r w:rsidR="00592DA1" w:rsidRPr="00592DA1">
        <w:t xml:space="preserve"> </w:t>
      </w:r>
      <w:r w:rsidR="00592DA1">
        <w:t>Any</w:t>
      </w:r>
      <w:r w:rsidR="00592DA1">
        <w:t xml:space="preserve"> prisoner that </w:t>
      </w:r>
      <w:r w:rsidR="00592DA1">
        <w:t>is enrolled in</w:t>
      </w:r>
      <w:r w:rsidR="00592DA1">
        <w:t xml:space="preserve"> ed</w:t>
      </w:r>
      <w:r w:rsidR="00592DA1">
        <w:t>ucational</w:t>
      </w:r>
      <w:r w:rsidR="00592DA1">
        <w:t xml:space="preserve"> program in April of 2016 and paroles in May has a month or so to fail before they stop looking</w:t>
      </w:r>
      <w:r w:rsidR="00592DA1">
        <w:t xml:space="preserve"> and t</w:t>
      </w:r>
      <w:r w:rsidR="00592DA1">
        <w:t>he time at risk will be different for the prisoner that paroles in July 2015 and gives inaccu</w:t>
      </w:r>
      <w:r w:rsidR="00CF3084">
        <w:t xml:space="preserve">rate and/or meaningless result. This </w:t>
      </w:r>
      <w:r w:rsidR="00655FB5">
        <w:t>means</w:t>
      </w:r>
      <w:r w:rsidR="00CF3084">
        <w:t xml:space="preserve"> MDOC tries to sift through the dat</w:t>
      </w:r>
      <w:r w:rsidR="00655FB5">
        <w:t>a for more accurate information that is factored in the calculation of recidivism rate.</w:t>
      </w:r>
    </w:p>
    <w:p w:rsidR="00592DA1" w:rsidRDefault="00592DA1" w:rsidP="00592DA1"/>
    <w:p w:rsidR="00592DA1" w:rsidRDefault="00CF3084" w:rsidP="00592DA1">
      <w:r>
        <w:t>In 2010</w:t>
      </w:r>
      <w:r w:rsidR="00420297">
        <w:t>,</w:t>
      </w:r>
      <w:r>
        <w:t xml:space="preserve"> th</w:t>
      </w:r>
      <w:r w:rsidR="00592DA1">
        <w:t xml:space="preserve">e monthly recidivism rate </w:t>
      </w:r>
      <w:r>
        <w:t>a</w:t>
      </w:r>
      <w:r w:rsidR="00420297">
        <w:t>t the twelve-</w:t>
      </w:r>
      <w:r w:rsidR="00592DA1">
        <w:t xml:space="preserve">month mark </w:t>
      </w:r>
      <w:r>
        <w:t>was 14.5%</w:t>
      </w:r>
      <w:r w:rsidR="00592DA1">
        <w:t xml:space="preserve">.  </w:t>
      </w:r>
      <w:r w:rsidR="0097501C">
        <w:t>MDOC</w:t>
      </w:r>
      <w:r w:rsidR="00592DA1">
        <w:t xml:space="preserve"> overall 3-y</w:t>
      </w:r>
      <w:r w:rsidR="005A17C6">
        <w:t>ea</w:t>
      </w:r>
      <w:r w:rsidR="00592DA1">
        <w:t>r recidivism has been fairly stable for the last few years so this is still probably about the same.</w:t>
      </w:r>
      <w:r>
        <w:t xml:space="preserve"> The</w:t>
      </w:r>
      <w:r w:rsidR="00592DA1">
        <w:t xml:space="preserve"> 3</w:t>
      </w:r>
      <w:r w:rsidR="005A17C6">
        <w:t>-</w:t>
      </w:r>
      <w:bookmarkStart w:id="0" w:name="_GoBack"/>
      <w:bookmarkEnd w:id="0"/>
      <w:r w:rsidR="00592DA1">
        <w:t>y</w:t>
      </w:r>
      <w:r>
        <w:t>ea</w:t>
      </w:r>
      <w:r w:rsidR="00592DA1">
        <w:t>r recidivism for the 2012 parole releases to Michigan counties</w:t>
      </w:r>
      <w:r>
        <w:t xml:space="preserve"> </w:t>
      </w:r>
      <w:r w:rsidR="00592DA1">
        <w:t xml:space="preserve">the most recent </w:t>
      </w:r>
      <w:r>
        <w:t xml:space="preserve">data </w:t>
      </w:r>
      <w:r w:rsidR="00592DA1">
        <w:t xml:space="preserve">at this time.  The next update will be </w:t>
      </w:r>
      <w:r>
        <w:t>at the end of March 2017</w:t>
      </w:r>
      <w:r w:rsidR="00592DA1">
        <w:t>.</w:t>
      </w:r>
    </w:p>
    <w:p w:rsidR="00592DA1" w:rsidRDefault="00592DA1" w:rsidP="00592DA1"/>
    <w:p w:rsidR="00CC019B" w:rsidRPr="007B5902" w:rsidRDefault="00CF3084" w:rsidP="004707AA">
      <w:r>
        <w:t xml:space="preserve">Since it is a new requirement, </w:t>
      </w:r>
      <w:r w:rsidR="00CC019B" w:rsidRPr="007B5902">
        <w:t xml:space="preserve">TIA is working </w:t>
      </w:r>
      <w:r>
        <w:t xml:space="preserve">closely </w:t>
      </w:r>
      <w:r w:rsidR="00CC019B" w:rsidRPr="007B5902">
        <w:t xml:space="preserve">with MDOC to coordinate and leverage resources towards this goal. </w:t>
      </w:r>
    </w:p>
    <w:p w:rsidR="00656317" w:rsidRPr="007B5902" w:rsidRDefault="00656317" w:rsidP="004707AA"/>
    <w:p w:rsidR="004707AA" w:rsidRPr="007B5902" w:rsidRDefault="004707AA" w:rsidP="004707AA">
      <w:pPr>
        <w:jc w:val="both"/>
      </w:pPr>
      <w:r w:rsidRPr="007B5902">
        <w:rPr>
          <w:b/>
          <w:bCs/>
        </w:rPr>
        <w:t>Institutional Programs</w:t>
      </w:r>
      <w:r w:rsidRPr="007B5902">
        <w:t xml:space="preserve">  </w:t>
      </w:r>
    </w:p>
    <w:p w:rsidR="004707AA" w:rsidRPr="007B5902" w:rsidRDefault="004707AA" w:rsidP="004707AA">
      <w:r w:rsidRPr="007B5902">
        <w:t xml:space="preserve">In 2015-2016 Michigan allocated the maximum amount (10%) authorized by Section 225 to correctional education. Twenty nine county jails and state correctional facilities received $1,020,783. MDOC is the only state agency that operated state correctional facilities. Other eligible institutions include reformatories, work farms, detention centers, halfway houses, boot camps, and similar institutions designed for the confinement or rehabilitation of criminal offenders. </w:t>
      </w:r>
    </w:p>
    <w:p w:rsidR="004707AA" w:rsidRPr="007B5902" w:rsidRDefault="004707AA" w:rsidP="004707AA">
      <w:pPr>
        <w:jc w:val="both"/>
        <w:rPr>
          <w:bCs/>
          <w:u w:val="single"/>
        </w:rPr>
      </w:pPr>
    </w:p>
    <w:p w:rsidR="00CC019B" w:rsidRPr="007B5902" w:rsidRDefault="00CC019B" w:rsidP="00CC019B">
      <w:r w:rsidRPr="007B5902">
        <w:t>The MDOC Offender Education Tracking System (OETS) reported 6,149 passed GED subtests during the program year. Of this number 8,221 were enrolled in MAERS and 1,612 inmates obtained GED certificates in 2015-2016.</w:t>
      </w:r>
    </w:p>
    <w:p w:rsidR="004A5B8A" w:rsidRPr="007B5902" w:rsidRDefault="004A5B8A" w:rsidP="00FF4F46">
      <w:pPr>
        <w:autoSpaceDE w:val="0"/>
        <w:autoSpaceDN w:val="0"/>
        <w:adjustRightInd w:val="0"/>
      </w:pPr>
    </w:p>
    <w:sectPr w:rsidR="004A5B8A" w:rsidRPr="007B5902">
      <w:headerReference w:type="default" r:id="rId9"/>
      <w:footerReference w:type="even" r:id="rId10"/>
      <w:footerReference w:type="default" r:id="rId1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DD6" w:rsidRDefault="002D0DD6">
      <w:r>
        <w:separator/>
      </w:r>
    </w:p>
  </w:endnote>
  <w:endnote w:type="continuationSeparator" w:id="0">
    <w:p w:rsidR="002D0DD6" w:rsidRDefault="002D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23D" w:rsidRDefault="00D96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1E6">
      <w:rPr>
        <w:rStyle w:val="PageNumber"/>
        <w:noProof/>
      </w:rPr>
      <w:t>11</w:t>
    </w:r>
    <w:r>
      <w:rPr>
        <w:rStyle w:val="PageNumber"/>
      </w:rPr>
      <w:fldChar w:fldCharType="end"/>
    </w:r>
  </w:p>
  <w:p w:rsidR="00D9623D" w:rsidRDefault="00D962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23D" w:rsidRDefault="00D96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7C6">
      <w:rPr>
        <w:rStyle w:val="PageNumber"/>
        <w:noProof/>
      </w:rPr>
      <w:t>11</w:t>
    </w:r>
    <w:r>
      <w:rPr>
        <w:rStyle w:val="PageNumber"/>
      </w:rPr>
      <w:fldChar w:fldCharType="end"/>
    </w:r>
  </w:p>
  <w:p w:rsidR="00D9623D" w:rsidRDefault="00D962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DD6" w:rsidRDefault="002D0DD6">
      <w:r>
        <w:separator/>
      </w:r>
    </w:p>
  </w:footnote>
  <w:footnote w:type="continuationSeparator" w:id="0">
    <w:p w:rsidR="002D0DD6" w:rsidRDefault="002D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23D" w:rsidRDefault="00D9623D">
    <w:pPr>
      <w:pStyle w:val="Header"/>
      <w:jc w:val="center"/>
      <w:rPr>
        <w:b/>
        <w:bCs/>
      </w:rPr>
    </w:pPr>
    <w:r>
      <w:rPr>
        <w:b/>
        <w:bCs/>
      </w:rPr>
      <w:t>MICHIGAN NARRATIVE REPORT 2015-2016</w:t>
    </w:r>
  </w:p>
  <w:p w:rsidR="00D9623D" w:rsidRDefault="00D9623D">
    <w:pPr>
      <w:pStyle w:val="Header"/>
      <w:jc w:val="center"/>
      <w:rPr>
        <w:b/>
        <w:bCs/>
      </w:rPr>
    </w:pPr>
    <w:r>
      <w:rPr>
        <w:b/>
        <w:bCs/>
      </w:rPr>
      <w:t>2015-2016 Trend Data</w:t>
    </w:r>
  </w:p>
  <w:p w:rsidR="00D9623D" w:rsidRDefault="00D962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868"/>
    <w:multiLevelType w:val="hybridMultilevel"/>
    <w:tmpl w:val="ED162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A15D5"/>
    <w:multiLevelType w:val="hybridMultilevel"/>
    <w:tmpl w:val="2995EB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D2D3816"/>
    <w:multiLevelType w:val="hybridMultilevel"/>
    <w:tmpl w:val="A24483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871D5"/>
    <w:multiLevelType w:val="hybridMultilevel"/>
    <w:tmpl w:val="D35030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111A10"/>
    <w:multiLevelType w:val="hybridMultilevel"/>
    <w:tmpl w:val="A8485BB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34DAB"/>
    <w:multiLevelType w:val="hybridMultilevel"/>
    <w:tmpl w:val="AB36D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574C7"/>
    <w:multiLevelType w:val="hybridMultilevel"/>
    <w:tmpl w:val="83F84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E438A"/>
    <w:multiLevelType w:val="hybridMultilevel"/>
    <w:tmpl w:val="4C3E59FE"/>
    <w:lvl w:ilvl="0" w:tplc="F182A66E">
      <w:start w:val="1"/>
      <w:numFmt w:val="decimal"/>
      <w:lvlText w:val="%1."/>
      <w:lvlJc w:val="left"/>
      <w:pPr>
        <w:ind w:left="81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9D4907"/>
    <w:multiLevelType w:val="hybridMultilevel"/>
    <w:tmpl w:val="9A4E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C7A4E"/>
    <w:multiLevelType w:val="hybridMultilevel"/>
    <w:tmpl w:val="CAB4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14C86"/>
    <w:multiLevelType w:val="hybridMultilevel"/>
    <w:tmpl w:val="F1EA29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7B313E"/>
    <w:multiLevelType w:val="hybridMultilevel"/>
    <w:tmpl w:val="B60EE9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D038BD"/>
    <w:multiLevelType w:val="hybridMultilevel"/>
    <w:tmpl w:val="14EAADF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74A644DC"/>
    <w:multiLevelType w:val="hybridMultilevel"/>
    <w:tmpl w:val="BF9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53969"/>
    <w:multiLevelType w:val="hybridMultilevel"/>
    <w:tmpl w:val="5C76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100296"/>
    <w:multiLevelType w:val="hybridMultilevel"/>
    <w:tmpl w:val="B0FAD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B92EF5"/>
    <w:multiLevelType w:val="hybridMultilevel"/>
    <w:tmpl w:val="5BA41C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5"/>
  </w:num>
  <w:num w:numId="3">
    <w:abstractNumId w:val="3"/>
  </w:num>
  <w:num w:numId="4">
    <w:abstractNumId w:val="1"/>
  </w:num>
  <w:num w:numId="5">
    <w:abstractNumId w:val="2"/>
  </w:num>
  <w:num w:numId="6">
    <w:abstractNumId w:val="6"/>
  </w:num>
  <w:num w:numId="7">
    <w:abstractNumId w:val="8"/>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4"/>
  </w:num>
  <w:num w:numId="13">
    <w:abstractNumId w:val="11"/>
  </w:num>
  <w:num w:numId="14">
    <w:abstractNumId w:val="10"/>
  </w:num>
  <w:num w:numId="15">
    <w:abstractNumId w:val="9"/>
  </w:num>
  <w:num w:numId="16">
    <w:abstractNumId w:val="15"/>
  </w:num>
  <w:num w:numId="17">
    <w:abstractNumId w:val="12"/>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6C"/>
    <w:rsid w:val="00001864"/>
    <w:rsid w:val="00002EC4"/>
    <w:rsid w:val="00003B82"/>
    <w:rsid w:val="00003F2E"/>
    <w:rsid w:val="00006644"/>
    <w:rsid w:val="00010292"/>
    <w:rsid w:val="00011C9D"/>
    <w:rsid w:val="00011CCC"/>
    <w:rsid w:val="00012F55"/>
    <w:rsid w:val="0001370D"/>
    <w:rsid w:val="00013A0A"/>
    <w:rsid w:val="00014ABD"/>
    <w:rsid w:val="00016752"/>
    <w:rsid w:val="000175F3"/>
    <w:rsid w:val="000204F5"/>
    <w:rsid w:val="000238E6"/>
    <w:rsid w:val="00026D90"/>
    <w:rsid w:val="000300C1"/>
    <w:rsid w:val="00030626"/>
    <w:rsid w:val="00031224"/>
    <w:rsid w:val="00031C08"/>
    <w:rsid w:val="000327E0"/>
    <w:rsid w:val="00033EF4"/>
    <w:rsid w:val="00034039"/>
    <w:rsid w:val="000341B1"/>
    <w:rsid w:val="000345C9"/>
    <w:rsid w:val="00035338"/>
    <w:rsid w:val="0003609D"/>
    <w:rsid w:val="0003687E"/>
    <w:rsid w:val="000368FC"/>
    <w:rsid w:val="00037E9D"/>
    <w:rsid w:val="00043946"/>
    <w:rsid w:val="00043EC8"/>
    <w:rsid w:val="00044E38"/>
    <w:rsid w:val="0004754D"/>
    <w:rsid w:val="000479DA"/>
    <w:rsid w:val="00050778"/>
    <w:rsid w:val="0005255E"/>
    <w:rsid w:val="0005272E"/>
    <w:rsid w:val="00053E75"/>
    <w:rsid w:val="000556B9"/>
    <w:rsid w:val="00055EAA"/>
    <w:rsid w:val="000561A1"/>
    <w:rsid w:val="00057E4E"/>
    <w:rsid w:val="00064C38"/>
    <w:rsid w:val="00065384"/>
    <w:rsid w:val="00071581"/>
    <w:rsid w:val="0007162B"/>
    <w:rsid w:val="000723BC"/>
    <w:rsid w:val="00072AAC"/>
    <w:rsid w:val="00072F9A"/>
    <w:rsid w:val="000740C3"/>
    <w:rsid w:val="0007491E"/>
    <w:rsid w:val="0007689D"/>
    <w:rsid w:val="00081DF6"/>
    <w:rsid w:val="00082686"/>
    <w:rsid w:val="00082E4D"/>
    <w:rsid w:val="00083211"/>
    <w:rsid w:val="00083505"/>
    <w:rsid w:val="000853D8"/>
    <w:rsid w:val="00085DC0"/>
    <w:rsid w:val="00087AD1"/>
    <w:rsid w:val="00090EB1"/>
    <w:rsid w:val="00091AF1"/>
    <w:rsid w:val="000924EB"/>
    <w:rsid w:val="00092881"/>
    <w:rsid w:val="0009563F"/>
    <w:rsid w:val="0009615D"/>
    <w:rsid w:val="000978AE"/>
    <w:rsid w:val="000A02F9"/>
    <w:rsid w:val="000A43A5"/>
    <w:rsid w:val="000A5038"/>
    <w:rsid w:val="000A544D"/>
    <w:rsid w:val="000B00F8"/>
    <w:rsid w:val="000B0727"/>
    <w:rsid w:val="000B1A0E"/>
    <w:rsid w:val="000B231A"/>
    <w:rsid w:val="000B2C98"/>
    <w:rsid w:val="000B3139"/>
    <w:rsid w:val="000B426B"/>
    <w:rsid w:val="000B5145"/>
    <w:rsid w:val="000B6BD9"/>
    <w:rsid w:val="000B77C3"/>
    <w:rsid w:val="000C1C45"/>
    <w:rsid w:val="000C3E53"/>
    <w:rsid w:val="000C5FFA"/>
    <w:rsid w:val="000C73C7"/>
    <w:rsid w:val="000C7FB8"/>
    <w:rsid w:val="000D3067"/>
    <w:rsid w:val="000D3421"/>
    <w:rsid w:val="000D3EF9"/>
    <w:rsid w:val="000D4248"/>
    <w:rsid w:val="000D79DE"/>
    <w:rsid w:val="000E0298"/>
    <w:rsid w:val="000E053B"/>
    <w:rsid w:val="000E1BA0"/>
    <w:rsid w:val="000E1E93"/>
    <w:rsid w:val="000E63A6"/>
    <w:rsid w:val="000E6643"/>
    <w:rsid w:val="000F084F"/>
    <w:rsid w:val="000F0A16"/>
    <w:rsid w:val="000F287E"/>
    <w:rsid w:val="000F2E71"/>
    <w:rsid w:val="000F3846"/>
    <w:rsid w:val="000F4849"/>
    <w:rsid w:val="000F7EAA"/>
    <w:rsid w:val="001015CD"/>
    <w:rsid w:val="001020BD"/>
    <w:rsid w:val="00104392"/>
    <w:rsid w:val="00104625"/>
    <w:rsid w:val="00104BB4"/>
    <w:rsid w:val="001066F4"/>
    <w:rsid w:val="00107BFD"/>
    <w:rsid w:val="00111E65"/>
    <w:rsid w:val="00114B52"/>
    <w:rsid w:val="00116D82"/>
    <w:rsid w:val="00117F2F"/>
    <w:rsid w:val="001242A9"/>
    <w:rsid w:val="0012595A"/>
    <w:rsid w:val="0012611D"/>
    <w:rsid w:val="0012636F"/>
    <w:rsid w:val="00130D0E"/>
    <w:rsid w:val="001323DB"/>
    <w:rsid w:val="00133750"/>
    <w:rsid w:val="00134A0B"/>
    <w:rsid w:val="001353B4"/>
    <w:rsid w:val="001362D1"/>
    <w:rsid w:val="0013758E"/>
    <w:rsid w:val="001401A2"/>
    <w:rsid w:val="00141D9F"/>
    <w:rsid w:val="001429AB"/>
    <w:rsid w:val="001450A9"/>
    <w:rsid w:val="00145B1F"/>
    <w:rsid w:val="00145BFE"/>
    <w:rsid w:val="00152205"/>
    <w:rsid w:val="00155CD1"/>
    <w:rsid w:val="0015796D"/>
    <w:rsid w:val="00157D3F"/>
    <w:rsid w:val="00160DFD"/>
    <w:rsid w:val="00164D98"/>
    <w:rsid w:val="00165A5D"/>
    <w:rsid w:val="00166AB9"/>
    <w:rsid w:val="0016783E"/>
    <w:rsid w:val="00167865"/>
    <w:rsid w:val="001714AA"/>
    <w:rsid w:val="00172211"/>
    <w:rsid w:val="00173210"/>
    <w:rsid w:val="0017619F"/>
    <w:rsid w:val="0018018C"/>
    <w:rsid w:val="00183DDB"/>
    <w:rsid w:val="001849E4"/>
    <w:rsid w:val="001903D3"/>
    <w:rsid w:val="001918D7"/>
    <w:rsid w:val="00191E5A"/>
    <w:rsid w:val="0019503C"/>
    <w:rsid w:val="00195292"/>
    <w:rsid w:val="00195D20"/>
    <w:rsid w:val="00197DF4"/>
    <w:rsid w:val="001A1AAF"/>
    <w:rsid w:val="001A5316"/>
    <w:rsid w:val="001A7E4E"/>
    <w:rsid w:val="001B3DEA"/>
    <w:rsid w:val="001B3E45"/>
    <w:rsid w:val="001B58A9"/>
    <w:rsid w:val="001B672C"/>
    <w:rsid w:val="001B6854"/>
    <w:rsid w:val="001B78BB"/>
    <w:rsid w:val="001C069E"/>
    <w:rsid w:val="001C1F50"/>
    <w:rsid w:val="001C31C0"/>
    <w:rsid w:val="001C3348"/>
    <w:rsid w:val="001C410F"/>
    <w:rsid w:val="001C602D"/>
    <w:rsid w:val="001C66AB"/>
    <w:rsid w:val="001C681E"/>
    <w:rsid w:val="001C6D95"/>
    <w:rsid w:val="001C7402"/>
    <w:rsid w:val="001D085C"/>
    <w:rsid w:val="001D0C32"/>
    <w:rsid w:val="001D140D"/>
    <w:rsid w:val="001D16F6"/>
    <w:rsid w:val="001D2BDD"/>
    <w:rsid w:val="001D2F97"/>
    <w:rsid w:val="001D4F35"/>
    <w:rsid w:val="001D5A6E"/>
    <w:rsid w:val="001D78FB"/>
    <w:rsid w:val="001D7C93"/>
    <w:rsid w:val="001E1849"/>
    <w:rsid w:val="001E1CA5"/>
    <w:rsid w:val="001E1ECB"/>
    <w:rsid w:val="001E2A34"/>
    <w:rsid w:val="001E3F30"/>
    <w:rsid w:val="001E4752"/>
    <w:rsid w:val="001E55EF"/>
    <w:rsid w:val="001E7108"/>
    <w:rsid w:val="001F0E9E"/>
    <w:rsid w:val="001F2C7C"/>
    <w:rsid w:val="001F5455"/>
    <w:rsid w:val="00200FA2"/>
    <w:rsid w:val="00202F81"/>
    <w:rsid w:val="00203105"/>
    <w:rsid w:val="00203A72"/>
    <w:rsid w:val="00206156"/>
    <w:rsid w:val="00207481"/>
    <w:rsid w:val="00211410"/>
    <w:rsid w:val="0021149B"/>
    <w:rsid w:val="00211806"/>
    <w:rsid w:val="00211DA4"/>
    <w:rsid w:val="002148D3"/>
    <w:rsid w:val="00217437"/>
    <w:rsid w:val="00217461"/>
    <w:rsid w:val="002207B4"/>
    <w:rsid w:val="00220D27"/>
    <w:rsid w:val="002222BD"/>
    <w:rsid w:val="00222562"/>
    <w:rsid w:val="00223E4D"/>
    <w:rsid w:val="00224E25"/>
    <w:rsid w:val="0023072D"/>
    <w:rsid w:val="002316DD"/>
    <w:rsid w:val="0023270F"/>
    <w:rsid w:val="00232855"/>
    <w:rsid w:val="00233EFA"/>
    <w:rsid w:val="00236F77"/>
    <w:rsid w:val="00237F79"/>
    <w:rsid w:val="00240353"/>
    <w:rsid w:val="00240810"/>
    <w:rsid w:val="002415A3"/>
    <w:rsid w:val="00241755"/>
    <w:rsid w:val="00242567"/>
    <w:rsid w:val="00242CBD"/>
    <w:rsid w:val="00242F47"/>
    <w:rsid w:val="00243A10"/>
    <w:rsid w:val="00247CDB"/>
    <w:rsid w:val="00253396"/>
    <w:rsid w:val="002537E9"/>
    <w:rsid w:val="00254FD9"/>
    <w:rsid w:val="0026176F"/>
    <w:rsid w:val="00262278"/>
    <w:rsid w:val="00262D76"/>
    <w:rsid w:val="00263316"/>
    <w:rsid w:val="002638A6"/>
    <w:rsid w:val="00263C29"/>
    <w:rsid w:val="00264157"/>
    <w:rsid w:val="00267609"/>
    <w:rsid w:val="002702F1"/>
    <w:rsid w:val="0027470B"/>
    <w:rsid w:val="002752B7"/>
    <w:rsid w:val="00275A26"/>
    <w:rsid w:val="0027649F"/>
    <w:rsid w:val="00282ABC"/>
    <w:rsid w:val="00283EDE"/>
    <w:rsid w:val="0028610C"/>
    <w:rsid w:val="002911D7"/>
    <w:rsid w:val="00292B07"/>
    <w:rsid w:val="00292BA8"/>
    <w:rsid w:val="00293D88"/>
    <w:rsid w:val="00293E73"/>
    <w:rsid w:val="00294D15"/>
    <w:rsid w:val="00294E4B"/>
    <w:rsid w:val="00295F65"/>
    <w:rsid w:val="00297452"/>
    <w:rsid w:val="002A08B2"/>
    <w:rsid w:val="002A1825"/>
    <w:rsid w:val="002A1A3A"/>
    <w:rsid w:val="002A36F1"/>
    <w:rsid w:val="002A4878"/>
    <w:rsid w:val="002B00DC"/>
    <w:rsid w:val="002B3A42"/>
    <w:rsid w:val="002B3BDE"/>
    <w:rsid w:val="002B48B0"/>
    <w:rsid w:val="002B5E97"/>
    <w:rsid w:val="002B6027"/>
    <w:rsid w:val="002B69EE"/>
    <w:rsid w:val="002C2AAB"/>
    <w:rsid w:val="002C3B70"/>
    <w:rsid w:val="002C3FD4"/>
    <w:rsid w:val="002C4000"/>
    <w:rsid w:val="002C5B89"/>
    <w:rsid w:val="002D0DD6"/>
    <w:rsid w:val="002D1BDC"/>
    <w:rsid w:val="002D2CEF"/>
    <w:rsid w:val="002D2D2C"/>
    <w:rsid w:val="002D2F06"/>
    <w:rsid w:val="002D67D3"/>
    <w:rsid w:val="002E23AB"/>
    <w:rsid w:val="002E405D"/>
    <w:rsid w:val="002E617F"/>
    <w:rsid w:val="002E6AD5"/>
    <w:rsid w:val="002E746F"/>
    <w:rsid w:val="002F1572"/>
    <w:rsid w:val="002F2E55"/>
    <w:rsid w:val="002F3C5E"/>
    <w:rsid w:val="002F5E82"/>
    <w:rsid w:val="00301D4B"/>
    <w:rsid w:val="003053BB"/>
    <w:rsid w:val="00307612"/>
    <w:rsid w:val="003103CD"/>
    <w:rsid w:val="0031065F"/>
    <w:rsid w:val="0031095C"/>
    <w:rsid w:val="00310C99"/>
    <w:rsid w:val="00311A2C"/>
    <w:rsid w:val="00311FDA"/>
    <w:rsid w:val="003126AD"/>
    <w:rsid w:val="003129E5"/>
    <w:rsid w:val="003208E2"/>
    <w:rsid w:val="00324516"/>
    <w:rsid w:val="003249B4"/>
    <w:rsid w:val="00324D53"/>
    <w:rsid w:val="003317D3"/>
    <w:rsid w:val="00333729"/>
    <w:rsid w:val="00333D33"/>
    <w:rsid w:val="00334128"/>
    <w:rsid w:val="00336695"/>
    <w:rsid w:val="003413E8"/>
    <w:rsid w:val="00341CD1"/>
    <w:rsid w:val="00342C0B"/>
    <w:rsid w:val="00342E80"/>
    <w:rsid w:val="00343C04"/>
    <w:rsid w:val="00343F6D"/>
    <w:rsid w:val="003443C2"/>
    <w:rsid w:val="00344FDD"/>
    <w:rsid w:val="003478BC"/>
    <w:rsid w:val="00350524"/>
    <w:rsid w:val="0035227C"/>
    <w:rsid w:val="00354298"/>
    <w:rsid w:val="0035562E"/>
    <w:rsid w:val="003564B4"/>
    <w:rsid w:val="00357248"/>
    <w:rsid w:val="0036020D"/>
    <w:rsid w:val="00360DE3"/>
    <w:rsid w:val="00364720"/>
    <w:rsid w:val="003658A9"/>
    <w:rsid w:val="00367D25"/>
    <w:rsid w:val="00372D67"/>
    <w:rsid w:val="00372FAF"/>
    <w:rsid w:val="00373785"/>
    <w:rsid w:val="00375A46"/>
    <w:rsid w:val="00382143"/>
    <w:rsid w:val="00387AE1"/>
    <w:rsid w:val="00390B24"/>
    <w:rsid w:val="00391B14"/>
    <w:rsid w:val="00391BD3"/>
    <w:rsid w:val="00393DD7"/>
    <w:rsid w:val="003970C9"/>
    <w:rsid w:val="00397B71"/>
    <w:rsid w:val="003A3C4E"/>
    <w:rsid w:val="003A45A0"/>
    <w:rsid w:val="003A6B21"/>
    <w:rsid w:val="003B0982"/>
    <w:rsid w:val="003B0D93"/>
    <w:rsid w:val="003B226C"/>
    <w:rsid w:val="003B5C7E"/>
    <w:rsid w:val="003B65A5"/>
    <w:rsid w:val="003B6B2B"/>
    <w:rsid w:val="003B7292"/>
    <w:rsid w:val="003C2FA0"/>
    <w:rsid w:val="003C38A2"/>
    <w:rsid w:val="003C6022"/>
    <w:rsid w:val="003C6A69"/>
    <w:rsid w:val="003D0741"/>
    <w:rsid w:val="003D109D"/>
    <w:rsid w:val="003D1D6A"/>
    <w:rsid w:val="003D2C40"/>
    <w:rsid w:val="003D4D3B"/>
    <w:rsid w:val="003D71E6"/>
    <w:rsid w:val="003D7412"/>
    <w:rsid w:val="003D7554"/>
    <w:rsid w:val="003D7725"/>
    <w:rsid w:val="003D7BF3"/>
    <w:rsid w:val="003E0085"/>
    <w:rsid w:val="003E3418"/>
    <w:rsid w:val="003E4A6A"/>
    <w:rsid w:val="003E50AC"/>
    <w:rsid w:val="003E538C"/>
    <w:rsid w:val="003E65EE"/>
    <w:rsid w:val="003F1EF2"/>
    <w:rsid w:val="003F257E"/>
    <w:rsid w:val="003F38D6"/>
    <w:rsid w:val="003F5C76"/>
    <w:rsid w:val="004020FA"/>
    <w:rsid w:val="00403C38"/>
    <w:rsid w:val="004058A1"/>
    <w:rsid w:val="00410838"/>
    <w:rsid w:val="004110C8"/>
    <w:rsid w:val="00412654"/>
    <w:rsid w:val="00414A4E"/>
    <w:rsid w:val="00415455"/>
    <w:rsid w:val="0041798E"/>
    <w:rsid w:val="00420297"/>
    <w:rsid w:val="004224AC"/>
    <w:rsid w:val="004243FC"/>
    <w:rsid w:val="00427528"/>
    <w:rsid w:val="00430F63"/>
    <w:rsid w:val="00431612"/>
    <w:rsid w:val="00434BCB"/>
    <w:rsid w:val="00434D8E"/>
    <w:rsid w:val="004355F1"/>
    <w:rsid w:val="004356AC"/>
    <w:rsid w:val="00440B7C"/>
    <w:rsid w:val="0044219A"/>
    <w:rsid w:val="004439E8"/>
    <w:rsid w:val="004456D0"/>
    <w:rsid w:val="00445777"/>
    <w:rsid w:val="00452A91"/>
    <w:rsid w:val="00452CF3"/>
    <w:rsid w:val="00453751"/>
    <w:rsid w:val="00453F07"/>
    <w:rsid w:val="00454561"/>
    <w:rsid w:val="00455CB2"/>
    <w:rsid w:val="00456E44"/>
    <w:rsid w:val="00457418"/>
    <w:rsid w:val="00460821"/>
    <w:rsid w:val="00460D2C"/>
    <w:rsid w:val="0046122F"/>
    <w:rsid w:val="00464F6E"/>
    <w:rsid w:val="00465BC3"/>
    <w:rsid w:val="004701DD"/>
    <w:rsid w:val="004707AA"/>
    <w:rsid w:val="004712F7"/>
    <w:rsid w:val="004717D6"/>
    <w:rsid w:val="00472F6E"/>
    <w:rsid w:val="00476796"/>
    <w:rsid w:val="00476FEA"/>
    <w:rsid w:val="00480C0A"/>
    <w:rsid w:val="00482C3B"/>
    <w:rsid w:val="0048356E"/>
    <w:rsid w:val="00483FA3"/>
    <w:rsid w:val="00484C7F"/>
    <w:rsid w:val="004864AD"/>
    <w:rsid w:val="004865A9"/>
    <w:rsid w:val="004868D1"/>
    <w:rsid w:val="00490112"/>
    <w:rsid w:val="004936F8"/>
    <w:rsid w:val="004952B0"/>
    <w:rsid w:val="00495485"/>
    <w:rsid w:val="00496BC0"/>
    <w:rsid w:val="004A0BD8"/>
    <w:rsid w:val="004A18DD"/>
    <w:rsid w:val="004A2BAB"/>
    <w:rsid w:val="004A30B1"/>
    <w:rsid w:val="004A3BD4"/>
    <w:rsid w:val="004A4275"/>
    <w:rsid w:val="004A5B8A"/>
    <w:rsid w:val="004B0067"/>
    <w:rsid w:val="004B06A7"/>
    <w:rsid w:val="004B18AC"/>
    <w:rsid w:val="004B399D"/>
    <w:rsid w:val="004B42D5"/>
    <w:rsid w:val="004B492E"/>
    <w:rsid w:val="004B5A50"/>
    <w:rsid w:val="004B6305"/>
    <w:rsid w:val="004B753F"/>
    <w:rsid w:val="004B7D4C"/>
    <w:rsid w:val="004C15D4"/>
    <w:rsid w:val="004C2D08"/>
    <w:rsid w:val="004C3F18"/>
    <w:rsid w:val="004C5A63"/>
    <w:rsid w:val="004C739C"/>
    <w:rsid w:val="004D0744"/>
    <w:rsid w:val="004D0869"/>
    <w:rsid w:val="004D26E1"/>
    <w:rsid w:val="004D5207"/>
    <w:rsid w:val="004E50CB"/>
    <w:rsid w:val="004E53E1"/>
    <w:rsid w:val="004E57A0"/>
    <w:rsid w:val="004F110D"/>
    <w:rsid w:val="004F23E3"/>
    <w:rsid w:val="004F550A"/>
    <w:rsid w:val="005013D5"/>
    <w:rsid w:val="005042E9"/>
    <w:rsid w:val="0050443C"/>
    <w:rsid w:val="00505A4A"/>
    <w:rsid w:val="00505A9C"/>
    <w:rsid w:val="0051491D"/>
    <w:rsid w:val="00514F5E"/>
    <w:rsid w:val="005151A6"/>
    <w:rsid w:val="00515BE2"/>
    <w:rsid w:val="005168E9"/>
    <w:rsid w:val="005173FB"/>
    <w:rsid w:val="005208DF"/>
    <w:rsid w:val="005211B8"/>
    <w:rsid w:val="005218DF"/>
    <w:rsid w:val="005222C6"/>
    <w:rsid w:val="00525984"/>
    <w:rsid w:val="00526B15"/>
    <w:rsid w:val="005300BD"/>
    <w:rsid w:val="00533651"/>
    <w:rsid w:val="00533709"/>
    <w:rsid w:val="0053733D"/>
    <w:rsid w:val="00537C13"/>
    <w:rsid w:val="00540D5D"/>
    <w:rsid w:val="0054219B"/>
    <w:rsid w:val="005435ED"/>
    <w:rsid w:val="00543656"/>
    <w:rsid w:val="00544405"/>
    <w:rsid w:val="00546459"/>
    <w:rsid w:val="00546514"/>
    <w:rsid w:val="0055043D"/>
    <w:rsid w:val="005507B6"/>
    <w:rsid w:val="00550F17"/>
    <w:rsid w:val="00554C56"/>
    <w:rsid w:val="00555A2F"/>
    <w:rsid w:val="00555C35"/>
    <w:rsid w:val="0056103D"/>
    <w:rsid w:val="0056185B"/>
    <w:rsid w:val="005620B5"/>
    <w:rsid w:val="00563EDC"/>
    <w:rsid w:val="00564C93"/>
    <w:rsid w:val="00566500"/>
    <w:rsid w:val="005670CA"/>
    <w:rsid w:val="00570E4F"/>
    <w:rsid w:val="005712A6"/>
    <w:rsid w:val="005729F6"/>
    <w:rsid w:val="00573310"/>
    <w:rsid w:val="00573468"/>
    <w:rsid w:val="00574434"/>
    <w:rsid w:val="00575550"/>
    <w:rsid w:val="00575A8E"/>
    <w:rsid w:val="00575E3E"/>
    <w:rsid w:val="00576D71"/>
    <w:rsid w:val="00577D7B"/>
    <w:rsid w:val="00577E65"/>
    <w:rsid w:val="005800F5"/>
    <w:rsid w:val="005805CA"/>
    <w:rsid w:val="0058087D"/>
    <w:rsid w:val="00583C25"/>
    <w:rsid w:val="005841B4"/>
    <w:rsid w:val="00585E63"/>
    <w:rsid w:val="00590E57"/>
    <w:rsid w:val="00591E27"/>
    <w:rsid w:val="00592DA1"/>
    <w:rsid w:val="00593859"/>
    <w:rsid w:val="00594020"/>
    <w:rsid w:val="00594352"/>
    <w:rsid w:val="00596CB1"/>
    <w:rsid w:val="005974C1"/>
    <w:rsid w:val="005A065F"/>
    <w:rsid w:val="005A0F80"/>
    <w:rsid w:val="005A17C6"/>
    <w:rsid w:val="005A2DC8"/>
    <w:rsid w:val="005A55E3"/>
    <w:rsid w:val="005A778B"/>
    <w:rsid w:val="005A7AB7"/>
    <w:rsid w:val="005B07CB"/>
    <w:rsid w:val="005B13EB"/>
    <w:rsid w:val="005B275F"/>
    <w:rsid w:val="005B5504"/>
    <w:rsid w:val="005B5DFE"/>
    <w:rsid w:val="005B7BFD"/>
    <w:rsid w:val="005C0B8C"/>
    <w:rsid w:val="005C268F"/>
    <w:rsid w:val="005C3F89"/>
    <w:rsid w:val="005C456C"/>
    <w:rsid w:val="005C58E4"/>
    <w:rsid w:val="005C689B"/>
    <w:rsid w:val="005C6B31"/>
    <w:rsid w:val="005C72E1"/>
    <w:rsid w:val="005D1532"/>
    <w:rsid w:val="005D3D66"/>
    <w:rsid w:val="005D3E03"/>
    <w:rsid w:val="005D419D"/>
    <w:rsid w:val="005D70E8"/>
    <w:rsid w:val="005D787A"/>
    <w:rsid w:val="005D7B52"/>
    <w:rsid w:val="005E4BCC"/>
    <w:rsid w:val="005F3892"/>
    <w:rsid w:val="005F465B"/>
    <w:rsid w:val="005F491E"/>
    <w:rsid w:val="005F4927"/>
    <w:rsid w:val="005F4E1C"/>
    <w:rsid w:val="005F5676"/>
    <w:rsid w:val="005F598A"/>
    <w:rsid w:val="00600355"/>
    <w:rsid w:val="006003FD"/>
    <w:rsid w:val="006018A8"/>
    <w:rsid w:val="00605448"/>
    <w:rsid w:val="0060554A"/>
    <w:rsid w:val="006065ED"/>
    <w:rsid w:val="0061010B"/>
    <w:rsid w:val="0061195F"/>
    <w:rsid w:val="00612437"/>
    <w:rsid w:val="006146A7"/>
    <w:rsid w:val="0061494C"/>
    <w:rsid w:val="00616917"/>
    <w:rsid w:val="00620571"/>
    <w:rsid w:val="0062552E"/>
    <w:rsid w:val="0062575F"/>
    <w:rsid w:val="00625994"/>
    <w:rsid w:val="00627876"/>
    <w:rsid w:val="00633DA3"/>
    <w:rsid w:val="00635D3A"/>
    <w:rsid w:val="006376DF"/>
    <w:rsid w:val="00640103"/>
    <w:rsid w:val="00641E3C"/>
    <w:rsid w:val="006449F6"/>
    <w:rsid w:val="00645010"/>
    <w:rsid w:val="00645343"/>
    <w:rsid w:val="00646B19"/>
    <w:rsid w:val="0065055A"/>
    <w:rsid w:val="00654FC4"/>
    <w:rsid w:val="00655A17"/>
    <w:rsid w:val="00655FB5"/>
    <w:rsid w:val="00656317"/>
    <w:rsid w:val="0065667B"/>
    <w:rsid w:val="00665AF4"/>
    <w:rsid w:val="00666498"/>
    <w:rsid w:val="00670264"/>
    <w:rsid w:val="00670EDC"/>
    <w:rsid w:val="00672236"/>
    <w:rsid w:val="00673762"/>
    <w:rsid w:val="00673BFD"/>
    <w:rsid w:val="0067461A"/>
    <w:rsid w:val="00676E25"/>
    <w:rsid w:val="00677393"/>
    <w:rsid w:val="006828E9"/>
    <w:rsid w:val="006831EA"/>
    <w:rsid w:val="00683A91"/>
    <w:rsid w:val="00685E24"/>
    <w:rsid w:val="0068672B"/>
    <w:rsid w:val="0068758F"/>
    <w:rsid w:val="00687818"/>
    <w:rsid w:val="00690D00"/>
    <w:rsid w:val="0069133E"/>
    <w:rsid w:val="00691842"/>
    <w:rsid w:val="00691FF1"/>
    <w:rsid w:val="00692F14"/>
    <w:rsid w:val="00692F3D"/>
    <w:rsid w:val="00694568"/>
    <w:rsid w:val="006959AC"/>
    <w:rsid w:val="00695EC3"/>
    <w:rsid w:val="0069600E"/>
    <w:rsid w:val="006967BA"/>
    <w:rsid w:val="006A0016"/>
    <w:rsid w:val="006A12C7"/>
    <w:rsid w:val="006A3A2B"/>
    <w:rsid w:val="006A6AF5"/>
    <w:rsid w:val="006A6D4B"/>
    <w:rsid w:val="006A759F"/>
    <w:rsid w:val="006A7956"/>
    <w:rsid w:val="006B006C"/>
    <w:rsid w:val="006B1963"/>
    <w:rsid w:val="006B7C76"/>
    <w:rsid w:val="006C115C"/>
    <w:rsid w:val="006C2763"/>
    <w:rsid w:val="006C2CEF"/>
    <w:rsid w:val="006C4E61"/>
    <w:rsid w:val="006C5970"/>
    <w:rsid w:val="006C6FCB"/>
    <w:rsid w:val="006D1444"/>
    <w:rsid w:val="006D159C"/>
    <w:rsid w:val="006D1693"/>
    <w:rsid w:val="006D4452"/>
    <w:rsid w:val="006D7299"/>
    <w:rsid w:val="006E3767"/>
    <w:rsid w:val="006E4F1B"/>
    <w:rsid w:val="006E55B1"/>
    <w:rsid w:val="006E59FF"/>
    <w:rsid w:val="006E6005"/>
    <w:rsid w:val="006E62D1"/>
    <w:rsid w:val="006F0DC7"/>
    <w:rsid w:val="006F168C"/>
    <w:rsid w:val="006F18ED"/>
    <w:rsid w:val="006F23FB"/>
    <w:rsid w:val="006F2E29"/>
    <w:rsid w:val="006F6507"/>
    <w:rsid w:val="006F6F37"/>
    <w:rsid w:val="00700429"/>
    <w:rsid w:val="00700630"/>
    <w:rsid w:val="00700C95"/>
    <w:rsid w:val="007015C5"/>
    <w:rsid w:val="00706A9F"/>
    <w:rsid w:val="00707BD0"/>
    <w:rsid w:val="007113D4"/>
    <w:rsid w:val="00711C3E"/>
    <w:rsid w:val="0071223D"/>
    <w:rsid w:val="00712632"/>
    <w:rsid w:val="00712D38"/>
    <w:rsid w:val="007130C6"/>
    <w:rsid w:val="007146EB"/>
    <w:rsid w:val="007174D2"/>
    <w:rsid w:val="0071754F"/>
    <w:rsid w:val="007259ED"/>
    <w:rsid w:val="0073092D"/>
    <w:rsid w:val="007326B1"/>
    <w:rsid w:val="00734698"/>
    <w:rsid w:val="00735774"/>
    <w:rsid w:val="00736370"/>
    <w:rsid w:val="00737D75"/>
    <w:rsid w:val="00740DCD"/>
    <w:rsid w:val="007426F2"/>
    <w:rsid w:val="007429F5"/>
    <w:rsid w:val="007444FB"/>
    <w:rsid w:val="00744762"/>
    <w:rsid w:val="00746F02"/>
    <w:rsid w:val="00747D6A"/>
    <w:rsid w:val="00750A19"/>
    <w:rsid w:val="0075160F"/>
    <w:rsid w:val="00752477"/>
    <w:rsid w:val="00755ACE"/>
    <w:rsid w:val="00757313"/>
    <w:rsid w:val="0076176B"/>
    <w:rsid w:val="00762090"/>
    <w:rsid w:val="00763BA8"/>
    <w:rsid w:val="007656A5"/>
    <w:rsid w:val="007659B2"/>
    <w:rsid w:val="00765FAB"/>
    <w:rsid w:val="007666F3"/>
    <w:rsid w:val="00767E04"/>
    <w:rsid w:val="00770BE9"/>
    <w:rsid w:val="00771B56"/>
    <w:rsid w:val="00772646"/>
    <w:rsid w:val="007740D3"/>
    <w:rsid w:val="00781AEF"/>
    <w:rsid w:val="007846AD"/>
    <w:rsid w:val="00784B64"/>
    <w:rsid w:val="007873BA"/>
    <w:rsid w:val="007876B1"/>
    <w:rsid w:val="00787A47"/>
    <w:rsid w:val="00790A8C"/>
    <w:rsid w:val="007912BB"/>
    <w:rsid w:val="007913FC"/>
    <w:rsid w:val="00794BBA"/>
    <w:rsid w:val="00796B98"/>
    <w:rsid w:val="007973BA"/>
    <w:rsid w:val="007A06CF"/>
    <w:rsid w:val="007A0968"/>
    <w:rsid w:val="007A0AA8"/>
    <w:rsid w:val="007A0C13"/>
    <w:rsid w:val="007A2EFA"/>
    <w:rsid w:val="007A3FEE"/>
    <w:rsid w:val="007A6846"/>
    <w:rsid w:val="007A6B89"/>
    <w:rsid w:val="007A77FF"/>
    <w:rsid w:val="007B0921"/>
    <w:rsid w:val="007B1AC9"/>
    <w:rsid w:val="007B3023"/>
    <w:rsid w:val="007B52FE"/>
    <w:rsid w:val="007B5902"/>
    <w:rsid w:val="007B5FC1"/>
    <w:rsid w:val="007B65BF"/>
    <w:rsid w:val="007C072D"/>
    <w:rsid w:val="007C1BD2"/>
    <w:rsid w:val="007C22E1"/>
    <w:rsid w:val="007C786D"/>
    <w:rsid w:val="007D20D7"/>
    <w:rsid w:val="007D3178"/>
    <w:rsid w:val="007E24FD"/>
    <w:rsid w:val="007E43D1"/>
    <w:rsid w:val="007E4558"/>
    <w:rsid w:val="007E48FB"/>
    <w:rsid w:val="007E6BB9"/>
    <w:rsid w:val="007F1A15"/>
    <w:rsid w:val="007F2CF2"/>
    <w:rsid w:val="007F4464"/>
    <w:rsid w:val="007F739F"/>
    <w:rsid w:val="008025E8"/>
    <w:rsid w:val="008026E7"/>
    <w:rsid w:val="00803836"/>
    <w:rsid w:val="00804960"/>
    <w:rsid w:val="008055C7"/>
    <w:rsid w:val="00805B29"/>
    <w:rsid w:val="00806AA2"/>
    <w:rsid w:val="00807B97"/>
    <w:rsid w:val="00811150"/>
    <w:rsid w:val="008218A4"/>
    <w:rsid w:val="00823E94"/>
    <w:rsid w:val="00824224"/>
    <w:rsid w:val="008256EA"/>
    <w:rsid w:val="008259D9"/>
    <w:rsid w:val="008267D6"/>
    <w:rsid w:val="008269CE"/>
    <w:rsid w:val="00826BF5"/>
    <w:rsid w:val="0082770F"/>
    <w:rsid w:val="00831F03"/>
    <w:rsid w:val="00833BDF"/>
    <w:rsid w:val="008359B8"/>
    <w:rsid w:val="00835D48"/>
    <w:rsid w:val="00835E91"/>
    <w:rsid w:val="008361B5"/>
    <w:rsid w:val="00837BE9"/>
    <w:rsid w:val="008408D5"/>
    <w:rsid w:val="008411B7"/>
    <w:rsid w:val="00842711"/>
    <w:rsid w:val="00842A29"/>
    <w:rsid w:val="00844E8C"/>
    <w:rsid w:val="008451BC"/>
    <w:rsid w:val="00845830"/>
    <w:rsid w:val="008460EE"/>
    <w:rsid w:val="00852231"/>
    <w:rsid w:val="00852AFD"/>
    <w:rsid w:val="008540C9"/>
    <w:rsid w:val="008577CE"/>
    <w:rsid w:val="00857FB1"/>
    <w:rsid w:val="0086093C"/>
    <w:rsid w:val="00860B9F"/>
    <w:rsid w:val="00862D91"/>
    <w:rsid w:val="0086470C"/>
    <w:rsid w:val="00865574"/>
    <w:rsid w:val="0086754E"/>
    <w:rsid w:val="008701E0"/>
    <w:rsid w:val="00870296"/>
    <w:rsid w:val="008726F9"/>
    <w:rsid w:val="00872B33"/>
    <w:rsid w:val="008732D1"/>
    <w:rsid w:val="00875E0A"/>
    <w:rsid w:val="00876731"/>
    <w:rsid w:val="0087738B"/>
    <w:rsid w:val="008802A2"/>
    <w:rsid w:val="008831A7"/>
    <w:rsid w:val="00883369"/>
    <w:rsid w:val="008835A0"/>
    <w:rsid w:val="00884DA1"/>
    <w:rsid w:val="00885FB5"/>
    <w:rsid w:val="00886B82"/>
    <w:rsid w:val="00886D64"/>
    <w:rsid w:val="0089071B"/>
    <w:rsid w:val="008915B2"/>
    <w:rsid w:val="00892135"/>
    <w:rsid w:val="0089355B"/>
    <w:rsid w:val="00893862"/>
    <w:rsid w:val="00894B8B"/>
    <w:rsid w:val="008957D2"/>
    <w:rsid w:val="00896435"/>
    <w:rsid w:val="00897DEA"/>
    <w:rsid w:val="008A11D0"/>
    <w:rsid w:val="008A2733"/>
    <w:rsid w:val="008A4073"/>
    <w:rsid w:val="008A44A2"/>
    <w:rsid w:val="008A6127"/>
    <w:rsid w:val="008B1245"/>
    <w:rsid w:val="008B3798"/>
    <w:rsid w:val="008B3B91"/>
    <w:rsid w:val="008B6C36"/>
    <w:rsid w:val="008C0077"/>
    <w:rsid w:val="008C1B75"/>
    <w:rsid w:val="008C1D69"/>
    <w:rsid w:val="008C24D1"/>
    <w:rsid w:val="008C2F9E"/>
    <w:rsid w:val="008C48FC"/>
    <w:rsid w:val="008D0F0F"/>
    <w:rsid w:val="008D1755"/>
    <w:rsid w:val="008D196B"/>
    <w:rsid w:val="008D2F57"/>
    <w:rsid w:val="008D3869"/>
    <w:rsid w:val="008D467F"/>
    <w:rsid w:val="008D62FC"/>
    <w:rsid w:val="008D6323"/>
    <w:rsid w:val="008D6A2D"/>
    <w:rsid w:val="008D7BC9"/>
    <w:rsid w:val="008E0AEE"/>
    <w:rsid w:val="008E1707"/>
    <w:rsid w:val="008E20A7"/>
    <w:rsid w:val="008E2822"/>
    <w:rsid w:val="008E4FA1"/>
    <w:rsid w:val="008E5E3C"/>
    <w:rsid w:val="008E674C"/>
    <w:rsid w:val="008F2CAC"/>
    <w:rsid w:val="008F631D"/>
    <w:rsid w:val="008F7317"/>
    <w:rsid w:val="009012EE"/>
    <w:rsid w:val="0090174E"/>
    <w:rsid w:val="0090258D"/>
    <w:rsid w:val="009030CC"/>
    <w:rsid w:val="0090351A"/>
    <w:rsid w:val="00905C1E"/>
    <w:rsid w:val="00906326"/>
    <w:rsid w:val="009105F3"/>
    <w:rsid w:val="009118B5"/>
    <w:rsid w:val="00911FB6"/>
    <w:rsid w:val="0091200F"/>
    <w:rsid w:val="00912332"/>
    <w:rsid w:val="009144D0"/>
    <w:rsid w:val="00917074"/>
    <w:rsid w:val="009174AF"/>
    <w:rsid w:val="00920C9C"/>
    <w:rsid w:val="00921484"/>
    <w:rsid w:val="00921726"/>
    <w:rsid w:val="00921874"/>
    <w:rsid w:val="00921BBC"/>
    <w:rsid w:val="00923F0B"/>
    <w:rsid w:val="00924697"/>
    <w:rsid w:val="00926641"/>
    <w:rsid w:val="009312A0"/>
    <w:rsid w:val="00932B5B"/>
    <w:rsid w:val="009349B8"/>
    <w:rsid w:val="00935141"/>
    <w:rsid w:val="009371D6"/>
    <w:rsid w:val="00937785"/>
    <w:rsid w:val="00942B19"/>
    <w:rsid w:val="00943A74"/>
    <w:rsid w:val="00947D8B"/>
    <w:rsid w:val="009500A8"/>
    <w:rsid w:val="00954942"/>
    <w:rsid w:val="00954CD5"/>
    <w:rsid w:val="009566B6"/>
    <w:rsid w:val="009568DB"/>
    <w:rsid w:val="0096132F"/>
    <w:rsid w:val="00961521"/>
    <w:rsid w:val="0096226C"/>
    <w:rsid w:val="009635EC"/>
    <w:rsid w:val="00965DBD"/>
    <w:rsid w:val="00966A2E"/>
    <w:rsid w:val="0097213B"/>
    <w:rsid w:val="00972812"/>
    <w:rsid w:val="00972A7F"/>
    <w:rsid w:val="00972B87"/>
    <w:rsid w:val="00973115"/>
    <w:rsid w:val="00973DA6"/>
    <w:rsid w:val="0097501C"/>
    <w:rsid w:val="00976465"/>
    <w:rsid w:val="00981247"/>
    <w:rsid w:val="00981F67"/>
    <w:rsid w:val="00984E5A"/>
    <w:rsid w:val="0098561C"/>
    <w:rsid w:val="00985B18"/>
    <w:rsid w:val="009908A1"/>
    <w:rsid w:val="00990937"/>
    <w:rsid w:val="00991A32"/>
    <w:rsid w:val="00992246"/>
    <w:rsid w:val="0099263C"/>
    <w:rsid w:val="009A0284"/>
    <w:rsid w:val="009A055C"/>
    <w:rsid w:val="009A2596"/>
    <w:rsid w:val="009A5D1D"/>
    <w:rsid w:val="009A5D95"/>
    <w:rsid w:val="009A6039"/>
    <w:rsid w:val="009B1ECB"/>
    <w:rsid w:val="009B24D4"/>
    <w:rsid w:val="009B351E"/>
    <w:rsid w:val="009B37DC"/>
    <w:rsid w:val="009B3BFF"/>
    <w:rsid w:val="009B3ED7"/>
    <w:rsid w:val="009B4322"/>
    <w:rsid w:val="009B43B6"/>
    <w:rsid w:val="009B7527"/>
    <w:rsid w:val="009C08E3"/>
    <w:rsid w:val="009C265E"/>
    <w:rsid w:val="009C337A"/>
    <w:rsid w:val="009C365D"/>
    <w:rsid w:val="009C3703"/>
    <w:rsid w:val="009C5678"/>
    <w:rsid w:val="009C67C4"/>
    <w:rsid w:val="009C6B13"/>
    <w:rsid w:val="009C6FF6"/>
    <w:rsid w:val="009D298D"/>
    <w:rsid w:val="009D4208"/>
    <w:rsid w:val="009D529D"/>
    <w:rsid w:val="009D755B"/>
    <w:rsid w:val="009E2D29"/>
    <w:rsid w:val="009E2D8B"/>
    <w:rsid w:val="009E5F17"/>
    <w:rsid w:val="009E6927"/>
    <w:rsid w:val="009F00FF"/>
    <w:rsid w:val="009F0922"/>
    <w:rsid w:val="009F0FA5"/>
    <w:rsid w:val="009F256E"/>
    <w:rsid w:val="009F2BA0"/>
    <w:rsid w:val="009F4B05"/>
    <w:rsid w:val="009F6FE5"/>
    <w:rsid w:val="00A00662"/>
    <w:rsid w:val="00A00773"/>
    <w:rsid w:val="00A0092F"/>
    <w:rsid w:val="00A00EAF"/>
    <w:rsid w:val="00A00EC0"/>
    <w:rsid w:val="00A01019"/>
    <w:rsid w:val="00A01066"/>
    <w:rsid w:val="00A0110C"/>
    <w:rsid w:val="00A0115F"/>
    <w:rsid w:val="00A01544"/>
    <w:rsid w:val="00A048CA"/>
    <w:rsid w:val="00A11841"/>
    <w:rsid w:val="00A119AB"/>
    <w:rsid w:val="00A1249D"/>
    <w:rsid w:val="00A125C5"/>
    <w:rsid w:val="00A17D2D"/>
    <w:rsid w:val="00A17FFE"/>
    <w:rsid w:val="00A21389"/>
    <w:rsid w:val="00A234E8"/>
    <w:rsid w:val="00A237F5"/>
    <w:rsid w:val="00A2397F"/>
    <w:rsid w:val="00A23E55"/>
    <w:rsid w:val="00A23F8B"/>
    <w:rsid w:val="00A31EE3"/>
    <w:rsid w:val="00A32277"/>
    <w:rsid w:val="00A32455"/>
    <w:rsid w:val="00A34E45"/>
    <w:rsid w:val="00A358F2"/>
    <w:rsid w:val="00A36609"/>
    <w:rsid w:val="00A3697D"/>
    <w:rsid w:val="00A36ECD"/>
    <w:rsid w:val="00A37011"/>
    <w:rsid w:val="00A37B8C"/>
    <w:rsid w:val="00A41103"/>
    <w:rsid w:val="00A42069"/>
    <w:rsid w:val="00A4229B"/>
    <w:rsid w:val="00A42B2D"/>
    <w:rsid w:val="00A4448D"/>
    <w:rsid w:val="00A444E1"/>
    <w:rsid w:val="00A469AE"/>
    <w:rsid w:val="00A46E42"/>
    <w:rsid w:val="00A525D7"/>
    <w:rsid w:val="00A536CE"/>
    <w:rsid w:val="00A552A3"/>
    <w:rsid w:val="00A56350"/>
    <w:rsid w:val="00A56C9A"/>
    <w:rsid w:val="00A57DB1"/>
    <w:rsid w:val="00A61379"/>
    <w:rsid w:val="00A629CA"/>
    <w:rsid w:val="00A62DBD"/>
    <w:rsid w:val="00A64CF6"/>
    <w:rsid w:val="00A65325"/>
    <w:rsid w:val="00A65AAD"/>
    <w:rsid w:val="00A75E48"/>
    <w:rsid w:val="00A75EDE"/>
    <w:rsid w:val="00A77704"/>
    <w:rsid w:val="00A77835"/>
    <w:rsid w:val="00A80664"/>
    <w:rsid w:val="00A81E38"/>
    <w:rsid w:val="00A83DA6"/>
    <w:rsid w:val="00A83E2F"/>
    <w:rsid w:val="00A90DA1"/>
    <w:rsid w:val="00A9156E"/>
    <w:rsid w:val="00A91598"/>
    <w:rsid w:val="00A91736"/>
    <w:rsid w:val="00A944A4"/>
    <w:rsid w:val="00A97067"/>
    <w:rsid w:val="00AA03F0"/>
    <w:rsid w:val="00AA29C8"/>
    <w:rsid w:val="00AA2FCB"/>
    <w:rsid w:val="00AA41A6"/>
    <w:rsid w:val="00AA42B2"/>
    <w:rsid w:val="00AA504B"/>
    <w:rsid w:val="00AA52FE"/>
    <w:rsid w:val="00AB09B7"/>
    <w:rsid w:val="00AB32D4"/>
    <w:rsid w:val="00AB50CF"/>
    <w:rsid w:val="00AB68B0"/>
    <w:rsid w:val="00AC0467"/>
    <w:rsid w:val="00AC078F"/>
    <w:rsid w:val="00AC25C2"/>
    <w:rsid w:val="00AC26A8"/>
    <w:rsid w:val="00AC3766"/>
    <w:rsid w:val="00AC3B98"/>
    <w:rsid w:val="00AC7281"/>
    <w:rsid w:val="00AD1078"/>
    <w:rsid w:val="00AD2264"/>
    <w:rsid w:val="00AD2ACD"/>
    <w:rsid w:val="00AD52DF"/>
    <w:rsid w:val="00AD57D0"/>
    <w:rsid w:val="00AD73B0"/>
    <w:rsid w:val="00AD74D5"/>
    <w:rsid w:val="00AD7A34"/>
    <w:rsid w:val="00AD7AE0"/>
    <w:rsid w:val="00AE1E63"/>
    <w:rsid w:val="00AE33F6"/>
    <w:rsid w:val="00AE3988"/>
    <w:rsid w:val="00AE3A1D"/>
    <w:rsid w:val="00AE441B"/>
    <w:rsid w:val="00AE4F92"/>
    <w:rsid w:val="00AE5691"/>
    <w:rsid w:val="00AE640A"/>
    <w:rsid w:val="00AF02B9"/>
    <w:rsid w:val="00AF7A87"/>
    <w:rsid w:val="00B0544D"/>
    <w:rsid w:val="00B0776D"/>
    <w:rsid w:val="00B14DF5"/>
    <w:rsid w:val="00B162B5"/>
    <w:rsid w:val="00B167FA"/>
    <w:rsid w:val="00B17420"/>
    <w:rsid w:val="00B21095"/>
    <w:rsid w:val="00B21D1B"/>
    <w:rsid w:val="00B23602"/>
    <w:rsid w:val="00B243EE"/>
    <w:rsid w:val="00B247F2"/>
    <w:rsid w:val="00B24C3C"/>
    <w:rsid w:val="00B26A08"/>
    <w:rsid w:val="00B26DA6"/>
    <w:rsid w:val="00B309CE"/>
    <w:rsid w:val="00B30C6F"/>
    <w:rsid w:val="00B31FDC"/>
    <w:rsid w:val="00B32362"/>
    <w:rsid w:val="00B32407"/>
    <w:rsid w:val="00B37039"/>
    <w:rsid w:val="00B42B8D"/>
    <w:rsid w:val="00B44132"/>
    <w:rsid w:val="00B4471E"/>
    <w:rsid w:val="00B52387"/>
    <w:rsid w:val="00B5285C"/>
    <w:rsid w:val="00B533F8"/>
    <w:rsid w:val="00B53A43"/>
    <w:rsid w:val="00B55610"/>
    <w:rsid w:val="00B5578C"/>
    <w:rsid w:val="00B55F2C"/>
    <w:rsid w:val="00B56CD5"/>
    <w:rsid w:val="00B60C76"/>
    <w:rsid w:val="00B61848"/>
    <w:rsid w:val="00B61E3E"/>
    <w:rsid w:val="00B642B4"/>
    <w:rsid w:val="00B64A5F"/>
    <w:rsid w:val="00B64C6A"/>
    <w:rsid w:val="00B65713"/>
    <w:rsid w:val="00B6741E"/>
    <w:rsid w:val="00B6794C"/>
    <w:rsid w:val="00B70B91"/>
    <w:rsid w:val="00B733F0"/>
    <w:rsid w:val="00B73CD6"/>
    <w:rsid w:val="00B76259"/>
    <w:rsid w:val="00B76DC9"/>
    <w:rsid w:val="00B81C01"/>
    <w:rsid w:val="00B82090"/>
    <w:rsid w:val="00B83A83"/>
    <w:rsid w:val="00B84D8C"/>
    <w:rsid w:val="00B900D8"/>
    <w:rsid w:val="00B90D7D"/>
    <w:rsid w:val="00B91B31"/>
    <w:rsid w:val="00B94B85"/>
    <w:rsid w:val="00B95A17"/>
    <w:rsid w:val="00B96A56"/>
    <w:rsid w:val="00BA36FC"/>
    <w:rsid w:val="00BA3DA1"/>
    <w:rsid w:val="00BA4364"/>
    <w:rsid w:val="00BA45C2"/>
    <w:rsid w:val="00BA470E"/>
    <w:rsid w:val="00BA5A25"/>
    <w:rsid w:val="00BA7843"/>
    <w:rsid w:val="00BB0274"/>
    <w:rsid w:val="00BB043B"/>
    <w:rsid w:val="00BB2974"/>
    <w:rsid w:val="00BB2EF4"/>
    <w:rsid w:val="00BB39BB"/>
    <w:rsid w:val="00BB4BB7"/>
    <w:rsid w:val="00BB62A2"/>
    <w:rsid w:val="00BB6728"/>
    <w:rsid w:val="00BB713C"/>
    <w:rsid w:val="00BB7E2A"/>
    <w:rsid w:val="00BC0658"/>
    <w:rsid w:val="00BC0C95"/>
    <w:rsid w:val="00BC453F"/>
    <w:rsid w:val="00BC5EC2"/>
    <w:rsid w:val="00BC6659"/>
    <w:rsid w:val="00BC69C3"/>
    <w:rsid w:val="00BD1A4D"/>
    <w:rsid w:val="00BD1DCA"/>
    <w:rsid w:val="00BD5DA9"/>
    <w:rsid w:val="00BD6243"/>
    <w:rsid w:val="00BD751C"/>
    <w:rsid w:val="00BE037F"/>
    <w:rsid w:val="00BE09CC"/>
    <w:rsid w:val="00BE216E"/>
    <w:rsid w:val="00BE532E"/>
    <w:rsid w:val="00BE578C"/>
    <w:rsid w:val="00BE756B"/>
    <w:rsid w:val="00BF278D"/>
    <w:rsid w:val="00C02337"/>
    <w:rsid w:val="00C038A8"/>
    <w:rsid w:val="00C04C91"/>
    <w:rsid w:val="00C11352"/>
    <w:rsid w:val="00C138B1"/>
    <w:rsid w:val="00C13D02"/>
    <w:rsid w:val="00C15FAD"/>
    <w:rsid w:val="00C21112"/>
    <w:rsid w:val="00C21F45"/>
    <w:rsid w:val="00C301C3"/>
    <w:rsid w:val="00C30F72"/>
    <w:rsid w:val="00C33FCB"/>
    <w:rsid w:val="00C35AA2"/>
    <w:rsid w:val="00C36C2F"/>
    <w:rsid w:val="00C43594"/>
    <w:rsid w:val="00C443D8"/>
    <w:rsid w:val="00C461FE"/>
    <w:rsid w:val="00C4639F"/>
    <w:rsid w:val="00C473CA"/>
    <w:rsid w:val="00C52EBB"/>
    <w:rsid w:val="00C576D4"/>
    <w:rsid w:val="00C60473"/>
    <w:rsid w:val="00C61BFE"/>
    <w:rsid w:val="00C64FF8"/>
    <w:rsid w:val="00C65667"/>
    <w:rsid w:val="00C65B30"/>
    <w:rsid w:val="00C662F3"/>
    <w:rsid w:val="00C670E3"/>
    <w:rsid w:val="00C729BE"/>
    <w:rsid w:val="00C75161"/>
    <w:rsid w:val="00C774DA"/>
    <w:rsid w:val="00C82A33"/>
    <w:rsid w:val="00C83BEE"/>
    <w:rsid w:val="00C84562"/>
    <w:rsid w:val="00C85E96"/>
    <w:rsid w:val="00C8632B"/>
    <w:rsid w:val="00C874E6"/>
    <w:rsid w:val="00C90F7A"/>
    <w:rsid w:val="00C93DC5"/>
    <w:rsid w:val="00C94803"/>
    <w:rsid w:val="00C96C3B"/>
    <w:rsid w:val="00C96C5B"/>
    <w:rsid w:val="00CA208F"/>
    <w:rsid w:val="00CA28F4"/>
    <w:rsid w:val="00CA5A5D"/>
    <w:rsid w:val="00CA5CB4"/>
    <w:rsid w:val="00CA7163"/>
    <w:rsid w:val="00CA7D35"/>
    <w:rsid w:val="00CB1725"/>
    <w:rsid w:val="00CB267E"/>
    <w:rsid w:val="00CB35F1"/>
    <w:rsid w:val="00CB4593"/>
    <w:rsid w:val="00CB5489"/>
    <w:rsid w:val="00CC019B"/>
    <w:rsid w:val="00CC2151"/>
    <w:rsid w:val="00CC235F"/>
    <w:rsid w:val="00CC2B28"/>
    <w:rsid w:val="00CC37F7"/>
    <w:rsid w:val="00CD1694"/>
    <w:rsid w:val="00CD3007"/>
    <w:rsid w:val="00CD31BB"/>
    <w:rsid w:val="00CD3484"/>
    <w:rsid w:val="00CD4E2D"/>
    <w:rsid w:val="00CD574D"/>
    <w:rsid w:val="00CD5766"/>
    <w:rsid w:val="00CD75CE"/>
    <w:rsid w:val="00CE0110"/>
    <w:rsid w:val="00CE0EAC"/>
    <w:rsid w:val="00CE27FA"/>
    <w:rsid w:val="00CE3369"/>
    <w:rsid w:val="00CE388E"/>
    <w:rsid w:val="00CE4E7D"/>
    <w:rsid w:val="00CE5990"/>
    <w:rsid w:val="00CF1E89"/>
    <w:rsid w:val="00CF3084"/>
    <w:rsid w:val="00CF3102"/>
    <w:rsid w:val="00CF7958"/>
    <w:rsid w:val="00CF7B96"/>
    <w:rsid w:val="00D01B4C"/>
    <w:rsid w:val="00D035F6"/>
    <w:rsid w:val="00D11254"/>
    <w:rsid w:val="00D11C26"/>
    <w:rsid w:val="00D11DCF"/>
    <w:rsid w:val="00D12835"/>
    <w:rsid w:val="00D12F90"/>
    <w:rsid w:val="00D1368E"/>
    <w:rsid w:val="00D14191"/>
    <w:rsid w:val="00D15C59"/>
    <w:rsid w:val="00D16840"/>
    <w:rsid w:val="00D1700E"/>
    <w:rsid w:val="00D17D65"/>
    <w:rsid w:val="00D24F71"/>
    <w:rsid w:val="00D27A72"/>
    <w:rsid w:val="00D324EB"/>
    <w:rsid w:val="00D341F4"/>
    <w:rsid w:val="00D37FCC"/>
    <w:rsid w:val="00D40069"/>
    <w:rsid w:val="00D40B83"/>
    <w:rsid w:val="00D4119E"/>
    <w:rsid w:val="00D42708"/>
    <w:rsid w:val="00D46A44"/>
    <w:rsid w:val="00D46B49"/>
    <w:rsid w:val="00D47333"/>
    <w:rsid w:val="00D4756C"/>
    <w:rsid w:val="00D47A19"/>
    <w:rsid w:val="00D47D1E"/>
    <w:rsid w:val="00D5134B"/>
    <w:rsid w:val="00D523C1"/>
    <w:rsid w:val="00D54261"/>
    <w:rsid w:val="00D54A1A"/>
    <w:rsid w:val="00D54C3B"/>
    <w:rsid w:val="00D60927"/>
    <w:rsid w:val="00D60B28"/>
    <w:rsid w:val="00D61276"/>
    <w:rsid w:val="00D63575"/>
    <w:rsid w:val="00D67031"/>
    <w:rsid w:val="00D67300"/>
    <w:rsid w:val="00D67C70"/>
    <w:rsid w:val="00D73C18"/>
    <w:rsid w:val="00D740CB"/>
    <w:rsid w:val="00D77354"/>
    <w:rsid w:val="00D7774C"/>
    <w:rsid w:val="00D777F8"/>
    <w:rsid w:val="00D80048"/>
    <w:rsid w:val="00D81CF9"/>
    <w:rsid w:val="00D84BB4"/>
    <w:rsid w:val="00D866FD"/>
    <w:rsid w:val="00D87F3B"/>
    <w:rsid w:val="00D909B7"/>
    <w:rsid w:val="00D918BD"/>
    <w:rsid w:val="00D92224"/>
    <w:rsid w:val="00D94086"/>
    <w:rsid w:val="00D94D09"/>
    <w:rsid w:val="00D94EAE"/>
    <w:rsid w:val="00D95451"/>
    <w:rsid w:val="00D9623D"/>
    <w:rsid w:val="00D96401"/>
    <w:rsid w:val="00D96C17"/>
    <w:rsid w:val="00DA26CA"/>
    <w:rsid w:val="00DA3336"/>
    <w:rsid w:val="00DA3804"/>
    <w:rsid w:val="00DA5CB3"/>
    <w:rsid w:val="00DA60BF"/>
    <w:rsid w:val="00DA627B"/>
    <w:rsid w:val="00DA795E"/>
    <w:rsid w:val="00DB097B"/>
    <w:rsid w:val="00DB2965"/>
    <w:rsid w:val="00DB3A39"/>
    <w:rsid w:val="00DB7067"/>
    <w:rsid w:val="00DC0B2A"/>
    <w:rsid w:val="00DC0D5D"/>
    <w:rsid w:val="00DC2849"/>
    <w:rsid w:val="00DC30F0"/>
    <w:rsid w:val="00DC5543"/>
    <w:rsid w:val="00DC7790"/>
    <w:rsid w:val="00DC7EE9"/>
    <w:rsid w:val="00DD0D14"/>
    <w:rsid w:val="00DD1939"/>
    <w:rsid w:val="00DD19AA"/>
    <w:rsid w:val="00DD2B34"/>
    <w:rsid w:val="00DD30E4"/>
    <w:rsid w:val="00DD458C"/>
    <w:rsid w:val="00DD47DB"/>
    <w:rsid w:val="00DD5EA2"/>
    <w:rsid w:val="00DD64BD"/>
    <w:rsid w:val="00DE55C8"/>
    <w:rsid w:val="00DE5E4A"/>
    <w:rsid w:val="00DE75A0"/>
    <w:rsid w:val="00DE7C4A"/>
    <w:rsid w:val="00DF161D"/>
    <w:rsid w:val="00DF2966"/>
    <w:rsid w:val="00DF595C"/>
    <w:rsid w:val="00DF6933"/>
    <w:rsid w:val="00E02C96"/>
    <w:rsid w:val="00E03A02"/>
    <w:rsid w:val="00E0701D"/>
    <w:rsid w:val="00E12126"/>
    <w:rsid w:val="00E122FF"/>
    <w:rsid w:val="00E13058"/>
    <w:rsid w:val="00E14E26"/>
    <w:rsid w:val="00E14EA1"/>
    <w:rsid w:val="00E15430"/>
    <w:rsid w:val="00E15E9C"/>
    <w:rsid w:val="00E16864"/>
    <w:rsid w:val="00E16CA8"/>
    <w:rsid w:val="00E22AFF"/>
    <w:rsid w:val="00E25799"/>
    <w:rsid w:val="00E278A7"/>
    <w:rsid w:val="00E30115"/>
    <w:rsid w:val="00E32299"/>
    <w:rsid w:val="00E329BB"/>
    <w:rsid w:val="00E33BC5"/>
    <w:rsid w:val="00E36959"/>
    <w:rsid w:val="00E43545"/>
    <w:rsid w:val="00E43891"/>
    <w:rsid w:val="00E44C18"/>
    <w:rsid w:val="00E46A54"/>
    <w:rsid w:val="00E4759C"/>
    <w:rsid w:val="00E479CF"/>
    <w:rsid w:val="00E505D6"/>
    <w:rsid w:val="00E508B6"/>
    <w:rsid w:val="00E524FA"/>
    <w:rsid w:val="00E54A82"/>
    <w:rsid w:val="00E5510F"/>
    <w:rsid w:val="00E61FD1"/>
    <w:rsid w:val="00E620CD"/>
    <w:rsid w:val="00E64B2B"/>
    <w:rsid w:val="00E662D7"/>
    <w:rsid w:val="00E66A8C"/>
    <w:rsid w:val="00E66FD2"/>
    <w:rsid w:val="00E676D0"/>
    <w:rsid w:val="00E67F8C"/>
    <w:rsid w:val="00E708A6"/>
    <w:rsid w:val="00E71280"/>
    <w:rsid w:val="00E714D4"/>
    <w:rsid w:val="00E7160B"/>
    <w:rsid w:val="00E71B62"/>
    <w:rsid w:val="00E72E21"/>
    <w:rsid w:val="00E73136"/>
    <w:rsid w:val="00E731DF"/>
    <w:rsid w:val="00E732E8"/>
    <w:rsid w:val="00E7339F"/>
    <w:rsid w:val="00E75563"/>
    <w:rsid w:val="00E75D1E"/>
    <w:rsid w:val="00E76FDA"/>
    <w:rsid w:val="00E82A3E"/>
    <w:rsid w:val="00E8491C"/>
    <w:rsid w:val="00E9007D"/>
    <w:rsid w:val="00E90E31"/>
    <w:rsid w:val="00E918FD"/>
    <w:rsid w:val="00E92730"/>
    <w:rsid w:val="00E94E82"/>
    <w:rsid w:val="00E95FB5"/>
    <w:rsid w:val="00E97F10"/>
    <w:rsid w:val="00EA124E"/>
    <w:rsid w:val="00EA1737"/>
    <w:rsid w:val="00EA1E82"/>
    <w:rsid w:val="00EA2390"/>
    <w:rsid w:val="00EA31A5"/>
    <w:rsid w:val="00EA51A2"/>
    <w:rsid w:val="00EA5994"/>
    <w:rsid w:val="00EA5C67"/>
    <w:rsid w:val="00EA601E"/>
    <w:rsid w:val="00EB0597"/>
    <w:rsid w:val="00EB0E66"/>
    <w:rsid w:val="00EB544D"/>
    <w:rsid w:val="00EB6993"/>
    <w:rsid w:val="00EC013A"/>
    <w:rsid w:val="00EC05F4"/>
    <w:rsid w:val="00EC1665"/>
    <w:rsid w:val="00EC21B6"/>
    <w:rsid w:val="00EC2720"/>
    <w:rsid w:val="00EC312E"/>
    <w:rsid w:val="00EC3A75"/>
    <w:rsid w:val="00EC4206"/>
    <w:rsid w:val="00EC4CF7"/>
    <w:rsid w:val="00EC700A"/>
    <w:rsid w:val="00EC77AB"/>
    <w:rsid w:val="00EC7BC6"/>
    <w:rsid w:val="00ED1CF5"/>
    <w:rsid w:val="00ED56EB"/>
    <w:rsid w:val="00ED6875"/>
    <w:rsid w:val="00EE03F3"/>
    <w:rsid w:val="00EE18D1"/>
    <w:rsid w:val="00EE1ED0"/>
    <w:rsid w:val="00EE2405"/>
    <w:rsid w:val="00EE28BA"/>
    <w:rsid w:val="00EE3218"/>
    <w:rsid w:val="00EE3C8B"/>
    <w:rsid w:val="00EE4AB0"/>
    <w:rsid w:val="00EE5473"/>
    <w:rsid w:val="00EF0FAE"/>
    <w:rsid w:val="00EF2336"/>
    <w:rsid w:val="00EF3AA4"/>
    <w:rsid w:val="00EF3F3E"/>
    <w:rsid w:val="00EF4971"/>
    <w:rsid w:val="00EF578C"/>
    <w:rsid w:val="00EF5A62"/>
    <w:rsid w:val="00F00E1F"/>
    <w:rsid w:val="00F0126F"/>
    <w:rsid w:val="00F012BE"/>
    <w:rsid w:val="00F01673"/>
    <w:rsid w:val="00F075AB"/>
    <w:rsid w:val="00F12ECA"/>
    <w:rsid w:val="00F14993"/>
    <w:rsid w:val="00F15520"/>
    <w:rsid w:val="00F1639E"/>
    <w:rsid w:val="00F1732A"/>
    <w:rsid w:val="00F22DB6"/>
    <w:rsid w:val="00F2533E"/>
    <w:rsid w:val="00F25448"/>
    <w:rsid w:val="00F26439"/>
    <w:rsid w:val="00F26E9A"/>
    <w:rsid w:val="00F32E23"/>
    <w:rsid w:val="00F35394"/>
    <w:rsid w:val="00F35553"/>
    <w:rsid w:val="00F35818"/>
    <w:rsid w:val="00F43DAC"/>
    <w:rsid w:val="00F47C2F"/>
    <w:rsid w:val="00F50FC2"/>
    <w:rsid w:val="00F5110C"/>
    <w:rsid w:val="00F52B81"/>
    <w:rsid w:val="00F55663"/>
    <w:rsid w:val="00F55FAB"/>
    <w:rsid w:val="00F563D7"/>
    <w:rsid w:val="00F5711B"/>
    <w:rsid w:val="00F603EA"/>
    <w:rsid w:val="00F63DCA"/>
    <w:rsid w:val="00F65F1D"/>
    <w:rsid w:val="00F674CD"/>
    <w:rsid w:val="00F70ED5"/>
    <w:rsid w:val="00F7273B"/>
    <w:rsid w:val="00F73B1B"/>
    <w:rsid w:val="00F74953"/>
    <w:rsid w:val="00F74A75"/>
    <w:rsid w:val="00F753BC"/>
    <w:rsid w:val="00F76837"/>
    <w:rsid w:val="00F80187"/>
    <w:rsid w:val="00F81C87"/>
    <w:rsid w:val="00F851E4"/>
    <w:rsid w:val="00F85E2D"/>
    <w:rsid w:val="00F86577"/>
    <w:rsid w:val="00F8685F"/>
    <w:rsid w:val="00F875C2"/>
    <w:rsid w:val="00F878A5"/>
    <w:rsid w:val="00F9004A"/>
    <w:rsid w:val="00F91ED4"/>
    <w:rsid w:val="00F956E5"/>
    <w:rsid w:val="00F97296"/>
    <w:rsid w:val="00F97643"/>
    <w:rsid w:val="00FA0685"/>
    <w:rsid w:val="00FA0C26"/>
    <w:rsid w:val="00FA0CD9"/>
    <w:rsid w:val="00FA1363"/>
    <w:rsid w:val="00FA3B6C"/>
    <w:rsid w:val="00FA5557"/>
    <w:rsid w:val="00FA577A"/>
    <w:rsid w:val="00FA70D4"/>
    <w:rsid w:val="00FB402F"/>
    <w:rsid w:val="00FB662F"/>
    <w:rsid w:val="00FB6B22"/>
    <w:rsid w:val="00FB6E9F"/>
    <w:rsid w:val="00FB7196"/>
    <w:rsid w:val="00FB7A49"/>
    <w:rsid w:val="00FC0728"/>
    <w:rsid w:val="00FC2E74"/>
    <w:rsid w:val="00FC2F6C"/>
    <w:rsid w:val="00FC3AB0"/>
    <w:rsid w:val="00FC5C2E"/>
    <w:rsid w:val="00FD3213"/>
    <w:rsid w:val="00FD4C61"/>
    <w:rsid w:val="00FE005F"/>
    <w:rsid w:val="00FE1083"/>
    <w:rsid w:val="00FF0BC9"/>
    <w:rsid w:val="00FF12DC"/>
    <w:rsid w:val="00FF1C99"/>
    <w:rsid w:val="00FF2427"/>
    <w:rsid w:val="00FF368C"/>
    <w:rsid w:val="00FF42D6"/>
    <w:rsid w:val="00FF4F46"/>
    <w:rsid w:val="00FF53B0"/>
    <w:rsid w:val="00FF56C5"/>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708792A-E648-400C-A320-8369A1D6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1260"/>
      <w:outlineLvl w:val="0"/>
    </w:pPr>
    <w:rPr>
      <w:rFonts w:ascii="Arial" w:hAnsi="Arial" w:cs="Arial"/>
      <w:b/>
      <w:bCs/>
      <w:sz w:val="22"/>
      <w:szCs w:val="22"/>
      <w:u w:val="single"/>
    </w:rPr>
  </w:style>
  <w:style w:type="paragraph" w:styleId="Heading2">
    <w:name w:val="heading 2"/>
    <w:basedOn w:val="Normal"/>
    <w:next w:val="Normal"/>
    <w:qFormat/>
    <w:pPr>
      <w:keepNext/>
      <w:ind w:left="1260"/>
      <w:outlineLvl w:val="1"/>
    </w:pPr>
    <w:rPr>
      <w:rFonts w:ascii="Arial" w:hAnsi="Arial" w:cs="Arial"/>
      <w:i/>
      <w:iCs/>
      <w:sz w:val="22"/>
      <w:szCs w:val="22"/>
    </w:rPr>
  </w:style>
  <w:style w:type="paragraph" w:styleId="Heading3">
    <w:name w:val="heading 3"/>
    <w:basedOn w:val="Normal"/>
    <w:next w:val="Normal"/>
    <w:qFormat/>
    <w:pPr>
      <w:keepNext/>
      <w:outlineLvl w:val="2"/>
    </w:pPr>
    <w:rPr>
      <w:rFonts w:ascii="Arial" w:hAnsi="Arial" w:cs="Arial"/>
      <w:b/>
      <w:bCs/>
      <w:sz w:val="20"/>
      <w:szCs w:val="20"/>
    </w:rPr>
  </w:style>
  <w:style w:type="paragraph" w:styleId="Heading4">
    <w:name w:val="heading 4"/>
    <w:basedOn w:val="Normal"/>
    <w:next w:val="Normal"/>
    <w:qFormat/>
    <w:pPr>
      <w:keepNext/>
      <w:ind w:left="360"/>
      <w:outlineLvl w:val="3"/>
    </w:pPr>
    <w:rPr>
      <w:rFonts w:ascii="Arial" w:hAnsi="Arial" w:cs="Arial"/>
      <w:b/>
      <w:bCs/>
      <w:sz w:val="20"/>
      <w:szCs w:val="20"/>
    </w:rPr>
  </w:style>
  <w:style w:type="paragraph" w:styleId="Heading5">
    <w:name w:val="heading 5"/>
    <w:basedOn w:val="Normal"/>
    <w:next w:val="Normal"/>
    <w:qFormat/>
    <w:pPr>
      <w:keepNext/>
      <w:tabs>
        <w:tab w:val="left" w:pos="360"/>
      </w:tabs>
      <w:ind w:left="360" w:hanging="360"/>
      <w:outlineLvl w:val="4"/>
    </w:pPr>
    <w:rPr>
      <w:rFonts w:ascii="Arial" w:hAnsi="Arial" w:cs="Arial"/>
      <w:b/>
      <w:bCs/>
      <w:color w:val="000000"/>
      <w:sz w:val="20"/>
      <w:szCs w:val="20"/>
    </w:rPr>
  </w:style>
  <w:style w:type="paragraph" w:styleId="Heading6">
    <w:name w:val="heading 6"/>
    <w:basedOn w:val="Normal"/>
    <w:next w:val="Normal"/>
    <w:qFormat/>
    <w:pPr>
      <w:keepNext/>
      <w:tabs>
        <w:tab w:val="left" w:pos="360"/>
      </w:tabs>
      <w:ind w:left="360"/>
      <w:jc w:val="center"/>
      <w:outlineLvl w:val="5"/>
    </w:pPr>
    <w:rPr>
      <w:rFonts w:ascii="Arial" w:hAnsi="Arial" w:cs="Arial"/>
      <w:b/>
      <w:bCs/>
      <w:color w:val="000000"/>
      <w:sz w:val="20"/>
      <w:szCs w:val="20"/>
    </w:rPr>
  </w:style>
  <w:style w:type="paragraph" w:styleId="Heading7">
    <w:name w:val="heading 7"/>
    <w:basedOn w:val="Normal"/>
    <w:next w:val="Normal"/>
    <w:qFormat/>
    <w:pPr>
      <w:keepNext/>
      <w:ind w:firstLine="360"/>
      <w:outlineLvl w:val="6"/>
    </w:pPr>
    <w:rPr>
      <w:rFonts w:ascii="Arial" w:hAnsi="Arial" w:cs="Arial"/>
      <w:b/>
      <w:bCs/>
      <w:sz w:val="20"/>
      <w:szCs w:val="20"/>
      <w:u w:val="single"/>
    </w:rPr>
  </w:style>
  <w:style w:type="paragraph" w:styleId="Heading8">
    <w:name w:val="heading 8"/>
    <w:basedOn w:val="Normal"/>
    <w:next w:val="Normal"/>
    <w:qFormat/>
    <w:pPr>
      <w:keepNext/>
      <w:ind w:left="360"/>
      <w:outlineLvl w:val="7"/>
    </w:pPr>
    <w:rPr>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semiHidden/>
    <w:rPr>
      <w:rFonts w:ascii="Cambria" w:hAnsi="Cambria" w:cs="Cambria"/>
      <w:b/>
      <w:bCs/>
      <w:i/>
      <w:iCs/>
      <w:sz w:val="28"/>
      <w:szCs w:val="28"/>
    </w:rPr>
  </w:style>
  <w:style w:type="character" w:customStyle="1" w:styleId="Heading3Char">
    <w:name w:val="Heading 3 Char"/>
    <w:semiHidden/>
    <w:rPr>
      <w:rFonts w:ascii="Cambria" w:hAnsi="Cambria" w:cs="Cambria"/>
      <w:b/>
      <w:bCs/>
      <w:sz w:val="26"/>
      <w:szCs w:val="26"/>
    </w:rPr>
  </w:style>
  <w:style w:type="character" w:customStyle="1" w:styleId="Heading4Char">
    <w:name w:val="Heading 4 Char"/>
    <w:semiHidden/>
    <w:rPr>
      <w:rFonts w:ascii="Calibri" w:hAnsi="Calibri" w:cs="Calibri"/>
      <w:b/>
      <w:bCs/>
      <w:sz w:val="28"/>
      <w:szCs w:val="28"/>
    </w:rPr>
  </w:style>
  <w:style w:type="character" w:customStyle="1" w:styleId="Heading5Char">
    <w:name w:val="Heading 5 Char"/>
    <w:semiHidden/>
    <w:rPr>
      <w:rFonts w:ascii="Calibri" w:hAnsi="Calibri" w:cs="Calibri"/>
      <w:b/>
      <w:bCs/>
      <w:i/>
      <w:iCs/>
      <w:sz w:val="26"/>
      <w:szCs w:val="26"/>
    </w:rPr>
  </w:style>
  <w:style w:type="character" w:customStyle="1" w:styleId="Heading6Char">
    <w:name w:val="Heading 6 Char"/>
    <w:semiHidden/>
    <w:rPr>
      <w:rFonts w:ascii="Calibri" w:hAnsi="Calibri" w:cs="Calibri"/>
      <w:b/>
      <w:bCs/>
    </w:rPr>
  </w:style>
  <w:style w:type="character" w:customStyle="1" w:styleId="Heading7Char">
    <w:name w:val="Heading 7 Char"/>
    <w:semiHidden/>
    <w:rPr>
      <w:rFonts w:ascii="Calibri" w:hAnsi="Calibri" w:cs="Calibri"/>
      <w:sz w:val="24"/>
      <w:szCs w:val="24"/>
    </w:rPr>
  </w:style>
  <w:style w:type="character" w:customStyle="1" w:styleId="Heading8Char">
    <w:name w:val="Heading 8 Char"/>
    <w:semiHidden/>
    <w:rPr>
      <w:rFonts w:ascii="Calibri" w:hAnsi="Calibri" w:cs="Calibri"/>
      <w:i/>
      <w:iCs/>
      <w:sz w:val="24"/>
      <w:szCs w:val="24"/>
    </w:rPr>
  </w:style>
  <w:style w:type="paragraph" w:styleId="BodyTextIndent">
    <w:name w:val="Body Text Indent"/>
    <w:basedOn w:val="Normal"/>
    <w:pPr>
      <w:jc w:val="both"/>
    </w:pPr>
    <w:rPr>
      <w:color w:val="000000"/>
      <w:sz w:val="20"/>
      <w:szCs w:val="20"/>
    </w:rPr>
  </w:style>
  <w:style w:type="character" w:customStyle="1" w:styleId="BodyText2Char">
    <w:name w:val="Body Text 2 Char"/>
    <w:semiHidden/>
    <w:rPr>
      <w:rFonts w:cs="Times New Roman"/>
      <w:sz w:val="24"/>
      <w:szCs w:val="24"/>
    </w:rPr>
  </w:style>
  <w:style w:type="paragraph" w:styleId="Title">
    <w:name w:val="Title"/>
    <w:basedOn w:val="Normal"/>
    <w:qFormat/>
    <w:pPr>
      <w:jc w:val="center"/>
    </w:pPr>
    <w:rPr>
      <w:rFonts w:ascii="Arial" w:hAnsi="Arial" w:cs="Arial"/>
      <w:b/>
      <w:bCs/>
      <w:sz w:val="22"/>
      <w:szCs w:val="22"/>
    </w:rPr>
  </w:style>
  <w:style w:type="character" w:customStyle="1" w:styleId="TitleChar">
    <w:name w:val="Title Char"/>
    <w:rPr>
      <w:rFonts w:ascii="Cambria" w:hAnsi="Cambria" w:cs="Cambria"/>
      <w:b/>
      <w:bCs/>
      <w:kern w:val="28"/>
      <w:sz w:val="32"/>
      <w:szCs w:val="32"/>
    </w:rPr>
  </w:style>
  <w:style w:type="paragraph" w:styleId="BodyTextIndent2">
    <w:name w:val="Body Text Indent 2"/>
    <w:basedOn w:val="Normal"/>
    <w:pPr>
      <w:autoSpaceDE w:val="0"/>
      <w:autoSpaceDN w:val="0"/>
      <w:adjustRightInd w:val="0"/>
      <w:ind w:left="1260"/>
    </w:pPr>
    <w:rPr>
      <w:rFonts w:ascii="Arial" w:hAnsi="Arial" w:cs="Arial"/>
      <w:sz w:val="22"/>
      <w:szCs w:val="22"/>
    </w:rPr>
  </w:style>
  <w:style w:type="character" w:customStyle="1" w:styleId="BodyTextIndent2Char">
    <w:name w:val="Body Text Indent 2 Char"/>
    <w:semiHidden/>
    <w:rPr>
      <w:rFonts w:cs="Times New Roman"/>
      <w:sz w:val="24"/>
      <w:szCs w:val="24"/>
    </w:rPr>
  </w:style>
  <w:style w:type="paragraph" w:styleId="BodyTextIndent3">
    <w:name w:val="Body Text Indent 3"/>
    <w:basedOn w:val="Normal"/>
    <w:pPr>
      <w:ind w:left="1260"/>
    </w:pPr>
  </w:style>
  <w:style w:type="character" w:customStyle="1" w:styleId="BodyTextIndent3Char">
    <w:name w:val="Body Text Indent 3 Char"/>
    <w:semiHidden/>
    <w:rPr>
      <w:rFonts w:cs="Times New Roman"/>
      <w:sz w:val="16"/>
      <w:szCs w:val="16"/>
    </w:rPr>
  </w:style>
  <w:style w:type="paragraph" w:styleId="Footer">
    <w:name w:val="footer"/>
    <w:basedOn w:val="Normal"/>
    <w:pPr>
      <w:tabs>
        <w:tab w:val="center" w:pos="4320"/>
        <w:tab w:val="right" w:pos="8640"/>
      </w:tabs>
    </w:pPr>
  </w:style>
  <w:style w:type="character" w:customStyle="1" w:styleId="FooterChar">
    <w:name w:val="Footer Char"/>
    <w:semiHidden/>
    <w:rPr>
      <w:rFonts w:cs="Times New Roman"/>
      <w:sz w:val="24"/>
      <w:szCs w:val="24"/>
    </w:rPr>
  </w:style>
  <w:style w:type="character" w:styleId="PageNumber">
    <w:name w:val="page number"/>
    <w:rPr>
      <w:rFonts w:cs="Times New Roman"/>
    </w:rPr>
  </w:style>
  <w:style w:type="character" w:styleId="Hyperlink">
    <w:name w:val="Hyperlink"/>
    <w:uiPriority w:val="99"/>
    <w:rPr>
      <w:rFonts w:cs="Times New Roman"/>
      <w:color w:val="0000FF"/>
      <w:u w:val="single"/>
    </w:rPr>
  </w:style>
  <w:style w:type="paragraph" w:styleId="BodyText">
    <w:name w:val="Body Text"/>
    <w:basedOn w:val="Normal"/>
    <w:rPr>
      <w:rFonts w:ascii="Arial" w:hAnsi="Arial" w:cs="Arial"/>
      <w:sz w:val="22"/>
      <w:szCs w:val="22"/>
    </w:rPr>
  </w:style>
  <w:style w:type="character" w:customStyle="1" w:styleId="BodyTextChar">
    <w:name w:val="Body Text Char"/>
    <w:semiHidden/>
    <w:rPr>
      <w:rFonts w:cs="Times New Roman"/>
      <w:sz w:val="24"/>
      <w:szCs w:val="24"/>
    </w:rPr>
  </w:style>
  <w:style w:type="paragraph" w:styleId="FootnoteText">
    <w:name w:val="footnote text"/>
    <w:basedOn w:val="Normal"/>
    <w:semiHidden/>
    <w:rPr>
      <w:sz w:val="20"/>
      <w:szCs w:val="20"/>
    </w:rPr>
  </w:style>
  <w:style w:type="character" w:customStyle="1" w:styleId="FootnoteTextChar">
    <w:name w:val="Footnote Text Char"/>
    <w:semiHidden/>
    <w:rPr>
      <w:rFonts w:cs="Times New Roman"/>
      <w:sz w:val="20"/>
      <w:szCs w:val="20"/>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800080"/>
      <w:u w:val="single"/>
    </w:rPr>
  </w:style>
  <w:style w:type="paragraph" w:styleId="Header">
    <w:name w:val="header"/>
    <w:basedOn w:val="Normal"/>
    <w:pPr>
      <w:tabs>
        <w:tab w:val="center" w:pos="4320"/>
        <w:tab w:val="right" w:pos="8640"/>
      </w:tabs>
    </w:pPr>
  </w:style>
  <w:style w:type="character" w:customStyle="1" w:styleId="HeaderChar">
    <w:name w:val="Header Char"/>
    <w:semiHidden/>
    <w:rPr>
      <w:rFonts w:cs="Times New Roman"/>
      <w:sz w:val="24"/>
      <w:szCs w:val="24"/>
    </w:rPr>
  </w:style>
  <w:style w:type="paragraph" w:styleId="BodyText3">
    <w:name w:val="Body Text 3"/>
    <w:basedOn w:val="Normal"/>
    <w:rPr>
      <w:rFonts w:ascii="Arial" w:hAnsi="Arial" w:cs="Arial"/>
      <w:sz w:val="20"/>
      <w:szCs w:val="20"/>
    </w:rPr>
  </w:style>
  <w:style w:type="character" w:customStyle="1" w:styleId="BodyText3Char">
    <w:name w:val="Body Text 3 Char"/>
    <w:semiHidden/>
    <w:rPr>
      <w:rFonts w:cs="Times New Roman"/>
      <w:sz w:val="16"/>
      <w:szCs w:val="16"/>
    </w:rPr>
  </w:style>
  <w:style w:type="paragraph" w:customStyle="1" w:styleId="Default">
    <w:name w:val="Default"/>
    <w:uiPriority w:val="99"/>
    <w:pPr>
      <w:autoSpaceDE w:val="0"/>
      <w:autoSpaceDN w:val="0"/>
      <w:adjustRightInd w:val="0"/>
    </w:pPr>
    <w:rPr>
      <w:rFonts w:ascii="TimesNewRoman,Bold" w:hAnsi="TimesNewRoman,Bold" w:cs="TimesNewRoman,Bold"/>
    </w:rPr>
  </w:style>
  <w:style w:type="paragraph" w:styleId="PlainText">
    <w:name w:val="Plain Text"/>
    <w:basedOn w:val="Normal"/>
    <w:rPr>
      <w:rFonts w:ascii="Courier New" w:hAnsi="Courier New" w:cs="Courier New"/>
    </w:rPr>
  </w:style>
  <w:style w:type="character" w:customStyle="1" w:styleId="PlainTextChar">
    <w:name w:val="Plain Text Char"/>
    <w:rPr>
      <w:rFonts w:ascii="Courier New" w:hAnsi="Courier New" w:cs="Courier New"/>
      <w:sz w:val="24"/>
      <w:szCs w:val="24"/>
      <w:lang w:val="en-US" w:eastAsia="en-U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spacing w:after="200" w:line="276" w:lineRule="auto"/>
      <w:ind w:left="720"/>
      <w:contextualSpacing/>
    </w:pPr>
    <w:rPr>
      <w:rFonts w:ascii="Arial" w:hAnsi="Arial" w:cs="Arial"/>
      <w:sz w:val="20"/>
      <w:szCs w:val="20"/>
    </w:rPr>
  </w:style>
  <w:style w:type="paragraph" w:styleId="NoSpacing">
    <w:name w:val="No Spacing"/>
    <w:uiPriority w:val="1"/>
    <w:qFormat/>
    <w:rPr>
      <w:rFonts w:ascii="Arial" w:eastAsia="Calibri" w:hAnsi="Arial" w:cs="Arial"/>
      <w:szCs w:val="24"/>
    </w:rPr>
  </w:style>
  <w:style w:type="character" w:customStyle="1" w:styleId="NoSpacingChar">
    <w:name w:val="No Spacing Char"/>
    <w:uiPriority w:val="1"/>
    <w:rPr>
      <w:rFonts w:ascii="Arial" w:eastAsia="Calibri" w:hAnsi="Arial" w:cs="Arial"/>
      <w:szCs w:val="24"/>
      <w:lang w:val="en-US" w:eastAsia="en-US" w:bidi="ar-SA"/>
    </w:rPr>
  </w:style>
  <w:style w:type="paragraph" w:styleId="BalloonText">
    <w:name w:val="Balloon Text"/>
    <w:basedOn w:val="Normal"/>
    <w:semiHidden/>
    <w:rsid w:val="00920C9C"/>
    <w:rPr>
      <w:rFonts w:ascii="Tahoma" w:hAnsi="Tahoma" w:cs="Tahoma"/>
      <w:sz w:val="16"/>
      <w:szCs w:val="16"/>
    </w:rPr>
  </w:style>
  <w:style w:type="paragraph" w:styleId="NormalWeb">
    <w:name w:val="Normal (Web)"/>
    <w:basedOn w:val="Normal"/>
    <w:uiPriority w:val="99"/>
    <w:unhideWhenUsed/>
    <w:rsid w:val="00CE388E"/>
    <w:pPr>
      <w:spacing w:before="100" w:beforeAutospacing="1" w:after="100" w:afterAutospacing="1"/>
    </w:pPr>
    <w:rPr>
      <w:rFonts w:eastAsiaTheme="minorHAnsi"/>
    </w:rPr>
  </w:style>
  <w:style w:type="table" w:styleId="TableGrid">
    <w:name w:val="Table Grid"/>
    <w:basedOn w:val="TableNormal"/>
    <w:uiPriority w:val="59"/>
    <w:rsid w:val="00A525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2205"/>
    <w:rPr>
      <w:b/>
      <w:bCs/>
    </w:rPr>
  </w:style>
  <w:style w:type="character" w:customStyle="1" w:styleId="apple-converted-space">
    <w:name w:val="apple-converted-space"/>
    <w:basedOn w:val="DefaultParagraphFont"/>
    <w:rsid w:val="009B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9143">
      <w:bodyDiv w:val="1"/>
      <w:marLeft w:val="0"/>
      <w:marRight w:val="0"/>
      <w:marTop w:val="0"/>
      <w:marBottom w:val="0"/>
      <w:divBdr>
        <w:top w:val="none" w:sz="0" w:space="0" w:color="auto"/>
        <w:left w:val="none" w:sz="0" w:space="0" w:color="auto"/>
        <w:bottom w:val="none" w:sz="0" w:space="0" w:color="auto"/>
        <w:right w:val="none" w:sz="0" w:space="0" w:color="auto"/>
      </w:divBdr>
    </w:div>
    <w:div w:id="190386052">
      <w:bodyDiv w:val="1"/>
      <w:marLeft w:val="0"/>
      <w:marRight w:val="0"/>
      <w:marTop w:val="0"/>
      <w:marBottom w:val="0"/>
      <w:divBdr>
        <w:top w:val="none" w:sz="0" w:space="0" w:color="auto"/>
        <w:left w:val="none" w:sz="0" w:space="0" w:color="auto"/>
        <w:bottom w:val="none" w:sz="0" w:space="0" w:color="auto"/>
        <w:right w:val="none" w:sz="0" w:space="0" w:color="auto"/>
      </w:divBdr>
    </w:div>
    <w:div w:id="413286200">
      <w:bodyDiv w:val="1"/>
      <w:marLeft w:val="0"/>
      <w:marRight w:val="0"/>
      <w:marTop w:val="0"/>
      <w:marBottom w:val="0"/>
      <w:divBdr>
        <w:top w:val="none" w:sz="0" w:space="0" w:color="auto"/>
        <w:left w:val="none" w:sz="0" w:space="0" w:color="auto"/>
        <w:bottom w:val="none" w:sz="0" w:space="0" w:color="auto"/>
        <w:right w:val="none" w:sz="0" w:space="0" w:color="auto"/>
      </w:divBdr>
    </w:div>
    <w:div w:id="439422672">
      <w:bodyDiv w:val="1"/>
      <w:marLeft w:val="0"/>
      <w:marRight w:val="0"/>
      <w:marTop w:val="0"/>
      <w:marBottom w:val="0"/>
      <w:divBdr>
        <w:top w:val="none" w:sz="0" w:space="0" w:color="auto"/>
        <w:left w:val="none" w:sz="0" w:space="0" w:color="auto"/>
        <w:bottom w:val="none" w:sz="0" w:space="0" w:color="auto"/>
        <w:right w:val="none" w:sz="0" w:space="0" w:color="auto"/>
      </w:divBdr>
    </w:div>
    <w:div w:id="447238740">
      <w:bodyDiv w:val="1"/>
      <w:marLeft w:val="0"/>
      <w:marRight w:val="0"/>
      <w:marTop w:val="0"/>
      <w:marBottom w:val="0"/>
      <w:divBdr>
        <w:top w:val="none" w:sz="0" w:space="0" w:color="auto"/>
        <w:left w:val="none" w:sz="0" w:space="0" w:color="auto"/>
        <w:bottom w:val="none" w:sz="0" w:space="0" w:color="auto"/>
        <w:right w:val="none" w:sz="0" w:space="0" w:color="auto"/>
      </w:divBdr>
    </w:div>
    <w:div w:id="579682069">
      <w:bodyDiv w:val="1"/>
      <w:marLeft w:val="0"/>
      <w:marRight w:val="0"/>
      <w:marTop w:val="0"/>
      <w:marBottom w:val="0"/>
      <w:divBdr>
        <w:top w:val="none" w:sz="0" w:space="0" w:color="auto"/>
        <w:left w:val="none" w:sz="0" w:space="0" w:color="auto"/>
        <w:bottom w:val="none" w:sz="0" w:space="0" w:color="auto"/>
        <w:right w:val="none" w:sz="0" w:space="0" w:color="auto"/>
      </w:divBdr>
    </w:div>
    <w:div w:id="580918109">
      <w:bodyDiv w:val="1"/>
      <w:marLeft w:val="0"/>
      <w:marRight w:val="0"/>
      <w:marTop w:val="0"/>
      <w:marBottom w:val="0"/>
      <w:divBdr>
        <w:top w:val="none" w:sz="0" w:space="0" w:color="auto"/>
        <w:left w:val="none" w:sz="0" w:space="0" w:color="auto"/>
        <w:bottom w:val="none" w:sz="0" w:space="0" w:color="auto"/>
        <w:right w:val="none" w:sz="0" w:space="0" w:color="auto"/>
      </w:divBdr>
    </w:div>
    <w:div w:id="631518909">
      <w:bodyDiv w:val="1"/>
      <w:marLeft w:val="0"/>
      <w:marRight w:val="0"/>
      <w:marTop w:val="0"/>
      <w:marBottom w:val="0"/>
      <w:divBdr>
        <w:top w:val="none" w:sz="0" w:space="0" w:color="auto"/>
        <w:left w:val="none" w:sz="0" w:space="0" w:color="auto"/>
        <w:bottom w:val="none" w:sz="0" w:space="0" w:color="auto"/>
        <w:right w:val="none" w:sz="0" w:space="0" w:color="auto"/>
      </w:divBdr>
    </w:div>
    <w:div w:id="703791841">
      <w:bodyDiv w:val="1"/>
      <w:marLeft w:val="0"/>
      <w:marRight w:val="0"/>
      <w:marTop w:val="0"/>
      <w:marBottom w:val="0"/>
      <w:divBdr>
        <w:top w:val="none" w:sz="0" w:space="0" w:color="auto"/>
        <w:left w:val="none" w:sz="0" w:space="0" w:color="auto"/>
        <w:bottom w:val="none" w:sz="0" w:space="0" w:color="auto"/>
        <w:right w:val="none" w:sz="0" w:space="0" w:color="auto"/>
      </w:divBdr>
    </w:div>
    <w:div w:id="830485409">
      <w:bodyDiv w:val="1"/>
      <w:marLeft w:val="0"/>
      <w:marRight w:val="0"/>
      <w:marTop w:val="0"/>
      <w:marBottom w:val="0"/>
      <w:divBdr>
        <w:top w:val="none" w:sz="0" w:space="0" w:color="auto"/>
        <w:left w:val="none" w:sz="0" w:space="0" w:color="auto"/>
        <w:bottom w:val="none" w:sz="0" w:space="0" w:color="auto"/>
        <w:right w:val="none" w:sz="0" w:space="0" w:color="auto"/>
      </w:divBdr>
    </w:div>
    <w:div w:id="854266787">
      <w:bodyDiv w:val="1"/>
      <w:marLeft w:val="0"/>
      <w:marRight w:val="0"/>
      <w:marTop w:val="0"/>
      <w:marBottom w:val="0"/>
      <w:divBdr>
        <w:top w:val="none" w:sz="0" w:space="0" w:color="auto"/>
        <w:left w:val="none" w:sz="0" w:space="0" w:color="auto"/>
        <w:bottom w:val="none" w:sz="0" w:space="0" w:color="auto"/>
        <w:right w:val="none" w:sz="0" w:space="0" w:color="auto"/>
      </w:divBdr>
    </w:div>
    <w:div w:id="965352509">
      <w:bodyDiv w:val="1"/>
      <w:marLeft w:val="0"/>
      <w:marRight w:val="0"/>
      <w:marTop w:val="0"/>
      <w:marBottom w:val="0"/>
      <w:divBdr>
        <w:top w:val="none" w:sz="0" w:space="0" w:color="auto"/>
        <w:left w:val="none" w:sz="0" w:space="0" w:color="auto"/>
        <w:bottom w:val="none" w:sz="0" w:space="0" w:color="auto"/>
        <w:right w:val="none" w:sz="0" w:space="0" w:color="auto"/>
      </w:divBdr>
    </w:div>
    <w:div w:id="991375603">
      <w:bodyDiv w:val="1"/>
      <w:marLeft w:val="0"/>
      <w:marRight w:val="0"/>
      <w:marTop w:val="0"/>
      <w:marBottom w:val="0"/>
      <w:divBdr>
        <w:top w:val="none" w:sz="0" w:space="0" w:color="auto"/>
        <w:left w:val="none" w:sz="0" w:space="0" w:color="auto"/>
        <w:bottom w:val="none" w:sz="0" w:space="0" w:color="auto"/>
        <w:right w:val="none" w:sz="0" w:space="0" w:color="auto"/>
      </w:divBdr>
    </w:div>
    <w:div w:id="1064988387">
      <w:bodyDiv w:val="1"/>
      <w:marLeft w:val="0"/>
      <w:marRight w:val="0"/>
      <w:marTop w:val="0"/>
      <w:marBottom w:val="0"/>
      <w:divBdr>
        <w:top w:val="none" w:sz="0" w:space="0" w:color="auto"/>
        <w:left w:val="none" w:sz="0" w:space="0" w:color="auto"/>
        <w:bottom w:val="none" w:sz="0" w:space="0" w:color="auto"/>
        <w:right w:val="none" w:sz="0" w:space="0" w:color="auto"/>
      </w:divBdr>
    </w:div>
    <w:div w:id="1116295010">
      <w:bodyDiv w:val="1"/>
      <w:marLeft w:val="0"/>
      <w:marRight w:val="0"/>
      <w:marTop w:val="0"/>
      <w:marBottom w:val="0"/>
      <w:divBdr>
        <w:top w:val="none" w:sz="0" w:space="0" w:color="auto"/>
        <w:left w:val="none" w:sz="0" w:space="0" w:color="auto"/>
        <w:bottom w:val="none" w:sz="0" w:space="0" w:color="auto"/>
        <w:right w:val="none" w:sz="0" w:space="0" w:color="auto"/>
      </w:divBdr>
    </w:div>
    <w:div w:id="1264461015">
      <w:bodyDiv w:val="1"/>
      <w:marLeft w:val="0"/>
      <w:marRight w:val="0"/>
      <w:marTop w:val="0"/>
      <w:marBottom w:val="0"/>
      <w:divBdr>
        <w:top w:val="none" w:sz="0" w:space="0" w:color="auto"/>
        <w:left w:val="none" w:sz="0" w:space="0" w:color="auto"/>
        <w:bottom w:val="none" w:sz="0" w:space="0" w:color="auto"/>
        <w:right w:val="none" w:sz="0" w:space="0" w:color="auto"/>
      </w:divBdr>
    </w:div>
    <w:div w:id="1326471849">
      <w:bodyDiv w:val="1"/>
      <w:marLeft w:val="0"/>
      <w:marRight w:val="0"/>
      <w:marTop w:val="0"/>
      <w:marBottom w:val="0"/>
      <w:divBdr>
        <w:top w:val="none" w:sz="0" w:space="0" w:color="auto"/>
        <w:left w:val="none" w:sz="0" w:space="0" w:color="auto"/>
        <w:bottom w:val="none" w:sz="0" w:space="0" w:color="auto"/>
        <w:right w:val="none" w:sz="0" w:space="0" w:color="auto"/>
      </w:divBdr>
    </w:div>
    <w:div w:id="1404717612">
      <w:bodyDiv w:val="1"/>
      <w:marLeft w:val="0"/>
      <w:marRight w:val="0"/>
      <w:marTop w:val="0"/>
      <w:marBottom w:val="0"/>
      <w:divBdr>
        <w:top w:val="none" w:sz="0" w:space="0" w:color="auto"/>
        <w:left w:val="none" w:sz="0" w:space="0" w:color="auto"/>
        <w:bottom w:val="none" w:sz="0" w:space="0" w:color="auto"/>
        <w:right w:val="none" w:sz="0" w:space="0" w:color="auto"/>
      </w:divBdr>
    </w:div>
    <w:div w:id="1422986911">
      <w:bodyDiv w:val="1"/>
      <w:marLeft w:val="0"/>
      <w:marRight w:val="0"/>
      <w:marTop w:val="0"/>
      <w:marBottom w:val="0"/>
      <w:divBdr>
        <w:top w:val="none" w:sz="0" w:space="0" w:color="auto"/>
        <w:left w:val="none" w:sz="0" w:space="0" w:color="auto"/>
        <w:bottom w:val="none" w:sz="0" w:space="0" w:color="auto"/>
        <w:right w:val="none" w:sz="0" w:space="0" w:color="auto"/>
      </w:divBdr>
    </w:div>
    <w:div w:id="1459107227">
      <w:bodyDiv w:val="1"/>
      <w:marLeft w:val="0"/>
      <w:marRight w:val="0"/>
      <w:marTop w:val="0"/>
      <w:marBottom w:val="0"/>
      <w:divBdr>
        <w:top w:val="none" w:sz="0" w:space="0" w:color="auto"/>
        <w:left w:val="none" w:sz="0" w:space="0" w:color="auto"/>
        <w:bottom w:val="none" w:sz="0" w:space="0" w:color="auto"/>
        <w:right w:val="none" w:sz="0" w:space="0" w:color="auto"/>
      </w:divBdr>
    </w:div>
    <w:div w:id="1462305194">
      <w:bodyDiv w:val="1"/>
      <w:marLeft w:val="0"/>
      <w:marRight w:val="0"/>
      <w:marTop w:val="0"/>
      <w:marBottom w:val="0"/>
      <w:divBdr>
        <w:top w:val="none" w:sz="0" w:space="0" w:color="auto"/>
        <w:left w:val="none" w:sz="0" w:space="0" w:color="auto"/>
        <w:bottom w:val="none" w:sz="0" w:space="0" w:color="auto"/>
        <w:right w:val="none" w:sz="0" w:space="0" w:color="auto"/>
      </w:divBdr>
    </w:div>
    <w:div w:id="1548300368">
      <w:bodyDiv w:val="1"/>
      <w:marLeft w:val="0"/>
      <w:marRight w:val="0"/>
      <w:marTop w:val="0"/>
      <w:marBottom w:val="0"/>
      <w:divBdr>
        <w:top w:val="none" w:sz="0" w:space="0" w:color="auto"/>
        <w:left w:val="none" w:sz="0" w:space="0" w:color="auto"/>
        <w:bottom w:val="none" w:sz="0" w:space="0" w:color="auto"/>
        <w:right w:val="none" w:sz="0" w:space="0" w:color="auto"/>
      </w:divBdr>
    </w:div>
    <w:div w:id="1663505865">
      <w:bodyDiv w:val="1"/>
      <w:marLeft w:val="0"/>
      <w:marRight w:val="0"/>
      <w:marTop w:val="0"/>
      <w:marBottom w:val="0"/>
      <w:divBdr>
        <w:top w:val="none" w:sz="0" w:space="0" w:color="auto"/>
        <w:left w:val="none" w:sz="0" w:space="0" w:color="auto"/>
        <w:bottom w:val="none" w:sz="0" w:space="0" w:color="auto"/>
        <w:right w:val="none" w:sz="0" w:space="0" w:color="auto"/>
      </w:divBdr>
    </w:div>
    <w:div w:id="1850556750">
      <w:bodyDiv w:val="1"/>
      <w:marLeft w:val="0"/>
      <w:marRight w:val="0"/>
      <w:marTop w:val="0"/>
      <w:marBottom w:val="0"/>
      <w:divBdr>
        <w:top w:val="none" w:sz="0" w:space="0" w:color="auto"/>
        <w:left w:val="none" w:sz="0" w:space="0" w:color="auto"/>
        <w:bottom w:val="none" w:sz="0" w:space="0" w:color="auto"/>
        <w:right w:val="none" w:sz="0" w:space="0" w:color="auto"/>
      </w:divBdr>
    </w:div>
    <w:div w:id="1895196896">
      <w:bodyDiv w:val="1"/>
      <w:marLeft w:val="0"/>
      <w:marRight w:val="0"/>
      <w:marTop w:val="0"/>
      <w:marBottom w:val="0"/>
      <w:divBdr>
        <w:top w:val="none" w:sz="0" w:space="0" w:color="auto"/>
        <w:left w:val="none" w:sz="0" w:space="0" w:color="auto"/>
        <w:bottom w:val="none" w:sz="0" w:space="0" w:color="auto"/>
        <w:right w:val="none" w:sz="0" w:space="0" w:color="auto"/>
      </w:divBdr>
    </w:div>
    <w:div w:id="2040426232">
      <w:bodyDiv w:val="1"/>
      <w:marLeft w:val="0"/>
      <w:marRight w:val="0"/>
      <w:marTop w:val="0"/>
      <w:marBottom w:val="0"/>
      <w:divBdr>
        <w:top w:val="none" w:sz="0" w:space="0" w:color="auto"/>
        <w:left w:val="none" w:sz="0" w:space="0" w:color="auto"/>
        <w:bottom w:val="none" w:sz="0" w:space="0" w:color="auto"/>
        <w:right w:val="none" w:sz="0" w:space="0" w:color="auto"/>
      </w:divBdr>
    </w:div>
    <w:div w:id="2046976949">
      <w:bodyDiv w:val="1"/>
      <w:marLeft w:val="0"/>
      <w:marRight w:val="0"/>
      <w:marTop w:val="0"/>
      <w:marBottom w:val="0"/>
      <w:divBdr>
        <w:top w:val="none" w:sz="0" w:space="0" w:color="auto"/>
        <w:left w:val="none" w:sz="0" w:space="0" w:color="auto"/>
        <w:bottom w:val="none" w:sz="0" w:space="0" w:color="auto"/>
        <w:right w:val="none" w:sz="0" w:space="0" w:color="auto"/>
      </w:divBdr>
    </w:div>
    <w:div w:id="20800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Tale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HCS084VSNBPF004\DLEG4\ADULTED\HOME\akujobic\Final%20Report\2016\Enrollment%20Trend%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Enrollment Trend Data</a:t>
            </a:r>
          </a:p>
        </c:rich>
      </c:tx>
      <c:layout/>
      <c:overlay val="0"/>
    </c:title>
    <c:autoTitleDeleted val="0"/>
    <c:plotArea>
      <c:layout/>
      <c:lineChart>
        <c:grouping val="standard"/>
        <c:varyColors val="0"/>
        <c:ser>
          <c:idx val="0"/>
          <c:order val="0"/>
          <c:tx>
            <c:strRef>
              <c:f>Sheet1!$B$4</c:f>
              <c:strCache>
                <c:ptCount val="1"/>
                <c:pt idx="0">
                  <c:v>Enrollment</c:v>
                </c:pt>
              </c:strCache>
            </c:strRef>
          </c:tx>
          <c:marker>
            <c:symbol val="none"/>
          </c:marker>
          <c:cat>
            <c:strRef>
              <c:f>Sheet1!$A$5:$A$21</c:f>
              <c:strCache>
                <c:ptCount val="17"/>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pt idx="15">
                  <c:v>2014-2015</c:v>
                </c:pt>
                <c:pt idx="16">
                  <c:v>2015-2016</c:v>
                </c:pt>
              </c:strCache>
            </c:strRef>
          </c:cat>
          <c:val>
            <c:numRef>
              <c:f>Sheet1!$B$5:$B$21</c:f>
              <c:numCache>
                <c:formatCode>#,##0</c:formatCode>
                <c:ptCount val="17"/>
                <c:pt idx="0">
                  <c:v>86218</c:v>
                </c:pt>
                <c:pt idx="1">
                  <c:v>56096</c:v>
                </c:pt>
                <c:pt idx="2">
                  <c:v>75988</c:v>
                </c:pt>
                <c:pt idx="3">
                  <c:v>70893</c:v>
                </c:pt>
                <c:pt idx="4">
                  <c:v>48237</c:v>
                </c:pt>
                <c:pt idx="5">
                  <c:v>34768</c:v>
                </c:pt>
                <c:pt idx="6">
                  <c:v>32024</c:v>
                </c:pt>
                <c:pt idx="7">
                  <c:v>32856</c:v>
                </c:pt>
                <c:pt idx="8">
                  <c:v>30571</c:v>
                </c:pt>
                <c:pt idx="9">
                  <c:v>28243</c:v>
                </c:pt>
                <c:pt idx="10">
                  <c:v>31106</c:v>
                </c:pt>
                <c:pt idx="11">
                  <c:v>32840</c:v>
                </c:pt>
                <c:pt idx="12">
                  <c:v>34220</c:v>
                </c:pt>
                <c:pt idx="13">
                  <c:v>29533</c:v>
                </c:pt>
                <c:pt idx="14">
                  <c:v>28625</c:v>
                </c:pt>
                <c:pt idx="15">
                  <c:v>27443</c:v>
                </c:pt>
                <c:pt idx="16">
                  <c:v>30051</c:v>
                </c:pt>
              </c:numCache>
            </c:numRef>
          </c:val>
          <c:smooth val="0"/>
        </c:ser>
        <c:dLbls>
          <c:showLegendKey val="0"/>
          <c:showVal val="0"/>
          <c:showCatName val="0"/>
          <c:showSerName val="0"/>
          <c:showPercent val="0"/>
          <c:showBubbleSize val="0"/>
        </c:dLbls>
        <c:smooth val="0"/>
        <c:axId val="9161064"/>
        <c:axId val="9214696"/>
      </c:lineChart>
      <c:catAx>
        <c:axId val="9161064"/>
        <c:scaling>
          <c:orientation val="minMax"/>
        </c:scaling>
        <c:delete val="0"/>
        <c:axPos val="b"/>
        <c:numFmt formatCode="General" sourceLinked="1"/>
        <c:majorTickMark val="out"/>
        <c:minorTickMark val="none"/>
        <c:tickLblPos val="nextTo"/>
        <c:crossAx val="9214696"/>
        <c:crosses val="autoZero"/>
        <c:auto val="1"/>
        <c:lblAlgn val="ctr"/>
        <c:lblOffset val="100"/>
        <c:noMultiLvlLbl val="0"/>
      </c:catAx>
      <c:valAx>
        <c:axId val="9214696"/>
        <c:scaling>
          <c:orientation val="minMax"/>
        </c:scaling>
        <c:delete val="0"/>
        <c:axPos val="l"/>
        <c:majorGridlines/>
        <c:numFmt formatCode="#,##0" sourceLinked="1"/>
        <c:majorTickMark val="out"/>
        <c:minorTickMark val="none"/>
        <c:tickLblPos val="nextTo"/>
        <c:crossAx val="91610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5082</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MICHIGAN DEPARTMENT OF CAREER DEVELOPMENT</vt:lpstr>
    </vt:vector>
  </TitlesOfParts>
  <Company>Michigan Dept of Education</Company>
  <LinksUpToDate>false</LinksUpToDate>
  <CharactersWithSpaces>33989</CharactersWithSpaces>
  <SharedDoc>false</SharedDoc>
  <HLinks>
    <vt:vector size="24" baseType="variant">
      <vt:variant>
        <vt:i4>6160464</vt:i4>
      </vt:variant>
      <vt:variant>
        <vt:i4>9</vt:i4>
      </vt:variant>
      <vt:variant>
        <vt:i4>0</vt:i4>
      </vt:variant>
      <vt:variant>
        <vt:i4>5</vt:i4>
      </vt:variant>
      <vt:variant>
        <vt:lpwstr>http://www.michigan.org/</vt:lpwstr>
      </vt:variant>
      <vt:variant>
        <vt:lpwstr/>
      </vt:variant>
      <vt:variant>
        <vt:i4>524369</vt:i4>
      </vt:variant>
      <vt:variant>
        <vt:i4>6</vt:i4>
      </vt:variant>
      <vt:variant>
        <vt:i4>0</vt:i4>
      </vt:variant>
      <vt:variant>
        <vt:i4>5</vt:i4>
      </vt:variant>
      <vt:variant>
        <vt:lpwstr>https://sites.google.com/globalmichigan/homw</vt:lpwstr>
      </vt:variant>
      <vt:variant>
        <vt:lpwstr/>
      </vt:variant>
      <vt:variant>
        <vt:i4>5767178</vt:i4>
      </vt:variant>
      <vt:variant>
        <vt:i4>3</vt:i4>
      </vt:variant>
      <vt:variant>
        <vt:i4>0</vt:i4>
      </vt:variant>
      <vt:variant>
        <vt:i4>5</vt:i4>
      </vt:variant>
      <vt:variant>
        <vt:lpwstr>http://www.talentfreeway.org/</vt:lpwstr>
      </vt:variant>
      <vt:variant>
        <vt:lpwstr/>
      </vt:variant>
      <vt:variant>
        <vt:i4>589854</vt:i4>
      </vt:variant>
      <vt:variant>
        <vt:i4>0</vt:i4>
      </vt:variant>
      <vt:variant>
        <vt:i4>0</vt:i4>
      </vt:variant>
      <vt:variant>
        <vt:i4>5</vt:i4>
      </vt:variant>
      <vt:variant>
        <vt:lpwstr>http://www.maepd.org/lib-careerpathways.html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DEPARTMENT OF CAREER DEVELOPMENT</dc:title>
  <dc:creator>Rhonda Mitchell</dc:creator>
  <cp:lastModifiedBy>Akujobi, Clifford (WDA)</cp:lastModifiedBy>
  <cp:revision>17</cp:revision>
  <cp:lastPrinted>2016-12-22T14:46:00Z</cp:lastPrinted>
  <dcterms:created xsi:type="dcterms:W3CDTF">2016-12-22T15:02:00Z</dcterms:created>
  <dcterms:modified xsi:type="dcterms:W3CDTF">2017-03-10T13:15:00Z</dcterms:modified>
</cp:coreProperties>
</file>