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A5" w:rsidRPr="00CD31AE" w:rsidRDefault="002C085C" w:rsidP="007E71B7">
      <w:pPr>
        <w:jc w:val="center"/>
        <w:rPr>
          <w:sz w:val="28"/>
          <w:szCs w:val="28"/>
        </w:rPr>
      </w:pPr>
      <w:r>
        <w:rPr>
          <w:sz w:val="28"/>
          <w:szCs w:val="28"/>
        </w:rPr>
        <w:t>New York Narrative Report 2014-15</w:t>
      </w:r>
    </w:p>
    <w:p w:rsidR="007E71B7" w:rsidRDefault="007E71B7" w:rsidP="007E71B7">
      <w:pPr>
        <w:jc w:val="center"/>
      </w:pPr>
    </w:p>
    <w:p w:rsidR="007E71B7" w:rsidRDefault="007E71B7" w:rsidP="007E71B7"/>
    <w:p w:rsidR="007E71B7" w:rsidRDefault="007E71B7" w:rsidP="007E71B7">
      <w:pPr>
        <w:rPr>
          <w:b/>
          <w:u w:val="single"/>
        </w:rPr>
      </w:pPr>
      <w:r w:rsidRPr="007E71B7">
        <w:rPr>
          <w:b/>
          <w:u w:val="single"/>
        </w:rPr>
        <w:t>State Leadership Funds</w:t>
      </w:r>
    </w:p>
    <w:p w:rsidR="00172E5E" w:rsidRDefault="00172E5E" w:rsidP="00254EAD">
      <w:pPr>
        <w:autoSpaceDE w:val="0"/>
        <w:autoSpaceDN w:val="0"/>
        <w:adjustRightInd w:val="0"/>
        <w:jc w:val="both"/>
        <w:rPr>
          <w:b/>
          <w:color w:val="000000"/>
        </w:rPr>
      </w:pPr>
      <w:r>
        <w:rPr>
          <w:b/>
          <w:color w:val="000000"/>
        </w:rPr>
        <w:t xml:space="preserve">Describe </w:t>
      </w:r>
      <w:r w:rsidR="008E1444">
        <w:rPr>
          <w:b/>
          <w:color w:val="000000"/>
        </w:rPr>
        <w:t>the major</w:t>
      </w:r>
      <w:r>
        <w:rPr>
          <w:b/>
          <w:color w:val="000000"/>
        </w:rPr>
        <w:t xml:space="preserve"> activities, programs</w:t>
      </w:r>
      <w:r w:rsidR="008E1444">
        <w:rPr>
          <w:b/>
          <w:color w:val="000000"/>
        </w:rPr>
        <w:t xml:space="preserve"> supported with s</w:t>
      </w:r>
      <w:r>
        <w:rPr>
          <w:b/>
          <w:color w:val="000000"/>
        </w:rPr>
        <w:t>tate Leadership funds</w:t>
      </w:r>
      <w:r w:rsidR="00500AF2">
        <w:rPr>
          <w:b/>
          <w:color w:val="000000"/>
        </w:rPr>
        <w:t xml:space="preserve"> </w:t>
      </w:r>
      <w:r w:rsidR="008E1444">
        <w:rPr>
          <w:b/>
          <w:color w:val="000000"/>
        </w:rPr>
        <w:t>during the reporting period and the extent to which</w:t>
      </w:r>
      <w:r>
        <w:rPr>
          <w:b/>
          <w:color w:val="000000"/>
        </w:rPr>
        <w:t xml:space="preserve"> these activities</w:t>
      </w:r>
      <w:r w:rsidR="008E1444">
        <w:rPr>
          <w:b/>
          <w:color w:val="000000"/>
        </w:rPr>
        <w:t xml:space="preserve"> helped in implementing the goals of the state plan.  Specifically describe activities related to the implementation of career pathways.</w:t>
      </w:r>
    </w:p>
    <w:p w:rsidR="00500AF2" w:rsidRPr="004B6BBE" w:rsidRDefault="00500AF2" w:rsidP="00500AF2">
      <w:pPr>
        <w:jc w:val="both"/>
      </w:pPr>
    </w:p>
    <w:p w:rsidR="00A761DC" w:rsidRDefault="00500AF2" w:rsidP="00254EAD">
      <w:pPr>
        <w:spacing w:line="360" w:lineRule="auto"/>
        <w:jc w:val="both"/>
      </w:pPr>
      <w:r w:rsidRPr="004B6BBE">
        <w:t>State leadership funds support</w:t>
      </w:r>
      <w:r w:rsidR="00184ED7">
        <w:t>ed</w:t>
      </w:r>
      <w:r w:rsidRPr="004B6BBE">
        <w:t xml:space="preserve"> the following activities: </w:t>
      </w:r>
      <w:r w:rsidR="00A761DC">
        <w:t xml:space="preserve"> </w:t>
      </w:r>
      <w:r w:rsidR="00A761DC" w:rsidRPr="004B6BBE">
        <w:t>Regional Adult Education Network</w:t>
      </w:r>
      <w:r w:rsidR="00A761DC">
        <w:t xml:space="preserve"> </w:t>
      </w:r>
    </w:p>
    <w:p w:rsidR="00500AF2" w:rsidRDefault="00A761DC" w:rsidP="00254EAD">
      <w:pPr>
        <w:spacing w:line="360" w:lineRule="auto"/>
        <w:jc w:val="both"/>
      </w:pPr>
      <w:r>
        <w:t>(</w:t>
      </w:r>
      <w:r w:rsidR="00500AF2" w:rsidRPr="004B6BBE">
        <w:t>RAEN</w:t>
      </w:r>
      <w:r>
        <w:t>)</w:t>
      </w:r>
      <w:bookmarkStart w:id="0" w:name="_GoBack"/>
      <w:bookmarkEnd w:id="0"/>
      <w:r w:rsidR="00500AF2" w:rsidRPr="004B6BBE">
        <w:t xml:space="preserve">; adult education program licenses; </w:t>
      </w:r>
      <w:r w:rsidR="00500AF2" w:rsidRPr="00BE0C7F">
        <w:t>professional development</w:t>
      </w:r>
      <w:r w:rsidR="00254EAD">
        <w:t xml:space="preserve"> </w:t>
      </w:r>
      <w:r w:rsidR="00254EAD" w:rsidRPr="00C506EF">
        <w:t>and technical assistance focused</w:t>
      </w:r>
      <w:r w:rsidR="00500AF2" w:rsidRPr="00C506EF">
        <w:t xml:space="preserve"> on the National Reporting System</w:t>
      </w:r>
      <w:r w:rsidR="00254EAD" w:rsidRPr="00C506EF">
        <w:t>,</w:t>
      </w:r>
      <w:r w:rsidR="00AF5C8A">
        <w:t xml:space="preserve"> data m</w:t>
      </w:r>
      <w:r w:rsidR="00500AF2" w:rsidRPr="00C506EF">
        <w:t>onitoring</w:t>
      </w:r>
      <w:r w:rsidR="00AF5C8A">
        <w:t xml:space="preserve"> and performance accountabil</w:t>
      </w:r>
      <w:r w:rsidR="00C442D5">
        <w:t>i</w:t>
      </w:r>
      <w:r w:rsidR="00AF5C8A">
        <w:t>ty</w:t>
      </w:r>
      <w:r w:rsidR="00254EAD" w:rsidRPr="00C506EF">
        <w:t>, maintenance of the state’s management information system,</w:t>
      </w:r>
      <w:r w:rsidR="00500AF2" w:rsidRPr="00C506EF">
        <w:t xml:space="preserve"> and</w:t>
      </w:r>
      <w:r w:rsidR="00C442D5">
        <w:t>;</w:t>
      </w:r>
      <w:r w:rsidR="00500AF2" w:rsidRPr="00C506EF">
        <w:t xml:space="preserve"> </w:t>
      </w:r>
      <w:r w:rsidR="00C01388" w:rsidRPr="00C506EF">
        <w:t xml:space="preserve">support for </w:t>
      </w:r>
      <w:r w:rsidR="00500AF2" w:rsidRPr="00C506EF">
        <w:t xml:space="preserve">the continuation of the National External </w:t>
      </w:r>
      <w:r w:rsidR="00500AF2" w:rsidRPr="004B6BBE">
        <w:t>Diploma Program</w:t>
      </w:r>
      <w:r w:rsidR="00500AF2">
        <w:t>.</w:t>
      </w:r>
    </w:p>
    <w:p w:rsidR="00E662A7" w:rsidRDefault="00500AF2" w:rsidP="002C2AD0">
      <w:pPr>
        <w:spacing w:line="360" w:lineRule="auto"/>
        <w:jc w:val="both"/>
      </w:pPr>
      <w:r>
        <w:t>During 2014</w:t>
      </w:r>
      <w:r w:rsidRPr="004B6BBE">
        <w:t xml:space="preserve">, a Request for Proposals </w:t>
      </w:r>
      <w:r>
        <w:t>was developed to fund</w:t>
      </w:r>
      <w:r w:rsidR="00A761DC">
        <w:t xml:space="preserve"> the </w:t>
      </w:r>
      <w:r w:rsidRPr="004B6BBE">
        <w:t>RAEN representing seven geo</w:t>
      </w:r>
      <w:r w:rsidR="002C2AD0">
        <w:t>graphic areas of New York State:</w:t>
      </w:r>
      <w:r w:rsidRPr="004B6BBE">
        <w:t xml:space="preserve"> </w:t>
      </w:r>
      <w:r w:rsidR="002C2AD0">
        <w:t xml:space="preserve">Long Island, New York City, Hudson Valley, </w:t>
      </w:r>
      <w:r w:rsidR="00E662A7">
        <w:t>Capital/North Country, Central/</w:t>
      </w:r>
      <w:r w:rsidR="002C2AD0">
        <w:t xml:space="preserve">Southern Tier, Finger Lakes, and West. </w:t>
      </w:r>
      <w:r w:rsidR="00A761DC">
        <w:t>Seven applicants were selected to provide professional development</w:t>
      </w:r>
      <w:r w:rsidR="00E662A7">
        <w:t xml:space="preserve"> </w:t>
      </w:r>
      <w:r w:rsidR="00E662A7" w:rsidRPr="00C506EF">
        <w:t xml:space="preserve">and technical assistance </w:t>
      </w:r>
      <w:r w:rsidR="00E662A7">
        <w:t>services</w:t>
      </w:r>
      <w:r w:rsidR="00AF5C8A">
        <w:t xml:space="preserve"> to funded programs in coordination with ACCES-AEPP.</w:t>
      </w:r>
    </w:p>
    <w:p w:rsidR="00E662A7" w:rsidRDefault="00500AF2" w:rsidP="002C2AD0">
      <w:pPr>
        <w:spacing w:line="360" w:lineRule="auto"/>
        <w:jc w:val="both"/>
      </w:pPr>
      <w:r>
        <w:t>The</w:t>
      </w:r>
      <w:r w:rsidRPr="004B6BBE">
        <w:t xml:space="preserve"> RAEN</w:t>
      </w:r>
      <w:r>
        <w:t>s</w:t>
      </w:r>
      <w:r w:rsidR="00E662A7">
        <w:t xml:space="preserve"> </w:t>
      </w:r>
      <w:r>
        <w:t>address</w:t>
      </w:r>
      <w:r w:rsidR="00E662A7">
        <w:t xml:space="preserve"> </w:t>
      </w:r>
      <w:r w:rsidR="00E662A7" w:rsidRPr="00C506EF">
        <w:t>professional</w:t>
      </w:r>
      <w:r w:rsidRPr="00C506EF">
        <w:t xml:space="preserve"> </w:t>
      </w:r>
      <w:r w:rsidRPr="004B6BBE">
        <w:t>development and technical assistance based on state and regional needs in the areas of learning standards</w:t>
      </w:r>
      <w:r>
        <w:t xml:space="preserve"> and New York State’s Common Core</w:t>
      </w:r>
      <w:r w:rsidR="00E662A7">
        <w:t xml:space="preserve"> </w:t>
      </w:r>
      <w:r w:rsidR="00E662A7" w:rsidRPr="00C506EF">
        <w:t xml:space="preserve">and College and Career Readiness Standards for new and </w:t>
      </w:r>
      <w:r w:rsidRPr="00C506EF">
        <w:t>experienced teache</w:t>
      </w:r>
      <w:r w:rsidR="00E662A7" w:rsidRPr="00C506EF">
        <w:t>rs in Adult Basic</w:t>
      </w:r>
      <w:r w:rsidR="00E662A7">
        <w:t xml:space="preserve"> Education</w:t>
      </w:r>
      <w:r w:rsidR="00DB0769">
        <w:t xml:space="preserve">, </w:t>
      </w:r>
      <w:r w:rsidR="00DB0769" w:rsidRPr="004B6BBE">
        <w:t>Adult</w:t>
      </w:r>
      <w:r>
        <w:t xml:space="preserve"> Secondary Education</w:t>
      </w:r>
      <w:r w:rsidRPr="004B6BBE">
        <w:t xml:space="preserve">, </w:t>
      </w:r>
      <w:r w:rsidR="00E662A7" w:rsidRPr="00C506EF">
        <w:t>E</w:t>
      </w:r>
      <w:r w:rsidR="00AF5C8A">
        <w:t xml:space="preserve">nglish </w:t>
      </w:r>
      <w:r w:rsidR="00E662A7" w:rsidRPr="00C506EF">
        <w:t>L</w:t>
      </w:r>
      <w:r w:rsidR="00AF5C8A">
        <w:t xml:space="preserve">anguage </w:t>
      </w:r>
      <w:r w:rsidR="00E662A7" w:rsidRPr="00C506EF">
        <w:t>L</w:t>
      </w:r>
      <w:r w:rsidR="00AF5C8A">
        <w:t>earning (ELL)</w:t>
      </w:r>
      <w:r w:rsidR="00E662A7" w:rsidRPr="00C506EF">
        <w:t xml:space="preserve">, </w:t>
      </w:r>
      <w:r w:rsidRPr="00C506EF">
        <w:t>ci</w:t>
      </w:r>
      <w:r w:rsidR="00AF5C8A">
        <w:t>vics</w:t>
      </w:r>
      <w:r w:rsidRPr="004B6BBE">
        <w:t>, evidenced-based instructional strategies</w:t>
      </w:r>
      <w:r w:rsidR="00E662A7">
        <w:t>, high school equivalency preparation, career pathways,</w:t>
      </w:r>
      <w:r w:rsidRPr="004B6BBE">
        <w:t xml:space="preserve"> and program improvement activities</w:t>
      </w:r>
      <w:r w:rsidR="00E662A7">
        <w:t>.</w:t>
      </w:r>
      <w:r w:rsidR="00A761DC">
        <w:t xml:space="preserve"> </w:t>
      </w:r>
    </w:p>
    <w:p w:rsidR="00E3483D" w:rsidRPr="00C506EF" w:rsidRDefault="00024930" w:rsidP="002C2AD0">
      <w:pPr>
        <w:spacing w:line="360" w:lineRule="auto"/>
        <w:jc w:val="both"/>
      </w:pPr>
      <w:r>
        <w:t>During 2014-</w:t>
      </w:r>
      <w:r w:rsidR="00E662A7">
        <w:t>1</w:t>
      </w:r>
      <w:r>
        <w:t xml:space="preserve">5 two RAEN </w:t>
      </w:r>
      <w:r w:rsidR="00C01388">
        <w:t>Director</w:t>
      </w:r>
      <w:r w:rsidR="00E662A7">
        <w:t>s</w:t>
      </w:r>
      <w:r w:rsidR="00E3483D">
        <w:t>,</w:t>
      </w:r>
      <w:r w:rsidR="00E662A7">
        <w:t xml:space="preserve"> one in </w:t>
      </w:r>
      <w:r w:rsidR="00E3483D">
        <w:t>New York City and the other in the Central Southern Region</w:t>
      </w:r>
      <w:r>
        <w:t xml:space="preserve">, </w:t>
      </w:r>
      <w:r w:rsidR="00E3483D">
        <w:t xml:space="preserve">focused on career pathways specifically in the areas of </w:t>
      </w:r>
      <w:r w:rsidR="00E662A7" w:rsidRPr="00C506EF">
        <w:t xml:space="preserve">advanced </w:t>
      </w:r>
      <w:r w:rsidR="00E3483D">
        <w:t xml:space="preserve">manufacturing and health </w:t>
      </w:r>
      <w:r>
        <w:t xml:space="preserve">careers. </w:t>
      </w:r>
      <w:r w:rsidR="00C442D5">
        <w:t>Using</w:t>
      </w:r>
      <w:r>
        <w:t xml:space="preserve"> New York State </w:t>
      </w:r>
      <w:r w:rsidR="00E3483D">
        <w:t>Department of Labor</w:t>
      </w:r>
      <w:r w:rsidR="00E662A7">
        <w:t>’s</w:t>
      </w:r>
      <w:r w:rsidR="00E3483D">
        <w:t xml:space="preserve"> </w:t>
      </w:r>
      <w:r>
        <w:t>car</w:t>
      </w:r>
      <w:r w:rsidR="00E662A7">
        <w:t xml:space="preserve">eer and job </w:t>
      </w:r>
      <w:r w:rsidR="00DB0769">
        <w:t xml:space="preserve">statistical </w:t>
      </w:r>
      <w:r w:rsidR="00DB0769" w:rsidRPr="00C506EF">
        <w:t>data</w:t>
      </w:r>
      <w:r w:rsidR="00C506EF">
        <w:t xml:space="preserve">, the two RAEN </w:t>
      </w:r>
      <w:r>
        <w:t>Directors customized an online resource develop</w:t>
      </w:r>
      <w:r w:rsidR="007A53C7">
        <w:t>ed by Portland State University</w:t>
      </w:r>
      <w:r>
        <w:t xml:space="preserve"> for both </w:t>
      </w:r>
      <w:r w:rsidR="00DB0769">
        <w:t>upstate counties and</w:t>
      </w:r>
      <w:r>
        <w:t xml:space="preserve"> boroughs in New York City. This resource provided students with job opportunities and </w:t>
      </w:r>
      <w:r w:rsidRPr="00C506EF">
        <w:t xml:space="preserve">educational resources </w:t>
      </w:r>
      <w:r w:rsidR="00C506EF">
        <w:t>in preparation</w:t>
      </w:r>
      <w:r w:rsidRPr="00C506EF">
        <w:t xml:space="preserve"> for</w:t>
      </w:r>
      <w:r w:rsidR="009B4B81" w:rsidRPr="00C506EF">
        <w:t xml:space="preserve"> entry level </w:t>
      </w:r>
      <w:r w:rsidRPr="00C506EF">
        <w:t>careers</w:t>
      </w:r>
      <w:r w:rsidR="009B4B81" w:rsidRPr="00C506EF">
        <w:t xml:space="preserve"> and career ladder opportunities </w:t>
      </w:r>
      <w:r w:rsidRPr="00C506EF">
        <w:t xml:space="preserve">in their </w:t>
      </w:r>
      <w:r w:rsidR="009B4B81" w:rsidRPr="00C506EF">
        <w:t xml:space="preserve">respective communities.  </w:t>
      </w:r>
    </w:p>
    <w:p w:rsidR="00500AF2" w:rsidRPr="004B6BBE" w:rsidRDefault="00500AF2" w:rsidP="009B4B81">
      <w:pPr>
        <w:spacing w:line="360" w:lineRule="auto"/>
        <w:jc w:val="both"/>
      </w:pPr>
      <w:r w:rsidRPr="004B6BBE">
        <w:t>The New York State Adult Education Programs and Policy</w:t>
      </w:r>
      <w:r w:rsidR="00AF5C8A">
        <w:t xml:space="preserve"> (AEPP) </w:t>
      </w:r>
      <w:r w:rsidRPr="004B6BBE">
        <w:t xml:space="preserve">Team and the RAEN directors </w:t>
      </w:r>
      <w:r>
        <w:t>continue</w:t>
      </w:r>
      <w:r w:rsidR="00184ED7">
        <w:t>d</w:t>
      </w:r>
      <w:r>
        <w:t xml:space="preserve"> to </w:t>
      </w:r>
      <w:r w:rsidRPr="004B6BBE">
        <w:t xml:space="preserve">provide coordinated technical assistance to programs that performed </w:t>
      </w:r>
      <w:r w:rsidRPr="004B6BBE">
        <w:lastRenderedPageBreak/>
        <w:t>below</w:t>
      </w:r>
      <w:r w:rsidR="00AF5C8A">
        <w:t xml:space="preserve"> </w:t>
      </w:r>
      <w:r w:rsidRPr="004B6BBE">
        <w:t>acceptable NRS perfo</w:t>
      </w:r>
      <w:r w:rsidR="00184ED7">
        <w:t>rmance</w:t>
      </w:r>
      <w:r w:rsidR="009B4B81">
        <w:t xml:space="preserve"> </w:t>
      </w:r>
      <w:r w:rsidR="009B4B81" w:rsidRPr="00C506EF">
        <w:t>levels</w:t>
      </w:r>
      <w:r w:rsidR="00184ED7" w:rsidRPr="00C506EF">
        <w:t xml:space="preserve">.  </w:t>
      </w:r>
      <w:r w:rsidR="00184ED7">
        <w:t>The RAEN directors</w:t>
      </w:r>
      <w:r w:rsidRPr="004B6BBE">
        <w:t xml:space="preserve"> provide</w:t>
      </w:r>
      <w:r w:rsidR="00184ED7">
        <w:t>d</w:t>
      </w:r>
      <w:r w:rsidRPr="004B6BBE">
        <w:t xml:space="preserve"> technical assistance to </w:t>
      </w:r>
      <w:r w:rsidR="009B4B81" w:rsidRPr="00C506EF">
        <w:t>assist</w:t>
      </w:r>
      <w:r w:rsidRPr="00C506EF">
        <w:t xml:space="preserve"> </w:t>
      </w:r>
      <w:r w:rsidRPr="004B6BBE">
        <w:t xml:space="preserve">programs </w:t>
      </w:r>
      <w:r w:rsidR="009B4B81" w:rsidRPr="00C506EF">
        <w:t>in identifying areas in need of improvement</w:t>
      </w:r>
      <w:r w:rsidR="009B4B81">
        <w:t xml:space="preserve">. </w:t>
      </w:r>
      <w:r w:rsidR="00184ED7">
        <w:t xml:space="preserve"> The RAEN directors</w:t>
      </w:r>
      <w:r w:rsidRPr="004B6BBE">
        <w:t xml:space="preserve"> dedicate</w:t>
      </w:r>
      <w:r w:rsidR="00184ED7">
        <w:t>d</w:t>
      </w:r>
      <w:r w:rsidRPr="004B6BBE">
        <w:t xml:space="preserve"> 90</w:t>
      </w:r>
      <w:r w:rsidR="00184ED7">
        <w:t xml:space="preserve"> percent</w:t>
      </w:r>
      <w:r w:rsidRPr="004B6BBE">
        <w:t xml:space="preserve"> of technical assistance to programs in need of improveme</w:t>
      </w:r>
      <w:r w:rsidR="00666E3E">
        <w:t>nt in the seven regions of the s</w:t>
      </w:r>
      <w:r w:rsidRPr="004B6BBE">
        <w:t>tate.</w:t>
      </w:r>
    </w:p>
    <w:p w:rsidR="00BA598D" w:rsidRDefault="00500AF2" w:rsidP="00666E3E">
      <w:pPr>
        <w:spacing w:line="360" w:lineRule="auto"/>
        <w:jc w:val="both"/>
      </w:pPr>
      <w:r w:rsidRPr="004B6BBE">
        <w:t>Individual Technical Assistance Plan</w:t>
      </w:r>
      <w:r>
        <w:t>s</w:t>
      </w:r>
      <w:r w:rsidRPr="004B6BBE">
        <w:t xml:space="preserve"> (ITAP) combined with on-site agency visits and program </w:t>
      </w:r>
      <w:r w:rsidR="00BA598D">
        <w:t>s</w:t>
      </w:r>
      <w:r w:rsidRPr="004B6BBE">
        <w:t>taff discussions provide</w:t>
      </w:r>
      <w:r w:rsidR="00184ED7">
        <w:t>d</w:t>
      </w:r>
      <w:r w:rsidRPr="004B6BBE">
        <w:t xml:space="preserve"> a fram</w:t>
      </w:r>
      <w:r w:rsidR="00666E3E">
        <w:t xml:space="preserve">ework for technical assistance </w:t>
      </w:r>
      <w:r w:rsidRPr="004B6BBE">
        <w:t>and appropriate professional development.</w:t>
      </w:r>
      <w:r w:rsidR="00184ED7">
        <w:t xml:space="preserve">  Each program under review </w:t>
      </w:r>
      <w:r w:rsidRPr="004B6BBE">
        <w:t>develop</w:t>
      </w:r>
      <w:r w:rsidR="00184ED7">
        <w:t>ed</w:t>
      </w:r>
      <w:r w:rsidR="00666E3E">
        <w:t xml:space="preserve"> a program improvement </w:t>
      </w:r>
      <w:r w:rsidR="00666E3E" w:rsidRPr="00C506EF">
        <w:t>plan</w:t>
      </w:r>
      <w:r w:rsidRPr="00666E3E">
        <w:rPr>
          <w:color w:val="0070C0"/>
        </w:rPr>
        <w:t xml:space="preserve"> </w:t>
      </w:r>
      <w:r w:rsidRPr="004B6BBE">
        <w:t xml:space="preserve">following guidance from the New York State NRS manual (see: </w:t>
      </w:r>
      <w:hyperlink r:id="rId7" w:history="1">
        <w:r w:rsidR="00666E3E" w:rsidRPr="00054EB7">
          <w:rPr>
            <w:rStyle w:val="Hyperlink"/>
          </w:rPr>
          <w:t>www.adult-education-accountability.org</w:t>
        </w:r>
      </w:hyperlink>
      <w:r w:rsidR="00666E3E">
        <w:t>)</w:t>
      </w:r>
      <w:r w:rsidR="00BA598D">
        <w:t xml:space="preserve"> </w:t>
      </w:r>
    </w:p>
    <w:p w:rsidR="00500AF2" w:rsidRDefault="00500AF2" w:rsidP="00666E3E">
      <w:pPr>
        <w:spacing w:line="360" w:lineRule="auto"/>
        <w:jc w:val="both"/>
      </w:pPr>
      <w:r w:rsidRPr="004B6BBE">
        <w:t>Local program improvement committees</w:t>
      </w:r>
      <w:r w:rsidR="00666E3E">
        <w:t>,</w:t>
      </w:r>
      <w:r w:rsidRPr="004B6BBE">
        <w:t xml:space="preserve"> r</w:t>
      </w:r>
      <w:r w:rsidR="00666E3E">
        <w:t xml:space="preserve">equired in the Request for </w:t>
      </w:r>
      <w:r w:rsidR="00666E3E" w:rsidRPr="00C506EF">
        <w:t>Proposals,</w:t>
      </w:r>
      <w:r w:rsidR="00184ED7" w:rsidRPr="00666E3E">
        <w:rPr>
          <w:color w:val="0070C0"/>
        </w:rPr>
        <w:t xml:space="preserve"> </w:t>
      </w:r>
      <w:r w:rsidRPr="004B6BBE">
        <w:t>work</w:t>
      </w:r>
      <w:r w:rsidR="00184ED7">
        <w:t>ed</w:t>
      </w:r>
      <w:r w:rsidRPr="004B6BBE">
        <w:t xml:space="preserve"> with </w:t>
      </w:r>
      <w:r w:rsidR="007F3395">
        <w:t xml:space="preserve">the </w:t>
      </w:r>
      <w:r w:rsidRPr="004B6BBE">
        <w:t xml:space="preserve">RAEN directors to identify data management and </w:t>
      </w:r>
      <w:r w:rsidR="00666E3E" w:rsidRPr="00C506EF">
        <w:t xml:space="preserve">related </w:t>
      </w:r>
      <w:r w:rsidRPr="004B6BBE">
        <w:t>instructional strategies.  In 201</w:t>
      </w:r>
      <w:r>
        <w:t>4</w:t>
      </w:r>
      <w:r w:rsidRPr="004B6BBE">
        <w:t>-1</w:t>
      </w:r>
      <w:r>
        <w:t>5</w:t>
      </w:r>
      <w:r w:rsidR="00184ED7">
        <w:t xml:space="preserve">, the RAEN directors </w:t>
      </w:r>
      <w:r w:rsidRPr="004B6BBE">
        <w:t>provide</w:t>
      </w:r>
      <w:r w:rsidR="00184ED7">
        <w:t>d</w:t>
      </w:r>
      <w:r w:rsidRPr="004B6BBE">
        <w:t xml:space="preserve"> on-site assistance to </w:t>
      </w:r>
      <w:r w:rsidR="00184ED7">
        <w:t>a minimum of 25</w:t>
      </w:r>
      <w:r w:rsidRPr="004B6BBE">
        <w:t xml:space="preserve"> programs</w:t>
      </w:r>
      <w:r w:rsidR="00FF0E2B">
        <w:t xml:space="preserve"> </w:t>
      </w:r>
      <w:r w:rsidR="00FF0E2B" w:rsidRPr="00C506EF">
        <w:t>statewide</w:t>
      </w:r>
      <w:r w:rsidRPr="00C506EF">
        <w:t xml:space="preserve"> </w:t>
      </w:r>
      <w:r w:rsidRPr="004B6BBE">
        <w:t>including the</w:t>
      </w:r>
      <w:r w:rsidR="00666E3E">
        <w:t xml:space="preserve"> </w:t>
      </w:r>
      <w:r w:rsidRPr="004B6BBE">
        <w:t xml:space="preserve">identification of mentors from high performing agencies. </w:t>
      </w:r>
      <w:r w:rsidR="00184ED7">
        <w:t xml:space="preserve">In addition, the RAEN </w:t>
      </w:r>
      <w:r w:rsidRPr="004B6BBE">
        <w:t>continue</w:t>
      </w:r>
      <w:r w:rsidR="00184ED7">
        <w:t>d</w:t>
      </w:r>
      <w:r w:rsidRPr="004B6BBE">
        <w:t xml:space="preserve"> to provide distance-learning services including interactive teleconferences, Giving Ready</w:t>
      </w:r>
      <w:r>
        <w:t xml:space="preserve"> Adults </w:t>
      </w:r>
      <w:r w:rsidR="00666E3E">
        <w:t xml:space="preserve">a </w:t>
      </w:r>
      <w:r>
        <w:t xml:space="preserve">Study Program (GRASP), </w:t>
      </w:r>
      <w:r w:rsidRPr="004B6BBE">
        <w:t xml:space="preserve">Skills to Make Adults Ready to Succeed (SMART), and Crossroads Café. </w:t>
      </w:r>
    </w:p>
    <w:p w:rsidR="00500AF2" w:rsidRDefault="00500AF2" w:rsidP="00666E3E">
      <w:pPr>
        <w:spacing w:line="360" w:lineRule="auto"/>
        <w:jc w:val="both"/>
      </w:pPr>
      <w:r w:rsidRPr="004B6BBE">
        <w:t xml:space="preserve">The RAEN plays an active role in coordinating </w:t>
      </w:r>
      <w:r w:rsidRPr="00C506EF">
        <w:t>Workforce In</w:t>
      </w:r>
      <w:r w:rsidR="00666E3E" w:rsidRPr="00C506EF">
        <w:t>novation &amp; Opportunity</w:t>
      </w:r>
      <w:r w:rsidRPr="00C506EF">
        <w:t xml:space="preserve"> Act Title II grant </w:t>
      </w:r>
      <w:r w:rsidR="00666E3E" w:rsidRPr="00C506EF">
        <w:t>(previously Workforce Investment Act Title II)</w:t>
      </w:r>
      <w:r w:rsidR="00666E3E" w:rsidRPr="00666E3E">
        <w:rPr>
          <w:color w:val="0070C0"/>
        </w:rPr>
        <w:t xml:space="preserve"> </w:t>
      </w:r>
      <w:r w:rsidRPr="004B6BBE">
        <w:t>recipients with respect to the development of local memoranda of understanding and the development of support to adult education within the local workforce investment areas.</w:t>
      </w:r>
      <w:r>
        <w:t xml:space="preserve"> </w:t>
      </w:r>
      <w:r w:rsidR="00184ED7">
        <w:t>The</w:t>
      </w:r>
      <w:r w:rsidR="00666E3E">
        <w:t xml:space="preserve"> </w:t>
      </w:r>
      <w:r w:rsidR="00184ED7">
        <w:t xml:space="preserve">RAENs </w:t>
      </w:r>
      <w:r w:rsidRPr="004B6BBE">
        <w:t>conduct</w:t>
      </w:r>
      <w:r w:rsidR="00184ED7">
        <w:t xml:space="preserve">ed </w:t>
      </w:r>
      <w:r w:rsidRPr="004B6BBE">
        <w:t xml:space="preserve">full day meetings with One Stop partners </w:t>
      </w:r>
      <w:r w:rsidR="00666E3E" w:rsidRPr="00C506EF">
        <w:t xml:space="preserve">and adult education providers </w:t>
      </w:r>
      <w:r w:rsidRPr="004B6BBE">
        <w:t>in each of the</w:t>
      </w:r>
      <w:r>
        <w:t xml:space="preserve"> RAEN </w:t>
      </w:r>
      <w:r w:rsidRPr="004B6BBE">
        <w:t>regions</w:t>
      </w:r>
      <w:r>
        <w:t>.</w:t>
      </w:r>
    </w:p>
    <w:p w:rsidR="00500AF2" w:rsidRPr="00C506EF" w:rsidRDefault="00500AF2" w:rsidP="00666E3E">
      <w:pPr>
        <w:spacing w:line="360" w:lineRule="auto"/>
        <w:jc w:val="both"/>
      </w:pPr>
      <w:r>
        <w:t>The</w:t>
      </w:r>
      <w:r w:rsidRPr="004B6BBE">
        <w:t xml:space="preserve"> sec</w:t>
      </w:r>
      <w:r w:rsidR="00184ED7">
        <w:t>ond leadership project continued</w:t>
      </w:r>
      <w:r w:rsidRPr="004B6BBE">
        <w:t xml:space="preserve"> the licensing agreements between Kentucky Educational Television and </w:t>
      </w:r>
      <w:r>
        <w:t xml:space="preserve">New York State’s </w:t>
      </w:r>
      <w:r w:rsidRPr="004B6BBE">
        <w:t>Publi</w:t>
      </w:r>
      <w:r>
        <w:t xml:space="preserve">c Broadcasting Stations (PBS). </w:t>
      </w:r>
      <w:r w:rsidRPr="004B6BBE">
        <w:t>The</w:t>
      </w:r>
      <w:r>
        <w:t>se licensing agreements include</w:t>
      </w:r>
      <w:r w:rsidR="00184ED7">
        <w:t>d</w:t>
      </w:r>
      <w:r w:rsidRPr="004B6BBE">
        <w:t xml:space="preserve"> distance learning programs</w:t>
      </w:r>
      <w:r>
        <w:t xml:space="preserve"> and</w:t>
      </w:r>
      <w:r w:rsidRPr="004B6BBE">
        <w:t xml:space="preserve"> are ongoing, as these programs provide</w:t>
      </w:r>
      <w:r w:rsidR="00184ED7">
        <w:t>d</w:t>
      </w:r>
      <w:r w:rsidRPr="004B6BBE">
        <w:t xml:space="preserve"> the curriculum framework for many of New York’s distance-learning</w:t>
      </w:r>
      <w:r w:rsidR="00FF0E2B">
        <w:t xml:space="preserve"> </w:t>
      </w:r>
      <w:r w:rsidR="00FF0E2B" w:rsidRPr="00C506EF">
        <w:t>(home-study)</w:t>
      </w:r>
      <w:r w:rsidRPr="00C506EF">
        <w:t xml:space="preserve"> </w:t>
      </w:r>
      <w:r w:rsidRPr="004B6BBE">
        <w:t xml:space="preserve">programs. </w:t>
      </w:r>
      <w:r w:rsidR="00184ED7">
        <w:t>NYSED contracted</w:t>
      </w:r>
      <w:r>
        <w:t xml:space="preserve"> with Corstar Communications LLC for </w:t>
      </w:r>
      <w:r w:rsidRPr="00C506EF">
        <w:t>Cross</w:t>
      </w:r>
      <w:r w:rsidR="00FF0E2B" w:rsidRPr="00C506EF">
        <w:t>r</w:t>
      </w:r>
      <w:r w:rsidRPr="00C506EF">
        <w:t>oads</w:t>
      </w:r>
      <w:r w:rsidRPr="00FF0E2B">
        <w:rPr>
          <w:color w:val="0070C0"/>
        </w:rPr>
        <w:t xml:space="preserve"> </w:t>
      </w:r>
      <w:r>
        <w:t xml:space="preserve">Café and Life Lines electronic workbooks. </w:t>
      </w:r>
    </w:p>
    <w:p w:rsidR="00FF0E2B" w:rsidRDefault="00500AF2" w:rsidP="00074F99">
      <w:pPr>
        <w:spacing w:line="360" w:lineRule="auto"/>
        <w:jc w:val="both"/>
      </w:pPr>
      <w:r w:rsidRPr="008456CB">
        <w:t>The third leadership project continue</w:t>
      </w:r>
      <w:r w:rsidR="00184ED7">
        <w:t>d</w:t>
      </w:r>
      <w:r w:rsidRPr="008456CB">
        <w:t xml:space="preserve"> to assist local adult education program personnel to identify and define the interrelationships between data and program performance and identify program improvement efforts that can be implemented by the local programs.  During 201</w:t>
      </w:r>
      <w:r>
        <w:t>4</w:t>
      </w:r>
      <w:r w:rsidRPr="008456CB">
        <w:t>-1</w:t>
      </w:r>
      <w:r>
        <w:t>5</w:t>
      </w:r>
      <w:r w:rsidRPr="008456CB">
        <w:t>, other data areas w</w:t>
      </w:r>
      <w:r w:rsidR="00184ED7">
        <w:t>ere</w:t>
      </w:r>
      <w:r w:rsidRPr="008456CB">
        <w:t xml:space="preserve"> developed to record agencies’ </w:t>
      </w:r>
      <w:r w:rsidR="00FF0E2B" w:rsidRPr="00D06E96">
        <w:t xml:space="preserve">participation in </w:t>
      </w:r>
      <w:r w:rsidRPr="00D06E96">
        <w:t>staff development</w:t>
      </w:r>
      <w:r w:rsidR="00FF0E2B" w:rsidRPr="00D06E96">
        <w:t xml:space="preserve"> activities, and make improvements to the fiscal recording options following a recommendation from our </w:t>
      </w:r>
      <w:r w:rsidR="00FF0E2B" w:rsidRPr="00D06E96">
        <w:lastRenderedPageBreak/>
        <w:t xml:space="preserve">internal audit department. These efforts have improved and extended our efforts in accountability. </w:t>
      </w:r>
      <w:r w:rsidRPr="008456CB">
        <w:t>Each year performance report cards are constructed, reviewed and disseminated in coordination with NYSED</w:t>
      </w:r>
      <w:r w:rsidR="00FF0E2B">
        <w:t xml:space="preserve"> </w:t>
      </w:r>
      <w:r w:rsidR="00FF0E2B" w:rsidRPr="00696AEA">
        <w:t>for e</w:t>
      </w:r>
      <w:r w:rsidR="00D06E96" w:rsidRPr="00696AEA">
        <w:t>ach</w:t>
      </w:r>
      <w:r w:rsidR="00696AEA">
        <w:t xml:space="preserve"> Workforce Investment Act </w:t>
      </w:r>
      <w:r w:rsidR="00D06E96" w:rsidRPr="00696AEA">
        <w:t xml:space="preserve">Title </w:t>
      </w:r>
      <w:r w:rsidR="00DB0769" w:rsidRPr="00696AEA">
        <w:t>II funded</w:t>
      </w:r>
      <w:r w:rsidR="00FF0E2B" w:rsidRPr="00696AEA">
        <w:t xml:space="preserve"> program</w:t>
      </w:r>
      <w:r w:rsidRPr="008456CB">
        <w:t xml:space="preserve">.  </w:t>
      </w:r>
    </w:p>
    <w:p w:rsidR="00AF5C8A" w:rsidRDefault="00FF0E2B" w:rsidP="00074F99">
      <w:pPr>
        <w:spacing w:line="360" w:lineRule="auto"/>
        <w:jc w:val="both"/>
      </w:pPr>
      <w:r w:rsidRPr="00696AEA">
        <w:t>The fourth leadership project was a</w:t>
      </w:r>
      <w:r w:rsidR="00696AEA" w:rsidRPr="00696AEA">
        <w:t xml:space="preserve"> rebid of the </w:t>
      </w:r>
      <w:r w:rsidRPr="00696AEA">
        <w:t>National Reporting System (NRS) accountability contract. Under this contract, t</w:t>
      </w:r>
      <w:r w:rsidR="00500AF2" w:rsidRPr="008456CB">
        <w:t>echnical assistance and monitoring are done in consort with NYSED staff and the seven RAEN directors.</w:t>
      </w:r>
      <w:r w:rsidR="00BA598D" w:rsidRPr="00BA598D">
        <w:t xml:space="preserve"> </w:t>
      </w:r>
      <w:r>
        <w:t xml:space="preserve">In addition, this contact provides all the professional development related to accountability and fiscal compliance.  This year </w:t>
      </w:r>
      <w:r w:rsidR="00AF5C8A">
        <w:t>two</w:t>
      </w:r>
      <w:r>
        <w:t xml:space="preserve"> new website w</w:t>
      </w:r>
      <w:r w:rsidR="00AF5C8A">
        <w:t>ere</w:t>
      </w:r>
      <w:r>
        <w:t xml:space="preserve"> launched</w:t>
      </w:r>
      <w:r w:rsidR="00AF5C8A">
        <w:t xml:space="preserve"> to support instruction tied to more academically rigorous college and career standards:</w:t>
      </w:r>
      <w:r w:rsidR="00DF1B81">
        <w:t xml:space="preserve"> </w:t>
      </w:r>
      <w:hyperlink r:id="rId8" w:history="1">
        <w:r w:rsidR="00AF5C8A" w:rsidRPr="009A2FFF">
          <w:rPr>
            <w:rStyle w:val="Hyperlink"/>
          </w:rPr>
          <w:t>www.</w:t>
        </w:r>
        <w:r w:rsidR="00BA598D" w:rsidRPr="009A2FFF">
          <w:rPr>
            <w:rStyle w:val="Hyperlink"/>
          </w:rPr>
          <w:t>TeachingtotheCore.org</w:t>
        </w:r>
      </w:hyperlink>
      <w:r w:rsidR="00BA598D">
        <w:t>, and</w:t>
      </w:r>
      <w:r w:rsidR="00AF5C8A">
        <w:t xml:space="preserve"> </w:t>
      </w:r>
      <w:hyperlink r:id="rId9" w:history="1">
        <w:r w:rsidR="00AF5C8A" w:rsidRPr="00053F29">
          <w:rPr>
            <w:rStyle w:val="Hyperlink"/>
          </w:rPr>
          <w:t>www.CollectEDNY.org</w:t>
        </w:r>
      </w:hyperlink>
      <w:r w:rsidR="00AF5C8A">
        <w:t>.</w:t>
      </w:r>
    </w:p>
    <w:p w:rsidR="00BA598D" w:rsidRDefault="00C442D5" w:rsidP="00074F99">
      <w:pPr>
        <w:spacing w:line="360" w:lineRule="auto"/>
        <w:jc w:val="both"/>
      </w:pPr>
      <w:r>
        <w:t xml:space="preserve">In addition, </w:t>
      </w:r>
      <w:r w:rsidR="00BA598D">
        <w:t>New York’s HSE data base</w:t>
      </w:r>
      <w:r w:rsidR="00AF5C8A">
        <w:t xml:space="preserve"> ASISTS was expanded through</w:t>
      </w:r>
      <w:r w:rsidR="00BA598D">
        <w:t>, the creation of new, more robust teacher- and site-level reports that display performance metrics such as attendance, achievement gains,</w:t>
      </w:r>
      <w:r w:rsidR="00AF5C8A">
        <w:t xml:space="preserve"> HSE diagnostics</w:t>
      </w:r>
      <w:r w:rsidR="00BA598D">
        <w:t xml:space="preserve"> and other outcomes.  </w:t>
      </w:r>
    </w:p>
    <w:p w:rsidR="00500AF2" w:rsidRDefault="00500AF2" w:rsidP="00074F99">
      <w:pPr>
        <w:spacing w:line="360" w:lineRule="auto"/>
        <w:jc w:val="both"/>
      </w:pPr>
      <w:r w:rsidRPr="004B6BBE">
        <w:t>The f</w:t>
      </w:r>
      <w:r w:rsidR="00FF0E2B">
        <w:t>ifth</w:t>
      </w:r>
      <w:r w:rsidRPr="004B6BBE">
        <w:t xml:space="preserve"> </w:t>
      </w:r>
      <w:r w:rsidR="00184ED7">
        <w:t>leadership project funded is</w:t>
      </w:r>
      <w:r w:rsidRPr="004B6BBE">
        <w:t xml:space="preserve"> of the National External Diploma Program (NEDP)</w:t>
      </w:r>
      <w:r>
        <w:t>, a nontraditional experiential adult learning assessment program which serves as an alternative pathway to high school credentialing</w:t>
      </w:r>
      <w:r w:rsidRPr="004B6BBE">
        <w:t xml:space="preserve">. </w:t>
      </w:r>
      <w:r w:rsidR="00C442D5">
        <w:t xml:space="preserve"> The </w:t>
      </w:r>
      <w:r w:rsidRPr="004B6BBE">
        <w:t>New York State Education Department has contracted with Comprehensive Adult Student Assessmen</w:t>
      </w:r>
      <w:r w:rsidR="00C442D5">
        <w:t>t Systems (CASAS) to provide this</w:t>
      </w:r>
      <w:r w:rsidRPr="004B6BBE">
        <w:t xml:space="preserve"> assessment program that allows adult education students in New York to demonstrate their transferable skills for which a local high school diploma is awarded</w:t>
      </w:r>
      <w:r>
        <w:t>.</w:t>
      </w:r>
      <w:r w:rsidRPr="004B6BBE">
        <w:t xml:space="preserve"> The</w:t>
      </w:r>
      <w:r>
        <w:t xml:space="preserve"> four components are diagnostics, generalized assessment, post-task assessment, and portfolio review and graduation. NEDP has updated the number of competencies to measure 21</w:t>
      </w:r>
      <w:r w:rsidRPr="00B51350">
        <w:rPr>
          <w:vertAlign w:val="superscript"/>
        </w:rPr>
        <w:t>st</w:t>
      </w:r>
      <w:r>
        <w:t xml:space="preserve"> century skills and the total program is being aligned to Common Core/College and Career Readiness Standards.  Currently there are 26 programs in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however, the goal is to increase programming to 35 agencies.  During 2014-15</w:t>
      </w:r>
      <w:r w:rsidR="002C2AD0">
        <w:t xml:space="preserve"> a process </w:t>
      </w:r>
      <w:r>
        <w:t>continue</w:t>
      </w:r>
      <w:r w:rsidR="002C2AD0">
        <w:t>d</w:t>
      </w:r>
      <w:r>
        <w:t xml:space="preserve"> to add NEDP to the NYSED Commissioner’s Regulations as another pathway to a New York State </w:t>
      </w:r>
      <w:r w:rsidR="00C442D5">
        <w:t>High School Equivalency diploma</w:t>
      </w:r>
      <w:r>
        <w:t>.  The inclusion of web-based training and instruction in 2014-15</w:t>
      </w:r>
      <w:r w:rsidR="002C2AD0">
        <w:t xml:space="preserve"> </w:t>
      </w:r>
      <w:r>
        <w:t>support</w:t>
      </w:r>
      <w:r w:rsidR="002C2AD0">
        <w:t xml:space="preserve">ed </w:t>
      </w:r>
      <w:r>
        <w:t>the expansion of NEDP programming.</w:t>
      </w:r>
    </w:p>
    <w:p w:rsidR="00D64F18" w:rsidRDefault="00D64F18" w:rsidP="00074F99">
      <w:pPr>
        <w:spacing w:line="360" w:lineRule="auto"/>
        <w:jc w:val="both"/>
      </w:pPr>
    </w:p>
    <w:p w:rsidR="00D64F18" w:rsidRDefault="00D64F18" w:rsidP="00D64F18">
      <w:pPr>
        <w:rPr>
          <w:b/>
          <w:u w:val="single"/>
        </w:rPr>
      </w:pPr>
      <w:r w:rsidRPr="00A701ED">
        <w:rPr>
          <w:b/>
          <w:u w:val="single"/>
        </w:rPr>
        <w:t>Performance Data Analyses</w:t>
      </w:r>
      <w:r>
        <w:rPr>
          <w:b/>
          <w:u w:val="single"/>
        </w:rPr>
        <w:t xml:space="preserve">  </w:t>
      </w:r>
    </w:p>
    <w:p w:rsidR="00D64F18" w:rsidRPr="00D20B4B" w:rsidRDefault="00D64F18" w:rsidP="00D64F18">
      <w:pPr>
        <w:autoSpaceDE w:val="0"/>
        <w:autoSpaceDN w:val="0"/>
        <w:adjustRightInd w:val="0"/>
        <w:spacing w:line="360" w:lineRule="auto"/>
        <w:rPr>
          <w:color w:val="000000"/>
        </w:rPr>
      </w:pPr>
      <w:r w:rsidRPr="003E397F">
        <w:rPr>
          <w:b/>
          <w:color w:val="000000"/>
        </w:rPr>
        <w:t>Describe any significant findings from the</w:t>
      </w:r>
      <w:r>
        <w:rPr>
          <w:b/>
          <w:color w:val="000000"/>
        </w:rPr>
        <w:t xml:space="preserve"> evaluation of </w:t>
      </w:r>
      <w:r w:rsidR="00DB0769">
        <w:rPr>
          <w:b/>
          <w:color w:val="000000"/>
        </w:rPr>
        <w:t xml:space="preserve">the </w:t>
      </w:r>
      <w:r w:rsidR="00DB0769" w:rsidRPr="003E397F">
        <w:rPr>
          <w:b/>
          <w:color w:val="000000"/>
        </w:rPr>
        <w:t>agency’s</w:t>
      </w:r>
      <w:r w:rsidRPr="003E397F">
        <w:rPr>
          <w:b/>
          <w:color w:val="000000"/>
        </w:rPr>
        <w:t xml:space="preserve"> </w:t>
      </w:r>
      <w:r>
        <w:rPr>
          <w:b/>
          <w:color w:val="000000"/>
        </w:rPr>
        <w:t xml:space="preserve">performance data for the reporting period and efforts to improve outcomes for the core indicators of performance.  </w:t>
      </w:r>
    </w:p>
    <w:p w:rsidR="00D64F18" w:rsidRPr="002366C5" w:rsidRDefault="00D64F18" w:rsidP="00D64F18"/>
    <w:p w:rsidR="00D64F18" w:rsidRDefault="00D64F18" w:rsidP="00D64F18">
      <w:pPr>
        <w:spacing w:line="360" w:lineRule="auto"/>
        <w:jc w:val="both"/>
        <w:rPr>
          <w:rFonts w:eastAsia="Times New Roman" w:cs="Times New Roman"/>
        </w:rPr>
      </w:pPr>
      <w:r w:rsidRPr="00C91C73">
        <w:rPr>
          <w:rFonts w:eastAsia="Times New Roman" w:cs="Times New Roman"/>
        </w:rPr>
        <w:t>New York State infuses d</w:t>
      </w:r>
      <w:r>
        <w:rPr>
          <w:rFonts w:eastAsia="Times New Roman" w:cs="Times New Roman"/>
        </w:rPr>
        <w:t xml:space="preserve">ata in all aspects of managing </w:t>
      </w:r>
      <w:r w:rsidRPr="00C91C73">
        <w:rPr>
          <w:rFonts w:eastAsia="Times New Roman" w:cs="Times New Roman"/>
        </w:rPr>
        <w:t>adult educati</w:t>
      </w:r>
      <w:r>
        <w:rPr>
          <w:rFonts w:eastAsia="Times New Roman" w:cs="Times New Roman"/>
        </w:rPr>
        <w:t xml:space="preserve">on programs. Each one of the </w:t>
      </w:r>
      <w:r w:rsidRPr="00D64F18">
        <w:rPr>
          <w:rFonts w:eastAsia="Times New Roman" w:cs="Times New Roman"/>
        </w:rPr>
        <w:t xml:space="preserve">155 </w:t>
      </w:r>
      <w:r w:rsidRPr="00C91C73">
        <w:rPr>
          <w:rFonts w:eastAsia="Times New Roman" w:cs="Times New Roman"/>
        </w:rPr>
        <w:t xml:space="preserve">local programs maintained their student data and submitted performance data through New York's online management information system.  NYSED regional staff, the seven RAEN directors, along with the Accountability </w:t>
      </w:r>
      <w:r>
        <w:rPr>
          <w:rFonts w:eastAsia="Times New Roman" w:cs="Times New Roman"/>
        </w:rPr>
        <w:t>S</w:t>
      </w:r>
      <w:r w:rsidRPr="00C91C73">
        <w:rPr>
          <w:rFonts w:eastAsia="Times New Roman" w:cs="Times New Roman"/>
        </w:rPr>
        <w:t>pecialist review individual program data quarterly.  These data</w:t>
      </w:r>
      <w:r w:rsidR="00C442D5">
        <w:rPr>
          <w:rFonts w:eastAsia="Times New Roman" w:cs="Times New Roman"/>
        </w:rPr>
        <w:t xml:space="preserve"> reviews</w:t>
      </w:r>
      <w:r w:rsidRPr="00C91C73">
        <w:rPr>
          <w:rFonts w:eastAsia="Times New Roman" w:cs="Times New Roman"/>
        </w:rPr>
        <w:t xml:space="preserve"> </w:t>
      </w:r>
      <w:r>
        <w:rPr>
          <w:rFonts w:eastAsia="Times New Roman" w:cs="Times New Roman"/>
        </w:rPr>
        <w:t>initiate</w:t>
      </w:r>
      <w:r w:rsidRPr="00C91C73">
        <w:rPr>
          <w:rFonts w:eastAsia="Times New Roman" w:cs="Times New Roman"/>
        </w:rPr>
        <w:t xml:space="preserve"> strategies for program improvement</w:t>
      </w:r>
      <w:r>
        <w:rPr>
          <w:rFonts w:eastAsia="Times New Roman" w:cs="Times New Roman"/>
        </w:rPr>
        <w:t>.</w:t>
      </w:r>
      <w:r w:rsidRPr="00C91C73">
        <w:rPr>
          <w:rFonts w:eastAsia="Times New Roman" w:cs="Times New Roman"/>
        </w:rPr>
        <w:t xml:space="preserve"> </w:t>
      </w:r>
      <w:r w:rsidRPr="00D64F18">
        <w:rPr>
          <w:rFonts w:eastAsia="Times New Roman" w:cs="Times New Roman"/>
        </w:rPr>
        <w:t xml:space="preserve">The majority of </w:t>
      </w:r>
      <w:r>
        <w:rPr>
          <w:rFonts w:eastAsia="Times New Roman" w:cs="Times New Roman"/>
        </w:rPr>
        <w:t>t</w:t>
      </w:r>
      <w:r w:rsidRPr="00C91C73">
        <w:rPr>
          <w:rFonts w:eastAsia="Times New Roman" w:cs="Times New Roman"/>
        </w:rPr>
        <w:t xml:space="preserve">echnical assistance and troubleshooting </w:t>
      </w:r>
      <w:r>
        <w:rPr>
          <w:rFonts w:eastAsia="Times New Roman" w:cs="Times New Roman"/>
        </w:rPr>
        <w:t xml:space="preserve">is </w:t>
      </w:r>
      <w:r w:rsidRPr="00C91C73">
        <w:rPr>
          <w:rFonts w:eastAsia="Times New Roman" w:cs="Times New Roman"/>
        </w:rPr>
        <w:t>provided through a combination of conference calls</w:t>
      </w:r>
      <w:r>
        <w:rPr>
          <w:rFonts w:eastAsia="Times New Roman" w:cs="Times New Roman"/>
        </w:rPr>
        <w:t>,</w:t>
      </w:r>
      <w:r w:rsidRPr="00C91C73">
        <w:rPr>
          <w:rFonts w:eastAsia="Times New Roman" w:cs="Times New Roman"/>
        </w:rPr>
        <w:t xml:space="preserve"> webinars,</w:t>
      </w:r>
      <w:r>
        <w:rPr>
          <w:rFonts w:eastAsia="Times New Roman" w:cs="Times New Roman"/>
        </w:rPr>
        <w:t xml:space="preserve"> and desk monitoring thereby </w:t>
      </w:r>
      <w:r w:rsidRPr="00D64F18">
        <w:rPr>
          <w:rFonts w:eastAsia="Times New Roman" w:cs="Times New Roman"/>
        </w:rPr>
        <w:t xml:space="preserve">reducing </w:t>
      </w:r>
      <w:r w:rsidRPr="00C91C73">
        <w:rPr>
          <w:rFonts w:eastAsia="Times New Roman" w:cs="Times New Roman"/>
        </w:rPr>
        <w:t xml:space="preserve">travel for on-site consultations and data monitoring. </w:t>
      </w:r>
    </w:p>
    <w:p w:rsidR="00D64F18" w:rsidRPr="00D64F18" w:rsidRDefault="00D64F18" w:rsidP="00D64F18">
      <w:pPr>
        <w:spacing w:line="360" w:lineRule="auto"/>
        <w:jc w:val="both"/>
        <w:rPr>
          <w:rFonts w:eastAsia="Times New Roman" w:cs="Times New Roman"/>
        </w:rPr>
      </w:pPr>
      <w:r>
        <w:rPr>
          <w:rFonts w:eastAsia="Times New Roman" w:cs="Times New Roman"/>
        </w:rPr>
        <w:t xml:space="preserve">In program year </w:t>
      </w:r>
      <w:r w:rsidR="00C442D5">
        <w:rPr>
          <w:rFonts w:eastAsia="Times New Roman" w:cs="Times New Roman"/>
        </w:rPr>
        <w:t>20</w:t>
      </w:r>
      <w:r w:rsidRPr="00D64F18">
        <w:rPr>
          <w:rFonts w:eastAsia="Times New Roman" w:cs="Times New Roman"/>
        </w:rPr>
        <w:t>14-</w:t>
      </w:r>
      <w:r w:rsidR="00C442D5">
        <w:rPr>
          <w:rFonts w:eastAsia="Times New Roman" w:cs="Times New Roman"/>
        </w:rPr>
        <w:t>20</w:t>
      </w:r>
      <w:r w:rsidRPr="00D64F18">
        <w:rPr>
          <w:rFonts w:eastAsia="Times New Roman" w:cs="Times New Roman"/>
        </w:rPr>
        <w:t>15</w:t>
      </w:r>
      <w:r w:rsidRPr="00C91C73">
        <w:rPr>
          <w:rFonts w:eastAsia="Times New Roman" w:cs="Times New Roman"/>
        </w:rPr>
        <w:t>, there were several trends identified within the prog</w:t>
      </w:r>
      <w:r>
        <w:rPr>
          <w:rFonts w:eastAsia="Times New Roman" w:cs="Times New Roman"/>
        </w:rPr>
        <w:t xml:space="preserve">ram data collected.  </w:t>
      </w:r>
      <w:r w:rsidRPr="00D64F18">
        <w:rPr>
          <w:rFonts w:eastAsia="Times New Roman" w:cs="Times New Roman"/>
        </w:rPr>
        <w:t xml:space="preserve">There was an evident decline in student enrollment which is expected with flat funding and increasing expenses.  The most significant drop in enrollment was the students enrolled in NRS Levels 4, 5, and 6 of Adult Basic Education. In general, programs are serving fewer students </w:t>
      </w:r>
      <w:r w:rsidR="00DB0769" w:rsidRPr="00D64F18">
        <w:rPr>
          <w:rFonts w:eastAsia="Times New Roman" w:cs="Times New Roman"/>
        </w:rPr>
        <w:t>however;</w:t>
      </w:r>
      <w:r w:rsidRPr="00D64F18">
        <w:rPr>
          <w:rFonts w:eastAsia="Times New Roman" w:cs="Times New Roman"/>
        </w:rPr>
        <w:t xml:space="preserve"> the learners’ outcomes have exhibited a three point gain over the previous year.  This program year, the</w:t>
      </w:r>
      <w:r w:rsidR="00C442D5">
        <w:rPr>
          <w:rFonts w:eastAsia="Times New Roman" w:cs="Times New Roman"/>
        </w:rPr>
        <w:t xml:space="preserve"> combined</w:t>
      </w:r>
      <w:r w:rsidRPr="00D64F18">
        <w:rPr>
          <w:rFonts w:eastAsia="Times New Roman" w:cs="Times New Roman"/>
        </w:rPr>
        <w:t xml:space="preserve"> overall educational gain for ABE, ASE, and </w:t>
      </w:r>
      <w:r w:rsidR="00DB0769" w:rsidRPr="00D64F18">
        <w:rPr>
          <w:rFonts w:eastAsia="Times New Roman" w:cs="Times New Roman"/>
        </w:rPr>
        <w:t>ESL is</w:t>
      </w:r>
      <w:r w:rsidRPr="00D64F18">
        <w:rPr>
          <w:rFonts w:eastAsia="Times New Roman" w:cs="Times New Roman"/>
        </w:rPr>
        <w:t xml:space="preserve"> 61</w:t>
      </w:r>
      <w:r w:rsidR="008614F8">
        <w:rPr>
          <w:rFonts w:eastAsia="Times New Roman" w:cs="Times New Roman"/>
        </w:rPr>
        <w:t xml:space="preserve"> percent.</w:t>
      </w:r>
      <w:r w:rsidRPr="00D64F18">
        <w:rPr>
          <w:rFonts w:eastAsia="Times New Roman" w:cs="Times New Roman"/>
        </w:rPr>
        <w:t xml:space="preserve">  </w:t>
      </w:r>
    </w:p>
    <w:p w:rsidR="00ED54E6" w:rsidRDefault="00D64F18" w:rsidP="00D64F18">
      <w:pPr>
        <w:spacing w:line="360" w:lineRule="auto"/>
        <w:jc w:val="both"/>
        <w:rPr>
          <w:rFonts w:eastAsia="Times New Roman" w:cs="Times New Roman"/>
          <w:color w:val="0070C0"/>
        </w:rPr>
      </w:pPr>
      <w:r w:rsidRPr="00C91C73">
        <w:rPr>
          <w:rFonts w:eastAsia="Times New Roman" w:cs="Times New Roman"/>
        </w:rPr>
        <w:t xml:space="preserve">New </w:t>
      </w:r>
      <w:r w:rsidRPr="00D64F18">
        <w:rPr>
          <w:rFonts w:eastAsia="Times New Roman" w:cs="Times New Roman"/>
        </w:rPr>
        <w:t xml:space="preserve">York continues to experience fewer students </w:t>
      </w:r>
      <w:r w:rsidRPr="00C91C73">
        <w:rPr>
          <w:rFonts w:eastAsia="Times New Roman" w:cs="Times New Roman"/>
        </w:rPr>
        <w:t xml:space="preserve">taking the high school equivalency test.  </w:t>
      </w:r>
      <w:r w:rsidRPr="00D64F18">
        <w:rPr>
          <w:rFonts w:eastAsia="Times New Roman" w:cs="Times New Roman"/>
        </w:rPr>
        <w:t>While the TASC test has been in place since January 2014,</w:t>
      </w:r>
      <w:r w:rsidR="00C442D5">
        <w:rPr>
          <w:rFonts w:eastAsia="Times New Roman" w:cs="Times New Roman"/>
        </w:rPr>
        <w:t xml:space="preserve"> High School Equivalency </w:t>
      </w:r>
      <w:r w:rsidR="00DB0769">
        <w:rPr>
          <w:rFonts w:eastAsia="Times New Roman" w:cs="Times New Roman"/>
        </w:rPr>
        <w:t>(</w:t>
      </w:r>
      <w:r w:rsidR="00DB0769" w:rsidRPr="00D64F18">
        <w:rPr>
          <w:rFonts w:eastAsia="Times New Roman" w:cs="Times New Roman"/>
        </w:rPr>
        <w:t>HSE</w:t>
      </w:r>
      <w:r w:rsidR="00C442D5">
        <w:rPr>
          <w:rFonts w:eastAsia="Times New Roman" w:cs="Times New Roman"/>
        </w:rPr>
        <w:t>)</w:t>
      </w:r>
      <w:r w:rsidRPr="00D64F18">
        <w:rPr>
          <w:rFonts w:eastAsia="Times New Roman" w:cs="Times New Roman"/>
        </w:rPr>
        <w:t xml:space="preserve"> preparation programs continue to work with students to overcome apprehension related to the new test and the increased rigor of the test content. As teachers improve their own capacity for the integration of the Common Core/College and Career Readiness Standards, their students are more prepared to sit for the HSE test. </w:t>
      </w:r>
      <w:r>
        <w:rPr>
          <w:rFonts w:eastAsia="Times New Roman" w:cs="Times New Roman"/>
          <w:color w:val="0070C0"/>
        </w:rPr>
        <w:t xml:space="preserve"> </w:t>
      </w:r>
      <w:r w:rsidRPr="00ED54E6">
        <w:rPr>
          <w:rFonts w:eastAsia="Times New Roman" w:cs="Times New Roman"/>
        </w:rPr>
        <w:t xml:space="preserve">To </w:t>
      </w:r>
      <w:r w:rsidR="00ED54E6" w:rsidRPr="00ED54E6">
        <w:rPr>
          <w:rFonts w:eastAsia="Times New Roman" w:cs="Times New Roman"/>
        </w:rPr>
        <w:t>support former GED</w:t>
      </w:r>
      <w:r w:rsidR="00C442D5">
        <w:rPr>
          <w:rFonts w:eastAsia="Times New Roman" w:cs="Times New Roman"/>
        </w:rPr>
        <w:t>®</w:t>
      </w:r>
      <w:r w:rsidR="00ED54E6" w:rsidRPr="00ED54E6">
        <w:rPr>
          <w:rFonts w:eastAsia="Times New Roman" w:cs="Times New Roman"/>
        </w:rPr>
        <w:t xml:space="preserve"> testers with a</w:t>
      </w:r>
      <w:r w:rsidRPr="00ED54E6">
        <w:rPr>
          <w:rFonts w:eastAsia="Times New Roman" w:cs="Times New Roman"/>
        </w:rPr>
        <w:t xml:space="preserve"> successful </w:t>
      </w:r>
      <w:r w:rsidR="00ED54E6">
        <w:rPr>
          <w:rFonts w:eastAsia="Times New Roman" w:cs="Times New Roman"/>
        </w:rPr>
        <w:t>completion of</w:t>
      </w:r>
      <w:r w:rsidR="00ED54E6" w:rsidRPr="00ED54E6">
        <w:rPr>
          <w:rFonts w:eastAsia="Times New Roman" w:cs="Times New Roman"/>
        </w:rPr>
        <w:t xml:space="preserve"> the </w:t>
      </w:r>
      <w:r w:rsidR="00DB0769" w:rsidRPr="00ED54E6">
        <w:rPr>
          <w:rFonts w:eastAsia="Times New Roman" w:cs="Times New Roman"/>
        </w:rPr>
        <w:t>HSE,</w:t>
      </w:r>
      <w:r w:rsidRPr="00ED54E6">
        <w:rPr>
          <w:rFonts w:eastAsia="Times New Roman" w:cs="Times New Roman"/>
        </w:rPr>
        <w:t xml:space="preserve"> </w:t>
      </w:r>
      <w:r w:rsidR="00DB0769" w:rsidRPr="00ED54E6">
        <w:rPr>
          <w:rFonts w:eastAsia="Times New Roman" w:cs="Times New Roman"/>
        </w:rPr>
        <w:t>NYSED has</w:t>
      </w:r>
      <w:r w:rsidR="00ED54E6" w:rsidRPr="00ED54E6">
        <w:rPr>
          <w:rFonts w:eastAsia="Times New Roman" w:cs="Times New Roman"/>
        </w:rPr>
        <w:t xml:space="preserve"> </w:t>
      </w:r>
      <w:r w:rsidRPr="00ED54E6">
        <w:rPr>
          <w:rFonts w:eastAsia="Times New Roman" w:cs="Times New Roman"/>
        </w:rPr>
        <w:t>extended the Grandfathering of previous passing</w:t>
      </w:r>
      <w:r w:rsidR="00ED54E6" w:rsidRPr="00ED54E6">
        <w:rPr>
          <w:rFonts w:eastAsia="Times New Roman" w:cs="Times New Roman"/>
        </w:rPr>
        <w:t xml:space="preserve"> </w:t>
      </w:r>
      <w:r w:rsidR="00DB0769" w:rsidRPr="00ED54E6">
        <w:rPr>
          <w:rFonts w:eastAsia="Times New Roman" w:cs="Times New Roman"/>
        </w:rPr>
        <w:t>test scores</w:t>
      </w:r>
      <w:r w:rsidRPr="00ED54E6">
        <w:rPr>
          <w:rFonts w:eastAsia="Times New Roman" w:cs="Times New Roman"/>
        </w:rPr>
        <w:t xml:space="preserve"> on the GED</w:t>
      </w:r>
      <w:r w:rsidR="00DB0769">
        <w:rPr>
          <w:rFonts w:eastAsia="Times New Roman" w:cs="Times New Roman"/>
        </w:rPr>
        <w:t>®</w:t>
      </w:r>
      <w:r w:rsidR="00DB0769" w:rsidRPr="00ED54E6">
        <w:rPr>
          <w:rFonts w:eastAsia="Times New Roman" w:cs="Times New Roman"/>
        </w:rPr>
        <w:t xml:space="preserve"> battery previously</w:t>
      </w:r>
      <w:r w:rsidRPr="00ED54E6">
        <w:rPr>
          <w:rFonts w:eastAsia="Times New Roman" w:cs="Times New Roman"/>
        </w:rPr>
        <w:t xml:space="preserve"> used as the test of record leading to a NYS HSE.  </w:t>
      </w:r>
      <w:r>
        <w:rPr>
          <w:rFonts w:eastAsia="Times New Roman" w:cs="Times New Roman"/>
          <w:color w:val="0070C0"/>
        </w:rPr>
        <w:t xml:space="preserve"> </w:t>
      </w:r>
    </w:p>
    <w:p w:rsidR="00D64F18" w:rsidRDefault="00D64F18" w:rsidP="00D64F18">
      <w:pPr>
        <w:spacing w:line="360" w:lineRule="auto"/>
        <w:jc w:val="both"/>
        <w:rPr>
          <w:rFonts w:eastAsia="Times New Roman" w:cs="Times New Roman"/>
        </w:rPr>
      </w:pPr>
      <w:r w:rsidRPr="00AC1CD9">
        <w:rPr>
          <w:rFonts w:eastAsia="Times New Roman" w:cs="Times New Roman"/>
          <w:color w:val="0070C0"/>
        </w:rPr>
        <w:t xml:space="preserve">  </w:t>
      </w:r>
      <w:r w:rsidRPr="00C91C73">
        <w:rPr>
          <w:rFonts w:eastAsia="Times New Roman" w:cs="Times New Roman"/>
        </w:rPr>
        <w:t>Th</w:t>
      </w:r>
      <w:r>
        <w:rPr>
          <w:rFonts w:eastAsia="Times New Roman" w:cs="Times New Roman"/>
        </w:rPr>
        <w:t>e</w:t>
      </w:r>
      <w:r w:rsidRPr="00C91C73">
        <w:rPr>
          <w:rFonts w:eastAsia="Times New Roman" w:cs="Times New Roman"/>
        </w:rPr>
        <w:t xml:space="preserve"> decrease in student enrollment</w:t>
      </w:r>
      <w:r w:rsidR="00ED54E6">
        <w:rPr>
          <w:rFonts w:eastAsia="Times New Roman" w:cs="Times New Roman"/>
        </w:rPr>
        <w:t xml:space="preserve"> in HSE preparation classes </w:t>
      </w:r>
      <w:r w:rsidRPr="00C91C73">
        <w:rPr>
          <w:rFonts w:eastAsia="Times New Roman" w:cs="Times New Roman"/>
        </w:rPr>
        <w:t xml:space="preserve"> </w:t>
      </w:r>
      <w:r w:rsidRPr="0058687B">
        <w:rPr>
          <w:rFonts w:eastAsia="Times New Roman" w:cs="Times New Roman"/>
          <w:color w:val="0070C0"/>
        </w:rPr>
        <w:t xml:space="preserve"> </w:t>
      </w:r>
      <w:r w:rsidRPr="00ED54E6">
        <w:rPr>
          <w:rFonts w:eastAsia="Times New Roman" w:cs="Times New Roman"/>
        </w:rPr>
        <w:t xml:space="preserve">continues to be impacted by </w:t>
      </w:r>
      <w:r w:rsidRPr="00C91C73">
        <w:rPr>
          <w:rFonts w:eastAsia="Times New Roman" w:cs="Times New Roman"/>
        </w:rPr>
        <w:t>an overall improved job market in New York.  As a result</w:t>
      </w:r>
      <w:r>
        <w:rPr>
          <w:rFonts w:eastAsia="Times New Roman" w:cs="Times New Roman"/>
        </w:rPr>
        <w:t xml:space="preserve"> </w:t>
      </w:r>
      <w:r w:rsidRPr="00ED54E6">
        <w:rPr>
          <w:rFonts w:eastAsia="Times New Roman" w:cs="Times New Roman"/>
        </w:rPr>
        <w:t>of these influences</w:t>
      </w:r>
      <w:r w:rsidRPr="00C91C73">
        <w:rPr>
          <w:rFonts w:eastAsia="Times New Roman" w:cs="Times New Roman"/>
        </w:rPr>
        <w:t>, N</w:t>
      </w:r>
      <w:r w:rsidR="00ED54E6">
        <w:rPr>
          <w:rFonts w:eastAsia="Times New Roman" w:cs="Times New Roman"/>
        </w:rPr>
        <w:t xml:space="preserve">ew </w:t>
      </w:r>
      <w:r w:rsidR="00ED54E6" w:rsidRPr="00C91C73">
        <w:rPr>
          <w:rFonts w:eastAsia="Times New Roman" w:cs="Times New Roman"/>
        </w:rPr>
        <w:t>Y</w:t>
      </w:r>
      <w:r w:rsidR="00ED54E6">
        <w:rPr>
          <w:rFonts w:eastAsia="Times New Roman" w:cs="Times New Roman"/>
        </w:rPr>
        <w:t>ork’</w:t>
      </w:r>
      <w:r w:rsidR="00ED54E6" w:rsidRPr="00C91C73">
        <w:rPr>
          <w:rFonts w:eastAsia="Times New Roman" w:cs="Times New Roman"/>
        </w:rPr>
        <w:t>s</w:t>
      </w:r>
      <w:r w:rsidRPr="00C91C73">
        <w:rPr>
          <w:rFonts w:eastAsia="Times New Roman" w:cs="Times New Roman"/>
        </w:rPr>
        <w:t xml:space="preserve"> total student enrollment has decre</w:t>
      </w:r>
      <w:r w:rsidR="00ED54E6">
        <w:rPr>
          <w:rFonts w:eastAsia="Times New Roman" w:cs="Times New Roman"/>
        </w:rPr>
        <w:t>ased</w:t>
      </w:r>
      <w:r>
        <w:rPr>
          <w:rFonts w:eastAsia="Times New Roman" w:cs="Times New Roman"/>
        </w:rPr>
        <w:t xml:space="preserve"> </w:t>
      </w:r>
      <w:r w:rsidRPr="00ED54E6">
        <w:rPr>
          <w:rFonts w:eastAsia="Times New Roman" w:cs="Times New Roman"/>
        </w:rPr>
        <w:t xml:space="preserve">3.5 </w:t>
      </w:r>
      <w:r>
        <w:rPr>
          <w:rFonts w:eastAsia="Times New Roman" w:cs="Times New Roman"/>
        </w:rPr>
        <w:t>percent</w:t>
      </w:r>
      <w:r w:rsidRPr="00C91C73">
        <w:rPr>
          <w:rFonts w:eastAsia="Times New Roman" w:cs="Times New Roman"/>
        </w:rPr>
        <w:t xml:space="preserve"> from the previous program year.  </w:t>
      </w:r>
    </w:p>
    <w:p w:rsidR="00D64F18" w:rsidRDefault="00D64F18" w:rsidP="00D64F18">
      <w:pPr>
        <w:spacing w:line="360" w:lineRule="auto"/>
        <w:jc w:val="both"/>
        <w:rPr>
          <w:rFonts w:eastAsia="Times New Roman" w:cs="Times New Roman"/>
        </w:rPr>
      </w:pPr>
      <w:r>
        <w:rPr>
          <w:rFonts w:eastAsia="Times New Roman" w:cs="Times New Roman"/>
        </w:rPr>
        <w:t>The</w:t>
      </w:r>
      <w:r w:rsidRPr="00C91C73">
        <w:rPr>
          <w:rFonts w:eastAsia="Times New Roman" w:cs="Times New Roman"/>
        </w:rPr>
        <w:t xml:space="preserve"> final evaluation o</w:t>
      </w:r>
      <w:r w:rsidR="00A4433F">
        <w:rPr>
          <w:rFonts w:eastAsia="Times New Roman" w:cs="Times New Roman"/>
        </w:rPr>
        <w:t>f local program data focused on</w:t>
      </w:r>
      <w:r w:rsidRPr="00C91C73">
        <w:rPr>
          <w:rFonts w:eastAsia="Times New Roman" w:cs="Times New Roman"/>
        </w:rPr>
        <w:t xml:space="preserve"> newly opened Literacy Zones</w:t>
      </w:r>
      <w:r w:rsidR="00B35792" w:rsidRPr="00C91C73">
        <w:rPr>
          <w:rFonts w:eastAsia="Times New Roman" w:cs="Times New Roman"/>
        </w:rPr>
        <w:t xml:space="preserve"> </w:t>
      </w:r>
      <w:r w:rsidR="00B35792">
        <w:rPr>
          <w:rFonts w:eastAsia="Times New Roman" w:cs="Times New Roman"/>
        </w:rPr>
        <w:t xml:space="preserve"> (www.NYS-Education-Literacy-Zones.org)</w:t>
      </w:r>
      <w:r w:rsidR="00B35792" w:rsidRPr="00C91C73">
        <w:rPr>
          <w:rFonts w:eastAsia="Times New Roman" w:cs="Times New Roman"/>
        </w:rPr>
        <w:t>.</w:t>
      </w:r>
      <w:r w:rsidRPr="00C91C73">
        <w:rPr>
          <w:rFonts w:eastAsia="Times New Roman" w:cs="Times New Roman"/>
        </w:rPr>
        <w:t xml:space="preserve">  New York currently funds </w:t>
      </w:r>
      <w:r w:rsidRPr="00ED54E6">
        <w:rPr>
          <w:rFonts w:eastAsia="Times New Roman" w:cs="Times New Roman"/>
        </w:rPr>
        <w:t>49</w:t>
      </w:r>
      <w:r w:rsidRPr="0058687B">
        <w:rPr>
          <w:rFonts w:eastAsia="Times New Roman" w:cs="Times New Roman"/>
          <w:color w:val="0070C0"/>
        </w:rPr>
        <w:t xml:space="preserve"> </w:t>
      </w:r>
      <w:r w:rsidRPr="00C91C73">
        <w:rPr>
          <w:rFonts w:eastAsia="Times New Roman" w:cs="Times New Roman"/>
        </w:rPr>
        <w:t>Literacy Zones</w:t>
      </w:r>
      <w:r>
        <w:rPr>
          <w:rFonts w:eastAsia="Times New Roman" w:cs="Times New Roman"/>
        </w:rPr>
        <w:t xml:space="preserve"> (LZ)</w:t>
      </w:r>
      <w:r w:rsidRPr="00C91C73">
        <w:rPr>
          <w:rFonts w:eastAsia="Times New Roman" w:cs="Times New Roman"/>
        </w:rPr>
        <w:t xml:space="preserve"> located in impoverished communities across the state.  A total of </w:t>
      </w:r>
      <w:r w:rsidRPr="00ED54E6">
        <w:rPr>
          <w:rFonts w:eastAsia="Times New Roman" w:cs="Times New Roman"/>
        </w:rPr>
        <w:t xml:space="preserve">19,947 </w:t>
      </w:r>
      <w:r w:rsidRPr="00C91C73">
        <w:rPr>
          <w:rFonts w:eastAsia="Times New Roman" w:cs="Times New Roman"/>
        </w:rPr>
        <w:t xml:space="preserve">adults were served under the Literacy Zone initiative and an additional </w:t>
      </w:r>
      <w:r w:rsidRPr="00ED54E6">
        <w:rPr>
          <w:rFonts w:eastAsia="Times New Roman" w:cs="Times New Roman"/>
        </w:rPr>
        <w:t xml:space="preserve">11,800 </w:t>
      </w:r>
      <w:r w:rsidRPr="00C91C73">
        <w:rPr>
          <w:rFonts w:eastAsia="Times New Roman" w:cs="Times New Roman"/>
        </w:rPr>
        <w:t xml:space="preserve">students sought </w:t>
      </w:r>
      <w:r w:rsidRPr="00ED54E6">
        <w:rPr>
          <w:rFonts w:eastAsia="Times New Roman" w:cs="Times New Roman"/>
        </w:rPr>
        <w:t xml:space="preserve">case management services </w:t>
      </w:r>
      <w:r w:rsidRPr="00C91C73">
        <w:rPr>
          <w:rFonts w:eastAsia="Times New Roman" w:cs="Times New Roman"/>
        </w:rPr>
        <w:t>f</w:t>
      </w:r>
      <w:r w:rsidR="00C442D5">
        <w:rPr>
          <w:rFonts w:eastAsia="Times New Roman" w:cs="Times New Roman"/>
        </w:rPr>
        <w:t xml:space="preserve">rom the LZ and were referred </w:t>
      </w:r>
      <w:r w:rsidRPr="00C91C73">
        <w:rPr>
          <w:rFonts w:eastAsia="Times New Roman" w:cs="Times New Roman"/>
        </w:rPr>
        <w:t xml:space="preserve"> to priority partner agencies for services and critical </w:t>
      </w:r>
      <w:r w:rsidRPr="00C91C73">
        <w:rPr>
          <w:rFonts w:eastAsia="Times New Roman" w:cs="Times New Roman"/>
        </w:rPr>
        <w:lastRenderedPageBreak/>
        <w:t xml:space="preserve">needs.  These students present with severe barriers to a learning commitment and therefore receive </w:t>
      </w:r>
      <w:r w:rsidRPr="00ED54E6">
        <w:rPr>
          <w:rFonts w:eastAsia="Times New Roman" w:cs="Times New Roman"/>
        </w:rPr>
        <w:t xml:space="preserve">intense </w:t>
      </w:r>
      <w:r w:rsidRPr="00C91C73">
        <w:rPr>
          <w:rFonts w:eastAsia="Times New Roman" w:cs="Times New Roman"/>
        </w:rPr>
        <w:t>support from the case managers, a requirement in each of the Literacy Zones.  As a result, the students meeting NRS criteria logged over 120 contact hours per student and demonstrated 58</w:t>
      </w:r>
      <w:r>
        <w:rPr>
          <w:rFonts w:eastAsia="Times New Roman" w:cs="Times New Roman"/>
        </w:rPr>
        <w:t xml:space="preserve"> percent</w:t>
      </w:r>
      <w:r w:rsidRPr="00C91C73">
        <w:rPr>
          <w:rFonts w:eastAsia="Times New Roman" w:cs="Times New Roman"/>
        </w:rPr>
        <w:t xml:space="preserve"> educational gain.  This result is </w:t>
      </w:r>
      <w:r>
        <w:rPr>
          <w:rFonts w:eastAsia="Times New Roman" w:cs="Times New Roman"/>
        </w:rPr>
        <w:t>seven percent</w:t>
      </w:r>
      <w:r w:rsidRPr="00C91C73">
        <w:rPr>
          <w:rFonts w:eastAsia="Times New Roman" w:cs="Times New Roman"/>
        </w:rPr>
        <w:t xml:space="preserve"> </w:t>
      </w:r>
      <w:r w:rsidR="00C442D5">
        <w:rPr>
          <w:rFonts w:eastAsia="Times New Roman" w:cs="Times New Roman"/>
        </w:rPr>
        <w:t>above</w:t>
      </w:r>
      <w:r w:rsidRPr="00C91C73">
        <w:rPr>
          <w:rFonts w:eastAsia="Times New Roman" w:cs="Times New Roman"/>
        </w:rPr>
        <w:t xml:space="preserve"> </w:t>
      </w:r>
      <w:r>
        <w:rPr>
          <w:rFonts w:eastAsia="Times New Roman" w:cs="Times New Roman"/>
        </w:rPr>
        <w:t xml:space="preserve">the </w:t>
      </w:r>
      <w:r w:rsidRPr="00C91C73">
        <w:rPr>
          <w:rFonts w:eastAsia="Times New Roman" w:cs="Times New Roman"/>
        </w:rPr>
        <w:t>NYS benchmark of 51</w:t>
      </w:r>
      <w:r>
        <w:rPr>
          <w:rFonts w:eastAsia="Times New Roman" w:cs="Times New Roman"/>
        </w:rPr>
        <w:t xml:space="preserve"> percent</w:t>
      </w:r>
      <w:r w:rsidRPr="00C91C73">
        <w:rPr>
          <w:rFonts w:eastAsia="Times New Roman" w:cs="Times New Roman"/>
        </w:rPr>
        <w:t xml:space="preserve">. </w:t>
      </w:r>
    </w:p>
    <w:p w:rsidR="00D64F18" w:rsidRDefault="00D64F18" w:rsidP="00D64F18">
      <w:pPr>
        <w:spacing w:line="360" w:lineRule="auto"/>
        <w:jc w:val="both"/>
        <w:rPr>
          <w:rFonts w:eastAsia="Times New Roman" w:cs="Times New Roman"/>
        </w:rPr>
      </w:pPr>
      <w:r w:rsidRPr="00C91C73">
        <w:rPr>
          <w:rFonts w:eastAsia="Times New Roman" w:cs="Times New Roman"/>
        </w:rPr>
        <w:t xml:space="preserve">  </w:t>
      </w:r>
    </w:p>
    <w:p w:rsidR="00D64F18" w:rsidRDefault="00AF5C8A" w:rsidP="00D64F18">
      <w:pPr>
        <w:spacing w:line="360" w:lineRule="auto"/>
        <w:jc w:val="both"/>
        <w:rPr>
          <w:rFonts w:eastAsia="Times New Roman" w:cs="Times New Roman"/>
        </w:rPr>
      </w:pPr>
      <w:r>
        <w:rPr>
          <w:rFonts w:eastAsia="Times New Roman" w:cs="Times New Roman"/>
        </w:rPr>
        <w:t xml:space="preserve">Beyond NRS outcomes, literacy zones reported </w:t>
      </w:r>
      <w:r w:rsidR="00D64F18" w:rsidRPr="00C91C73">
        <w:rPr>
          <w:rFonts w:eastAsia="Times New Roman" w:cs="Times New Roman"/>
        </w:rPr>
        <w:t xml:space="preserve">over </w:t>
      </w:r>
      <w:r w:rsidR="00D64F18" w:rsidRPr="00ED54E6">
        <w:rPr>
          <w:rFonts w:eastAsia="Times New Roman" w:cs="Times New Roman"/>
        </w:rPr>
        <w:t xml:space="preserve">30,000 </w:t>
      </w:r>
      <w:r w:rsidR="00D64F18" w:rsidRPr="00C91C73">
        <w:rPr>
          <w:rFonts w:eastAsia="Times New Roman" w:cs="Times New Roman"/>
        </w:rPr>
        <w:t xml:space="preserve">additional outcomes in each of the ten pathways out of poverty.  </w:t>
      </w:r>
      <w:r w:rsidR="00D64F18">
        <w:rPr>
          <w:rFonts w:eastAsia="Times New Roman" w:cs="Times New Roman"/>
        </w:rPr>
        <w:t xml:space="preserve">New York </w:t>
      </w:r>
      <w:r w:rsidR="00D64F18" w:rsidRPr="00C91C73">
        <w:rPr>
          <w:rFonts w:eastAsia="Times New Roman" w:cs="Times New Roman"/>
        </w:rPr>
        <w:t xml:space="preserve">will continue to track the data associated with this Literacy Zone population.  </w:t>
      </w:r>
    </w:p>
    <w:p w:rsidR="00D64F18" w:rsidRPr="00C91C73" w:rsidRDefault="00D64F18" w:rsidP="00D64F18">
      <w:pPr>
        <w:spacing w:line="360" w:lineRule="auto"/>
        <w:jc w:val="both"/>
        <w:rPr>
          <w:rFonts w:eastAsia="Times New Roman" w:cs="Times New Roman"/>
        </w:rPr>
      </w:pPr>
      <w:r>
        <w:rPr>
          <w:rFonts w:eastAsia="Times New Roman" w:cs="Times New Roman"/>
        </w:rPr>
        <w:t xml:space="preserve">New York did not meet </w:t>
      </w:r>
      <w:r w:rsidRPr="00ED54E6">
        <w:rPr>
          <w:rFonts w:eastAsia="Times New Roman" w:cs="Times New Roman"/>
        </w:rPr>
        <w:t>the</w:t>
      </w:r>
      <w:r>
        <w:rPr>
          <w:rFonts w:eastAsia="Times New Roman" w:cs="Times New Roman"/>
          <w:color w:val="0070C0"/>
        </w:rPr>
        <w:t xml:space="preserve"> </w:t>
      </w:r>
      <w:r w:rsidRPr="00C91C73">
        <w:rPr>
          <w:rFonts w:eastAsia="Times New Roman" w:cs="Times New Roman"/>
        </w:rPr>
        <w:t>federal target for educational gain</w:t>
      </w:r>
      <w:r>
        <w:rPr>
          <w:rFonts w:eastAsia="Times New Roman" w:cs="Times New Roman"/>
        </w:rPr>
        <w:t xml:space="preserve"> </w:t>
      </w:r>
      <w:r w:rsidRPr="00ED54E6">
        <w:rPr>
          <w:rFonts w:eastAsia="Times New Roman" w:cs="Times New Roman"/>
        </w:rPr>
        <w:t>for only one educational functioning level, Adult Secondary Education</w:t>
      </w:r>
      <w:r w:rsidRPr="00C91C73">
        <w:rPr>
          <w:rFonts w:eastAsia="Times New Roman" w:cs="Times New Roman"/>
        </w:rPr>
        <w:t xml:space="preserve">. While the local programs continue their commitment toward the collection, recording, and reporting of data, the mitigating circumstances surrounding the new high school equivalency test impacted the educational gain attainment in </w:t>
      </w:r>
      <w:r w:rsidRPr="00ED54E6">
        <w:rPr>
          <w:rFonts w:eastAsia="Times New Roman" w:cs="Times New Roman"/>
        </w:rPr>
        <w:t xml:space="preserve">this </w:t>
      </w:r>
      <w:r w:rsidRPr="00C91C73">
        <w:rPr>
          <w:rFonts w:eastAsia="Times New Roman" w:cs="Times New Roman"/>
        </w:rPr>
        <w:t>educational functioning level</w:t>
      </w:r>
      <w:r>
        <w:rPr>
          <w:rFonts w:eastAsia="Times New Roman" w:cs="Times New Roman"/>
        </w:rPr>
        <w:t>.</w:t>
      </w:r>
      <w:r w:rsidRPr="009F0D49">
        <w:rPr>
          <w:rFonts w:eastAsia="Times New Roman" w:cs="Times New Roman"/>
          <w:color w:val="0070C0"/>
        </w:rPr>
        <w:t xml:space="preserve">  </w:t>
      </w:r>
      <w:r w:rsidRPr="00C91C73">
        <w:rPr>
          <w:rFonts w:eastAsia="Times New Roman" w:cs="Times New Roman"/>
        </w:rPr>
        <w:t>Through desktop monitoring and the use of Individual Technical Assistance Plans (ITAP), NYSED staff, the NRS Accountability Sp</w:t>
      </w:r>
      <w:r>
        <w:rPr>
          <w:rFonts w:eastAsia="Times New Roman" w:cs="Times New Roman"/>
        </w:rPr>
        <w:t xml:space="preserve">ecialist, and RAEN Directors, </w:t>
      </w:r>
      <w:r w:rsidRPr="00C91C73">
        <w:rPr>
          <w:rFonts w:eastAsia="Times New Roman" w:cs="Times New Roman"/>
        </w:rPr>
        <w:t>NYSED</w:t>
      </w:r>
      <w:r>
        <w:rPr>
          <w:rFonts w:eastAsia="Times New Roman" w:cs="Times New Roman"/>
        </w:rPr>
        <w:t xml:space="preserve"> </w:t>
      </w:r>
      <w:r w:rsidRPr="00C91C73">
        <w:rPr>
          <w:rFonts w:eastAsia="Times New Roman" w:cs="Times New Roman"/>
        </w:rPr>
        <w:t>continue</w:t>
      </w:r>
      <w:r>
        <w:rPr>
          <w:rFonts w:eastAsia="Times New Roman" w:cs="Times New Roman"/>
        </w:rPr>
        <w:t>d</w:t>
      </w:r>
      <w:r w:rsidRPr="00C91C73">
        <w:rPr>
          <w:rFonts w:eastAsia="Times New Roman" w:cs="Times New Roman"/>
        </w:rPr>
        <w:t xml:space="preserve"> to identify and monitor programs in need of improvemen</w:t>
      </w:r>
      <w:r>
        <w:rPr>
          <w:rFonts w:eastAsia="Times New Roman" w:cs="Times New Roman"/>
        </w:rPr>
        <w:t>t. Underperforming programs</w:t>
      </w:r>
      <w:r w:rsidRPr="00C91C73">
        <w:rPr>
          <w:rFonts w:eastAsia="Times New Roman" w:cs="Times New Roman"/>
        </w:rPr>
        <w:t xml:space="preserve"> receive</w:t>
      </w:r>
      <w:r>
        <w:rPr>
          <w:rFonts w:eastAsia="Times New Roman" w:cs="Times New Roman"/>
        </w:rPr>
        <w:t>d</w:t>
      </w:r>
      <w:r w:rsidRPr="00C91C73">
        <w:rPr>
          <w:rFonts w:eastAsia="Times New Roman" w:cs="Times New Roman"/>
        </w:rPr>
        <w:t xml:space="preserve"> technical support based on needs reflected in their data. The effectiveness of this ITAP process is evidenced in the consistent statewide performance. </w:t>
      </w:r>
    </w:p>
    <w:p w:rsidR="00D64F18" w:rsidRDefault="00D64F18" w:rsidP="00D64F18">
      <w:pPr>
        <w:rPr>
          <w:b/>
          <w:u w:val="single"/>
        </w:rPr>
      </w:pPr>
    </w:p>
    <w:p w:rsidR="00497096" w:rsidRPr="00497096" w:rsidRDefault="007E71B7" w:rsidP="007E71B7">
      <w:pPr>
        <w:rPr>
          <w:b/>
        </w:rPr>
      </w:pPr>
      <w:r w:rsidRPr="00EF7861">
        <w:rPr>
          <w:b/>
          <w:u w:val="single"/>
        </w:rPr>
        <w:t>Integration with Other Program</w:t>
      </w:r>
      <w:r w:rsidR="00696AEA">
        <w:rPr>
          <w:b/>
          <w:u w:val="single"/>
        </w:rPr>
        <w:t>s</w:t>
      </w:r>
    </w:p>
    <w:p w:rsidR="00EF7861" w:rsidRDefault="00EF7861" w:rsidP="00EF7861">
      <w:pPr>
        <w:autoSpaceDE w:val="0"/>
        <w:autoSpaceDN w:val="0"/>
        <w:adjustRightInd w:val="0"/>
        <w:spacing w:line="360" w:lineRule="auto"/>
        <w:rPr>
          <w:b/>
          <w:color w:val="000000"/>
        </w:rPr>
      </w:pPr>
      <w:r w:rsidRPr="003E397F">
        <w:rPr>
          <w:b/>
          <w:color w:val="000000"/>
        </w:rPr>
        <w:t xml:space="preserve">Describe how the eligible agency has </w:t>
      </w:r>
      <w:r w:rsidR="006D7FFA">
        <w:rPr>
          <w:b/>
          <w:color w:val="000000"/>
        </w:rPr>
        <w:t>integrated</w:t>
      </w:r>
      <w:r w:rsidRPr="003E397F">
        <w:rPr>
          <w:b/>
          <w:color w:val="000000"/>
        </w:rPr>
        <w:t xml:space="preserve"> activities </w:t>
      </w:r>
      <w:r>
        <w:rPr>
          <w:b/>
          <w:color w:val="000000"/>
        </w:rPr>
        <w:t xml:space="preserve">funded </w:t>
      </w:r>
      <w:r w:rsidRPr="003E397F">
        <w:rPr>
          <w:b/>
          <w:color w:val="000000"/>
        </w:rPr>
        <w:t>under</w:t>
      </w:r>
      <w:r>
        <w:rPr>
          <w:b/>
          <w:color w:val="000000"/>
        </w:rPr>
        <w:t xml:space="preserve"> the Adult Education and Family Literacy Act (AEFLA)</w:t>
      </w:r>
      <w:r w:rsidRPr="003E397F">
        <w:rPr>
          <w:b/>
          <w:color w:val="000000"/>
        </w:rPr>
        <w:t xml:space="preserve"> with other adult education, career development, and employment and</w:t>
      </w:r>
      <w:r>
        <w:rPr>
          <w:b/>
          <w:color w:val="000000"/>
        </w:rPr>
        <w:t xml:space="preserve"> </w:t>
      </w:r>
      <w:r w:rsidRPr="003E397F">
        <w:rPr>
          <w:b/>
          <w:color w:val="000000"/>
        </w:rPr>
        <w:t xml:space="preserve">training activities. </w:t>
      </w:r>
      <w:r>
        <w:rPr>
          <w:b/>
          <w:color w:val="000000"/>
        </w:rPr>
        <w:t>Describe efforts to develop or advance career pathways systems that include career and technical education, postsecondary education, employers and economic and workforce development. Include</w:t>
      </w:r>
      <w:r w:rsidRPr="003E397F">
        <w:rPr>
          <w:b/>
          <w:color w:val="000000"/>
        </w:rPr>
        <w:t xml:space="preserve"> a description of how </w:t>
      </w:r>
      <w:r>
        <w:rPr>
          <w:b/>
          <w:color w:val="000000"/>
        </w:rPr>
        <w:t>your</w:t>
      </w:r>
      <w:r w:rsidRPr="003E397F">
        <w:rPr>
          <w:b/>
          <w:color w:val="000000"/>
        </w:rPr>
        <w:t xml:space="preserve"> agency is being represented</w:t>
      </w:r>
      <w:r>
        <w:rPr>
          <w:b/>
          <w:color w:val="000000"/>
        </w:rPr>
        <w:t xml:space="preserve"> </w:t>
      </w:r>
      <w:r w:rsidRPr="003E397F">
        <w:rPr>
          <w:b/>
          <w:color w:val="000000"/>
        </w:rPr>
        <w:t>on the Local Workforce Investment Boards, adult education’s involvement on the State</w:t>
      </w:r>
      <w:r>
        <w:rPr>
          <w:b/>
          <w:color w:val="000000"/>
        </w:rPr>
        <w:t xml:space="preserve"> </w:t>
      </w:r>
      <w:r w:rsidRPr="003E397F">
        <w:rPr>
          <w:b/>
          <w:color w:val="000000"/>
        </w:rPr>
        <w:t xml:space="preserve">Workforce Investment Board, the provision of core and other services through the </w:t>
      </w:r>
      <w:r>
        <w:rPr>
          <w:b/>
          <w:color w:val="000000"/>
        </w:rPr>
        <w:t>O</w:t>
      </w:r>
      <w:r w:rsidRPr="003E397F">
        <w:rPr>
          <w:b/>
          <w:color w:val="000000"/>
        </w:rPr>
        <w:t>ne stop system and an estimate of the Title II funds being used to support activities and</w:t>
      </w:r>
      <w:r>
        <w:rPr>
          <w:b/>
          <w:color w:val="000000"/>
        </w:rPr>
        <w:t xml:space="preserve"> </w:t>
      </w:r>
      <w:r w:rsidRPr="003E397F">
        <w:rPr>
          <w:b/>
          <w:color w:val="000000"/>
        </w:rPr>
        <w:t xml:space="preserve">services through the </w:t>
      </w:r>
      <w:r>
        <w:rPr>
          <w:b/>
          <w:color w:val="000000"/>
        </w:rPr>
        <w:t>O</w:t>
      </w:r>
      <w:r w:rsidRPr="003E397F">
        <w:rPr>
          <w:b/>
          <w:color w:val="000000"/>
        </w:rPr>
        <w:t>ne-stop delivery system.</w:t>
      </w:r>
    </w:p>
    <w:p w:rsidR="005F4AC4" w:rsidRDefault="005F4AC4" w:rsidP="00EF7861">
      <w:pPr>
        <w:autoSpaceDE w:val="0"/>
        <w:autoSpaceDN w:val="0"/>
        <w:adjustRightInd w:val="0"/>
        <w:spacing w:line="360" w:lineRule="auto"/>
        <w:rPr>
          <w:b/>
          <w:color w:val="000000"/>
        </w:rPr>
      </w:pPr>
    </w:p>
    <w:p w:rsidR="005F4AC4" w:rsidRDefault="00C442D5" w:rsidP="005F4AC4">
      <w:pPr>
        <w:spacing w:line="360" w:lineRule="auto"/>
        <w:jc w:val="both"/>
      </w:pPr>
      <w:r>
        <w:lastRenderedPageBreak/>
        <w:t xml:space="preserve"> For the past sixteen years ,</w:t>
      </w:r>
      <w:r w:rsidR="005F4AC4">
        <w:t>NYSED</w:t>
      </w:r>
      <w:r w:rsidR="00AB5803">
        <w:t xml:space="preserve"> </w:t>
      </w:r>
      <w:r w:rsidR="005F4AC4">
        <w:t>and the New York State Department of Labor (NYSDOL)</w:t>
      </w:r>
      <w:r w:rsidR="00D62B56">
        <w:t xml:space="preserve"> </w:t>
      </w:r>
      <w:r w:rsidR="00591BB0">
        <w:t xml:space="preserve">have </w:t>
      </w:r>
      <w:r w:rsidR="005F4AC4">
        <w:t>work</w:t>
      </w:r>
      <w:r w:rsidR="00591BB0">
        <w:t>ed</w:t>
      </w:r>
      <w:r w:rsidR="005F4AC4">
        <w:t xml:space="preserve"> collaboratively to implement the Workforce Investment Act (WIA) for New York State</w:t>
      </w:r>
      <w:r w:rsidR="00591BB0">
        <w:t xml:space="preserve"> </w:t>
      </w:r>
      <w:r>
        <w:t>and during 2014-15 have work to plan the Workforce Investment Opportunity Act (WIOA)</w:t>
      </w:r>
      <w:r w:rsidR="00591BB0">
        <w:t>.</w:t>
      </w:r>
      <w:r w:rsidR="005F4AC4">
        <w:t xml:space="preserve">  The New York State Commissioner of Education represents WIA Title II on the State Workforce Investment Board.  </w:t>
      </w:r>
      <w:smartTag w:uri="urn:schemas-microsoft-com:office:smarttags" w:element="place">
        <w:smartTag w:uri="urn:schemas-microsoft-com:office:smarttags" w:element="PlaceName">
          <w:r w:rsidR="005F4AC4">
            <w:t>New York</w:t>
          </w:r>
        </w:smartTag>
        <w:r w:rsidR="005F4AC4">
          <w:t xml:space="preserve"> </w:t>
        </w:r>
        <w:smartTag w:uri="urn:schemas-microsoft-com:office:smarttags" w:element="PlaceType">
          <w:r w:rsidR="005F4AC4">
            <w:t>State</w:t>
          </w:r>
        </w:smartTag>
      </w:smartTag>
      <w:r w:rsidR="005F4AC4">
        <w:t xml:space="preserve"> has 33 local workforce investment boards.  Each local workforce investment board has a Title II representative identified by NYSED and recommended to the county elected official for approval.  The Title II designee represents NYSED at local negotiations meetings with the local workforce investment boards.  NYSED works closely with the local Title II designee to develop and approve the local Memorandum of Understandings for each of the  workforce investment boards.</w:t>
      </w:r>
    </w:p>
    <w:p w:rsidR="007E1A85" w:rsidRDefault="005C0BAC" w:rsidP="005F4AC4">
      <w:pPr>
        <w:spacing w:line="360" w:lineRule="auto"/>
        <w:jc w:val="both"/>
      </w:pPr>
      <w:r>
        <w:t>A program</w:t>
      </w:r>
      <w:r w:rsidR="007E1A85">
        <w:t xml:space="preserve"> in </w:t>
      </w:r>
      <w:r w:rsidR="00C442D5">
        <w:t>Central  New York</w:t>
      </w:r>
      <w:r w:rsidR="007E1A85">
        <w:t xml:space="preserve"> collaborates with the local community college and facilitates pathways for the adult education students to enroll in training programs including LPN,CNA,and H</w:t>
      </w:r>
      <w:r w:rsidR="00525141">
        <w:t xml:space="preserve">ome  Health </w:t>
      </w:r>
      <w:r w:rsidR="007E1A85">
        <w:t>A</w:t>
      </w:r>
      <w:r w:rsidR="00525141">
        <w:t>id</w:t>
      </w:r>
      <w:r w:rsidR="007E1A85">
        <w:t xml:space="preserve">. The students are encouraged to work with the local Workforce Solutions at the One Stop for job searching and skill development.  </w:t>
      </w:r>
    </w:p>
    <w:p w:rsidR="008B5868" w:rsidRDefault="008B5868" w:rsidP="005F4AC4">
      <w:pPr>
        <w:spacing w:line="360" w:lineRule="auto"/>
        <w:jc w:val="both"/>
      </w:pPr>
      <w:r>
        <w:t>Many WIA Title II funded agencies have bridge programs with  career and technological education in the areas of health care, welding, culinary, heating ventilation and air conditioning.</w:t>
      </w:r>
      <w:r w:rsidR="00FE65FC">
        <w:t xml:space="preserve"> These programs have intensive case management</w:t>
      </w:r>
      <w:r w:rsidR="007C6238">
        <w:t>, career preparation  and guidance.</w:t>
      </w:r>
    </w:p>
    <w:p w:rsidR="008614F8" w:rsidRDefault="008B5868" w:rsidP="008614F8">
      <w:pPr>
        <w:spacing w:line="360" w:lineRule="auto"/>
        <w:jc w:val="both"/>
      </w:pPr>
      <w:r>
        <w:t>In New York City, an Integrated Basic Skills Training program</w:t>
      </w:r>
      <w:r w:rsidR="00FE65FC">
        <w:t xml:space="preserve"> in the areas of health care</w:t>
      </w:r>
      <w:r>
        <w:t xml:space="preserve"> has been developed at the</w:t>
      </w:r>
      <w:r w:rsidR="00B51D30">
        <w:t xml:space="preserve"> New York City CUNY</w:t>
      </w:r>
      <w:r>
        <w:t xml:space="preserve"> Community College</w:t>
      </w:r>
      <w:r w:rsidR="00FE65FC">
        <w:t xml:space="preserve"> system. The program has been developed for low level applicants</w:t>
      </w:r>
      <w:r w:rsidR="00C442D5">
        <w:t xml:space="preserve">, </w:t>
      </w:r>
      <w:r w:rsidR="00FE65FC">
        <w:t xml:space="preserve"> ESL students in career and technology education</w:t>
      </w:r>
      <w:r w:rsidR="00C442D5">
        <w:t xml:space="preserve">, </w:t>
      </w:r>
      <w:r w:rsidR="00FE65FC">
        <w:t xml:space="preserve"> and ESL language developme</w:t>
      </w:r>
      <w:r w:rsidR="008614F8">
        <w:t xml:space="preserve">nt. The contextualized content </w:t>
      </w:r>
      <w:r w:rsidR="00FE65FC">
        <w:t>is em</w:t>
      </w:r>
      <w:r w:rsidR="007C6238">
        <w:t xml:space="preserve">bedded with college advisement </w:t>
      </w:r>
      <w:r w:rsidR="00FE65FC">
        <w:t>and case management.</w:t>
      </w:r>
    </w:p>
    <w:p w:rsidR="005C0BAC" w:rsidRDefault="000F206A" w:rsidP="00C442D5">
      <w:pPr>
        <w:spacing w:line="360" w:lineRule="auto"/>
        <w:jc w:val="both"/>
        <w:rPr>
          <w:rStyle w:val="Strong"/>
          <w:rFonts w:eastAsiaTheme="majorEastAsia" w:cs="Times New Roman"/>
          <w:b w:val="0"/>
          <w:color w:val="333333"/>
        </w:rPr>
      </w:pPr>
      <w:r>
        <w:rPr>
          <w:rFonts w:cs="Times New Roman"/>
        </w:rPr>
        <w:t>A rural</w:t>
      </w:r>
      <w:r w:rsidR="00C442D5">
        <w:rPr>
          <w:rFonts w:cs="Times New Roman"/>
        </w:rPr>
        <w:t xml:space="preserve"> program in the Adirondack </w:t>
      </w:r>
      <w:r w:rsidR="00DB0769">
        <w:rPr>
          <w:rFonts w:cs="Times New Roman"/>
        </w:rPr>
        <w:t>Mountains</w:t>
      </w:r>
      <w:r>
        <w:rPr>
          <w:rFonts w:cs="Times New Roman"/>
        </w:rPr>
        <w:t xml:space="preserve"> </w:t>
      </w:r>
      <w:r w:rsidR="005C0BAC" w:rsidRPr="005C0BAC">
        <w:rPr>
          <w:rFonts w:cs="Times New Roman"/>
        </w:rPr>
        <w:t xml:space="preserve">works with two other neighboring One Stop regions to implement </w:t>
      </w:r>
      <w:r w:rsidR="005C0BAC" w:rsidRPr="000F206A">
        <w:rPr>
          <w:rStyle w:val="Strong"/>
          <w:rFonts w:eastAsiaTheme="majorEastAsia" w:cs="Times New Roman"/>
          <w:b w:val="0"/>
          <w:color w:val="333333"/>
        </w:rPr>
        <w:t>Supplemental Nutrition Assistance Program (SNAP or Food Stamps)</w:t>
      </w:r>
      <w:r>
        <w:rPr>
          <w:rStyle w:val="Strong"/>
          <w:rFonts w:eastAsiaTheme="majorEastAsia" w:cs="Times New Roman"/>
          <w:b w:val="0"/>
          <w:color w:val="333333"/>
        </w:rPr>
        <w:t xml:space="preserve"> for the rural area. These WIA title II  students, who are have the most barriers  receive career counselling, literacy activities, HSE  preparation, job skills training and employment and retention services.</w:t>
      </w:r>
    </w:p>
    <w:p w:rsidR="000F206A" w:rsidRDefault="000F206A" w:rsidP="005C0BAC">
      <w:pPr>
        <w:pStyle w:val="NormalWeb"/>
        <w:textAlignment w:val="top"/>
        <w:rPr>
          <w:rStyle w:val="Strong"/>
          <w:rFonts w:ascii="Times New Roman" w:eastAsiaTheme="majorEastAsia" w:hAnsi="Times New Roman" w:cs="Times New Roman"/>
          <w:b w:val="0"/>
          <w:color w:val="333333"/>
        </w:rPr>
      </w:pPr>
      <w:r>
        <w:rPr>
          <w:rStyle w:val="Strong"/>
          <w:rFonts w:ascii="Times New Roman" w:eastAsiaTheme="majorEastAsia" w:hAnsi="Times New Roman" w:cs="Times New Roman"/>
          <w:b w:val="0"/>
          <w:color w:val="333333"/>
        </w:rPr>
        <w:t xml:space="preserve">In addition to the cooperative services between the adult education program and the One Stop </w:t>
      </w:r>
    </w:p>
    <w:p w:rsidR="000F206A" w:rsidRPr="000F206A" w:rsidRDefault="000F195F" w:rsidP="005C0BAC">
      <w:pPr>
        <w:pStyle w:val="NormalWeb"/>
        <w:textAlignment w:val="top"/>
        <w:rPr>
          <w:rFonts w:ascii="Times New Roman" w:hAnsi="Times New Roman" w:cs="Times New Roman"/>
          <w:b/>
          <w:color w:val="333333"/>
        </w:rPr>
      </w:pPr>
      <w:r>
        <w:rPr>
          <w:rStyle w:val="Strong"/>
          <w:rFonts w:ascii="Times New Roman" w:eastAsiaTheme="majorEastAsia" w:hAnsi="Times New Roman" w:cs="Times New Roman"/>
          <w:b w:val="0"/>
          <w:color w:val="333333"/>
        </w:rPr>
        <w:t xml:space="preserve">Center, the adult education </w:t>
      </w:r>
      <w:r w:rsidR="000F206A">
        <w:rPr>
          <w:rStyle w:val="Strong"/>
          <w:rFonts w:ascii="Times New Roman" w:eastAsiaTheme="majorEastAsia" w:hAnsi="Times New Roman" w:cs="Times New Roman"/>
          <w:b w:val="0"/>
          <w:color w:val="333333"/>
        </w:rPr>
        <w:t>program provides all the TABE testing for the One Stop partners.</w:t>
      </w:r>
    </w:p>
    <w:p w:rsidR="008B5868" w:rsidRDefault="008B5868" w:rsidP="005F4AC4">
      <w:pPr>
        <w:autoSpaceDE w:val="0"/>
        <w:autoSpaceDN w:val="0"/>
        <w:adjustRightInd w:val="0"/>
        <w:spacing w:line="360" w:lineRule="auto"/>
        <w:rPr>
          <w:color w:val="000000"/>
        </w:rPr>
      </w:pPr>
    </w:p>
    <w:p w:rsidR="009540B3" w:rsidRDefault="007E71B7" w:rsidP="006D7FFA">
      <w:pPr>
        <w:autoSpaceDE w:val="0"/>
        <w:autoSpaceDN w:val="0"/>
        <w:adjustRightInd w:val="0"/>
        <w:spacing w:line="360" w:lineRule="auto"/>
        <w:rPr>
          <w:b/>
          <w:color w:val="000000"/>
        </w:rPr>
      </w:pPr>
      <w:r>
        <w:rPr>
          <w:b/>
          <w:u w:val="single"/>
        </w:rPr>
        <w:t>English Literacy/Civics (EL/C) Program</w:t>
      </w:r>
      <w:r w:rsidR="006D7FFA" w:rsidRPr="006D7FFA">
        <w:rPr>
          <w:b/>
          <w:color w:val="000000"/>
        </w:rPr>
        <w:t xml:space="preserve"> </w:t>
      </w:r>
      <w:r w:rsidR="000E6860">
        <w:rPr>
          <w:b/>
          <w:color w:val="000000"/>
        </w:rPr>
        <w:t xml:space="preserve">  </w:t>
      </w:r>
    </w:p>
    <w:p w:rsidR="007E71B7" w:rsidRDefault="006D7FFA" w:rsidP="006D7FFA">
      <w:pPr>
        <w:autoSpaceDE w:val="0"/>
        <w:autoSpaceDN w:val="0"/>
        <w:adjustRightInd w:val="0"/>
        <w:spacing w:line="360" w:lineRule="auto"/>
        <w:rPr>
          <w:b/>
          <w:color w:val="000000"/>
        </w:rPr>
      </w:pPr>
      <w:r w:rsidRPr="003E397F">
        <w:rPr>
          <w:b/>
          <w:color w:val="000000"/>
        </w:rPr>
        <w:lastRenderedPageBreak/>
        <w:t xml:space="preserve">Describe the </w:t>
      </w:r>
      <w:r>
        <w:rPr>
          <w:b/>
          <w:color w:val="000000"/>
        </w:rPr>
        <w:t>activities and services</w:t>
      </w:r>
      <w:r w:rsidRPr="003E397F">
        <w:rPr>
          <w:b/>
          <w:color w:val="000000"/>
        </w:rPr>
        <w:t xml:space="preserve"> supported </w:t>
      </w:r>
      <w:r>
        <w:rPr>
          <w:b/>
          <w:color w:val="000000"/>
        </w:rPr>
        <w:t>with EL/C funds, including the number of programs receiving EL/C grants, and an estimate of the number of programs receiving EL/C grants and an estimate of the number of adult learners served.</w:t>
      </w:r>
    </w:p>
    <w:p w:rsidR="00D62B56" w:rsidRDefault="00D62B56" w:rsidP="006D7FFA">
      <w:pPr>
        <w:autoSpaceDE w:val="0"/>
        <w:autoSpaceDN w:val="0"/>
        <w:adjustRightInd w:val="0"/>
        <w:spacing w:line="360" w:lineRule="auto"/>
        <w:rPr>
          <w:b/>
          <w:u w:val="single"/>
        </w:rPr>
      </w:pPr>
    </w:p>
    <w:p w:rsidR="00CC0AE8" w:rsidRDefault="00CC0AE8" w:rsidP="00CC0AE8">
      <w:pPr>
        <w:spacing w:line="360" w:lineRule="auto"/>
        <w:jc w:val="both"/>
      </w:pP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has the nation’s greatest linguistic </w:t>
      </w:r>
      <w:r w:rsidR="00AF3DB3">
        <w:t>and cultural diversity.  In 2014</w:t>
      </w:r>
      <w:r>
        <w:t xml:space="preserve">, according to the US Census Bureau, the foreign-born population of New York State was </w:t>
      </w:r>
      <w:r w:rsidR="00AF3DB3">
        <w:t>4,465,469</w:t>
      </w:r>
      <w:r>
        <w:t xml:space="preserve">.  In 2013, the New York State Education Department issued a Request for Proposal for Workforce Investment Act Title II for English Language/Civics Education programs and </w:t>
      </w:r>
      <w:r w:rsidR="00C273E3">
        <w:t>24</w:t>
      </w:r>
      <w:r w:rsidR="008B1B60">
        <w:t xml:space="preserve"> </w:t>
      </w:r>
      <w:r>
        <w:t xml:space="preserve">successful applicants proposed to identify, recruit, and educate immigrants in English language acquisition and civics education.  Approximately </w:t>
      </w:r>
      <w:r w:rsidR="00462717">
        <w:t>59,155</w:t>
      </w:r>
      <w:r w:rsidR="008B1B60">
        <w:t xml:space="preserve"> </w:t>
      </w:r>
      <w:r>
        <w:t>students are enrolled in English literacy classes and of those;</w:t>
      </w:r>
      <w:r w:rsidRPr="004C633C">
        <w:t xml:space="preserve"> </w:t>
      </w:r>
      <w:r w:rsidR="00462717">
        <w:t>16,746</w:t>
      </w:r>
      <w:r w:rsidR="008B1B60">
        <w:t xml:space="preserve"> </w:t>
      </w:r>
      <w:r>
        <w:t xml:space="preserve">students are in English Language/Civics Education programs.  The majority of </w:t>
      </w:r>
      <w:r w:rsidR="00027210">
        <w:t xml:space="preserve"> New York </w:t>
      </w:r>
      <w:r w:rsidR="00DB0769">
        <w:t>States’</w:t>
      </w:r>
      <w:r w:rsidR="00027210">
        <w:t xml:space="preserve"> </w:t>
      </w:r>
      <w:r>
        <w:t xml:space="preserve"> immigrant population resides in the New York City area, although foreign-born populations are increasing in other regions of the state.  In the five boroughs of </w:t>
      </w:r>
      <w:smartTag w:uri="urn:schemas-microsoft-com:office:smarttags" w:element="place">
        <w:smartTag w:uri="urn:schemas-microsoft-com:office:smarttags" w:element="City">
          <w:r>
            <w:t>New York City</w:t>
          </w:r>
        </w:smartTag>
      </w:smartTag>
      <w:r>
        <w:t>, nearly 47 percent of the population speaks a language other than English at home.  To reach the non-native English speakers, the diversity of</w:t>
      </w:r>
      <w:r w:rsidR="00AB5803">
        <w:t xml:space="preserve"> the </w:t>
      </w:r>
      <w:r>
        <w:t xml:space="preserve"> grant</w:t>
      </w:r>
      <w:r w:rsidR="00AB5803">
        <w:t xml:space="preserve"> awardees</w:t>
      </w:r>
      <w:r>
        <w:t xml:space="preserve">  included</w:t>
      </w:r>
      <w:r w:rsidR="00AB5803">
        <w:t xml:space="preserve"> nationality-specific community </w:t>
      </w:r>
      <w:r>
        <w:t>based organizations, public schools, BOCES, the City University of New York , and three public library systems in Manhattan, Brooklyn and Queens.</w:t>
      </w:r>
    </w:p>
    <w:p w:rsidR="00503854" w:rsidRDefault="007F3395" w:rsidP="00503854">
      <w:pPr>
        <w:spacing w:line="360" w:lineRule="auto"/>
        <w:jc w:val="both"/>
      </w:pPr>
      <w:r>
        <w:t>In New York City, students at programs funded with WIA Title II EL/Civics engage in a var</w:t>
      </w:r>
      <w:r w:rsidR="0025053D">
        <w:t xml:space="preserve">iety of educational activities </w:t>
      </w:r>
      <w:r>
        <w:t>approved by the United States Citizenship</w:t>
      </w:r>
      <w:r w:rsidR="0025053D">
        <w:t xml:space="preserve"> and Immigration Services (USCIS), including multi-level history/ civics lessons. Teachers also use USCIS practice citizenship interviews, clarify confusing concepts and help students develop their literacy /language skills. </w:t>
      </w:r>
    </w:p>
    <w:p w:rsidR="0025053D" w:rsidRDefault="0025053D" w:rsidP="00503854">
      <w:pPr>
        <w:spacing w:line="360" w:lineRule="auto"/>
        <w:jc w:val="both"/>
      </w:pPr>
      <w:r>
        <w:t>Another</w:t>
      </w:r>
      <w:r w:rsidR="00FC609F">
        <w:t xml:space="preserve"> </w:t>
      </w:r>
      <w:r w:rsidR="007D7708">
        <w:t xml:space="preserve">English Language/ Civics </w:t>
      </w:r>
      <w:r>
        <w:t xml:space="preserve"> program at the Brooklyn Public Library works closely with the Immigration Justice Corps </w:t>
      </w:r>
      <w:r w:rsidR="007D7708">
        <w:t xml:space="preserve">and offers free legal services </w:t>
      </w:r>
      <w:r>
        <w:t>to immigrants and assists them with documentation.</w:t>
      </w:r>
    </w:p>
    <w:p w:rsidR="00CC0AE8" w:rsidRDefault="00027210" w:rsidP="00CC0AE8">
      <w:pPr>
        <w:spacing w:line="360" w:lineRule="auto"/>
        <w:jc w:val="both"/>
      </w:pPr>
      <w:r>
        <w:t>A</w:t>
      </w:r>
      <w:r w:rsidR="00EE0609">
        <w:t xml:space="preserve"> </w:t>
      </w:r>
      <w:r w:rsidR="00074F99">
        <w:t>program</w:t>
      </w:r>
      <w:r>
        <w:t xml:space="preserve"> in the Mohawk Valley </w:t>
      </w:r>
      <w:r w:rsidR="00074F99">
        <w:t xml:space="preserve"> offers a six week Citizenship preparation course that focuses on the application, interview and English/Civics test as provided by the United States</w:t>
      </w:r>
      <w:r w:rsidR="00070906">
        <w:t xml:space="preserve"> Citizenship and Immigration Services. During the school year the ESL portion of the classes integrate EL/Civics with field trips to local public services, government buildings including the library, post office, city hall and department of labor workforce solutions.  ESL conversational   classes cover topics on how to call professional government offices, voting in local, state and national </w:t>
      </w:r>
      <w:r w:rsidR="00070906">
        <w:lastRenderedPageBreak/>
        <w:t xml:space="preserve">elections, </w:t>
      </w:r>
      <w:r w:rsidR="00B16FBB">
        <w:t>and public school enrollment. Community partners visit classes from agencies such as the Board of Elections, New York State Volunt</w:t>
      </w:r>
      <w:r>
        <w:t>eer Income Tax Assistance, local</w:t>
      </w:r>
      <w:r w:rsidR="00B16FBB">
        <w:t xml:space="preserve"> bank and  medical agencies.</w:t>
      </w:r>
    </w:p>
    <w:p w:rsidR="00F020F8" w:rsidRDefault="00F020F8" w:rsidP="00CC0AE8">
      <w:pPr>
        <w:spacing w:line="360" w:lineRule="auto"/>
        <w:jc w:val="both"/>
      </w:pPr>
      <w:r>
        <w:t xml:space="preserve">The El/Civics program in </w:t>
      </w:r>
      <w:r w:rsidR="00027210">
        <w:t>Buffalo,</w:t>
      </w:r>
      <w:r>
        <w:t xml:space="preserve"> second largest city</w:t>
      </w:r>
      <w:r w:rsidR="00027210">
        <w:t xml:space="preserve"> in New York State</w:t>
      </w:r>
      <w:r>
        <w:t xml:space="preserve"> incorporates the court system in the classes by setting up mock trials where students play the roles of victim, accused, prosecutor</w:t>
      </w:r>
      <w:r w:rsidR="00353EAF">
        <w:t>,</w:t>
      </w:r>
      <w:r w:rsidR="00027210">
        <w:t xml:space="preserve"> </w:t>
      </w:r>
      <w:r>
        <w:t>defense attorney, judge and jury. Teachers provide real-life court case topics to prepare for the mock trials. Another topic teachers  address is taxes. Usi</w:t>
      </w:r>
      <w:r w:rsidR="00353EAF">
        <w:t xml:space="preserve">ng pay stubs and cash receipts </w:t>
      </w:r>
      <w:r>
        <w:t>as a teaching tool, students learn about local, state, and federal taxes.  In addition to conversation classes on these topics, students take field trips to the federal post office, library, City Hall and attend City Council meetings to see the local democracy process.</w:t>
      </w:r>
    </w:p>
    <w:p w:rsidR="000E6860" w:rsidRDefault="000E6860" w:rsidP="00CC0AE8">
      <w:pPr>
        <w:spacing w:line="360" w:lineRule="auto"/>
        <w:jc w:val="both"/>
      </w:pPr>
      <w:r>
        <w:t>In the Hudson Valley</w:t>
      </w:r>
      <w:r w:rsidR="008450DF">
        <w:t xml:space="preserve"> region </w:t>
      </w:r>
      <w:r>
        <w:t xml:space="preserve">an English Language/Civics program has </w:t>
      </w:r>
      <w:r w:rsidR="008450DF">
        <w:t>encouraged</w:t>
      </w:r>
      <w:r>
        <w:t xml:space="preserve"> the use of technology to expand the teaching of civics education. </w:t>
      </w:r>
      <w:r w:rsidR="00353EAF">
        <w:t>Students use a laptop lab</w:t>
      </w:r>
      <w:r>
        <w:t xml:space="preserve"> </w:t>
      </w:r>
      <w:r w:rsidR="00353EAF">
        <w:t xml:space="preserve">where they </w:t>
      </w:r>
      <w:r>
        <w:t xml:space="preserve"> </w:t>
      </w:r>
      <w:r w:rsidR="00353EAF">
        <w:t xml:space="preserve">experience </w:t>
      </w:r>
      <w:r>
        <w:t>programs such as Rosetta Stone, Citi</w:t>
      </w:r>
      <w:r w:rsidR="00353EAF">
        <w:t>zenship programs, and Focus on G</w:t>
      </w:r>
      <w:r>
        <w:t xml:space="preserve">rammar. The agency has developed </w:t>
      </w:r>
      <w:r w:rsidR="008450DF">
        <w:t>its own</w:t>
      </w:r>
      <w:r>
        <w:t xml:space="preserve"> Citizenship curriculum that </w:t>
      </w:r>
      <w:r w:rsidR="00353EAF">
        <w:t>uses</w:t>
      </w:r>
      <w:r>
        <w:t xml:space="preserve"> websites and on line activities </w:t>
      </w:r>
      <w:r w:rsidR="00353EAF">
        <w:t>to support</w:t>
      </w:r>
      <w:r>
        <w:t xml:space="preserve"> </w:t>
      </w:r>
      <w:r w:rsidR="008450DF">
        <w:t>United States civics</w:t>
      </w:r>
      <w:r w:rsidR="00353EAF">
        <w:t xml:space="preserve">  lessons</w:t>
      </w:r>
      <w:r w:rsidR="008450DF">
        <w:t xml:space="preserve">. </w:t>
      </w:r>
    </w:p>
    <w:p w:rsidR="00454A7C" w:rsidRPr="00AF6A71" w:rsidRDefault="00454A7C" w:rsidP="00AF6A71">
      <w:pPr>
        <w:spacing w:line="360" w:lineRule="auto"/>
        <w:jc w:val="both"/>
      </w:pPr>
    </w:p>
    <w:p w:rsidR="007E71B7" w:rsidRPr="00CD31AE" w:rsidRDefault="007E71B7" w:rsidP="00B17997">
      <w:pPr>
        <w:spacing w:line="360" w:lineRule="auto"/>
        <w:jc w:val="both"/>
        <w:rPr>
          <w:b/>
          <w:u w:val="single"/>
        </w:rPr>
      </w:pPr>
      <w:r w:rsidRPr="00CD31AE">
        <w:rPr>
          <w:b/>
          <w:u w:val="single"/>
        </w:rPr>
        <w:t>Secondary School Credentials and Equivalencies</w:t>
      </w:r>
    </w:p>
    <w:p w:rsidR="006D7FFA" w:rsidRDefault="006D7FFA" w:rsidP="002E7E0C">
      <w:pPr>
        <w:spacing w:line="360" w:lineRule="auto"/>
        <w:jc w:val="both"/>
        <w:rPr>
          <w:b/>
        </w:rPr>
      </w:pPr>
      <w:r>
        <w:rPr>
          <w:b/>
        </w:rPr>
        <w:t>Describe the S</w:t>
      </w:r>
      <w:r w:rsidRPr="006D7FFA">
        <w:rPr>
          <w:b/>
        </w:rPr>
        <w:t>tate</w:t>
      </w:r>
      <w:r>
        <w:rPr>
          <w:b/>
        </w:rPr>
        <w:t>’</w:t>
      </w:r>
      <w:r w:rsidRPr="006D7FFA">
        <w:rPr>
          <w:b/>
        </w:rPr>
        <w:t>s</w:t>
      </w:r>
      <w:r w:rsidR="008E1444">
        <w:rPr>
          <w:b/>
        </w:rPr>
        <w:t xml:space="preserve"> </w:t>
      </w:r>
      <w:r>
        <w:rPr>
          <w:b/>
        </w:rPr>
        <w:t>policies related to how it awards a secondary school diploma or its equivalent to individuals who are no longer enrolled or required to be enrolled in secondary school under State law. Include state recognized tests that are used to award diploma as well as the criteria that may be recognized, such as competency based or credit-based methods.</w:t>
      </w:r>
    </w:p>
    <w:p w:rsidR="002E7E0C" w:rsidRDefault="002E7E0C" w:rsidP="007436E6"/>
    <w:p w:rsidR="007436E6" w:rsidRPr="00727E89" w:rsidRDefault="007436E6" w:rsidP="002E7E0C">
      <w:pPr>
        <w:spacing w:line="360" w:lineRule="auto"/>
        <w:jc w:val="both"/>
      </w:pPr>
      <w:r w:rsidRPr="00727E89">
        <w:t xml:space="preserve">The New York State Education Department provides two pathways to a New York State High School Equivalency diploma: successfully passing a High School Equivalency </w:t>
      </w:r>
      <w:r w:rsidR="00F23BD8">
        <w:t>(HSE) test.</w:t>
      </w:r>
      <w:r w:rsidR="00454A7C">
        <w:t xml:space="preserve"> (</w:t>
      </w:r>
      <w:r w:rsidRPr="00727E89">
        <w:t xml:space="preserve"> Test Assessing Secondary Completion – TASC™) or successfully completing 24 credits of college level courses. </w:t>
      </w:r>
    </w:p>
    <w:p w:rsidR="007436E6" w:rsidRPr="00727E89" w:rsidRDefault="00F23BD8" w:rsidP="002E7E0C">
      <w:pPr>
        <w:spacing w:line="360" w:lineRule="auto"/>
        <w:jc w:val="both"/>
      </w:pPr>
      <w:r>
        <w:t>Eligibil</w:t>
      </w:r>
      <w:r w:rsidR="00087640">
        <w:t>i</w:t>
      </w:r>
      <w:r>
        <w:t>ty in New York dictates that</w:t>
      </w:r>
      <w:r w:rsidR="007436E6" w:rsidRPr="00727E89">
        <w:t xml:space="preserve"> candidates must be State residents for at least 30 days and be 19 years of age or older. Candidates who are 17 or 18 years of age may be eligible if they: are enrolled in an Alternative High School Equivalenc</w:t>
      </w:r>
      <w:r w:rsidR="00846C74">
        <w:t xml:space="preserve">y Preparation Program (AHSEP), </w:t>
      </w:r>
      <w:r w:rsidR="007436E6" w:rsidRPr="00727E89">
        <w:t>are members of a high sc</w:t>
      </w:r>
      <w:r w:rsidR="00454A7C">
        <w:t>hool class which has graduated,</w:t>
      </w:r>
      <w:r w:rsidR="007436E6" w:rsidRPr="00727E89">
        <w:t xml:space="preserve"> have been </w:t>
      </w:r>
      <w:r w:rsidR="00DB0769" w:rsidRPr="00727E89">
        <w:t>out of</w:t>
      </w:r>
      <w:r w:rsidR="007436E6" w:rsidRPr="00727E89">
        <w:t xml:space="preserve"> school for a year,  are </w:t>
      </w:r>
      <w:r w:rsidR="007436E6" w:rsidRPr="00727E89">
        <w:lastRenderedPageBreak/>
        <w:t>residents of a correctional facility</w:t>
      </w:r>
      <w:r w:rsidR="00846C74">
        <w:t xml:space="preserve"> or drug rehabilitation center,</w:t>
      </w:r>
      <w:r w:rsidR="007436E6" w:rsidRPr="00727E89">
        <w:t xml:space="preserve"> were accepted into the armed forces or institution of higher education,  were home schooled, or were foreign born and have lived in the United States for less than 12 months. Candidates who are 16 years of age may be eligible if they are in an AHSEP program or were accepted into the armed forces or an institution of higher education.</w:t>
      </w:r>
      <w:r w:rsidR="00027210">
        <w:t xml:space="preserve"> Beginning on December 4,</w:t>
      </w:r>
      <w:r w:rsidR="00DB0769">
        <w:t xml:space="preserve"> </w:t>
      </w:r>
      <w:r w:rsidR="00027210">
        <w:t>2015, home schooled candidates who are 16 years of age are also eligible to take the HSE test in New York.</w:t>
      </w:r>
    </w:p>
    <w:p w:rsidR="007436E6" w:rsidRPr="00727E89" w:rsidRDefault="00846C74" w:rsidP="002E7E0C">
      <w:pPr>
        <w:spacing w:line="360" w:lineRule="auto"/>
        <w:jc w:val="both"/>
      </w:pPr>
      <w:r>
        <w:t>In November of 2012</w:t>
      </w:r>
      <w:r w:rsidR="00F23BD8">
        <w:t xml:space="preserve"> NYSED</w:t>
      </w:r>
      <w:r w:rsidR="007436E6" w:rsidRPr="00727E89">
        <w:t xml:space="preserve"> conducted an RFP to choose a vendor to provide a high school equivalency exam that is available on both computer and paper, available at existing test centers, and phases in Common Core State Standards. In March of 2013, the Commissioner announced that the winning bidder was CTB/McGraw Hill for a new HSE test called the Test Assessing Secondary Completion (TASC™). The TASC is the only High School Equivalency test  currently offered in N</w:t>
      </w:r>
      <w:r w:rsidR="00F23BD8">
        <w:t xml:space="preserve">YS and </w:t>
      </w:r>
      <w:r w:rsidR="007436E6" w:rsidRPr="00727E89">
        <w:t xml:space="preserve"> is availa</w:t>
      </w:r>
      <w:r>
        <w:t>ble in both English and Spanish</w:t>
      </w:r>
      <w:r w:rsidR="00087640">
        <w:t>.</w:t>
      </w:r>
      <w:r>
        <w:t xml:space="preserve"> </w:t>
      </w:r>
      <w:r w:rsidR="007436E6" w:rsidRPr="00727E89">
        <w:t>New York continues to provide the H</w:t>
      </w:r>
      <w:r w:rsidR="00F23BD8">
        <w:t>SE</w:t>
      </w:r>
      <w:r w:rsidR="007436E6" w:rsidRPr="00727E89">
        <w:t xml:space="preserve"> test </w:t>
      </w:r>
      <w:r w:rsidR="00F23BD8">
        <w:t xml:space="preserve"> at no cost to all</w:t>
      </w:r>
      <w:r w:rsidR="007436E6" w:rsidRPr="00727E89">
        <w:t xml:space="preserve"> eligible New York State residents. </w:t>
      </w:r>
    </w:p>
    <w:p w:rsidR="007436E6" w:rsidRPr="00727E89" w:rsidRDefault="007436E6" w:rsidP="002E7E0C">
      <w:pPr>
        <w:spacing w:line="360" w:lineRule="auto"/>
        <w:jc w:val="both"/>
      </w:pPr>
      <w:r w:rsidRPr="00727E89">
        <w:t xml:space="preserve">With the transition from the GED® test (offered in </w:t>
      </w:r>
      <w:r w:rsidR="00F23BD8">
        <w:t>NYS</w:t>
      </w:r>
      <w:r w:rsidRPr="00727E89">
        <w:t xml:space="preserve"> prior to January 1, 2014) to the TASC™ (offered in N</w:t>
      </w:r>
      <w:r w:rsidR="00F23BD8">
        <w:t>YS</w:t>
      </w:r>
      <w:r w:rsidRPr="00727E89">
        <w:t xml:space="preserve"> beginning in January 2014), the N</w:t>
      </w:r>
      <w:r w:rsidR="00F23BD8">
        <w:t>YSED</w:t>
      </w:r>
      <w:r w:rsidRPr="00727E89">
        <w:t xml:space="preserve"> Board of Regents authorized the acceptance of up to four GED® passing subtest scores (from the years 2002-2013) to count towards passing the corresponding subtest scores on the TASC™ in the years 2014-2015. </w:t>
      </w:r>
    </w:p>
    <w:p w:rsidR="007436E6" w:rsidRPr="00727E89" w:rsidRDefault="007436E6" w:rsidP="002E7E0C">
      <w:pPr>
        <w:spacing w:line="360" w:lineRule="auto"/>
        <w:jc w:val="both"/>
      </w:pPr>
      <w:r w:rsidRPr="00727E89">
        <w:t>The 24 college credit pathway requires candidates to demonstrate that they have completed 24 semester hours as follows: six  in English/Language Arts, three  in mathematics, three  in natural sciences, three  in social sciences, three  hours in humanities, and six  in any other courses within the registered degree or certificate program.</w:t>
      </w:r>
    </w:p>
    <w:p w:rsidR="007436E6" w:rsidRPr="00727E89" w:rsidRDefault="007436E6" w:rsidP="002E7E0C">
      <w:pPr>
        <w:spacing w:line="360" w:lineRule="auto"/>
        <w:jc w:val="both"/>
      </w:pPr>
      <w:r w:rsidRPr="00727E89">
        <w:t xml:space="preserve">Although it is not currently issued as a State High School Equivalency Diploma, the New York State Education Department provides funds for the competency based assessment program known as the National External Diploma Program (NEDP). The program’s emphasis is on experience and self-directed learning whereby candidates undergo evaluations </w:t>
      </w:r>
      <w:r w:rsidR="00F23BD8">
        <w:t>demonstrating</w:t>
      </w:r>
      <w:r w:rsidRPr="00727E89">
        <w:t xml:space="preserve"> mastery of 70 competencies as well as demonstrate an occupation or specialized skill. While graduates of the NEDP program achieve a</w:t>
      </w:r>
      <w:r w:rsidR="00F23BD8">
        <w:t xml:space="preserve"> NYS </w:t>
      </w:r>
      <w:r w:rsidRPr="00727E89">
        <w:t xml:space="preserve"> Local High School  Diploma issued by a </w:t>
      </w:r>
      <w:r w:rsidR="00F23BD8">
        <w:t xml:space="preserve"> local district</w:t>
      </w:r>
      <w:r w:rsidRPr="00727E89">
        <w:t xml:space="preserve">, the Board of Regents </w:t>
      </w:r>
      <w:r w:rsidR="00F23BD8">
        <w:t xml:space="preserve">is </w:t>
      </w:r>
      <w:r w:rsidRPr="00727E89">
        <w:t xml:space="preserve"> </w:t>
      </w:r>
      <w:r w:rsidR="00F23BD8">
        <w:t xml:space="preserve">considering </w:t>
      </w:r>
      <w:r w:rsidRPr="00727E89">
        <w:t xml:space="preserve"> this program as a third</w:t>
      </w:r>
      <w:r w:rsidR="00A468AB">
        <w:t xml:space="preserve"> possible </w:t>
      </w:r>
      <w:r w:rsidRPr="00727E89">
        <w:t xml:space="preserve"> pathway to a N</w:t>
      </w:r>
      <w:r w:rsidR="00A468AB">
        <w:t>YS</w:t>
      </w:r>
      <w:r w:rsidRPr="00727E89">
        <w:t xml:space="preserve"> High School Equivalency Diploma.</w:t>
      </w:r>
    </w:p>
    <w:p w:rsidR="007E71B7" w:rsidRPr="002E7E0C" w:rsidRDefault="007E71B7" w:rsidP="002E7E0C">
      <w:pPr>
        <w:spacing w:line="360" w:lineRule="auto"/>
        <w:jc w:val="both"/>
        <w:rPr>
          <w:b/>
        </w:rPr>
      </w:pPr>
    </w:p>
    <w:p w:rsidR="007E71B7" w:rsidRPr="00CD31AE" w:rsidRDefault="007E71B7" w:rsidP="002E7E0C">
      <w:pPr>
        <w:spacing w:line="360" w:lineRule="auto"/>
        <w:jc w:val="both"/>
        <w:rPr>
          <w:b/>
          <w:u w:val="single"/>
        </w:rPr>
      </w:pPr>
      <w:r w:rsidRPr="00CD31AE">
        <w:rPr>
          <w:b/>
          <w:u w:val="single"/>
        </w:rPr>
        <w:t>Adult Education Standards</w:t>
      </w:r>
    </w:p>
    <w:p w:rsidR="00242DC1" w:rsidRDefault="00242DC1" w:rsidP="002E7E0C">
      <w:pPr>
        <w:spacing w:line="360" w:lineRule="auto"/>
        <w:jc w:val="both"/>
        <w:rPr>
          <w:b/>
        </w:rPr>
      </w:pPr>
      <w:r w:rsidRPr="00242DC1">
        <w:rPr>
          <w:b/>
        </w:rPr>
        <w:lastRenderedPageBreak/>
        <w:t>Describe the State’s progress toward</w:t>
      </w:r>
      <w:r>
        <w:rPr>
          <w:b/>
        </w:rPr>
        <w:t xml:space="preserve"> implementation of adult education college and career readiness (CCR) standards, including whether the State has formally adopted a validated set of CCR standards. Describe how the state has determined the standards to be representative of CCR and the timeline by which such standards will be implemented by all local programs. Describe how the state is supporting the use of standards by local programs and State leadership funds are being used to support implementation.</w:t>
      </w:r>
    </w:p>
    <w:p w:rsidR="006474C8" w:rsidRDefault="006474C8" w:rsidP="002E7E0C">
      <w:pPr>
        <w:spacing w:line="360" w:lineRule="auto"/>
        <w:jc w:val="both"/>
        <w:rPr>
          <w:b/>
        </w:rPr>
      </w:pPr>
    </w:p>
    <w:p w:rsidR="00CD31AE" w:rsidRPr="00D03A2D" w:rsidRDefault="00490E21" w:rsidP="00CD31AE">
      <w:pPr>
        <w:spacing w:line="360" w:lineRule="auto"/>
        <w:jc w:val="both"/>
      </w:pPr>
      <w:r>
        <w:t xml:space="preserve"> </w:t>
      </w:r>
      <w:r w:rsidR="00CD31AE" w:rsidRPr="00CD31AE">
        <w:t xml:space="preserve">The NYS Board of Regents has charged adult education instruction to be fully aligned with CCR rigorous academic standards by 2017.  This year, CUNY trained over 62 Master Teachers from adult education programs in each of the </w:t>
      </w:r>
      <w:r w:rsidR="00027210">
        <w:t>seven</w:t>
      </w:r>
      <w:r w:rsidR="00CD31AE" w:rsidRPr="00CD31AE">
        <w:t xml:space="preserve"> regions in math and ELA.  Phase one was a foundational institute, followed by a dedicated math institute and an institute teaching ELA in the context of social studies.  A phase 3 math institute and an ELA institute in the context of science will follow.  Each RAEN center will use the Master Teachers to turn key training in their region.  The objective is to reach 5,500 teachers and volunteers. This will be supplemented by a peer teacher review of exemplary instructional resources.</w:t>
      </w:r>
      <w:r w:rsidR="00CD31AE">
        <w:t xml:space="preserve">  </w:t>
      </w:r>
    </w:p>
    <w:p w:rsidR="00CD31AE" w:rsidRDefault="00CD31AE" w:rsidP="00CD31AE">
      <w:pPr>
        <w:spacing w:line="360" w:lineRule="auto"/>
        <w:jc w:val="both"/>
      </w:pPr>
      <w:r>
        <w:t>While NYSED has invested in the academic common core standards development with WIA Title II funded programs, NYSED has also invested in coordinating adult education programs with postsecondary institutions and the NYS Department of Labor through the inclusion of the College and Career Readiness Standards. Adult Education programs are strongly encouraged to include critical skills and knowledge expected and required for success in colleges, technical training programs and employment</w:t>
      </w:r>
      <w:r w:rsidR="00B5410C">
        <w:t>.</w:t>
      </w:r>
    </w:p>
    <w:p w:rsidR="006474C8" w:rsidRPr="00421B4B" w:rsidRDefault="006474C8" w:rsidP="00CD31AE">
      <w:pPr>
        <w:spacing w:line="360" w:lineRule="auto"/>
        <w:jc w:val="both"/>
      </w:pPr>
    </w:p>
    <w:sectPr w:rsidR="006474C8" w:rsidRPr="00421B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B6" w:rsidRDefault="003020B6" w:rsidP="00531B52">
      <w:r>
        <w:separator/>
      </w:r>
    </w:p>
  </w:endnote>
  <w:endnote w:type="continuationSeparator" w:id="0">
    <w:p w:rsidR="003020B6" w:rsidRDefault="003020B6"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B6" w:rsidRDefault="003020B6" w:rsidP="00531B52">
      <w:r>
        <w:separator/>
      </w:r>
    </w:p>
  </w:footnote>
  <w:footnote w:type="continuationSeparator" w:id="0">
    <w:p w:rsidR="003020B6" w:rsidRDefault="003020B6" w:rsidP="00531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B7"/>
    <w:rsid w:val="000045D5"/>
    <w:rsid w:val="00012F41"/>
    <w:rsid w:val="000248D1"/>
    <w:rsid w:val="00024930"/>
    <w:rsid w:val="00027210"/>
    <w:rsid w:val="00054B07"/>
    <w:rsid w:val="000562F5"/>
    <w:rsid w:val="00070906"/>
    <w:rsid w:val="00072370"/>
    <w:rsid w:val="00074F99"/>
    <w:rsid w:val="00087640"/>
    <w:rsid w:val="000962D3"/>
    <w:rsid w:val="000C7E16"/>
    <w:rsid w:val="000E3D9B"/>
    <w:rsid w:val="000E6860"/>
    <w:rsid w:val="000F195F"/>
    <w:rsid w:val="000F206A"/>
    <w:rsid w:val="0010458F"/>
    <w:rsid w:val="001300A9"/>
    <w:rsid w:val="00132063"/>
    <w:rsid w:val="00132D05"/>
    <w:rsid w:val="0016207A"/>
    <w:rsid w:val="00172E5E"/>
    <w:rsid w:val="00184ED7"/>
    <w:rsid w:val="00192CC7"/>
    <w:rsid w:val="001D0862"/>
    <w:rsid w:val="001D4A9D"/>
    <w:rsid w:val="001E23A2"/>
    <w:rsid w:val="002154FB"/>
    <w:rsid w:val="002366C5"/>
    <w:rsid w:val="00242DC1"/>
    <w:rsid w:val="0025053D"/>
    <w:rsid w:val="00254EAD"/>
    <w:rsid w:val="00260CE8"/>
    <w:rsid w:val="00273A95"/>
    <w:rsid w:val="0029120B"/>
    <w:rsid w:val="002C085C"/>
    <w:rsid w:val="002C1C26"/>
    <w:rsid w:val="002C2AD0"/>
    <w:rsid w:val="002D3293"/>
    <w:rsid w:val="002D3A1E"/>
    <w:rsid w:val="002E47FE"/>
    <w:rsid w:val="002E7E0C"/>
    <w:rsid w:val="003020B6"/>
    <w:rsid w:val="0032400D"/>
    <w:rsid w:val="00333319"/>
    <w:rsid w:val="00343354"/>
    <w:rsid w:val="003528B8"/>
    <w:rsid w:val="00353EAF"/>
    <w:rsid w:val="00363E1C"/>
    <w:rsid w:val="00372719"/>
    <w:rsid w:val="00392F37"/>
    <w:rsid w:val="00393D2F"/>
    <w:rsid w:val="003979DE"/>
    <w:rsid w:val="003A48E1"/>
    <w:rsid w:val="003A5347"/>
    <w:rsid w:val="003C2F63"/>
    <w:rsid w:val="003C5147"/>
    <w:rsid w:val="00403BCC"/>
    <w:rsid w:val="00405941"/>
    <w:rsid w:val="004101B1"/>
    <w:rsid w:val="004139DA"/>
    <w:rsid w:val="00421B4B"/>
    <w:rsid w:val="0043394D"/>
    <w:rsid w:val="00454A7C"/>
    <w:rsid w:val="00461E4E"/>
    <w:rsid w:val="00462717"/>
    <w:rsid w:val="00464E75"/>
    <w:rsid w:val="00490E21"/>
    <w:rsid w:val="00497096"/>
    <w:rsid w:val="004B52D9"/>
    <w:rsid w:val="004C2895"/>
    <w:rsid w:val="004E5A17"/>
    <w:rsid w:val="00500AF2"/>
    <w:rsid w:val="00502297"/>
    <w:rsid w:val="00503854"/>
    <w:rsid w:val="0051607B"/>
    <w:rsid w:val="00525141"/>
    <w:rsid w:val="00531B52"/>
    <w:rsid w:val="00553908"/>
    <w:rsid w:val="00565595"/>
    <w:rsid w:val="00585098"/>
    <w:rsid w:val="00590A31"/>
    <w:rsid w:val="00591BB0"/>
    <w:rsid w:val="00595DD2"/>
    <w:rsid w:val="005B3637"/>
    <w:rsid w:val="005B58FB"/>
    <w:rsid w:val="005B7CD2"/>
    <w:rsid w:val="005C0B76"/>
    <w:rsid w:val="005C0BAC"/>
    <w:rsid w:val="005E02C0"/>
    <w:rsid w:val="005F3363"/>
    <w:rsid w:val="005F4AC4"/>
    <w:rsid w:val="005F734D"/>
    <w:rsid w:val="006474C8"/>
    <w:rsid w:val="00662C4B"/>
    <w:rsid w:val="00666E3E"/>
    <w:rsid w:val="006828C5"/>
    <w:rsid w:val="00696AEA"/>
    <w:rsid w:val="006B51E5"/>
    <w:rsid w:val="006C30C6"/>
    <w:rsid w:val="006C4353"/>
    <w:rsid w:val="006D7FFA"/>
    <w:rsid w:val="006E34FB"/>
    <w:rsid w:val="00716533"/>
    <w:rsid w:val="00727E89"/>
    <w:rsid w:val="007436E6"/>
    <w:rsid w:val="007472D7"/>
    <w:rsid w:val="00786252"/>
    <w:rsid w:val="0079137F"/>
    <w:rsid w:val="0079352E"/>
    <w:rsid w:val="007A53C7"/>
    <w:rsid w:val="007B3B98"/>
    <w:rsid w:val="007B3C33"/>
    <w:rsid w:val="007C6238"/>
    <w:rsid w:val="007D6ABB"/>
    <w:rsid w:val="007D7708"/>
    <w:rsid w:val="007E1A85"/>
    <w:rsid w:val="007E71B7"/>
    <w:rsid w:val="007F3395"/>
    <w:rsid w:val="00805BFE"/>
    <w:rsid w:val="008078A9"/>
    <w:rsid w:val="00815D2D"/>
    <w:rsid w:val="00827576"/>
    <w:rsid w:val="00827929"/>
    <w:rsid w:val="00833E86"/>
    <w:rsid w:val="008353DB"/>
    <w:rsid w:val="008450DF"/>
    <w:rsid w:val="00846C74"/>
    <w:rsid w:val="008614F8"/>
    <w:rsid w:val="008858DE"/>
    <w:rsid w:val="008B1B60"/>
    <w:rsid w:val="008B5868"/>
    <w:rsid w:val="008C274F"/>
    <w:rsid w:val="008E1444"/>
    <w:rsid w:val="008E62C8"/>
    <w:rsid w:val="008F1BAB"/>
    <w:rsid w:val="008F69FF"/>
    <w:rsid w:val="00910075"/>
    <w:rsid w:val="00944E53"/>
    <w:rsid w:val="00946A45"/>
    <w:rsid w:val="009540B3"/>
    <w:rsid w:val="00976310"/>
    <w:rsid w:val="0097727B"/>
    <w:rsid w:val="009953D7"/>
    <w:rsid w:val="009955B8"/>
    <w:rsid w:val="009A2FFF"/>
    <w:rsid w:val="009A3A42"/>
    <w:rsid w:val="009B4B81"/>
    <w:rsid w:val="009B4DF7"/>
    <w:rsid w:val="00A428E9"/>
    <w:rsid w:val="00A4433F"/>
    <w:rsid w:val="00A468AB"/>
    <w:rsid w:val="00A51C82"/>
    <w:rsid w:val="00A62ABA"/>
    <w:rsid w:val="00A661F9"/>
    <w:rsid w:val="00A665A0"/>
    <w:rsid w:val="00A701ED"/>
    <w:rsid w:val="00A74F93"/>
    <w:rsid w:val="00A761DC"/>
    <w:rsid w:val="00A87787"/>
    <w:rsid w:val="00AA0383"/>
    <w:rsid w:val="00AB2C65"/>
    <w:rsid w:val="00AB4EFB"/>
    <w:rsid w:val="00AB5803"/>
    <w:rsid w:val="00AD1AA4"/>
    <w:rsid w:val="00AE4C36"/>
    <w:rsid w:val="00AF1EAC"/>
    <w:rsid w:val="00AF3DB3"/>
    <w:rsid w:val="00AF5C8A"/>
    <w:rsid w:val="00AF6A71"/>
    <w:rsid w:val="00B040B8"/>
    <w:rsid w:val="00B15B35"/>
    <w:rsid w:val="00B16FBB"/>
    <w:rsid w:val="00B17997"/>
    <w:rsid w:val="00B21B5A"/>
    <w:rsid w:val="00B31B9E"/>
    <w:rsid w:val="00B35792"/>
    <w:rsid w:val="00B35BD9"/>
    <w:rsid w:val="00B379C8"/>
    <w:rsid w:val="00B51D30"/>
    <w:rsid w:val="00B5410C"/>
    <w:rsid w:val="00B5491E"/>
    <w:rsid w:val="00B70AEB"/>
    <w:rsid w:val="00B84B7D"/>
    <w:rsid w:val="00B909F1"/>
    <w:rsid w:val="00BA598D"/>
    <w:rsid w:val="00BD2A48"/>
    <w:rsid w:val="00BE5DCB"/>
    <w:rsid w:val="00C01388"/>
    <w:rsid w:val="00C273E3"/>
    <w:rsid w:val="00C30D33"/>
    <w:rsid w:val="00C442D5"/>
    <w:rsid w:val="00C506EF"/>
    <w:rsid w:val="00C80C63"/>
    <w:rsid w:val="00C91C73"/>
    <w:rsid w:val="00CA01E7"/>
    <w:rsid w:val="00CA70FA"/>
    <w:rsid w:val="00CC0AE8"/>
    <w:rsid w:val="00CC2DAD"/>
    <w:rsid w:val="00CD08D3"/>
    <w:rsid w:val="00CD31AE"/>
    <w:rsid w:val="00CD47C9"/>
    <w:rsid w:val="00CF1F9F"/>
    <w:rsid w:val="00D02EC6"/>
    <w:rsid w:val="00D03E56"/>
    <w:rsid w:val="00D04752"/>
    <w:rsid w:val="00D06E96"/>
    <w:rsid w:val="00D10BD4"/>
    <w:rsid w:val="00D25D73"/>
    <w:rsid w:val="00D62B56"/>
    <w:rsid w:val="00D64F18"/>
    <w:rsid w:val="00D86A78"/>
    <w:rsid w:val="00DB0769"/>
    <w:rsid w:val="00DB43A0"/>
    <w:rsid w:val="00DE4B4C"/>
    <w:rsid w:val="00DE5B6E"/>
    <w:rsid w:val="00DF1B81"/>
    <w:rsid w:val="00E06F64"/>
    <w:rsid w:val="00E34557"/>
    <w:rsid w:val="00E3483D"/>
    <w:rsid w:val="00E470F1"/>
    <w:rsid w:val="00E65541"/>
    <w:rsid w:val="00E662A7"/>
    <w:rsid w:val="00E7006B"/>
    <w:rsid w:val="00E96D74"/>
    <w:rsid w:val="00EB6700"/>
    <w:rsid w:val="00ED54E6"/>
    <w:rsid w:val="00EE0609"/>
    <w:rsid w:val="00EF7861"/>
    <w:rsid w:val="00F020F8"/>
    <w:rsid w:val="00F16D27"/>
    <w:rsid w:val="00F23BD8"/>
    <w:rsid w:val="00F835A5"/>
    <w:rsid w:val="00F95E17"/>
    <w:rsid w:val="00FA0B0E"/>
    <w:rsid w:val="00FB5E55"/>
    <w:rsid w:val="00FC609F"/>
    <w:rsid w:val="00FE65FC"/>
    <w:rsid w:val="00FF0E2B"/>
    <w:rsid w:val="00FF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unhideWhenUsed/>
    <w:rsid w:val="00172E5E"/>
    <w:rPr>
      <w:color w:val="0000FF"/>
      <w:u w:val="single"/>
    </w:rPr>
  </w:style>
  <w:style w:type="character" w:customStyle="1" w:styleId="apple-converted-space">
    <w:name w:val="apple-converted-space"/>
    <w:basedOn w:val="DefaultParagraphFont"/>
    <w:rsid w:val="00B040B8"/>
  </w:style>
  <w:style w:type="paragraph" w:styleId="PlainText">
    <w:name w:val="Plain Text"/>
    <w:basedOn w:val="Normal"/>
    <w:link w:val="PlainTextChar"/>
    <w:uiPriority w:val="99"/>
    <w:semiHidden/>
    <w:unhideWhenUsed/>
    <w:rsid w:val="00E06F64"/>
    <w:rPr>
      <w:rFonts w:ascii="Calibri" w:hAnsi="Calibri"/>
      <w:sz w:val="22"/>
      <w:szCs w:val="21"/>
    </w:rPr>
  </w:style>
  <w:style w:type="character" w:customStyle="1" w:styleId="PlainTextChar">
    <w:name w:val="Plain Text Char"/>
    <w:basedOn w:val="DefaultParagraphFont"/>
    <w:link w:val="PlainText"/>
    <w:uiPriority w:val="99"/>
    <w:semiHidden/>
    <w:rsid w:val="00E06F64"/>
    <w:rPr>
      <w:rFonts w:ascii="Calibri" w:hAnsi="Calibri"/>
      <w:sz w:val="22"/>
      <w:szCs w:val="21"/>
    </w:rPr>
  </w:style>
  <w:style w:type="paragraph" w:styleId="BalloonText">
    <w:name w:val="Balloon Text"/>
    <w:basedOn w:val="Normal"/>
    <w:link w:val="BalloonTextChar"/>
    <w:uiPriority w:val="99"/>
    <w:semiHidden/>
    <w:unhideWhenUsed/>
    <w:rsid w:val="00333319"/>
    <w:rPr>
      <w:rFonts w:ascii="Tahoma" w:hAnsi="Tahoma" w:cs="Tahoma"/>
      <w:sz w:val="16"/>
      <w:szCs w:val="16"/>
    </w:rPr>
  </w:style>
  <w:style w:type="character" w:customStyle="1" w:styleId="BalloonTextChar">
    <w:name w:val="Balloon Text Char"/>
    <w:basedOn w:val="DefaultParagraphFont"/>
    <w:link w:val="BalloonText"/>
    <w:uiPriority w:val="99"/>
    <w:semiHidden/>
    <w:rsid w:val="00333319"/>
    <w:rPr>
      <w:rFonts w:ascii="Tahoma" w:hAnsi="Tahoma" w:cs="Tahoma"/>
      <w:sz w:val="16"/>
      <w:szCs w:val="16"/>
    </w:rPr>
  </w:style>
  <w:style w:type="character" w:styleId="CommentReference">
    <w:name w:val="annotation reference"/>
    <w:basedOn w:val="DefaultParagraphFont"/>
    <w:uiPriority w:val="99"/>
    <w:semiHidden/>
    <w:unhideWhenUsed/>
    <w:rsid w:val="00087640"/>
    <w:rPr>
      <w:sz w:val="16"/>
      <w:szCs w:val="16"/>
    </w:rPr>
  </w:style>
  <w:style w:type="paragraph" w:styleId="CommentText">
    <w:name w:val="annotation text"/>
    <w:basedOn w:val="Normal"/>
    <w:link w:val="CommentTextChar"/>
    <w:uiPriority w:val="99"/>
    <w:semiHidden/>
    <w:unhideWhenUsed/>
    <w:rsid w:val="00087640"/>
    <w:rPr>
      <w:sz w:val="20"/>
      <w:szCs w:val="20"/>
    </w:rPr>
  </w:style>
  <w:style w:type="character" w:customStyle="1" w:styleId="CommentTextChar">
    <w:name w:val="Comment Text Char"/>
    <w:basedOn w:val="DefaultParagraphFont"/>
    <w:link w:val="CommentText"/>
    <w:uiPriority w:val="99"/>
    <w:semiHidden/>
    <w:rsid w:val="00087640"/>
    <w:rPr>
      <w:sz w:val="20"/>
      <w:szCs w:val="20"/>
    </w:rPr>
  </w:style>
  <w:style w:type="paragraph" w:styleId="CommentSubject">
    <w:name w:val="annotation subject"/>
    <w:basedOn w:val="CommentText"/>
    <w:next w:val="CommentText"/>
    <w:link w:val="CommentSubjectChar"/>
    <w:uiPriority w:val="99"/>
    <w:semiHidden/>
    <w:unhideWhenUsed/>
    <w:rsid w:val="00087640"/>
    <w:rPr>
      <w:b/>
      <w:bCs/>
    </w:rPr>
  </w:style>
  <w:style w:type="character" w:customStyle="1" w:styleId="CommentSubjectChar">
    <w:name w:val="Comment Subject Char"/>
    <w:basedOn w:val="CommentTextChar"/>
    <w:link w:val="CommentSubject"/>
    <w:uiPriority w:val="99"/>
    <w:semiHidden/>
    <w:rsid w:val="00087640"/>
    <w:rPr>
      <w:b/>
      <w:bCs/>
      <w:sz w:val="20"/>
      <w:szCs w:val="20"/>
    </w:rPr>
  </w:style>
  <w:style w:type="character" w:styleId="FollowedHyperlink">
    <w:name w:val="FollowedHyperlink"/>
    <w:basedOn w:val="DefaultParagraphFont"/>
    <w:uiPriority w:val="99"/>
    <w:semiHidden/>
    <w:unhideWhenUsed/>
    <w:rsid w:val="00BA598D"/>
    <w:rPr>
      <w:color w:val="800080" w:themeColor="followedHyperlink"/>
      <w:u w:val="single"/>
    </w:rPr>
  </w:style>
  <w:style w:type="character" w:styleId="Strong">
    <w:name w:val="Strong"/>
    <w:basedOn w:val="DefaultParagraphFont"/>
    <w:uiPriority w:val="22"/>
    <w:qFormat/>
    <w:rsid w:val="005C0BAC"/>
    <w:rPr>
      <w:b/>
      <w:bCs/>
    </w:rPr>
  </w:style>
  <w:style w:type="paragraph" w:styleId="NormalWeb">
    <w:name w:val="Normal (Web)"/>
    <w:basedOn w:val="Normal"/>
    <w:uiPriority w:val="99"/>
    <w:semiHidden/>
    <w:unhideWhenUsed/>
    <w:rsid w:val="005C0BAC"/>
    <w:pPr>
      <w:spacing w:before="150" w:after="150" w:line="300" w:lineRule="atLeast"/>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unhideWhenUsed/>
    <w:rsid w:val="00172E5E"/>
    <w:rPr>
      <w:color w:val="0000FF"/>
      <w:u w:val="single"/>
    </w:rPr>
  </w:style>
  <w:style w:type="character" w:customStyle="1" w:styleId="apple-converted-space">
    <w:name w:val="apple-converted-space"/>
    <w:basedOn w:val="DefaultParagraphFont"/>
    <w:rsid w:val="00B040B8"/>
  </w:style>
  <w:style w:type="paragraph" w:styleId="PlainText">
    <w:name w:val="Plain Text"/>
    <w:basedOn w:val="Normal"/>
    <w:link w:val="PlainTextChar"/>
    <w:uiPriority w:val="99"/>
    <w:semiHidden/>
    <w:unhideWhenUsed/>
    <w:rsid w:val="00E06F64"/>
    <w:rPr>
      <w:rFonts w:ascii="Calibri" w:hAnsi="Calibri"/>
      <w:sz w:val="22"/>
      <w:szCs w:val="21"/>
    </w:rPr>
  </w:style>
  <w:style w:type="character" w:customStyle="1" w:styleId="PlainTextChar">
    <w:name w:val="Plain Text Char"/>
    <w:basedOn w:val="DefaultParagraphFont"/>
    <w:link w:val="PlainText"/>
    <w:uiPriority w:val="99"/>
    <w:semiHidden/>
    <w:rsid w:val="00E06F64"/>
    <w:rPr>
      <w:rFonts w:ascii="Calibri" w:hAnsi="Calibri"/>
      <w:sz w:val="22"/>
      <w:szCs w:val="21"/>
    </w:rPr>
  </w:style>
  <w:style w:type="paragraph" w:styleId="BalloonText">
    <w:name w:val="Balloon Text"/>
    <w:basedOn w:val="Normal"/>
    <w:link w:val="BalloonTextChar"/>
    <w:uiPriority w:val="99"/>
    <w:semiHidden/>
    <w:unhideWhenUsed/>
    <w:rsid w:val="00333319"/>
    <w:rPr>
      <w:rFonts w:ascii="Tahoma" w:hAnsi="Tahoma" w:cs="Tahoma"/>
      <w:sz w:val="16"/>
      <w:szCs w:val="16"/>
    </w:rPr>
  </w:style>
  <w:style w:type="character" w:customStyle="1" w:styleId="BalloonTextChar">
    <w:name w:val="Balloon Text Char"/>
    <w:basedOn w:val="DefaultParagraphFont"/>
    <w:link w:val="BalloonText"/>
    <w:uiPriority w:val="99"/>
    <w:semiHidden/>
    <w:rsid w:val="00333319"/>
    <w:rPr>
      <w:rFonts w:ascii="Tahoma" w:hAnsi="Tahoma" w:cs="Tahoma"/>
      <w:sz w:val="16"/>
      <w:szCs w:val="16"/>
    </w:rPr>
  </w:style>
  <w:style w:type="character" w:styleId="CommentReference">
    <w:name w:val="annotation reference"/>
    <w:basedOn w:val="DefaultParagraphFont"/>
    <w:uiPriority w:val="99"/>
    <w:semiHidden/>
    <w:unhideWhenUsed/>
    <w:rsid w:val="00087640"/>
    <w:rPr>
      <w:sz w:val="16"/>
      <w:szCs w:val="16"/>
    </w:rPr>
  </w:style>
  <w:style w:type="paragraph" w:styleId="CommentText">
    <w:name w:val="annotation text"/>
    <w:basedOn w:val="Normal"/>
    <w:link w:val="CommentTextChar"/>
    <w:uiPriority w:val="99"/>
    <w:semiHidden/>
    <w:unhideWhenUsed/>
    <w:rsid w:val="00087640"/>
    <w:rPr>
      <w:sz w:val="20"/>
      <w:szCs w:val="20"/>
    </w:rPr>
  </w:style>
  <w:style w:type="character" w:customStyle="1" w:styleId="CommentTextChar">
    <w:name w:val="Comment Text Char"/>
    <w:basedOn w:val="DefaultParagraphFont"/>
    <w:link w:val="CommentText"/>
    <w:uiPriority w:val="99"/>
    <w:semiHidden/>
    <w:rsid w:val="00087640"/>
    <w:rPr>
      <w:sz w:val="20"/>
      <w:szCs w:val="20"/>
    </w:rPr>
  </w:style>
  <w:style w:type="paragraph" w:styleId="CommentSubject">
    <w:name w:val="annotation subject"/>
    <w:basedOn w:val="CommentText"/>
    <w:next w:val="CommentText"/>
    <w:link w:val="CommentSubjectChar"/>
    <w:uiPriority w:val="99"/>
    <w:semiHidden/>
    <w:unhideWhenUsed/>
    <w:rsid w:val="00087640"/>
    <w:rPr>
      <w:b/>
      <w:bCs/>
    </w:rPr>
  </w:style>
  <w:style w:type="character" w:customStyle="1" w:styleId="CommentSubjectChar">
    <w:name w:val="Comment Subject Char"/>
    <w:basedOn w:val="CommentTextChar"/>
    <w:link w:val="CommentSubject"/>
    <w:uiPriority w:val="99"/>
    <w:semiHidden/>
    <w:rsid w:val="00087640"/>
    <w:rPr>
      <w:b/>
      <w:bCs/>
      <w:sz w:val="20"/>
      <w:szCs w:val="20"/>
    </w:rPr>
  </w:style>
  <w:style w:type="character" w:styleId="FollowedHyperlink">
    <w:name w:val="FollowedHyperlink"/>
    <w:basedOn w:val="DefaultParagraphFont"/>
    <w:uiPriority w:val="99"/>
    <w:semiHidden/>
    <w:unhideWhenUsed/>
    <w:rsid w:val="00BA598D"/>
    <w:rPr>
      <w:color w:val="800080" w:themeColor="followedHyperlink"/>
      <w:u w:val="single"/>
    </w:rPr>
  </w:style>
  <w:style w:type="character" w:styleId="Strong">
    <w:name w:val="Strong"/>
    <w:basedOn w:val="DefaultParagraphFont"/>
    <w:uiPriority w:val="22"/>
    <w:qFormat/>
    <w:rsid w:val="005C0BAC"/>
    <w:rPr>
      <w:b/>
      <w:bCs/>
    </w:rPr>
  </w:style>
  <w:style w:type="paragraph" w:styleId="NormalWeb">
    <w:name w:val="Normal (Web)"/>
    <w:basedOn w:val="Normal"/>
    <w:uiPriority w:val="99"/>
    <w:semiHidden/>
    <w:unhideWhenUsed/>
    <w:rsid w:val="005C0BAC"/>
    <w:pPr>
      <w:spacing w:before="150" w:after="150" w:line="300" w:lineRule="atLeas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4844">
      <w:bodyDiv w:val="1"/>
      <w:marLeft w:val="0"/>
      <w:marRight w:val="0"/>
      <w:marTop w:val="0"/>
      <w:marBottom w:val="0"/>
      <w:divBdr>
        <w:top w:val="none" w:sz="0" w:space="0" w:color="auto"/>
        <w:left w:val="none" w:sz="0" w:space="0" w:color="auto"/>
        <w:bottom w:val="none" w:sz="0" w:space="0" w:color="auto"/>
        <w:right w:val="none" w:sz="0" w:space="0" w:color="auto"/>
      </w:divBdr>
    </w:div>
    <w:div w:id="388454266">
      <w:bodyDiv w:val="1"/>
      <w:marLeft w:val="0"/>
      <w:marRight w:val="0"/>
      <w:marTop w:val="0"/>
      <w:marBottom w:val="0"/>
      <w:divBdr>
        <w:top w:val="none" w:sz="0" w:space="0" w:color="auto"/>
        <w:left w:val="none" w:sz="0" w:space="0" w:color="auto"/>
        <w:bottom w:val="none" w:sz="0" w:space="0" w:color="auto"/>
        <w:right w:val="none" w:sz="0" w:space="0" w:color="auto"/>
      </w:divBdr>
      <w:divsChild>
        <w:div w:id="939410431">
          <w:marLeft w:val="0"/>
          <w:marRight w:val="0"/>
          <w:marTop w:val="0"/>
          <w:marBottom w:val="0"/>
          <w:divBdr>
            <w:top w:val="none" w:sz="0" w:space="0" w:color="auto"/>
            <w:left w:val="none" w:sz="0" w:space="0" w:color="auto"/>
            <w:bottom w:val="none" w:sz="0" w:space="0" w:color="auto"/>
            <w:right w:val="none" w:sz="0" w:space="0" w:color="auto"/>
          </w:divBdr>
          <w:divsChild>
            <w:div w:id="1751078723">
              <w:marLeft w:val="0"/>
              <w:marRight w:val="0"/>
              <w:marTop w:val="0"/>
              <w:marBottom w:val="0"/>
              <w:divBdr>
                <w:top w:val="none" w:sz="0" w:space="0" w:color="auto"/>
                <w:left w:val="none" w:sz="0" w:space="0" w:color="auto"/>
                <w:bottom w:val="none" w:sz="0" w:space="0" w:color="auto"/>
                <w:right w:val="none" w:sz="0" w:space="0" w:color="auto"/>
              </w:divBdr>
              <w:divsChild>
                <w:div w:id="1394964237">
                  <w:marLeft w:val="0"/>
                  <w:marRight w:val="0"/>
                  <w:marTop w:val="0"/>
                  <w:marBottom w:val="0"/>
                  <w:divBdr>
                    <w:top w:val="none" w:sz="0" w:space="0" w:color="auto"/>
                    <w:left w:val="none" w:sz="0" w:space="0" w:color="auto"/>
                    <w:bottom w:val="none" w:sz="0" w:space="0" w:color="auto"/>
                    <w:right w:val="none" w:sz="0" w:space="0" w:color="auto"/>
                  </w:divBdr>
                  <w:divsChild>
                    <w:div w:id="1171918184">
                      <w:marLeft w:val="0"/>
                      <w:marRight w:val="0"/>
                      <w:marTop w:val="0"/>
                      <w:marBottom w:val="0"/>
                      <w:divBdr>
                        <w:top w:val="none" w:sz="0" w:space="0" w:color="auto"/>
                        <w:left w:val="none" w:sz="0" w:space="0" w:color="auto"/>
                        <w:bottom w:val="none" w:sz="0" w:space="0" w:color="auto"/>
                        <w:right w:val="none" w:sz="0" w:space="0" w:color="auto"/>
                      </w:divBdr>
                      <w:divsChild>
                        <w:div w:id="1012683457">
                          <w:marLeft w:val="0"/>
                          <w:marRight w:val="0"/>
                          <w:marTop w:val="0"/>
                          <w:marBottom w:val="0"/>
                          <w:divBdr>
                            <w:top w:val="none" w:sz="0" w:space="0" w:color="auto"/>
                            <w:left w:val="none" w:sz="0" w:space="0" w:color="auto"/>
                            <w:bottom w:val="none" w:sz="0" w:space="0" w:color="auto"/>
                            <w:right w:val="none" w:sz="0" w:space="0" w:color="auto"/>
                          </w:divBdr>
                          <w:divsChild>
                            <w:div w:id="185330398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15190">
      <w:bodyDiv w:val="1"/>
      <w:marLeft w:val="0"/>
      <w:marRight w:val="0"/>
      <w:marTop w:val="0"/>
      <w:marBottom w:val="0"/>
      <w:divBdr>
        <w:top w:val="none" w:sz="0" w:space="0" w:color="auto"/>
        <w:left w:val="none" w:sz="0" w:space="0" w:color="auto"/>
        <w:bottom w:val="none" w:sz="0" w:space="0" w:color="auto"/>
        <w:right w:val="none" w:sz="0" w:space="0" w:color="auto"/>
      </w:divBdr>
      <w:divsChild>
        <w:div w:id="475268879">
          <w:marLeft w:val="0"/>
          <w:marRight w:val="0"/>
          <w:marTop w:val="0"/>
          <w:marBottom w:val="0"/>
          <w:divBdr>
            <w:top w:val="none" w:sz="0" w:space="0" w:color="auto"/>
            <w:left w:val="none" w:sz="0" w:space="0" w:color="auto"/>
            <w:bottom w:val="none" w:sz="0" w:space="0" w:color="auto"/>
            <w:right w:val="none" w:sz="0" w:space="0" w:color="auto"/>
          </w:divBdr>
        </w:div>
      </w:divsChild>
    </w:div>
    <w:div w:id="1542128377">
      <w:bodyDiv w:val="1"/>
      <w:marLeft w:val="0"/>
      <w:marRight w:val="0"/>
      <w:marTop w:val="0"/>
      <w:marBottom w:val="0"/>
      <w:divBdr>
        <w:top w:val="none" w:sz="0" w:space="0" w:color="auto"/>
        <w:left w:val="none" w:sz="0" w:space="0" w:color="auto"/>
        <w:bottom w:val="none" w:sz="0" w:space="0" w:color="auto"/>
        <w:right w:val="none" w:sz="0" w:space="0" w:color="auto"/>
      </w:divBdr>
    </w:div>
    <w:div w:id="16833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TeachingtotheCore.org" TargetMode="External"/><Relationship Id="rId3" Type="http://schemas.openxmlformats.org/officeDocument/2006/relationships/settings" Target="settings.xml"/><Relationship Id="rId7" Type="http://schemas.openxmlformats.org/officeDocument/2006/relationships/hyperlink" Target="http://www.adult-education-accountabilit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llectED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2015-12-28T19:06:00Z</dcterms:created>
  <dcterms:modified xsi:type="dcterms:W3CDTF">2015-12-28T19:25:00Z</dcterms:modified>
</cp:coreProperties>
</file>