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3DA" w:rsidRDefault="00B23816" w:rsidP="009B3DAD">
      <w:pPr>
        <w:spacing w:after="0" w:line="240" w:lineRule="auto"/>
        <w:rPr>
          <w:rFonts w:ascii="Times New Roman" w:hAnsi="Times New Roman"/>
          <w:b/>
          <w:sz w:val="28"/>
        </w:rPr>
      </w:pPr>
      <w:bookmarkStart w:id="0" w:name="OLE_LINK1"/>
      <w:r>
        <w:rPr>
          <w:noProof/>
        </w:rPr>
        <w:drawing>
          <wp:anchor distT="0" distB="0" distL="114300" distR="114300" simplePos="0" relativeHeight="251657728" behindDoc="0" locked="0" layoutInCell="1" allowOverlap="1" wp14:anchorId="5CB25519" wp14:editId="407781CA">
            <wp:simplePos x="0" y="0"/>
            <wp:positionH relativeFrom="column">
              <wp:posOffset>3743325</wp:posOffset>
            </wp:positionH>
            <wp:positionV relativeFrom="paragraph">
              <wp:posOffset>-323850</wp:posOffset>
            </wp:positionV>
            <wp:extent cx="2200275" cy="619125"/>
            <wp:effectExtent l="19050" t="0" r="9525" b="0"/>
            <wp:wrapNone/>
            <wp:docPr id="9" name="Picture 7" descr="AE_D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E_DWD"/>
                    <pic:cNvPicPr>
                      <a:picLocks noChangeAspect="1" noChangeArrowheads="1"/>
                    </pic:cNvPicPr>
                  </pic:nvPicPr>
                  <pic:blipFill>
                    <a:blip r:embed="rId8" cstate="print"/>
                    <a:srcRect/>
                    <a:stretch>
                      <a:fillRect/>
                    </a:stretch>
                  </pic:blipFill>
                  <pic:spPr bwMode="auto">
                    <a:xfrm>
                      <a:off x="0" y="0"/>
                      <a:ext cx="2200275" cy="619125"/>
                    </a:xfrm>
                    <a:prstGeom prst="rect">
                      <a:avLst/>
                    </a:prstGeom>
                    <a:noFill/>
                    <a:ln w="9525">
                      <a:noFill/>
                      <a:miter lim="800000"/>
                      <a:headEnd/>
                      <a:tailEnd/>
                    </a:ln>
                  </pic:spPr>
                </pic:pic>
              </a:graphicData>
            </a:graphic>
          </wp:anchor>
        </w:drawing>
      </w:r>
      <w:r w:rsidR="00643694">
        <w:rPr>
          <w:rFonts w:ascii="Candara" w:hAnsi="Candara" w:cs="Arial"/>
          <w:b/>
          <w:color w:val="243E90"/>
          <w:sz w:val="32"/>
        </w:rPr>
        <w:t xml:space="preserve">Indiana Narrative Report </w:t>
      </w:r>
      <w:r w:rsidR="00674A1A">
        <w:rPr>
          <w:rFonts w:ascii="Candara" w:hAnsi="Candara" w:cs="Arial"/>
          <w:b/>
          <w:color w:val="243E90"/>
          <w:sz w:val="32"/>
        </w:rPr>
        <w:t>2013-2015</w:t>
      </w:r>
      <w:r w:rsidR="005D0A05">
        <w:rPr>
          <w:rFonts w:ascii="Times New Roman" w:eastAsia="Times New Roman" w:hAnsi="Times New Roman"/>
          <w:sz w:val="24"/>
          <w:szCs w:val="24"/>
        </w:rPr>
        <w:pict>
          <v:rect id="_x0000_i1025" style="width:0;height:1.5pt" o:hralign="center" o:hrstd="t" o:hr="t" fillcolor="gray" stroked="f"/>
        </w:pict>
      </w:r>
      <w:bookmarkEnd w:id="0"/>
    </w:p>
    <w:p w:rsidR="002557D5" w:rsidRPr="009B3DAD" w:rsidRDefault="00A67B98" w:rsidP="009B3DAD">
      <w:pPr>
        <w:pStyle w:val="NoSpacing"/>
      </w:pPr>
      <w:r w:rsidRPr="009B3DAD">
        <w:rPr>
          <w:bCs/>
        </w:rPr>
        <w:t xml:space="preserve">In </w:t>
      </w:r>
      <w:r w:rsidR="00D31831" w:rsidRPr="009B3DAD">
        <w:rPr>
          <w:bCs/>
        </w:rPr>
        <w:t>P</w:t>
      </w:r>
      <w:r w:rsidRPr="009B3DAD">
        <w:rPr>
          <w:bCs/>
        </w:rPr>
        <w:t xml:space="preserve">rogram </w:t>
      </w:r>
      <w:r w:rsidR="00D31831" w:rsidRPr="009B3DAD">
        <w:rPr>
          <w:bCs/>
        </w:rPr>
        <w:t>Y</w:t>
      </w:r>
      <w:r w:rsidRPr="009B3DAD">
        <w:rPr>
          <w:bCs/>
        </w:rPr>
        <w:t>ear 201</w:t>
      </w:r>
      <w:r w:rsidR="00674A1A">
        <w:rPr>
          <w:bCs/>
        </w:rPr>
        <w:t>4</w:t>
      </w:r>
      <w:r w:rsidRPr="009B3DAD">
        <w:rPr>
          <w:bCs/>
        </w:rPr>
        <w:t>-1</w:t>
      </w:r>
      <w:r w:rsidR="00674A1A">
        <w:rPr>
          <w:bCs/>
        </w:rPr>
        <w:t>5</w:t>
      </w:r>
      <w:r w:rsidRPr="009B3DAD">
        <w:rPr>
          <w:bCs/>
        </w:rPr>
        <w:t xml:space="preserve"> (PY 201</w:t>
      </w:r>
      <w:r w:rsidR="00674A1A">
        <w:rPr>
          <w:bCs/>
        </w:rPr>
        <w:t>4</w:t>
      </w:r>
      <w:r w:rsidRPr="009B3DAD">
        <w:rPr>
          <w:bCs/>
        </w:rPr>
        <w:t xml:space="preserve">), </w:t>
      </w:r>
      <w:r w:rsidR="0035639E">
        <w:rPr>
          <w:bCs/>
        </w:rPr>
        <w:t>the Indiana Department of Workforce Development (IDWD)</w:t>
      </w:r>
      <w:r w:rsidRPr="009B3DAD">
        <w:rPr>
          <w:bCs/>
        </w:rPr>
        <w:t xml:space="preserve"> </w:t>
      </w:r>
      <w:r w:rsidR="0001303A" w:rsidRPr="009B3DAD">
        <w:t>continue</w:t>
      </w:r>
      <w:r w:rsidR="00B74F03">
        <w:t>d</w:t>
      </w:r>
      <w:r w:rsidR="0001303A" w:rsidRPr="009B3DAD">
        <w:t xml:space="preserve"> to drive toward increasing enrollments, outcomes and partnerships.  Additionally, IDWD continue</w:t>
      </w:r>
      <w:r w:rsidR="00B74F03">
        <w:t>d</w:t>
      </w:r>
      <w:r w:rsidR="0001303A" w:rsidRPr="009B3DAD">
        <w:t xml:space="preserve"> to focus on innovative models of instruction and effective professional development to </w:t>
      </w:r>
      <w:r w:rsidR="0001303A">
        <w:t xml:space="preserve">move </w:t>
      </w:r>
      <w:r w:rsidR="0001303A" w:rsidRPr="009B3DAD">
        <w:t xml:space="preserve">the system toward its vision of adult education programming that leads to successful career pathways, postsecondary transitions, and employment.  </w:t>
      </w:r>
      <w:r w:rsidR="00070103" w:rsidRPr="009B3DAD">
        <w:t xml:space="preserve"> </w:t>
      </w:r>
    </w:p>
    <w:p w:rsidR="002557D5" w:rsidRPr="009B3DAD" w:rsidRDefault="002557D5" w:rsidP="009B3DAD">
      <w:pPr>
        <w:pStyle w:val="NoSpacing"/>
      </w:pPr>
    </w:p>
    <w:p w:rsidR="00316D29" w:rsidRPr="009B3DAD" w:rsidRDefault="00172E0E" w:rsidP="009B3DAD">
      <w:pPr>
        <w:pStyle w:val="NoSpacing"/>
        <w:rPr>
          <w:b/>
          <w:color w:val="000000"/>
        </w:rPr>
      </w:pPr>
      <w:r w:rsidRPr="009B3DAD">
        <w:rPr>
          <w:b/>
          <w:color w:val="000000"/>
        </w:rPr>
        <w:t xml:space="preserve">State Leadership Funds: </w:t>
      </w:r>
    </w:p>
    <w:p w:rsidR="00172E0E" w:rsidRPr="009B3DAD" w:rsidRDefault="00172E0E" w:rsidP="009B3DAD">
      <w:pPr>
        <w:pStyle w:val="NoSpacing"/>
        <w:rPr>
          <w:b/>
          <w:i/>
        </w:rPr>
      </w:pPr>
      <w:r w:rsidRPr="009B3DAD">
        <w:rPr>
          <w:i/>
          <w:color w:val="000000"/>
        </w:rPr>
        <w:t>Describe the major activities supported with State Leadership funds during the reporting period and the extent to which these activities helped you in implementing the goals of the State plan. Specifically describe activities related to the implementation of career pathways.</w:t>
      </w:r>
    </w:p>
    <w:p w:rsidR="00857913" w:rsidRPr="009B3DAD" w:rsidRDefault="00857913" w:rsidP="009B3DAD">
      <w:pPr>
        <w:pStyle w:val="NoSpacing"/>
      </w:pPr>
    </w:p>
    <w:p w:rsidR="004A2EA4" w:rsidRDefault="002557D5" w:rsidP="009B3DAD">
      <w:pPr>
        <w:pStyle w:val="NoSpacing"/>
      </w:pPr>
      <w:r w:rsidRPr="009B3DAD">
        <w:t xml:space="preserve">DWD </w:t>
      </w:r>
      <w:r w:rsidR="00857913" w:rsidRPr="009B3DAD">
        <w:t xml:space="preserve">continues to offer </w:t>
      </w:r>
      <w:r w:rsidR="00A67B98" w:rsidRPr="009B3DAD">
        <w:t xml:space="preserve">an aggressive professional development schedule of programs in response to the </w:t>
      </w:r>
      <w:r w:rsidR="009A4BFE" w:rsidRPr="009B3DAD">
        <w:t xml:space="preserve">gaps </w:t>
      </w:r>
      <w:r w:rsidR="00A67B98" w:rsidRPr="009B3DAD">
        <w:t xml:space="preserve">identified by an intensive needs survey and evaluation conducted during </w:t>
      </w:r>
      <w:r w:rsidRPr="009B3DAD">
        <w:t>PY 2011</w:t>
      </w:r>
      <w:r w:rsidR="00A67B98" w:rsidRPr="009B3DAD">
        <w:t xml:space="preserve">. State </w:t>
      </w:r>
      <w:r w:rsidR="00C70D4E" w:rsidRPr="009B3DAD">
        <w:t>l</w:t>
      </w:r>
      <w:r w:rsidR="00A67B98" w:rsidRPr="009B3DAD">
        <w:t xml:space="preserve">eadership funds supported the following successful programs and activities: </w:t>
      </w:r>
    </w:p>
    <w:p w:rsidR="000645F3" w:rsidRPr="009B3DAD" w:rsidRDefault="000645F3" w:rsidP="009B3DAD">
      <w:pPr>
        <w:pStyle w:val="NoSpacing"/>
      </w:pPr>
    </w:p>
    <w:p w:rsidR="00857913" w:rsidRPr="009B3DAD" w:rsidRDefault="00730ADA" w:rsidP="000645F3">
      <w:pPr>
        <w:pStyle w:val="ListParagraph"/>
        <w:numPr>
          <w:ilvl w:val="3"/>
          <w:numId w:val="14"/>
        </w:numPr>
        <w:ind w:left="720"/>
        <w:rPr>
          <w:rFonts w:ascii="Times New Roman" w:hAnsi="Times New Roman"/>
          <w:bCs/>
          <w:sz w:val="24"/>
          <w:szCs w:val="24"/>
        </w:rPr>
      </w:pPr>
      <w:r w:rsidRPr="006B62F5">
        <w:rPr>
          <w:rFonts w:ascii="Times New Roman" w:hAnsi="Times New Roman"/>
          <w:b/>
          <w:bCs/>
          <w:sz w:val="24"/>
          <w:szCs w:val="24"/>
        </w:rPr>
        <w:t xml:space="preserve">2014 </w:t>
      </w:r>
      <w:r w:rsidR="00A67B98" w:rsidRPr="006B62F5">
        <w:rPr>
          <w:rFonts w:ascii="Times New Roman" w:hAnsi="Times New Roman"/>
          <w:b/>
          <w:bCs/>
          <w:sz w:val="24"/>
          <w:szCs w:val="24"/>
        </w:rPr>
        <w:t>Summer Institute</w:t>
      </w:r>
      <w:r w:rsidR="00A67B98" w:rsidRPr="009B3DAD">
        <w:rPr>
          <w:rFonts w:ascii="Times New Roman" w:hAnsi="Times New Roman"/>
          <w:bCs/>
          <w:sz w:val="24"/>
          <w:szCs w:val="24"/>
        </w:rPr>
        <w:t xml:space="preserve"> – </w:t>
      </w:r>
      <w:r w:rsidR="006E77C9" w:rsidRPr="009B3DAD">
        <w:rPr>
          <w:rFonts w:ascii="Times New Roman" w:hAnsi="Times New Roman"/>
          <w:bCs/>
          <w:sz w:val="24"/>
          <w:szCs w:val="24"/>
        </w:rPr>
        <w:t>I</w:t>
      </w:r>
      <w:r w:rsidR="00A67B98" w:rsidRPr="009B3DAD">
        <w:rPr>
          <w:rFonts w:ascii="Times New Roman" w:hAnsi="Times New Roman"/>
          <w:bCs/>
          <w:sz w:val="24"/>
          <w:szCs w:val="24"/>
        </w:rPr>
        <w:t xml:space="preserve">DWD hosted </w:t>
      </w:r>
      <w:r w:rsidR="00857913" w:rsidRPr="009B3DAD">
        <w:rPr>
          <w:rFonts w:ascii="Times New Roman" w:hAnsi="Times New Roman"/>
          <w:bCs/>
          <w:sz w:val="24"/>
          <w:szCs w:val="24"/>
        </w:rPr>
        <w:t xml:space="preserve">a 3-day event, with several tracks to support the various topics within the Adult Education field, e.g., English as a Second Language, College and Career Readiness, High School Equivalency Assessment.  This event focused on </w:t>
      </w:r>
      <w:r w:rsidR="00A674D9">
        <w:rPr>
          <w:rFonts w:ascii="Times New Roman" w:hAnsi="Times New Roman"/>
          <w:bCs/>
          <w:sz w:val="24"/>
          <w:szCs w:val="24"/>
        </w:rPr>
        <w:t xml:space="preserve">keeping calm </w:t>
      </w:r>
      <w:r w:rsidR="00B74F03">
        <w:rPr>
          <w:rFonts w:ascii="Times New Roman" w:hAnsi="Times New Roman"/>
          <w:bCs/>
          <w:sz w:val="24"/>
          <w:szCs w:val="24"/>
        </w:rPr>
        <w:t xml:space="preserve">in </w:t>
      </w:r>
      <w:r w:rsidR="00A674D9">
        <w:rPr>
          <w:rFonts w:ascii="Times New Roman" w:hAnsi="Times New Roman"/>
          <w:bCs/>
          <w:sz w:val="24"/>
          <w:szCs w:val="24"/>
        </w:rPr>
        <w:t>light of shifts occurring in the adult education system and pursuing evidence-based strategies to help students transition beyond a H</w:t>
      </w:r>
      <w:r w:rsidR="00B74F03">
        <w:rPr>
          <w:rFonts w:ascii="Times New Roman" w:hAnsi="Times New Roman"/>
          <w:bCs/>
          <w:sz w:val="24"/>
          <w:szCs w:val="24"/>
        </w:rPr>
        <w:t>igh School Diploma or Equivalency Diploma.</w:t>
      </w:r>
      <w:r w:rsidR="00A674D9">
        <w:rPr>
          <w:rFonts w:ascii="Times New Roman" w:hAnsi="Times New Roman"/>
          <w:bCs/>
          <w:sz w:val="24"/>
          <w:szCs w:val="24"/>
        </w:rPr>
        <w:t xml:space="preserve"> </w:t>
      </w:r>
    </w:p>
    <w:p w:rsidR="00A342FB" w:rsidRPr="009B3DAD" w:rsidRDefault="00A67B98" w:rsidP="000645F3">
      <w:pPr>
        <w:pStyle w:val="ListParagraph"/>
        <w:numPr>
          <w:ilvl w:val="3"/>
          <w:numId w:val="14"/>
        </w:numPr>
        <w:ind w:left="720"/>
        <w:rPr>
          <w:rFonts w:ascii="Times New Roman" w:hAnsi="Times New Roman"/>
          <w:bCs/>
          <w:sz w:val="24"/>
          <w:szCs w:val="24"/>
        </w:rPr>
      </w:pPr>
      <w:r w:rsidRPr="006B62F5">
        <w:rPr>
          <w:rFonts w:ascii="Times New Roman" w:hAnsi="Times New Roman"/>
          <w:b/>
          <w:bCs/>
          <w:sz w:val="24"/>
          <w:szCs w:val="24"/>
        </w:rPr>
        <w:t>Administrator meetings</w:t>
      </w:r>
      <w:r w:rsidRPr="009B3DAD">
        <w:rPr>
          <w:rFonts w:ascii="Times New Roman" w:hAnsi="Times New Roman"/>
          <w:bCs/>
          <w:sz w:val="24"/>
          <w:szCs w:val="24"/>
        </w:rPr>
        <w:t xml:space="preserve"> –</w:t>
      </w:r>
      <w:r w:rsidR="00730ADA">
        <w:rPr>
          <w:rFonts w:ascii="Times New Roman" w:hAnsi="Times New Roman"/>
          <w:bCs/>
          <w:sz w:val="24"/>
          <w:szCs w:val="24"/>
        </w:rPr>
        <w:t xml:space="preserve"> In addition to the annual meeting of local AE Program Directors, </w:t>
      </w:r>
      <w:r w:rsidR="00A342FB" w:rsidRPr="009B3DAD">
        <w:rPr>
          <w:rFonts w:ascii="Times New Roman" w:hAnsi="Times New Roman"/>
          <w:bCs/>
          <w:sz w:val="24"/>
          <w:szCs w:val="24"/>
        </w:rPr>
        <w:t>I</w:t>
      </w:r>
      <w:r w:rsidRPr="009B3DAD">
        <w:rPr>
          <w:rFonts w:ascii="Times New Roman" w:hAnsi="Times New Roman"/>
          <w:bCs/>
          <w:sz w:val="24"/>
          <w:szCs w:val="24"/>
        </w:rPr>
        <w:t xml:space="preserve">DWD provided </w:t>
      </w:r>
      <w:r w:rsidR="00A342FB" w:rsidRPr="009B3DAD">
        <w:rPr>
          <w:rFonts w:ascii="Times New Roman" w:hAnsi="Times New Roman"/>
          <w:bCs/>
          <w:sz w:val="24"/>
          <w:szCs w:val="24"/>
        </w:rPr>
        <w:t>additional</w:t>
      </w:r>
      <w:r w:rsidRPr="009B3DAD">
        <w:rPr>
          <w:rFonts w:ascii="Times New Roman" w:hAnsi="Times New Roman"/>
          <w:bCs/>
          <w:sz w:val="24"/>
          <w:szCs w:val="24"/>
        </w:rPr>
        <w:t xml:space="preserve"> administrator </w:t>
      </w:r>
      <w:r w:rsidR="00730ADA">
        <w:rPr>
          <w:rFonts w:ascii="Times New Roman" w:hAnsi="Times New Roman"/>
          <w:bCs/>
          <w:sz w:val="24"/>
          <w:szCs w:val="24"/>
        </w:rPr>
        <w:t xml:space="preserve">advisory </w:t>
      </w:r>
      <w:r w:rsidRPr="009B3DAD">
        <w:rPr>
          <w:rFonts w:ascii="Times New Roman" w:hAnsi="Times New Roman"/>
          <w:bCs/>
          <w:sz w:val="24"/>
          <w:szCs w:val="24"/>
        </w:rPr>
        <w:t>meetings</w:t>
      </w:r>
      <w:r w:rsidR="009B3DAD">
        <w:rPr>
          <w:rFonts w:ascii="Times New Roman" w:hAnsi="Times New Roman"/>
          <w:bCs/>
          <w:sz w:val="24"/>
          <w:szCs w:val="24"/>
        </w:rPr>
        <w:t xml:space="preserve"> this reporting period </w:t>
      </w:r>
      <w:r w:rsidR="00035F1A" w:rsidRPr="009B3DAD">
        <w:rPr>
          <w:rFonts w:ascii="Times New Roman" w:hAnsi="Times New Roman"/>
          <w:bCs/>
          <w:sz w:val="24"/>
          <w:szCs w:val="24"/>
        </w:rPr>
        <w:t xml:space="preserve">that covered the following topics: </w:t>
      </w:r>
      <w:r w:rsidR="00A342FB" w:rsidRPr="009B3DAD">
        <w:rPr>
          <w:rFonts w:ascii="Times New Roman" w:hAnsi="Times New Roman"/>
          <w:bCs/>
          <w:sz w:val="24"/>
          <w:szCs w:val="24"/>
        </w:rPr>
        <w:t xml:space="preserve">adult education policy and programs; high school equivalency testing, transitions, professional development, </w:t>
      </w:r>
      <w:r w:rsidR="00A674D9">
        <w:rPr>
          <w:rFonts w:ascii="Times New Roman" w:hAnsi="Times New Roman"/>
          <w:bCs/>
          <w:sz w:val="24"/>
          <w:szCs w:val="24"/>
        </w:rPr>
        <w:t>serving youth under WIOA</w:t>
      </w:r>
      <w:r w:rsidR="000F3348">
        <w:rPr>
          <w:rFonts w:ascii="Times New Roman" w:hAnsi="Times New Roman"/>
          <w:bCs/>
          <w:sz w:val="24"/>
          <w:szCs w:val="24"/>
        </w:rPr>
        <w:t xml:space="preserve"> (holding a special joint Adult Education Director and Youth Manager meeting in November)</w:t>
      </w:r>
      <w:r w:rsidR="00A674D9">
        <w:rPr>
          <w:rFonts w:ascii="Times New Roman" w:hAnsi="Times New Roman"/>
          <w:bCs/>
          <w:sz w:val="24"/>
          <w:szCs w:val="24"/>
        </w:rPr>
        <w:t xml:space="preserve">, </w:t>
      </w:r>
      <w:proofErr w:type="spellStart"/>
      <w:r w:rsidR="00A342FB" w:rsidRPr="009B3DAD">
        <w:rPr>
          <w:rFonts w:ascii="Times New Roman" w:hAnsi="Times New Roman"/>
          <w:bCs/>
          <w:sz w:val="24"/>
          <w:szCs w:val="24"/>
        </w:rPr>
        <w:t>WorkINdiana</w:t>
      </w:r>
      <w:proofErr w:type="spellEnd"/>
      <w:r w:rsidR="00A342FB" w:rsidRPr="009B3DAD">
        <w:rPr>
          <w:rFonts w:ascii="Times New Roman" w:hAnsi="Times New Roman"/>
          <w:bCs/>
          <w:sz w:val="24"/>
          <w:szCs w:val="24"/>
        </w:rPr>
        <w:t xml:space="preserve"> and on-going implementing of IDWD’s Adult Education strategic vision.  </w:t>
      </w:r>
    </w:p>
    <w:p w:rsidR="00CF5A35" w:rsidRDefault="00A67B98" w:rsidP="000645F3">
      <w:pPr>
        <w:pStyle w:val="ListParagraph"/>
        <w:numPr>
          <w:ilvl w:val="3"/>
          <w:numId w:val="14"/>
        </w:numPr>
        <w:ind w:left="720"/>
        <w:rPr>
          <w:rFonts w:ascii="Times New Roman" w:hAnsi="Times New Roman"/>
          <w:bCs/>
          <w:sz w:val="24"/>
          <w:szCs w:val="24"/>
        </w:rPr>
      </w:pPr>
      <w:r w:rsidRPr="006B62F5">
        <w:rPr>
          <w:rFonts w:ascii="Times New Roman" w:hAnsi="Times New Roman"/>
          <w:b/>
          <w:bCs/>
          <w:sz w:val="24"/>
          <w:szCs w:val="24"/>
        </w:rPr>
        <w:t>Adult Numeracy Institute (ANI</w:t>
      </w:r>
      <w:proofErr w:type="gramStart"/>
      <w:r w:rsidRPr="006B62F5">
        <w:rPr>
          <w:rFonts w:ascii="Times New Roman" w:hAnsi="Times New Roman"/>
          <w:b/>
          <w:bCs/>
          <w:sz w:val="24"/>
          <w:szCs w:val="24"/>
        </w:rPr>
        <w:t>)</w:t>
      </w:r>
      <w:r w:rsidR="00AD7FEF" w:rsidRPr="006B62F5">
        <w:rPr>
          <w:rFonts w:ascii="Times New Roman" w:hAnsi="Times New Roman"/>
          <w:b/>
          <w:bCs/>
          <w:sz w:val="24"/>
          <w:szCs w:val="24"/>
        </w:rPr>
        <w:t>&amp;</w:t>
      </w:r>
      <w:proofErr w:type="gramEnd"/>
      <w:r w:rsidR="00AD7FEF" w:rsidRPr="006B62F5">
        <w:rPr>
          <w:rFonts w:ascii="Times New Roman" w:hAnsi="Times New Roman"/>
          <w:b/>
          <w:bCs/>
          <w:sz w:val="24"/>
          <w:szCs w:val="24"/>
        </w:rPr>
        <w:t xml:space="preserve"> (AR)^2</w:t>
      </w:r>
      <w:r w:rsidRPr="009B3DAD">
        <w:rPr>
          <w:rFonts w:ascii="Times New Roman" w:hAnsi="Times New Roman"/>
          <w:bCs/>
          <w:sz w:val="24"/>
          <w:szCs w:val="24"/>
        </w:rPr>
        <w:t xml:space="preserve"> – </w:t>
      </w:r>
      <w:r w:rsidR="009B3DAD">
        <w:rPr>
          <w:rFonts w:ascii="Times New Roman" w:hAnsi="Times New Roman"/>
          <w:bCs/>
          <w:sz w:val="24"/>
          <w:szCs w:val="24"/>
        </w:rPr>
        <w:t xml:space="preserve">See </w:t>
      </w:r>
      <w:r w:rsidR="00B74F03">
        <w:rPr>
          <w:rFonts w:ascii="Times New Roman" w:hAnsi="Times New Roman"/>
          <w:bCs/>
          <w:sz w:val="24"/>
          <w:szCs w:val="24"/>
        </w:rPr>
        <w:t xml:space="preserve">the </w:t>
      </w:r>
      <w:r w:rsidR="009B3DAD">
        <w:rPr>
          <w:rFonts w:ascii="Times New Roman" w:hAnsi="Times New Roman"/>
          <w:bCs/>
          <w:sz w:val="24"/>
          <w:szCs w:val="24"/>
        </w:rPr>
        <w:t>Adult Education Standards section</w:t>
      </w:r>
      <w:r w:rsidR="00B74F03">
        <w:rPr>
          <w:rFonts w:ascii="Times New Roman" w:hAnsi="Times New Roman"/>
          <w:bCs/>
          <w:sz w:val="24"/>
          <w:szCs w:val="24"/>
        </w:rPr>
        <w:t xml:space="preserve"> below</w:t>
      </w:r>
      <w:r w:rsidR="009B3DAD">
        <w:rPr>
          <w:rFonts w:ascii="Times New Roman" w:hAnsi="Times New Roman"/>
          <w:bCs/>
          <w:sz w:val="24"/>
          <w:szCs w:val="24"/>
        </w:rPr>
        <w:t>.</w:t>
      </w:r>
      <w:r w:rsidRPr="009B3DAD">
        <w:rPr>
          <w:rFonts w:ascii="Times New Roman" w:hAnsi="Times New Roman"/>
          <w:bCs/>
          <w:sz w:val="24"/>
          <w:szCs w:val="24"/>
        </w:rPr>
        <w:t xml:space="preserve"> </w:t>
      </w:r>
    </w:p>
    <w:p w:rsidR="00DB3C07" w:rsidRDefault="002229CC" w:rsidP="000645F3">
      <w:pPr>
        <w:pStyle w:val="ListParagraph"/>
        <w:numPr>
          <w:ilvl w:val="3"/>
          <w:numId w:val="14"/>
        </w:numPr>
        <w:ind w:left="720"/>
        <w:rPr>
          <w:rFonts w:ascii="Times New Roman" w:hAnsi="Times New Roman"/>
          <w:bCs/>
          <w:sz w:val="24"/>
          <w:szCs w:val="24"/>
        </w:rPr>
      </w:pPr>
      <w:r w:rsidRPr="006B62F5">
        <w:rPr>
          <w:rFonts w:ascii="Times New Roman" w:hAnsi="Times New Roman"/>
          <w:b/>
          <w:bCs/>
          <w:sz w:val="24"/>
          <w:szCs w:val="24"/>
        </w:rPr>
        <w:t>2014 Fall Teacher Meeting</w:t>
      </w:r>
      <w:r>
        <w:rPr>
          <w:rFonts w:ascii="Times New Roman" w:hAnsi="Times New Roman"/>
          <w:bCs/>
          <w:sz w:val="24"/>
          <w:szCs w:val="24"/>
        </w:rPr>
        <w:t xml:space="preserve"> </w:t>
      </w:r>
      <w:r w:rsidRPr="009B3DAD">
        <w:rPr>
          <w:rFonts w:ascii="Times New Roman" w:hAnsi="Times New Roman"/>
          <w:bCs/>
          <w:sz w:val="24"/>
          <w:szCs w:val="24"/>
        </w:rPr>
        <w:t xml:space="preserve">– </w:t>
      </w:r>
      <w:r w:rsidRPr="002355C1">
        <w:rPr>
          <w:rFonts w:ascii="Times New Roman" w:hAnsi="Times New Roman"/>
          <w:bCs/>
          <w:sz w:val="24"/>
          <w:szCs w:val="24"/>
        </w:rPr>
        <w:t>Th</w:t>
      </w:r>
      <w:r w:rsidR="000645F3">
        <w:rPr>
          <w:rFonts w:ascii="Times New Roman" w:hAnsi="Times New Roman"/>
          <w:bCs/>
          <w:sz w:val="24"/>
          <w:szCs w:val="24"/>
        </w:rPr>
        <w:t>is</w:t>
      </w:r>
      <w:r w:rsidRPr="002355C1">
        <w:rPr>
          <w:rFonts w:ascii="Times New Roman" w:hAnsi="Times New Roman"/>
          <w:bCs/>
          <w:sz w:val="24"/>
          <w:szCs w:val="24"/>
        </w:rPr>
        <w:t xml:space="preserve"> day-long training introduce</w:t>
      </w:r>
      <w:r w:rsidR="002355C1">
        <w:rPr>
          <w:rFonts w:ascii="Times New Roman" w:hAnsi="Times New Roman"/>
          <w:bCs/>
          <w:sz w:val="24"/>
          <w:szCs w:val="24"/>
        </w:rPr>
        <w:t>d</w:t>
      </w:r>
      <w:r w:rsidRPr="002355C1">
        <w:rPr>
          <w:rFonts w:ascii="Times New Roman" w:hAnsi="Times New Roman"/>
          <w:bCs/>
          <w:sz w:val="24"/>
          <w:szCs w:val="24"/>
        </w:rPr>
        <w:t xml:space="preserve"> Adult Education Teachers and </w:t>
      </w:r>
      <w:r w:rsidR="00F47BB5">
        <w:rPr>
          <w:rFonts w:ascii="Times New Roman" w:hAnsi="Times New Roman"/>
          <w:bCs/>
          <w:sz w:val="24"/>
          <w:szCs w:val="24"/>
        </w:rPr>
        <w:t>t</w:t>
      </w:r>
      <w:r w:rsidRPr="002355C1">
        <w:rPr>
          <w:rFonts w:ascii="Times New Roman" w:hAnsi="Times New Roman"/>
          <w:bCs/>
          <w:sz w:val="24"/>
          <w:szCs w:val="24"/>
        </w:rPr>
        <w:t>ransitions staff to the Search Institute's foundational framework: </w:t>
      </w:r>
      <w:r w:rsidRPr="002355C1">
        <w:rPr>
          <w:rFonts w:ascii="Times New Roman" w:hAnsi="Times New Roman"/>
          <w:bCs/>
          <w:i/>
          <w:iCs/>
          <w:sz w:val="24"/>
          <w:szCs w:val="24"/>
        </w:rPr>
        <w:t>Everyone's an Asset Builder</w:t>
      </w:r>
      <w:r w:rsidRPr="002355C1">
        <w:rPr>
          <w:rFonts w:ascii="Times New Roman" w:hAnsi="Times New Roman"/>
          <w:bCs/>
          <w:sz w:val="24"/>
          <w:szCs w:val="24"/>
        </w:rPr>
        <w:t> and </w:t>
      </w:r>
      <w:r w:rsidRPr="002355C1">
        <w:rPr>
          <w:rFonts w:ascii="Times New Roman" w:hAnsi="Times New Roman"/>
          <w:bCs/>
          <w:i/>
          <w:iCs/>
          <w:sz w:val="24"/>
          <w:szCs w:val="24"/>
        </w:rPr>
        <w:t>Sharing the Asset Message</w:t>
      </w:r>
      <w:r w:rsidRPr="002355C1">
        <w:rPr>
          <w:rFonts w:ascii="Times New Roman" w:hAnsi="Times New Roman"/>
          <w:bCs/>
          <w:sz w:val="24"/>
          <w:szCs w:val="24"/>
        </w:rPr>
        <w:t> and corresponding strengths-based developmental approaches for working with young people.</w:t>
      </w:r>
      <w:r w:rsidR="002355C1" w:rsidRPr="002355C1">
        <w:rPr>
          <w:rFonts w:ascii="Times New Roman" w:hAnsi="Times New Roman"/>
          <w:bCs/>
          <w:sz w:val="24"/>
          <w:szCs w:val="24"/>
        </w:rPr>
        <w:t xml:space="preserve"> </w:t>
      </w:r>
      <w:r w:rsidR="00F47BB5">
        <w:rPr>
          <w:rFonts w:ascii="Times New Roman" w:hAnsi="Times New Roman"/>
          <w:bCs/>
          <w:sz w:val="24"/>
          <w:szCs w:val="24"/>
        </w:rPr>
        <w:t xml:space="preserve">This training also focused on new WIOA requirements for increasing services to out-of-school youth. </w:t>
      </w:r>
    </w:p>
    <w:p w:rsidR="00CF5A35" w:rsidRPr="009B3DAD" w:rsidRDefault="00A67B98" w:rsidP="000645F3">
      <w:pPr>
        <w:pStyle w:val="ListParagraph"/>
        <w:numPr>
          <w:ilvl w:val="3"/>
          <w:numId w:val="14"/>
        </w:numPr>
        <w:ind w:left="720"/>
        <w:rPr>
          <w:rFonts w:ascii="Times New Roman" w:hAnsi="Times New Roman"/>
          <w:bCs/>
          <w:sz w:val="24"/>
          <w:szCs w:val="24"/>
        </w:rPr>
      </w:pPr>
      <w:r w:rsidRPr="006B62F5">
        <w:rPr>
          <w:rFonts w:ascii="Times New Roman" w:hAnsi="Times New Roman"/>
          <w:b/>
          <w:bCs/>
          <w:sz w:val="24"/>
          <w:szCs w:val="24"/>
        </w:rPr>
        <w:t>Work</w:t>
      </w:r>
      <w:r w:rsidR="00B74F03">
        <w:rPr>
          <w:rFonts w:ascii="Times New Roman" w:hAnsi="Times New Roman"/>
          <w:b/>
          <w:bCs/>
          <w:sz w:val="24"/>
          <w:szCs w:val="24"/>
        </w:rPr>
        <w:t>g</w:t>
      </w:r>
      <w:r w:rsidR="00730ADA" w:rsidRPr="006B62F5">
        <w:rPr>
          <w:rFonts w:ascii="Times New Roman" w:hAnsi="Times New Roman"/>
          <w:b/>
          <w:bCs/>
          <w:sz w:val="24"/>
          <w:szCs w:val="24"/>
        </w:rPr>
        <w:t>roups</w:t>
      </w:r>
      <w:r w:rsidR="00730ADA" w:rsidRPr="009B3DAD">
        <w:rPr>
          <w:rFonts w:ascii="Times New Roman" w:hAnsi="Times New Roman"/>
          <w:bCs/>
          <w:sz w:val="24"/>
          <w:szCs w:val="24"/>
        </w:rPr>
        <w:t xml:space="preserve"> </w:t>
      </w:r>
      <w:r w:rsidRPr="009B3DAD">
        <w:rPr>
          <w:rFonts w:ascii="Times New Roman" w:hAnsi="Times New Roman"/>
          <w:bCs/>
          <w:sz w:val="24"/>
          <w:szCs w:val="24"/>
        </w:rPr>
        <w:t xml:space="preserve">– </w:t>
      </w:r>
      <w:r w:rsidR="00A342FB" w:rsidRPr="009B3DAD">
        <w:rPr>
          <w:rFonts w:ascii="Times New Roman" w:hAnsi="Times New Roman"/>
          <w:bCs/>
          <w:sz w:val="24"/>
          <w:szCs w:val="24"/>
        </w:rPr>
        <w:t>IDWD continuously seeks feedback and collaboration form Adult Education administrators and teachers in building topics and content for Professional Development events and activities. I</w:t>
      </w:r>
      <w:r w:rsidRPr="009B3DAD">
        <w:rPr>
          <w:rFonts w:ascii="Times New Roman" w:hAnsi="Times New Roman"/>
          <w:bCs/>
          <w:sz w:val="24"/>
          <w:szCs w:val="24"/>
        </w:rPr>
        <w:t xml:space="preserve">DWD </w:t>
      </w:r>
      <w:r w:rsidR="00A342FB" w:rsidRPr="009B3DAD">
        <w:rPr>
          <w:rFonts w:ascii="Times New Roman" w:hAnsi="Times New Roman"/>
          <w:bCs/>
          <w:sz w:val="24"/>
          <w:szCs w:val="24"/>
        </w:rPr>
        <w:t>continues to host</w:t>
      </w:r>
      <w:r w:rsidRPr="009B3DAD">
        <w:rPr>
          <w:rFonts w:ascii="Times New Roman" w:hAnsi="Times New Roman"/>
          <w:bCs/>
          <w:sz w:val="24"/>
          <w:szCs w:val="24"/>
        </w:rPr>
        <w:t xml:space="preserve"> workgroups to assist in the development and delivery of future professional development</w:t>
      </w:r>
      <w:r w:rsidR="00035F1A" w:rsidRPr="009B3DAD">
        <w:rPr>
          <w:rFonts w:ascii="Times New Roman" w:hAnsi="Times New Roman"/>
          <w:bCs/>
          <w:sz w:val="24"/>
          <w:szCs w:val="24"/>
        </w:rPr>
        <w:t xml:space="preserve"> in Indiana</w:t>
      </w:r>
      <w:r w:rsidRPr="009B3DAD">
        <w:rPr>
          <w:rFonts w:ascii="Times New Roman" w:hAnsi="Times New Roman"/>
          <w:bCs/>
          <w:sz w:val="24"/>
          <w:szCs w:val="24"/>
        </w:rPr>
        <w:t xml:space="preserve">. </w:t>
      </w:r>
      <w:r w:rsidR="00730ADA">
        <w:rPr>
          <w:rFonts w:ascii="Times New Roman" w:hAnsi="Times New Roman"/>
          <w:bCs/>
          <w:sz w:val="24"/>
          <w:szCs w:val="24"/>
        </w:rPr>
        <w:t>In this report</w:t>
      </w:r>
      <w:r w:rsidR="006B62F5">
        <w:rPr>
          <w:rFonts w:ascii="Times New Roman" w:hAnsi="Times New Roman"/>
          <w:bCs/>
          <w:sz w:val="24"/>
          <w:szCs w:val="24"/>
        </w:rPr>
        <w:t>ing</w:t>
      </w:r>
      <w:r w:rsidR="00730ADA">
        <w:rPr>
          <w:rFonts w:ascii="Times New Roman" w:hAnsi="Times New Roman"/>
          <w:bCs/>
          <w:sz w:val="24"/>
          <w:szCs w:val="24"/>
        </w:rPr>
        <w:t xml:space="preserve"> period IDWD convened the following</w:t>
      </w:r>
      <w:r w:rsidR="00035F1A" w:rsidRPr="009B3DAD">
        <w:rPr>
          <w:rFonts w:ascii="Times New Roman" w:hAnsi="Times New Roman"/>
          <w:bCs/>
          <w:sz w:val="24"/>
          <w:szCs w:val="24"/>
        </w:rPr>
        <w:t xml:space="preserve"> </w:t>
      </w:r>
      <w:r w:rsidRPr="009B3DAD">
        <w:rPr>
          <w:rFonts w:ascii="Times New Roman" w:hAnsi="Times New Roman"/>
          <w:bCs/>
          <w:sz w:val="24"/>
          <w:szCs w:val="24"/>
        </w:rPr>
        <w:t>workgroups</w:t>
      </w:r>
      <w:r w:rsidR="00730ADA">
        <w:rPr>
          <w:rFonts w:ascii="Times New Roman" w:hAnsi="Times New Roman"/>
          <w:bCs/>
          <w:sz w:val="24"/>
          <w:szCs w:val="24"/>
        </w:rPr>
        <w:t xml:space="preserve">: </w:t>
      </w:r>
      <w:r w:rsidR="00DB3C07">
        <w:rPr>
          <w:rFonts w:ascii="Times New Roman" w:hAnsi="Times New Roman"/>
          <w:bCs/>
          <w:sz w:val="24"/>
          <w:szCs w:val="24"/>
        </w:rPr>
        <w:t xml:space="preserve">Adult Education </w:t>
      </w:r>
      <w:r w:rsidR="00730ADA">
        <w:rPr>
          <w:rFonts w:ascii="Times New Roman" w:hAnsi="Times New Roman"/>
          <w:bCs/>
          <w:sz w:val="24"/>
          <w:szCs w:val="24"/>
        </w:rPr>
        <w:t>WIOA Work</w:t>
      </w:r>
      <w:r w:rsidR="00C70D4E" w:rsidRPr="009B3DAD">
        <w:rPr>
          <w:rFonts w:ascii="Times New Roman" w:hAnsi="Times New Roman"/>
          <w:bCs/>
          <w:sz w:val="24"/>
          <w:szCs w:val="24"/>
        </w:rPr>
        <w:t xml:space="preserve"> Group</w:t>
      </w:r>
      <w:r w:rsidRPr="009B3DAD">
        <w:rPr>
          <w:rFonts w:ascii="Times New Roman" w:hAnsi="Times New Roman"/>
          <w:bCs/>
          <w:sz w:val="24"/>
          <w:szCs w:val="24"/>
        </w:rPr>
        <w:t xml:space="preserve">, and </w:t>
      </w:r>
      <w:r w:rsidR="00730ADA">
        <w:rPr>
          <w:rFonts w:ascii="Times New Roman" w:hAnsi="Times New Roman"/>
          <w:bCs/>
          <w:sz w:val="24"/>
          <w:szCs w:val="24"/>
        </w:rPr>
        <w:t>Teacher Induction &amp; Competencies Work Group</w:t>
      </w:r>
      <w:r w:rsidRPr="009B3DAD">
        <w:rPr>
          <w:rFonts w:ascii="Times New Roman" w:hAnsi="Times New Roman"/>
          <w:bCs/>
          <w:sz w:val="24"/>
          <w:szCs w:val="24"/>
        </w:rPr>
        <w:t>.</w:t>
      </w:r>
    </w:p>
    <w:p w:rsidR="00CF5A35" w:rsidRPr="009B3DAD" w:rsidRDefault="00A67B98" w:rsidP="000645F3">
      <w:pPr>
        <w:pStyle w:val="ListParagraph"/>
        <w:numPr>
          <w:ilvl w:val="3"/>
          <w:numId w:val="14"/>
        </w:numPr>
        <w:ind w:left="720"/>
        <w:rPr>
          <w:rFonts w:ascii="Times New Roman" w:hAnsi="Times New Roman"/>
          <w:bCs/>
          <w:i/>
          <w:sz w:val="24"/>
          <w:szCs w:val="24"/>
        </w:rPr>
      </w:pPr>
      <w:r w:rsidRPr="006B62F5">
        <w:rPr>
          <w:rFonts w:ascii="Times New Roman" w:hAnsi="Times New Roman"/>
          <w:b/>
          <w:bCs/>
          <w:sz w:val="24"/>
          <w:szCs w:val="24"/>
        </w:rPr>
        <w:t>AmplifyAE</w:t>
      </w:r>
      <w:r w:rsidR="004B2D74" w:rsidRPr="006B62F5">
        <w:rPr>
          <w:rFonts w:ascii="Times New Roman" w:hAnsi="Times New Roman"/>
          <w:b/>
          <w:bCs/>
          <w:sz w:val="24"/>
          <w:szCs w:val="24"/>
        </w:rPr>
        <w:t xml:space="preserve"> &amp; Blackboard</w:t>
      </w:r>
      <w:r w:rsidRPr="009B3DAD">
        <w:rPr>
          <w:rFonts w:ascii="Times New Roman" w:hAnsi="Times New Roman"/>
          <w:bCs/>
          <w:i/>
          <w:sz w:val="24"/>
          <w:szCs w:val="24"/>
        </w:rPr>
        <w:t xml:space="preserve"> –</w:t>
      </w:r>
      <w:r w:rsidRPr="009B3DAD">
        <w:rPr>
          <w:rFonts w:ascii="Times New Roman" w:hAnsi="Times New Roman"/>
          <w:bCs/>
          <w:sz w:val="24"/>
          <w:szCs w:val="24"/>
        </w:rPr>
        <w:t xml:space="preserve"> DWD </w:t>
      </w:r>
      <w:r w:rsidR="00A342FB" w:rsidRPr="009B3DAD">
        <w:rPr>
          <w:rFonts w:ascii="Times New Roman" w:hAnsi="Times New Roman"/>
          <w:bCs/>
          <w:sz w:val="24"/>
          <w:szCs w:val="24"/>
        </w:rPr>
        <w:t>continues to utilize and upgrade</w:t>
      </w:r>
      <w:r w:rsidRPr="009B3DAD">
        <w:rPr>
          <w:rFonts w:ascii="Times New Roman" w:hAnsi="Times New Roman"/>
          <w:bCs/>
          <w:sz w:val="24"/>
          <w:szCs w:val="24"/>
        </w:rPr>
        <w:t xml:space="preserve"> </w:t>
      </w:r>
      <w:r w:rsidR="00A342FB" w:rsidRPr="009B3DAD">
        <w:rPr>
          <w:rFonts w:ascii="Times New Roman" w:hAnsi="Times New Roman"/>
          <w:bCs/>
          <w:sz w:val="24"/>
          <w:szCs w:val="24"/>
        </w:rPr>
        <w:t xml:space="preserve">the </w:t>
      </w:r>
      <w:hyperlink r:id="rId9" w:history="1">
        <w:r w:rsidRPr="009B3DAD">
          <w:rPr>
            <w:rStyle w:val="Hyperlink"/>
            <w:rFonts w:ascii="Times New Roman" w:hAnsi="Times New Roman"/>
            <w:bCs/>
            <w:sz w:val="24"/>
            <w:szCs w:val="24"/>
          </w:rPr>
          <w:t>AmplifyAE.org</w:t>
        </w:r>
      </w:hyperlink>
      <w:r w:rsidR="00A342FB" w:rsidRPr="009B3DAD">
        <w:rPr>
          <w:rFonts w:ascii="Times New Roman" w:hAnsi="Times New Roman"/>
          <w:bCs/>
          <w:sz w:val="24"/>
          <w:szCs w:val="24"/>
        </w:rPr>
        <w:t xml:space="preserve"> website,</w:t>
      </w:r>
      <w:r w:rsidRPr="009B3DAD">
        <w:rPr>
          <w:rFonts w:ascii="Times New Roman" w:hAnsi="Times New Roman"/>
          <w:bCs/>
          <w:sz w:val="24"/>
          <w:szCs w:val="24"/>
        </w:rPr>
        <w:t xml:space="preserve"> which houses all of the materials developed for professional</w:t>
      </w:r>
      <w:r w:rsidR="00A342FB" w:rsidRPr="009B3DAD">
        <w:rPr>
          <w:rFonts w:ascii="Times New Roman" w:hAnsi="Times New Roman"/>
          <w:bCs/>
          <w:sz w:val="24"/>
          <w:szCs w:val="24"/>
        </w:rPr>
        <w:t xml:space="preserve"> development events as well as </w:t>
      </w:r>
      <w:r w:rsidRPr="009B3DAD">
        <w:rPr>
          <w:rFonts w:ascii="Times New Roman" w:hAnsi="Times New Roman"/>
          <w:bCs/>
          <w:sz w:val="24"/>
          <w:szCs w:val="24"/>
        </w:rPr>
        <w:t>additional resources.</w:t>
      </w:r>
      <w:r w:rsidR="0039018C" w:rsidRPr="009B3DAD">
        <w:rPr>
          <w:rFonts w:ascii="Times New Roman" w:hAnsi="Times New Roman"/>
          <w:bCs/>
          <w:sz w:val="24"/>
          <w:szCs w:val="24"/>
        </w:rPr>
        <w:t xml:space="preserve">  </w:t>
      </w:r>
      <w:r w:rsidR="00A342FB" w:rsidRPr="009B3DAD">
        <w:rPr>
          <w:rFonts w:ascii="Times New Roman" w:hAnsi="Times New Roman"/>
          <w:bCs/>
          <w:sz w:val="24"/>
          <w:szCs w:val="24"/>
        </w:rPr>
        <w:t xml:space="preserve">This reporting year focused on adding the ability to register for events through this website. </w:t>
      </w:r>
      <w:r w:rsidR="004B2D74">
        <w:rPr>
          <w:rFonts w:ascii="Times New Roman" w:hAnsi="Times New Roman"/>
          <w:bCs/>
          <w:sz w:val="24"/>
          <w:szCs w:val="24"/>
        </w:rPr>
        <w:t xml:space="preserve">The addition of Blackboard as an online learning management system has allowed IN AE to deliver more distance learning options to local program staff seeking professional development &amp; technical assistance. During this reporting period Blackboard was incorporated into the ESL-4-ESL, SIA, and Teacher Induction &amp; Competencies Projects.  </w:t>
      </w:r>
      <w:r w:rsidR="00A342FB" w:rsidRPr="009B3DAD">
        <w:rPr>
          <w:rFonts w:ascii="Times New Roman" w:hAnsi="Times New Roman"/>
          <w:bCs/>
          <w:sz w:val="24"/>
          <w:szCs w:val="24"/>
        </w:rPr>
        <w:t xml:space="preserve"> </w:t>
      </w:r>
    </w:p>
    <w:p w:rsidR="009B3DAD" w:rsidRPr="009B3DAD" w:rsidRDefault="009B3DAD" w:rsidP="000645F3">
      <w:pPr>
        <w:pStyle w:val="ListParagraph"/>
        <w:numPr>
          <w:ilvl w:val="3"/>
          <w:numId w:val="14"/>
        </w:numPr>
        <w:ind w:left="720"/>
        <w:rPr>
          <w:rFonts w:ascii="Times New Roman" w:hAnsi="Times New Roman"/>
          <w:bCs/>
          <w:i/>
          <w:sz w:val="24"/>
          <w:szCs w:val="24"/>
        </w:rPr>
      </w:pPr>
      <w:r w:rsidRPr="006B62F5">
        <w:rPr>
          <w:rFonts w:ascii="Times New Roman" w:hAnsi="Times New Roman"/>
          <w:b/>
          <w:bCs/>
          <w:sz w:val="24"/>
          <w:szCs w:val="24"/>
        </w:rPr>
        <w:lastRenderedPageBreak/>
        <w:t>Standards In Action (SIA</w:t>
      </w:r>
      <w:r>
        <w:rPr>
          <w:rFonts w:ascii="Times New Roman" w:hAnsi="Times New Roman"/>
          <w:bCs/>
          <w:i/>
          <w:sz w:val="24"/>
          <w:szCs w:val="24"/>
        </w:rPr>
        <w:t>)</w:t>
      </w:r>
      <w:r>
        <w:rPr>
          <w:rFonts w:ascii="Times New Roman" w:hAnsi="Times New Roman"/>
          <w:bCs/>
          <w:sz w:val="24"/>
          <w:szCs w:val="24"/>
        </w:rPr>
        <w:t xml:space="preserve"> - See Adult Education Standards section</w:t>
      </w:r>
      <w:r w:rsidR="00B74F03">
        <w:rPr>
          <w:rFonts w:ascii="Times New Roman" w:hAnsi="Times New Roman"/>
          <w:bCs/>
          <w:sz w:val="24"/>
          <w:szCs w:val="24"/>
        </w:rPr>
        <w:t xml:space="preserve"> below</w:t>
      </w:r>
      <w:r>
        <w:rPr>
          <w:rFonts w:ascii="Times New Roman" w:hAnsi="Times New Roman"/>
          <w:bCs/>
          <w:sz w:val="24"/>
          <w:szCs w:val="24"/>
        </w:rPr>
        <w:t>.</w:t>
      </w:r>
    </w:p>
    <w:p w:rsidR="00550260" w:rsidRPr="00730ADA" w:rsidRDefault="00DF159E" w:rsidP="000645F3">
      <w:pPr>
        <w:pStyle w:val="ListParagraph"/>
        <w:numPr>
          <w:ilvl w:val="3"/>
          <w:numId w:val="14"/>
        </w:numPr>
        <w:ind w:left="720"/>
        <w:rPr>
          <w:rFonts w:ascii="Times New Roman" w:hAnsi="Times New Roman"/>
          <w:bCs/>
          <w:i/>
          <w:sz w:val="24"/>
          <w:szCs w:val="24"/>
        </w:rPr>
      </w:pPr>
      <w:r w:rsidRPr="006B62F5">
        <w:rPr>
          <w:rFonts w:ascii="Times New Roman" w:hAnsi="Times New Roman"/>
          <w:b/>
          <w:bCs/>
          <w:sz w:val="24"/>
          <w:szCs w:val="24"/>
        </w:rPr>
        <w:t>Annual Directors Meeting</w:t>
      </w:r>
      <w:r w:rsidRPr="00730ADA">
        <w:rPr>
          <w:rFonts w:ascii="Times New Roman" w:hAnsi="Times New Roman"/>
          <w:bCs/>
          <w:sz w:val="24"/>
          <w:szCs w:val="24"/>
        </w:rPr>
        <w:t xml:space="preserve"> – IDWD offered this annual event that focused on </w:t>
      </w:r>
      <w:r w:rsidR="00730ADA" w:rsidRPr="00730ADA">
        <w:rPr>
          <w:rFonts w:ascii="Times New Roman" w:hAnsi="Times New Roman"/>
          <w:bCs/>
          <w:sz w:val="24"/>
          <w:szCs w:val="24"/>
        </w:rPr>
        <w:t>exciting changes taking place in the field of adult education and the larger workforce system due to the new WIOA legislation.</w:t>
      </w:r>
      <w:r w:rsidR="00730ADA">
        <w:rPr>
          <w:rFonts w:ascii="Times New Roman" w:hAnsi="Times New Roman"/>
          <w:bCs/>
          <w:sz w:val="24"/>
          <w:szCs w:val="24"/>
        </w:rPr>
        <w:t xml:space="preserve"> Best practices from the participants in the Administrator 500 L</w:t>
      </w:r>
      <w:r w:rsidR="00A674D9">
        <w:rPr>
          <w:rFonts w:ascii="Times New Roman" w:hAnsi="Times New Roman"/>
          <w:bCs/>
          <w:sz w:val="24"/>
          <w:szCs w:val="24"/>
        </w:rPr>
        <w:t xml:space="preserve">eadership Series were shared to place emphasis on high quality instructional leadership and evidence-based approaches to delivering adult education. </w:t>
      </w:r>
    </w:p>
    <w:p w:rsidR="0023057B" w:rsidRPr="009B3DAD" w:rsidRDefault="00DB3C07" w:rsidP="000645F3">
      <w:pPr>
        <w:pStyle w:val="ListParagraph"/>
        <w:numPr>
          <w:ilvl w:val="3"/>
          <w:numId w:val="14"/>
        </w:numPr>
        <w:ind w:left="720"/>
        <w:rPr>
          <w:rFonts w:ascii="Times New Roman" w:hAnsi="Times New Roman"/>
          <w:bCs/>
          <w:i/>
          <w:sz w:val="24"/>
          <w:szCs w:val="24"/>
        </w:rPr>
      </w:pPr>
      <w:r>
        <w:rPr>
          <w:rFonts w:ascii="Times New Roman" w:hAnsi="Times New Roman"/>
          <w:b/>
          <w:bCs/>
          <w:sz w:val="24"/>
          <w:szCs w:val="24"/>
        </w:rPr>
        <w:t xml:space="preserve">Integrating </w:t>
      </w:r>
      <w:r w:rsidR="0023057B" w:rsidRPr="006B62F5">
        <w:rPr>
          <w:rFonts w:ascii="Times New Roman" w:hAnsi="Times New Roman"/>
          <w:b/>
          <w:bCs/>
          <w:sz w:val="24"/>
          <w:szCs w:val="24"/>
        </w:rPr>
        <w:t xml:space="preserve">Career Awareness </w:t>
      </w:r>
      <w:r w:rsidR="004B2D74" w:rsidRPr="006B62F5">
        <w:rPr>
          <w:rFonts w:ascii="Times New Roman" w:hAnsi="Times New Roman"/>
          <w:b/>
          <w:bCs/>
          <w:sz w:val="24"/>
          <w:szCs w:val="24"/>
        </w:rPr>
        <w:t>(ICA) Online Course &amp; Study Circle</w:t>
      </w:r>
      <w:r w:rsidR="004B2D74">
        <w:rPr>
          <w:rFonts w:ascii="Times New Roman" w:hAnsi="Times New Roman"/>
          <w:bCs/>
          <w:sz w:val="24"/>
          <w:szCs w:val="24"/>
        </w:rPr>
        <w:t xml:space="preserve"> </w:t>
      </w:r>
      <w:r w:rsidR="0023057B" w:rsidRPr="009B3DAD">
        <w:rPr>
          <w:rFonts w:ascii="Times New Roman" w:hAnsi="Times New Roman"/>
          <w:bCs/>
          <w:sz w:val="24"/>
          <w:szCs w:val="24"/>
        </w:rPr>
        <w:t>– IDWD partnered with LINC</w:t>
      </w:r>
      <w:r w:rsidR="004B2D74">
        <w:rPr>
          <w:rFonts w:ascii="Times New Roman" w:hAnsi="Times New Roman"/>
          <w:bCs/>
          <w:sz w:val="24"/>
          <w:szCs w:val="24"/>
        </w:rPr>
        <w:t>S</w:t>
      </w:r>
      <w:r w:rsidR="0023057B" w:rsidRPr="009B3DAD">
        <w:rPr>
          <w:rFonts w:ascii="Times New Roman" w:hAnsi="Times New Roman"/>
          <w:bCs/>
          <w:sz w:val="24"/>
          <w:szCs w:val="24"/>
        </w:rPr>
        <w:t xml:space="preserve"> to offer a six-week, online course to prepare instructors to implement the </w:t>
      </w:r>
      <w:r w:rsidR="00310428" w:rsidRPr="009B3DAD">
        <w:rPr>
          <w:rFonts w:ascii="Times New Roman" w:hAnsi="Times New Roman"/>
          <w:bCs/>
          <w:i/>
          <w:sz w:val="24"/>
          <w:szCs w:val="24"/>
        </w:rPr>
        <w:t>Integrating Career Awareness into the ABE &amp; ESOL Classroom Curriculum Guid</w:t>
      </w:r>
      <w:r w:rsidR="004B2D74">
        <w:rPr>
          <w:rFonts w:ascii="Times New Roman" w:hAnsi="Times New Roman"/>
          <w:bCs/>
          <w:i/>
          <w:sz w:val="24"/>
          <w:szCs w:val="24"/>
        </w:rPr>
        <w:t xml:space="preserve">e </w:t>
      </w:r>
      <w:r w:rsidR="004B2D74" w:rsidRPr="001707AA">
        <w:rPr>
          <w:rFonts w:ascii="Times New Roman" w:hAnsi="Times New Roman"/>
          <w:bCs/>
          <w:sz w:val="24"/>
          <w:szCs w:val="24"/>
        </w:rPr>
        <w:t>in the fall. A study circle covering similar content was delivered, again in partnership with LINCS, in the spring.</w:t>
      </w:r>
    </w:p>
    <w:p w:rsidR="004B2D74" w:rsidRDefault="004B2D74" w:rsidP="000645F3">
      <w:pPr>
        <w:pStyle w:val="ListParagraph"/>
        <w:numPr>
          <w:ilvl w:val="3"/>
          <w:numId w:val="14"/>
        </w:numPr>
        <w:ind w:left="720"/>
        <w:rPr>
          <w:rFonts w:ascii="Times New Roman" w:hAnsi="Times New Roman"/>
          <w:bCs/>
          <w:i/>
          <w:sz w:val="24"/>
          <w:szCs w:val="24"/>
        </w:rPr>
      </w:pPr>
      <w:r w:rsidRPr="006B62F5">
        <w:rPr>
          <w:rFonts w:ascii="Times New Roman" w:hAnsi="Times New Roman"/>
          <w:b/>
          <w:bCs/>
          <w:sz w:val="24"/>
          <w:szCs w:val="24"/>
        </w:rPr>
        <w:t>LINCS Online Courses:</w:t>
      </w:r>
      <w:r>
        <w:rPr>
          <w:rFonts w:ascii="Times New Roman" w:hAnsi="Times New Roman"/>
          <w:bCs/>
          <w:i/>
          <w:sz w:val="24"/>
          <w:szCs w:val="24"/>
        </w:rPr>
        <w:t xml:space="preserve"> </w:t>
      </w:r>
      <w:r w:rsidRPr="001707AA">
        <w:rPr>
          <w:rFonts w:ascii="Times New Roman" w:hAnsi="Times New Roman"/>
          <w:bCs/>
          <w:sz w:val="24"/>
          <w:szCs w:val="24"/>
        </w:rPr>
        <w:t>Using Wiggio as a discussion and</w:t>
      </w:r>
      <w:r w:rsidR="00AE41FE" w:rsidRPr="001707AA">
        <w:rPr>
          <w:rFonts w:ascii="Times New Roman" w:hAnsi="Times New Roman"/>
          <w:bCs/>
          <w:sz w:val="24"/>
          <w:szCs w:val="24"/>
        </w:rPr>
        <w:t xml:space="preserve"> assignment posting/grading forum, IDWD utilized four LINCS Learning Portal courses to offer facilitated online courses for AE and workforce development local program staff. Topics included: Adult Career Pathways (ACP): Integrating Career Counseling and Planning, ELL-U: Second Language Acquisition - Myths, Beliefs, and What the Research Shows, LINCS Science: Scientific Practices in Context, LINCS Integrating Technology in the Adult Education Classroom</w:t>
      </w:r>
      <w:r w:rsidR="003F2B34">
        <w:rPr>
          <w:rFonts w:ascii="Times New Roman" w:hAnsi="Times New Roman"/>
          <w:bCs/>
          <w:sz w:val="24"/>
          <w:szCs w:val="24"/>
        </w:rPr>
        <w:t>.</w:t>
      </w:r>
      <w:r w:rsidR="00AE41FE">
        <w:rPr>
          <w:rFonts w:ascii="Times New Roman" w:hAnsi="Times New Roman"/>
          <w:bCs/>
          <w:i/>
          <w:sz w:val="24"/>
          <w:szCs w:val="24"/>
        </w:rPr>
        <w:t xml:space="preserve"> </w:t>
      </w:r>
    </w:p>
    <w:p w:rsidR="000645F3" w:rsidRPr="000645F3" w:rsidRDefault="00310428" w:rsidP="000645F3">
      <w:pPr>
        <w:pStyle w:val="ListParagraph"/>
        <w:numPr>
          <w:ilvl w:val="3"/>
          <w:numId w:val="14"/>
        </w:numPr>
        <w:ind w:left="720"/>
        <w:rPr>
          <w:rFonts w:ascii="Times New Roman" w:hAnsi="Times New Roman"/>
          <w:bCs/>
          <w:i/>
          <w:sz w:val="24"/>
          <w:szCs w:val="24"/>
        </w:rPr>
      </w:pPr>
      <w:r w:rsidRPr="006B62F5">
        <w:rPr>
          <w:rFonts w:ascii="Times New Roman" w:hAnsi="Times New Roman"/>
          <w:b/>
          <w:bCs/>
          <w:sz w:val="24"/>
          <w:szCs w:val="24"/>
        </w:rPr>
        <w:t>Administrator 500 Leadership Series</w:t>
      </w:r>
      <w:r w:rsidRPr="009B3DAD">
        <w:rPr>
          <w:rFonts w:ascii="Times New Roman" w:hAnsi="Times New Roman"/>
          <w:bCs/>
          <w:sz w:val="24"/>
          <w:szCs w:val="24"/>
        </w:rPr>
        <w:t xml:space="preserve"> – IDWD offer</w:t>
      </w:r>
      <w:r w:rsidR="00B74F03">
        <w:rPr>
          <w:rFonts w:ascii="Times New Roman" w:hAnsi="Times New Roman"/>
          <w:bCs/>
          <w:sz w:val="24"/>
          <w:szCs w:val="24"/>
        </w:rPr>
        <w:t>ed</w:t>
      </w:r>
      <w:r w:rsidRPr="009B3DAD">
        <w:rPr>
          <w:rFonts w:ascii="Times New Roman" w:hAnsi="Times New Roman"/>
          <w:bCs/>
          <w:sz w:val="24"/>
          <w:szCs w:val="24"/>
        </w:rPr>
        <w:t xml:space="preserve"> </w:t>
      </w:r>
      <w:r w:rsidR="00B74F03">
        <w:rPr>
          <w:rFonts w:ascii="Times New Roman" w:hAnsi="Times New Roman"/>
          <w:bCs/>
          <w:sz w:val="24"/>
          <w:szCs w:val="24"/>
        </w:rPr>
        <w:t xml:space="preserve">this </w:t>
      </w:r>
      <w:r w:rsidRPr="009B3DAD">
        <w:rPr>
          <w:rFonts w:ascii="Times New Roman" w:hAnsi="Times New Roman"/>
          <w:bCs/>
          <w:sz w:val="24"/>
          <w:szCs w:val="24"/>
        </w:rPr>
        <w:t xml:space="preserve">year-long professional development initiative that focuses on innovative leadership to impact </w:t>
      </w:r>
      <w:r w:rsidR="00B74F03">
        <w:rPr>
          <w:rFonts w:ascii="Times New Roman" w:hAnsi="Times New Roman"/>
          <w:bCs/>
          <w:sz w:val="24"/>
          <w:szCs w:val="24"/>
        </w:rPr>
        <w:t xml:space="preserve">positively </w:t>
      </w:r>
      <w:r w:rsidRPr="009B3DAD">
        <w:rPr>
          <w:rFonts w:ascii="Times New Roman" w:hAnsi="Times New Roman"/>
          <w:bCs/>
          <w:sz w:val="24"/>
          <w:szCs w:val="24"/>
        </w:rPr>
        <w:t>program outcomes.</w:t>
      </w:r>
    </w:p>
    <w:p w:rsidR="00D7744E" w:rsidRPr="00D7744E" w:rsidRDefault="001707AA" w:rsidP="000645F3">
      <w:pPr>
        <w:pStyle w:val="ListParagraph"/>
        <w:numPr>
          <w:ilvl w:val="3"/>
          <w:numId w:val="14"/>
        </w:numPr>
        <w:ind w:left="720"/>
        <w:rPr>
          <w:rFonts w:ascii="Times New Roman" w:hAnsi="Times New Roman"/>
          <w:bCs/>
          <w:i/>
          <w:sz w:val="24"/>
          <w:szCs w:val="24"/>
        </w:rPr>
      </w:pPr>
      <w:r w:rsidRPr="00D7744E">
        <w:rPr>
          <w:rFonts w:ascii="Times New Roman" w:hAnsi="Times New Roman"/>
          <w:b/>
          <w:bCs/>
          <w:sz w:val="24"/>
          <w:szCs w:val="24"/>
        </w:rPr>
        <w:t>ESL-4-ESL</w:t>
      </w:r>
      <w:r w:rsidR="006B62F5" w:rsidRPr="00D7744E">
        <w:rPr>
          <w:rFonts w:ascii="Times New Roman" w:hAnsi="Times New Roman"/>
          <w:b/>
          <w:bCs/>
          <w:sz w:val="24"/>
          <w:szCs w:val="24"/>
        </w:rPr>
        <w:t xml:space="preserve"> </w:t>
      </w:r>
      <w:r w:rsidR="00B74F03">
        <w:rPr>
          <w:rFonts w:ascii="Times New Roman" w:hAnsi="Times New Roman"/>
          <w:b/>
          <w:bCs/>
          <w:sz w:val="24"/>
          <w:szCs w:val="24"/>
        </w:rPr>
        <w:t>–</w:t>
      </w:r>
      <w:r w:rsidRPr="00D7744E">
        <w:rPr>
          <w:rFonts w:ascii="Times New Roman" w:hAnsi="Times New Roman"/>
          <w:bCs/>
          <w:sz w:val="24"/>
          <w:szCs w:val="24"/>
        </w:rPr>
        <w:t xml:space="preserve"> </w:t>
      </w:r>
      <w:r w:rsidR="00D7744E">
        <w:rPr>
          <w:rFonts w:ascii="Times New Roman" w:hAnsi="Times New Roman"/>
          <w:bCs/>
          <w:sz w:val="24"/>
          <w:szCs w:val="24"/>
        </w:rPr>
        <w:t>See</w:t>
      </w:r>
      <w:r w:rsidR="00B74F03">
        <w:rPr>
          <w:rFonts w:ascii="Times New Roman" w:hAnsi="Times New Roman"/>
          <w:bCs/>
          <w:sz w:val="24"/>
          <w:szCs w:val="24"/>
        </w:rPr>
        <w:t xml:space="preserve"> </w:t>
      </w:r>
      <w:r w:rsidR="00D7744E">
        <w:rPr>
          <w:rFonts w:ascii="Times New Roman" w:hAnsi="Times New Roman"/>
          <w:bCs/>
          <w:sz w:val="24"/>
          <w:szCs w:val="24"/>
        </w:rPr>
        <w:t>Adult Education Standards section</w:t>
      </w:r>
      <w:r w:rsidR="00B74F03">
        <w:rPr>
          <w:rFonts w:ascii="Times New Roman" w:hAnsi="Times New Roman"/>
          <w:bCs/>
          <w:sz w:val="24"/>
          <w:szCs w:val="24"/>
        </w:rPr>
        <w:t xml:space="preserve"> below</w:t>
      </w:r>
      <w:r w:rsidR="00D7744E">
        <w:rPr>
          <w:rFonts w:ascii="Times New Roman" w:hAnsi="Times New Roman"/>
          <w:bCs/>
          <w:sz w:val="24"/>
          <w:szCs w:val="24"/>
        </w:rPr>
        <w:t>.</w:t>
      </w:r>
      <w:r w:rsidR="00D7744E" w:rsidRPr="00D7744E">
        <w:rPr>
          <w:rFonts w:ascii="Times New Roman" w:hAnsi="Times New Roman"/>
          <w:b/>
          <w:bCs/>
          <w:sz w:val="24"/>
          <w:szCs w:val="24"/>
        </w:rPr>
        <w:t xml:space="preserve"> </w:t>
      </w:r>
    </w:p>
    <w:p w:rsidR="000645F3" w:rsidRPr="00D7744E" w:rsidRDefault="000645F3" w:rsidP="000645F3">
      <w:pPr>
        <w:pStyle w:val="ListParagraph"/>
        <w:numPr>
          <w:ilvl w:val="3"/>
          <w:numId w:val="14"/>
        </w:numPr>
        <w:ind w:left="720"/>
        <w:rPr>
          <w:rFonts w:ascii="Times New Roman" w:hAnsi="Times New Roman"/>
          <w:bCs/>
          <w:i/>
          <w:sz w:val="24"/>
          <w:szCs w:val="24"/>
        </w:rPr>
      </w:pPr>
      <w:proofErr w:type="spellStart"/>
      <w:r w:rsidRPr="00D7744E">
        <w:rPr>
          <w:rFonts w:ascii="Times New Roman" w:hAnsi="Times New Roman"/>
          <w:b/>
          <w:bCs/>
          <w:sz w:val="24"/>
          <w:szCs w:val="24"/>
        </w:rPr>
        <w:t>InTERS</w:t>
      </w:r>
      <w:proofErr w:type="spellEnd"/>
      <w:r w:rsidRPr="00D7744E">
        <w:rPr>
          <w:rFonts w:ascii="Times New Roman" w:hAnsi="Times New Roman"/>
          <w:b/>
          <w:bCs/>
          <w:sz w:val="24"/>
          <w:szCs w:val="24"/>
        </w:rPr>
        <w:t xml:space="preserve"> Training</w:t>
      </w:r>
      <w:r w:rsidR="006B62F5" w:rsidRPr="00D7744E">
        <w:rPr>
          <w:rFonts w:ascii="Times New Roman" w:hAnsi="Times New Roman"/>
          <w:b/>
          <w:bCs/>
          <w:sz w:val="24"/>
          <w:szCs w:val="24"/>
        </w:rPr>
        <w:t>s -</w:t>
      </w:r>
      <w:r w:rsidR="006B62F5" w:rsidRPr="00D7744E">
        <w:rPr>
          <w:rFonts w:ascii="Times New Roman" w:hAnsi="Times New Roman"/>
          <w:bCs/>
          <w:i/>
          <w:sz w:val="24"/>
          <w:szCs w:val="24"/>
        </w:rPr>
        <w:t xml:space="preserve"> </w:t>
      </w:r>
      <w:r w:rsidRPr="00D7744E">
        <w:rPr>
          <w:rFonts w:ascii="Times New Roman" w:hAnsi="Times New Roman"/>
          <w:bCs/>
          <w:sz w:val="24"/>
          <w:szCs w:val="24"/>
        </w:rPr>
        <w:t xml:space="preserve">IDWD continues to deliver trainings for local program staff on data reporting and the use of Indiana’s InTERS data collection and management system. </w:t>
      </w:r>
    </w:p>
    <w:p w:rsidR="0035639E" w:rsidRPr="001707AA" w:rsidRDefault="0035639E" w:rsidP="000645F3">
      <w:pPr>
        <w:pStyle w:val="ListParagraph"/>
      </w:pPr>
    </w:p>
    <w:p w:rsidR="000B028D" w:rsidRPr="009B3DAD" w:rsidRDefault="00310428" w:rsidP="009B3DAD">
      <w:pPr>
        <w:pStyle w:val="NoSpacing"/>
      </w:pPr>
      <w:r w:rsidRPr="009B3DAD">
        <w:t>I</w:t>
      </w:r>
      <w:r w:rsidR="000B028D" w:rsidRPr="009B3DAD">
        <w:t>DWD</w:t>
      </w:r>
      <w:r w:rsidRPr="009B3DAD">
        <w:t xml:space="preserve"> continues to invest</w:t>
      </w:r>
      <w:r w:rsidR="000B028D" w:rsidRPr="009B3DAD">
        <w:t xml:space="preserve"> heavily in </w:t>
      </w:r>
      <w:r w:rsidRPr="009B3DAD">
        <w:t>building the</w:t>
      </w:r>
      <w:r w:rsidR="00035F1A" w:rsidRPr="009B3DAD">
        <w:t xml:space="preserve"> </w:t>
      </w:r>
      <w:r w:rsidR="000B028D" w:rsidRPr="009B3DAD">
        <w:t xml:space="preserve">adult education </w:t>
      </w:r>
      <w:r w:rsidR="00035F1A" w:rsidRPr="009B3DAD">
        <w:t>profe</w:t>
      </w:r>
      <w:r w:rsidRPr="009B3DAD">
        <w:t>ssional development system.  The above</w:t>
      </w:r>
      <w:r w:rsidR="00035F1A" w:rsidRPr="009B3DAD">
        <w:t xml:space="preserve"> activities directly tie to the overall vision of ensuring that adult education students have the opportunity to earn both a high school equivalency diploma </w:t>
      </w:r>
      <w:r w:rsidR="00035F1A" w:rsidRPr="009B3DAD">
        <w:rPr>
          <w:i/>
        </w:rPr>
        <w:t xml:space="preserve">and </w:t>
      </w:r>
      <w:r w:rsidR="00035F1A" w:rsidRPr="009B3DAD">
        <w:t>an occupational credential that lead</w:t>
      </w:r>
      <w:r w:rsidR="000B028D" w:rsidRPr="009B3DAD">
        <w:t>s</w:t>
      </w:r>
      <w:r w:rsidR="00035F1A" w:rsidRPr="009B3DAD">
        <w:t xml:space="preserve"> to high-value career opportunities. </w:t>
      </w:r>
      <w:r w:rsidR="000B028D" w:rsidRPr="009B3DAD">
        <w:t xml:space="preserve">In total, roughly </w:t>
      </w:r>
      <w:r w:rsidR="004162E8">
        <w:t>6</w:t>
      </w:r>
      <w:r w:rsidR="00FA2CEF">
        <w:t>00</w:t>
      </w:r>
      <w:r w:rsidR="004162E8" w:rsidRPr="009B3DAD">
        <w:t xml:space="preserve"> </w:t>
      </w:r>
      <w:r w:rsidR="000B028D" w:rsidRPr="009B3DAD">
        <w:t>Indiana adult education practitioners (directors, teachers, paraprofessionals, counselors, and volunteers)</w:t>
      </w:r>
      <w:r w:rsidR="00753233" w:rsidRPr="009B3DAD">
        <w:t xml:space="preserve"> participated in at least one professional development meeting</w:t>
      </w:r>
      <w:r w:rsidR="000B028D" w:rsidRPr="009B3DAD">
        <w:t xml:space="preserve">, </w:t>
      </w:r>
      <w:r w:rsidR="00753233" w:rsidRPr="009B3DAD">
        <w:t xml:space="preserve">which equates to roughly </w:t>
      </w:r>
      <w:r w:rsidR="00B656A1">
        <w:t>66</w:t>
      </w:r>
      <w:r w:rsidR="00753233" w:rsidRPr="00B332A1">
        <w:t>% of</w:t>
      </w:r>
      <w:r w:rsidR="00753233" w:rsidRPr="009B3DAD">
        <w:t xml:space="preserve"> the total population (based on NRS Table 7). </w:t>
      </w:r>
    </w:p>
    <w:p w:rsidR="0039018C" w:rsidRPr="009B3DAD" w:rsidRDefault="0039018C" w:rsidP="009B3DAD">
      <w:pPr>
        <w:pStyle w:val="NoSpacing"/>
      </w:pPr>
    </w:p>
    <w:p w:rsidR="00486109" w:rsidRPr="009B3DAD" w:rsidRDefault="00486109" w:rsidP="009B3DAD">
      <w:pPr>
        <w:pStyle w:val="NoSpacing"/>
        <w:rPr>
          <w:b/>
        </w:rPr>
      </w:pPr>
      <w:r w:rsidRPr="009B3DAD">
        <w:rPr>
          <w:b/>
        </w:rPr>
        <w:t>Performance Data Analyses:</w:t>
      </w:r>
    </w:p>
    <w:p w:rsidR="00172E0E" w:rsidRDefault="00172E0E" w:rsidP="009B3DAD">
      <w:pPr>
        <w:pStyle w:val="NoSpacing"/>
        <w:rPr>
          <w:i/>
          <w:color w:val="000000"/>
        </w:rPr>
      </w:pPr>
      <w:r w:rsidRPr="009B3DAD">
        <w:rPr>
          <w:i/>
          <w:color w:val="000000"/>
        </w:rPr>
        <w:t>Describe any significant findings from the evaluation of your performance data for the reporting period and efforts to improve outcomes for the core indicators of performance.</w:t>
      </w:r>
    </w:p>
    <w:p w:rsidR="008D3279" w:rsidRPr="009B3DAD" w:rsidRDefault="008D3279" w:rsidP="009B3DAD">
      <w:pPr>
        <w:pStyle w:val="NoSpacing"/>
      </w:pPr>
    </w:p>
    <w:p w:rsidR="00CF5A35" w:rsidRPr="007D5436" w:rsidRDefault="00486109" w:rsidP="009B3DAD">
      <w:pPr>
        <w:spacing w:after="0" w:line="240" w:lineRule="auto"/>
        <w:rPr>
          <w:rFonts w:ascii="Times New Roman" w:hAnsi="Times New Roman"/>
          <w:bCs/>
          <w:i/>
          <w:sz w:val="24"/>
          <w:szCs w:val="24"/>
        </w:rPr>
      </w:pPr>
      <w:r w:rsidRPr="007D5436">
        <w:rPr>
          <w:rFonts w:ascii="Times New Roman" w:hAnsi="Times New Roman"/>
          <w:bCs/>
          <w:sz w:val="24"/>
          <w:szCs w:val="24"/>
        </w:rPr>
        <w:t>PY 2</w:t>
      </w:r>
      <w:r w:rsidR="00CD0D4E" w:rsidRPr="007D5436">
        <w:rPr>
          <w:rFonts w:ascii="Times New Roman" w:hAnsi="Times New Roman"/>
          <w:bCs/>
          <w:sz w:val="24"/>
          <w:szCs w:val="24"/>
        </w:rPr>
        <w:t>01</w:t>
      </w:r>
      <w:r w:rsidR="00D62AF1" w:rsidRPr="007D5436">
        <w:rPr>
          <w:rFonts w:ascii="Times New Roman" w:hAnsi="Times New Roman"/>
          <w:bCs/>
          <w:sz w:val="24"/>
          <w:szCs w:val="24"/>
        </w:rPr>
        <w:t>4</w:t>
      </w:r>
      <w:r w:rsidR="000B028D" w:rsidRPr="007D5436">
        <w:rPr>
          <w:rFonts w:ascii="Times New Roman" w:hAnsi="Times New Roman"/>
          <w:bCs/>
          <w:sz w:val="24"/>
          <w:szCs w:val="24"/>
        </w:rPr>
        <w:t xml:space="preserve"> </w:t>
      </w:r>
      <w:r w:rsidR="0018750C" w:rsidRPr="007D5436">
        <w:rPr>
          <w:rFonts w:ascii="Times New Roman" w:hAnsi="Times New Roman"/>
          <w:bCs/>
          <w:sz w:val="24"/>
          <w:szCs w:val="24"/>
        </w:rPr>
        <w:t xml:space="preserve">Performance </w:t>
      </w:r>
      <w:r w:rsidR="000B028D" w:rsidRPr="007D5436">
        <w:rPr>
          <w:rFonts w:ascii="Times New Roman" w:hAnsi="Times New Roman"/>
          <w:bCs/>
          <w:sz w:val="24"/>
          <w:szCs w:val="24"/>
        </w:rPr>
        <w:t>Outcomes</w:t>
      </w:r>
    </w:p>
    <w:tbl>
      <w:tblPr>
        <w:tblStyle w:val="TableGrid"/>
        <w:tblW w:w="0" w:type="auto"/>
        <w:tblLook w:val="04A0" w:firstRow="1" w:lastRow="0" w:firstColumn="1" w:lastColumn="0" w:noHBand="0" w:noVBand="1"/>
      </w:tblPr>
      <w:tblGrid>
        <w:gridCol w:w="1818"/>
        <w:gridCol w:w="8478"/>
      </w:tblGrid>
      <w:tr w:rsidR="00B13F77" w:rsidRPr="007D5436" w:rsidTr="004117C5">
        <w:tc>
          <w:tcPr>
            <w:tcW w:w="1818" w:type="dxa"/>
            <w:vAlign w:val="center"/>
          </w:tcPr>
          <w:p w:rsidR="00B13F77" w:rsidRPr="007D5436" w:rsidRDefault="00B13F77" w:rsidP="009654E8">
            <w:pPr>
              <w:spacing w:after="0" w:line="240" w:lineRule="auto"/>
              <w:jc w:val="center"/>
              <w:rPr>
                <w:rFonts w:ascii="Times New Roman" w:hAnsi="Times New Roman"/>
                <w:bCs/>
                <w:sz w:val="48"/>
                <w:szCs w:val="48"/>
              </w:rPr>
            </w:pPr>
            <w:r w:rsidRPr="007D5436">
              <w:rPr>
                <w:rFonts w:ascii="Times New Roman" w:hAnsi="Times New Roman"/>
                <w:bCs/>
                <w:sz w:val="48"/>
                <w:szCs w:val="48"/>
              </w:rPr>
              <w:t>2</w:t>
            </w:r>
            <w:r w:rsidR="009654E8" w:rsidRPr="007D5436">
              <w:rPr>
                <w:rFonts w:ascii="Times New Roman" w:hAnsi="Times New Roman"/>
                <w:bCs/>
                <w:sz w:val="48"/>
                <w:szCs w:val="48"/>
              </w:rPr>
              <w:t>8</w:t>
            </w:r>
            <w:r w:rsidR="00ED0755" w:rsidRPr="007D5436">
              <w:rPr>
                <w:rFonts w:ascii="Times New Roman" w:hAnsi="Times New Roman"/>
                <w:bCs/>
                <w:sz w:val="48"/>
                <w:szCs w:val="48"/>
              </w:rPr>
              <w:t>,</w:t>
            </w:r>
            <w:r w:rsidR="009654E8" w:rsidRPr="007D5436">
              <w:rPr>
                <w:rFonts w:ascii="Times New Roman" w:hAnsi="Times New Roman"/>
                <w:bCs/>
                <w:sz w:val="48"/>
                <w:szCs w:val="48"/>
              </w:rPr>
              <w:t>107</w:t>
            </w:r>
          </w:p>
        </w:tc>
        <w:tc>
          <w:tcPr>
            <w:tcW w:w="8478" w:type="dxa"/>
          </w:tcPr>
          <w:p w:rsidR="00B13F77" w:rsidRPr="007D5436" w:rsidRDefault="00B13F77" w:rsidP="009B3DAD">
            <w:pPr>
              <w:pStyle w:val="ListParagraph"/>
              <w:numPr>
                <w:ilvl w:val="0"/>
                <w:numId w:val="21"/>
              </w:numPr>
              <w:rPr>
                <w:rFonts w:ascii="Times New Roman" w:hAnsi="Times New Roman"/>
                <w:bCs/>
                <w:sz w:val="24"/>
                <w:szCs w:val="24"/>
              </w:rPr>
            </w:pPr>
            <w:r w:rsidRPr="007D5436">
              <w:rPr>
                <w:rFonts w:ascii="Times New Roman" w:hAnsi="Times New Roman"/>
                <w:bCs/>
                <w:sz w:val="24"/>
                <w:szCs w:val="24"/>
              </w:rPr>
              <w:t>Student Enrollments</w:t>
            </w:r>
          </w:p>
          <w:p w:rsidR="00B13F77" w:rsidRPr="007D5436" w:rsidRDefault="009654E8" w:rsidP="009B3DAD">
            <w:pPr>
              <w:pStyle w:val="ListParagraph"/>
              <w:numPr>
                <w:ilvl w:val="0"/>
                <w:numId w:val="21"/>
              </w:numPr>
              <w:rPr>
                <w:rFonts w:ascii="Times New Roman" w:hAnsi="Times New Roman"/>
                <w:bCs/>
                <w:sz w:val="24"/>
                <w:szCs w:val="24"/>
              </w:rPr>
            </w:pPr>
            <w:r w:rsidRPr="007D5436">
              <w:rPr>
                <w:rFonts w:ascii="Times New Roman" w:hAnsi="Times New Roman"/>
                <w:bCs/>
                <w:sz w:val="24"/>
                <w:szCs w:val="24"/>
              </w:rPr>
              <w:t>5</w:t>
            </w:r>
            <w:r w:rsidR="00B829A9" w:rsidRPr="007D5436">
              <w:rPr>
                <w:rFonts w:ascii="Times New Roman" w:hAnsi="Times New Roman"/>
                <w:bCs/>
                <w:sz w:val="24"/>
                <w:szCs w:val="24"/>
              </w:rPr>
              <w:t>%</w:t>
            </w:r>
            <w:r w:rsidR="00B13F77" w:rsidRPr="007D5436">
              <w:rPr>
                <w:rFonts w:ascii="Times New Roman" w:hAnsi="Times New Roman"/>
                <w:bCs/>
                <w:sz w:val="24"/>
                <w:szCs w:val="24"/>
              </w:rPr>
              <w:t xml:space="preserve"> </w:t>
            </w:r>
            <w:r w:rsidR="00B829A9" w:rsidRPr="007D5436">
              <w:rPr>
                <w:rFonts w:ascii="Times New Roman" w:hAnsi="Times New Roman"/>
                <w:bCs/>
                <w:sz w:val="24"/>
                <w:szCs w:val="24"/>
              </w:rPr>
              <w:t>de</w:t>
            </w:r>
            <w:r w:rsidRPr="007D5436">
              <w:rPr>
                <w:rFonts w:ascii="Times New Roman" w:hAnsi="Times New Roman"/>
                <w:bCs/>
                <w:sz w:val="24"/>
                <w:szCs w:val="24"/>
              </w:rPr>
              <w:t>crease over PY 13</w:t>
            </w:r>
          </w:p>
        </w:tc>
      </w:tr>
      <w:tr w:rsidR="00B13F77" w:rsidRPr="007D5436" w:rsidTr="004117C5">
        <w:tc>
          <w:tcPr>
            <w:tcW w:w="1818" w:type="dxa"/>
          </w:tcPr>
          <w:p w:rsidR="00187B99" w:rsidRPr="007D5436" w:rsidRDefault="00ED0755" w:rsidP="009654E8">
            <w:pPr>
              <w:spacing w:after="0" w:line="240" w:lineRule="auto"/>
              <w:jc w:val="center"/>
              <w:rPr>
                <w:rFonts w:ascii="Times New Roman" w:hAnsi="Times New Roman"/>
                <w:bCs/>
                <w:sz w:val="48"/>
                <w:szCs w:val="48"/>
              </w:rPr>
            </w:pPr>
            <w:r w:rsidRPr="007D5436">
              <w:rPr>
                <w:rFonts w:ascii="Times New Roman" w:hAnsi="Times New Roman"/>
                <w:bCs/>
                <w:sz w:val="48"/>
                <w:szCs w:val="48"/>
              </w:rPr>
              <w:t>22,</w:t>
            </w:r>
            <w:r w:rsidR="009654E8" w:rsidRPr="007D5436">
              <w:rPr>
                <w:rFonts w:ascii="Times New Roman" w:hAnsi="Times New Roman"/>
                <w:bCs/>
                <w:sz w:val="48"/>
                <w:szCs w:val="48"/>
              </w:rPr>
              <w:t>858</w:t>
            </w:r>
          </w:p>
        </w:tc>
        <w:tc>
          <w:tcPr>
            <w:tcW w:w="8478" w:type="dxa"/>
          </w:tcPr>
          <w:p w:rsidR="00B13F77" w:rsidRPr="007D5436" w:rsidRDefault="00B13F77" w:rsidP="009B3DAD">
            <w:pPr>
              <w:pStyle w:val="ListParagraph"/>
              <w:numPr>
                <w:ilvl w:val="0"/>
                <w:numId w:val="21"/>
              </w:numPr>
              <w:rPr>
                <w:rFonts w:ascii="Times New Roman" w:hAnsi="Times New Roman"/>
                <w:bCs/>
                <w:sz w:val="24"/>
                <w:szCs w:val="24"/>
              </w:rPr>
            </w:pPr>
            <w:r w:rsidRPr="007D5436">
              <w:rPr>
                <w:rFonts w:ascii="Times New Roman" w:hAnsi="Times New Roman"/>
                <w:bCs/>
                <w:sz w:val="24"/>
                <w:szCs w:val="24"/>
              </w:rPr>
              <w:t>Level Gains (student may have achieved more than one gain)</w:t>
            </w:r>
          </w:p>
          <w:p w:rsidR="00B13F77" w:rsidRPr="007D5436" w:rsidRDefault="009654E8" w:rsidP="009B3DAD">
            <w:pPr>
              <w:pStyle w:val="ListParagraph"/>
              <w:numPr>
                <w:ilvl w:val="0"/>
                <w:numId w:val="21"/>
              </w:numPr>
              <w:rPr>
                <w:rFonts w:ascii="Times New Roman" w:hAnsi="Times New Roman"/>
                <w:bCs/>
                <w:sz w:val="24"/>
                <w:szCs w:val="24"/>
              </w:rPr>
            </w:pPr>
            <w:r w:rsidRPr="007D5436">
              <w:rPr>
                <w:rFonts w:ascii="Times New Roman" w:hAnsi="Times New Roman"/>
                <w:bCs/>
                <w:sz w:val="24"/>
                <w:szCs w:val="24"/>
              </w:rPr>
              <w:t>.5</w:t>
            </w:r>
            <w:r w:rsidR="00ED0755" w:rsidRPr="007D5436">
              <w:rPr>
                <w:rFonts w:ascii="Times New Roman" w:hAnsi="Times New Roman"/>
                <w:bCs/>
                <w:sz w:val="24"/>
                <w:szCs w:val="24"/>
              </w:rPr>
              <w:t>%</w:t>
            </w:r>
            <w:r w:rsidRPr="007D5436">
              <w:rPr>
                <w:rFonts w:ascii="Times New Roman" w:hAnsi="Times New Roman"/>
                <w:bCs/>
                <w:sz w:val="24"/>
                <w:szCs w:val="24"/>
              </w:rPr>
              <w:t xml:space="preserve"> increase over PY 13</w:t>
            </w:r>
          </w:p>
        </w:tc>
      </w:tr>
      <w:tr w:rsidR="00B13F77" w:rsidRPr="007D5436" w:rsidTr="004117C5">
        <w:tc>
          <w:tcPr>
            <w:tcW w:w="1818" w:type="dxa"/>
          </w:tcPr>
          <w:p w:rsidR="00B13F77" w:rsidRPr="007D5436" w:rsidRDefault="0049438C" w:rsidP="009B3DAD">
            <w:pPr>
              <w:spacing w:after="0" w:line="240" w:lineRule="auto"/>
              <w:jc w:val="center"/>
              <w:rPr>
                <w:rFonts w:ascii="Times New Roman" w:hAnsi="Times New Roman"/>
                <w:bCs/>
                <w:sz w:val="48"/>
                <w:szCs w:val="48"/>
              </w:rPr>
            </w:pPr>
            <w:r w:rsidRPr="007D5436">
              <w:rPr>
                <w:rFonts w:ascii="Times New Roman" w:hAnsi="Times New Roman"/>
                <w:bCs/>
                <w:sz w:val="48"/>
                <w:szCs w:val="48"/>
              </w:rPr>
              <w:t>5405</w:t>
            </w:r>
          </w:p>
        </w:tc>
        <w:tc>
          <w:tcPr>
            <w:tcW w:w="8478" w:type="dxa"/>
          </w:tcPr>
          <w:p w:rsidR="00B13F77" w:rsidRPr="007D5436" w:rsidRDefault="00B13F77" w:rsidP="009B3DAD">
            <w:pPr>
              <w:pStyle w:val="ListParagraph"/>
              <w:numPr>
                <w:ilvl w:val="0"/>
                <w:numId w:val="21"/>
              </w:numPr>
              <w:rPr>
                <w:rFonts w:ascii="Times New Roman" w:hAnsi="Times New Roman"/>
                <w:bCs/>
                <w:sz w:val="24"/>
                <w:szCs w:val="24"/>
              </w:rPr>
            </w:pPr>
            <w:r w:rsidRPr="007D5436">
              <w:rPr>
                <w:rFonts w:ascii="Times New Roman" w:hAnsi="Times New Roman"/>
                <w:bCs/>
                <w:sz w:val="24"/>
                <w:szCs w:val="24"/>
              </w:rPr>
              <w:t>HSEs and HS Diplomas Awarded</w:t>
            </w:r>
          </w:p>
          <w:p w:rsidR="00B13F77" w:rsidRPr="007D5436" w:rsidRDefault="00F21712" w:rsidP="009B3DAD">
            <w:pPr>
              <w:pStyle w:val="ListParagraph"/>
              <w:numPr>
                <w:ilvl w:val="0"/>
                <w:numId w:val="21"/>
              </w:numPr>
              <w:rPr>
                <w:rFonts w:ascii="Times New Roman" w:hAnsi="Times New Roman"/>
                <w:bCs/>
                <w:sz w:val="24"/>
                <w:szCs w:val="24"/>
              </w:rPr>
            </w:pPr>
            <w:r w:rsidRPr="007D5436">
              <w:rPr>
                <w:rFonts w:ascii="Times New Roman" w:hAnsi="Times New Roman"/>
                <w:bCs/>
                <w:sz w:val="24"/>
                <w:szCs w:val="24"/>
              </w:rPr>
              <w:t>20</w:t>
            </w:r>
            <w:r w:rsidR="00B829A9" w:rsidRPr="007D5436">
              <w:rPr>
                <w:rFonts w:ascii="Times New Roman" w:hAnsi="Times New Roman"/>
                <w:bCs/>
                <w:sz w:val="24"/>
                <w:szCs w:val="24"/>
              </w:rPr>
              <w:t>%</w:t>
            </w:r>
            <w:r w:rsidR="003572FB" w:rsidRPr="007D5436">
              <w:rPr>
                <w:rFonts w:ascii="Times New Roman" w:hAnsi="Times New Roman"/>
                <w:bCs/>
                <w:sz w:val="24"/>
                <w:szCs w:val="24"/>
              </w:rPr>
              <w:t xml:space="preserve"> de</w:t>
            </w:r>
            <w:r w:rsidRPr="007D5436">
              <w:rPr>
                <w:rFonts w:ascii="Times New Roman" w:hAnsi="Times New Roman"/>
                <w:bCs/>
                <w:sz w:val="24"/>
                <w:szCs w:val="24"/>
              </w:rPr>
              <w:t>crease over PY 13</w:t>
            </w:r>
          </w:p>
        </w:tc>
      </w:tr>
      <w:tr w:rsidR="00B13F77" w:rsidRPr="007D5436" w:rsidTr="004117C5">
        <w:tc>
          <w:tcPr>
            <w:tcW w:w="1818" w:type="dxa"/>
          </w:tcPr>
          <w:p w:rsidR="0033463A" w:rsidRPr="007D5436" w:rsidRDefault="00F21712" w:rsidP="003572FB">
            <w:pPr>
              <w:spacing w:after="0" w:line="240" w:lineRule="auto"/>
              <w:jc w:val="center"/>
              <w:rPr>
                <w:rFonts w:ascii="Times New Roman" w:hAnsi="Times New Roman"/>
                <w:bCs/>
                <w:sz w:val="48"/>
                <w:szCs w:val="48"/>
              </w:rPr>
            </w:pPr>
            <w:r w:rsidRPr="007D5436">
              <w:rPr>
                <w:rFonts w:ascii="Times New Roman" w:hAnsi="Times New Roman"/>
                <w:bCs/>
                <w:sz w:val="48"/>
                <w:szCs w:val="48"/>
              </w:rPr>
              <w:t>1101</w:t>
            </w:r>
          </w:p>
        </w:tc>
        <w:tc>
          <w:tcPr>
            <w:tcW w:w="8478" w:type="dxa"/>
          </w:tcPr>
          <w:p w:rsidR="00B13F77" w:rsidRPr="007D5436" w:rsidRDefault="00B13F77" w:rsidP="009B3DAD">
            <w:pPr>
              <w:pStyle w:val="ListParagraph"/>
              <w:numPr>
                <w:ilvl w:val="0"/>
                <w:numId w:val="21"/>
              </w:numPr>
              <w:rPr>
                <w:rFonts w:ascii="Times New Roman" w:hAnsi="Times New Roman"/>
                <w:bCs/>
                <w:sz w:val="24"/>
                <w:szCs w:val="24"/>
              </w:rPr>
            </w:pPr>
            <w:r w:rsidRPr="007D5436">
              <w:rPr>
                <w:rFonts w:ascii="Times New Roman" w:hAnsi="Times New Roman"/>
                <w:bCs/>
                <w:sz w:val="24"/>
                <w:szCs w:val="24"/>
              </w:rPr>
              <w:t>WorkINdiana Enrollments</w:t>
            </w:r>
          </w:p>
          <w:p w:rsidR="00B13F77" w:rsidRPr="007D5436" w:rsidRDefault="00F21712" w:rsidP="009B3DAD">
            <w:pPr>
              <w:pStyle w:val="ListParagraph"/>
              <w:numPr>
                <w:ilvl w:val="0"/>
                <w:numId w:val="21"/>
              </w:numPr>
              <w:rPr>
                <w:rFonts w:ascii="Times New Roman" w:hAnsi="Times New Roman"/>
                <w:bCs/>
                <w:sz w:val="24"/>
                <w:szCs w:val="24"/>
              </w:rPr>
            </w:pPr>
            <w:r w:rsidRPr="007D5436">
              <w:rPr>
                <w:rFonts w:ascii="Times New Roman" w:hAnsi="Times New Roman"/>
                <w:bCs/>
                <w:sz w:val="24"/>
                <w:szCs w:val="24"/>
              </w:rPr>
              <w:t>1</w:t>
            </w:r>
            <w:r w:rsidR="0033463A" w:rsidRPr="007D5436">
              <w:rPr>
                <w:rFonts w:ascii="Times New Roman" w:hAnsi="Times New Roman"/>
                <w:bCs/>
                <w:sz w:val="24"/>
                <w:szCs w:val="24"/>
              </w:rPr>
              <w:t>%</w:t>
            </w:r>
            <w:r w:rsidRPr="007D5436">
              <w:rPr>
                <w:rFonts w:ascii="Times New Roman" w:hAnsi="Times New Roman"/>
                <w:bCs/>
                <w:sz w:val="24"/>
                <w:szCs w:val="24"/>
              </w:rPr>
              <w:t xml:space="preserve"> increase over PY13</w:t>
            </w:r>
          </w:p>
          <w:p w:rsidR="00B13F77" w:rsidRPr="007D5436" w:rsidRDefault="0033463A" w:rsidP="009B3DAD">
            <w:pPr>
              <w:pStyle w:val="ListParagraph"/>
              <w:numPr>
                <w:ilvl w:val="0"/>
                <w:numId w:val="21"/>
              </w:numPr>
              <w:rPr>
                <w:rFonts w:ascii="Times New Roman" w:hAnsi="Times New Roman"/>
                <w:bCs/>
                <w:sz w:val="24"/>
                <w:szCs w:val="24"/>
              </w:rPr>
            </w:pPr>
            <w:r w:rsidRPr="007D5436">
              <w:rPr>
                <w:rFonts w:ascii="Times New Roman" w:hAnsi="Times New Roman"/>
                <w:bCs/>
                <w:sz w:val="24"/>
                <w:szCs w:val="24"/>
              </w:rPr>
              <w:t>85</w:t>
            </w:r>
            <w:r w:rsidR="006C4A70" w:rsidRPr="007D5436">
              <w:rPr>
                <w:rFonts w:ascii="Times New Roman" w:hAnsi="Times New Roman"/>
                <w:bCs/>
                <w:sz w:val="24"/>
                <w:szCs w:val="24"/>
              </w:rPr>
              <w:t>%</w:t>
            </w:r>
            <w:r w:rsidR="00B13F77" w:rsidRPr="007D5436">
              <w:rPr>
                <w:rFonts w:ascii="Times New Roman" w:hAnsi="Times New Roman"/>
                <w:bCs/>
                <w:sz w:val="24"/>
                <w:szCs w:val="24"/>
              </w:rPr>
              <w:t xml:space="preserve"> completion rate</w:t>
            </w:r>
          </w:p>
          <w:p w:rsidR="00B13F77" w:rsidRPr="007D5436" w:rsidRDefault="00B13F77" w:rsidP="009B3DAD">
            <w:pPr>
              <w:pStyle w:val="ListParagraph"/>
              <w:numPr>
                <w:ilvl w:val="0"/>
                <w:numId w:val="21"/>
              </w:numPr>
              <w:rPr>
                <w:rFonts w:ascii="Times New Roman" w:hAnsi="Times New Roman"/>
                <w:bCs/>
                <w:sz w:val="24"/>
                <w:szCs w:val="24"/>
              </w:rPr>
            </w:pPr>
            <w:r w:rsidRPr="007D5436">
              <w:rPr>
                <w:rFonts w:ascii="Times New Roman" w:hAnsi="Times New Roman"/>
                <w:bCs/>
                <w:sz w:val="24"/>
                <w:szCs w:val="24"/>
              </w:rPr>
              <w:t>Of</w:t>
            </w:r>
            <w:r w:rsidR="00F21712" w:rsidRPr="007D5436">
              <w:rPr>
                <w:rFonts w:ascii="Times New Roman" w:hAnsi="Times New Roman"/>
                <w:bCs/>
                <w:sz w:val="24"/>
                <w:szCs w:val="24"/>
              </w:rPr>
              <w:t xml:space="preserve"> those who completed, 79</w:t>
            </w:r>
            <w:r w:rsidR="0033463A" w:rsidRPr="007D5436">
              <w:rPr>
                <w:rFonts w:ascii="Times New Roman" w:hAnsi="Times New Roman"/>
                <w:bCs/>
                <w:sz w:val="24"/>
                <w:szCs w:val="24"/>
              </w:rPr>
              <w:t>%</w:t>
            </w:r>
            <w:r w:rsidRPr="007D5436">
              <w:rPr>
                <w:rFonts w:ascii="Times New Roman" w:hAnsi="Times New Roman"/>
                <w:bCs/>
                <w:sz w:val="24"/>
                <w:szCs w:val="24"/>
              </w:rPr>
              <w:t xml:space="preserve"> earned certification</w:t>
            </w:r>
          </w:p>
        </w:tc>
      </w:tr>
    </w:tbl>
    <w:p w:rsidR="00CF5A35" w:rsidRPr="007D5436" w:rsidRDefault="00CF5A35" w:rsidP="009B3DAD">
      <w:pPr>
        <w:spacing w:after="0" w:line="240" w:lineRule="auto"/>
        <w:rPr>
          <w:rFonts w:ascii="Times New Roman" w:hAnsi="Times New Roman"/>
          <w:bCs/>
          <w:sz w:val="24"/>
          <w:szCs w:val="24"/>
        </w:rPr>
      </w:pPr>
    </w:p>
    <w:p w:rsidR="00CF5A35" w:rsidRPr="007D5436" w:rsidRDefault="00CF5A35" w:rsidP="009B3DAD">
      <w:pPr>
        <w:pStyle w:val="NoSpacing"/>
      </w:pPr>
    </w:p>
    <w:p w:rsidR="00691B6F" w:rsidRPr="007D5436" w:rsidRDefault="005C4053" w:rsidP="009B3DAD">
      <w:pPr>
        <w:pStyle w:val="NoSpacing"/>
      </w:pPr>
      <w:r w:rsidRPr="007D5436">
        <w:lastRenderedPageBreak/>
        <w:t>DWD has a system of state performance metrics in addition to the federal measures required under the National Reporting System. Above is a summary of outcomes</w:t>
      </w:r>
      <w:r w:rsidR="00F005B7" w:rsidRPr="007D5436">
        <w:t xml:space="preserve"> that state staff shares broadly with practitioners in the field. </w:t>
      </w:r>
      <w:r w:rsidR="00FA2CEF" w:rsidRPr="007D5436">
        <w:t xml:space="preserve">PY14 </w:t>
      </w:r>
      <w:r w:rsidR="00A252EA" w:rsidRPr="007D5436">
        <w:t>saw a</w:t>
      </w:r>
      <w:r w:rsidR="00DD50BE" w:rsidRPr="007D5436">
        <w:t>nother</w:t>
      </w:r>
      <w:r w:rsidR="00A252EA" w:rsidRPr="007D5436">
        <w:t xml:space="preserve"> decreas</w:t>
      </w:r>
      <w:r w:rsidR="00691B6F" w:rsidRPr="007D5436">
        <w:t>e</w:t>
      </w:r>
      <w:r w:rsidR="00A252EA" w:rsidRPr="007D5436">
        <w:t xml:space="preserve"> in enrollments.  </w:t>
      </w:r>
      <w:r w:rsidR="00DD50BE" w:rsidRPr="007D5436">
        <w:t>This decrease seems to be following the national decrease in enrollments in Adult Education</w:t>
      </w:r>
      <w:r w:rsidR="0071419F">
        <w:t>, and Indiana has set ambitious goals for reversing this trend over the next 5 years by asking the field to double enrollments between now and 2020</w:t>
      </w:r>
      <w:r w:rsidR="00DD50BE" w:rsidRPr="007D5436">
        <w:t xml:space="preserve">  </w:t>
      </w:r>
    </w:p>
    <w:p w:rsidR="00EA5582" w:rsidRPr="007D5436" w:rsidRDefault="00EA5582" w:rsidP="009B3DAD">
      <w:pPr>
        <w:pStyle w:val="NoSpacing"/>
      </w:pPr>
    </w:p>
    <w:p w:rsidR="00691B6F" w:rsidRPr="007D5436" w:rsidRDefault="00243C95" w:rsidP="009B3DAD">
      <w:pPr>
        <w:pStyle w:val="NoSpacing"/>
      </w:pPr>
      <w:r w:rsidRPr="007D5436">
        <w:t>T</w:t>
      </w:r>
      <w:r w:rsidR="00DD50BE" w:rsidRPr="007D5436">
        <w:t>here was another</w:t>
      </w:r>
      <w:r w:rsidRPr="007D5436">
        <w:t xml:space="preserve"> de</w:t>
      </w:r>
      <w:r w:rsidR="00691B6F" w:rsidRPr="007D5436">
        <w:t>crease of High School and HSE Diplomas awarded</w:t>
      </w:r>
      <w:r w:rsidR="00DD50BE" w:rsidRPr="007D5436">
        <w:t xml:space="preserve"> during this program year as well</w:t>
      </w:r>
      <w:r w:rsidRPr="007D5436">
        <w:t xml:space="preserve">.  </w:t>
      </w:r>
      <w:r w:rsidR="008105F7" w:rsidRPr="007D5436">
        <w:t>It seems that the continued decrease over the past two years is a residual effect of the change in assessment.  However, w</w:t>
      </w:r>
      <w:r w:rsidR="00DD50BE" w:rsidRPr="007D5436">
        <w:t>hen looking over the last several years</w:t>
      </w:r>
      <w:r w:rsidR="008105F7" w:rsidRPr="007D5436">
        <w:t xml:space="preserve"> of data (see chart below)</w:t>
      </w:r>
      <w:r w:rsidR="00DD50BE" w:rsidRPr="007D5436">
        <w:t>, including the transition</w:t>
      </w:r>
      <w:r w:rsidR="008105F7" w:rsidRPr="007D5436">
        <w:t xml:space="preserve"> year, switching</w:t>
      </w:r>
      <w:r w:rsidR="00DD50BE" w:rsidRPr="007D5436">
        <w:t xml:space="preserve"> from</w:t>
      </w:r>
      <w:r w:rsidR="008105F7" w:rsidRPr="007D5436">
        <w:t xml:space="preserve"> the </w:t>
      </w:r>
      <w:r w:rsidR="00DD50BE" w:rsidRPr="007D5436">
        <w:t xml:space="preserve">GED to </w:t>
      </w:r>
      <w:r w:rsidR="008105F7" w:rsidRPr="007D5436">
        <w:t xml:space="preserve">the </w:t>
      </w:r>
      <w:r w:rsidR="00DD50BE" w:rsidRPr="007D5436">
        <w:t>TASC</w:t>
      </w:r>
      <w:r w:rsidR="008105F7" w:rsidRPr="007D5436">
        <w:t xml:space="preserve"> test</w:t>
      </w:r>
      <w:r w:rsidR="00DD50BE" w:rsidRPr="007D5436">
        <w:t>, it appears that the decreases have stabilized</w:t>
      </w:r>
      <w:r w:rsidRPr="007D5436">
        <w:t xml:space="preserve">.  </w:t>
      </w:r>
    </w:p>
    <w:tbl>
      <w:tblPr>
        <w:tblStyle w:val="TableGrid"/>
        <w:tblW w:w="0" w:type="auto"/>
        <w:jc w:val="center"/>
        <w:tblLook w:val="04A0" w:firstRow="1" w:lastRow="0" w:firstColumn="1" w:lastColumn="0" w:noHBand="0" w:noVBand="1"/>
      </w:tblPr>
      <w:tblGrid>
        <w:gridCol w:w="1458"/>
        <w:gridCol w:w="1710"/>
      </w:tblGrid>
      <w:tr w:rsidR="008105F7" w:rsidRPr="007D5436" w:rsidTr="009D79DE">
        <w:trPr>
          <w:jc w:val="center"/>
        </w:trPr>
        <w:tc>
          <w:tcPr>
            <w:tcW w:w="1458" w:type="dxa"/>
          </w:tcPr>
          <w:p w:rsidR="008105F7" w:rsidRPr="007D5436" w:rsidRDefault="009D79DE" w:rsidP="009B3DAD">
            <w:pPr>
              <w:pStyle w:val="NoSpacing"/>
            </w:pPr>
            <w:r w:rsidRPr="007D5436">
              <w:t>Program Year</w:t>
            </w:r>
          </w:p>
        </w:tc>
        <w:tc>
          <w:tcPr>
            <w:tcW w:w="1710" w:type="dxa"/>
          </w:tcPr>
          <w:p w:rsidR="008105F7" w:rsidRPr="007D5436" w:rsidRDefault="009D79DE" w:rsidP="009B3DAD">
            <w:pPr>
              <w:pStyle w:val="NoSpacing"/>
            </w:pPr>
            <w:r w:rsidRPr="007D5436">
              <w:t># of HSEs awarded</w:t>
            </w:r>
          </w:p>
        </w:tc>
      </w:tr>
      <w:tr w:rsidR="009D79DE" w:rsidRPr="007D5436" w:rsidTr="009D79DE">
        <w:trPr>
          <w:jc w:val="center"/>
        </w:trPr>
        <w:tc>
          <w:tcPr>
            <w:tcW w:w="1458" w:type="dxa"/>
          </w:tcPr>
          <w:p w:rsidR="009D79DE" w:rsidRPr="007D5436" w:rsidRDefault="009D79DE" w:rsidP="00EB524D">
            <w:pPr>
              <w:pStyle w:val="NoSpacing"/>
            </w:pPr>
            <w:r w:rsidRPr="007D5436">
              <w:t>2010</w:t>
            </w:r>
          </w:p>
        </w:tc>
        <w:tc>
          <w:tcPr>
            <w:tcW w:w="1710" w:type="dxa"/>
          </w:tcPr>
          <w:p w:rsidR="009D79DE" w:rsidRPr="007D5436" w:rsidRDefault="009D79DE" w:rsidP="009B3DAD">
            <w:pPr>
              <w:pStyle w:val="NoSpacing"/>
            </w:pPr>
            <w:r w:rsidRPr="007D5436">
              <w:t>4,848</w:t>
            </w:r>
          </w:p>
        </w:tc>
      </w:tr>
      <w:tr w:rsidR="009D79DE" w:rsidRPr="007D5436" w:rsidTr="009D79DE">
        <w:trPr>
          <w:jc w:val="center"/>
        </w:trPr>
        <w:tc>
          <w:tcPr>
            <w:tcW w:w="1458" w:type="dxa"/>
          </w:tcPr>
          <w:p w:rsidR="009D79DE" w:rsidRPr="007D5436" w:rsidRDefault="009D79DE" w:rsidP="00EB524D">
            <w:pPr>
              <w:pStyle w:val="NoSpacing"/>
            </w:pPr>
            <w:r w:rsidRPr="007D5436">
              <w:t>2011</w:t>
            </w:r>
          </w:p>
        </w:tc>
        <w:tc>
          <w:tcPr>
            <w:tcW w:w="1710" w:type="dxa"/>
          </w:tcPr>
          <w:p w:rsidR="009D79DE" w:rsidRPr="007D5436" w:rsidRDefault="009D79DE" w:rsidP="009B3DAD">
            <w:pPr>
              <w:pStyle w:val="NoSpacing"/>
            </w:pPr>
            <w:r w:rsidRPr="007D5436">
              <w:t>5,683</w:t>
            </w:r>
          </w:p>
        </w:tc>
      </w:tr>
      <w:tr w:rsidR="009D79DE" w:rsidRPr="007D5436" w:rsidTr="009D79DE">
        <w:trPr>
          <w:jc w:val="center"/>
        </w:trPr>
        <w:tc>
          <w:tcPr>
            <w:tcW w:w="1458" w:type="dxa"/>
          </w:tcPr>
          <w:p w:rsidR="009D79DE" w:rsidRPr="007D5436" w:rsidRDefault="009D79DE" w:rsidP="00EB524D">
            <w:pPr>
              <w:pStyle w:val="NoSpacing"/>
            </w:pPr>
            <w:r w:rsidRPr="007D5436">
              <w:t>2012</w:t>
            </w:r>
          </w:p>
        </w:tc>
        <w:tc>
          <w:tcPr>
            <w:tcW w:w="1710" w:type="dxa"/>
          </w:tcPr>
          <w:p w:rsidR="009D79DE" w:rsidRPr="007D5436" w:rsidRDefault="009D79DE" w:rsidP="009B3DAD">
            <w:pPr>
              <w:pStyle w:val="NoSpacing"/>
            </w:pPr>
            <w:r w:rsidRPr="007D5436">
              <w:t>7,349</w:t>
            </w:r>
          </w:p>
        </w:tc>
      </w:tr>
      <w:tr w:rsidR="009D79DE" w:rsidRPr="007D5436" w:rsidTr="009D79DE">
        <w:trPr>
          <w:jc w:val="center"/>
        </w:trPr>
        <w:tc>
          <w:tcPr>
            <w:tcW w:w="1458" w:type="dxa"/>
          </w:tcPr>
          <w:p w:rsidR="009D79DE" w:rsidRPr="007D5436" w:rsidRDefault="009D79DE" w:rsidP="00EB524D">
            <w:pPr>
              <w:pStyle w:val="NoSpacing"/>
            </w:pPr>
            <w:r w:rsidRPr="007D5436">
              <w:t>2013</w:t>
            </w:r>
          </w:p>
        </w:tc>
        <w:tc>
          <w:tcPr>
            <w:tcW w:w="1710" w:type="dxa"/>
          </w:tcPr>
          <w:p w:rsidR="009D79DE" w:rsidRPr="007D5436" w:rsidRDefault="009D79DE" w:rsidP="009B3DAD">
            <w:pPr>
              <w:pStyle w:val="NoSpacing"/>
            </w:pPr>
            <w:r w:rsidRPr="007D5436">
              <w:t>6,759</w:t>
            </w:r>
          </w:p>
        </w:tc>
      </w:tr>
      <w:tr w:rsidR="009D79DE" w:rsidRPr="007D5436" w:rsidTr="009D79DE">
        <w:trPr>
          <w:jc w:val="center"/>
        </w:trPr>
        <w:tc>
          <w:tcPr>
            <w:tcW w:w="1458" w:type="dxa"/>
          </w:tcPr>
          <w:p w:rsidR="009D79DE" w:rsidRPr="007D5436" w:rsidRDefault="009D79DE" w:rsidP="00EB524D">
            <w:pPr>
              <w:pStyle w:val="NoSpacing"/>
            </w:pPr>
            <w:r w:rsidRPr="007D5436">
              <w:t>201</w:t>
            </w:r>
            <w:r w:rsidR="00D50EE1">
              <w:t>4</w:t>
            </w:r>
          </w:p>
        </w:tc>
        <w:tc>
          <w:tcPr>
            <w:tcW w:w="1710" w:type="dxa"/>
          </w:tcPr>
          <w:p w:rsidR="009D79DE" w:rsidRPr="007D5436" w:rsidRDefault="009D79DE" w:rsidP="009B3DAD">
            <w:pPr>
              <w:pStyle w:val="NoSpacing"/>
            </w:pPr>
            <w:r w:rsidRPr="007D5436">
              <w:t>5,405</w:t>
            </w:r>
          </w:p>
        </w:tc>
      </w:tr>
    </w:tbl>
    <w:p w:rsidR="008105F7" w:rsidRPr="007D5436" w:rsidRDefault="008105F7" w:rsidP="009B3DAD">
      <w:pPr>
        <w:pStyle w:val="NoSpacing"/>
      </w:pPr>
    </w:p>
    <w:p w:rsidR="000F48CA" w:rsidRPr="007D5436" w:rsidRDefault="000F48CA" w:rsidP="009B3DAD">
      <w:pPr>
        <w:pStyle w:val="NoSpacing"/>
      </w:pPr>
      <w:r w:rsidRPr="007D5436">
        <w:t xml:space="preserve">Of the 28,107 students enrolled, 18% were English Language Learners (ELL). Of the ELLs 53% entered instruction at the bottom two educational functioning levels (EFL).  ELLs attended an average of 81 hours of instruction.  Of the ELLs served, 47% made a level gain.  Sixty-one percent of ELLs served received a post-test.  </w:t>
      </w:r>
    </w:p>
    <w:p w:rsidR="000F48CA" w:rsidRPr="007D5436" w:rsidRDefault="000F48CA" w:rsidP="009B3DAD">
      <w:pPr>
        <w:pStyle w:val="NoSpacing"/>
      </w:pPr>
    </w:p>
    <w:p w:rsidR="000F48CA" w:rsidRDefault="000F48CA" w:rsidP="009B3DAD">
      <w:pPr>
        <w:pStyle w:val="NoSpacing"/>
      </w:pPr>
      <w:r w:rsidRPr="007D5436">
        <w:t>Of the ABE/ASE student enrollments 82% entered instruction at an EFL of 8.9 or below, with the largest group, 35%, ente</w:t>
      </w:r>
      <w:r w:rsidR="00662098">
        <w:t>ring with an EFL of 4-5.9.  The overall ABE/ASE student</w:t>
      </w:r>
      <w:r w:rsidRPr="007D5436">
        <w:t xml:space="preserve"> group attended an average of 78 hours of instruction.  Forty-nine percent made a level gain and 58% received a post-test.</w:t>
      </w:r>
      <w:r>
        <w:t xml:space="preserve">  </w:t>
      </w:r>
    </w:p>
    <w:p w:rsidR="000F48CA" w:rsidRDefault="000F48CA" w:rsidP="009B3DAD">
      <w:pPr>
        <w:pStyle w:val="NoSpacing"/>
      </w:pPr>
    </w:p>
    <w:p w:rsidR="00CF5A35" w:rsidRPr="009B3DAD" w:rsidRDefault="007D6245" w:rsidP="009B3DAD">
      <w:pPr>
        <w:pStyle w:val="NoSpacing"/>
      </w:pPr>
      <w:r w:rsidRPr="009B3DAD">
        <w:rPr>
          <w:b/>
        </w:rPr>
        <w:t>NRS Table Highlights</w:t>
      </w:r>
    </w:p>
    <w:p w:rsidR="00CF5A35" w:rsidRPr="009B3DAD" w:rsidRDefault="007D6245" w:rsidP="009B3DAD">
      <w:pPr>
        <w:pStyle w:val="NoSpacing"/>
        <w:rPr>
          <w:b/>
          <w:i/>
        </w:rPr>
      </w:pPr>
      <w:r w:rsidRPr="009B3DAD">
        <w:rPr>
          <w:b/>
          <w:i/>
        </w:rPr>
        <w:t>Table 4</w:t>
      </w:r>
    </w:p>
    <w:p w:rsidR="000A461C" w:rsidRPr="009B3DAD" w:rsidRDefault="000A461C" w:rsidP="000A461C">
      <w:pPr>
        <w:pStyle w:val="NoSpacing"/>
      </w:pPr>
      <w:r w:rsidRPr="009B3DAD">
        <w:t>Indiana improved performance i</w:t>
      </w:r>
      <w:r>
        <w:t>n all ABE categories, except ABE Beginning Literacy</w:t>
      </w:r>
      <w:r w:rsidR="00D235EB">
        <w:t xml:space="preserve"> (BL)</w:t>
      </w:r>
      <w:r>
        <w:t xml:space="preserve">.  </w:t>
      </w:r>
      <w:r w:rsidR="00D235EB">
        <w:t xml:space="preserve">ABE </w:t>
      </w:r>
      <w:r>
        <w:t xml:space="preserve">BL dropped from </w:t>
      </w:r>
      <w:r w:rsidR="00C36937">
        <w:t xml:space="preserve">53% to 51%. </w:t>
      </w:r>
      <w:r>
        <w:t>Additionally, the average hours of attendance dropped for this cohort by 13 hours.</w:t>
      </w:r>
      <w:r w:rsidRPr="009B3DAD">
        <w:t xml:space="preserve"> </w:t>
      </w:r>
      <w:r>
        <w:t xml:space="preserve">Indiana will continue to explore this data as well as other program information to determine what support is needed at the local programmatic level.  </w:t>
      </w:r>
    </w:p>
    <w:p w:rsidR="000A461C" w:rsidRPr="009B3DAD" w:rsidRDefault="000A461C" w:rsidP="000A461C">
      <w:pPr>
        <w:pStyle w:val="NoSpacing"/>
      </w:pPr>
    </w:p>
    <w:p w:rsidR="000A461C" w:rsidRPr="009B3DAD" w:rsidRDefault="000A461C" w:rsidP="000A461C">
      <w:pPr>
        <w:pStyle w:val="NoSpacing"/>
      </w:pPr>
      <w:r w:rsidRPr="009B3DAD">
        <w:t>Indiana met and exceeded all proposed performance targets for</w:t>
      </w:r>
      <w:r>
        <w:t xml:space="preserve"> ABE categories.</w:t>
      </w:r>
      <w:r w:rsidRPr="009B3DAD">
        <w:t xml:space="preserve">  </w:t>
      </w:r>
    </w:p>
    <w:p w:rsidR="000A461C" w:rsidRPr="009B3DAD" w:rsidRDefault="000A461C" w:rsidP="000A461C">
      <w:pPr>
        <w:pStyle w:val="NoSpacing"/>
      </w:pPr>
    </w:p>
    <w:p w:rsidR="000A461C" w:rsidRPr="009B3DAD" w:rsidRDefault="000A461C" w:rsidP="000A461C">
      <w:pPr>
        <w:pStyle w:val="NoSpacing"/>
      </w:pPr>
      <w:r>
        <w:t xml:space="preserve">Indiana did not meet any of the six performance targets in ESL. However, Program performance improved in all ESL categories except ESL Low Beginning which dropped from </w:t>
      </w:r>
      <w:r w:rsidR="00C36937">
        <w:t xml:space="preserve">56% to 54%. </w:t>
      </w:r>
      <w:r>
        <w:t>We believe a contributing factor was the significant growth</w:t>
      </w:r>
      <w:r w:rsidR="00C36937">
        <w:t xml:space="preserve"> in our ESL population. For PY 1</w:t>
      </w:r>
      <w:r>
        <w:t>3 ESL enrollment was 4,289</w:t>
      </w:r>
      <w:r w:rsidR="00D235EB">
        <w:t>,</w:t>
      </w:r>
      <w:r w:rsidR="00C36937">
        <w:t xml:space="preserve"> this enrollment grew to 5,053</w:t>
      </w:r>
      <w:r>
        <w:t xml:space="preserve"> for PY 14. In our work on the ESL Pro project </w:t>
      </w:r>
      <w:r w:rsidRPr="009B3DAD">
        <w:t>IDWD is develo</w:t>
      </w:r>
      <w:r>
        <w:t>ping a plan to explore program performance</w:t>
      </w:r>
      <w:r w:rsidRPr="009B3DAD">
        <w:t xml:space="preserve"> at a deeper level to gain a b</w:t>
      </w:r>
      <w:r>
        <w:t>etter understanding of what is needed to improve performance as enrollment grows.</w:t>
      </w:r>
    </w:p>
    <w:p w:rsidR="0071419F" w:rsidRDefault="0071419F" w:rsidP="009B3DAD">
      <w:pPr>
        <w:pStyle w:val="NoSpacing"/>
        <w:rPr>
          <w:b/>
          <w:i/>
        </w:rPr>
      </w:pPr>
    </w:p>
    <w:p w:rsidR="00CF5A35" w:rsidRPr="009B3DAD" w:rsidRDefault="007D6245" w:rsidP="009B3DAD">
      <w:pPr>
        <w:pStyle w:val="NoSpacing"/>
        <w:rPr>
          <w:b/>
          <w:i/>
        </w:rPr>
      </w:pPr>
      <w:r w:rsidRPr="009B3DAD">
        <w:rPr>
          <w:b/>
          <w:i/>
        </w:rPr>
        <w:t>Tabl</w:t>
      </w:r>
      <w:r w:rsidR="009E6E9F" w:rsidRPr="009B3DAD">
        <w:rPr>
          <w:b/>
          <w:i/>
        </w:rPr>
        <w:t>e 5</w:t>
      </w:r>
    </w:p>
    <w:p w:rsidR="000A461C" w:rsidRPr="009B3DAD" w:rsidRDefault="000A461C" w:rsidP="000A461C">
      <w:pPr>
        <w:pStyle w:val="NoSpacing"/>
        <w:rPr>
          <w:i/>
        </w:rPr>
      </w:pPr>
      <w:r w:rsidRPr="009B3DAD">
        <w:rPr>
          <w:i/>
        </w:rPr>
        <w:t>Obtained a GED or HS Diploma</w:t>
      </w:r>
    </w:p>
    <w:p w:rsidR="000A461C" w:rsidRPr="009B3DAD" w:rsidRDefault="000A461C" w:rsidP="000A461C">
      <w:pPr>
        <w:pStyle w:val="NoSpacing"/>
      </w:pPr>
      <w:r w:rsidRPr="009B3DAD">
        <w:t>The results of the Core Follow-up Outc</w:t>
      </w:r>
      <w:r w:rsidR="00606AAC">
        <w:t>ome Achievement table for PY2014</w:t>
      </w:r>
      <w:r>
        <w:t xml:space="preserve"> are all positive. Indiana met its HS Diploma/HSE</w:t>
      </w:r>
      <w:r w:rsidRPr="009B3DAD">
        <w:t xml:space="preserve"> target</w:t>
      </w:r>
      <w:r>
        <w:t xml:space="preserve"> of</w:t>
      </w:r>
      <w:r w:rsidR="00C36937">
        <w:t xml:space="preserve"> 84% by achieving a result of 85</w:t>
      </w:r>
      <w:r w:rsidRPr="009B3DAD">
        <w:t xml:space="preserve">% on that particular outcome. Indiana </w:t>
      </w:r>
      <w:r w:rsidRPr="009B3DAD">
        <w:lastRenderedPageBreak/>
        <w:t xml:space="preserve">credits its field of practitioners with responding well to the performance incentive schedule, which incentivizes programs to move students through a quality curriculum as quickly as possible to help them to achieve their educational goals. </w:t>
      </w:r>
      <w:r w:rsidR="00C36937" w:rsidRPr="00C36937">
        <w:t>While Indiana saw a 5</w:t>
      </w:r>
      <w:r w:rsidRPr="00C36937">
        <w:t>% decrease in</w:t>
      </w:r>
      <w:r w:rsidR="00C36937" w:rsidRPr="00C36937">
        <w:t xml:space="preserve"> enrollments and a 20% decrease in</w:t>
      </w:r>
      <w:r w:rsidRPr="00C36937">
        <w:t xml:space="preserve"> the number of HS </w:t>
      </w:r>
      <w:r w:rsidR="00C36937" w:rsidRPr="00C36937">
        <w:t>Diplomas/GEDs awarded in PY 2014 over PY 2013</w:t>
      </w:r>
      <w:r w:rsidRPr="00C36937">
        <w:t xml:space="preserve">, level gains increased by </w:t>
      </w:r>
      <w:r w:rsidR="00C36937" w:rsidRPr="00C36937">
        <w:t>.5%</w:t>
      </w:r>
      <w:r w:rsidRPr="00C36937">
        <w:t>.</w:t>
      </w:r>
      <w:r>
        <w:t xml:space="preserve"> </w:t>
      </w:r>
    </w:p>
    <w:p w:rsidR="000A461C" w:rsidRPr="009B3DAD" w:rsidRDefault="000A461C" w:rsidP="000A461C">
      <w:pPr>
        <w:pStyle w:val="NoSpacing"/>
      </w:pPr>
    </w:p>
    <w:p w:rsidR="000A461C" w:rsidRPr="009B3DAD" w:rsidRDefault="000A461C" w:rsidP="000A461C">
      <w:pPr>
        <w:pStyle w:val="NoSpacing"/>
        <w:rPr>
          <w:i/>
        </w:rPr>
      </w:pPr>
      <w:r w:rsidRPr="009B3DAD">
        <w:rPr>
          <w:i/>
        </w:rPr>
        <w:t>Entered and Retained Employment</w:t>
      </w:r>
    </w:p>
    <w:p w:rsidR="000A461C" w:rsidRDefault="000A461C" w:rsidP="000A461C">
      <w:pPr>
        <w:pStyle w:val="NoSpacing"/>
      </w:pPr>
      <w:r w:rsidRPr="009B3DAD">
        <w:t>Indiana’s results in the Re</w:t>
      </w:r>
      <w:r w:rsidR="00C36937">
        <w:t>tained Employment category of 66</w:t>
      </w:r>
      <w:r>
        <w:t>% surpass its target of 59</w:t>
      </w:r>
      <w:r w:rsidRPr="009B3DAD">
        <w:t xml:space="preserve">%. Indiana’s </w:t>
      </w:r>
      <w:r>
        <w:t>also exceeded its target of 39% for</w:t>
      </w:r>
      <w:r w:rsidRPr="009B3DAD">
        <w:t xml:space="preserve"> </w:t>
      </w:r>
      <w:r>
        <w:t xml:space="preserve">the </w:t>
      </w:r>
      <w:r w:rsidRPr="009B3DAD">
        <w:t xml:space="preserve">Entered Employment </w:t>
      </w:r>
      <w:r>
        <w:t>category, achieving 45% for this cohort.</w:t>
      </w:r>
    </w:p>
    <w:p w:rsidR="000A461C" w:rsidRPr="009B3DAD" w:rsidRDefault="000A461C" w:rsidP="000A461C">
      <w:pPr>
        <w:pStyle w:val="NoSpacing"/>
        <w:rPr>
          <w:i/>
        </w:rPr>
      </w:pPr>
    </w:p>
    <w:p w:rsidR="000A461C" w:rsidRDefault="000A461C" w:rsidP="000A461C">
      <w:pPr>
        <w:pStyle w:val="NoSpacing"/>
      </w:pPr>
      <w:r w:rsidRPr="009B3DAD">
        <w:t xml:space="preserve">DWD </w:t>
      </w:r>
      <w:r w:rsidR="00C36937">
        <w:t>continues to place</w:t>
      </w:r>
      <w:r w:rsidRPr="009B3DAD">
        <w:t xml:space="preserve"> a great emphasis on encouraging the adult education community to become a high-performing system that is focused on student outcomes, which of course includes transitions to career. In fact, the regional consortium model engages one-stop centers in the adult education process much more holistically, and improving employment outcomes remains mission critical. </w:t>
      </w:r>
      <w:r>
        <w:t>This collaboration appears to be benefiting students.</w:t>
      </w:r>
    </w:p>
    <w:p w:rsidR="000A461C" w:rsidRPr="009B3DAD" w:rsidRDefault="000A461C" w:rsidP="000A461C">
      <w:pPr>
        <w:pStyle w:val="NoSpacing"/>
        <w:rPr>
          <w:i/>
        </w:rPr>
      </w:pPr>
    </w:p>
    <w:p w:rsidR="000A461C" w:rsidRPr="009B3DAD" w:rsidRDefault="000A461C" w:rsidP="000A461C">
      <w:pPr>
        <w:pStyle w:val="NoSpacing"/>
        <w:rPr>
          <w:i/>
        </w:rPr>
      </w:pPr>
      <w:r w:rsidRPr="009B3DAD">
        <w:rPr>
          <w:i/>
        </w:rPr>
        <w:t>Entered Postsecondary</w:t>
      </w:r>
    </w:p>
    <w:p w:rsidR="000A461C" w:rsidRDefault="000A461C" w:rsidP="000A461C">
      <w:pPr>
        <w:pStyle w:val="NoSpacing"/>
      </w:pPr>
      <w:r>
        <w:t>Again Indiana made great strides in the Entered Postsecondary number. This year, IDWD ex</w:t>
      </w:r>
      <w:r w:rsidR="00C36937">
        <w:t>ceeded the target of 25% with 33</w:t>
      </w:r>
      <w:r>
        <w:t xml:space="preserve">% of this reporting period’s population enter postsecondary.  This is a significant improvement over </w:t>
      </w:r>
      <w:r w:rsidRPr="00C36937">
        <w:t xml:space="preserve">the </w:t>
      </w:r>
      <w:r w:rsidR="00C36937" w:rsidRPr="00C36937">
        <w:t>27</w:t>
      </w:r>
      <w:r w:rsidRPr="00C36937">
        <w:t>%</w:t>
      </w:r>
      <w:r>
        <w:t xml:space="preserve"> reported for this category last reporting period.  </w:t>
      </w:r>
    </w:p>
    <w:p w:rsidR="000A461C" w:rsidRPr="001B1128" w:rsidRDefault="000A461C" w:rsidP="001B1128">
      <w:pPr>
        <w:spacing w:after="0" w:line="240" w:lineRule="auto"/>
        <w:rPr>
          <w:rFonts w:ascii="Times New Roman" w:hAnsi="Times New Roman"/>
          <w:b/>
          <w:color w:val="000000"/>
          <w:sz w:val="24"/>
          <w:szCs w:val="24"/>
        </w:rPr>
      </w:pPr>
    </w:p>
    <w:p w:rsidR="00B76B44" w:rsidRPr="001B1128" w:rsidRDefault="00B76B44" w:rsidP="001B1128">
      <w:pPr>
        <w:spacing w:after="0" w:line="240" w:lineRule="auto"/>
        <w:rPr>
          <w:rFonts w:ascii="Times New Roman" w:hAnsi="Times New Roman"/>
          <w:b/>
          <w:color w:val="000000"/>
          <w:sz w:val="24"/>
          <w:szCs w:val="24"/>
        </w:rPr>
      </w:pPr>
      <w:r w:rsidRPr="001B1128">
        <w:rPr>
          <w:rFonts w:ascii="Times New Roman" w:hAnsi="Times New Roman"/>
          <w:b/>
          <w:color w:val="000000"/>
          <w:sz w:val="24"/>
          <w:szCs w:val="24"/>
        </w:rPr>
        <w:t>Integration with Other Programs:</w:t>
      </w:r>
    </w:p>
    <w:p w:rsidR="00316D29" w:rsidRPr="009B3DAD" w:rsidRDefault="00316D29" w:rsidP="009B3DAD">
      <w:pPr>
        <w:pStyle w:val="NoSpacing"/>
        <w:rPr>
          <w:i/>
          <w:color w:val="000000"/>
        </w:rPr>
      </w:pPr>
      <w:r w:rsidRPr="009B3DAD">
        <w:rPr>
          <w:i/>
          <w:color w:val="000000"/>
        </w:rPr>
        <w:t>Describe how you have integrated activities funded under the Adult Education and Family Literacy Act (AEFLA) with other adult education, career development, and employment and training activities. Describe your efforts to develop or advance career pathway systems that include career and technical education, postsecondary education, employers, and economic and workforce development. Include a description of how your agency is being represented on the State and Local Workforce Investment Boards, the provision of core and other services through the One-Stop system and an estimate of the AEFLA funds being used to support activities and services through the One-Stop delivery system.</w:t>
      </w:r>
    </w:p>
    <w:p w:rsidR="00CF5A35" w:rsidRPr="009B3DAD" w:rsidRDefault="00CF5A35" w:rsidP="009B3DAD">
      <w:pPr>
        <w:spacing w:after="0" w:line="240" w:lineRule="auto"/>
        <w:rPr>
          <w:rFonts w:ascii="Times New Roman" w:hAnsi="Times New Roman"/>
          <w:b/>
          <w:i/>
          <w:sz w:val="24"/>
          <w:szCs w:val="24"/>
        </w:rPr>
      </w:pPr>
    </w:p>
    <w:p w:rsidR="00510F13" w:rsidRPr="009B3DAD" w:rsidRDefault="00510F13" w:rsidP="009B3DAD">
      <w:pPr>
        <w:pStyle w:val="NoSpacing"/>
        <w:rPr>
          <w:b/>
          <w:i/>
        </w:rPr>
      </w:pPr>
      <w:r w:rsidRPr="009B3DAD">
        <w:rPr>
          <w:b/>
          <w:i/>
        </w:rPr>
        <w:t>Regional Consortium Model through Grant Competition</w:t>
      </w:r>
    </w:p>
    <w:p w:rsidR="00510F13" w:rsidRPr="009B3DAD" w:rsidRDefault="00510F13" w:rsidP="009B3DAD">
      <w:pPr>
        <w:pStyle w:val="NoSpacing"/>
      </w:pPr>
      <w:r w:rsidRPr="009B3DAD">
        <w:t>Beginning in PY 2011, the new grant competition allowed providers other than school corporations to act as fiscal agents responsible for the management of both federal and state funding streams. Previously, state funding had only been available to school corporations. The grant competition also called on consortium p</w:t>
      </w:r>
      <w:r w:rsidRPr="009B3DAD">
        <w:rPr>
          <w:bCs/>
          <w:iCs/>
        </w:rPr>
        <w:t>a</w:t>
      </w:r>
      <w:r w:rsidRPr="009B3DAD">
        <w:t>rtners to launch</w:t>
      </w:r>
      <w:r w:rsidR="0071419F">
        <w:t xml:space="preserve"> the </w:t>
      </w:r>
      <w:proofErr w:type="spellStart"/>
      <w:r w:rsidRPr="009B3DAD">
        <w:t>WorkINdiana</w:t>
      </w:r>
      <w:proofErr w:type="spellEnd"/>
      <w:r w:rsidRPr="009B3DAD">
        <w:t xml:space="preserve"> occupational certification program based on a statewide certification framework developed by DWD. </w:t>
      </w:r>
      <w:r w:rsidR="00023090" w:rsidRPr="009B3DAD">
        <w:t xml:space="preserve"> </w:t>
      </w:r>
      <w:r w:rsidRPr="009B3DAD">
        <w:t xml:space="preserve">In PY 2012, DWD refined the grant competition again by adding a performance element to the funding formula. Other new requirements of the refined grant competition asked providers to develop a more holistic plan around consortium management, WorkINdiana program development, learner engagement and completion, and college and career readiness.  </w:t>
      </w:r>
    </w:p>
    <w:p w:rsidR="00510F13" w:rsidRPr="009B3DAD" w:rsidRDefault="00510F13" w:rsidP="009B3DAD">
      <w:pPr>
        <w:pStyle w:val="NoSpacing"/>
        <w:rPr>
          <w:highlight w:val="yellow"/>
        </w:rPr>
      </w:pPr>
    </w:p>
    <w:p w:rsidR="00510F13" w:rsidRPr="009B3DAD" w:rsidRDefault="00510F13" w:rsidP="000E4CE8">
      <w:pPr>
        <w:spacing w:after="0" w:line="240" w:lineRule="auto"/>
        <w:jc w:val="center"/>
        <w:rPr>
          <w:rFonts w:ascii="Times New Roman" w:eastAsia="Times New Roman" w:hAnsi="Times New Roman"/>
          <w:sz w:val="24"/>
          <w:szCs w:val="24"/>
        </w:rPr>
      </w:pPr>
      <w:r w:rsidRPr="009B3DAD">
        <w:rPr>
          <w:rFonts w:ascii="Times New Roman" w:eastAsia="Times New Roman" w:hAnsi="Times New Roman"/>
          <w:noProof/>
          <w:sz w:val="24"/>
          <w:szCs w:val="24"/>
        </w:rPr>
        <w:lastRenderedPageBreak/>
        <w:drawing>
          <wp:inline distT="0" distB="0" distL="0" distR="0" wp14:anchorId="74D92FB9" wp14:editId="4B08B388">
            <wp:extent cx="4714875" cy="2828925"/>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714875" cy="2828925"/>
                    </a:xfrm>
                    <a:prstGeom prst="rect">
                      <a:avLst/>
                    </a:prstGeom>
                    <a:noFill/>
                    <a:ln w="9525">
                      <a:noFill/>
                      <a:miter lim="800000"/>
                      <a:headEnd/>
                      <a:tailEnd/>
                    </a:ln>
                  </pic:spPr>
                </pic:pic>
              </a:graphicData>
            </a:graphic>
          </wp:inline>
        </w:drawing>
      </w:r>
    </w:p>
    <w:p w:rsidR="00023090" w:rsidRPr="009B3DAD" w:rsidRDefault="00023090" w:rsidP="009B3DAD">
      <w:pPr>
        <w:pStyle w:val="NoSpacing"/>
      </w:pPr>
    </w:p>
    <w:p w:rsidR="00510F13" w:rsidRDefault="00023090" w:rsidP="009B3DAD">
      <w:pPr>
        <w:pStyle w:val="NoSpacing"/>
      </w:pPr>
      <w:r w:rsidRPr="009B3DAD">
        <w:t>In PY 201</w:t>
      </w:r>
      <w:r w:rsidR="00566D0A">
        <w:t>4</w:t>
      </w:r>
      <w:r w:rsidRPr="009B3DAD">
        <w:t xml:space="preserve">, IDWD continued to support the regional Consortium Model through continuation of grant dollars.  </w:t>
      </w:r>
      <w:r w:rsidR="001B1128">
        <w:t xml:space="preserve">During this reporting period, there </w:t>
      </w:r>
      <w:r w:rsidR="0035639E">
        <w:t>were</w:t>
      </w:r>
      <w:r w:rsidR="001B1128">
        <w:t xml:space="preserve"> 27 ABE grantees, 7 </w:t>
      </w:r>
      <w:r w:rsidR="0035639E">
        <w:t xml:space="preserve">ESL </w:t>
      </w:r>
      <w:r w:rsidR="001B1128">
        <w:t xml:space="preserve">grantees with </w:t>
      </w:r>
      <w:r w:rsidR="00914EF1">
        <w:t>11</w:t>
      </w:r>
      <w:r w:rsidR="001B1128">
        <w:t xml:space="preserve"> non-school corporation fiscal agents.  </w:t>
      </w:r>
      <w:r w:rsidRPr="009B3DAD">
        <w:t xml:space="preserve">Each region’s Consortium worked </w:t>
      </w:r>
      <w:r w:rsidR="00D0228D" w:rsidRPr="009B3DAD">
        <w:t>collaborativ</w:t>
      </w:r>
      <w:r w:rsidR="00D2659D">
        <w:t>e</w:t>
      </w:r>
      <w:r w:rsidR="00D0228D">
        <w:t>ly</w:t>
      </w:r>
      <w:r w:rsidR="00D0228D" w:rsidRPr="009B3DAD">
        <w:t xml:space="preserve"> </w:t>
      </w:r>
      <w:r w:rsidRPr="009B3DAD">
        <w:t xml:space="preserve">to update their original grant applications.  </w:t>
      </w:r>
      <w:r w:rsidR="00510F13" w:rsidRPr="009B3DAD">
        <w:t xml:space="preserve">Encouraging members of the complex workforce development system to partner with members of an equally complex adult education system can sometimes be challenging, even when adult education is housed at an agency focused on workforce development. Nonetheless, </w:t>
      </w:r>
      <w:r w:rsidRPr="009B3DAD">
        <w:t>I</w:t>
      </w:r>
      <w:r w:rsidR="00510F13" w:rsidRPr="009B3DAD">
        <w:t xml:space="preserve">DWD has </w:t>
      </w:r>
      <w:r w:rsidRPr="009B3DAD">
        <w:t xml:space="preserve">continued to </w:t>
      </w:r>
      <w:r w:rsidR="00510F13" w:rsidRPr="009B3DAD">
        <w:t xml:space="preserve">see great progress and many deliberate approaches to collaboration as a result of the regional consortium model. Some </w:t>
      </w:r>
      <w:r w:rsidR="008D4165" w:rsidRPr="009B3DAD">
        <w:t>of the continued</w:t>
      </w:r>
      <w:r w:rsidR="00510F13" w:rsidRPr="009B3DAD">
        <w:t xml:space="preserve"> approaches include:</w:t>
      </w:r>
    </w:p>
    <w:p w:rsidR="00985AFD" w:rsidRPr="009B3DAD" w:rsidRDefault="00985AFD" w:rsidP="009B3DAD">
      <w:pPr>
        <w:pStyle w:val="NoSpacing"/>
      </w:pPr>
    </w:p>
    <w:p w:rsidR="00510F13" w:rsidRPr="009B3DAD" w:rsidRDefault="00510F13" w:rsidP="009B3DAD">
      <w:pPr>
        <w:pStyle w:val="NoSpacing"/>
        <w:numPr>
          <w:ilvl w:val="0"/>
          <w:numId w:val="18"/>
        </w:numPr>
      </w:pPr>
      <w:r w:rsidRPr="009B3DAD">
        <w:t>Adult Education classes being held in more WorkOnes around the state</w:t>
      </w:r>
    </w:p>
    <w:p w:rsidR="00142DF1" w:rsidRPr="009B3DAD" w:rsidRDefault="00142DF1" w:rsidP="009B3DAD">
      <w:pPr>
        <w:pStyle w:val="NoSpacing"/>
        <w:numPr>
          <w:ilvl w:val="0"/>
          <w:numId w:val="18"/>
        </w:numPr>
      </w:pPr>
      <w:r w:rsidRPr="009B3DAD">
        <w:t>WorkOne offices are co-located with Adult Education programs in some areas around the state</w:t>
      </w:r>
    </w:p>
    <w:p w:rsidR="00510F13" w:rsidRPr="009B3DAD" w:rsidRDefault="00510F13" w:rsidP="009B3DAD">
      <w:pPr>
        <w:pStyle w:val="NoSpacing"/>
        <w:numPr>
          <w:ilvl w:val="0"/>
          <w:numId w:val="18"/>
        </w:numPr>
      </w:pPr>
      <w:r w:rsidRPr="009B3DAD">
        <w:t>Training staff and developing solid referral processes to ensure students get the services they need</w:t>
      </w:r>
    </w:p>
    <w:p w:rsidR="00510F13" w:rsidRPr="009B3DAD" w:rsidRDefault="00510F13" w:rsidP="009B3DAD">
      <w:pPr>
        <w:pStyle w:val="NoSpacing"/>
        <w:numPr>
          <w:ilvl w:val="0"/>
          <w:numId w:val="18"/>
        </w:numPr>
      </w:pPr>
      <w:r w:rsidRPr="009B3DAD">
        <w:t xml:space="preserve">Implementing Indiana Career Explorer (career interest </w:t>
      </w:r>
      <w:r w:rsidR="00BC2C74">
        <w:t xml:space="preserve">exploration </w:t>
      </w:r>
      <w:r w:rsidRPr="009B3DAD">
        <w:t>system) and Career Connect (job matching system) into classroom lessons</w:t>
      </w:r>
    </w:p>
    <w:p w:rsidR="00510F13" w:rsidRPr="009B3DAD" w:rsidRDefault="00510F13" w:rsidP="009B3DAD">
      <w:pPr>
        <w:pStyle w:val="NoSpacing"/>
        <w:numPr>
          <w:ilvl w:val="0"/>
          <w:numId w:val="18"/>
        </w:numPr>
      </w:pPr>
      <w:r w:rsidRPr="009B3DAD">
        <w:t xml:space="preserve">WorkOne staff coming to adult education orientations to give presentations on services available. </w:t>
      </w:r>
    </w:p>
    <w:p w:rsidR="002B2495" w:rsidRPr="009B3DAD" w:rsidRDefault="002B2495" w:rsidP="009B3DAD">
      <w:pPr>
        <w:pStyle w:val="NoSpacing"/>
        <w:numPr>
          <w:ilvl w:val="0"/>
          <w:numId w:val="18"/>
        </w:numPr>
      </w:pPr>
      <w:r w:rsidRPr="009B3DAD">
        <w:t xml:space="preserve">Meeting regularly has increased and focused communication on </w:t>
      </w:r>
      <w:r w:rsidR="001B1128">
        <w:t>common metrics, creating</w:t>
      </w:r>
      <w:r w:rsidRPr="009B3DAD">
        <w:t xml:space="preserve"> cohesive approach</w:t>
      </w:r>
      <w:r w:rsidR="001B1128">
        <w:t>es</w:t>
      </w:r>
      <w:r w:rsidRPr="009B3DAD">
        <w:t xml:space="preserve"> to joint opportunities (</w:t>
      </w:r>
      <w:r w:rsidR="001B1128">
        <w:t xml:space="preserve">i.e., </w:t>
      </w:r>
      <w:r w:rsidRPr="009B3DAD">
        <w:t>ABE/EL</w:t>
      </w:r>
      <w:r w:rsidR="00BC2C74">
        <w:t>/</w:t>
      </w:r>
      <w:r w:rsidRPr="009B3DAD">
        <w:t>C</w:t>
      </w:r>
      <w:r w:rsidR="00BC2C74">
        <w:t>ivics</w:t>
      </w:r>
      <w:r w:rsidRPr="009B3DAD">
        <w:t>, WIA incentive grant applications</w:t>
      </w:r>
      <w:r w:rsidR="001B1128">
        <w:t>), leveraging</w:t>
      </w:r>
      <w:r w:rsidRPr="009B3DAD">
        <w:t xml:space="preserve"> respective spheres of influence to create career pathways and better serve students</w:t>
      </w:r>
    </w:p>
    <w:p w:rsidR="008D4165" w:rsidRPr="009B3DAD" w:rsidRDefault="008D4165" w:rsidP="009B3DAD">
      <w:pPr>
        <w:pStyle w:val="NoSpacing"/>
      </w:pPr>
    </w:p>
    <w:p w:rsidR="00D235EB" w:rsidRPr="009B3DAD" w:rsidRDefault="00D235EB" w:rsidP="00D235EB">
      <w:pPr>
        <w:pStyle w:val="NoSpacing"/>
        <w:rPr>
          <w:rFonts w:eastAsia="Calibri"/>
          <w:b/>
          <w:i/>
        </w:rPr>
      </w:pPr>
      <w:r w:rsidRPr="009B3DAD">
        <w:rPr>
          <w:rFonts w:eastAsia="Calibri"/>
          <w:b/>
          <w:i/>
        </w:rPr>
        <w:t>Workforce Investment Board Involvement</w:t>
      </w:r>
    </w:p>
    <w:p w:rsidR="00D235EB" w:rsidRPr="009B3DAD" w:rsidRDefault="00D235EB" w:rsidP="009B3DAD">
      <w:pPr>
        <w:pStyle w:val="NoSpacing"/>
      </w:pPr>
      <w:r w:rsidRPr="009B3DAD">
        <w:t xml:space="preserve">IDWD continues to integrate Adult Education at the state and local level Workforce </w:t>
      </w:r>
      <w:r>
        <w:t>Development</w:t>
      </w:r>
      <w:r w:rsidRPr="009B3DAD">
        <w:t xml:space="preserve"> Boards.  A representative from a local adult education program actively participates on the State Workforce Innovation Council (State Workforce Investment Board). In addition</w:t>
      </w:r>
      <w:r>
        <w:t>,</w:t>
      </w:r>
      <w:r w:rsidRPr="009B3DAD">
        <w:t xml:space="preserve"> just as representatives from the W</w:t>
      </w:r>
      <w:r>
        <w:t>D</w:t>
      </w:r>
      <w:r w:rsidRPr="009B3DAD">
        <w:t xml:space="preserve">B staff participate in the adult education consortium, each of the twelve Local Workforce </w:t>
      </w:r>
      <w:r>
        <w:t>Developmen</w:t>
      </w:r>
      <w:r w:rsidRPr="009B3DAD">
        <w:t>t Boards has an Adult Education Representative as well.</w:t>
      </w:r>
    </w:p>
    <w:p w:rsidR="0071419F" w:rsidRDefault="0071419F" w:rsidP="009B3DAD">
      <w:pPr>
        <w:spacing w:after="0" w:line="240" w:lineRule="auto"/>
        <w:rPr>
          <w:rFonts w:ascii="Times New Roman" w:hAnsi="Times New Roman"/>
          <w:b/>
          <w:i/>
          <w:sz w:val="24"/>
          <w:szCs w:val="24"/>
        </w:rPr>
      </w:pPr>
    </w:p>
    <w:p w:rsidR="00FB0EDA" w:rsidRDefault="00FB0EDA" w:rsidP="009B3DAD">
      <w:pPr>
        <w:spacing w:after="0" w:line="240" w:lineRule="auto"/>
        <w:rPr>
          <w:rFonts w:ascii="Times New Roman" w:hAnsi="Times New Roman"/>
          <w:b/>
          <w:i/>
          <w:sz w:val="24"/>
          <w:szCs w:val="24"/>
        </w:rPr>
      </w:pPr>
    </w:p>
    <w:p w:rsidR="00FB0EDA" w:rsidRDefault="00FB0EDA" w:rsidP="009B3DAD">
      <w:pPr>
        <w:spacing w:after="0" w:line="240" w:lineRule="auto"/>
        <w:rPr>
          <w:rFonts w:ascii="Times New Roman" w:hAnsi="Times New Roman"/>
          <w:b/>
          <w:i/>
          <w:sz w:val="24"/>
          <w:szCs w:val="24"/>
        </w:rPr>
      </w:pPr>
    </w:p>
    <w:p w:rsidR="00562640" w:rsidRPr="009B3DAD" w:rsidRDefault="00562640" w:rsidP="009B3DAD">
      <w:pPr>
        <w:spacing w:after="0" w:line="240" w:lineRule="auto"/>
        <w:rPr>
          <w:rFonts w:ascii="Times New Roman" w:hAnsi="Times New Roman"/>
          <w:b/>
          <w:i/>
          <w:sz w:val="24"/>
          <w:szCs w:val="24"/>
        </w:rPr>
      </w:pPr>
      <w:r w:rsidRPr="009B3DAD">
        <w:rPr>
          <w:rFonts w:ascii="Times New Roman" w:hAnsi="Times New Roman"/>
          <w:b/>
          <w:i/>
          <w:sz w:val="24"/>
          <w:szCs w:val="24"/>
        </w:rPr>
        <w:lastRenderedPageBreak/>
        <w:t>Collaborations with IDWD Youth Initiatives</w:t>
      </w:r>
    </w:p>
    <w:p w:rsidR="00B757C0" w:rsidRPr="00B757C0" w:rsidRDefault="00075E05" w:rsidP="00B757C0">
      <w:pPr>
        <w:spacing w:after="0" w:line="240" w:lineRule="auto"/>
        <w:rPr>
          <w:rFonts w:ascii="Times New Roman" w:hAnsi="Times New Roman"/>
          <w:sz w:val="24"/>
          <w:szCs w:val="24"/>
        </w:rPr>
      </w:pPr>
      <w:r w:rsidRPr="007D5436">
        <w:rPr>
          <w:rFonts w:ascii="Times New Roman" w:hAnsi="Times New Roman"/>
          <w:sz w:val="24"/>
          <w:szCs w:val="24"/>
        </w:rPr>
        <w:t xml:space="preserve">Since 43% of students enrolled meet the WIOA Youth definition, </w:t>
      </w:r>
      <w:r w:rsidR="008D4165" w:rsidRPr="007D5436">
        <w:rPr>
          <w:rFonts w:ascii="Times New Roman" w:hAnsi="Times New Roman"/>
          <w:sz w:val="24"/>
          <w:szCs w:val="24"/>
        </w:rPr>
        <w:t xml:space="preserve">IDWD </w:t>
      </w:r>
      <w:r w:rsidR="00BC2C74" w:rsidRPr="007D5436">
        <w:rPr>
          <w:rFonts w:ascii="Times New Roman" w:hAnsi="Times New Roman"/>
          <w:sz w:val="24"/>
          <w:szCs w:val="24"/>
        </w:rPr>
        <w:t>has</w:t>
      </w:r>
      <w:r w:rsidRPr="007D5436">
        <w:rPr>
          <w:rFonts w:ascii="Times New Roman" w:hAnsi="Times New Roman"/>
          <w:sz w:val="24"/>
          <w:szCs w:val="24"/>
        </w:rPr>
        <w:t xml:space="preserve"> continued to</w:t>
      </w:r>
      <w:r w:rsidR="00BC2C74" w:rsidRPr="007D5436">
        <w:rPr>
          <w:rFonts w:ascii="Times New Roman" w:hAnsi="Times New Roman"/>
          <w:sz w:val="24"/>
          <w:szCs w:val="24"/>
        </w:rPr>
        <w:t xml:space="preserve"> </w:t>
      </w:r>
      <w:r w:rsidRPr="007D5436">
        <w:rPr>
          <w:rFonts w:ascii="Times New Roman" w:hAnsi="Times New Roman"/>
          <w:sz w:val="24"/>
          <w:szCs w:val="24"/>
        </w:rPr>
        <w:t>focus</w:t>
      </w:r>
      <w:r w:rsidR="008D4165" w:rsidRPr="009B3DAD">
        <w:rPr>
          <w:rFonts w:ascii="Times New Roman" w:hAnsi="Times New Roman"/>
          <w:sz w:val="24"/>
          <w:szCs w:val="24"/>
        </w:rPr>
        <w:t xml:space="preserve"> attention on bringing the Adult Education and Youth Initiatives</w:t>
      </w:r>
      <w:r w:rsidR="00B757C0">
        <w:rPr>
          <w:rFonts w:ascii="Times New Roman" w:hAnsi="Times New Roman"/>
          <w:sz w:val="24"/>
          <w:szCs w:val="24"/>
        </w:rPr>
        <w:t xml:space="preserve"> (YI)</w:t>
      </w:r>
      <w:r w:rsidR="008D4165" w:rsidRPr="009B3DAD">
        <w:rPr>
          <w:rFonts w:ascii="Times New Roman" w:hAnsi="Times New Roman"/>
          <w:sz w:val="24"/>
          <w:szCs w:val="24"/>
        </w:rPr>
        <w:t xml:space="preserve"> Teams’ together to identify shared goals and team build.  Teams comprised from both the </w:t>
      </w:r>
      <w:r w:rsidR="00B757C0">
        <w:rPr>
          <w:rFonts w:ascii="Times New Roman" w:hAnsi="Times New Roman"/>
          <w:sz w:val="24"/>
          <w:szCs w:val="24"/>
        </w:rPr>
        <w:t>AE</w:t>
      </w:r>
      <w:r w:rsidR="000E4CE8">
        <w:rPr>
          <w:rFonts w:ascii="Times New Roman" w:hAnsi="Times New Roman"/>
          <w:sz w:val="24"/>
          <w:szCs w:val="24"/>
        </w:rPr>
        <w:t xml:space="preserve"> Directors</w:t>
      </w:r>
      <w:r w:rsidR="008D4165" w:rsidRPr="009B3DAD">
        <w:rPr>
          <w:rFonts w:ascii="Times New Roman" w:hAnsi="Times New Roman"/>
          <w:sz w:val="24"/>
          <w:szCs w:val="24"/>
        </w:rPr>
        <w:t xml:space="preserve"> and </w:t>
      </w:r>
      <w:r w:rsidR="00B757C0">
        <w:rPr>
          <w:rFonts w:ascii="Times New Roman" w:hAnsi="Times New Roman"/>
          <w:sz w:val="24"/>
          <w:szCs w:val="24"/>
        </w:rPr>
        <w:t>YI</w:t>
      </w:r>
      <w:r w:rsidR="008D4165" w:rsidRPr="009B3DAD">
        <w:rPr>
          <w:rFonts w:ascii="Times New Roman" w:hAnsi="Times New Roman"/>
          <w:sz w:val="24"/>
          <w:szCs w:val="24"/>
        </w:rPr>
        <w:t xml:space="preserve"> </w:t>
      </w:r>
      <w:r w:rsidR="000E4CE8">
        <w:rPr>
          <w:rFonts w:ascii="Times New Roman" w:hAnsi="Times New Roman"/>
          <w:sz w:val="24"/>
          <w:szCs w:val="24"/>
        </w:rPr>
        <w:t>Coordinators</w:t>
      </w:r>
      <w:r w:rsidR="008D4165" w:rsidRPr="009B3DAD">
        <w:rPr>
          <w:rFonts w:ascii="Times New Roman" w:hAnsi="Times New Roman"/>
          <w:sz w:val="24"/>
          <w:szCs w:val="24"/>
        </w:rPr>
        <w:t xml:space="preserve"> spent time with local </w:t>
      </w:r>
      <w:r w:rsidR="000E4CE8">
        <w:rPr>
          <w:rFonts w:ascii="Times New Roman" w:hAnsi="Times New Roman"/>
          <w:sz w:val="24"/>
          <w:szCs w:val="24"/>
        </w:rPr>
        <w:t xml:space="preserve">AE </w:t>
      </w:r>
      <w:r w:rsidR="008D4165" w:rsidRPr="009B3DAD">
        <w:rPr>
          <w:rFonts w:ascii="Times New Roman" w:hAnsi="Times New Roman"/>
          <w:sz w:val="24"/>
          <w:szCs w:val="24"/>
        </w:rPr>
        <w:t xml:space="preserve">programs to strategize </w:t>
      </w:r>
      <w:r w:rsidR="0071419F">
        <w:rPr>
          <w:rFonts w:ascii="Times New Roman" w:hAnsi="Times New Roman"/>
          <w:sz w:val="24"/>
          <w:szCs w:val="24"/>
        </w:rPr>
        <w:t xml:space="preserve">on </w:t>
      </w:r>
      <w:r w:rsidR="008D4165" w:rsidRPr="009B3DAD">
        <w:rPr>
          <w:rFonts w:ascii="Times New Roman" w:hAnsi="Times New Roman"/>
          <w:sz w:val="24"/>
          <w:szCs w:val="24"/>
        </w:rPr>
        <w:t xml:space="preserve">how the local and state programs can collaborate to achieve </w:t>
      </w:r>
      <w:r w:rsidR="00B778CC">
        <w:rPr>
          <w:rFonts w:ascii="Times New Roman" w:hAnsi="Times New Roman"/>
          <w:sz w:val="24"/>
          <w:szCs w:val="24"/>
        </w:rPr>
        <w:t>shared</w:t>
      </w:r>
      <w:r w:rsidR="008D4165" w:rsidRPr="009B3DAD">
        <w:rPr>
          <w:rFonts w:ascii="Times New Roman" w:hAnsi="Times New Roman"/>
          <w:sz w:val="24"/>
          <w:szCs w:val="24"/>
        </w:rPr>
        <w:t xml:space="preserve"> goal</w:t>
      </w:r>
      <w:r w:rsidR="00B778CC">
        <w:rPr>
          <w:rFonts w:ascii="Times New Roman" w:hAnsi="Times New Roman"/>
          <w:sz w:val="24"/>
          <w:szCs w:val="24"/>
        </w:rPr>
        <w:t>s</w:t>
      </w:r>
      <w:r w:rsidR="008D4165" w:rsidRPr="009B3DAD">
        <w:rPr>
          <w:rFonts w:ascii="Times New Roman" w:hAnsi="Times New Roman"/>
          <w:sz w:val="24"/>
          <w:szCs w:val="24"/>
        </w:rPr>
        <w:t xml:space="preserve">. </w:t>
      </w:r>
      <w:r w:rsidR="00511F15">
        <w:rPr>
          <w:rFonts w:ascii="Times New Roman" w:hAnsi="Times New Roman"/>
          <w:sz w:val="24"/>
          <w:szCs w:val="24"/>
        </w:rPr>
        <w:t>Additionally, in PY14 the focus of the annual fall teacher meeting was the Search Institute’s 40 Developmental Assets for youth. The content of th</w:t>
      </w:r>
      <w:r w:rsidR="00730036">
        <w:rPr>
          <w:rFonts w:ascii="Times New Roman" w:hAnsi="Times New Roman"/>
          <w:sz w:val="24"/>
          <w:szCs w:val="24"/>
        </w:rPr>
        <w:t>is</w:t>
      </w:r>
      <w:r w:rsidR="00511F15">
        <w:rPr>
          <w:rFonts w:ascii="Times New Roman" w:hAnsi="Times New Roman"/>
          <w:sz w:val="24"/>
          <w:szCs w:val="24"/>
        </w:rPr>
        <w:t xml:space="preserve"> meeting was developed per recommendations of </w:t>
      </w:r>
      <w:r w:rsidR="00B757C0">
        <w:rPr>
          <w:rFonts w:ascii="Times New Roman" w:hAnsi="Times New Roman"/>
          <w:sz w:val="24"/>
          <w:szCs w:val="24"/>
        </w:rPr>
        <w:t>YI</w:t>
      </w:r>
      <w:r w:rsidR="00730036">
        <w:rPr>
          <w:rFonts w:ascii="Times New Roman" w:hAnsi="Times New Roman"/>
          <w:sz w:val="24"/>
          <w:szCs w:val="24"/>
        </w:rPr>
        <w:t xml:space="preserve"> Team</w:t>
      </w:r>
      <w:r w:rsidR="00511F15">
        <w:rPr>
          <w:rFonts w:ascii="Times New Roman" w:hAnsi="Times New Roman"/>
          <w:sz w:val="24"/>
          <w:szCs w:val="24"/>
        </w:rPr>
        <w:t xml:space="preserve"> partners to assist AE providers in serving youth under WIOA.</w:t>
      </w:r>
      <w:r w:rsidR="00730036">
        <w:rPr>
          <w:rFonts w:ascii="Times New Roman" w:hAnsi="Times New Roman"/>
          <w:sz w:val="24"/>
          <w:szCs w:val="24"/>
        </w:rPr>
        <w:t xml:space="preserve"> Similarly, the </w:t>
      </w:r>
      <w:r w:rsidR="00B757C0">
        <w:rPr>
          <w:rFonts w:ascii="Times New Roman" w:hAnsi="Times New Roman"/>
          <w:sz w:val="24"/>
          <w:szCs w:val="24"/>
        </w:rPr>
        <w:t>YI</w:t>
      </w:r>
      <w:r w:rsidR="00730036">
        <w:rPr>
          <w:rFonts w:ascii="Times New Roman" w:hAnsi="Times New Roman"/>
          <w:sz w:val="24"/>
          <w:szCs w:val="24"/>
        </w:rPr>
        <w:t xml:space="preserve"> annually presents on topics relevant to our shared work at the annual IN AE Summer Institute.</w:t>
      </w:r>
      <w:r w:rsidR="00511F15">
        <w:rPr>
          <w:rFonts w:ascii="Times New Roman" w:hAnsi="Times New Roman"/>
          <w:sz w:val="24"/>
          <w:szCs w:val="24"/>
        </w:rPr>
        <w:t xml:space="preserve"> </w:t>
      </w:r>
      <w:r w:rsidR="00B757C0" w:rsidRPr="00B757C0">
        <w:rPr>
          <w:rFonts w:ascii="Times New Roman" w:hAnsi="Times New Roman"/>
          <w:sz w:val="24"/>
          <w:szCs w:val="24"/>
        </w:rPr>
        <w:t xml:space="preserve">Additionally, </w:t>
      </w:r>
      <w:r w:rsidR="00B757C0">
        <w:rPr>
          <w:rFonts w:ascii="Times New Roman" w:hAnsi="Times New Roman"/>
          <w:sz w:val="24"/>
          <w:szCs w:val="24"/>
        </w:rPr>
        <w:t xml:space="preserve">these two teams </w:t>
      </w:r>
      <w:r w:rsidR="00B757C0" w:rsidRPr="00B757C0">
        <w:rPr>
          <w:rFonts w:ascii="Times New Roman" w:hAnsi="Times New Roman"/>
          <w:sz w:val="24"/>
          <w:szCs w:val="24"/>
        </w:rPr>
        <w:t>have worked closely</w:t>
      </w:r>
      <w:r w:rsidR="00B757C0">
        <w:rPr>
          <w:rFonts w:ascii="Times New Roman" w:hAnsi="Times New Roman"/>
          <w:sz w:val="24"/>
          <w:szCs w:val="24"/>
        </w:rPr>
        <w:t xml:space="preserve"> to educate YI Coordinators on the </w:t>
      </w:r>
      <w:proofErr w:type="spellStart"/>
      <w:r w:rsidR="00B757C0">
        <w:rPr>
          <w:rFonts w:ascii="Times New Roman" w:hAnsi="Times New Roman"/>
          <w:sz w:val="24"/>
          <w:szCs w:val="24"/>
        </w:rPr>
        <w:t>WorkINdiana</w:t>
      </w:r>
      <w:proofErr w:type="spellEnd"/>
      <w:r w:rsidR="00B757C0">
        <w:rPr>
          <w:rFonts w:ascii="Times New Roman" w:hAnsi="Times New Roman"/>
          <w:sz w:val="24"/>
          <w:szCs w:val="24"/>
        </w:rPr>
        <w:t xml:space="preserve"> program, enrolling </w:t>
      </w:r>
      <w:r w:rsidR="00B757C0" w:rsidRPr="00B757C0">
        <w:rPr>
          <w:rFonts w:ascii="Times New Roman" w:hAnsi="Times New Roman"/>
          <w:sz w:val="24"/>
          <w:szCs w:val="24"/>
        </w:rPr>
        <w:t xml:space="preserve">78 youth </w:t>
      </w:r>
      <w:r w:rsidR="00B757C0">
        <w:rPr>
          <w:rFonts w:ascii="Times New Roman" w:hAnsi="Times New Roman"/>
          <w:sz w:val="24"/>
          <w:szCs w:val="24"/>
        </w:rPr>
        <w:t>this program year</w:t>
      </w:r>
      <w:r w:rsidR="00B757C0" w:rsidRPr="00B757C0">
        <w:rPr>
          <w:rFonts w:ascii="Times New Roman" w:hAnsi="Times New Roman"/>
          <w:sz w:val="24"/>
          <w:szCs w:val="24"/>
        </w:rPr>
        <w:t xml:space="preserve">. </w:t>
      </w:r>
      <w:r w:rsidR="00B757C0">
        <w:rPr>
          <w:rFonts w:ascii="Times New Roman" w:hAnsi="Times New Roman"/>
          <w:sz w:val="24"/>
          <w:szCs w:val="24"/>
        </w:rPr>
        <w:t>T</w:t>
      </w:r>
      <w:r w:rsidR="00B757C0" w:rsidRPr="00B757C0">
        <w:rPr>
          <w:rFonts w:ascii="Times New Roman" w:hAnsi="Times New Roman"/>
          <w:sz w:val="24"/>
          <w:szCs w:val="24"/>
        </w:rPr>
        <w:t xml:space="preserve">he </w:t>
      </w:r>
      <w:r w:rsidR="00B757C0">
        <w:rPr>
          <w:rFonts w:ascii="Times New Roman" w:hAnsi="Times New Roman"/>
          <w:sz w:val="24"/>
          <w:szCs w:val="24"/>
        </w:rPr>
        <w:t>AE</w:t>
      </w:r>
      <w:r w:rsidR="00B757C0" w:rsidRPr="00B757C0">
        <w:rPr>
          <w:rFonts w:ascii="Times New Roman" w:hAnsi="Times New Roman"/>
          <w:sz w:val="24"/>
          <w:szCs w:val="24"/>
        </w:rPr>
        <w:t xml:space="preserve"> and </w:t>
      </w:r>
      <w:r w:rsidR="00B757C0">
        <w:rPr>
          <w:rFonts w:ascii="Times New Roman" w:hAnsi="Times New Roman"/>
          <w:sz w:val="24"/>
          <w:szCs w:val="24"/>
        </w:rPr>
        <w:t>YI Teams</w:t>
      </w:r>
      <w:r w:rsidR="00B757C0" w:rsidRPr="00B757C0">
        <w:rPr>
          <w:rFonts w:ascii="Times New Roman" w:hAnsi="Times New Roman"/>
          <w:sz w:val="24"/>
          <w:szCs w:val="24"/>
        </w:rPr>
        <w:t xml:space="preserve"> collaborated on a grant opportunity to provide work and learn opportunities to JAG participants and paid work experiences to </w:t>
      </w:r>
      <w:proofErr w:type="spellStart"/>
      <w:r w:rsidR="00B757C0" w:rsidRPr="00B757C0">
        <w:rPr>
          <w:rFonts w:ascii="Times New Roman" w:hAnsi="Times New Roman"/>
          <w:sz w:val="24"/>
          <w:szCs w:val="24"/>
        </w:rPr>
        <w:t>WorkINdiana</w:t>
      </w:r>
      <w:proofErr w:type="spellEnd"/>
      <w:r w:rsidR="00B757C0" w:rsidRPr="00B757C0">
        <w:rPr>
          <w:rFonts w:ascii="Times New Roman" w:hAnsi="Times New Roman"/>
          <w:sz w:val="24"/>
          <w:szCs w:val="24"/>
        </w:rPr>
        <w:t xml:space="preserve"> students. </w:t>
      </w:r>
    </w:p>
    <w:p w:rsidR="00F93963" w:rsidRDefault="00F93963" w:rsidP="009B3DAD">
      <w:pPr>
        <w:spacing w:after="0" w:line="240" w:lineRule="auto"/>
        <w:rPr>
          <w:rFonts w:ascii="Times New Roman" w:hAnsi="Times New Roman"/>
          <w:sz w:val="24"/>
          <w:szCs w:val="24"/>
        </w:rPr>
      </w:pPr>
    </w:p>
    <w:p w:rsidR="00B778CC" w:rsidRPr="00B778CC" w:rsidRDefault="00B778CC" w:rsidP="009B3DAD">
      <w:pPr>
        <w:spacing w:after="0" w:line="240" w:lineRule="auto"/>
        <w:rPr>
          <w:rFonts w:ascii="Times New Roman" w:hAnsi="Times New Roman"/>
          <w:b/>
          <w:i/>
          <w:sz w:val="24"/>
          <w:szCs w:val="24"/>
        </w:rPr>
      </w:pPr>
      <w:r>
        <w:rPr>
          <w:rFonts w:ascii="Times New Roman" w:hAnsi="Times New Roman"/>
          <w:b/>
          <w:i/>
          <w:sz w:val="24"/>
          <w:szCs w:val="24"/>
        </w:rPr>
        <w:t>Collaborations with Vocational Rehabilitation</w:t>
      </w:r>
    </w:p>
    <w:p w:rsidR="00B778CC" w:rsidRDefault="00B778CC" w:rsidP="009B3DAD">
      <w:pPr>
        <w:spacing w:after="0" w:line="240" w:lineRule="auto"/>
        <w:rPr>
          <w:rFonts w:ascii="Times New Roman" w:hAnsi="Times New Roman"/>
          <w:sz w:val="24"/>
          <w:szCs w:val="24"/>
        </w:rPr>
      </w:pPr>
      <w:r>
        <w:rPr>
          <w:rFonts w:ascii="Times New Roman" w:hAnsi="Times New Roman"/>
          <w:sz w:val="24"/>
          <w:szCs w:val="24"/>
        </w:rPr>
        <w:t xml:space="preserve">IDWD and State Leadership from Vocational Rehabilitation meet regularly to align services.  The partnership specifically with AE has included cross trainings between Adult Education Coordinators and Vocational Rehabilitation Regional Managers at the state level.  At the local level, Vocational Rehabilitation representatives are invited to and actively participate at the Regional AE Consortia’s.  Shared referral processes have also been developed in some regions.  </w:t>
      </w:r>
    </w:p>
    <w:p w:rsidR="00B778CC" w:rsidRDefault="00B778CC" w:rsidP="009B3DAD">
      <w:pPr>
        <w:spacing w:after="0" w:line="240" w:lineRule="auto"/>
        <w:rPr>
          <w:rFonts w:ascii="Times New Roman" w:hAnsi="Times New Roman"/>
          <w:sz w:val="24"/>
          <w:szCs w:val="24"/>
        </w:rPr>
      </w:pPr>
    </w:p>
    <w:p w:rsidR="00CF5A35" w:rsidRPr="009A4BFE" w:rsidRDefault="00365730" w:rsidP="009B3DAD">
      <w:pPr>
        <w:spacing w:after="0" w:line="240" w:lineRule="auto"/>
        <w:rPr>
          <w:rFonts w:ascii="Times New Roman" w:eastAsia="Times New Roman" w:hAnsi="Times New Roman"/>
          <w:b/>
          <w:i/>
          <w:sz w:val="24"/>
          <w:szCs w:val="24"/>
        </w:rPr>
      </w:pPr>
      <w:proofErr w:type="spellStart"/>
      <w:r w:rsidRPr="009A4BFE">
        <w:rPr>
          <w:rFonts w:ascii="Times New Roman" w:hAnsi="Times New Roman"/>
          <w:b/>
          <w:i/>
          <w:sz w:val="24"/>
          <w:szCs w:val="24"/>
        </w:rPr>
        <w:t>WorkINdiana</w:t>
      </w:r>
      <w:proofErr w:type="spellEnd"/>
    </w:p>
    <w:p w:rsidR="005D7C38" w:rsidRPr="005D7C38" w:rsidRDefault="005D7C38" w:rsidP="005D7C38">
      <w:pPr>
        <w:rPr>
          <w:rFonts w:ascii="Times New Roman" w:hAnsi="Times New Roman"/>
          <w:sz w:val="24"/>
          <w:szCs w:val="24"/>
        </w:rPr>
      </w:pPr>
      <w:proofErr w:type="spellStart"/>
      <w:r w:rsidRPr="005D7C38">
        <w:rPr>
          <w:rFonts w:ascii="Times New Roman" w:hAnsi="Times New Roman"/>
          <w:sz w:val="24"/>
          <w:szCs w:val="24"/>
        </w:rPr>
        <w:t>WorkINdiana</w:t>
      </w:r>
      <w:proofErr w:type="spellEnd"/>
      <w:r w:rsidRPr="005D7C38">
        <w:rPr>
          <w:rFonts w:ascii="Times New Roman" w:hAnsi="Times New Roman"/>
          <w:sz w:val="24"/>
          <w:szCs w:val="24"/>
        </w:rPr>
        <w:t xml:space="preserve"> is a short-term training program designed to give adult education students access to occupational skills training and an industry recognized certification. This state-funded program requires collaboration between Career </w:t>
      </w:r>
      <w:r w:rsidR="00654100">
        <w:rPr>
          <w:rFonts w:ascii="Times New Roman" w:hAnsi="Times New Roman"/>
          <w:sz w:val="24"/>
          <w:szCs w:val="24"/>
        </w:rPr>
        <w:t xml:space="preserve">training providers, </w:t>
      </w:r>
      <w:r w:rsidRPr="005D7C38">
        <w:rPr>
          <w:rFonts w:ascii="Times New Roman" w:hAnsi="Times New Roman"/>
          <w:sz w:val="24"/>
          <w:szCs w:val="24"/>
        </w:rPr>
        <w:t>One Stop Center</w:t>
      </w:r>
      <w:r w:rsidR="002E6163">
        <w:rPr>
          <w:rFonts w:ascii="Times New Roman" w:hAnsi="Times New Roman"/>
          <w:sz w:val="24"/>
          <w:szCs w:val="24"/>
        </w:rPr>
        <w:t xml:space="preserve">s and Adult Education Programs as </w:t>
      </w:r>
      <w:r w:rsidRPr="005D7C38">
        <w:rPr>
          <w:rFonts w:ascii="Times New Roman" w:hAnsi="Times New Roman"/>
          <w:sz w:val="24"/>
          <w:szCs w:val="24"/>
        </w:rPr>
        <w:t>students must be co-enrolled in WI</w:t>
      </w:r>
      <w:r w:rsidR="00B757C0">
        <w:rPr>
          <w:rFonts w:ascii="Times New Roman" w:hAnsi="Times New Roman"/>
          <w:sz w:val="24"/>
          <w:szCs w:val="24"/>
        </w:rPr>
        <w:t>O</w:t>
      </w:r>
      <w:r w:rsidRPr="005D7C38">
        <w:rPr>
          <w:rFonts w:ascii="Times New Roman" w:hAnsi="Times New Roman"/>
          <w:sz w:val="24"/>
          <w:szCs w:val="24"/>
        </w:rPr>
        <w:t>A T</w:t>
      </w:r>
      <w:r w:rsidR="00B757C0">
        <w:rPr>
          <w:rFonts w:ascii="Times New Roman" w:hAnsi="Times New Roman"/>
          <w:sz w:val="24"/>
          <w:szCs w:val="24"/>
        </w:rPr>
        <w:t>itle I and Title II.</w:t>
      </w:r>
      <w:r w:rsidRPr="005D7C38">
        <w:rPr>
          <w:rFonts w:ascii="Times New Roman" w:hAnsi="Times New Roman"/>
          <w:sz w:val="24"/>
          <w:szCs w:val="24"/>
        </w:rPr>
        <w:t xml:space="preserve"> Students may select certification training for one of 26 entry-level occupations in seven growing industry sectors. There were more than 400 career certification programs located in 84 cities by the end of June 2015.</w:t>
      </w:r>
    </w:p>
    <w:p w:rsidR="005D7C38" w:rsidRPr="005D7C38" w:rsidRDefault="005D7C38" w:rsidP="005D7C38">
      <w:pPr>
        <w:pStyle w:val="NoSpacing"/>
      </w:pPr>
      <w:r w:rsidRPr="005D7C38">
        <w:t>The goals for PY14 were to increase quality enrollments, the number of training providers, and the number of entry-level industry-recognized certifications.</w:t>
      </w:r>
    </w:p>
    <w:p w:rsidR="00654100" w:rsidRDefault="00654100" w:rsidP="009B3DAD">
      <w:pPr>
        <w:pStyle w:val="NoSpacing"/>
        <w:rPr>
          <w:b/>
        </w:rPr>
      </w:pPr>
    </w:p>
    <w:p w:rsidR="00CF5A35" w:rsidRDefault="009E0152" w:rsidP="009B3DAD">
      <w:pPr>
        <w:pStyle w:val="NoSpacing"/>
        <w:rPr>
          <w:b/>
        </w:rPr>
      </w:pPr>
      <w:proofErr w:type="spellStart"/>
      <w:r>
        <w:rPr>
          <w:b/>
        </w:rPr>
        <w:t>WorkINdiana</w:t>
      </w:r>
      <w:proofErr w:type="spellEnd"/>
      <w:r>
        <w:rPr>
          <w:b/>
        </w:rPr>
        <w:t xml:space="preserve"> </w:t>
      </w:r>
      <w:r w:rsidR="005D7C38">
        <w:rPr>
          <w:b/>
        </w:rPr>
        <w:t xml:space="preserve">PY 2014 </w:t>
      </w:r>
      <w:r w:rsidR="005D09B6">
        <w:rPr>
          <w:b/>
        </w:rPr>
        <w:t>Outcomes</w:t>
      </w:r>
    </w:p>
    <w:tbl>
      <w:tblPr>
        <w:tblW w:w="7627" w:type="dxa"/>
        <w:tblInd w:w="108" w:type="dxa"/>
        <w:tblLook w:val="04A0" w:firstRow="1" w:lastRow="0" w:firstColumn="1" w:lastColumn="0" w:noHBand="0" w:noVBand="1"/>
      </w:tblPr>
      <w:tblGrid>
        <w:gridCol w:w="789"/>
        <w:gridCol w:w="992"/>
        <w:gridCol w:w="1016"/>
        <w:gridCol w:w="1127"/>
        <w:gridCol w:w="1183"/>
        <w:gridCol w:w="1176"/>
        <w:gridCol w:w="708"/>
        <w:gridCol w:w="636"/>
      </w:tblGrid>
      <w:tr w:rsidR="00D60155" w:rsidRPr="007B77C6" w:rsidTr="009D0BFA">
        <w:trPr>
          <w:trHeight w:val="585"/>
        </w:trPr>
        <w:tc>
          <w:tcPr>
            <w:tcW w:w="789" w:type="dxa"/>
            <w:tcBorders>
              <w:top w:val="single" w:sz="4" w:space="0" w:color="auto"/>
              <w:left w:val="single" w:sz="4" w:space="0" w:color="auto"/>
              <w:bottom w:val="single" w:sz="4" w:space="0" w:color="auto"/>
              <w:right w:val="single" w:sz="4" w:space="0" w:color="auto"/>
            </w:tcBorders>
            <w:shd w:val="clear" w:color="000000" w:fill="B1A0C7"/>
            <w:vAlign w:val="center"/>
            <w:hideMark/>
          </w:tcPr>
          <w:p w:rsidR="00D60155" w:rsidRPr="007B77C6" w:rsidRDefault="00D60155" w:rsidP="009D0BFA">
            <w:pPr>
              <w:spacing w:after="0" w:line="240" w:lineRule="auto"/>
              <w:rPr>
                <w:rFonts w:eastAsia="Times New Roman" w:cs="Arial"/>
                <w:b/>
                <w:bCs/>
                <w:color w:val="403151"/>
                <w:sz w:val="20"/>
                <w:szCs w:val="20"/>
              </w:rPr>
            </w:pPr>
            <w:r w:rsidRPr="007B77C6">
              <w:rPr>
                <w:rFonts w:eastAsia="Times New Roman" w:cs="Arial"/>
                <w:b/>
                <w:bCs/>
                <w:color w:val="403151"/>
                <w:sz w:val="20"/>
                <w:szCs w:val="20"/>
              </w:rPr>
              <w:t>Region</w:t>
            </w:r>
          </w:p>
        </w:tc>
        <w:tc>
          <w:tcPr>
            <w:tcW w:w="992" w:type="dxa"/>
            <w:tcBorders>
              <w:top w:val="single" w:sz="4" w:space="0" w:color="auto"/>
              <w:left w:val="nil"/>
              <w:bottom w:val="single" w:sz="4" w:space="0" w:color="auto"/>
              <w:right w:val="single" w:sz="4" w:space="0" w:color="auto"/>
            </w:tcBorders>
            <w:shd w:val="clear" w:color="000000" w:fill="B1A0C7"/>
            <w:vAlign w:val="center"/>
            <w:hideMark/>
          </w:tcPr>
          <w:p w:rsidR="00D60155" w:rsidRPr="007B77C6" w:rsidRDefault="00D60155" w:rsidP="009D0BFA">
            <w:pPr>
              <w:spacing w:after="0" w:line="240" w:lineRule="auto"/>
              <w:rPr>
                <w:rFonts w:eastAsia="Times New Roman" w:cs="Arial"/>
                <w:b/>
                <w:bCs/>
                <w:color w:val="403151"/>
                <w:sz w:val="20"/>
                <w:szCs w:val="20"/>
              </w:rPr>
            </w:pPr>
            <w:r w:rsidRPr="007B77C6">
              <w:rPr>
                <w:rFonts w:eastAsia="Times New Roman" w:cs="Arial"/>
                <w:b/>
                <w:bCs/>
                <w:color w:val="403151"/>
                <w:sz w:val="20"/>
                <w:szCs w:val="20"/>
              </w:rPr>
              <w:t>Enrolled</w:t>
            </w:r>
          </w:p>
        </w:tc>
        <w:tc>
          <w:tcPr>
            <w:tcW w:w="1016" w:type="dxa"/>
            <w:tcBorders>
              <w:top w:val="single" w:sz="4" w:space="0" w:color="auto"/>
              <w:left w:val="nil"/>
              <w:bottom w:val="single" w:sz="4" w:space="0" w:color="auto"/>
              <w:right w:val="nil"/>
            </w:tcBorders>
            <w:shd w:val="clear" w:color="000000" w:fill="B1A0C7"/>
            <w:vAlign w:val="center"/>
            <w:hideMark/>
          </w:tcPr>
          <w:p w:rsidR="00D60155" w:rsidRPr="007B77C6" w:rsidRDefault="00D60155" w:rsidP="009D0BFA">
            <w:pPr>
              <w:spacing w:after="0" w:line="240" w:lineRule="auto"/>
              <w:jc w:val="center"/>
              <w:rPr>
                <w:rFonts w:eastAsia="Times New Roman" w:cs="Arial"/>
                <w:b/>
                <w:bCs/>
                <w:color w:val="403151"/>
                <w:sz w:val="20"/>
                <w:szCs w:val="20"/>
              </w:rPr>
            </w:pPr>
            <w:r w:rsidRPr="007B77C6">
              <w:rPr>
                <w:rFonts w:eastAsia="Times New Roman" w:cs="Arial"/>
                <w:b/>
                <w:bCs/>
                <w:color w:val="403151"/>
                <w:sz w:val="20"/>
                <w:szCs w:val="20"/>
              </w:rPr>
              <w:t>Still Enrolled</w:t>
            </w:r>
          </w:p>
        </w:tc>
        <w:tc>
          <w:tcPr>
            <w:tcW w:w="1127" w:type="dxa"/>
            <w:tcBorders>
              <w:top w:val="single" w:sz="4" w:space="0" w:color="auto"/>
              <w:left w:val="single" w:sz="4" w:space="0" w:color="auto"/>
              <w:bottom w:val="single" w:sz="4" w:space="0" w:color="auto"/>
              <w:right w:val="single" w:sz="4" w:space="0" w:color="auto"/>
            </w:tcBorders>
            <w:shd w:val="clear" w:color="000000" w:fill="B1A0C7"/>
            <w:vAlign w:val="center"/>
            <w:hideMark/>
          </w:tcPr>
          <w:p w:rsidR="00D60155" w:rsidRPr="007B77C6" w:rsidRDefault="00D60155" w:rsidP="009D0BFA">
            <w:pPr>
              <w:spacing w:after="0" w:line="240" w:lineRule="auto"/>
              <w:rPr>
                <w:rFonts w:eastAsia="Times New Roman" w:cs="Arial"/>
                <w:b/>
                <w:bCs/>
                <w:color w:val="403151"/>
                <w:sz w:val="20"/>
                <w:szCs w:val="20"/>
              </w:rPr>
            </w:pPr>
            <w:r w:rsidRPr="007B77C6">
              <w:rPr>
                <w:rFonts w:eastAsia="Times New Roman" w:cs="Arial"/>
                <w:b/>
                <w:bCs/>
                <w:color w:val="403151"/>
                <w:sz w:val="20"/>
                <w:szCs w:val="20"/>
              </w:rPr>
              <w:t>Completed</w:t>
            </w:r>
          </w:p>
        </w:tc>
        <w:tc>
          <w:tcPr>
            <w:tcW w:w="1183" w:type="dxa"/>
            <w:tcBorders>
              <w:top w:val="single" w:sz="4" w:space="0" w:color="auto"/>
              <w:left w:val="nil"/>
              <w:bottom w:val="single" w:sz="4" w:space="0" w:color="auto"/>
              <w:right w:val="single" w:sz="4" w:space="0" w:color="auto"/>
            </w:tcBorders>
            <w:shd w:val="clear" w:color="000000" w:fill="B1A0C7"/>
            <w:vAlign w:val="center"/>
            <w:hideMark/>
          </w:tcPr>
          <w:p w:rsidR="00D60155" w:rsidRPr="007B77C6" w:rsidRDefault="00D60155" w:rsidP="009D0BFA">
            <w:pPr>
              <w:spacing w:after="0" w:line="240" w:lineRule="auto"/>
              <w:rPr>
                <w:rFonts w:eastAsia="Times New Roman" w:cs="Arial"/>
                <w:b/>
                <w:bCs/>
                <w:color w:val="403151"/>
                <w:sz w:val="20"/>
                <w:szCs w:val="20"/>
              </w:rPr>
            </w:pPr>
            <w:r w:rsidRPr="007B77C6">
              <w:rPr>
                <w:rFonts w:eastAsia="Times New Roman" w:cs="Arial"/>
                <w:b/>
                <w:bCs/>
                <w:color w:val="403151"/>
                <w:sz w:val="20"/>
                <w:szCs w:val="20"/>
              </w:rPr>
              <w:t>Completion Rate</w:t>
            </w:r>
            <w:r w:rsidRPr="007B77C6">
              <w:rPr>
                <w:rFonts w:eastAsia="Times New Roman" w:cs="Arial"/>
                <w:b/>
                <w:bCs/>
                <w:color w:val="660066"/>
                <w:sz w:val="20"/>
                <w:szCs w:val="20"/>
                <w:vertAlign w:val="superscript"/>
              </w:rPr>
              <w:t>1</w:t>
            </w:r>
          </w:p>
        </w:tc>
        <w:tc>
          <w:tcPr>
            <w:tcW w:w="1176" w:type="dxa"/>
            <w:tcBorders>
              <w:top w:val="single" w:sz="4" w:space="0" w:color="auto"/>
              <w:left w:val="nil"/>
              <w:bottom w:val="single" w:sz="4" w:space="0" w:color="auto"/>
              <w:right w:val="single" w:sz="4" w:space="0" w:color="auto"/>
            </w:tcBorders>
            <w:shd w:val="clear" w:color="000000" w:fill="B1A0C7"/>
            <w:vAlign w:val="center"/>
            <w:hideMark/>
          </w:tcPr>
          <w:p w:rsidR="00D60155" w:rsidRPr="007B77C6" w:rsidRDefault="00D60155" w:rsidP="009D0BFA">
            <w:pPr>
              <w:spacing w:after="0" w:line="240" w:lineRule="auto"/>
              <w:rPr>
                <w:rFonts w:eastAsia="Times New Roman" w:cs="Arial"/>
                <w:b/>
                <w:bCs/>
                <w:color w:val="403151"/>
                <w:sz w:val="20"/>
                <w:szCs w:val="20"/>
              </w:rPr>
            </w:pPr>
            <w:r w:rsidRPr="007B77C6">
              <w:rPr>
                <w:rFonts w:eastAsia="Times New Roman" w:cs="Arial"/>
                <w:b/>
                <w:bCs/>
                <w:color w:val="403151"/>
                <w:sz w:val="20"/>
                <w:szCs w:val="20"/>
              </w:rPr>
              <w:t>Certified</w:t>
            </w:r>
          </w:p>
        </w:tc>
        <w:tc>
          <w:tcPr>
            <w:tcW w:w="1344" w:type="dxa"/>
            <w:gridSpan w:val="2"/>
            <w:tcBorders>
              <w:top w:val="nil"/>
              <w:left w:val="nil"/>
              <w:bottom w:val="nil"/>
              <w:right w:val="nil"/>
            </w:tcBorders>
            <w:shd w:val="clear" w:color="000000" w:fill="B1A0C7"/>
            <w:vAlign w:val="center"/>
            <w:hideMark/>
          </w:tcPr>
          <w:p w:rsidR="00D60155" w:rsidRPr="007B77C6" w:rsidRDefault="00D60155" w:rsidP="009D0BFA">
            <w:pPr>
              <w:spacing w:after="0" w:line="240" w:lineRule="auto"/>
              <w:jc w:val="center"/>
              <w:rPr>
                <w:rFonts w:eastAsia="Times New Roman" w:cs="Arial"/>
                <w:b/>
                <w:bCs/>
                <w:color w:val="403151"/>
                <w:sz w:val="20"/>
                <w:szCs w:val="20"/>
              </w:rPr>
            </w:pPr>
            <w:r w:rsidRPr="007B77C6">
              <w:rPr>
                <w:rFonts w:eastAsia="Times New Roman" w:cs="Arial"/>
                <w:b/>
                <w:bCs/>
                <w:color w:val="403151"/>
                <w:sz w:val="20"/>
                <w:szCs w:val="20"/>
              </w:rPr>
              <w:t>Certification Rate</w:t>
            </w:r>
            <w:r w:rsidRPr="007B77C6">
              <w:rPr>
                <w:rFonts w:eastAsia="Times New Roman" w:cs="Arial"/>
                <w:b/>
                <w:bCs/>
                <w:color w:val="660066"/>
                <w:sz w:val="20"/>
                <w:szCs w:val="20"/>
                <w:vertAlign w:val="superscript"/>
              </w:rPr>
              <w:t>2</w:t>
            </w:r>
          </w:p>
        </w:tc>
      </w:tr>
      <w:tr w:rsidR="00D60155" w:rsidRPr="007B77C6" w:rsidTr="009D0BFA">
        <w:trPr>
          <w:trHeight w:val="300"/>
        </w:trPr>
        <w:tc>
          <w:tcPr>
            <w:tcW w:w="789" w:type="dxa"/>
            <w:tcBorders>
              <w:top w:val="nil"/>
              <w:left w:val="single" w:sz="4" w:space="0" w:color="auto"/>
              <w:bottom w:val="single" w:sz="4" w:space="0" w:color="auto"/>
              <w:right w:val="single" w:sz="4" w:space="0" w:color="auto"/>
            </w:tcBorders>
            <w:shd w:val="clear" w:color="000000" w:fill="FFFFFF"/>
            <w:noWrap/>
            <w:vAlign w:val="center"/>
            <w:hideMark/>
          </w:tcPr>
          <w:p w:rsidR="00D60155" w:rsidRPr="007B77C6" w:rsidRDefault="00D60155" w:rsidP="009D0BFA">
            <w:pPr>
              <w:spacing w:after="0" w:line="240" w:lineRule="auto"/>
              <w:jc w:val="center"/>
              <w:rPr>
                <w:rFonts w:ascii="Arial" w:eastAsia="Times New Roman" w:hAnsi="Arial" w:cs="Arial"/>
                <w:b/>
                <w:color w:val="403151"/>
                <w:sz w:val="20"/>
                <w:szCs w:val="20"/>
              </w:rPr>
            </w:pPr>
            <w:r w:rsidRPr="007B77C6">
              <w:rPr>
                <w:rFonts w:ascii="Arial" w:eastAsia="Times New Roman" w:hAnsi="Arial" w:cs="Arial"/>
                <w:b/>
                <w:color w:val="403151"/>
                <w:sz w:val="20"/>
                <w:szCs w:val="20"/>
              </w:rPr>
              <w:t>1</w:t>
            </w:r>
          </w:p>
        </w:tc>
        <w:tc>
          <w:tcPr>
            <w:tcW w:w="992" w:type="dxa"/>
            <w:tcBorders>
              <w:top w:val="nil"/>
              <w:left w:val="nil"/>
              <w:bottom w:val="single" w:sz="4" w:space="0" w:color="auto"/>
              <w:right w:val="single" w:sz="4" w:space="0" w:color="auto"/>
            </w:tcBorders>
            <w:shd w:val="clear" w:color="auto" w:fill="auto"/>
            <w:vAlign w:val="bottom"/>
            <w:hideMark/>
          </w:tcPr>
          <w:p w:rsidR="00D60155" w:rsidRPr="007B77C6" w:rsidRDefault="00D60155" w:rsidP="009D0BFA">
            <w:pPr>
              <w:spacing w:after="0" w:line="240" w:lineRule="auto"/>
              <w:jc w:val="center"/>
              <w:rPr>
                <w:rFonts w:ascii="Arial" w:eastAsia="Times New Roman" w:hAnsi="Arial" w:cs="Arial"/>
                <w:b/>
                <w:color w:val="403151"/>
                <w:sz w:val="20"/>
                <w:szCs w:val="20"/>
              </w:rPr>
            </w:pPr>
            <w:r w:rsidRPr="007B77C6">
              <w:rPr>
                <w:rFonts w:ascii="Arial" w:eastAsia="Times New Roman" w:hAnsi="Arial" w:cs="Arial"/>
                <w:b/>
                <w:color w:val="403151"/>
                <w:sz w:val="20"/>
                <w:szCs w:val="20"/>
              </w:rPr>
              <w:t>46</w:t>
            </w:r>
          </w:p>
        </w:tc>
        <w:tc>
          <w:tcPr>
            <w:tcW w:w="1016" w:type="dxa"/>
            <w:tcBorders>
              <w:top w:val="nil"/>
              <w:left w:val="nil"/>
              <w:bottom w:val="single" w:sz="4" w:space="0" w:color="auto"/>
              <w:right w:val="nil"/>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15</w:t>
            </w:r>
          </w:p>
        </w:tc>
        <w:tc>
          <w:tcPr>
            <w:tcW w:w="1127" w:type="dxa"/>
            <w:tcBorders>
              <w:top w:val="nil"/>
              <w:left w:val="single" w:sz="4" w:space="0" w:color="auto"/>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29</w:t>
            </w:r>
          </w:p>
        </w:tc>
        <w:tc>
          <w:tcPr>
            <w:tcW w:w="1183" w:type="dxa"/>
            <w:tcBorders>
              <w:top w:val="nil"/>
              <w:left w:val="nil"/>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94%</w:t>
            </w:r>
          </w:p>
        </w:tc>
        <w:tc>
          <w:tcPr>
            <w:tcW w:w="1176" w:type="dxa"/>
            <w:tcBorders>
              <w:top w:val="nil"/>
              <w:left w:val="nil"/>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16</w:t>
            </w:r>
          </w:p>
        </w:tc>
        <w:tc>
          <w:tcPr>
            <w:tcW w:w="708" w:type="dxa"/>
            <w:tcBorders>
              <w:top w:val="single" w:sz="4" w:space="0" w:color="auto"/>
              <w:left w:val="nil"/>
              <w:bottom w:val="single" w:sz="4" w:space="0" w:color="auto"/>
              <w:right w:val="nil"/>
            </w:tcBorders>
            <w:shd w:val="clear" w:color="000000" w:fill="FFFFFF"/>
            <w:noWrap/>
            <w:vAlign w:val="bottom"/>
            <w:hideMark/>
          </w:tcPr>
          <w:p w:rsidR="00D60155" w:rsidRPr="007B77C6" w:rsidRDefault="00D60155" w:rsidP="009D0BFA">
            <w:pPr>
              <w:spacing w:after="0" w:line="240" w:lineRule="auto"/>
              <w:jc w:val="right"/>
              <w:rPr>
                <w:rFonts w:eastAsia="Times New Roman" w:cs="Arial"/>
                <w:color w:val="403151"/>
              </w:rPr>
            </w:pPr>
            <w:r w:rsidRPr="007B77C6">
              <w:rPr>
                <w:rFonts w:eastAsia="Times New Roman" w:cs="Arial"/>
                <w:color w:val="403151"/>
              </w:rPr>
              <w:t>55%</w:t>
            </w:r>
          </w:p>
        </w:tc>
        <w:tc>
          <w:tcPr>
            <w:tcW w:w="636" w:type="dxa"/>
            <w:tcBorders>
              <w:top w:val="single" w:sz="4" w:space="0" w:color="auto"/>
              <w:left w:val="nil"/>
              <w:bottom w:val="single" w:sz="4" w:space="0" w:color="auto"/>
              <w:right w:val="single" w:sz="4" w:space="0" w:color="auto"/>
            </w:tcBorders>
            <w:shd w:val="clear" w:color="auto" w:fill="auto"/>
            <w:noWrap/>
            <w:vAlign w:val="bottom"/>
            <w:hideMark/>
          </w:tcPr>
          <w:p w:rsidR="00D60155" w:rsidRPr="007B77C6" w:rsidRDefault="00D60155" w:rsidP="009D0BFA">
            <w:pPr>
              <w:spacing w:after="0" w:line="240" w:lineRule="auto"/>
              <w:rPr>
                <w:rFonts w:ascii="Arial" w:eastAsia="Times New Roman" w:hAnsi="Arial" w:cs="Arial"/>
                <w:sz w:val="20"/>
                <w:szCs w:val="20"/>
              </w:rPr>
            </w:pPr>
            <w:r w:rsidRPr="007B77C6">
              <w:rPr>
                <w:rFonts w:ascii="Arial" w:eastAsia="Times New Roman" w:hAnsi="Arial" w:cs="Arial"/>
                <w:sz w:val="20"/>
                <w:szCs w:val="20"/>
              </w:rPr>
              <w:t> </w:t>
            </w:r>
          </w:p>
        </w:tc>
      </w:tr>
      <w:tr w:rsidR="00D60155" w:rsidRPr="007B77C6" w:rsidTr="009D0BFA">
        <w:trPr>
          <w:trHeight w:val="300"/>
        </w:trPr>
        <w:tc>
          <w:tcPr>
            <w:tcW w:w="789" w:type="dxa"/>
            <w:tcBorders>
              <w:top w:val="nil"/>
              <w:left w:val="single" w:sz="4" w:space="0" w:color="auto"/>
              <w:bottom w:val="single" w:sz="4" w:space="0" w:color="auto"/>
              <w:right w:val="single" w:sz="4" w:space="0" w:color="auto"/>
            </w:tcBorders>
            <w:shd w:val="clear" w:color="000000" w:fill="FFFFFF"/>
            <w:noWrap/>
            <w:vAlign w:val="center"/>
            <w:hideMark/>
          </w:tcPr>
          <w:p w:rsidR="00D60155" w:rsidRPr="007B77C6" w:rsidRDefault="00D60155" w:rsidP="009D0BFA">
            <w:pPr>
              <w:spacing w:after="0" w:line="240" w:lineRule="auto"/>
              <w:jc w:val="center"/>
              <w:rPr>
                <w:rFonts w:ascii="Arial" w:eastAsia="Times New Roman" w:hAnsi="Arial" w:cs="Arial"/>
                <w:b/>
                <w:color w:val="403151"/>
                <w:sz w:val="20"/>
                <w:szCs w:val="20"/>
              </w:rPr>
            </w:pPr>
            <w:r w:rsidRPr="007B77C6">
              <w:rPr>
                <w:rFonts w:ascii="Arial" w:eastAsia="Times New Roman" w:hAnsi="Arial" w:cs="Arial"/>
                <w:b/>
                <w:color w:val="403151"/>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rsidR="00D60155" w:rsidRPr="007B77C6" w:rsidRDefault="00D60155" w:rsidP="009D0BFA">
            <w:pPr>
              <w:spacing w:after="0" w:line="240" w:lineRule="auto"/>
              <w:jc w:val="center"/>
              <w:rPr>
                <w:rFonts w:ascii="Arial" w:eastAsia="Times New Roman" w:hAnsi="Arial" w:cs="Arial"/>
                <w:b/>
                <w:color w:val="403151"/>
                <w:sz w:val="20"/>
                <w:szCs w:val="20"/>
              </w:rPr>
            </w:pPr>
            <w:r w:rsidRPr="007B77C6">
              <w:rPr>
                <w:rFonts w:ascii="Arial" w:eastAsia="Times New Roman" w:hAnsi="Arial" w:cs="Arial"/>
                <w:b/>
                <w:color w:val="403151"/>
                <w:sz w:val="20"/>
                <w:szCs w:val="20"/>
              </w:rPr>
              <w:t>85</w:t>
            </w:r>
          </w:p>
        </w:tc>
        <w:tc>
          <w:tcPr>
            <w:tcW w:w="1016" w:type="dxa"/>
            <w:tcBorders>
              <w:top w:val="nil"/>
              <w:left w:val="nil"/>
              <w:bottom w:val="single" w:sz="4" w:space="0" w:color="auto"/>
              <w:right w:val="nil"/>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10</w:t>
            </w:r>
          </w:p>
        </w:tc>
        <w:tc>
          <w:tcPr>
            <w:tcW w:w="1127" w:type="dxa"/>
            <w:tcBorders>
              <w:top w:val="nil"/>
              <w:left w:val="single" w:sz="4" w:space="0" w:color="auto"/>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64</w:t>
            </w:r>
          </w:p>
        </w:tc>
        <w:tc>
          <w:tcPr>
            <w:tcW w:w="1183" w:type="dxa"/>
            <w:tcBorders>
              <w:top w:val="nil"/>
              <w:left w:val="nil"/>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85%</w:t>
            </w:r>
          </w:p>
        </w:tc>
        <w:tc>
          <w:tcPr>
            <w:tcW w:w="1176" w:type="dxa"/>
            <w:tcBorders>
              <w:top w:val="nil"/>
              <w:left w:val="nil"/>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33</w:t>
            </w:r>
          </w:p>
        </w:tc>
        <w:tc>
          <w:tcPr>
            <w:tcW w:w="708" w:type="dxa"/>
            <w:tcBorders>
              <w:top w:val="nil"/>
              <w:left w:val="nil"/>
              <w:bottom w:val="single" w:sz="4" w:space="0" w:color="auto"/>
              <w:right w:val="nil"/>
            </w:tcBorders>
            <w:shd w:val="clear" w:color="000000" w:fill="FFFFFF"/>
            <w:noWrap/>
            <w:vAlign w:val="bottom"/>
            <w:hideMark/>
          </w:tcPr>
          <w:p w:rsidR="00D60155" w:rsidRPr="007B77C6" w:rsidRDefault="00D60155" w:rsidP="009D0BFA">
            <w:pPr>
              <w:spacing w:after="0" w:line="240" w:lineRule="auto"/>
              <w:jc w:val="right"/>
              <w:rPr>
                <w:rFonts w:eastAsia="Times New Roman" w:cs="Arial"/>
                <w:color w:val="403151"/>
              </w:rPr>
            </w:pPr>
            <w:r w:rsidRPr="007B77C6">
              <w:rPr>
                <w:rFonts w:eastAsia="Times New Roman" w:cs="Arial"/>
                <w:color w:val="403151"/>
              </w:rPr>
              <w:t>52%</w:t>
            </w:r>
          </w:p>
        </w:tc>
        <w:tc>
          <w:tcPr>
            <w:tcW w:w="636" w:type="dxa"/>
            <w:tcBorders>
              <w:top w:val="nil"/>
              <w:left w:val="nil"/>
              <w:bottom w:val="single" w:sz="4" w:space="0" w:color="auto"/>
              <w:right w:val="single" w:sz="4" w:space="0" w:color="auto"/>
            </w:tcBorders>
            <w:shd w:val="clear" w:color="auto" w:fill="auto"/>
            <w:noWrap/>
            <w:vAlign w:val="bottom"/>
            <w:hideMark/>
          </w:tcPr>
          <w:p w:rsidR="00D60155" w:rsidRPr="007B77C6" w:rsidRDefault="00D60155" w:rsidP="009D0BFA">
            <w:pPr>
              <w:spacing w:after="0" w:line="240" w:lineRule="auto"/>
              <w:rPr>
                <w:rFonts w:ascii="Arial" w:eastAsia="Times New Roman" w:hAnsi="Arial" w:cs="Arial"/>
                <w:sz w:val="20"/>
                <w:szCs w:val="20"/>
              </w:rPr>
            </w:pPr>
            <w:r w:rsidRPr="007B77C6">
              <w:rPr>
                <w:rFonts w:ascii="Arial" w:eastAsia="Times New Roman" w:hAnsi="Arial" w:cs="Arial"/>
                <w:sz w:val="20"/>
                <w:szCs w:val="20"/>
              </w:rPr>
              <w:t> </w:t>
            </w:r>
          </w:p>
        </w:tc>
      </w:tr>
      <w:tr w:rsidR="00D60155" w:rsidRPr="007B77C6" w:rsidTr="009D0BFA">
        <w:trPr>
          <w:trHeight w:val="300"/>
        </w:trPr>
        <w:tc>
          <w:tcPr>
            <w:tcW w:w="789" w:type="dxa"/>
            <w:tcBorders>
              <w:top w:val="nil"/>
              <w:left w:val="single" w:sz="4" w:space="0" w:color="auto"/>
              <w:bottom w:val="single" w:sz="4" w:space="0" w:color="auto"/>
              <w:right w:val="single" w:sz="4" w:space="0" w:color="auto"/>
            </w:tcBorders>
            <w:shd w:val="clear" w:color="000000" w:fill="FFFFFF"/>
            <w:noWrap/>
            <w:vAlign w:val="center"/>
            <w:hideMark/>
          </w:tcPr>
          <w:p w:rsidR="00D60155" w:rsidRPr="007B77C6" w:rsidRDefault="00D60155" w:rsidP="009D0BFA">
            <w:pPr>
              <w:spacing w:after="0" w:line="240" w:lineRule="auto"/>
              <w:jc w:val="center"/>
              <w:rPr>
                <w:rFonts w:ascii="Arial" w:eastAsia="Times New Roman" w:hAnsi="Arial" w:cs="Arial"/>
                <w:b/>
                <w:color w:val="403151"/>
                <w:sz w:val="20"/>
                <w:szCs w:val="20"/>
              </w:rPr>
            </w:pPr>
            <w:r w:rsidRPr="007B77C6">
              <w:rPr>
                <w:rFonts w:ascii="Arial" w:eastAsia="Times New Roman" w:hAnsi="Arial" w:cs="Arial"/>
                <w:b/>
                <w:color w:val="403151"/>
                <w:sz w:val="20"/>
                <w:szCs w:val="20"/>
              </w:rPr>
              <w:t>3</w:t>
            </w:r>
          </w:p>
        </w:tc>
        <w:tc>
          <w:tcPr>
            <w:tcW w:w="992" w:type="dxa"/>
            <w:tcBorders>
              <w:top w:val="nil"/>
              <w:left w:val="nil"/>
              <w:bottom w:val="single" w:sz="4" w:space="0" w:color="auto"/>
              <w:right w:val="single" w:sz="4" w:space="0" w:color="auto"/>
            </w:tcBorders>
            <w:shd w:val="clear" w:color="auto" w:fill="auto"/>
            <w:noWrap/>
            <w:vAlign w:val="bottom"/>
            <w:hideMark/>
          </w:tcPr>
          <w:p w:rsidR="00D60155" w:rsidRPr="007B77C6" w:rsidRDefault="00D60155" w:rsidP="009D0BFA">
            <w:pPr>
              <w:spacing w:after="0" w:line="240" w:lineRule="auto"/>
              <w:jc w:val="center"/>
              <w:rPr>
                <w:rFonts w:ascii="Arial" w:eastAsia="Times New Roman" w:hAnsi="Arial" w:cs="Arial"/>
                <w:b/>
                <w:color w:val="403151"/>
                <w:sz w:val="20"/>
                <w:szCs w:val="20"/>
              </w:rPr>
            </w:pPr>
            <w:r w:rsidRPr="007B77C6">
              <w:rPr>
                <w:rFonts w:ascii="Arial" w:eastAsia="Times New Roman" w:hAnsi="Arial" w:cs="Arial"/>
                <w:b/>
                <w:color w:val="403151"/>
                <w:sz w:val="20"/>
                <w:szCs w:val="20"/>
              </w:rPr>
              <w:t>89</w:t>
            </w:r>
          </w:p>
        </w:tc>
        <w:tc>
          <w:tcPr>
            <w:tcW w:w="1016" w:type="dxa"/>
            <w:tcBorders>
              <w:top w:val="nil"/>
              <w:left w:val="nil"/>
              <w:bottom w:val="single" w:sz="4" w:space="0" w:color="auto"/>
              <w:right w:val="nil"/>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4</w:t>
            </w:r>
          </w:p>
        </w:tc>
        <w:tc>
          <w:tcPr>
            <w:tcW w:w="1127" w:type="dxa"/>
            <w:tcBorders>
              <w:top w:val="nil"/>
              <w:left w:val="single" w:sz="4" w:space="0" w:color="auto"/>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71</w:t>
            </w:r>
          </w:p>
        </w:tc>
        <w:tc>
          <w:tcPr>
            <w:tcW w:w="1183" w:type="dxa"/>
            <w:tcBorders>
              <w:top w:val="nil"/>
              <w:left w:val="nil"/>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84%</w:t>
            </w:r>
          </w:p>
        </w:tc>
        <w:tc>
          <w:tcPr>
            <w:tcW w:w="1176" w:type="dxa"/>
            <w:tcBorders>
              <w:top w:val="nil"/>
              <w:left w:val="nil"/>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47</w:t>
            </w:r>
          </w:p>
        </w:tc>
        <w:tc>
          <w:tcPr>
            <w:tcW w:w="708" w:type="dxa"/>
            <w:tcBorders>
              <w:top w:val="nil"/>
              <w:left w:val="nil"/>
              <w:bottom w:val="single" w:sz="4" w:space="0" w:color="auto"/>
              <w:right w:val="nil"/>
            </w:tcBorders>
            <w:shd w:val="clear" w:color="000000" w:fill="FFFFFF"/>
            <w:noWrap/>
            <w:vAlign w:val="bottom"/>
            <w:hideMark/>
          </w:tcPr>
          <w:p w:rsidR="00D60155" w:rsidRPr="007B77C6" w:rsidRDefault="00D60155" w:rsidP="009D0BFA">
            <w:pPr>
              <w:spacing w:after="0" w:line="240" w:lineRule="auto"/>
              <w:jc w:val="right"/>
              <w:rPr>
                <w:rFonts w:eastAsia="Times New Roman" w:cs="Arial"/>
                <w:color w:val="403151"/>
              </w:rPr>
            </w:pPr>
            <w:r w:rsidRPr="007B77C6">
              <w:rPr>
                <w:rFonts w:eastAsia="Times New Roman" w:cs="Arial"/>
                <w:color w:val="403151"/>
              </w:rPr>
              <w:t>66%</w:t>
            </w:r>
          </w:p>
        </w:tc>
        <w:tc>
          <w:tcPr>
            <w:tcW w:w="636" w:type="dxa"/>
            <w:tcBorders>
              <w:top w:val="nil"/>
              <w:left w:val="nil"/>
              <w:bottom w:val="single" w:sz="4" w:space="0" w:color="auto"/>
              <w:right w:val="single" w:sz="4" w:space="0" w:color="auto"/>
            </w:tcBorders>
            <w:shd w:val="clear" w:color="auto" w:fill="auto"/>
            <w:noWrap/>
            <w:vAlign w:val="bottom"/>
            <w:hideMark/>
          </w:tcPr>
          <w:p w:rsidR="00D60155" w:rsidRPr="007B77C6" w:rsidRDefault="00D60155" w:rsidP="009D0BFA">
            <w:pPr>
              <w:spacing w:after="0" w:line="240" w:lineRule="auto"/>
              <w:rPr>
                <w:rFonts w:ascii="Arial" w:eastAsia="Times New Roman" w:hAnsi="Arial" w:cs="Arial"/>
                <w:sz w:val="20"/>
                <w:szCs w:val="20"/>
              </w:rPr>
            </w:pPr>
            <w:r w:rsidRPr="007B77C6">
              <w:rPr>
                <w:rFonts w:ascii="Arial" w:eastAsia="Times New Roman" w:hAnsi="Arial" w:cs="Arial"/>
                <w:sz w:val="20"/>
                <w:szCs w:val="20"/>
              </w:rPr>
              <w:t> </w:t>
            </w:r>
          </w:p>
        </w:tc>
      </w:tr>
      <w:tr w:rsidR="00D60155" w:rsidRPr="007B77C6" w:rsidTr="009D0BFA">
        <w:trPr>
          <w:trHeight w:val="300"/>
        </w:trPr>
        <w:tc>
          <w:tcPr>
            <w:tcW w:w="789" w:type="dxa"/>
            <w:tcBorders>
              <w:top w:val="nil"/>
              <w:left w:val="single" w:sz="4" w:space="0" w:color="auto"/>
              <w:bottom w:val="single" w:sz="4" w:space="0" w:color="auto"/>
              <w:right w:val="single" w:sz="4" w:space="0" w:color="auto"/>
            </w:tcBorders>
            <w:shd w:val="clear" w:color="000000" w:fill="FFFFFF"/>
            <w:noWrap/>
            <w:vAlign w:val="center"/>
            <w:hideMark/>
          </w:tcPr>
          <w:p w:rsidR="00D60155" w:rsidRPr="007B77C6" w:rsidRDefault="00D60155" w:rsidP="009D0BFA">
            <w:pPr>
              <w:spacing w:after="0" w:line="240" w:lineRule="auto"/>
              <w:jc w:val="center"/>
              <w:rPr>
                <w:rFonts w:ascii="Arial" w:eastAsia="Times New Roman" w:hAnsi="Arial" w:cs="Arial"/>
                <w:b/>
                <w:color w:val="403151"/>
                <w:sz w:val="20"/>
                <w:szCs w:val="20"/>
              </w:rPr>
            </w:pPr>
            <w:r w:rsidRPr="007B77C6">
              <w:rPr>
                <w:rFonts w:ascii="Arial" w:eastAsia="Times New Roman" w:hAnsi="Arial" w:cs="Arial"/>
                <w:b/>
                <w:color w:val="403151"/>
                <w:sz w:val="20"/>
                <w:szCs w:val="20"/>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ascii="Arial" w:eastAsia="Times New Roman" w:hAnsi="Arial" w:cs="Arial"/>
                <w:b/>
                <w:color w:val="403151"/>
                <w:sz w:val="20"/>
                <w:szCs w:val="20"/>
              </w:rPr>
            </w:pPr>
            <w:r w:rsidRPr="007B77C6">
              <w:rPr>
                <w:rFonts w:ascii="Arial" w:eastAsia="Times New Roman" w:hAnsi="Arial" w:cs="Arial"/>
                <w:b/>
                <w:color w:val="403151"/>
                <w:sz w:val="20"/>
                <w:szCs w:val="20"/>
              </w:rPr>
              <w:t>95</w:t>
            </w:r>
          </w:p>
        </w:tc>
        <w:tc>
          <w:tcPr>
            <w:tcW w:w="1016" w:type="dxa"/>
            <w:tcBorders>
              <w:top w:val="nil"/>
              <w:left w:val="nil"/>
              <w:bottom w:val="single" w:sz="4" w:space="0" w:color="auto"/>
              <w:right w:val="nil"/>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9</w:t>
            </w:r>
          </w:p>
        </w:tc>
        <w:tc>
          <w:tcPr>
            <w:tcW w:w="1127" w:type="dxa"/>
            <w:tcBorders>
              <w:top w:val="nil"/>
              <w:left w:val="single" w:sz="4" w:space="0" w:color="auto"/>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73</w:t>
            </w:r>
          </w:p>
        </w:tc>
        <w:tc>
          <w:tcPr>
            <w:tcW w:w="1183" w:type="dxa"/>
            <w:tcBorders>
              <w:top w:val="nil"/>
              <w:left w:val="nil"/>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85%</w:t>
            </w:r>
          </w:p>
        </w:tc>
        <w:tc>
          <w:tcPr>
            <w:tcW w:w="1176" w:type="dxa"/>
            <w:tcBorders>
              <w:top w:val="nil"/>
              <w:left w:val="nil"/>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44</w:t>
            </w:r>
          </w:p>
        </w:tc>
        <w:tc>
          <w:tcPr>
            <w:tcW w:w="708" w:type="dxa"/>
            <w:tcBorders>
              <w:top w:val="nil"/>
              <w:left w:val="nil"/>
              <w:bottom w:val="single" w:sz="4" w:space="0" w:color="auto"/>
              <w:right w:val="nil"/>
            </w:tcBorders>
            <w:shd w:val="clear" w:color="000000" w:fill="FFFFFF"/>
            <w:noWrap/>
            <w:vAlign w:val="bottom"/>
            <w:hideMark/>
          </w:tcPr>
          <w:p w:rsidR="00D60155" w:rsidRPr="007B77C6" w:rsidRDefault="00D60155" w:rsidP="009D0BFA">
            <w:pPr>
              <w:spacing w:after="0" w:line="240" w:lineRule="auto"/>
              <w:jc w:val="right"/>
              <w:rPr>
                <w:rFonts w:eastAsia="Times New Roman" w:cs="Arial"/>
                <w:color w:val="403151"/>
              </w:rPr>
            </w:pPr>
            <w:r w:rsidRPr="007B77C6">
              <w:rPr>
                <w:rFonts w:eastAsia="Times New Roman" w:cs="Arial"/>
                <w:color w:val="403151"/>
              </w:rPr>
              <w:t>60%</w:t>
            </w:r>
          </w:p>
        </w:tc>
        <w:tc>
          <w:tcPr>
            <w:tcW w:w="636" w:type="dxa"/>
            <w:tcBorders>
              <w:top w:val="nil"/>
              <w:left w:val="nil"/>
              <w:bottom w:val="single" w:sz="4" w:space="0" w:color="auto"/>
              <w:right w:val="single" w:sz="4" w:space="0" w:color="auto"/>
            </w:tcBorders>
            <w:shd w:val="clear" w:color="auto" w:fill="auto"/>
            <w:noWrap/>
            <w:vAlign w:val="bottom"/>
            <w:hideMark/>
          </w:tcPr>
          <w:p w:rsidR="00D60155" w:rsidRPr="007B77C6" w:rsidRDefault="00D60155" w:rsidP="009D0BFA">
            <w:pPr>
              <w:spacing w:after="0" w:line="240" w:lineRule="auto"/>
              <w:rPr>
                <w:rFonts w:ascii="Arial" w:eastAsia="Times New Roman" w:hAnsi="Arial" w:cs="Arial"/>
                <w:sz w:val="20"/>
                <w:szCs w:val="20"/>
              </w:rPr>
            </w:pPr>
            <w:r w:rsidRPr="007B77C6">
              <w:rPr>
                <w:rFonts w:ascii="Arial" w:eastAsia="Times New Roman" w:hAnsi="Arial" w:cs="Arial"/>
                <w:sz w:val="20"/>
                <w:szCs w:val="20"/>
              </w:rPr>
              <w:t> </w:t>
            </w:r>
          </w:p>
        </w:tc>
      </w:tr>
      <w:tr w:rsidR="00D60155" w:rsidRPr="007B77C6" w:rsidTr="009D0BFA">
        <w:trPr>
          <w:trHeight w:val="300"/>
        </w:trPr>
        <w:tc>
          <w:tcPr>
            <w:tcW w:w="789" w:type="dxa"/>
            <w:tcBorders>
              <w:top w:val="nil"/>
              <w:left w:val="single" w:sz="4" w:space="0" w:color="auto"/>
              <w:bottom w:val="single" w:sz="4" w:space="0" w:color="auto"/>
              <w:right w:val="single" w:sz="4" w:space="0" w:color="auto"/>
            </w:tcBorders>
            <w:shd w:val="clear" w:color="000000" w:fill="FFFFFF"/>
            <w:noWrap/>
            <w:vAlign w:val="center"/>
            <w:hideMark/>
          </w:tcPr>
          <w:p w:rsidR="00D60155" w:rsidRPr="007B77C6" w:rsidRDefault="00D60155" w:rsidP="009D0BFA">
            <w:pPr>
              <w:spacing w:after="0" w:line="240" w:lineRule="auto"/>
              <w:jc w:val="center"/>
              <w:rPr>
                <w:rFonts w:ascii="Arial" w:eastAsia="Times New Roman" w:hAnsi="Arial" w:cs="Arial"/>
                <w:b/>
                <w:color w:val="403151"/>
                <w:sz w:val="20"/>
                <w:szCs w:val="20"/>
              </w:rPr>
            </w:pPr>
            <w:r w:rsidRPr="007B77C6">
              <w:rPr>
                <w:rFonts w:ascii="Arial" w:eastAsia="Times New Roman" w:hAnsi="Arial" w:cs="Arial"/>
                <w:b/>
                <w:color w:val="403151"/>
                <w:sz w:val="20"/>
                <w:szCs w:val="20"/>
              </w:rPr>
              <w:t>5</w:t>
            </w:r>
          </w:p>
        </w:tc>
        <w:tc>
          <w:tcPr>
            <w:tcW w:w="992" w:type="dxa"/>
            <w:tcBorders>
              <w:top w:val="nil"/>
              <w:left w:val="nil"/>
              <w:bottom w:val="single" w:sz="4" w:space="0" w:color="auto"/>
              <w:right w:val="single" w:sz="4" w:space="0" w:color="auto"/>
            </w:tcBorders>
            <w:shd w:val="clear" w:color="auto" w:fill="auto"/>
            <w:noWrap/>
            <w:vAlign w:val="bottom"/>
            <w:hideMark/>
          </w:tcPr>
          <w:p w:rsidR="00D60155" w:rsidRPr="007B77C6" w:rsidRDefault="00D60155" w:rsidP="009D0BFA">
            <w:pPr>
              <w:spacing w:after="0" w:line="240" w:lineRule="auto"/>
              <w:jc w:val="center"/>
              <w:rPr>
                <w:rFonts w:ascii="Arial" w:eastAsia="Times New Roman" w:hAnsi="Arial" w:cs="Arial"/>
                <w:b/>
                <w:color w:val="403151"/>
                <w:sz w:val="20"/>
                <w:szCs w:val="20"/>
              </w:rPr>
            </w:pPr>
            <w:r w:rsidRPr="007B77C6">
              <w:rPr>
                <w:rFonts w:ascii="Arial" w:eastAsia="Times New Roman" w:hAnsi="Arial" w:cs="Arial"/>
                <w:b/>
                <w:color w:val="403151"/>
                <w:sz w:val="20"/>
                <w:szCs w:val="20"/>
              </w:rPr>
              <w:t>113</w:t>
            </w:r>
          </w:p>
        </w:tc>
        <w:tc>
          <w:tcPr>
            <w:tcW w:w="1016" w:type="dxa"/>
            <w:tcBorders>
              <w:top w:val="nil"/>
              <w:left w:val="nil"/>
              <w:bottom w:val="single" w:sz="4" w:space="0" w:color="auto"/>
              <w:right w:val="nil"/>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13</w:t>
            </w:r>
          </w:p>
        </w:tc>
        <w:tc>
          <w:tcPr>
            <w:tcW w:w="1127" w:type="dxa"/>
            <w:tcBorders>
              <w:top w:val="nil"/>
              <w:left w:val="single" w:sz="4" w:space="0" w:color="auto"/>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87</w:t>
            </w:r>
          </w:p>
        </w:tc>
        <w:tc>
          <w:tcPr>
            <w:tcW w:w="1183" w:type="dxa"/>
            <w:tcBorders>
              <w:top w:val="nil"/>
              <w:left w:val="nil"/>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87%</w:t>
            </w:r>
          </w:p>
        </w:tc>
        <w:tc>
          <w:tcPr>
            <w:tcW w:w="1176" w:type="dxa"/>
            <w:tcBorders>
              <w:top w:val="nil"/>
              <w:left w:val="nil"/>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49</w:t>
            </w:r>
          </w:p>
        </w:tc>
        <w:tc>
          <w:tcPr>
            <w:tcW w:w="708" w:type="dxa"/>
            <w:tcBorders>
              <w:top w:val="nil"/>
              <w:left w:val="nil"/>
              <w:bottom w:val="single" w:sz="4" w:space="0" w:color="auto"/>
              <w:right w:val="nil"/>
            </w:tcBorders>
            <w:shd w:val="clear" w:color="000000" w:fill="FFFFFF"/>
            <w:noWrap/>
            <w:vAlign w:val="bottom"/>
            <w:hideMark/>
          </w:tcPr>
          <w:p w:rsidR="00D60155" w:rsidRPr="007B77C6" w:rsidRDefault="00D60155" w:rsidP="009D0BFA">
            <w:pPr>
              <w:spacing w:after="0" w:line="240" w:lineRule="auto"/>
              <w:jc w:val="right"/>
              <w:rPr>
                <w:rFonts w:eastAsia="Times New Roman" w:cs="Arial"/>
                <w:color w:val="403151"/>
              </w:rPr>
            </w:pPr>
            <w:r w:rsidRPr="007B77C6">
              <w:rPr>
                <w:rFonts w:eastAsia="Times New Roman" w:cs="Arial"/>
                <w:color w:val="403151"/>
              </w:rPr>
              <w:t>56%</w:t>
            </w:r>
          </w:p>
        </w:tc>
        <w:tc>
          <w:tcPr>
            <w:tcW w:w="636" w:type="dxa"/>
            <w:tcBorders>
              <w:top w:val="nil"/>
              <w:left w:val="nil"/>
              <w:bottom w:val="single" w:sz="4" w:space="0" w:color="auto"/>
              <w:right w:val="single" w:sz="4" w:space="0" w:color="auto"/>
            </w:tcBorders>
            <w:shd w:val="clear" w:color="auto" w:fill="auto"/>
            <w:noWrap/>
            <w:vAlign w:val="bottom"/>
            <w:hideMark/>
          </w:tcPr>
          <w:p w:rsidR="00D60155" w:rsidRPr="007B77C6" w:rsidRDefault="00D60155" w:rsidP="009D0BFA">
            <w:pPr>
              <w:spacing w:after="0" w:line="240" w:lineRule="auto"/>
              <w:rPr>
                <w:rFonts w:ascii="Arial" w:eastAsia="Times New Roman" w:hAnsi="Arial" w:cs="Arial"/>
                <w:sz w:val="20"/>
                <w:szCs w:val="20"/>
              </w:rPr>
            </w:pPr>
            <w:r w:rsidRPr="007B77C6">
              <w:rPr>
                <w:rFonts w:ascii="Arial" w:eastAsia="Times New Roman" w:hAnsi="Arial" w:cs="Arial"/>
                <w:sz w:val="20"/>
                <w:szCs w:val="20"/>
              </w:rPr>
              <w:t> </w:t>
            </w:r>
          </w:p>
        </w:tc>
      </w:tr>
      <w:tr w:rsidR="00D60155" w:rsidRPr="007B77C6" w:rsidTr="009D0BFA">
        <w:trPr>
          <w:trHeight w:val="300"/>
        </w:trPr>
        <w:tc>
          <w:tcPr>
            <w:tcW w:w="789" w:type="dxa"/>
            <w:tcBorders>
              <w:top w:val="nil"/>
              <w:left w:val="single" w:sz="4" w:space="0" w:color="auto"/>
              <w:bottom w:val="single" w:sz="4" w:space="0" w:color="auto"/>
              <w:right w:val="single" w:sz="4" w:space="0" w:color="auto"/>
            </w:tcBorders>
            <w:shd w:val="clear" w:color="000000" w:fill="FFFFFF"/>
            <w:noWrap/>
            <w:vAlign w:val="center"/>
            <w:hideMark/>
          </w:tcPr>
          <w:p w:rsidR="00D60155" w:rsidRPr="007B77C6" w:rsidRDefault="00D60155" w:rsidP="009D0BFA">
            <w:pPr>
              <w:spacing w:after="0" w:line="240" w:lineRule="auto"/>
              <w:jc w:val="center"/>
              <w:rPr>
                <w:rFonts w:ascii="Arial" w:eastAsia="Times New Roman" w:hAnsi="Arial" w:cs="Arial"/>
                <w:b/>
                <w:color w:val="403151"/>
                <w:sz w:val="20"/>
                <w:szCs w:val="20"/>
              </w:rPr>
            </w:pPr>
            <w:r w:rsidRPr="007B77C6">
              <w:rPr>
                <w:rFonts w:ascii="Arial" w:eastAsia="Times New Roman" w:hAnsi="Arial" w:cs="Arial"/>
                <w:b/>
                <w:color w:val="403151"/>
                <w:sz w:val="20"/>
                <w:szCs w:val="20"/>
              </w:rPr>
              <w:t>6</w:t>
            </w:r>
          </w:p>
        </w:tc>
        <w:tc>
          <w:tcPr>
            <w:tcW w:w="992" w:type="dxa"/>
            <w:tcBorders>
              <w:top w:val="nil"/>
              <w:left w:val="nil"/>
              <w:bottom w:val="single" w:sz="4" w:space="0" w:color="auto"/>
              <w:right w:val="single" w:sz="4" w:space="0" w:color="auto"/>
            </w:tcBorders>
            <w:shd w:val="clear" w:color="auto" w:fill="auto"/>
            <w:noWrap/>
            <w:vAlign w:val="bottom"/>
            <w:hideMark/>
          </w:tcPr>
          <w:p w:rsidR="00D60155" w:rsidRPr="007B77C6" w:rsidRDefault="00D60155" w:rsidP="009D0BFA">
            <w:pPr>
              <w:spacing w:after="0" w:line="240" w:lineRule="auto"/>
              <w:jc w:val="center"/>
              <w:rPr>
                <w:rFonts w:ascii="Arial" w:eastAsia="Times New Roman" w:hAnsi="Arial" w:cs="Arial"/>
                <w:b/>
                <w:color w:val="403151"/>
                <w:sz w:val="20"/>
                <w:szCs w:val="20"/>
              </w:rPr>
            </w:pPr>
            <w:r w:rsidRPr="007B77C6">
              <w:rPr>
                <w:rFonts w:ascii="Arial" w:eastAsia="Times New Roman" w:hAnsi="Arial" w:cs="Arial"/>
                <w:b/>
                <w:color w:val="403151"/>
                <w:sz w:val="20"/>
                <w:szCs w:val="20"/>
              </w:rPr>
              <w:t>45</w:t>
            </w:r>
          </w:p>
        </w:tc>
        <w:tc>
          <w:tcPr>
            <w:tcW w:w="1016" w:type="dxa"/>
            <w:tcBorders>
              <w:top w:val="nil"/>
              <w:left w:val="nil"/>
              <w:bottom w:val="single" w:sz="4" w:space="0" w:color="auto"/>
              <w:right w:val="nil"/>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3</w:t>
            </w:r>
          </w:p>
        </w:tc>
        <w:tc>
          <w:tcPr>
            <w:tcW w:w="1127" w:type="dxa"/>
            <w:tcBorders>
              <w:top w:val="nil"/>
              <w:left w:val="single" w:sz="4" w:space="0" w:color="auto"/>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37</w:t>
            </w:r>
          </w:p>
        </w:tc>
        <w:tc>
          <w:tcPr>
            <w:tcW w:w="1183" w:type="dxa"/>
            <w:tcBorders>
              <w:top w:val="nil"/>
              <w:left w:val="nil"/>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88%</w:t>
            </w:r>
          </w:p>
        </w:tc>
        <w:tc>
          <w:tcPr>
            <w:tcW w:w="1176" w:type="dxa"/>
            <w:tcBorders>
              <w:top w:val="nil"/>
              <w:left w:val="nil"/>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34</w:t>
            </w:r>
          </w:p>
        </w:tc>
        <w:tc>
          <w:tcPr>
            <w:tcW w:w="708" w:type="dxa"/>
            <w:tcBorders>
              <w:top w:val="nil"/>
              <w:left w:val="nil"/>
              <w:bottom w:val="single" w:sz="4" w:space="0" w:color="auto"/>
              <w:right w:val="nil"/>
            </w:tcBorders>
            <w:shd w:val="clear" w:color="000000" w:fill="FFFFFF"/>
            <w:noWrap/>
            <w:vAlign w:val="bottom"/>
            <w:hideMark/>
          </w:tcPr>
          <w:p w:rsidR="00D60155" w:rsidRPr="007B77C6" w:rsidRDefault="00D60155" w:rsidP="009D0BFA">
            <w:pPr>
              <w:spacing w:after="0" w:line="240" w:lineRule="auto"/>
              <w:jc w:val="right"/>
              <w:rPr>
                <w:rFonts w:eastAsia="Times New Roman" w:cs="Arial"/>
                <w:color w:val="403151"/>
              </w:rPr>
            </w:pPr>
            <w:r w:rsidRPr="007B77C6">
              <w:rPr>
                <w:rFonts w:eastAsia="Times New Roman" w:cs="Arial"/>
                <w:color w:val="403151"/>
              </w:rPr>
              <w:t>92%</w:t>
            </w:r>
          </w:p>
        </w:tc>
        <w:tc>
          <w:tcPr>
            <w:tcW w:w="636" w:type="dxa"/>
            <w:tcBorders>
              <w:top w:val="nil"/>
              <w:left w:val="nil"/>
              <w:bottom w:val="single" w:sz="4" w:space="0" w:color="auto"/>
              <w:right w:val="single" w:sz="4" w:space="0" w:color="auto"/>
            </w:tcBorders>
            <w:shd w:val="clear" w:color="auto" w:fill="auto"/>
            <w:noWrap/>
            <w:vAlign w:val="bottom"/>
            <w:hideMark/>
          </w:tcPr>
          <w:p w:rsidR="00D60155" w:rsidRPr="007B77C6" w:rsidRDefault="00D60155" w:rsidP="009D0BFA">
            <w:pPr>
              <w:spacing w:after="0" w:line="240" w:lineRule="auto"/>
              <w:rPr>
                <w:rFonts w:ascii="Arial" w:eastAsia="Times New Roman" w:hAnsi="Arial" w:cs="Arial"/>
                <w:sz w:val="20"/>
                <w:szCs w:val="20"/>
              </w:rPr>
            </w:pPr>
            <w:r w:rsidRPr="007B77C6">
              <w:rPr>
                <w:rFonts w:ascii="Arial" w:eastAsia="Times New Roman" w:hAnsi="Arial" w:cs="Arial"/>
                <w:sz w:val="20"/>
                <w:szCs w:val="20"/>
              </w:rPr>
              <w:t> </w:t>
            </w:r>
          </w:p>
        </w:tc>
      </w:tr>
      <w:tr w:rsidR="00D60155" w:rsidRPr="007B77C6" w:rsidTr="009D0BFA">
        <w:trPr>
          <w:trHeight w:val="300"/>
        </w:trPr>
        <w:tc>
          <w:tcPr>
            <w:tcW w:w="789" w:type="dxa"/>
            <w:tcBorders>
              <w:top w:val="nil"/>
              <w:left w:val="single" w:sz="4" w:space="0" w:color="auto"/>
              <w:bottom w:val="single" w:sz="4" w:space="0" w:color="auto"/>
              <w:right w:val="single" w:sz="4" w:space="0" w:color="auto"/>
            </w:tcBorders>
            <w:shd w:val="clear" w:color="000000" w:fill="FFFFFF"/>
            <w:noWrap/>
            <w:vAlign w:val="center"/>
            <w:hideMark/>
          </w:tcPr>
          <w:p w:rsidR="00D60155" w:rsidRPr="007B77C6" w:rsidRDefault="00D60155" w:rsidP="009D0BFA">
            <w:pPr>
              <w:spacing w:after="0" w:line="240" w:lineRule="auto"/>
              <w:jc w:val="center"/>
              <w:rPr>
                <w:rFonts w:ascii="Arial" w:eastAsia="Times New Roman" w:hAnsi="Arial" w:cs="Arial"/>
                <w:b/>
                <w:color w:val="403151"/>
                <w:sz w:val="20"/>
                <w:szCs w:val="20"/>
              </w:rPr>
            </w:pPr>
            <w:r w:rsidRPr="007B77C6">
              <w:rPr>
                <w:rFonts w:ascii="Arial" w:eastAsia="Times New Roman" w:hAnsi="Arial" w:cs="Arial"/>
                <w:b/>
                <w:color w:val="403151"/>
                <w:sz w:val="20"/>
                <w:szCs w:val="20"/>
              </w:rPr>
              <w:t>7</w:t>
            </w:r>
          </w:p>
        </w:tc>
        <w:tc>
          <w:tcPr>
            <w:tcW w:w="992" w:type="dxa"/>
            <w:tcBorders>
              <w:top w:val="nil"/>
              <w:left w:val="nil"/>
              <w:bottom w:val="single" w:sz="4" w:space="0" w:color="auto"/>
              <w:right w:val="single" w:sz="4" w:space="0" w:color="auto"/>
            </w:tcBorders>
            <w:shd w:val="clear" w:color="auto" w:fill="auto"/>
            <w:noWrap/>
            <w:vAlign w:val="bottom"/>
            <w:hideMark/>
          </w:tcPr>
          <w:p w:rsidR="00D60155" w:rsidRPr="007B77C6" w:rsidRDefault="00D60155" w:rsidP="009D0BFA">
            <w:pPr>
              <w:spacing w:after="0" w:line="240" w:lineRule="auto"/>
              <w:jc w:val="center"/>
              <w:rPr>
                <w:rFonts w:ascii="Arial" w:eastAsia="Times New Roman" w:hAnsi="Arial" w:cs="Arial"/>
                <w:b/>
                <w:color w:val="403151"/>
                <w:sz w:val="20"/>
                <w:szCs w:val="20"/>
              </w:rPr>
            </w:pPr>
            <w:r w:rsidRPr="007B77C6">
              <w:rPr>
                <w:rFonts w:ascii="Arial" w:eastAsia="Times New Roman" w:hAnsi="Arial" w:cs="Arial"/>
                <w:b/>
                <w:color w:val="403151"/>
                <w:sz w:val="20"/>
                <w:szCs w:val="20"/>
              </w:rPr>
              <w:t>89</w:t>
            </w:r>
          </w:p>
        </w:tc>
        <w:tc>
          <w:tcPr>
            <w:tcW w:w="1016" w:type="dxa"/>
            <w:tcBorders>
              <w:top w:val="nil"/>
              <w:left w:val="nil"/>
              <w:bottom w:val="single" w:sz="4" w:space="0" w:color="auto"/>
              <w:right w:val="nil"/>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12</w:t>
            </w:r>
          </w:p>
        </w:tc>
        <w:tc>
          <w:tcPr>
            <w:tcW w:w="1127" w:type="dxa"/>
            <w:tcBorders>
              <w:top w:val="nil"/>
              <w:left w:val="single" w:sz="4" w:space="0" w:color="auto"/>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75</w:t>
            </w:r>
          </w:p>
        </w:tc>
        <w:tc>
          <w:tcPr>
            <w:tcW w:w="1183" w:type="dxa"/>
            <w:tcBorders>
              <w:top w:val="nil"/>
              <w:left w:val="nil"/>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97%</w:t>
            </w:r>
          </w:p>
        </w:tc>
        <w:tc>
          <w:tcPr>
            <w:tcW w:w="1176" w:type="dxa"/>
            <w:tcBorders>
              <w:top w:val="nil"/>
              <w:left w:val="nil"/>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42</w:t>
            </w:r>
          </w:p>
        </w:tc>
        <w:tc>
          <w:tcPr>
            <w:tcW w:w="708" w:type="dxa"/>
            <w:tcBorders>
              <w:top w:val="nil"/>
              <w:left w:val="nil"/>
              <w:bottom w:val="single" w:sz="4" w:space="0" w:color="auto"/>
              <w:right w:val="nil"/>
            </w:tcBorders>
            <w:shd w:val="clear" w:color="000000" w:fill="FFFFFF"/>
            <w:noWrap/>
            <w:vAlign w:val="bottom"/>
            <w:hideMark/>
          </w:tcPr>
          <w:p w:rsidR="00D60155" w:rsidRPr="007B77C6" w:rsidRDefault="00D60155" w:rsidP="009D0BFA">
            <w:pPr>
              <w:spacing w:after="0" w:line="240" w:lineRule="auto"/>
              <w:jc w:val="right"/>
              <w:rPr>
                <w:rFonts w:eastAsia="Times New Roman" w:cs="Arial"/>
                <w:color w:val="403151"/>
              </w:rPr>
            </w:pPr>
            <w:r w:rsidRPr="007B77C6">
              <w:rPr>
                <w:rFonts w:eastAsia="Times New Roman" w:cs="Arial"/>
                <w:color w:val="403151"/>
              </w:rPr>
              <w:t>56%</w:t>
            </w:r>
          </w:p>
        </w:tc>
        <w:tc>
          <w:tcPr>
            <w:tcW w:w="636" w:type="dxa"/>
            <w:tcBorders>
              <w:top w:val="nil"/>
              <w:left w:val="nil"/>
              <w:bottom w:val="single" w:sz="4" w:space="0" w:color="auto"/>
              <w:right w:val="single" w:sz="4" w:space="0" w:color="auto"/>
            </w:tcBorders>
            <w:shd w:val="clear" w:color="auto" w:fill="auto"/>
            <w:noWrap/>
            <w:vAlign w:val="bottom"/>
            <w:hideMark/>
          </w:tcPr>
          <w:p w:rsidR="00D60155" w:rsidRPr="007B77C6" w:rsidRDefault="00D60155" w:rsidP="009D0BFA">
            <w:pPr>
              <w:spacing w:after="0" w:line="240" w:lineRule="auto"/>
              <w:rPr>
                <w:rFonts w:ascii="Arial" w:eastAsia="Times New Roman" w:hAnsi="Arial" w:cs="Arial"/>
                <w:sz w:val="20"/>
                <w:szCs w:val="20"/>
              </w:rPr>
            </w:pPr>
            <w:r w:rsidRPr="007B77C6">
              <w:rPr>
                <w:rFonts w:ascii="Arial" w:eastAsia="Times New Roman" w:hAnsi="Arial" w:cs="Arial"/>
                <w:sz w:val="20"/>
                <w:szCs w:val="20"/>
              </w:rPr>
              <w:t> </w:t>
            </w:r>
          </w:p>
        </w:tc>
      </w:tr>
      <w:tr w:rsidR="00D60155" w:rsidRPr="007B77C6" w:rsidTr="009D0BFA">
        <w:trPr>
          <w:trHeight w:val="300"/>
        </w:trPr>
        <w:tc>
          <w:tcPr>
            <w:tcW w:w="789" w:type="dxa"/>
            <w:tcBorders>
              <w:top w:val="nil"/>
              <w:left w:val="single" w:sz="4" w:space="0" w:color="auto"/>
              <w:bottom w:val="single" w:sz="4" w:space="0" w:color="auto"/>
              <w:right w:val="single" w:sz="4" w:space="0" w:color="auto"/>
            </w:tcBorders>
            <w:shd w:val="clear" w:color="000000" w:fill="FFFFFF"/>
            <w:noWrap/>
            <w:vAlign w:val="center"/>
            <w:hideMark/>
          </w:tcPr>
          <w:p w:rsidR="00D60155" w:rsidRPr="007B77C6" w:rsidRDefault="00D60155" w:rsidP="009D0BFA">
            <w:pPr>
              <w:spacing w:after="0" w:line="240" w:lineRule="auto"/>
              <w:jc w:val="center"/>
              <w:rPr>
                <w:rFonts w:ascii="Arial" w:eastAsia="Times New Roman" w:hAnsi="Arial" w:cs="Arial"/>
                <w:b/>
                <w:color w:val="403151"/>
                <w:sz w:val="20"/>
                <w:szCs w:val="20"/>
              </w:rPr>
            </w:pPr>
            <w:r w:rsidRPr="007B77C6">
              <w:rPr>
                <w:rFonts w:ascii="Arial" w:eastAsia="Times New Roman" w:hAnsi="Arial" w:cs="Arial"/>
                <w:b/>
                <w:color w:val="403151"/>
                <w:sz w:val="20"/>
                <w:szCs w:val="20"/>
              </w:rPr>
              <w:t>8</w:t>
            </w:r>
          </w:p>
        </w:tc>
        <w:tc>
          <w:tcPr>
            <w:tcW w:w="992" w:type="dxa"/>
            <w:tcBorders>
              <w:top w:val="nil"/>
              <w:left w:val="nil"/>
              <w:bottom w:val="single" w:sz="4" w:space="0" w:color="auto"/>
              <w:right w:val="single" w:sz="4" w:space="0" w:color="auto"/>
            </w:tcBorders>
            <w:shd w:val="clear" w:color="auto" w:fill="auto"/>
            <w:noWrap/>
            <w:vAlign w:val="bottom"/>
            <w:hideMark/>
          </w:tcPr>
          <w:p w:rsidR="00D60155" w:rsidRPr="007B77C6" w:rsidRDefault="00D60155" w:rsidP="009D0BFA">
            <w:pPr>
              <w:spacing w:after="0" w:line="240" w:lineRule="auto"/>
              <w:jc w:val="center"/>
              <w:rPr>
                <w:rFonts w:ascii="Arial" w:eastAsia="Times New Roman" w:hAnsi="Arial" w:cs="Arial"/>
                <w:b/>
                <w:color w:val="403151"/>
                <w:sz w:val="20"/>
                <w:szCs w:val="20"/>
              </w:rPr>
            </w:pPr>
            <w:r w:rsidRPr="007B77C6">
              <w:rPr>
                <w:rFonts w:ascii="Arial" w:eastAsia="Times New Roman" w:hAnsi="Arial" w:cs="Arial"/>
                <w:b/>
                <w:color w:val="403151"/>
                <w:sz w:val="20"/>
                <w:szCs w:val="20"/>
              </w:rPr>
              <w:t>50</w:t>
            </w:r>
          </w:p>
        </w:tc>
        <w:tc>
          <w:tcPr>
            <w:tcW w:w="1016" w:type="dxa"/>
            <w:tcBorders>
              <w:top w:val="nil"/>
              <w:left w:val="nil"/>
              <w:bottom w:val="single" w:sz="4" w:space="0" w:color="auto"/>
              <w:right w:val="nil"/>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8</w:t>
            </w:r>
          </w:p>
        </w:tc>
        <w:tc>
          <w:tcPr>
            <w:tcW w:w="1127" w:type="dxa"/>
            <w:tcBorders>
              <w:top w:val="nil"/>
              <w:left w:val="single" w:sz="4" w:space="0" w:color="auto"/>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38</w:t>
            </w:r>
          </w:p>
        </w:tc>
        <w:tc>
          <w:tcPr>
            <w:tcW w:w="1183" w:type="dxa"/>
            <w:tcBorders>
              <w:top w:val="nil"/>
              <w:left w:val="nil"/>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90%</w:t>
            </w:r>
          </w:p>
        </w:tc>
        <w:tc>
          <w:tcPr>
            <w:tcW w:w="1176" w:type="dxa"/>
            <w:tcBorders>
              <w:top w:val="nil"/>
              <w:left w:val="nil"/>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26</w:t>
            </w:r>
          </w:p>
        </w:tc>
        <w:tc>
          <w:tcPr>
            <w:tcW w:w="708" w:type="dxa"/>
            <w:tcBorders>
              <w:top w:val="nil"/>
              <w:left w:val="nil"/>
              <w:bottom w:val="single" w:sz="4" w:space="0" w:color="auto"/>
              <w:right w:val="nil"/>
            </w:tcBorders>
            <w:shd w:val="clear" w:color="000000" w:fill="FFFFFF"/>
            <w:noWrap/>
            <w:vAlign w:val="bottom"/>
            <w:hideMark/>
          </w:tcPr>
          <w:p w:rsidR="00D60155" w:rsidRPr="007B77C6" w:rsidRDefault="00D60155" w:rsidP="009D0BFA">
            <w:pPr>
              <w:spacing w:after="0" w:line="240" w:lineRule="auto"/>
              <w:jc w:val="right"/>
              <w:rPr>
                <w:rFonts w:eastAsia="Times New Roman" w:cs="Arial"/>
                <w:color w:val="403151"/>
              </w:rPr>
            </w:pPr>
            <w:r w:rsidRPr="007B77C6">
              <w:rPr>
                <w:rFonts w:eastAsia="Times New Roman" w:cs="Arial"/>
                <w:color w:val="403151"/>
              </w:rPr>
              <w:t>68%</w:t>
            </w:r>
          </w:p>
        </w:tc>
        <w:tc>
          <w:tcPr>
            <w:tcW w:w="636" w:type="dxa"/>
            <w:tcBorders>
              <w:top w:val="nil"/>
              <w:left w:val="nil"/>
              <w:bottom w:val="single" w:sz="4" w:space="0" w:color="auto"/>
              <w:right w:val="single" w:sz="4" w:space="0" w:color="auto"/>
            </w:tcBorders>
            <w:shd w:val="clear" w:color="auto" w:fill="auto"/>
            <w:noWrap/>
            <w:vAlign w:val="bottom"/>
            <w:hideMark/>
          </w:tcPr>
          <w:p w:rsidR="00D60155" w:rsidRPr="007B77C6" w:rsidRDefault="00D60155" w:rsidP="009D0BFA">
            <w:pPr>
              <w:spacing w:after="0" w:line="240" w:lineRule="auto"/>
              <w:rPr>
                <w:rFonts w:ascii="Arial" w:eastAsia="Times New Roman" w:hAnsi="Arial" w:cs="Arial"/>
                <w:sz w:val="20"/>
                <w:szCs w:val="20"/>
              </w:rPr>
            </w:pPr>
            <w:r w:rsidRPr="007B77C6">
              <w:rPr>
                <w:rFonts w:ascii="Arial" w:eastAsia="Times New Roman" w:hAnsi="Arial" w:cs="Arial"/>
                <w:sz w:val="20"/>
                <w:szCs w:val="20"/>
              </w:rPr>
              <w:t> </w:t>
            </w:r>
          </w:p>
        </w:tc>
      </w:tr>
      <w:tr w:rsidR="00D60155" w:rsidRPr="007B77C6" w:rsidTr="009D0BFA">
        <w:trPr>
          <w:trHeight w:val="300"/>
        </w:trPr>
        <w:tc>
          <w:tcPr>
            <w:tcW w:w="789" w:type="dxa"/>
            <w:tcBorders>
              <w:top w:val="nil"/>
              <w:left w:val="single" w:sz="4" w:space="0" w:color="auto"/>
              <w:bottom w:val="single" w:sz="4" w:space="0" w:color="auto"/>
              <w:right w:val="single" w:sz="4" w:space="0" w:color="auto"/>
            </w:tcBorders>
            <w:shd w:val="clear" w:color="000000" w:fill="FFFFFF"/>
            <w:noWrap/>
            <w:vAlign w:val="center"/>
            <w:hideMark/>
          </w:tcPr>
          <w:p w:rsidR="00D60155" w:rsidRPr="007B77C6" w:rsidRDefault="00D60155" w:rsidP="009D0BFA">
            <w:pPr>
              <w:spacing w:after="0" w:line="240" w:lineRule="auto"/>
              <w:jc w:val="center"/>
              <w:rPr>
                <w:rFonts w:ascii="Arial" w:eastAsia="Times New Roman" w:hAnsi="Arial" w:cs="Arial"/>
                <w:b/>
                <w:color w:val="403151"/>
                <w:sz w:val="20"/>
                <w:szCs w:val="20"/>
              </w:rPr>
            </w:pPr>
            <w:r w:rsidRPr="007B77C6">
              <w:rPr>
                <w:rFonts w:ascii="Arial" w:eastAsia="Times New Roman" w:hAnsi="Arial" w:cs="Arial"/>
                <w:b/>
                <w:color w:val="403151"/>
                <w:sz w:val="20"/>
                <w:szCs w:val="20"/>
              </w:rPr>
              <w:t>9</w:t>
            </w:r>
          </w:p>
        </w:tc>
        <w:tc>
          <w:tcPr>
            <w:tcW w:w="992" w:type="dxa"/>
            <w:tcBorders>
              <w:top w:val="nil"/>
              <w:left w:val="nil"/>
              <w:bottom w:val="single" w:sz="4" w:space="0" w:color="auto"/>
              <w:right w:val="single" w:sz="4" w:space="0" w:color="auto"/>
            </w:tcBorders>
            <w:shd w:val="clear" w:color="auto" w:fill="auto"/>
            <w:noWrap/>
            <w:vAlign w:val="bottom"/>
            <w:hideMark/>
          </w:tcPr>
          <w:p w:rsidR="00D60155" w:rsidRPr="007B77C6" w:rsidRDefault="00D60155" w:rsidP="009D0BFA">
            <w:pPr>
              <w:spacing w:after="0" w:line="240" w:lineRule="auto"/>
              <w:jc w:val="center"/>
              <w:rPr>
                <w:rFonts w:ascii="Arial" w:eastAsia="Times New Roman" w:hAnsi="Arial" w:cs="Arial"/>
                <w:b/>
                <w:color w:val="403151"/>
                <w:sz w:val="20"/>
                <w:szCs w:val="20"/>
              </w:rPr>
            </w:pPr>
            <w:r w:rsidRPr="007B77C6">
              <w:rPr>
                <w:rFonts w:ascii="Arial" w:eastAsia="Times New Roman" w:hAnsi="Arial" w:cs="Arial"/>
                <w:b/>
                <w:color w:val="403151"/>
                <w:sz w:val="20"/>
                <w:szCs w:val="20"/>
              </w:rPr>
              <w:t>153</w:t>
            </w:r>
          </w:p>
        </w:tc>
        <w:tc>
          <w:tcPr>
            <w:tcW w:w="1016" w:type="dxa"/>
            <w:tcBorders>
              <w:top w:val="nil"/>
              <w:left w:val="nil"/>
              <w:bottom w:val="single" w:sz="4" w:space="0" w:color="auto"/>
              <w:right w:val="nil"/>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13</w:t>
            </w:r>
          </w:p>
        </w:tc>
        <w:tc>
          <w:tcPr>
            <w:tcW w:w="1127" w:type="dxa"/>
            <w:tcBorders>
              <w:top w:val="nil"/>
              <w:left w:val="single" w:sz="4" w:space="0" w:color="auto"/>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122</w:t>
            </w:r>
          </w:p>
        </w:tc>
        <w:tc>
          <w:tcPr>
            <w:tcW w:w="1183" w:type="dxa"/>
            <w:tcBorders>
              <w:top w:val="nil"/>
              <w:left w:val="nil"/>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87%</w:t>
            </w:r>
          </w:p>
        </w:tc>
        <w:tc>
          <w:tcPr>
            <w:tcW w:w="1176" w:type="dxa"/>
            <w:tcBorders>
              <w:top w:val="nil"/>
              <w:left w:val="nil"/>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98</w:t>
            </w:r>
          </w:p>
        </w:tc>
        <w:tc>
          <w:tcPr>
            <w:tcW w:w="708" w:type="dxa"/>
            <w:tcBorders>
              <w:top w:val="nil"/>
              <w:left w:val="nil"/>
              <w:bottom w:val="single" w:sz="4" w:space="0" w:color="auto"/>
              <w:right w:val="nil"/>
            </w:tcBorders>
            <w:shd w:val="clear" w:color="000000" w:fill="FFFFFF"/>
            <w:noWrap/>
            <w:vAlign w:val="bottom"/>
            <w:hideMark/>
          </w:tcPr>
          <w:p w:rsidR="00D60155" w:rsidRPr="007B77C6" w:rsidRDefault="00D60155" w:rsidP="009D0BFA">
            <w:pPr>
              <w:spacing w:after="0" w:line="240" w:lineRule="auto"/>
              <w:jc w:val="right"/>
              <w:rPr>
                <w:rFonts w:eastAsia="Times New Roman" w:cs="Arial"/>
                <w:color w:val="403151"/>
              </w:rPr>
            </w:pPr>
            <w:r w:rsidRPr="007B77C6">
              <w:rPr>
                <w:rFonts w:eastAsia="Times New Roman" w:cs="Arial"/>
                <w:color w:val="403151"/>
              </w:rPr>
              <w:t>80%</w:t>
            </w:r>
          </w:p>
        </w:tc>
        <w:tc>
          <w:tcPr>
            <w:tcW w:w="636" w:type="dxa"/>
            <w:tcBorders>
              <w:top w:val="nil"/>
              <w:left w:val="nil"/>
              <w:bottom w:val="single" w:sz="4" w:space="0" w:color="auto"/>
              <w:right w:val="single" w:sz="4" w:space="0" w:color="auto"/>
            </w:tcBorders>
            <w:shd w:val="clear" w:color="auto" w:fill="auto"/>
            <w:noWrap/>
            <w:vAlign w:val="bottom"/>
            <w:hideMark/>
          </w:tcPr>
          <w:p w:rsidR="00D60155" w:rsidRPr="007B77C6" w:rsidRDefault="00D60155" w:rsidP="009D0BFA">
            <w:pPr>
              <w:spacing w:after="0" w:line="240" w:lineRule="auto"/>
              <w:rPr>
                <w:rFonts w:ascii="Arial" w:eastAsia="Times New Roman" w:hAnsi="Arial" w:cs="Arial"/>
                <w:sz w:val="20"/>
                <w:szCs w:val="20"/>
              </w:rPr>
            </w:pPr>
            <w:r w:rsidRPr="007B77C6">
              <w:rPr>
                <w:rFonts w:ascii="Arial" w:eastAsia="Times New Roman" w:hAnsi="Arial" w:cs="Arial"/>
                <w:sz w:val="20"/>
                <w:szCs w:val="20"/>
              </w:rPr>
              <w:t> </w:t>
            </w:r>
          </w:p>
        </w:tc>
      </w:tr>
      <w:tr w:rsidR="00D60155" w:rsidRPr="007B77C6" w:rsidTr="009D0BFA">
        <w:trPr>
          <w:trHeight w:val="300"/>
        </w:trPr>
        <w:tc>
          <w:tcPr>
            <w:tcW w:w="789" w:type="dxa"/>
            <w:tcBorders>
              <w:top w:val="nil"/>
              <w:left w:val="single" w:sz="4" w:space="0" w:color="auto"/>
              <w:bottom w:val="single" w:sz="4" w:space="0" w:color="auto"/>
              <w:right w:val="single" w:sz="4" w:space="0" w:color="auto"/>
            </w:tcBorders>
            <w:shd w:val="clear" w:color="000000" w:fill="FFFFFF"/>
            <w:noWrap/>
            <w:vAlign w:val="center"/>
            <w:hideMark/>
          </w:tcPr>
          <w:p w:rsidR="00D60155" w:rsidRPr="007B77C6" w:rsidRDefault="00D60155" w:rsidP="009D0BFA">
            <w:pPr>
              <w:spacing w:after="0" w:line="240" w:lineRule="auto"/>
              <w:jc w:val="center"/>
              <w:rPr>
                <w:rFonts w:ascii="Arial" w:eastAsia="Times New Roman" w:hAnsi="Arial" w:cs="Arial"/>
                <w:b/>
                <w:color w:val="403151"/>
                <w:sz w:val="20"/>
                <w:szCs w:val="20"/>
              </w:rPr>
            </w:pPr>
            <w:r w:rsidRPr="007B77C6">
              <w:rPr>
                <w:rFonts w:ascii="Arial" w:eastAsia="Times New Roman" w:hAnsi="Arial" w:cs="Arial"/>
                <w:b/>
                <w:color w:val="403151"/>
                <w:sz w:val="20"/>
                <w:szCs w:val="20"/>
              </w:rPr>
              <w:t>10</w:t>
            </w:r>
          </w:p>
        </w:tc>
        <w:tc>
          <w:tcPr>
            <w:tcW w:w="992" w:type="dxa"/>
            <w:tcBorders>
              <w:top w:val="nil"/>
              <w:left w:val="nil"/>
              <w:bottom w:val="single" w:sz="4" w:space="0" w:color="auto"/>
              <w:right w:val="single" w:sz="4" w:space="0" w:color="auto"/>
            </w:tcBorders>
            <w:shd w:val="clear" w:color="auto" w:fill="auto"/>
            <w:noWrap/>
            <w:vAlign w:val="bottom"/>
            <w:hideMark/>
          </w:tcPr>
          <w:p w:rsidR="00D60155" w:rsidRPr="007B77C6" w:rsidRDefault="00D60155" w:rsidP="009D0BFA">
            <w:pPr>
              <w:spacing w:after="0" w:line="240" w:lineRule="auto"/>
              <w:jc w:val="center"/>
              <w:rPr>
                <w:rFonts w:ascii="Arial" w:eastAsia="Times New Roman" w:hAnsi="Arial" w:cs="Arial"/>
                <w:b/>
                <w:color w:val="403151"/>
                <w:sz w:val="20"/>
                <w:szCs w:val="20"/>
              </w:rPr>
            </w:pPr>
            <w:r w:rsidRPr="007B77C6">
              <w:rPr>
                <w:rFonts w:ascii="Arial" w:eastAsia="Times New Roman" w:hAnsi="Arial" w:cs="Arial"/>
                <w:b/>
                <w:color w:val="403151"/>
                <w:sz w:val="20"/>
                <w:szCs w:val="20"/>
              </w:rPr>
              <w:t>6</w:t>
            </w:r>
          </w:p>
        </w:tc>
        <w:tc>
          <w:tcPr>
            <w:tcW w:w="1016" w:type="dxa"/>
            <w:tcBorders>
              <w:top w:val="nil"/>
              <w:left w:val="nil"/>
              <w:bottom w:val="single" w:sz="4" w:space="0" w:color="auto"/>
              <w:right w:val="nil"/>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0</w:t>
            </w:r>
          </w:p>
        </w:tc>
        <w:tc>
          <w:tcPr>
            <w:tcW w:w="1127" w:type="dxa"/>
            <w:tcBorders>
              <w:top w:val="nil"/>
              <w:left w:val="single" w:sz="4" w:space="0" w:color="auto"/>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6</w:t>
            </w:r>
          </w:p>
        </w:tc>
        <w:tc>
          <w:tcPr>
            <w:tcW w:w="1183" w:type="dxa"/>
            <w:tcBorders>
              <w:top w:val="nil"/>
              <w:left w:val="nil"/>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100%</w:t>
            </w:r>
          </w:p>
        </w:tc>
        <w:tc>
          <w:tcPr>
            <w:tcW w:w="1176" w:type="dxa"/>
            <w:tcBorders>
              <w:top w:val="nil"/>
              <w:left w:val="nil"/>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6</w:t>
            </w:r>
          </w:p>
        </w:tc>
        <w:tc>
          <w:tcPr>
            <w:tcW w:w="708" w:type="dxa"/>
            <w:tcBorders>
              <w:top w:val="nil"/>
              <w:left w:val="nil"/>
              <w:bottom w:val="single" w:sz="4" w:space="0" w:color="auto"/>
              <w:right w:val="nil"/>
            </w:tcBorders>
            <w:shd w:val="clear" w:color="000000" w:fill="FFFFFF"/>
            <w:noWrap/>
            <w:vAlign w:val="bottom"/>
            <w:hideMark/>
          </w:tcPr>
          <w:p w:rsidR="00D60155" w:rsidRPr="007B77C6" w:rsidRDefault="00D60155" w:rsidP="009D0BFA">
            <w:pPr>
              <w:spacing w:after="0" w:line="240" w:lineRule="auto"/>
              <w:jc w:val="right"/>
              <w:rPr>
                <w:rFonts w:eastAsia="Times New Roman" w:cs="Arial"/>
                <w:color w:val="403151"/>
              </w:rPr>
            </w:pPr>
            <w:r w:rsidRPr="007B77C6">
              <w:rPr>
                <w:rFonts w:eastAsia="Times New Roman" w:cs="Arial"/>
                <w:color w:val="403151"/>
              </w:rPr>
              <w:t>100%</w:t>
            </w:r>
          </w:p>
        </w:tc>
        <w:tc>
          <w:tcPr>
            <w:tcW w:w="636" w:type="dxa"/>
            <w:tcBorders>
              <w:top w:val="nil"/>
              <w:left w:val="nil"/>
              <w:bottom w:val="single" w:sz="4" w:space="0" w:color="auto"/>
              <w:right w:val="single" w:sz="4" w:space="0" w:color="auto"/>
            </w:tcBorders>
            <w:shd w:val="clear" w:color="auto" w:fill="auto"/>
            <w:noWrap/>
            <w:vAlign w:val="bottom"/>
            <w:hideMark/>
          </w:tcPr>
          <w:p w:rsidR="00D60155" w:rsidRPr="007B77C6" w:rsidRDefault="00D60155" w:rsidP="009D0BFA">
            <w:pPr>
              <w:spacing w:after="0" w:line="240" w:lineRule="auto"/>
              <w:rPr>
                <w:rFonts w:ascii="Arial" w:eastAsia="Times New Roman" w:hAnsi="Arial" w:cs="Arial"/>
                <w:sz w:val="20"/>
                <w:szCs w:val="20"/>
              </w:rPr>
            </w:pPr>
            <w:r w:rsidRPr="007B77C6">
              <w:rPr>
                <w:rFonts w:ascii="Arial" w:eastAsia="Times New Roman" w:hAnsi="Arial" w:cs="Arial"/>
                <w:sz w:val="20"/>
                <w:szCs w:val="20"/>
              </w:rPr>
              <w:t> </w:t>
            </w:r>
          </w:p>
        </w:tc>
      </w:tr>
      <w:tr w:rsidR="00D60155" w:rsidRPr="007B77C6" w:rsidTr="009D0BFA">
        <w:trPr>
          <w:trHeight w:val="300"/>
        </w:trPr>
        <w:tc>
          <w:tcPr>
            <w:tcW w:w="789" w:type="dxa"/>
            <w:tcBorders>
              <w:top w:val="nil"/>
              <w:left w:val="single" w:sz="4" w:space="0" w:color="auto"/>
              <w:bottom w:val="single" w:sz="4" w:space="0" w:color="auto"/>
              <w:right w:val="single" w:sz="4" w:space="0" w:color="auto"/>
            </w:tcBorders>
            <w:shd w:val="clear" w:color="000000" w:fill="FFFFFF"/>
            <w:noWrap/>
            <w:vAlign w:val="center"/>
            <w:hideMark/>
          </w:tcPr>
          <w:p w:rsidR="00D60155" w:rsidRPr="007B77C6" w:rsidRDefault="00D60155" w:rsidP="009D0BFA">
            <w:pPr>
              <w:spacing w:after="0" w:line="240" w:lineRule="auto"/>
              <w:jc w:val="center"/>
              <w:rPr>
                <w:rFonts w:ascii="Arial" w:eastAsia="Times New Roman" w:hAnsi="Arial" w:cs="Arial"/>
                <w:b/>
                <w:color w:val="403151"/>
                <w:sz w:val="20"/>
                <w:szCs w:val="20"/>
              </w:rPr>
            </w:pPr>
            <w:r w:rsidRPr="007B77C6">
              <w:rPr>
                <w:rFonts w:ascii="Arial" w:eastAsia="Times New Roman" w:hAnsi="Arial" w:cs="Arial"/>
                <w:b/>
                <w:color w:val="403151"/>
                <w:sz w:val="20"/>
                <w:szCs w:val="20"/>
              </w:rPr>
              <w:t>11</w:t>
            </w:r>
          </w:p>
        </w:tc>
        <w:tc>
          <w:tcPr>
            <w:tcW w:w="992" w:type="dxa"/>
            <w:tcBorders>
              <w:top w:val="nil"/>
              <w:left w:val="nil"/>
              <w:bottom w:val="single" w:sz="4" w:space="0" w:color="auto"/>
              <w:right w:val="single" w:sz="4" w:space="0" w:color="auto"/>
            </w:tcBorders>
            <w:shd w:val="clear" w:color="auto" w:fill="auto"/>
            <w:noWrap/>
            <w:vAlign w:val="bottom"/>
            <w:hideMark/>
          </w:tcPr>
          <w:p w:rsidR="00D60155" w:rsidRPr="007B77C6" w:rsidRDefault="00D60155" w:rsidP="009D0BFA">
            <w:pPr>
              <w:spacing w:after="0" w:line="240" w:lineRule="auto"/>
              <w:jc w:val="center"/>
              <w:rPr>
                <w:rFonts w:ascii="Arial" w:eastAsia="Times New Roman" w:hAnsi="Arial" w:cs="Arial"/>
                <w:b/>
                <w:color w:val="403151"/>
                <w:sz w:val="20"/>
                <w:szCs w:val="20"/>
              </w:rPr>
            </w:pPr>
            <w:r w:rsidRPr="007B77C6">
              <w:rPr>
                <w:rFonts w:ascii="Arial" w:eastAsia="Times New Roman" w:hAnsi="Arial" w:cs="Arial"/>
                <w:b/>
                <w:color w:val="403151"/>
                <w:sz w:val="20"/>
                <w:szCs w:val="20"/>
              </w:rPr>
              <w:t>22</w:t>
            </w:r>
          </w:p>
        </w:tc>
        <w:tc>
          <w:tcPr>
            <w:tcW w:w="1016" w:type="dxa"/>
            <w:tcBorders>
              <w:top w:val="nil"/>
              <w:left w:val="nil"/>
              <w:bottom w:val="single" w:sz="4" w:space="0" w:color="auto"/>
              <w:right w:val="nil"/>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0</w:t>
            </w:r>
          </w:p>
        </w:tc>
        <w:tc>
          <w:tcPr>
            <w:tcW w:w="1127" w:type="dxa"/>
            <w:tcBorders>
              <w:top w:val="nil"/>
              <w:left w:val="single" w:sz="4" w:space="0" w:color="auto"/>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20</w:t>
            </w:r>
          </w:p>
        </w:tc>
        <w:tc>
          <w:tcPr>
            <w:tcW w:w="1183" w:type="dxa"/>
            <w:tcBorders>
              <w:top w:val="nil"/>
              <w:left w:val="nil"/>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91%</w:t>
            </w:r>
          </w:p>
        </w:tc>
        <w:tc>
          <w:tcPr>
            <w:tcW w:w="1176" w:type="dxa"/>
            <w:tcBorders>
              <w:top w:val="nil"/>
              <w:left w:val="nil"/>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17</w:t>
            </w:r>
          </w:p>
        </w:tc>
        <w:tc>
          <w:tcPr>
            <w:tcW w:w="708" w:type="dxa"/>
            <w:tcBorders>
              <w:top w:val="nil"/>
              <w:left w:val="nil"/>
              <w:bottom w:val="single" w:sz="4" w:space="0" w:color="auto"/>
              <w:right w:val="nil"/>
            </w:tcBorders>
            <w:shd w:val="clear" w:color="000000" w:fill="FFFFFF"/>
            <w:noWrap/>
            <w:vAlign w:val="bottom"/>
            <w:hideMark/>
          </w:tcPr>
          <w:p w:rsidR="00D60155" w:rsidRPr="007B77C6" w:rsidRDefault="00D60155" w:rsidP="009D0BFA">
            <w:pPr>
              <w:spacing w:after="0" w:line="240" w:lineRule="auto"/>
              <w:jc w:val="right"/>
              <w:rPr>
                <w:rFonts w:eastAsia="Times New Roman" w:cs="Arial"/>
                <w:color w:val="403151"/>
              </w:rPr>
            </w:pPr>
            <w:r w:rsidRPr="007B77C6">
              <w:rPr>
                <w:rFonts w:eastAsia="Times New Roman" w:cs="Arial"/>
                <w:color w:val="403151"/>
              </w:rPr>
              <w:t>85%</w:t>
            </w:r>
          </w:p>
        </w:tc>
        <w:tc>
          <w:tcPr>
            <w:tcW w:w="636" w:type="dxa"/>
            <w:tcBorders>
              <w:top w:val="nil"/>
              <w:left w:val="nil"/>
              <w:bottom w:val="single" w:sz="4" w:space="0" w:color="auto"/>
              <w:right w:val="single" w:sz="4" w:space="0" w:color="auto"/>
            </w:tcBorders>
            <w:shd w:val="clear" w:color="auto" w:fill="auto"/>
            <w:noWrap/>
            <w:vAlign w:val="bottom"/>
            <w:hideMark/>
          </w:tcPr>
          <w:p w:rsidR="00D60155" w:rsidRPr="007B77C6" w:rsidRDefault="00D60155" w:rsidP="009D0BFA">
            <w:pPr>
              <w:spacing w:after="0" w:line="240" w:lineRule="auto"/>
              <w:rPr>
                <w:rFonts w:ascii="Arial" w:eastAsia="Times New Roman" w:hAnsi="Arial" w:cs="Arial"/>
                <w:sz w:val="20"/>
                <w:szCs w:val="20"/>
              </w:rPr>
            </w:pPr>
            <w:r w:rsidRPr="007B77C6">
              <w:rPr>
                <w:rFonts w:ascii="Arial" w:eastAsia="Times New Roman" w:hAnsi="Arial" w:cs="Arial"/>
                <w:sz w:val="20"/>
                <w:szCs w:val="20"/>
              </w:rPr>
              <w:t> </w:t>
            </w:r>
          </w:p>
        </w:tc>
      </w:tr>
      <w:tr w:rsidR="00D60155" w:rsidRPr="007B77C6" w:rsidTr="009D0BFA">
        <w:trPr>
          <w:trHeight w:val="300"/>
        </w:trPr>
        <w:tc>
          <w:tcPr>
            <w:tcW w:w="789" w:type="dxa"/>
            <w:tcBorders>
              <w:top w:val="nil"/>
              <w:left w:val="single" w:sz="4" w:space="0" w:color="auto"/>
              <w:bottom w:val="single" w:sz="4" w:space="0" w:color="auto"/>
              <w:right w:val="single" w:sz="4" w:space="0" w:color="auto"/>
            </w:tcBorders>
            <w:shd w:val="clear" w:color="000000" w:fill="FFFFFF"/>
            <w:noWrap/>
            <w:vAlign w:val="center"/>
            <w:hideMark/>
          </w:tcPr>
          <w:p w:rsidR="00D60155" w:rsidRPr="007B77C6" w:rsidRDefault="00D60155" w:rsidP="009D0BFA">
            <w:pPr>
              <w:spacing w:after="0" w:line="240" w:lineRule="auto"/>
              <w:jc w:val="center"/>
              <w:rPr>
                <w:rFonts w:ascii="Arial" w:eastAsia="Times New Roman" w:hAnsi="Arial" w:cs="Arial"/>
                <w:b/>
                <w:color w:val="403151"/>
                <w:sz w:val="20"/>
                <w:szCs w:val="20"/>
              </w:rPr>
            </w:pPr>
            <w:r w:rsidRPr="007B77C6">
              <w:rPr>
                <w:rFonts w:ascii="Arial" w:eastAsia="Times New Roman" w:hAnsi="Arial" w:cs="Arial"/>
                <w:b/>
                <w:color w:val="403151"/>
                <w:sz w:val="20"/>
                <w:szCs w:val="20"/>
              </w:rPr>
              <w:lastRenderedPageBreak/>
              <w:t>12</w:t>
            </w:r>
          </w:p>
        </w:tc>
        <w:tc>
          <w:tcPr>
            <w:tcW w:w="992" w:type="dxa"/>
            <w:tcBorders>
              <w:top w:val="nil"/>
              <w:left w:val="nil"/>
              <w:bottom w:val="single" w:sz="4" w:space="0" w:color="auto"/>
              <w:right w:val="single" w:sz="4" w:space="0" w:color="auto"/>
            </w:tcBorders>
            <w:shd w:val="clear" w:color="auto" w:fill="auto"/>
            <w:noWrap/>
            <w:vAlign w:val="bottom"/>
            <w:hideMark/>
          </w:tcPr>
          <w:p w:rsidR="00D60155" w:rsidRPr="007B77C6" w:rsidRDefault="00D60155" w:rsidP="009D0BFA">
            <w:pPr>
              <w:spacing w:after="0" w:line="240" w:lineRule="auto"/>
              <w:jc w:val="center"/>
              <w:rPr>
                <w:rFonts w:ascii="Arial" w:eastAsia="Times New Roman" w:hAnsi="Arial" w:cs="Arial"/>
                <w:b/>
                <w:color w:val="403151"/>
                <w:sz w:val="20"/>
                <w:szCs w:val="20"/>
              </w:rPr>
            </w:pPr>
            <w:r w:rsidRPr="007B77C6">
              <w:rPr>
                <w:rFonts w:ascii="Arial" w:eastAsia="Times New Roman" w:hAnsi="Arial" w:cs="Arial"/>
                <w:b/>
                <w:color w:val="403151"/>
                <w:sz w:val="20"/>
                <w:szCs w:val="20"/>
              </w:rPr>
              <w:t>105</w:t>
            </w:r>
          </w:p>
        </w:tc>
        <w:tc>
          <w:tcPr>
            <w:tcW w:w="1016" w:type="dxa"/>
            <w:tcBorders>
              <w:top w:val="nil"/>
              <w:left w:val="nil"/>
              <w:bottom w:val="single" w:sz="4" w:space="0" w:color="auto"/>
              <w:right w:val="nil"/>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18</w:t>
            </w:r>
          </w:p>
        </w:tc>
        <w:tc>
          <w:tcPr>
            <w:tcW w:w="1127" w:type="dxa"/>
            <w:tcBorders>
              <w:top w:val="nil"/>
              <w:left w:val="single" w:sz="4" w:space="0" w:color="auto"/>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77</w:t>
            </w:r>
          </w:p>
        </w:tc>
        <w:tc>
          <w:tcPr>
            <w:tcW w:w="1183" w:type="dxa"/>
            <w:tcBorders>
              <w:top w:val="nil"/>
              <w:left w:val="nil"/>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89%</w:t>
            </w:r>
          </w:p>
        </w:tc>
        <w:tc>
          <w:tcPr>
            <w:tcW w:w="1176" w:type="dxa"/>
            <w:tcBorders>
              <w:top w:val="nil"/>
              <w:left w:val="nil"/>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36</w:t>
            </w:r>
          </w:p>
        </w:tc>
        <w:tc>
          <w:tcPr>
            <w:tcW w:w="708" w:type="dxa"/>
            <w:tcBorders>
              <w:top w:val="nil"/>
              <w:left w:val="nil"/>
              <w:bottom w:val="single" w:sz="4" w:space="0" w:color="auto"/>
              <w:right w:val="nil"/>
            </w:tcBorders>
            <w:shd w:val="clear" w:color="000000" w:fill="FFFFFF"/>
            <w:noWrap/>
            <w:vAlign w:val="bottom"/>
            <w:hideMark/>
          </w:tcPr>
          <w:p w:rsidR="00D60155" w:rsidRPr="007B77C6" w:rsidRDefault="00D60155" w:rsidP="009D0BFA">
            <w:pPr>
              <w:spacing w:after="0" w:line="240" w:lineRule="auto"/>
              <w:jc w:val="right"/>
              <w:rPr>
                <w:rFonts w:eastAsia="Times New Roman" w:cs="Arial"/>
                <w:color w:val="403151"/>
              </w:rPr>
            </w:pPr>
            <w:r w:rsidRPr="007B77C6">
              <w:rPr>
                <w:rFonts w:eastAsia="Times New Roman" w:cs="Arial"/>
                <w:color w:val="403151"/>
              </w:rPr>
              <w:t>47%</w:t>
            </w:r>
          </w:p>
        </w:tc>
        <w:tc>
          <w:tcPr>
            <w:tcW w:w="636" w:type="dxa"/>
            <w:tcBorders>
              <w:top w:val="nil"/>
              <w:left w:val="nil"/>
              <w:bottom w:val="single" w:sz="4" w:space="0" w:color="auto"/>
              <w:right w:val="single" w:sz="4" w:space="0" w:color="auto"/>
            </w:tcBorders>
            <w:shd w:val="clear" w:color="auto" w:fill="auto"/>
            <w:noWrap/>
            <w:vAlign w:val="bottom"/>
            <w:hideMark/>
          </w:tcPr>
          <w:p w:rsidR="00D60155" w:rsidRPr="007B77C6" w:rsidRDefault="00D60155" w:rsidP="009D0BFA">
            <w:pPr>
              <w:spacing w:after="0" w:line="240" w:lineRule="auto"/>
              <w:rPr>
                <w:rFonts w:ascii="Arial" w:eastAsia="Times New Roman" w:hAnsi="Arial" w:cs="Arial"/>
                <w:sz w:val="20"/>
                <w:szCs w:val="20"/>
              </w:rPr>
            </w:pPr>
            <w:r w:rsidRPr="007B77C6">
              <w:rPr>
                <w:rFonts w:ascii="Arial" w:eastAsia="Times New Roman" w:hAnsi="Arial" w:cs="Arial"/>
                <w:sz w:val="20"/>
                <w:szCs w:val="20"/>
              </w:rPr>
              <w:t> </w:t>
            </w:r>
          </w:p>
        </w:tc>
      </w:tr>
      <w:tr w:rsidR="00D60155" w:rsidRPr="007B77C6" w:rsidTr="009D0BFA">
        <w:trPr>
          <w:trHeight w:val="300"/>
        </w:trPr>
        <w:tc>
          <w:tcPr>
            <w:tcW w:w="789" w:type="dxa"/>
            <w:tcBorders>
              <w:top w:val="nil"/>
              <w:left w:val="single" w:sz="4" w:space="0" w:color="auto"/>
              <w:bottom w:val="single" w:sz="4" w:space="0" w:color="auto"/>
              <w:right w:val="single" w:sz="4" w:space="0" w:color="auto"/>
            </w:tcBorders>
            <w:shd w:val="clear" w:color="000000" w:fill="FFFFFF"/>
            <w:noWrap/>
            <w:vAlign w:val="center"/>
            <w:hideMark/>
          </w:tcPr>
          <w:p w:rsidR="00D60155" w:rsidRPr="007B77C6" w:rsidRDefault="00D60155" w:rsidP="009D0BFA">
            <w:pPr>
              <w:spacing w:after="0" w:line="240" w:lineRule="auto"/>
              <w:jc w:val="center"/>
              <w:rPr>
                <w:rFonts w:ascii="Arial" w:eastAsia="Times New Roman" w:hAnsi="Arial" w:cs="Arial"/>
                <w:b/>
                <w:color w:val="403151"/>
                <w:sz w:val="20"/>
                <w:szCs w:val="20"/>
              </w:rPr>
            </w:pPr>
            <w:r w:rsidRPr="007B77C6">
              <w:rPr>
                <w:rFonts w:ascii="Arial" w:eastAsia="Times New Roman" w:hAnsi="Arial" w:cs="Arial"/>
                <w:b/>
                <w:color w:val="403151"/>
                <w:sz w:val="20"/>
                <w:szCs w:val="20"/>
              </w:rPr>
              <w:t>DOC</w:t>
            </w:r>
          </w:p>
        </w:tc>
        <w:tc>
          <w:tcPr>
            <w:tcW w:w="992" w:type="dxa"/>
            <w:tcBorders>
              <w:top w:val="nil"/>
              <w:left w:val="nil"/>
              <w:bottom w:val="nil"/>
              <w:right w:val="single" w:sz="4" w:space="0" w:color="auto"/>
            </w:tcBorders>
            <w:shd w:val="clear" w:color="auto" w:fill="auto"/>
            <w:noWrap/>
            <w:vAlign w:val="bottom"/>
            <w:hideMark/>
          </w:tcPr>
          <w:p w:rsidR="00D60155" w:rsidRPr="007B77C6" w:rsidRDefault="00D60155" w:rsidP="009D0BFA">
            <w:pPr>
              <w:spacing w:after="0" w:line="240" w:lineRule="auto"/>
              <w:jc w:val="center"/>
              <w:rPr>
                <w:rFonts w:ascii="Arial" w:eastAsia="Times New Roman" w:hAnsi="Arial" w:cs="Arial"/>
                <w:b/>
                <w:color w:val="403151"/>
                <w:sz w:val="20"/>
                <w:szCs w:val="20"/>
              </w:rPr>
            </w:pPr>
            <w:r w:rsidRPr="007B77C6">
              <w:rPr>
                <w:rFonts w:ascii="Arial" w:eastAsia="Times New Roman" w:hAnsi="Arial" w:cs="Arial"/>
                <w:b/>
                <w:color w:val="403151"/>
                <w:sz w:val="20"/>
                <w:szCs w:val="20"/>
              </w:rPr>
              <w:t>203</w:t>
            </w:r>
          </w:p>
        </w:tc>
        <w:tc>
          <w:tcPr>
            <w:tcW w:w="1016" w:type="dxa"/>
            <w:tcBorders>
              <w:top w:val="nil"/>
              <w:left w:val="nil"/>
              <w:bottom w:val="single" w:sz="4" w:space="0" w:color="auto"/>
              <w:right w:val="nil"/>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10</w:t>
            </w:r>
          </w:p>
        </w:tc>
        <w:tc>
          <w:tcPr>
            <w:tcW w:w="1127" w:type="dxa"/>
            <w:tcBorders>
              <w:top w:val="nil"/>
              <w:left w:val="single" w:sz="4" w:space="0" w:color="auto"/>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178</w:t>
            </w:r>
          </w:p>
        </w:tc>
        <w:tc>
          <w:tcPr>
            <w:tcW w:w="1183" w:type="dxa"/>
            <w:tcBorders>
              <w:top w:val="nil"/>
              <w:left w:val="nil"/>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92%</w:t>
            </w:r>
          </w:p>
        </w:tc>
        <w:tc>
          <w:tcPr>
            <w:tcW w:w="1176" w:type="dxa"/>
            <w:tcBorders>
              <w:top w:val="nil"/>
              <w:left w:val="nil"/>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178</w:t>
            </w:r>
          </w:p>
        </w:tc>
        <w:tc>
          <w:tcPr>
            <w:tcW w:w="708" w:type="dxa"/>
            <w:tcBorders>
              <w:top w:val="nil"/>
              <w:left w:val="nil"/>
              <w:bottom w:val="single" w:sz="4" w:space="0" w:color="auto"/>
              <w:right w:val="nil"/>
            </w:tcBorders>
            <w:shd w:val="clear" w:color="000000" w:fill="FFFFFF"/>
            <w:noWrap/>
            <w:vAlign w:val="bottom"/>
            <w:hideMark/>
          </w:tcPr>
          <w:p w:rsidR="00D60155" w:rsidRPr="007B77C6" w:rsidRDefault="00D60155" w:rsidP="009D0BFA">
            <w:pPr>
              <w:spacing w:after="0" w:line="240" w:lineRule="auto"/>
              <w:jc w:val="right"/>
              <w:rPr>
                <w:rFonts w:eastAsia="Times New Roman" w:cs="Arial"/>
                <w:color w:val="403151"/>
              </w:rPr>
            </w:pPr>
            <w:r w:rsidRPr="007B77C6">
              <w:rPr>
                <w:rFonts w:eastAsia="Times New Roman" w:cs="Arial"/>
                <w:color w:val="403151"/>
              </w:rPr>
              <w:t>100%</w:t>
            </w:r>
          </w:p>
        </w:tc>
        <w:tc>
          <w:tcPr>
            <w:tcW w:w="636" w:type="dxa"/>
            <w:tcBorders>
              <w:top w:val="nil"/>
              <w:left w:val="nil"/>
              <w:bottom w:val="single" w:sz="4" w:space="0" w:color="auto"/>
              <w:right w:val="single" w:sz="4" w:space="0" w:color="auto"/>
            </w:tcBorders>
            <w:shd w:val="clear" w:color="auto" w:fill="auto"/>
            <w:noWrap/>
            <w:vAlign w:val="bottom"/>
            <w:hideMark/>
          </w:tcPr>
          <w:p w:rsidR="00D60155" w:rsidRPr="007B77C6" w:rsidRDefault="00D60155" w:rsidP="009D0BFA">
            <w:pPr>
              <w:spacing w:after="0" w:line="240" w:lineRule="auto"/>
              <w:rPr>
                <w:rFonts w:ascii="Arial" w:eastAsia="Times New Roman" w:hAnsi="Arial" w:cs="Arial"/>
                <w:sz w:val="20"/>
                <w:szCs w:val="20"/>
              </w:rPr>
            </w:pPr>
            <w:r w:rsidRPr="007B77C6">
              <w:rPr>
                <w:rFonts w:ascii="Arial" w:eastAsia="Times New Roman" w:hAnsi="Arial" w:cs="Arial"/>
                <w:sz w:val="20"/>
                <w:szCs w:val="20"/>
              </w:rPr>
              <w:t> </w:t>
            </w:r>
          </w:p>
        </w:tc>
      </w:tr>
      <w:tr w:rsidR="00D60155" w:rsidRPr="007B77C6" w:rsidTr="009D0BFA">
        <w:trPr>
          <w:trHeight w:val="300"/>
        </w:trPr>
        <w:tc>
          <w:tcPr>
            <w:tcW w:w="789" w:type="dxa"/>
            <w:tcBorders>
              <w:top w:val="nil"/>
              <w:left w:val="single" w:sz="4" w:space="0" w:color="auto"/>
              <w:bottom w:val="single" w:sz="4" w:space="0" w:color="auto"/>
              <w:right w:val="single" w:sz="4" w:space="0" w:color="auto"/>
            </w:tcBorders>
            <w:shd w:val="clear" w:color="000000" w:fill="FFFFFF"/>
            <w:noWrap/>
            <w:vAlign w:val="center"/>
            <w:hideMark/>
          </w:tcPr>
          <w:p w:rsidR="00D60155" w:rsidRPr="007B77C6" w:rsidRDefault="00D60155" w:rsidP="009D0BFA">
            <w:pPr>
              <w:spacing w:after="0" w:line="240" w:lineRule="auto"/>
              <w:jc w:val="center"/>
              <w:rPr>
                <w:rFonts w:eastAsia="Times New Roman" w:cs="Arial"/>
                <w:b/>
                <w:bCs/>
                <w:color w:val="403151"/>
              </w:rPr>
            </w:pPr>
            <w:r w:rsidRPr="007B77C6">
              <w:rPr>
                <w:rFonts w:eastAsia="Times New Roman" w:cs="Arial"/>
                <w:b/>
                <w:bCs/>
                <w:color w:val="403151"/>
              </w:rPr>
              <w:t>Total</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b/>
                <w:color w:val="403151"/>
              </w:rPr>
            </w:pPr>
            <w:r w:rsidRPr="007B77C6">
              <w:rPr>
                <w:rFonts w:eastAsia="Times New Roman" w:cs="Arial"/>
                <w:b/>
                <w:color w:val="403151"/>
              </w:rPr>
              <w:t>1101</w:t>
            </w:r>
          </w:p>
        </w:tc>
        <w:tc>
          <w:tcPr>
            <w:tcW w:w="1016" w:type="dxa"/>
            <w:tcBorders>
              <w:top w:val="nil"/>
              <w:left w:val="nil"/>
              <w:bottom w:val="single" w:sz="4" w:space="0" w:color="auto"/>
              <w:right w:val="nil"/>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115</w:t>
            </w:r>
          </w:p>
        </w:tc>
        <w:tc>
          <w:tcPr>
            <w:tcW w:w="1127" w:type="dxa"/>
            <w:tcBorders>
              <w:top w:val="nil"/>
              <w:left w:val="single" w:sz="4" w:space="0" w:color="auto"/>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877</w:t>
            </w:r>
          </w:p>
        </w:tc>
        <w:tc>
          <w:tcPr>
            <w:tcW w:w="1183" w:type="dxa"/>
            <w:tcBorders>
              <w:top w:val="nil"/>
              <w:left w:val="nil"/>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89%</w:t>
            </w:r>
          </w:p>
        </w:tc>
        <w:tc>
          <w:tcPr>
            <w:tcW w:w="1176" w:type="dxa"/>
            <w:tcBorders>
              <w:top w:val="nil"/>
              <w:left w:val="nil"/>
              <w:bottom w:val="single" w:sz="4" w:space="0" w:color="auto"/>
              <w:right w:val="single" w:sz="4" w:space="0" w:color="auto"/>
            </w:tcBorders>
            <w:shd w:val="clear" w:color="000000" w:fill="FFFFFF"/>
            <w:noWrap/>
            <w:vAlign w:val="bottom"/>
            <w:hideMark/>
          </w:tcPr>
          <w:p w:rsidR="00D60155" w:rsidRPr="007B77C6" w:rsidRDefault="00D60155" w:rsidP="009D0BFA">
            <w:pPr>
              <w:spacing w:after="0" w:line="240" w:lineRule="auto"/>
              <w:jc w:val="center"/>
              <w:rPr>
                <w:rFonts w:eastAsia="Times New Roman" w:cs="Arial"/>
                <w:color w:val="403151"/>
              </w:rPr>
            </w:pPr>
            <w:r w:rsidRPr="007B77C6">
              <w:rPr>
                <w:rFonts w:eastAsia="Times New Roman" w:cs="Arial"/>
                <w:color w:val="403151"/>
              </w:rPr>
              <w:t>626</w:t>
            </w:r>
          </w:p>
        </w:tc>
        <w:tc>
          <w:tcPr>
            <w:tcW w:w="708" w:type="dxa"/>
            <w:tcBorders>
              <w:top w:val="nil"/>
              <w:left w:val="nil"/>
              <w:bottom w:val="single" w:sz="4" w:space="0" w:color="auto"/>
              <w:right w:val="nil"/>
            </w:tcBorders>
            <w:shd w:val="clear" w:color="000000" w:fill="FFFFFF"/>
            <w:noWrap/>
            <w:vAlign w:val="bottom"/>
            <w:hideMark/>
          </w:tcPr>
          <w:p w:rsidR="00D60155" w:rsidRPr="007B77C6" w:rsidRDefault="00D60155" w:rsidP="009D0BFA">
            <w:pPr>
              <w:spacing w:after="0" w:line="240" w:lineRule="auto"/>
              <w:jc w:val="right"/>
              <w:rPr>
                <w:rFonts w:eastAsia="Times New Roman" w:cs="Arial"/>
                <w:color w:val="403151"/>
              </w:rPr>
            </w:pPr>
            <w:r w:rsidRPr="007B77C6">
              <w:rPr>
                <w:rFonts w:eastAsia="Times New Roman" w:cs="Arial"/>
                <w:color w:val="403151"/>
              </w:rPr>
              <w:t>71%</w:t>
            </w:r>
          </w:p>
        </w:tc>
        <w:tc>
          <w:tcPr>
            <w:tcW w:w="636" w:type="dxa"/>
            <w:tcBorders>
              <w:top w:val="nil"/>
              <w:left w:val="nil"/>
              <w:bottom w:val="single" w:sz="4" w:space="0" w:color="auto"/>
              <w:right w:val="single" w:sz="4" w:space="0" w:color="auto"/>
            </w:tcBorders>
            <w:shd w:val="clear" w:color="auto" w:fill="auto"/>
            <w:noWrap/>
            <w:vAlign w:val="bottom"/>
            <w:hideMark/>
          </w:tcPr>
          <w:p w:rsidR="00D60155" w:rsidRPr="007B77C6" w:rsidRDefault="00D60155" w:rsidP="009D0BFA">
            <w:pPr>
              <w:spacing w:after="0" w:line="240" w:lineRule="auto"/>
              <w:rPr>
                <w:rFonts w:ascii="Arial" w:eastAsia="Times New Roman" w:hAnsi="Arial" w:cs="Arial"/>
                <w:sz w:val="20"/>
                <w:szCs w:val="20"/>
              </w:rPr>
            </w:pPr>
            <w:r w:rsidRPr="007B77C6">
              <w:rPr>
                <w:rFonts w:ascii="Arial" w:eastAsia="Times New Roman" w:hAnsi="Arial" w:cs="Arial"/>
                <w:sz w:val="20"/>
                <w:szCs w:val="20"/>
              </w:rPr>
              <w:t> </w:t>
            </w:r>
          </w:p>
        </w:tc>
      </w:tr>
    </w:tbl>
    <w:p w:rsidR="00CF5A35" w:rsidRDefault="00CF5A35" w:rsidP="00D60155">
      <w:pPr>
        <w:pStyle w:val="NoSpacing"/>
      </w:pPr>
    </w:p>
    <w:p w:rsidR="00CF5A35" w:rsidRDefault="00D60155" w:rsidP="009B3DAD">
      <w:pPr>
        <w:pStyle w:val="NoSpacing"/>
      </w:pPr>
      <w:r>
        <w:rPr>
          <w:noProof/>
        </w:rPr>
        <w:drawing>
          <wp:inline distT="0" distB="0" distL="0" distR="0">
            <wp:extent cx="2817743" cy="41148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WK.png"/>
                    <pic:cNvPicPr/>
                  </pic:nvPicPr>
                  <pic:blipFill>
                    <a:blip r:embed="rId11">
                      <a:extLst>
                        <a:ext uri="{28A0092B-C50C-407E-A947-70E740481C1C}">
                          <a14:useLocalDpi xmlns:a14="http://schemas.microsoft.com/office/drawing/2010/main" val="0"/>
                        </a:ext>
                      </a:extLst>
                    </a:blip>
                    <a:stretch>
                      <a:fillRect/>
                    </a:stretch>
                  </pic:blipFill>
                  <pic:spPr>
                    <a:xfrm>
                      <a:off x="0" y="0"/>
                      <a:ext cx="2817743" cy="4114800"/>
                    </a:xfrm>
                    <a:prstGeom prst="rect">
                      <a:avLst/>
                    </a:prstGeom>
                  </pic:spPr>
                </pic:pic>
              </a:graphicData>
            </a:graphic>
          </wp:inline>
        </w:drawing>
      </w:r>
    </w:p>
    <w:p w:rsidR="00CF5A35" w:rsidRDefault="00CF5A35" w:rsidP="009B3DAD">
      <w:pPr>
        <w:pStyle w:val="NoSpacing"/>
      </w:pPr>
    </w:p>
    <w:p w:rsidR="00322C4A" w:rsidRPr="00322C4A" w:rsidRDefault="00322C4A" w:rsidP="009B3DAD">
      <w:pPr>
        <w:pStyle w:val="NoSpacing"/>
        <w:rPr>
          <w:b/>
          <w:color w:val="000000"/>
        </w:rPr>
      </w:pPr>
      <w:bookmarkStart w:id="1" w:name="_GoBack"/>
      <w:bookmarkEnd w:id="1"/>
      <w:r w:rsidRPr="00322C4A">
        <w:rPr>
          <w:b/>
          <w:color w:val="000000"/>
        </w:rPr>
        <w:t>English Literacy/Civics (EL/C) Program</w:t>
      </w:r>
      <w:r>
        <w:rPr>
          <w:b/>
          <w:color w:val="000000"/>
        </w:rPr>
        <w:t>;</w:t>
      </w:r>
    </w:p>
    <w:p w:rsidR="00316D29" w:rsidRPr="00322C4A" w:rsidRDefault="00316D29" w:rsidP="009B3DAD">
      <w:pPr>
        <w:pStyle w:val="NoSpacing"/>
        <w:rPr>
          <w:b/>
          <w:i/>
        </w:rPr>
      </w:pPr>
      <w:r w:rsidRPr="00322C4A">
        <w:rPr>
          <w:i/>
          <w:color w:val="000000"/>
        </w:rPr>
        <w:t>Describe the activities and services supported with EL/C funds, including the number of programs receiving EL/C grants and an estimate of the number of adult learners served. (Only states receiving EL/C funds should respond to question #4).</w:t>
      </w:r>
    </w:p>
    <w:p w:rsidR="00322C4A" w:rsidRDefault="00322C4A" w:rsidP="009B3DAD">
      <w:pPr>
        <w:pStyle w:val="NoSpacing"/>
        <w:rPr>
          <w:b/>
        </w:rPr>
      </w:pPr>
    </w:p>
    <w:p w:rsidR="003F2B34" w:rsidRDefault="005D09B6" w:rsidP="009B3DAD">
      <w:pPr>
        <w:pStyle w:val="NoSpacing"/>
        <w:rPr>
          <w:rFonts w:cs="Helvetica"/>
        </w:rPr>
      </w:pPr>
      <w:r>
        <w:t xml:space="preserve">In PY </w:t>
      </w:r>
      <w:r w:rsidR="003F2B34">
        <w:t>2014</w:t>
      </w:r>
      <w:r w:rsidR="006D7A8D">
        <w:t>, there were seven</w:t>
      </w:r>
      <w:r>
        <w:t xml:space="preserve"> EL/Civics grant recipients. EL/Civics funds were used to </w:t>
      </w:r>
      <w:r w:rsidR="003F2B34">
        <w:t xml:space="preserve">support the development and delivery of the ESL-4-ESL training, described above, as well as workshops at the 2014 Summer Institute conference addressing the need of English Language Acquisition instructional staff. During this reporting period IDWD also applied for and was awarded OCTAE’s </w:t>
      </w:r>
      <w:r w:rsidR="003F2B34" w:rsidRPr="003F2B34">
        <w:t>English as a Second Language Professional project (ESLPro)</w:t>
      </w:r>
      <w:r w:rsidR="003F2B34">
        <w:t xml:space="preserve"> technical assistance. Through this technical assistance IDWD will focus on </w:t>
      </w:r>
      <w:r w:rsidR="003F2B34">
        <w:rPr>
          <w:rFonts w:cs="Helvetica"/>
        </w:rPr>
        <w:t xml:space="preserve">integrating work and career pathways into English Language Acquisition instruction, with the goals of: </w:t>
      </w:r>
    </w:p>
    <w:p w:rsidR="00322C4A" w:rsidRPr="00C81B2B" w:rsidRDefault="003F2B34" w:rsidP="00C81B2B">
      <w:pPr>
        <w:pStyle w:val="NoSpacing"/>
        <w:numPr>
          <w:ilvl w:val="0"/>
          <w:numId w:val="32"/>
        </w:numPr>
        <w:rPr>
          <w:bCs/>
        </w:rPr>
      </w:pPr>
      <w:r>
        <w:rPr>
          <w:rFonts w:cs="Helvetica"/>
        </w:rPr>
        <w:t xml:space="preserve">Creating a group of ELA Ambassadors made up of local program staff to assist in promoting and or delivering the ESLPro </w:t>
      </w:r>
      <w:r w:rsidR="00C81B2B">
        <w:rPr>
          <w:rFonts w:cs="Helvetica"/>
        </w:rPr>
        <w:t>resources and trainings. This will be achieved through a train-the-trainer</w:t>
      </w:r>
      <w:r w:rsidR="00C92E25">
        <w:rPr>
          <w:rFonts w:cs="Helvetica"/>
        </w:rPr>
        <w:t xml:space="preserve"> approach</w:t>
      </w:r>
      <w:r w:rsidR="00C81B2B">
        <w:rPr>
          <w:rFonts w:cs="Helvetica"/>
        </w:rPr>
        <w:t xml:space="preserve">. </w:t>
      </w:r>
    </w:p>
    <w:p w:rsidR="00C81B2B" w:rsidRPr="00C81B2B" w:rsidRDefault="00C81B2B" w:rsidP="00C81B2B">
      <w:pPr>
        <w:pStyle w:val="NoSpacing"/>
        <w:numPr>
          <w:ilvl w:val="0"/>
          <w:numId w:val="32"/>
        </w:numPr>
        <w:rPr>
          <w:bCs/>
        </w:rPr>
      </w:pPr>
      <w:r>
        <w:rPr>
          <w:rFonts w:cs="Helvetica"/>
        </w:rPr>
        <w:t xml:space="preserve">Cross training AE and Workforce Development staff on how to support ELLs during transitions. </w:t>
      </w:r>
    </w:p>
    <w:p w:rsidR="00C81B2B" w:rsidRDefault="00C81B2B" w:rsidP="00C81B2B">
      <w:pPr>
        <w:pStyle w:val="NoSpacing"/>
        <w:numPr>
          <w:ilvl w:val="0"/>
          <w:numId w:val="32"/>
        </w:numPr>
        <w:rPr>
          <w:bCs/>
        </w:rPr>
      </w:pPr>
      <w:r>
        <w:rPr>
          <w:bCs/>
        </w:rPr>
        <w:t xml:space="preserve">Developing a quick-guide for occupational skills training instructors on how to support ELLs through technical training, with special emphasis on those trainings approved under IDWD’s WorkINdiana bridge program. </w:t>
      </w:r>
    </w:p>
    <w:p w:rsidR="00C81B2B" w:rsidRDefault="00C81B2B" w:rsidP="00C81B2B">
      <w:pPr>
        <w:pStyle w:val="NoSpacing"/>
        <w:numPr>
          <w:ilvl w:val="0"/>
          <w:numId w:val="32"/>
        </w:numPr>
        <w:rPr>
          <w:bCs/>
        </w:rPr>
      </w:pPr>
      <w:r>
        <w:rPr>
          <w:bCs/>
        </w:rPr>
        <w:lastRenderedPageBreak/>
        <w:t>Increasing ELL participation in IDWD’s WorkINdiana bridge program.</w:t>
      </w:r>
    </w:p>
    <w:p w:rsidR="00EA5582" w:rsidRDefault="00EA5582" w:rsidP="009B3DAD">
      <w:pPr>
        <w:pStyle w:val="NoSpacing"/>
      </w:pPr>
    </w:p>
    <w:p w:rsidR="00322C4A" w:rsidRPr="00322C4A" w:rsidRDefault="00322C4A" w:rsidP="009B3DAD">
      <w:pPr>
        <w:pStyle w:val="NoSpacing"/>
        <w:rPr>
          <w:b/>
        </w:rPr>
      </w:pPr>
      <w:r w:rsidRPr="00322C4A">
        <w:rPr>
          <w:b/>
          <w:color w:val="000000"/>
        </w:rPr>
        <w:t>Secondary School Credentials and Equivalencies</w:t>
      </w:r>
      <w:r>
        <w:rPr>
          <w:b/>
          <w:color w:val="000000"/>
        </w:rPr>
        <w:t>:</w:t>
      </w:r>
    </w:p>
    <w:p w:rsidR="00316D29" w:rsidRPr="00322C4A" w:rsidRDefault="00316D29" w:rsidP="009B3DAD">
      <w:pPr>
        <w:pStyle w:val="CM11"/>
        <w:rPr>
          <w:i/>
          <w:color w:val="000000"/>
        </w:rPr>
      </w:pPr>
      <w:r w:rsidRPr="00322C4A">
        <w:rPr>
          <w:i/>
          <w:color w:val="000000"/>
        </w:rPr>
        <w:t xml:space="preserve">Describe your state’s policies related to how it awards a secondary school diploma or its equivalent to individuals who are no longer enrolled or required to be enrolled in secondary school under State law. Include state recognized tests that are used to award the diploma as well as other criteria that may be recognized, such as competency-based or credit-based methods. </w:t>
      </w:r>
    </w:p>
    <w:p w:rsidR="006C4A70" w:rsidRDefault="006C4A70" w:rsidP="009B3DAD">
      <w:pPr>
        <w:spacing w:after="0" w:line="240" w:lineRule="auto"/>
        <w:rPr>
          <w:rFonts w:ascii="Times New Roman" w:hAnsi="Times New Roman"/>
          <w:sz w:val="24"/>
          <w:szCs w:val="24"/>
        </w:rPr>
      </w:pPr>
    </w:p>
    <w:p w:rsidR="00BB2171" w:rsidRDefault="006C4A70" w:rsidP="009B3DAD">
      <w:pPr>
        <w:spacing w:after="0" w:line="240" w:lineRule="auto"/>
        <w:rPr>
          <w:rFonts w:ascii="Times New Roman" w:hAnsi="Times New Roman"/>
          <w:sz w:val="24"/>
          <w:szCs w:val="24"/>
        </w:rPr>
      </w:pPr>
      <w:r>
        <w:rPr>
          <w:rFonts w:ascii="Times New Roman" w:hAnsi="Times New Roman"/>
          <w:sz w:val="24"/>
          <w:szCs w:val="24"/>
        </w:rPr>
        <w:t>As cited in IDWD Policy 2014-2 (</w:t>
      </w:r>
      <w:hyperlink r:id="rId12" w:history="1">
        <w:r w:rsidRPr="008B54A9">
          <w:rPr>
            <w:rStyle w:val="Hyperlink"/>
            <w:rFonts w:ascii="Times New Roman" w:hAnsi="Times New Roman"/>
            <w:sz w:val="24"/>
            <w:szCs w:val="24"/>
          </w:rPr>
          <w:t>http://www.in.gov/dwd/files/Policy_2014-02_HSE_FINAL.pdf</w:t>
        </w:r>
      </w:hyperlink>
      <w:r>
        <w:rPr>
          <w:rFonts w:ascii="Times New Roman" w:hAnsi="Times New Roman"/>
          <w:sz w:val="24"/>
          <w:szCs w:val="24"/>
        </w:rPr>
        <w:t>), t</w:t>
      </w:r>
      <w:r w:rsidR="000D2132" w:rsidRPr="000D2132">
        <w:rPr>
          <w:rFonts w:ascii="Times New Roman" w:hAnsi="Times New Roman"/>
          <w:sz w:val="24"/>
          <w:szCs w:val="24"/>
        </w:rPr>
        <w:t xml:space="preserve">he </w:t>
      </w:r>
      <w:r w:rsidR="000D2132">
        <w:rPr>
          <w:rFonts w:ascii="Times New Roman" w:hAnsi="Times New Roman"/>
          <w:sz w:val="24"/>
          <w:szCs w:val="24"/>
        </w:rPr>
        <w:t>IDWD,</w:t>
      </w:r>
      <w:r w:rsidR="000D2132" w:rsidRPr="000D2132">
        <w:rPr>
          <w:rFonts w:ascii="Times New Roman" w:hAnsi="Times New Roman"/>
          <w:sz w:val="24"/>
          <w:szCs w:val="24"/>
        </w:rPr>
        <w:t xml:space="preserve"> Division of Adult Education has the authority to grant the Indiana High School Equivalency (HSE) Diploma according to IC22-4.1-18 and to determine the assessment used to measure High School Equivalency. </w:t>
      </w:r>
      <w:r w:rsidR="00662098">
        <w:rPr>
          <w:rFonts w:ascii="Times New Roman" w:hAnsi="Times New Roman"/>
          <w:sz w:val="24"/>
          <w:szCs w:val="24"/>
        </w:rPr>
        <w:t>IDWD</w:t>
      </w:r>
      <w:r w:rsidR="00F93963">
        <w:rPr>
          <w:rFonts w:ascii="Times New Roman" w:hAnsi="Times New Roman"/>
          <w:sz w:val="24"/>
          <w:szCs w:val="24"/>
        </w:rPr>
        <w:t xml:space="preserve"> does not have any other criteria, competency-based or credit-based methods </w:t>
      </w:r>
      <w:r w:rsidR="001773C9">
        <w:rPr>
          <w:rFonts w:ascii="Times New Roman" w:hAnsi="Times New Roman"/>
          <w:sz w:val="24"/>
          <w:szCs w:val="24"/>
        </w:rPr>
        <w:t xml:space="preserve">outside of the </w:t>
      </w:r>
      <w:r w:rsidR="00BB2171">
        <w:rPr>
          <w:rFonts w:ascii="Times New Roman" w:hAnsi="Times New Roman"/>
          <w:sz w:val="24"/>
          <w:szCs w:val="24"/>
        </w:rPr>
        <w:t xml:space="preserve">HSE </w:t>
      </w:r>
      <w:r w:rsidR="00F93963">
        <w:rPr>
          <w:rFonts w:ascii="Times New Roman" w:hAnsi="Times New Roman"/>
          <w:sz w:val="24"/>
          <w:szCs w:val="24"/>
        </w:rPr>
        <w:t xml:space="preserve">to </w:t>
      </w:r>
      <w:r w:rsidR="00BB2171">
        <w:rPr>
          <w:rFonts w:ascii="Times New Roman" w:hAnsi="Times New Roman"/>
          <w:sz w:val="24"/>
          <w:szCs w:val="24"/>
        </w:rPr>
        <w:t xml:space="preserve">award a secondary school diploma or its equivalent to individuals who are no longer enrolled in secondary school.  </w:t>
      </w:r>
    </w:p>
    <w:p w:rsidR="00BB2171" w:rsidRDefault="00BB2171" w:rsidP="009B3DAD">
      <w:pPr>
        <w:spacing w:after="0" w:line="240" w:lineRule="auto"/>
        <w:rPr>
          <w:rFonts w:ascii="Times New Roman" w:hAnsi="Times New Roman"/>
          <w:sz w:val="24"/>
          <w:szCs w:val="24"/>
        </w:rPr>
      </w:pPr>
    </w:p>
    <w:p w:rsidR="000D2132" w:rsidRPr="000D2132" w:rsidRDefault="00BB2171" w:rsidP="009B3DAD">
      <w:pPr>
        <w:spacing w:after="0" w:line="240" w:lineRule="auto"/>
        <w:rPr>
          <w:rFonts w:ascii="Times New Roman" w:hAnsi="Times New Roman"/>
          <w:sz w:val="24"/>
          <w:szCs w:val="24"/>
        </w:rPr>
      </w:pPr>
      <w:r>
        <w:rPr>
          <w:rFonts w:ascii="Times New Roman" w:hAnsi="Times New Roman"/>
          <w:sz w:val="24"/>
          <w:szCs w:val="24"/>
        </w:rPr>
        <w:t>I</w:t>
      </w:r>
      <w:r w:rsidR="000D2132" w:rsidRPr="000D2132">
        <w:rPr>
          <w:rFonts w:ascii="Times New Roman" w:hAnsi="Times New Roman"/>
          <w:sz w:val="24"/>
          <w:szCs w:val="24"/>
        </w:rPr>
        <w:t xml:space="preserve">DWD has determined that CTB/McGraw-Hill’s Test Assessing Secondary Completion (TASC) is the sole assessment that shall be used to determine a testing candidate’s achievement of high school equivalency and thus eligibility to receive the Indiana HSE Diploma. </w:t>
      </w:r>
      <w:r w:rsidR="006C4A70">
        <w:rPr>
          <w:rFonts w:ascii="Times New Roman" w:hAnsi="Times New Roman"/>
          <w:sz w:val="24"/>
          <w:szCs w:val="24"/>
        </w:rPr>
        <w:t xml:space="preserve"> </w:t>
      </w:r>
      <w:r w:rsidR="000D2132">
        <w:rPr>
          <w:rFonts w:ascii="Times New Roman" w:hAnsi="Times New Roman"/>
          <w:sz w:val="24"/>
          <w:szCs w:val="24"/>
        </w:rPr>
        <w:t>Only testing centers that hold a testing cent</w:t>
      </w:r>
      <w:r w:rsidR="001773C9">
        <w:rPr>
          <w:rFonts w:ascii="Times New Roman" w:hAnsi="Times New Roman"/>
          <w:sz w:val="24"/>
          <w:szCs w:val="24"/>
        </w:rPr>
        <w:t>er agreement with C</w:t>
      </w:r>
      <w:r w:rsidR="000D2132">
        <w:rPr>
          <w:rFonts w:ascii="Times New Roman" w:hAnsi="Times New Roman"/>
          <w:sz w:val="24"/>
          <w:szCs w:val="24"/>
        </w:rPr>
        <w:t>T</w:t>
      </w:r>
      <w:r w:rsidR="001773C9">
        <w:rPr>
          <w:rFonts w:ascii="Times New Roman" w:hAnsi="Times New Roman"/>
          <w:sz w:val="24"/>
          <w:szCs w:val="24"/>
        </w:rPr>
        <w:t>B</w:t>
      </w:r>
      <w:r w:rsidR="000D2132">
        <w:rPr>
          <w:rFonts w:ascii="Times New Roman" w:hAnsi="Times New Roman"/>
          <w:sz w:val="24"/>
          <w:szCs w:val="24"/>
        </w:rPr>
        <w:t xml:space="preserve">/McGraw-Hill may offer the TASC test.  </w:t>
      </w:r>
      <w:r w:rsidR="001773C9">
        <w:rPr>
          <w:rFonts w:ascii="Times New Roman" w:hAnsi="Times New Roman"/>
          <w:sz w:val="24"/>
          <w:szCs w:val="24"/>
        </w:rPr>
        <w:t>It is understood that Data Recognition Corporation will acquire CTB/McGraw-Hill on July 1</w:t>
      </w:r>
      <w:r w:rsidR="001773C9" w:rsidRPr="00865D06">
        <w:rPr>
          <w:rFonts w:ascii="Times New Roman" w:hAnsi="Times New Roman"/>
          <w:sz w:val="24"/>
          <w:szCs w:val="24"/>
          <w:vertAlign w:val="superscript"/>
        </w:rPr>
        <w:t>st</w:t>
      </w:r>
      <w:r w:rsidR="001773C9">
        <w:rPr>
          <w:rFonts w:ascii="Times New Roman" w:hAnsi="Times New Roman"/>
          <w:sz w:val="24"/>
          <w:szCs w:val="24"/>
        </w:rPr>
        <w:t xml:space="preserve">, 2015, and that there will be no changes in services or interruptions in testing.  </w:t>
      </w:r>
      <w:r w:rsidR="000D2132">
        <w:rPr>
          <w:rFonts w:ascii="Times New Roman" w:hAnsi="Times New Roman"/>
          <w:sz w:val="24"/>
          <w:szCs w:val="24"/>
        </w:rPr>
        <w:t xml:space="preserve">The TASC may be administered in Indiana only to individuals who meet the following minimum </w:t>
      </w:r>
      <w:r w:rsidR="000D2132" w:rsidRPr="000D2132">
        <w:rPr>
          <w:rFonts w:ascii="Times New Roman" w:hAnsi="Times New Roman"/>
          <w:sz w:val="24"/>
          <w:szCs w:val="24"/>
        </w:rPr>
        <w:t xml:space="preserve">guidelines: </w:t>
      </w:r>
    </w:p>
    <w:p w:rsidR="000D2132" w:rsidRPr="000D2132" w:rsidRDefault="000D2132" w:rsidP="009B3DAD">
      <w:pPr>
        <w:numPr>
          <w:ilvl w:val="0"/>
          <w:numId w:val="26"/>
        </w:numPr>
        <w:spacing w:after="0" w:line="240" w:lineRule="auto"/>
        <w:rPr>
          <w:rFonts w:ascii="Times New Roman" w:hAnsi="Times New Roman"/>
          <w:sz w:val="24"/>
          <w:szCs w:val="24"/>
        </w:rPr>
      </w:pPr>
      <w:r w:rsidRPr="000D2132">
        <w:rPr>
          <w:rFonts w:ascii="Times New Roman" w:hAnsi="Times New Roman"/>
          <w:sz w:val="24"/>
          <w:szCs w:val="24"/>
        </w:rPr>
        <w:t xml:space="preserve">Does not hold a diploma from an accredited high school or its equivalent; and </w:t>
      </w:r>
    </w:p>
    <w:p w:rsidR="000D2132" w:rsidRPr="000D2132" w:rsidRDefault="000D2132" w:rsidP="009B3DAD">
      <w:pPr>
        <w:numPr>
          <w:ilvl w:val="0"/>
          <w:numId w:val="26"/>
        </w:numPr>
        <w:spacing w:after="0" w:line="240" w:lineRule="auto"/>
        <w:rPr>
          <w:rFonts w:ascii="Times New Roman" w:hAnsi="Times New Roman"/>
          <w:sz w:val="24"/>
          <w:szCs w:val="24"/>
        </w:rPr>
      </w:pPr>
      <w:r w:rsidRPr="000D2132">
        <w:rPr>
          <w:rFonts w:ascii="Times New Roman" w:hAnsi="Times New Roman"/>
          <w:sz w:val="24"/>
          <w:szCs w:val="24"/>
        </w:rPr>
        <w:t xml:space="preserve">Is a resident of the state of Indiana for a minimum of thirty (30) days immediately preceding the day of testing; and </w:t>
      </w:r>
    </w:p>
    <w:p w:rsidR="000D2132" w:rsidRPr="000D2132" w:rsidRDefault="000D2132" w:rsidP="009B3DAD">
      <w:pPr>
        <w:numPr>
          <w:ilvl w:val="0"/>
          <w:numId w:val="26"/>
        </w:numPr>
        <w:spacing w:after="0" w:line="240" w:lineRule="auto"/>
        <w:rPr>
          <w:rFonts w:ascii="Times New Roman" w:hAnsi="Times New Roman"/>
          <w:sz w:val="24"/>
          <w:szCs w:val="24"/>
        </w:rPr>
      </w:pPr>
      <w:r w:rsidRPr="000D2132">
        <w:rPr>
          <w:rFonts w:ascii="Times New Roman" w:hAnsi="Times New Roman"/>
          <w:sz w:val="24"/>
          <w:szCs w:val="24"/>
        </w:rPr>
        <w:t>Either</w:t>
      </w:r>
    </w:p>
    <w:p w:rsidR="000D2132" w:rsidRPr="000D2132" w:rsidRDefault="000D2132" w:rsidP="009B3DAD">
      <w:pPr>
        <w:numPr>
          <w:ilvl w:val="1"/>
          <w:numId w:val="26"/>
        </w:numPr>
        <w:spacing w:after="0" w:line="240" w:lineRule="auto"/>
        <w:rPr>
          <w:rFonts w:ascii="Times New Roman" w:hAnsi="Times New Roman"/>
          <w:sz w:val="24"/>
          <w:szCs w:val="24"/>
        </w:rPr>
      </w:pPr>
      <w:r w:rsidRPr="000D2132">
        <w:rPr>
          <w:rFonts w:ascii="Times New Roman" w:hAnsi="Times New Roman"/>
          <w:sz w:val="24"/>
          <w:szCs w:val="24"/>
        </w:rPr>
        <w:t>Has officially exited high school following the Indiana Department of Education (DOE) attendance requirements, using the official DOE exit form (attached), and obtaining a Superintendent’s signature using either the DOE exit form or the official DWD form (attached); or</w:t>
      </w:r>
    </w:p>
    <w:p w:rsidR="000D2132" w:rsidRPr="000D2132" w:rsidRDefault="000D2132" w:rsidP="009B3DAD">
      <w:pPr>
        <w:numPr>
          <w:ilvl w:val="1"/>
          <w:numId w:val="26"/>
        </w:numPr>
        <w:spacing w:after="0" w:line="240" w:lineRule="auto"/>
        <w:rPr>
          <w:rFonts w:ascii="Times New Roman" w:hAnsi="Times New Roman"/>
          <w:sz w:val="24"/>
          <w:szCs w:val="24"/>
        </w:rPr>
      </w:pPr>
      <w:r w:rsidRPr="000D2132">
        <w:rPr>
          <w:rFonts w:ascii="Times New Roman" w:hAnsi="Times New Roman"/>
          <w:sz w:val="24"/>
          <w:szCs w:val="24"/>
        </w:rPr>
        <w:t>Is at least eighteen (18) years of age;</w:t>
      </w:r>
    </w:p>
    <w:p w:rsidR="000D2132" w:rsidRPr="000D2132" w:rsidRDefault="000D2132" w:rsidP="009B3DAD">
      <w:pPr>
        <w:numPr>
          <w:ilvl w:val="0"/>
          <w:numId w:val="26"/>
        </w:numPr>
        <w:spacing w:after="0" w:line="240" w:lineRule="auto"/>
        <w:rPr>
          <w:rFonts w:ascii="Times New Roman" w:hAnsi="Times New Roman"/>
          <w:sz w:val="24"/>
          <w:szCs w:val="24"/>
        </w:rPr>
      </w:pPr>
      <w:r w:rsidRPr="000D2132">
        <w:rPr>
          <w:rFonts w:ascii="Times New Roman" w:hAnsi="Times New Roman"/>
          <w:sz w:val="24"/>
          <w:szCs w:val="24"/>
        </w:rPr>
        <w:t>No individual under the age of 16 may sit for the high school equivalency test.</w:t>
      </w:r>
    </w:p>
    <w:p w:rsidR="000D2132" w:rsidRDefault="000D2132" w:rsidP="009B3DAD">
      <w:pPr>
        <w:spacing w:after="0" w:line="240" w:lineRule="auto"/>
        <w:rPr>
          <w:rFonts w:ascii="Times New Roman" w:hAnsi="Times New Roman"/>
          <w:sz w:val="24"/>
          <w:szCs w:val="24"/>
        </w:rPr>
      </w:pPr>
      <w:r>
        <w:rPr>
          <w:rFonts w:ascii="Times New Roman" w:hAnsi="Times New Roman"/>
          <w:sz w:val="24"/>
          <w:szCs w:val="24"/>
        </w:rPr>
        <w:t xml:space="preserve">IDWD Policy 2014-02: High School Equivalency Testing also addresses and gives guidance on the following topics: testing registration and scheduling; accommodations; testing fees; proof of identity of test takers; minimum passing scores, testing time limits, retesting, cancellations, pre-existing test scores, portability and reciprocity of diploma.  </w:t>
      </w:r>
    </w:p>
    <w:p w:rsidR="00674A1A" w:rsidRPr="000D2132" w:rsidRDefault="00674A1A" w:rsidP="009B3DAD">
      <w:pPr>
        <w:spacing w:after="0" w:line="240" w:lineRule="auto"/>
        <w:rPr>
          <w:rFonts w:ascii="Times New Roman" w:hAnsi="Times New Roman"/>
          <w:sz w:val="24"/>
          <w:szCs w:val="24"/>
        </w:rPr>
      </w:pPr>
    </w:p>
    <w:p w:rsidR="00322C4A" w:rsidRPr="00322C4A" w:rsidRDefault="00322C4A" w:rsidP="009B3DAD">
      <w:pPr>
        <w:spacing w:after="0" w:line="240" w:lineRule="auto"/>
        <w:rPr>
          <w:rFonts w:ascii="Times New Roman" w:hAnsi="Times New Roman"/>
          <w:b/>
          <w:color w:val="000000"/>
          <w:sz w:val="24"/>
          <w:szCs w:val="24"/>
        </w:rPr>
      </w:pPr>
      <w:r w:rsidRPr="00322C4A">
        <w:rPr>
          <w:rFonts w:ascii="Times New Roman" w:hAnsi="Times New Roman"/>
          <w:b/>
          <w:color w:val="000000"/>
          <w:sz w:val="24"/>
          <w:szCs w:val="24"/>
        </w:rPr>
        <w:t>Adult Education Standards</w:t>
      </w:r>
      <w:r>
        <w:rPr>
          <w:rFonts w:ascii="Times New Roman" w:hAnsi="Times New Roman"/>
          <w:b/>
          <w:color w:val="000000"/>
          <w:sz w:val="24"/>
          <w:szCs w:val="24"/>
        </w:rPr>
        <w:t>:</w:t>
      </w:r>
    </w:p>
    <w:p w:rsidR="00316D29" w:rsidRPr="00322C4A" w:rsidRDefault="00316D29" w:rsidP="009B3DAD">
      <w:pPr>
        <w:spacing w:after="0" w:line="240" w:lineRule="auto"/>
        <w:rPr>
          <w:rFonts w:ascii="Times New Roman" w:hAnsi="Times New Roman"/>
          <w:i/>
          <w:color w:val="000000"/>
          <w:sz w:val="24"/>
          <w:szCs w:val="24"/>
        </w:rPr>
      </w:pPr>
      <w:r w:rsidRPr="00322C4A">
        <w:rPr>
          <w:rFonts w:ascii="Times New Roman" w:hAnsi="Times New Roman"/>
          <w:i/>
          <w:color w:val="000000"/>
          <w:sz w:val="24"/>
          <w:szCs w:val="24"/>
        </w:rPr>
        <w:t>Describe your state’s progress toward implementation of adult education college and career readiness (CCR) standards, including whether your state has formally adopted a validated set of CCR standards. Describe how the state has determined the standards to be representative of CCR and the timeline by which such standards will be or have been implemented by all local programs. Describe how the state is supporting the use of standards by local programs and State Leadership funds that are being used to support implementation.</w:t>
      </w:r>
    </w:p>
    <w:p w:rsidR="00A328EC" w:rsidRDefault="00A328EC" w:rsidP="009B3DAD">
      <w:pPr>
        <w:pStyle w:val="NoSpacing"/>
      </w:pPr>
    </w:p>
    <w:p w:rsidR="0048468D" w:rsidRPr="0048468D" w:rsidRDefault="00BB2171" w:rsidP="009B3DAD">
      <w:pPr>
        <w:spacing w:after="0" w:line="240" w:lineRule="auto"/>
        <w:rPr>
          <w:rFonts w:ascii="Times New Roman" w:hAnsi="Times New Roman"/>
          <w:sz w:val="24"/>
          <w:szCs w:val="24"/>
        </w:rPr>
      </w:pPr>
      <w:r>
        <w:rPr>
          <w:rFonts w:ascii="Times New Roman" w:hAnsi="Times New Roman"/>
          <w:sz w:val="24"/>
          <w:szCs w:val="24"/>
        </w:rPr>
        <w:t xml:space="preserve">As stated above, Indiana has adopted the TASC test, which is aligned with </w:t>
      </w:r>
      <w:r w:rsidR="008F095B">
        <w:rPr>
          <w:rFonts w:ascii="Times New Roman" w:hAnsi="Times New Roman"/>
          <w:sz w:val="24"/>
          <w:szCs w:val="24"/>
        </w:rPr>
        <w:t xml:space="preserve">OCTAE’s </w:t>
      </w:r>
      <w:r w:rsidR="008F095B" w:rsidRPr="008F095B">
        <w:rPr>
          <w:rFonts w:ascii="Times New Roman" w:hAnsi="Times New Roman"/>
          <w:sz w:val="24"/>
          <w:szCs w:val="24"/>
        </w:rPr>
        <w:t>College and Career Readiness (CCR) Standards for Adult Education</w:t>
      </w:r>
      <w:r w:rsidR="008F095B">
        <w:rPr>
          <w:rFonts w:ascii="Times New Roman" w:hAnsi="Times New Roman"/>
          <w:sz w:val="24"/>
          <w:szCs w:val="24"/>
        </w:rPr>
        <w:t xml:space="preserve">. </w:t>
      </w:r>
      <w:r w:rsidR="001773C9">
        <w:rPr>
          <w:rFonts w:ascii="Times New Roman" w:hAnsi="Times New Roman"/>
          <w:sz w:val="24"/>
          <w:szCs w:val="24"/>
        </w:rPr>
        <w:t xml:space="preserve"> </w:t>
      </w:r>
      <w:r w:rsidR="00D2659D">
        <w:rPr>
          <w:rFonts w:ascii="Times New Roman" w:hAnsi="Times New Roman"/>
          <w:sz w:val="24"/>
          <w:szCs w:val="24"/>
        </w:rPr>
        <w:t xml:space="preserve">In addition, Indiana’s existing </w:t>
      </w:r>
      <w:r w:rsidR="00D2659D" w:rsidRPr="0048468D">
        <w:rPr>
          <w:rFonts w:ascii="Times New Roman" w:hAnsi="Times New Roman"/>
          <w:sz w:val="24"/>
          <w:szCs w:val="24"/>
        </w:rPr>
        <w:t xml:space="preserve">PD requirement that all instructional </w:t>
      </w:r>
      <w:r w:rsidR="00D2659D">
        <w:rPr>
          <w:rFonts w:ascii="Times New Roman" w:hAnsi="Times New Roman"/>
          <w:sz w:val="24"/>
          <w:szCs w:val="24"/>
        </w:rPr>
        <w:t>personnel</w:t>
      </w:r>
      <w:r w:rsidR="00D2659D" w:rsidRPr="0048468D">
        <w:rPr>
          <w:rFonts w:ascii="Times New Roman" w:hAnsi="Times New Roman"/>
          <w:sz w:val="24"/>
          <w:szCs w:val="24"/>
        </w:rPr>
        <w:t xml:space="preserve"> who teach </w:t>
      </w:r>
      <w:r w:rsidR="00D2659D">
        <w:rPr>
          <w:rFonts w:ascii="Times New Roman" w:hAnsi="Times New Roman"/>
          <w:sz w:val="24"/>
          <w:szCs w:val="24"/>
        </w:rPr>
        <w:t>nine (</w:t>
      </w:r>
      <w:r w:rsidR="00D2659D" w:rsidRPr="0048468D">
        <w:rPr>
          <w:rFonts w:ascii="Times New Roman" w:hAnsi="Times New Roman"/>
          <w:sz w:val="24"/>
          <w:szCs w:val="24"/>
        </w:rPr>
        <w:t>9</w:t>
      </w:r>
      <w:r w:rsidR="00D2659D">
        <w:rPr>
          <w:rFonts w:ascii="Times New Roman" w:hAnsi="Times New Roman"/>
          <w:sz w:val="24"/>
          <w:szCs w:val="24"/>
        </w:rPr>
        <w:t>)</w:t>
      </w:r>
      <w:r w:rsidR="00D2659D" w:rsidRPr="0048468D">
        <w:rPr>
          <w:rFonts w:ascii="Times New Roman" w:hAnsi="Times New Roman"/>
          <w:sz w:val="24"/>
          <w:szCs w:val="24"/>
        </w:rPr>
        <w:t xml:space="preserve"> or more hours must attend one </w:t>
      </w:r>
      <w:r w:rsidR="00D2659D">
        <w:rPr>
          <w:rFonts w:ascii="Times New Roman" w:hAnsi="Times New Roman"/>
          <w:sz w:val="24"/>
          <w:szCs w:val="24"/>
        </w:rPr>
        <w:t>I</w:t>
      </w:r>
      <w:r w:rsidR="00D2659D" w:rsidRPr="0048468D">
        <w:rPr>
          <w:rFonts w:ascii="Times New Roman" w:hAnsi="Times New Roman"/>
          <w:sz w:val="24"/>
          <w:szCs w:val="24"/>
        </w:rPr>
        <w:t xml:space="preserve">DWD-sponsored </w:t>
      </w:r>
      <w:r w:rsidR="00D2659D" w:rsidRPr="0048468D">
        <w:rPr>
          <w:rFonts w:ascii="Times New Roman" w:hAnsi="Times New Roman"/>
          <w:sz w:val="24"/>
          <w:szCs w:val="24"/>
        </w:rPr>
        <w:lastRenderedPageBreak/>
        <w:t xml:space="preserve">professional development event </w:t>
      </w:r>
      <w:r w:rsidR="00D2659D">
        <w:rPr>
          <w:rFonts w:ascii="Times New Roman" w:hAnsi="Times New Roman"/>
          <w:sz w:val="24"/>
          <w:szCs w:val="24"/>
        </w:rPr>
        <w:t>has</w:t>
      </w:r>
      <w:r w:rsidR="00D2659D" w:rsidRPr="0048468D">
        <w:rPr>
          <w:rFonts w:ascii="Times New Roman" w:hAnsi="Times New Roman"/>
          <w:sz w:val="24"/>
          <w:szCs w:val="24"/>
        </w:rPr>
        <w:t xml:space="preserve"> allow</w:t>
      </w:r>
      <w:r w:rsidR="00D2659D">
        <w:rPr>
          <w:rFonts w:ascii="Times New Roman" w:hAnsi="Times New Roman"/>
          <w:sz w:val="24"/>
          <w:szCs w:val="24"/>
        </w:rPr>
        <w:t>ed the state</w:t>
      </w:r>
      <w:r w:rsidR="00D2659D" w:rsidRPr="0048468D">
        <w:rPr>
          <w:rFonts w:ascii="Times New Roman" w:hAnsi="Times New Roman"/>
          <w:sz w:val="24"/>
          <w:szCs w:val="24"/>
        </w:rPr>
        <w:t xml:space="preserve"> to quickly reach la</w:t>
      </w:r>
      <w:r w:rsidR="00D2659D">
        <w:rPr>
          <w:rFonts w:ascii="Times New Roman" w:hAnsi="Times New Roman"/>
          <w:sz w:val="24"/>
          <w:szCs w:val="24"/>
        </w:rPr>
        <w:t xml:space="preserve">rge numbers of teachers with Standards </w:t>
      </w:r>
      <w:proofErr w:type="gramStart"/>
      <w:r w:rsidR="00D2659D">
        <w:rPr>
          <w:rFonts w:ascii="Times New Roman" w:hAnsi="Times New Roman"/>
          <w:sz w:val="24"/>
          <w:szCs w:val="24"/>
        </w:rPr>
        <w:t>In</w:t>
      </w:r>
      <w:proofErr w:type="gramEnd"/>
      <w:r w:rsidR="00D2659D">
        <w:rPr>
          <w:rFonts w:ascii="Times New Roman" w:hAnsi="Times New Roman"/>
          <w:sz w:val="24"/>
          <w:szCs w:val="24"/>
        </w:rPr>
        <w:t xml:space="preserve"> Action</w:t>
      </w:r>
      <w:r w:rsidR="00D2659D" w:rsidRPr="0048468D">
        <w:rPr>
          <w:rFonts w:ascii="Times New Roman" w:hAnsi="Times New Roman"/>
          <w:sz w:val="24"/>
          <w:szCs w:val="24"/>
        </w:rPr>
        <w:t xml:space="preserve"> training. </w:t>
      </w:r>
      <w:r w:rsidR="0048468D" w:rsidRPr="0048468D">
        <w:rPr>
          <w:rFonts w:ascii="Times New Roman" w:hAnsi="Times New Roman"/>
          <w:sz w:val="24"/>
          <w:szCs w:val="24"/>
        </w:rPr>
        <w:t xml:space="preserve">The PD calendar of events moving forward will narrow to focus in-person training efforts on </w:t>
      </w:r>
      <w:r w:rsidR="00A707B8">
        <w:rPr>
          <w:rFonts w:ascii="Times New Roman" w:hAnsi="Times New Roman"/>
          <w:sz w:val="24"/>
          <w:szCs w:val="24"/>
        </w:rPr>
        <w:t>College and Career Readiness Standards</w:t>
      </w:r>
      <w:r w:rsidR="00A707B8" w:rsidRPr="0048468D">
        <w:rPr>
          <w:rFonts w:ascii="Times New Roman" w:hAnsi="Times New Roman"/>
          <w:sz w:val="24"/>
          <w:szCs w:val="24"/>
        </w:rPr>
        <w:t xml:space="preserve"> </w:t>
      </w:r>
      <w:r w:rsidR="00A707B8">
        <w:rPr>
          <w:rFonts w:ascii="Times New Roman" w:hAnsi="Times New Roman"/>
          <w:sz w:val="24"/>
          <w:szCs w:val="24"/>
        </w:rPr>
        <w:t>(</w:t>
      </w:r>
      <w:r w:rsidR="0048468D" w:rsidRPr="0048468D">
        <w:rPr>
          <w:rFonts w:ascii="Times New Roman" w:hAnsi="Times New Roman"/>
          <w:sz w:val="24"/>
          <w:szCs w:val="24"/>
        </w:rPr>
        <w:t>CCRS</w:t>
      </w:r>
      <w:r w:rsidR="00A707B8">
        <w:rPr>
          <w:rFonts w:ascii="Times New Roman" w:hAnsi="Times New Roman"/>
          <w:sz w:val="24"/>
          <w:szCs w:val="24"/>
        </w:rPr>
        <w:t>)</w:t>
      </w:r>
      <w:r w:rsidR="0048468D" w:rsidRPr="0048468D">
        <w:rPr>
          <w:rFonts w:ascii="Times New Roman" w:hAnsi="Times New Roman"/>
          <w:sz w:val="24"/>
          <w:szCs w:val="24"/>
        </w:rPr>
        <w:t xml:space="preserve"> implementation. </w:t>
      </w:r>
    </w:p>
    <w:p w:rsidR="0048468D" w:rsidRDefault="0048468D" w:rsidP="009B3DAD">
      <w:pPr>
        <w:spacing w:after="0" w:line="240" w:lineRule="auto"/>
        <w:rPr>
          <w:rFonts w:ascii="Times New Roman" w:hAnsi="Times New Roman"/>
          <w:sz w:val="24"/>
          <w:szCs w:val="24"/>
        </w:rPr>
      </w:pPr>
    </w:p>
    <w:p w:rsidR="0048468D" w:rsidRDefault="0048468D" w:rsidP="008F095B">
      <w:pPr>
        <w:spacing w:after="0" w:line="240" w:lineRule="auto"/>
        <w:rPr>
          <w:rFonts w:ascii="Times New Roman" w:hAnsi="Times New Roman"/>
          <w:sz w:val="24"/>
          <w:szCs w:val="24"/>
        </w:rPr>
      </w:pPr>
      <w:r>
        <w:rPr>
          <w:rFonts w:ascii="Times New Roman" w:hAnsi="Times New Roman"/>
          <w:sz w:val="24"/>
          <w:szCs w:val="24"/>
        </w:rPr>
        <w:t xml:space="preserve">The Standards In Action </w:t>
      </w:r>
      <w:r w:rsidR="00614E73">
        <w:rPr>
          <w:rFonts w:ascii="Times New Roman" w:hAnsi="Times New Roman"/>
          <w:sz w:val="24"/>
          <w:szCs w:val="24"/>
        </w:rPr>
        <w:t xml:space="preserve">(SIA) </w:t>
      </w:r>
      <w:r>
        <w:rPr>
          <w:rFonts w:ascii="Times New Roman" w:hAnsi="Times New Roman"/>
          <w:sz w:val="24"/>
          <w:szCs w:val="24"/>
        </w:rPr>
        <w:t>trainings are a series of in person</w:t>
      </w:r>
      <w:r w:rsidR="008F095B">
        <w:rPr>
          <w:rFonts w:ascii="Times New Roman" w:hAnsi="Times New Roman"/>
          <w:sz w:val="24"/>
          <w:szCs w:val="24"/>
        </w:rPr>
        <w:t xml:space="preserve"> and online</w:t>
      </w:r>
      <w:r>
        <w:rPr>
          <w:rFonts w:ascii="Times New Roman" w:hAnsi="Times New Roman"/>
          <w:sz w:val="24"/>
          <w:szCs w:val="24"/>
        </w:rPr>
        <w:t xml:space="preserve"> trainings that dig deep into standards-based instructional practices for implementing the CCRS in Adult education classrooms.</w:t>
      </w:r>
      <w:r w:rsidR="008F095B">
        <w:rPr>
          <w:rFonts w:ascii="Times New Roman" w:hAnsi="Times New Roman"/>
          <w:sz w:val="24"/>
          <w:szCs w:val="24"/>
        </w:rPr>
        <w:t xml:space="preserve"> IDWD continues to use OCTAE’s SIA and Handbook for Sustaining Standards-based Education in Adult Education resources to improve the quality and reach of CCRS PD initiatives.</w:t>
      </w:r>
    </w:p>
    <w:p w:rsidR="0048468D" w:rsidRPr="00614E73" w:rsidRDefault="0048468D" w:rsidP="009B3DAD">
      <w:pPr>
        <w:spacing w:after="0" w:line="240" w:lineRule="auto"/>
        <w:rPr>
          <w:rFonts w:ascii="Times New Roman" w:hAnsi="Times New Roman"/>
          <w:sz w:val="24"/>
          <w:szCs w:val="24"/>
        </w:rPr>
      </w:pPr>
    </w:p>
    <w:p w:rsidR="00A707B8" w:rsidRDefault="00A707B8" w:rsidP="009B3DAD">
      <w:pPr>
        <w:spacing w:after="0" w:line="240" w:lineRule="auto"/>
        <w:rPr>
          <w:rFonts w:ascii="Times New Roman" w:hAnsi="Times New Roman"/>
          <w:sz w:val="24"/>
          <w:szCs w:val="24"/>
        </w:rPr>
      </w:pPr>
      <w:r w:rsidRPr="00614E73">
        <w:rPr>
          <w:rFonts w:ascii="Times New Roman" w:hAnsi="Times New Roman"/>
          <w:sz w:val="24"/>
          <w:szCs w:val="24"/>
        </w:rPr>
        <w:t>Below are descriptions of national</w:t>
      </w:r>
      <w:r w:rsidR="0078561E">
        <w:rPr>
          <w:rFonts w:ascii="Times New Roman" w:hAnsi="Times New Roman"/>
          <w:sz w:val="24"/>
          <w:szCs w:val="24"/>
        </w:rPr>
        <w:t xml:space="preserve">, </w:t>
      </w:r>
      <w:r w:rsidRPr="00614E73">
        <w:rPr>
          <w:rFonts w:ascii="Times New Roman" w:hAnsi="Times New Roman"/>
          <w:sz w:val="24"/>
          <w:szCs w:val="24"/>
        </w:rPr>
        <w:t>state</w:t>
      </w:r>
      <w:r w:rsidR="0078561E">
        <w:rPr>
          <w:rFonts w:ascii="Times New Roman" w:hAnsi="Times New Roman"/>
          <w:sz w:val="24"/>
          <w:szCs w:val="24"/>
        </w:rPr>
        <w:t xml:space="preserve">, and </w:t>
      </w:r>
      <w:r w:rsidRPr="00614E73">
        <w:rPr>
          <w:rFonts w:ascii="Times New Roman" w:hAnsi="Times New Roman"/>
          <w:sz w:val="24"/>
          <w:szCs w:val="24"/>
        </w:rPr>
        <w:t>regional professional development init</w:t>
      </w:r>
      <w:r w:rsidR="00614E73">
        <w:rPr>
          <w:rFonts w:ascii="Times New Roman" w:hAnsi="Times New Roman"/>
          <w:sz w:val="24"/>
          <w:szCs w:val="24"/>
        </w:rPr>
        <w:t>iatives that support</w:t>
      </w:r>
      <w:r w:rsidR="00985AFD">
        <w:rPr>
          <w:rFonts w:ascii="Times New Roman" w:hAnsi="Times New Roman"/>
          <w:sz w:val="24"/>
          <w:szCs w:val="24"/>
        </w:rPr>
        <w:t xml:space="preserve"> </w:t>
      </w:r>
      <w:r w:rsidR="00614E73">
        <w:rPr>
          <w:rFonts w:ascii="Times New Roman" w:hAnsi="Times New Roman"/>
          <w:sz w:val="24"/>
          <w:szCs w:val="24"/>
        </w:rPr>
        <w:t>Indiana’s</w:t>
      </w:r>
      <w:r w:rsidRPr="00614E73">
        <w:rPr>
          <w:rFonts w:ascii="Times New Roman" w:hAnsi="Times New Roman"/>
          <w:sz w:val="24"/>
          <w:szCs w:val="24"/>
        </w:rPr>
        <w:t xml:space="preserve"> st</w:t>
      </w:r>
      <w:r w:rsidR="00614E73">
        <w:rPr>
          <w:rFonts w:ascii="Times New Roman" w:hAnsi="Times New Roman"/>
          <w:sz w:val="24"/>
          <w:szCs w:val="24"/>
        </w:rPr>
        <w:t>andards implementation efforts;</w:t>
      </w:r>
    </w:p>
    <w:p w:rsidR="00614E73" w:rsidRPr="00614E73" w:rsidRDefault="00614E73" w:rsidP="009B3DAD">
      <w:pPr>
        <w:spacing w:after="0" w:line="240" w:lineRule="auto"/>
        <w:rPr>
          <w:rFonts w:ascii="Times New Roman" w:hAnsi="Times New Roman"/>
          <w:sz w:val="24"/>
          <w:szCs w:val="24"/>
        </w:rPr>
      </w:pPr>
    </w:p>
    <w:p w:rsidR="00A707B8" w:rsidRDefault="00A707B8" w:rsidP="009B3DAD">
      <w:pPr>
        <w:spacing w:after="0" w:line="240" w:lineRule="auto"/>
        <w:rPr>
          <w:rFonts w:ascii="Times New Roman" w:hAnsi="Times New Roman"/>
          <w:sz w:val="24"/>
          <w:szCs w:val="24"/>
        </w:rPr>
      </w:pPr>
      <w:r w:rsidRPr="00614E73">
        <w:rPr>
          <w:rFonts w:ascii="Times New Roman" w:hAnsi="Times New Roman"/>
          <w:b/>
          <w:sz w:val="24"/>
          <w:szCs w:val="24"/>
        </w:rPr>
        <w:t>ANI</w:t>
      </w:r>
      <w:r w:rsidR="008F095B">
        <w:rPr>
          <w:rFonts w:ascii="Times New Roman" w:hAnsi="Times New Roman"/>
          <w:b/>
          <w:sz w:val="24"/>
          <w:szCs w:val="24"/>
        </w:rPr>
        <w:t xml:space="preserve"> &amp; (AR</w:t>
      </w:r>
      <w:proofErr w:type="gramStart"/>
      <w:r w:rsidR="008F095B">
        <w:rPr>
          <w:rFonts w:ascii="Times New Roman" w:hAnsi="Times New Roman"/>
          <w:b/>
          <w:sz w:val="24"/>
          <w:szCs w:val="24"/>
        </w:rPr>
        <w:t>)^</w:t>
      </w:r>
      <w:proofErr w:type="gramEnd"/>
      <w:r w:rsidR="008F095B">
        <w:rPr>
          <w:rFonts w:ascii="Times New Roman" w:hAnsi="Times New Roman"/>
          <w:b/>
          <w:sz w:val="24"/>
          <w:szCs w:val="24"/>
        </w:rPr>
        <w:t>2</w:t>
      </w:r>
      <w:r w:rsidRPr="00614E73">
        <w:rPr>
          <w:rFonts w:ascii="Times New Roman" w:hAnsi="Times New Roman"/>
          <w:b/>
          <w:sz w:val="24"/>
          <w:szCs w:val="24"/>
        </w:rPr>
        <w:t>:</w:t>
      </w:r>
      <w:r w:rsidR="00614E73">
        <w:rPr>
          <w:rFonts w:ascii="Times New Roman" w:hAnsi="Times New Roman"/>
          <w:sz w:val="24"/>
          <w:szCs w:val="24"/>
        </w:rPr>
        <w:t xml:space="preserve"> </w:t>
      </w:r>
      <w:r w:rsidR="008F095B">
        <w:rPr>
          <w:rFonts w:ascii="Times New Roman" w:hAnsi="Times New Roman"/>
          <w:bCs/>
          <w:sz w:val="24"/>
          <w:szCs w:val="24"/>
        </w:rPr>
        <w:t>I</w:t>
      </w:r>
      <w:r w:rsidR="009B3DAD" w:rsidRPr="009B3DAD">
        <w:rPr>
          <w:rFonts w:ascii="Times New Roman" w:hAnsi="Times New Roman"/>
          <w:bCs/>
          <w:sz w:val="24"/>
          <w:szCs w:val="24"/>
        </w:rPr>
        <w:t>DWD continues to offer the ANI training</w:t>
      </w:r>
      <w:r w:rsidR="008F095B">
        <w:rPr>
          <w:rFonts w:ascii="Times New Roman" w:hAnsi="Times New Roman"/>
          <w:bCs/>
          <w:sz w:val="24"/>
          <w:szCs w:val="24"/>
        </w:rPr>
        <w:t xml:space="preserve"> using local program</w:t>
      </w:r>
      <w:r w:rsidR="002229CC">
        <w:rPr>
          <w:rFonts w:ascii="Times New Roman" w:hAnsi="Times New Roman"/>
          <w:bCs/>
          <w:sz w:val="24"/>
          <w:szCs w:val="24"/>
        </w:rPr>
        <w:t xml:space="preserve"> instructional </w:t>
      </w:r>
      <w:r w:rsidR="008F095B">
        <w:rPr>
          <w:rFonts w:ascii="Times New Roman" w:hAnsi="Times New Roman"/>
          <w:bCs/>
          <w:sz w:val="24"/>
          <w:szCs w:val="24"/>
        </w:rPr>
        <w:t>staff as lead trainers. Additions of</w:t>
      </w:r>
      <w:r w:rsidR="009B3DAD" w:rsidRPr="009B3DAD">
        <w:rPr>
          <w:rFonts w:ascii="Times New Roman" w:hAnsi="Times New Roman"/>
          <w:bCs/>
          <w:sz w:val="24"/>
          <w:szCs w:val="24"/>
        </w:rPr>
        <w:t xml:space="preserve"> webinars</w:t>
      </w:r>
      <w:r w:rsidR="008F095B">
        <w:rPr>
          <w:rFonts w:ascii="Times New Roman" w:hAnsi="Times New Roman"/>
          <w:bCs/>
          <w:sz w:val="24"/>
          <w:szCs w:val="24"/>
        </w:rPr>
        <w:t xml:space="preserve">, </w:t>
      </w:r>
      <w:r w:rsidR="009B3DAD" w:rsidRPr="009B3DAD">
        <w:rPr>
          <w:rFonts w:ascii="Times New Roman" w:hAnsi="Times New Roman"/>
          <w:bCs/>
          <w:sz w:val="24"/>
          <w:szCs w:val="24"/>
        </w:rPr>
        <w:t>peer observation</w:t>
      </w:r>
      <w:r w:rsidR="008F095B">
        <w:rPr>
          <w:rFonts w:ascii="Times New Roman" w:hAnsi="Times New Roman"/>
          <w:bCs/>
          <w:sz w:val="24"/>
          <w:szCs w:val="24"/>
        </w:rPr>
        <w:t>s, conference calls, and online discussion boards have allowed IDWD to incorporate more of the CCR standards Key Shifts and Mathematical Practices into our ANI training. During the reporting period, IDWD, in partnership with TERC, delivered a follow-up training to ANI entitled Adults Reaching Algebra Readiness, or (AR)^2. (A</w:t>
      </w:r>
      <w:r w:rsidR="00306C75">
        <w:rPr>
          <w:rFonts w:ascii="Times New Roman" w:hAnsi="Times New Roman"/>
          <w:bCs/>
          <w:sz w:val="24"/>
          <w:szCs w:val="24"/>
        </w:rPr>
        <w:t>R)^2 was delivered in a similar fashion to ANI, explicitly incorporating CCR standards Key Shifts and Mathematical Practices</w:t>
      </w:r>
      <w:r w:rsidR="002229CC">
        <w:rPr>
          <w:rFonts w:ascii="Times New Roman" w:hAnsi="Times New Roman"/>
          <w:bCs/>
          <w:sz w:val="24"/>
          <w:szCs w:val="24"/>
        </w:rPr>
        <w:t xml:space="preserve"> but focusing primarily on Algebra standards from the CCR. </w:t>
      </w:r>
    </w:p>
    <w:p w:rsidR="00614E73" w:rsidRPr="00614E73" w:rsidRDefault="00614E73" w:rsidP="009B3DAD">
      <w:pPr>
        <w:spacing w:after="0" w:line="240" w:lineRule="auto"/>
        <w:rPr>
          <w:rFonts w:ascii="Times New Roman" w:hAnsi="Times New Roman"/>
          <w:sz w:val="24"/>
          <w:szCs w:val="24"/>
        </w:rPr>
      </w:pPr>
    </w:p>
    <w:p w:rsidR="00A707B8" w:rsidRDefault="00A707B8" w:rsidP="009B3DAD">
      <w:pPr>
        <w:spacing w:after="0" w:line="240" w:lineRule="auto"/>
        <w:rPr>
          <w:rFonts w:ascii="Times New Roman" w:hAnsi="Times New Roman"/>
          <w:sz w:val="24"/>
          <w:szCs w:val="24"/>
        </w:rPr>
      </w:pPr>
      <w:r w:rsidRPr="00614E73">
        <w:rPr>
          <w:rFonts w:ascii="Times New Roman" w:hAnsi="Times New Roman"/>
          <w:b/>
          <w:sz w:val="24"/>
          <w:szCs w:val="24"/>
        </w:rPr>
        <w:t>SIA:</w:t>
      </w:r>
      <w:r w:rsidRPr="00614E73">
        <w:rPr>
          <w:rFonts w:ascii="Times New Roman" w:hAnsi="Times New Roman"/>
          <w:sz w:val="24"/>
          <w:szCs w:val="24"/>
        </w:rPr>
        <w:t xml:space="preserve"> Indiana attempted a small pilot of SIA Innovations 1 &amp; 2 with a work group of instructors and administrators throughout 2013. Because most participants had never worked with standards, alignment processes, or curriculum mapping before, they struggled both with buy-in and completing the activities. </w:t>
      </w:r>
      <w:r w:rsidR="002229CC">
        <w:rPr>
          <w:rFonts w:ascii="Times New Roman" w:hAnsi="Times New Roman"/>
          <w:sz w:val="24"/>
          <w:szCs w:val="24"/>
        </w:rPr>
        <w:t>I</w:t>
      </w:r>
      <w:r w:rsidRPr="00614E73">
        <w:rPr>
          <w:rFonts w:ascii="Times New Roman" w:hAnsi="Times New Roman"/>
          <w:sz w:val="24"/>
          <w:szCs w:val="24"/>
        </w:rPr>
        <w:t xml:space="preserve">DWD used these struggles and participant feedback to inform PD offered to the entire field in 2013 (see descriptions below). </w:t>
      </w:r>
      <w:r w:rsidR="002229CC">
        <w:rPr>
          <w:rFonts w:ascii="Times New Roman" w:hAnsi="Times New Roman"/>
          <w:sz w:val="24"/>
          <w:szCs w:val="24"/>
        </w:rPr>
        <w:t>IDWD partnered with LINCS to offer SIA training to a cohort of early adopter programs from across the state in the s</w:t>
      </w:r>
      <w:r w:rsidRPr="00614E73">
        <w:rPr>
          <w:rFonts w:ascii="Times New Roman" w:hAnsi="Times New Roman"/>
          <w:sz w:val="24"/>
          <w:szCs w:val="24"/>
        </w:rPr>
        <w:t>pring</w:t>
      </w:r>
      <w:r w:rsidR="00614E73">
        <w:rPr>
          <w:rFonts w:ascii="Times New Roman" w:hAnsi="Times New Roman"/>
          <w:sz w:val="24"/>
          <w:szCs w:val="24"/>
        </w:rPr>
        <w:t xml:space="preserve"> of 2014</w:t>
      </w:r>
      <w:r w:rsidR="002229CC">
        <w:rPr>
          <w:rFonts w:ascii="Times New Roman" w:hAnsi="Times New Roman"/>
          <w:sz w:val="24"/>
          <w:szCs w:val="24"/>
        </w:rPr>
        <w:t xml:space="preserve">. During the reporting period IDWD re-ran a modified version of the SIA training, with two additional cohorts of programs, one in the north and one in the south.  </w:t>
      </w:r>
      <w:r w:rsidR="000C3242">
        <w:rPr>
          <w:rFonts w:ascii="Times New Roman" w:hAnsi="Times New Roman"/>
          <w:sz w:val="24"/>
          <w:szCs w:val="24"/>
        </w:rPr>
        <w:t xml:space="preserve">IDWD will continue to modify and deliver SIA training in subsequent years, and is currently building a resources warehouse of CCRS aligned materials within the state’s distance learning PD platform, Blackboard. </w:t>
      </w:r>
    </w:p>
    <w:p w:rsidR="00614E73" w:rsidRPr="00614E73" w:rsidRDefault="00614E73" w:rsidP="009B3DAD">
      <w:pPr>
        <w:spacing w:after="0" w:line="240" w:lineRule="auto"/>
        <w:rPr>
          <w:rFonts w:ascii="Times New Roman" w:hAnsi="Times New Roman"/>
          <w:sz w:val="24"/>
          <w:szCs w:val="24"/>
        </w:rPr>
      </w:pPr>
    </w:p>
    <w:p w:rsidR="001773C9" w:rsidRDefault="00985AFD" w:rsidP="009B3DAD">
      <w:pPr>
        <w:spacing w:after="0" w:line="240" w:lineRule="auto"/>
        <w:rPr>
          <w:rFonts w:ascii="Times New Roman" w:hAnsi="Times New Roman"/>
          <w:b/>
          <w:sz w:val="24"/>
          <w:szCs w:val="24"/>
        </w:rPr>
      </w:pPr>
      <w:r>
        <w:rPr>
          <w:rFonts w:ascii="Times New Roman" w:hAnsi="Times New Roman"/>
          <w:b/>
          <w:sz w:val="24"/>
          <w:szCs w:val="24"/>
        </w:rPr>
        <w:t xml:space="preserve">ESL-4-ESL: </w:t>
      </w:r>
      <w:r w:rsidR="001773C9" w:rsidRPr="000645F3">
        <w:rPr>
          <w:rFonts w:ascii="Times New Roman" w:hAnsi="Times New Roman"/>
          <w:bCs/>
          <w:sz w:val="24"/>
          <w:szCs w:val="24"/>
        </w:rPr>
        <w:t>IDWD worked with subject matter experts to develop and deliver a 9-month-long extended learning cohort focused on Second Language Acquisition and ESL Teaching, Brain-Based Learning (BBL), Project Based Learning (PBL) Principles, and Technology Integration</w:t>
      </w:r>
      <w:r w:rsidR="00D7744E">
        <w:rPr>
          <w:rFonts w:ascii="Times New Roman" w:hAnsi="Times New Roman"/>
          <w:bCs/>
          <w:sz w:val="24"/>
          <w:szCs w:val="24"/>
        </w:rPr>
        <w:t xml:space="preserve"> which </w:t>
      </w:r>
      <w:r w:rsidR="00D7744E">
        <w:rPr>
          <w:rFonts w:ascii="Times New Roman" w:hAnsi="Times New Roman"/>
          <w:sz w:val="24"/>
          <w:szCs w:val="24"/>
        </w:rPr>
        <w:t>includes explicit instruction on CCR standards relevant to work English Language Learners. The training also discusses and models instructional techniques using the Key Instructional Shifts from the CCRS.</w:t>
      </w:r>
      <w:r w:rsidR="001773C9" w:rsidRPr="000645F3">
        <w:rPr>
          <w:rFonts w:ascii="Times New Roman" w:hAnsi="Times New Roman"/>
          <w:bCs/>
          <w:sz w:val="24"/>
          <w:szCs w:val="24"/>
        </w:rPr>
        <w:t xml:space="preserve"> ESL-4-ESL included 3 face-to-face training sessions (2 days per session) and 4 live webinars.  In addition, participants were required to implement strategies and tools in their classrooms as well as complete a variety of assignments via an online community of practice in between in-person trainings.</w:t>
      </w:r>
    </w:p>
    <w:p w:rsidR="00985AFD" w:rsidRDefault="00985AFD" w:rsidP="009B3DAD">
      <w:pPr>
        <w:spacing w:after="0" w:line="240" w:lineRule="auto"/>
        <w:rPr>
          <w:rFonts w:ascii="Times New Roman" w:hAnsi="Times New Roman"/>
          <w:b/>
          <w:sz w:val="24"/>
          <w:szCs w:val="24"/>
        </w:rPr>
      </w:pPr>
    </w:p>
    <w:p w:rsidR="00A707B8" w:rsidRDefault="00A707B8" w:rsidP="009B3DAD">
      <w:pPr>
        <w:spacing w:after="0" w:line="240" w:lineRule="auto"/>
        <w:rPr>
          <w:rFonts w:ascii="Times New Roman" w:hAnsi="Times New Roman"/>
          <w:sz w:val="24"/>
          <w:szCs w:val="24"/>
        </w:rPr>
      </w:pPr>
      <w:r w:rsidRPr="00614E73">
        <w:rPr>
          <w:rFonts w:ascii="Times New Roman" w:hAnsi="Times New Roman"/>
          <w:b/>
          <w:sz w:val="24"/>
          <w:szCs w:val="24"/>
        </w:rPr>
        <w:t xml:space="preserve">TASC </w:t>
      </w:r>
      <w:r w:rsidR="008F095B">
        <w:rPr>
          <w:rFonts w:ascii="Times New Roman" w:hAnsi="Times New Roman"/>
          <w:b/>
          <w:sz w:val="24"/>
          <w:szCs w:val="24"/>
        </w:rPr>
        <w:t>Resources</w:t>
      </w:r>
      <w:r w:rsidRPr="00614E73">
        <w:rPr>
          <w:rFonts w:ascii="Times New Roman" w:hAnsi="Times New Roman"/>
          <w:b/>
          <w:sz w:val="24"/>
          <w:szCs w:val="24"/>
        </w:rPr>
        <w:t xml:space="preserve">: </w:t>
      </w:r>
      <w:r w:rsidR="00614E73">
        <w:rPr>
          <w:rFonts w:ascii="Times New Roman" w:hAnsi="Times New Roman"/>
          <w:sz w:val="24"/>
          <w:szCs w:val="24"/>
        </w:rPr>
        <w:t>To support the</w:t>
      </w:r>
      <w:r w:rsidRPr="00614E73">
        <w:rPr>
          <w:rFonts w:ascii="Times New Roman" w:hAnsi="Times New Roman"/>
          <w:sz w:val="24"/>
          <w:szCs w:val="24"/>
        </w:rPr>
        <w:t xml:space="preserve"> on-going goal of focusing on student transitions into post-secondary training and employment opportunities, </w:t>
      </w:r>
      <w:r w:rsidR="000C3242">
        <w:rPr>
          <w:rFonts w:ascii="Times New Roman" w:hAnsi="Times New Roman"/>
          <w:sz w:val="24"/>
          <w:szCs w:val="24"/>
        </w:rPr>
        <w:t>I</w:t>
      </w:r>
      <w:r w:rsidRPr="00614E73">
        <w:rPr>
          <w:rFonts w:ascii="Times New Roman" w:hAnsi="Times New Roman"/>
          <w:sz w:val="24"/>
          <w:szCs w:val="24"/>
        </w:rPr>
        <w:t xml:space="preserve">DWD </w:t>
      </w:r>
      <w:r w:rsidR="008F095B">
        <w:rPr>
          <w:rFonts w:ascii="Times New Roman" w:hAnsi="Times New Roman"/>
          <w:sz w:val="24"/>
          <w:szCs w:val="24"/>
        </w:rPr>
        <w:t xml:space="preserve">continues our work with our HSE assessment vendor to provide resources demonstrating alignment between the </w:t>
      </w:r>
      <w:r w:rsidR="000C3242">
        <w:rPr>
          <w:rFonts w:ascii="Times New Roman" w:hAnsi="Times New Roman"/>
          <w:sz w:val="24"/>
          <w:szCs w:val="24"/>
        </w:rPr>
        <w:t xml:space="preserve">HSE assessment and the CCR standards. </w:t>
      </w:r>
    </w:p>
    <w:p w:rsidR="008F095B" w:rsidRDefault="008F095B" w:rsidP="009B3DAD">
      <w:pPr>
        <w:spacing w:after="0" w:line="240" w:lineRule="auto"/>
        <w:rPr>
          <w:rFonts w:ascii="Times New Roman" w:hAnsi="Times New Roman"/>
          <w:b/>
          <w:sz w:val="24"/>
          <w:szCs w:val="24"/>
        </w:rPr>
      </w:pPr>
    </w:p>
    <w:p w:rsidR="00A707B8" w:rsidRPr="00614E73" w:rsidRDefault="00985AFD" w:rsidP="009B3DAD">
      <w:pPr>
        <w:spacing w:after="0" w:line="240" w:lineRule="auto"/>
        <w:rPr>
          <w:rFonts w:ascii="Times New Roman" w:hAnsi="Times New Roman"/>
          <w:sz w:val="24"/>
          <w:szCs w:val="24"/>
        </w:rPr>
      </w:pPr>
      <w:r>
        <w:rPr>
          <w:rFonts w:ascii="Times New Roman" w:hAnsi="Times New Roman"/>
          <w:b/>
          <w:sz w:val="24"/>
          <w:szCs w:val="24"/>
        </w:rPr>
        <w:t>IN Teacher Competencies &amp; Induction Project</w:t>
      </w:r>
      <w:r w:rsidR="00A707B8" w:rsidRPr="00614E73">
        <w:rPr>
          <w:rFonts w:ascii="Times New Roman" w:hAnsi="Times New Roman"/>
          <w:b/>
          <w:sz w:val="24"/>
          <w:szCs w:val="24"/>
        </w:rPr>
        <w:t>:</w:t>
      </w:r>
      <w:r w:rsidR="00614E73">
        <w:rPr>
          <w:rFonts w:ascii="Times New Roman" w:hAnsi="Times New Roman"/>
          <w:sz w:val="24"/>
          <w:szCs w:val="24"/>
        </w:rPr>
        <w:t xml:space="preserve"> </w:t>
      </w:r>
      <w:r>
        <w:rPr>
          <w:rFonts w:ascii="Times New Roman" w:hAnsi="Times New Roman"/>
          <w:sz w:val="24"/>
          <w:szCs w:val="24"/>
        </w:rPr>
        <w:t>Throughout 2014 I</w:t>
      </w:r>
      <w:r w:rsidR="00614E73">
        <w:rPr>
          <w:rFonts w:ascii="Times New Roman" w:hAnsi="Times New Roman"/>
          <w:sz w:val="24"/>
          <w:szCs w:val="24"/>
        </w:rPr>
        <w:t xml:space="preserve">DWD </w:t>
      </w:r>
      <w:r>
        <w:rPr>
          <w:rFonts w:ascii="Times New Roman" w:hAnsi="Times New Roman"/>
          <w:sz w:val="24"/>
          <w:szCs w:val="24"/>
        </w:rPr>
        <w:t xml:space="preserve">convened a workgroup of diverse local program AE staff to conduct research on and develop a set of IN AE teacher competencies. </w:t>
      </w:r>
      <w:r w:rsidR="00D2659D">
        <w:rPr>
          <w:rFonts w:ascii="Times New Roman" w:hAnsi="Times New Roman"/>
          <w:sz w:val="24"/>
          <w:szCs w:val="24"/>
        </w:rPr>
        <w:t xml:space="preserve">This resulted in a set of draft competencies which included benchmarks and performance indicators </w:t>
      </w:r>
      <w:r w:rsidR="00D2659D">
        <w:rPr>
          <w:rFonts w:ascii="Times New Roman" w:hAnsi="Times New Roman"/>
          <w:sz w:val="24"/>
          <w:szCs w:val="24"/>
        </w:rPr>
        <w:lastRenderedPageBreak/>
        <w:t xml:space="preserve">placing a heavy emphasis on understanding and using the CCRS in instruction, performance monitoring, and staff development. </w:t>
      </w:r>
    </w:p>
    <w:p w:rsidR="00A707B8" w:rsidRPr="00614E73" w:rsidRDefault="00A707B8" w:rsidP="009B3DAD">
      <w:pPr>
        <w:spacing w:after="0" w:line="240" w:lineRule="auto"/>
        <w:rPr>
          <w:rFonts w:ascii="Times New Roman" w:hAnsi="Times New Roman"/>
          <w:sz w:val="24"/>
          <w:szCs w:val="24"/>
        </w:rPr>
      </w:pPr>
    </w:p>
    <w:p w:rsidR="00BC2C74" w:rsidRDefault="0048468D" w:rsidP="009B3DAD">
      <w:pPr>
        <w:spacing w:after="0" w:line="240" w:lineRule="auto"/>
        <w:rPr>
          <w:rFonts w:ascii="Times New Roman" w:hAnsi="Times New Roman"/>
          <w:sz w:val="24"/>
          <w:szCs w:val="24"/>
        </w:rPr>
      </w:pPr>
      <w:r w:rsidRPr="00614E73">
        <w:rPr>
          <w:rFonts w:ascii="Times New Roman" w:hAnsi="Times New Roman"/>
          <w:sz w:val="24"/>
          <w:szCs w:val="24"/>
        </w:rPr>
        <w:t xml:space="preserve">Another opportunity for CCRS implementation exists in </w:t>
      </w:r>
      <w:r w:rsidR="00614E73">
        <w:rPr>
          <w:rFonts w:ascii="Times New Roman" w:hAnsi="Times New Roman"/>
          <w:sz w:val="24"/>
          <w:szCs w:val="24"/>
        </w:rPr>
        <w:t xml:space="preserve">the </w:t>
      </w:r>
      <w:r w:rsidRPr="00614E73">
        <w:rPr>
          <w:rFonts w:ascii="Times New Roman" w:hAnsi="Times New Roman"/>
          <w:sz w:val="24"/>
          <w:szCs w:val="24"/>
        </w:rPr>
        <w:t xml:space="preserve">current AE priorities concerning student transitions and anticipated requirements under WIOA. </w:t>
      </w:r>
    </w:p>
    <w:p w:rsidR="00BC2C74" w:rsidRDefault="00BC2C74" w:rsidP="009B3DAD">
      <w:pPr>
        <w:spacing w:after="0" w:line="240" w:lineRule="auto"/>
        <w:rPr>
          <w:rFonts w:ascii="Times New Roman" w:hAnsi="Times New Roman"/>
          <w:sz w:val="24"/>
          <w:szCs w:val="24"/>
        </w:rPr>
      </w:pPr>
    </w:p>
    <w:p w:rsidR="0048468D" w:rsidRPr="00614E73" w:rsidRDefault="0048468D" w:rsidP="009B3DAD">
      <w:pPr>
        <w:spacing w:after="0" w:line="240" w:lineRule="auto"/>
        <w:rPr>
          <w:rFonts w:ascii="Times New Roman" w:hAnsi="Times New Roman"/>
          <w:sz w:val="24"/>
          <w:szCs w:val="24"/>
        </w:rPr>
      </w:pPr>
      <w:r w:rsidRPr="00614E73">
        <w:rPr>
          <w:rFonts w:ascii="Times New Roman" w:hAnsi="Times New Roman"/>
          <w:sz w:val="24"/>
          <w:szCs w:val="24"/>
        </w:rPr>
        <w:t>State transition goals include:</w:t>
      </w:r>
    </w:p>
    <w:p w:rsidR="0048468D" w:rsidRPr="000C3242" w:rsidRDefault="0048468D" w:rsidP="000C3242">
      <w:pPr>
        <w:pStyle w:val="ListParagraph"/>
        <w:numPr>
          <w:ilvl w:val="0"/>
          <w:numId w:val="31"/>
        </w:numPr>
        <w:rPr>
          <w:rFonts w:ascii="Times New Roman" w:hAnsi="Times New Roman"/>
          <w:sz w:val="24"/>
          <w:szCs w:val="24"/>
        </w:rPr>
      </w:pPr>
      <w:r w:rsidRPr="000C3242">
        <w:rPr>
          <w:rFonts w:ascii="Times New Roman" w:hAnsi="Times New Roman"/>
          <w:sz w:val="24"/>
          <w:szCs w:val="24"/>
        </w:rPr>
        <w:t>By PY15 all local programs will be required to identify transition staff and hours allocated to transitions implementation.</w:t>
      </w:r>
    </w:p>
    <w:p w:rsidR="0048468D" w:rsidRPr="000C3242" w:rsidRDefault="0048468D" w:rsidP="000C3242">
      <w:pPr>
        <w:pStyle w:val="ListParagraph"/>
        <w:numPr>
          <w:ilvl w:val="0"/>
          <w:numId w:val="31"/>
        </w:numPr>
        <w:rPr>
          <w:rFonts w:ascii="Times New Roman" w:hAnsi="Times New Roman"/>
          <w:sz w:val="24"/>
          <w:szCs w:val="24"/>
        </w:rPr>
      </w:pPr>
      <w:r w:rsidRPr="000C3242">
        <w:rPr>
          <w:rFonts w:ascii="Times New Roman" w:hAnsi="Times New Roman"/>
          <w:sz w:val="24"/>
          <w:szCs w:val="24"/>
        </w:rPr>
        <w:t xml:space="preserve">By PY15 all local programs will be required to offer </w:t>
      </w:r>
      <w:r w:rsidR="00D7744E">
        <w:rPr>
          <w:rFonts w:ascii="Times New Roman" w:hAnsi="Times New Roman"/>
          <w:sz w:val="24"/>
          <w:szCs w:val="24"/>
        </w:rPr>
        <w:t>employability</w:t>
      </w:r>
      <w:r w:rsidRPr="000C3242">
        <w:rPr>
          <w:rFonts w:ascii="Times New Roman" w:hAnsi="Times New Roman"/>
          <w:sz w:val="24"/>
          <w:szCs w:val="24"/>
        </w:rPr>
        <w:t>/work ethics training as part of adult education curriculum.</w:t>
      </w:r>
    </w:p>
    <w:p w:rsidR="0048468D" w:rsidRPr="000C3242" w:rsidRDefault="0048468D" w:rsidP="000C3242">
      <w:pPr>
        <w:pStyle w:val="ListParagraph"/>
        <w:numPr>
          <w:ilvl w:val="0"/>
          <w:numId w:val="31"/>
        </w:numPr>
        <w:rPr>
          <w:rFonts w:ascii="Times New Roman" w:hAnsi="Times New Roman"/>
          <w:sz w:val="24"/>
          <w:szCs w:val="24"/>
        </w:rPr>
      </w:pPr>
      <w:r w:rsidRPr="000C3242">
        <w:rPr>
          <w:rFonts w:ascii="Times New Roman" w:hAnsi="Times New Roman"/>
          <w:sz w:val="24"/>
          <w:szCs w:val="24"/>
        </w:rPr>
        <w:t xml:space="preserve">By May 2016 </w:t>
      </w:r>
      <w:r w:rsidR="00D7744E">
        <w:rPr>
          <w:rFonts w:ascii="Times New Roman" w:hAnsi="Times New Roman"/>
          <w:sz w:val="24"/>
          <w:szCs w:val="24"/>
        </w:rPr>
        <w:t>IDWD</w:t>
      </w:r>
      <w:r w:rsidRPr="000C3242">
        <w:rPr>
          <w:rFonts w:ascii="Times New Roman" w:hAnsi="Times New Roman"/>
          <w:sz w:val="24"/>
          <w:szCs w:val="24"/>
        </w:rPr>
        <w:t xml:space="preserve"> will complete Moving Pathways Forward </w:t>
      </w:r>
      <w:r w:rsidR="0078561E">
        <w:rPr>
          <w:rFonts w:ascii="Times New Roman" w:hAnsi="Times New Roman"/>
          <w:sz w:val="24"/>
          <w:szCs w:val="24"/>
        </w:rPr>
        <w:t xml:space="preserve">pilot </w:t>
      </w:r>
      <w:r w:rsidRPr="000C3242">
        <w:rPr>
          <w:rFonts w:ascii="Times New Roman" w:hAnsi="Times New Roman"/>
          <w:sz w:val="24"/>
          <w:szCs w:val="24"/>
        </w:rPr>
        <w:t>project</w:t>
      </w:r>
      <w:proofErr w:type="gramStart"/>
      <w:r w:rsidR="0078561E">
        <w:rPr>
          <w:rFonts w:ascii="Times New Roman" w:hAnsi="Times New Roman"/>
          <w:sz w:val="24"/>
          <w:szCs w:val="24"/>
        </w:rPr>
        <w:t>.</w:t>
      </w:r>
      <w:r w:rsidRPr="000C3242">
        <w:rPr>
          <w:rFonts w:ascii="Times New Roman" w:hAnsi="Times New Roman"/>
          <w:sz w:val="24"/>
          <w:szCs w:val="24"/>
        </w:rPr>
        <w:t>.</w:t>
      </w:r>
      <w:proofErr w:type="gramEnd"/>
    </w:p>
    <w:p w:rsidR="0048468D" w:rsidRPr="000C3242" w:rsidRDefault="0048468D" w:rsidP="000C3242">
      <w:pPr>
        <w:pStyle w:val="ListParagraph"/>
        <w:numPr>
          <w:ilvl w:val="0"/>
          <w:numId w:val="31"/>
        </w:numPr>
        <w:rPr>
          <w:rFonts w:ascii="Times New Roman" w:hAnsi="Times New Roman"/>
          <w:sz w:val="24"/>
          <w:szCs w:val="24"/>
        </w:rPr>
      </w:pPr>
      <w:r w:rsidRPr="000C3242">
        <w:rPr>
          <w:rFonts w:ascii="Times New Roman" w:hAnsi="Times New Roman"/>
          <w:sz w:val="24"/>
          <w:szCs w:val="24"/>
        </w:rPr>
        <w:t xml:space="preserve">By PY16 50% of students with a traditional HS diploma or HSE diploma earners will enter a </w:t>
      </w:r>
      <w:r w:rsidR="00D2659D" w:rsidRPr="000C3242">
        <w:rPr>
          <w:rFonts w:ascii="Times New Roman" w:hAnsi="Times New Roman"/>
          <w:sz w:val="24"/>
          <w:szCs w:val="24"/>
        </w:rPr>
        <w:t>post-secondary</w:t>
      </w:r>
      <w:r w:rsidRPr="000C3242">
        <w:rPr>
          <w:rFonts w:ascii="Times New Roman" w:hAnsi="Times New Roman"/>
          <w:sz w:val="24"/>
          <w:szCs w:val="24"/>
        </w:rPr>
        <w:t xml:space="preserve"> training program.</w:t>
      </w:r>
    </w:p>
    <w:p w:rsidR="0048468D" w:rsidRPr="000C3242" w:rsidRDefault="0048468D" w:rsidP="000C3242">
      <w:pPr>
        <w:pStyle w:val="ListParagraph"/>
        <w:numPr>
          <w:ilvl w:val="0"/>
          <w:numId w:val="31"/>
        </w:numPr>
        <w:rPr>
          <w:rFonts w:ascii="Times New Roman" w:hAnsi="Times New Roman"/>
          <w:sz w:val="24"/>
          <w:szCs w:val="24"/>
        </w:rPr>
      </w:pPr>
      <w:r w:rsidRPr="000C3242">
        <w:rPr>
          <w:rFonts w:ascii="Times New Roman" w:hAnsi="Times New Roman"/>
          <w:sz w:val="24"/>
          <w:szCs w:val="24"/>
        </w:rPr>
        <w:t xml:space="preserve">Support </w:t>
      </w:r>
      <w:r w:rsidR="00D7744E">
        <w:rPr>
          <w:rFonts w:ascii="Times New Roman" w:hAnsi="Times New Roman"/>
          <w:sz w:val="24"/>
          <w:szCs w:val="24"/>
        </w:rPr>
        <w:t>I</w:t>
      </w:r>
      <w:r w:rsidRPr="000C3242">
        <w:rPr>
          <w:rFonts w:ascii="Times New Roman" w:hAnsi="Times New Roman"/>
          <w:sz w:val="24"/>
          <w:szCs w:val="24"/>
        </w:rPr>
        <w:t>DWD Youth staff in serving more out-of-school youth</w:t>
      </w:r>
    </w:p>
    <w:p w:rsidR="0048468D" w:rsidRPr="000C3242" w:rsidRDefault="0048468D" w:rsidP="000C3242">
      <w:pPr>
        <w:pStyle w:val="ListParagraph"/>
        <w:numPr>
          <w:ilvl w:val="0"/>
          <w:numId w:val="31"/>
        </w:numPr>
        <w:rPr>
          <w:rFonts w:ascii="Times New Roman" w:hAnsi="Times New Roman"/>
          <w:sz w:val="24"/>
          <w:szCs w:val="24"/>
        </w:rPr>
      </w:pPr>
      <w:r w:rsidRPr="000C3242">
        <w:rPr>
          <w:rFonts w:ascii="Times New Roman" w:hAnsi="Times New Roman"/>
          <w:sz w:val="24"/>
          <w:szCs w:val="24"/>
        </w:rPr>
        <w:t>Align adult education content standards to the Indiana Academic Standards per WIOA regulations.</w:t>
      </w:r>
    </w:p>
    <w:p w:rsidR="0048468D" w:rsidRPr="0048468D" w:rsidRDefault="0048468D" w:rsidP="009B3DAD">
      <w:pPr>
        <w:spacing w:after="0" w:line="240" w:lineRule="auto"/>
        <w:rPr>
          <w:rFonts w:ascii="Times New Roman" w:hAnsi="Times New Roman"/>
          <w:sz w:val="24"/>
          <w:szCs w:val="24"/>
        </w:rPr>
      </w:pPr>
    </w:p>
    <w:p w:rsidR="00CF5A35" w:rsidRDefault="00102AB2" w:rsidP="009B3DAD">
      <w:pPr>
        <w:pStyle w:val="NoSpacing"/>
        <w:rPr>
          <w:b/>
        </w:rPr>
      </w:pPr>
      <w:r>
        <w:rPr>
          <w:rFonts w:eastAsia="Calibri"/>
          <w:b/>
        </w:rPr>
        <w:t>Conclusion</w:t>
      </w:r>
    </w:p>
    <w:p w:rsidR="003417BC" w:rsidRDefault="0026537C" w:rsidP="009B3DAD">
      <w:pPr>
        <w:spacing w:after="0" w:line="240" w:lineRule="auto"/>
        <w:rPr>
          <w:rFonts w:ascii="Times New Roman" w:hAnsi="Times New Roman"/>
          <w:sz w:val="24"/>
          <w:szCs w:val="24"/>
        </w:rPr>
      </w:pPr>
      <w:r>
        <w:rPr>
          <w:rFonts w:ascii="Times New Roman" w:hAnsi="Times New Roman"/>
          <w:sz w:val="24"/>
          <w:szCs w:val="24"/>
        </w:rPr>
        <w:t xml:space="preserve">Indiana’s adult education system </w:t>
      </w:r>
      <w:r w:rsidR="00614E73">
        <w:rPr>
          <w:rFonts w:ascii="Times New Roman" w:hAnsi="Times New Roman"/>
          <w:sz w:val="24"/>
          <w:szCs w:val="24"/>
        </w:rPr>
        <w:t xml:space="preserve">continues to make </w:t>
      </w:r>
      <w:r>
        <w:rPr>
          <w:rFonts w:ascii="Times New Roman" w:hAnsi="Times New Roman"/>
          <w:sz w:val="24"/>
          <w:szCs w:val="24"/>
        </w:rPr>
        <w:t>great strides</w:t>
      </w:r>
      <w:r w:rsidR="00614E73">
        <w:rPr>
          <w:rFonts w:ascii="Times New Roman" w:hAnsi="Times New Roman"/>
          <w:sz w:val="24"/>
          <w:szCs w:val="24"/>
        </w:rPr>
        <w:t>, after multiple year</w:t>
      </w:r>
      <w:r w:rsidR="006C4A70">
        <w:rPr>
          <w:rFonts w:ascii="Times New Roman" w:hAnsi="Times New Roman"/>
          <w:sz w:val="24"/>
          <w:szCs w:val="24"/>
        </w:rPr>
        <w:t>s of much change and transition</w:t>
      </w:r>
      <w:r>
        <w:rPr>
          <w:rFonts w:ascii="Times New Roman" w:hAnsi="Times New Roman"/>
          <w:sz w:val="24"/>
          <w:szCs w:val="24"/>
        </w:rPr>
        <w:t xml:space="preserve">. </w:t>
      </w:r>
      <w:r w:rsidR="00614E73">
        <w:rPr>
          <w:rFonts w:ascii="Times New Roman" w:hAnsi="Times New Roman"/>
          <w:sz w:val="24"/>
          <w:szCs w:val="24"/>
        </w:rPr>
        <w:t>Indiana continues to refine the</w:t>
      </w:r>
      <w:r w:rsidR="003417BC">
        <w:rPr>
          <w:rFonts w:ascii="Times New Roman" w:hAnsi="Times New Roman"/>
          <w:sz w:val="24"/>
          <w:szCs w:val="24"/>
        </w:rPr>
        <w:t xml:space="preserve"> perfo</w:t>
      </w:r>
      <w:r w:rsidR="00614E73">
        <w:rPr>
          <w:rFonts w:ascii="Times New Roman" w:hAnsi="Times New Roman"/>
          <w:sz w:val="24"/>
          <w:szCs w:val="24"/>
        </w:rPr>
        <w:t>rmance-based funding model to help support</w:t>
      </w:r>
      <w:r w:rsidR="003417BC">
        <w:rPr>
          <w:rFonts w:ascii="Times New Roman" w:hAnsi="Times New Roman"/>
          <w:sz w:val="24"/>
          <w:szCs w:val="24"/>
        </w:rPr>
        <w:t xml:space="preserve"> programs to focus on serving adult learners in a high-quality and efficient manner, with an increased emphasis on learner engagement, completion, and transition to postsecondary or career. </w:t>
      </w:r>
    </w:p>
    <w:p w:rsidR="003417BC" w:rsidRDefault="003417BC" w:rsidP="009B3DAD">
      <w:pPr>
        <w:spacing w:after="0" w:line="240" w:lineRule="auto"/>
        <w:rPr>
          <w:rFonts w:ascii="Times New Roman" w:hAnsi="Times New Roman"/>
          <w:sz w:val="24"/>
          <w:szCs w:val="24"/>
        </w:rPr>
      </w:pPr>
    </w:p>
    <w:p w:rsidR="0081280E" w:rsidRDefault="00E72067" w:rsidP="009B3DAD">
      <w:pPr>
        <w:spacing w:after="0" w:line="240" w:lineRule="auto"/>
        <w:rPr>
          <w:rFonts w:ascii="Times New Roman" w:hAnsi="Times New Roman"/>
          <w:sz w:val="24"/>
          <w:szCs w:val="24"/>
        </w:rPr>
      </w:pPr>
      <w:r>
        <w:rPr>
          <w:rFonts w:ascii="Times New Roman" w:hAnsi="Times New Roman"/>
          <w:sz w:val="24"/>
          <w:szCs w:val="24"/>
        </w:rPr>
        <w:t>The continued</w:t>
      </w:r>
      <w:r w:rsidR="003417BC">
        <w:rPr>
          <w:rFonts w:ascii="Times New Roman" w:hAnsi="Times New Roman"/>
          <w:sz w:val="24"/>
          <w:szCs w:val="24"/>
        </w:rPr>
        <w:t xml:space="preserve"> investment of state leadership dollars into a robust system of professional development </w:t>
      </w:r>
      <w:r>
        <w:rPr>
          <w:rFonts w:ascii="Times New Roman" w:hAnsi="Times New Roman"/>
          <w:sz w:val="24"/>
          <w:szCs w:val="24"/>
        </w:rPr>
        <w:t>led to a series of events</w:t>
      </w:r>
      <w:r w:rsidR="0026537C">
        <w:rPr>
          <w:rFonts w:ascii="Times New Roman" w:hAnsi="Times New Roman"/>
          <w:sz w:val="24"/>
          <w:szCs w:val="24"/>
        </w:rPr>
        <w:t xml:space="preserve"> that engaged </w:t>
      </w:r>
      <w:r>
        <w:rPr>
          <w:rFonts w:ascii="Times New Roman" w:hAnsi="Times New Roman"/>
          <w:sz w:val="24"/>
          <w:szCs w:val="24"/>
        </w:rPr>
        <w:t>the majority</w:t>
      </w:r>
      <w:r w:rsidR="0026537C">
        <w:rPr>
          <w:rFonts w:ascii="Times New Roman" w:hAnsi="Times New Roman"/>
          <w:sz w:val="24"/>
          <w:szCs w:val="24"/>
        </w:rPr>
        <w:t xml:space="preserve"> of the practitioner population.</w:t>
      </w:r>
      <w:r w:rsidR="003417BC">
        <w:rPr>
          <w:rFonts w:ascii="Times New Roman" w:hAnsi="Times New Roman"/>
          <w:sz w:val="24"/>
          <w:szCs w:val="24"/>
        </w:rPr>
        <w:t xml:space="preserve"> </w:t>
      </w:r>
      <w:r w:rsidR="006C4A70">
        <w:rPr>
          <w:rFonts w:ascii="Times New Roman" w:hAnsi="Times New Roman"/>
          <w:sz w:val="24"/>
          <w:szCs w:val="24"/>
        </w:rPr>
        <w:t>As</w:t>
      </w:r>
      <w:r>
        <w:rPr>
          <w:rFonts w:ascii="Times New Roman" w:hAnsi="Times New Roman"/>
          <w:sz w:val="24"/>
          <w:szCs w:val="24"/>
        </w:rPr>
        <w:t xml:space="preserve"> detailed above, I</w:t>
      </w:r>
      <w:r w:rsidR="003417BC">
        <w:rPr>
          <w:rFonts w:ascii="Times New Roman" w:hAnsi="Times New Roman"/>
          <w:sz w:val="24"/>
          <w:szCs w:val="24"/>
        </w:rPr>
        <w:t>DWD</w:t>
      </w:r>
      <w:r w:rsidR="0081280E">
        <w:rPr>
          <w:rFonts w:ascii="Times New Roman" w:hAnsi="Times New Roman"/>
          <w:sz w:val="24"/>
          <w:szCs w:val="24"/>
        </w:rPr>
        <w:t xml:space="preserve"> </w:t>
      </w:r>
      <w:r>
        <w:rPr>
          <w:rFonts w:ascii="Times New Roman" w:hAnsi="Times New Roman"/>
          <w:sz w:val="24"/>
          <w:szCs w:val="24"/>
        </w:rPr>
        <w:t>continues to</w:t>
      </w:r>
      <w:r w:rsidR="0081280E">
        <w:rPr>
          <w:rFonts w:ascii="Times New Roman" w:hAnsi="Times New Roman"/>
          <w:sz w:val="24"/>
          <w:szCs w:val="24"/>
        </w:rPr>
        <w:t xml:space="preserve"> focus professional development </w:t>
      </w:r>
      <w:r>
        <w:rPr>
          <w:rFonts w:ascii="Times New Roman" w:hAnsi="Times New Roman"/>
          <w:sz w:val="24"/>
          <w:szCs w:val="24"/>
        </w:rPr>
        <w:t xml:space="preserve">opportunities </w:t>
      </w:r>
      <w:r w:rsidR="0081280E">
        <w:rPr>
          <w:rFonts w:ascii="Times New Roman" w:hAnsi="Times New Roman"/>
          <w:sz w:val="24"/>
          <w:szCs w:val="24"/>
        </w:rPr>
        <w:t xml:space="preserve">on </w:t>
      </w:r>
      <w:r w:rsidR="006C4A70">
        <w:rPr>
          <w:rFonts w:ascii="Times New Roman" w:hAnsi="Times New Roman"/>
          <w:sz w:val="24"/>
          <w:szCs w:val="24"/>
        </w:rPr>
        <w:t>College and Career R</w:t>
      </w:r>
      <w:r w:rsidR="003417BC">
        <w:rPr>
          <w:rFonts w:ascii="Times New Roman" w:hAnsi="Times New Roman"/>
          <w:sz w:val="24"/>
          <w:szCs w:val="24"/>
        </w:rPr>
        <w:t xml:space="preserve">eadiness and the development of materials </w:t>
      </w:r>
      <w:r>
        <w:rPr>
          <w:rFonts w:ascii="Times New Roman" w:hAnsi="Times New Roman"/>
          <w:sz w:val="24"/>
          <w:szCs w:val="24"/>
        </w:rPr>
        <w:t>hosted on</w:t>
      </w:r>
      <w:r w:rsidR="003417BC">
        <w:rPr>
          <w:rFonts w:ascii="Times New Roman" w:hAnsi="Times New Roman"/>
          <w:sz w:val="24"/>
          <w:szCs w:val="24"/>
        </w:rPr>
        <w:t xml:space="preserve"> AmplifyAE.org</w:t>
      </w:r>
      <w:r>
        <w:rPr>
          <w:rFonts w:ascii="Times New Roman" w:hAnsi="Times New Roman"/>
          <w:sz w:val="24"/>
          <w:szCs w:val="24"/>
        </w:rPr>
        <w:t>.</w:t>
      </w:r>
    </w:p>
    <w:p w:rsidR="0081280E" w:rsidRDefault="00E72067" w:rsidP="009B3DAD">
      <w:pPr>
        <w:tabs>
          <w:tab w:val="left" w:pos="6195"/>
        </w:tabs>
        <w:spacing w:after="0" w:line="240" w:lineRule="auto"/>
        <w:rPr>
          <w:rFonts w:ascii="Times New Roman" w:hAnsi="Times New Roman"/>
          <w:sz w:val="24"/>
          <w:szCs w:val="24"/>
        </w:rPr>
      </w:pPr>
      <w:r>
        <w:rPr>
          <w:rFonts w:ascii="Times New Roman" w:hAnsi="Times New Roman"/>
          <w:sz w:val="24"/>
          <w:szCs w:val="24"/>
        </w:rPr>
        <w:tab/>
      </w:r>
    </w:p>
    <w:p w:rsidR="0081280E" w:rsidRDefault="00E72067" w:rsidP="009B3DAD">
      <w:pPr>
        <w:spacing w:after="0" w:line="240" w:lineRule="auto"/>
        <w:rPr>
          <w:rFonts w:ascii="Times New Roman" w:hAnsi="Times New Roman"/>
          <w:sz w:val="24"/>
          <w:szCs w:val="24"/>
        </w:rPr>
      </w:pPr>
      <w:r>
        <w:rPr>
          <w:rFonts w:ascii="Times New Roman" w:hAnsi="Times New Roman"/>
          <w:sz w:val="24"/>
          <w:szCs w:val="24"/>
        </w:rPr>
        <w:t>I</w:t>
      </w:r>
      <w:r w:rsidR="0081280E">
        <w:rPr>
          <w:rFonts w:ascii="Times New Roman" w:hAnsi="Times New Roman"/>
          <w:sz w:val="24"/>
          <w:szCs w:val="24"/>
        </w:rPr>
        <w:t>DWD launched the WorkINdiana occupational certification</w:t>
      </w:r>
      <w:r>
        <w:rPr>
          <w:rFonts w:ascii="Times New Roman" w:hAnsi="Times New Roman"/>
          <w:sz w:val="24"/>
          <w:szCs w:val="24"/>
        </w:rPr>
        <w:t xml:space="preserve"> program in PY 2011. </w:t>
      </w:r>
      <w:r w:rsidR="0081280E">
        <w:rPr>
          <w:rFonts w:ascii="Times New Roman" w:hAnsi="Times New Roman"/>
          <w:sz w:val="24"/>
          <w:szCs w:val="24"/>
        </w:rPr>
        <w:t xml:space="preserve">This statewide training program is only available to adult education students and is an excellent way to help them achieve the entry-level credentials they need to enter a career pathway in a promising industry sector in Indiana. </w:t>
      </w:r>
      <w:r>
        <w:rPr>
          <w:rFonts w:ascii="Times New Roman" w:hAnsi="Times New Roman"/>
          <w:sz w:val="24"/>
          <w:szCs w:val="24"/>
        </w:rPr>
        <w:t>The PY 2013 outcomes, such as 7</w:t>
      </w:r>
      <w:r w:rsidR="00D62AF1">
        <w:rPr>
          <w:rFonts w:ascii="Times New Roman" w:hAnsi="Times New Roman"/>
          <w:sz w:val="24"/>
          <w:szCs w:val="24"/>
        </w:rPr>
        <w:t>9</w:t>
      </w:r>
      <w:r>
        <w:rPr>
          <w:rFonts w:ascii="Times New Roman" w:hAnsi="Times New Roman"/>
          <w:sz w:val="24"/>
          <w:szCs w:val="24"/>
        </w:rPr>
        <w:t xml:space="preserve">% of students who enroll go on to earn a certification, support the growth and success of this program.  </w:t>
      </w:r>
    </w:p>
    <w:p w:rsidR="000F48CA" w:rsidRDefault="000F48CA" w:rsidP="009B3DAD">
      <w:pPr>
        <w:spacing w:after="0" w:line="240" w:lineRule="auto"/>
        <w:rPr>
          <w:rFonts w:ascii="Times New Roman" w:hAnsi="Times New Roman"/>
          <w:sz w:val="24"/>
          <w:szCs w:val="24"/>
        </w:rPr>
      </w:pPr>
    </w:p>
    <w:p w:rsidR="009B3DAD" w:rsidRDefault="00E72067" w:rsidP="009B3DAD">
      <w:pPr>
        <w:spacing w:after="0" w:line="240" w:lineRule="auto"/>
        <w:rPr>
          <w:rFonts w:ascii="Times New Roman" w:hAnsi="Times New Roman"/>
          <w:sz w:val="24"/>
          <w:szCs w:val="24"/>
        </w:rPr>
      </w:pPr>
      <w:r>
        <w:rPr>
          <w:rFonts w:ascii="Times New Roman" w:hAnsi="Times New Roman"/>
          <w:sz w:val="24"/>
          <w:szCs w:val="24"/>
        </w:rPr>
        <w:t>In the coming year, IDWD will continue to focus on supporting Adult Education programs making yet another shift to prioritize looking beyond the HSE, helping students make successful transitions to postsecondary training or employment utilizing career pathways</w:t>
      </w:r>
      <w:r w:rsidR="009B3DAD">
        <w:rPr>
          <w:rFonts w:ascii="Times New Roman" w:hAnsi="Times New Roman"/>
          <w:sz w:val="24"/>
          <w:szCs w:val="24"/>
        </w:rPr>
        <w:t>.</w:t>
      </w:r>
    </w:p>
    <w:p w:rsidR="00CA2022" w:rsidRDefault="00CA2022" w:rsidP="009B3DAD">
      <w:pPr>
        <w:spacing w:after="0" w:line="240" w:lineRule="auto"/>
        <w:rPr>
          <w:rFonts w:ascii="Times New Roman" w:hAnsi="Times New Roman"/>
          <w:sz w:val="24"/>
          <w:szCs w:val="24"/>
        </w:rPr>
      </w:pPr>
    </w:p>
    <w:sectPr w:rsidR="00CA2022" w:rsidSect="00BF620E">
      <w:footerReference w:type="default" r:id="rId13"/>
      <w:pgSz w:w="12240" w:h="15840"/>
      <w:pgMar w:top="1260" w:right="1080" w:bottom="1260" w:left="1080" w:header="720" w:footer="288"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FDEAA4" w15:done="0"/>
  <w15:commentEx w15:paraId="711F7CE7" w15:done="0"/>
  <w15:commentEx w15:paraId="60079643" w15:done="0"/>
  <w15:commentEx w15:paraId="1E1C7B5B" w15:done="0"/>
  <w15:commentEx w15:paraId="45B524EE" w15:done="0"/>
  <w15:commentEx w15:paraId="51569441" w15:done="0"/>
  <w15:commentEx w15:paraId="01825AA2" w15:done="0"/>
  <w15:commentEx w15:paraId="00DBA43D" w15:done="0"/>
  <w15:commentEx w15:paraId="05387229" w15:done="0"/>
  <w15:commentEx w15:paraId="61803E22" w15:done="0"/>
  <w15:commentEx w15:paraId="0FDC8880" w15:done="0"/>
  <w15:commentEx w15:paraId="1A6D5152" w15:done="0"/>
  <w15:commentEx w15:paraId="6ED580D1" w15:done="0"/>
  <w15:commentEx w15:paraId="0FBBBD73" w15:done="0"/>
  <w15:commentEx w15:paraId="305FB16E" w15:done="0"/>
  <w15:commentEx w15:paraId="62269BD4" w15:done="0"/>
  <w15:commentEx w15:paraId="7E35102B" w15:done="0"/>
  <w15:commentEx w15:paraId="54BA4100" w15:done="0"/>
  <w15:commentEx w15:paraId="085C6EC0" w15:done="0"/>
  <w15:commentEx w15:paraId="5D1175BE" w15:paraIdParent="085C6E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A05" w:rsidRDefault="005D0A05" w:rsidP="00BF0D40">
      <w:pPr>
        <w:spacing w:after="0" w:line="240" w:lineRule="auto"/>
      </w:pPr>
      <w:r>
        <w:separator/>
      </w:r>
    </w:p>
  </w:endnote>
  <w:endnote w:type="continuationSeparator" w:id="0">
    <w:p w:rsidR="005D0A05" w:rsidRDefault="005D0A05" w:rsidP="00BF0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8329"/>
      <w:docPartObj>
        <w:docPartGallery w:val="Page Numbers (Bottom of Page)"/>
        <w:docPartUnique/>
      </w:docPartObj>
    </w:sdtPr>
    <w:sdtEndPr/>
    <w:sdtContent>
      <w:p w:rsidR="00F93963" w:rsidRDefault="001C0D15">
        <w:pPr>
          <w:pStyle w:val="Footer"/>
          <w:jc w:val="right"/>
        </w:pPr>
        <w:r>
          <w:fldChar w:fldCharType="begin"/>
        </w:r>
        <w:r>
          <w:instrText xml:space="preserve"> PAGE   \* MERGEFORMAT </w:instrText>
        </w:r>
        <w:r>
          <w:fldChar w:fldCharType="separate"/>
        </w:r>
        <w:r w:rsidR="00FB0EDA">
          <w:rPr>
            <w:noProof/>
          </w:rPr>
          <w:t>1</w:t>
        </w:r>
        <w:r>
          <w:rPr>
            <w:noProof/>
          </w:rPr>
          <w:fldChar w:fldCharType="end"/>
        </w:r>
      </w:p>
    </w:sdtContent>
  </w:sdt>
  <w:p w:rsidR="00F93963" w:rsidRPr="0020134F" w:rsidRDefault="00F93963" w:rsidP="00817F59">
    <w:pPr>
      <w:pStyle w:val="Footer"/>
      <w:spacing w:line="240" w:lineRule="auto"/>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A05" w:rsidRDefault="005D0A05" w:rsidP="00BF0D40">
      <w:pPr>
        <w:spacing w:after="0" w:line="240" w:lineRule="auto"/>
      </w:pPr>
      <w:r>
        <w:separator/>
      </w:r>
    </w:p>
  </w:footnote>
  <w:footnote w:type="continuationSeparator" w:id="0">
    <w:p w:rsidR="005D0A05" w:rsidRDefault="005D0A05" w:rsidP="00BF0D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32D"/>
    <w:multiLevelType w:val="hybridMultilevel"/>
    <w:tmpl w:val="C62AC9F8"/>
    <w:lvl w:ilvl="0" w:tplc="DCE246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905AC"/>
    <w:multiLevelType w:val="hybridMultilevel"/>
    <w:tmpl w:val="7D083B28"/>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049917C9"/>
    <w:multiLevelType w:val="hybridMultilevel"/>
    <w:tmpl w:val="4392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6D1788"/>
    <w:multiLevelType w:val="hybridMultilevel"/>
    <w:tmpl w:val="AB2056D0"/>
    <w:lvl w:ilvl="0" w:tplc="051C573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2D1A8A"/>
    <w:multiLevelType w:val="hybridMultilevel"/>
    <w:tmpl w:val="88A83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04A57"/>
    <w:multiLevelType w:val="hybridMultilevel"/>
    <w:tmpl w:val="322C2CC8"/>
    <w:lvl w:ilvl="0" w:tplc="831A0BB2">
      <w:start w:val="1"/>
      <w:numFmt w:val="decimal"/>
      <w:lvlText w:val="%1)"/>
      <w:lvlJc w:val="left"/>
      <w:pPr>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3C21C3B"/>
    <w:multiLevelType w:val="hybridMultilevel"/>
    <w:tmpl w:val="5906C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D55C52"/>
    <w:multiLevelType w:val="hybridMultilevel"/>
    <w:tmpl w:val="05A2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F77EC1"/>
    <w:multiLevelType w:val="hybridMultilevel"/>
    <w:tmpl w:val="0F6E3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BD5952"/>
    <w:multiLevelType w:val="hybridMultilevel"/>
    <w:tmpl w:val="B2B8BF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254D1"/>
    <w:multiLevelType w:val="hybridMultilevel"/>
    <w:tmpl w:val="C6F2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3C47AE"/>
    <w:multiLevelType w:val="hybridMultilevel"/>
    <w:tmpl w:val="5A84DA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8921A8"/>
    <w:multiLevelType w:val="hybridMultilevel"/>
    <w:tmpl w:val="ADEA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A36E3B"/>
    <w:multiLevelType w:val="hybridMultilevel"/>
    <w:tmpl w:val="B2C49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581F39"/>
    <w:multiLevelType w:val="hybridMultilevel"/>
    <w:tmpl w:val="1AE05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D339D0"/>
    <w:multiLevelType w:val="multilevel"/>
    <w:tmpl w:val="D31452C2"/>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2B71ED"/>
    <w:multiLevelType w:val="hybridMultilevel"/>
    <w:tmpl w:val="0F2688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A62A5F"/>
    <w:multiLevelType w:val="hybridMultilevel"/>
    <w:tmpl w:val="FA287AF0"/>
    <w:lvl w:ilvl="0" w:tplc="CB6465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180CE2"/>
    <w:multiLevelType w:val="hybridMultilevel"/>
    <w:tmpl w:val="F912F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F33506"/>
    <w:multiLevelType w:val="hybridMultilevel"/>
    <w:tmpl w:val="8E26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960FEE"/>
    <w:multiLevelType w:val="hybridMultilevel"/>
    <w:tmpl w:val="8D5A2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B395080"/>
    <w:multiLevelType w:val="hybridMultilevel"/>
    <w:tmpl w:val="EF8C5910"/>
    <w:lvl w:ilvl="0" w:tplc="3ABEE4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772042"/>
    <w:multiLevelType w:val="hybridMultilevel"/>
    <w:tmpl w:val="6C267670"/>
    <w:lvl w:ilvl="0" w:tplc="3ABEE4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E14144"/>
    <w:multiLevelType w:val="hybridMultilevel"/>
    <w:tmpl w:val="3F68D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75B57BC"/>
    <w:multiLevelType w:val="hybridMultilevel"/>
    <w:tmpl w:val="18F8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AD133B"/>
    <w:multiLevelType w:val="hybridMultilevel"/>
    <w:tmpl w:val="C3CA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8E2F5B"/>
    <w:multiLevelType w:val="hybridMultilevel"/>
    <w:tmpl w:val="F14E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166C84"/>
    <w:multiLevelType w:val="hybridMultilevel"/>
    <w:tmpl w:val="A7620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080218B"/>
    <w:multiLevelType w:val="hybridMultilevel"/>
    <w:tmpl w:val="15A23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FD2850"/>
    <w:multiLevelType w:val="hybridMultilevel"/>
    <w:tmpl w:val="86BAF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7"/>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5"/>
  </w:num>
  <w:num w:numId="14">
    <w:abstractNumId w:val="4"/>
  </w:num>
  <w:num w:numId="15">
    <w:abstractNumId w:val="0"/>
  </w:num>
  <w:num w:numId="16">
    <w:abstractNumId w:val="11"/>
  </w:num>
  <w:num w:numId="17">
    <w:abstractNumId w:val="20"/>
  </w:num>
  <w:num w:numId="18">
    <w:abstractNumId w:val="7"/>
  </w:num>
  <w:num w:numId="19">
    <w:abstractNumId w:val="12"/>
  </w:num>
  <w:num w:numId="20">
    <w:abstractNumId w:val="23"/>
  </w:num>
  <w:num w:numId="21">
    <w:abstractNumId w:val="10"/>
  </w:num>
  <w:num w:numId="22">
    <w:abstractNumId w:val="6"/>
  </w:num>
  <w:num w:numId="23">
    <w:abstractNumId w:val="19"/>
  </w:num>
  <w:num w:numId="24">
    <w:abstractNumId w:val="28"/>
  </w:num>
  <w:num w:numId="25">
    <w:abstractNumId w:val="13"/>
  </w:num>
  <w:num w:numId="26">
    <w:abstractNumId w:val="16"/>
  </w:num>
  <w:num w:numId="27">
    <w:abstractNumId w:val="3"/>
  </w:num>
  <w:num w:numId="28">
    <w:abstractNumId w:val="14"/>
  </w:num>
  <w:num w:numId="29">
    <w:abstractNumId w:val="9"/>
  </w:num>
  <w:num w:numId="30">
    <w:abstractNumId w:val="24"/>
  </w:num>
  <w:num w:numId="31">
    <w:abstractNumId w:val="22"/>
  </w:num>
  <w:num w:numId="32">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kintosh, Marie L">
    <w15:presenceInfo w15:providerId="AD" w15:userId="S-1-5-21-1059944638-1554040581-271018150-362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0B"/>
    <w:rsid w:val="0001141B"/>
    <w:rsid w:val="0001303A"/>
    <w:rsid w:val="000141B5"/>
    <w:rsid w:val="000204D6"/>
    <w:rsid w:val="0002090C"/>
    <w:rsid w:val="00021366"/>
    <w:rsid w:val="00023090"/>
    <w:rsid w:val="0002762D"/>
    <w:rsid w:val="00027EC2"/>
    <w:rsid w:val="00031805"/>
    <w:rsid w:val="00035280"/>
    <w:rsid w:val="00035F1A"/>
    <w:rsid w:val="00042258"/>
    <w:rsid w:val="0004452D"/>
    <w:rsid w:val="00046B52"/>
    <w:rsid w:val="000645F3"/>
    <w:rsid w:val="0006759C"/>
    <w:rsid w:val="00070103"/>
    <w:rsid w:val="00075E05"/>
    <w:rsid w:val="000805D1"/>
    <w:rsid w:val="00082827"/>
    <w:rsid w:val="00083345"/>
    <w:rsid w:val="000851B8"/>
    <w:rsid w:val="000870F6"/>
    <w:rsid w:val="000A461C"/>
    <w:rsid w:val="000A51D3"/>
    <w:rsid w:val="000B028D"/>
    <w:rsid w:val="000B4F94"/>
    <w:rsid w:val="000C2D92"/>
    <w:rsid w:val="000C3242"/>
    <w:rsid w:val="000D2132"/>
    <w:rsid w:val="000D2523"/>
    <w:rsid w:val="000D6F5A"/>
    <w:rsid w:val="000E4201"/>
    <w:rsid w:val="000E4CE8"/>
    <w:rsid w:val="000F3348"/>
    <w:rsid w:val="000F373E"/>
    <w:rsid w:val="000F48CA"/>
    <w:rsid w:val="00102AB2"/>
    <w:rsid w:val="00105782"/>
    <w:rsid w:val="001120C2"/>
    <w:rsid w:val="001229D8"/>
    <w:rsid w:val="001341B1"/>
    <w:rsid w:val="0014168B"/>
    <w:rsid w:val="00142DF1"/>
    <w:rsid w:val="00153465"/>
    <w:rsid w:val="001560F8"/>
    <w:rsid w:val="00157701"/>
    <w:rsid w:val="0016171F"/>
    <w:rsid w:val="001707AA"/>
    <w:rsid w:val="00170BCC"/>
    <w:rsid w:val="00172E0E"/>
    <w:rsid w:val="0017400B"/>
    <w:rsid w:val="00175C52"/>
    <w:rsid w:val="001773C9"/>
    <w:rsid w:val="0018750C"/>
    <w:rsid w:val="00187B99"/>
    <w:rsid w:val="001910FB"/>
    <w:rsid w:val="00191FC6"/>
    <w:rsid w:val="00197865"/>
    <w:rsid w:val="001A33DA"/>
    <w:rsid w:val="001B1128"/>
    <w:rsid w:val="001C0660"/>
    <w:rsid w:val="001C0D15"/>
    <w:rsid w:val="001C11CD"/>
    <w:rsid w:val="001C18C9"/>
    <w:rsid w:val="001D18F8"/>
    <w:rsid w:val="001D6014"/>
    <w:rsid w:val="001F0EF4"/>
    <w:rsid w:val="001F593D"/>
    <w:rsid w:val="0020134F"/>
    <w:rsid w:val="0020347E"/>
    <w:rsid w:val="00207742"/>
    <w:rsid w:val="002109CF"/>
    <w:rsid w:val="0021305D"/>
    <w:rsid w:val="002229CC"/>
    <w:rsid w:val="0022452A"/>
    <w:rsid w:val="0023057B"/>
    <w:rsid w:val="002355C1"/>
    <w:rsid w:val="0023788A"/>
    <w:rsid w:val="00243C95"/>
    <w:rsid w:val="00244317"/>
    <w:rsid w:val="00244BBF"/>
    <w:rsid w:val="00252658"/>
    <w:rsid w:val="002557D5"/>
    <w:rsid w:val="0026182E"/>
    <w:rsid w:val="00261F8F"/>
    <w:rsid w:val="0026537C"/>
    <w:rsid w:val="002658A9"/>
    <w:rsid w:val="00276E17"/>
    <w:rsid w:val="002A130D"/>
    <w:rsid w:val="002B2495"/>
    <w:rsid w:val="002B2887"/>
    <w:rsid w:val="002B3937"/>
    <w:rsid w:val="002B4980"/>
    <w:rsid w:val="002B5978"/>
    <w:rsid w:val="002C01FA"/>
    <w:rsid w:val="002C7BBB"/>
    <w:rsid w:val="002D512C"/>
    <w:rsid w:val="002E1435"/>
    <w:rsid w:val="002E4A56"/>
    <w:rsid w:val="002E6163"/>
    <w:rsid w:val="002E61AD"/>
    <w:rsid w:val="002F0403"/>
    <w:rsid w:val="00301CE8"/>
    <w:rsid w:val="00306C75"/>
    <w:rsid w:val="00310428"/>
    <w:rsid w:val="00316D29"/>
    <w:rsid w:val="00322C4A"/>
    <w:rsid w:val="00326B9D"/>
    <w:rsid w:val="00326FA0"/>
    <w:rsid w:val="0033463A"/>
    <w:rsid w:val="00335B4B"/>
    <w:rsid w:val="0033757A"/>
    <w:rsid w:val="003417BC"/>
    <w:rsid w:val="00341A50"/>
    <w:rsid w:val="003453B3"/>
    <w:rsid w:val="0035639E"/>
    <w:rsid w:val="00356509"/>
    <w:rsid w:val="003572FB"/>
    <w:rsid w:val="00365730"/>
    <w:rsid w:val="00366836"/>
    <w:rsid w:val="003732D7"/>
    <w:rsid w:val="00374545"/>
    <w:rsid w:val="00375A3A"/>
    <w:rsid w:val="003870FA"/>
    <w:rsid w:val="0039018C"/>
    <w:rsid w:val="00393141"/>
    <w:rsid w:val="00396D3E"/>
    <w:rsid w:val="003C000B"/>
    <w:rsid w:val="003C1801"/>
    <w:rsid w:val="003C1FBD"/>
    <w:rsid w:val="003C7CA8"/>
    <w:rsid w:val="003E4D55"/>
    <w:rsid w:val="003E7AD9"/>
    <w:rsid w:val="003F2B34"/>
    <w:rsid w:val="003F474D"/>
    <w:rsid w:val="00410648"/>
    <w:rsid w:val="004117C5"/>
    <w:rsid w:val="004162E8"/>
    <w:rsid w:val="00432ABE"/>
    <w:rsid w:val="0045181B"/>
    <w:rsid w:val="00452397"/>
    <w:rsid w:val="00461971"/>
    <w:rsid w:val="00464341"/>
    <w:rsid w:val="00476D2E"/>
    <w:rsid w:val="0048468D"/>
    <w:rsid w:val="00486109"/>
    <w:rsid w:val="004902F4"/>
    <w:rsid w:val="00492772"/>
    <w:rsid w:val="0049438C"/>
    <w:rsid w:val="00495C84"/>
    <w:rsid w:val="004A2EA4"/>
    <w:rsid w:val="004B24F2"/>
    <w:rsid w:val="004B271B"/>
    <w:rsid w:val="004B2D74"/>
    <w:rsid w:val="004B624B"/>
    <w:rsid w:val="004E0DAC"/>
    <w:rsid w:val="004F15C5"/>
    <w:rsid w:val="004F1F65"/>
    <w:rsid w:val="004F3FCE"/>
    <w:rsid w:val="004F7919"/>
    <w:rsid w:val="00507DD5"/>
    <w:rsid w:val="00510F13"/>
    <w:rsid w:val="00511F15"/>
    <w:rsid w:val="0052330E"/>
    <w:rsid w:val="00524769"/>
    <w:rsid w:val="005345D0"/>
    <w:rsid w:val="00534968"/>
    <w:rsid w:val="00550260"/>
    <w:rsid w:val="00554BA6"/>
    <w:rsid w:val="00561A49"/>
    <w:rsid w:val="00562640"/>
    <w:rsid w:val="00566D0A"/>
    <w:rsid w:val="00566FC3"/>
    <w:rsid w:val="00576826"/>
    <w:rsid w:val="00581353"/>
    <w:rsid w:val="00584CCB"/>
    <w:rsid w:val="00585180"/>
    <w:rsid w:val="005C17FF"/>
    <w:rsid w:val="005C2458"/>
    <w:rsid w:val="005C4053"/>
    <w:rsid w:val="005C4F70"/>
    <w:rsid w:val="005C598E"/>
    <w:rsid w:val="005C7D1F"/>
    <w:rsid w:val="005D09B6"/>
    <w:rsid w:val="005D0A05"/>
    <w:rsid w:val="005D4917"/>
    <w:rsid w:val="005D7C38"/>
    <w:rsid w:val="005F1B13"/>
    <w:rsid w:val="005F3EB9"/>
    <w:rsid w:val="005F4AB0"/>
    <w:rsid w:val="0060648F"/>
    <w:rsid w:val="00606AAC"/>
    <w:rsid w:val="006076C0"/>
    <w:rsid w:val="00610E6A"/>
    <w:rsid w:val="006127D0"/>
    <w:rsid w:val="00613927"/>
    <w:rsid w:val="00614E73"/>
    <w:rsid w:val="00640816"/>
    <w:rsid w:val="00640C8F"/>
    <w:rsid w:val="00643694"/>
    <w:rsid w:val="00645EBD"/>
    <w:rsid w:val="006464A3"/>
    <w:rsid w:val="00654100"/>
    <w:rsid w:val="00657B55"/>
    <w:rsid w:val="00662098"/>
    <w:rsid w:val="00664479"/>
    <w:rsid w:val="0066657B"/>
    <w:rsid w:val="0067013F"/>
    <w:rsid w:val="00674A1A"/>
    <w:rsid w:val="0068442B"/>
    <w:rsid w:val="00691B6F"/>
    <w:rsid w:val="00691BFD"/>
    <w:rsid w:val="006A346E"/>
    <w:rsid w:val="006B1F6A"/>
    <w:rsid w:val="006B3D7B"/>
    <w:rsid w:val="006B62F5"/>
    <w:rsid w:val="006C1D70"/>
    <w:rsid w:val="006C1D7D"/>
    <w:rsid w:val="006C1DBD"/>
    <w:rsid w:val="006C4A70"/>
    <w:rsid w:val="006C770F"/>
    <w:rsid w:val="006D238B"/>
    <w:rsid w:val="006D58FB"/>
    <w:rsid w:val="006D6E72"/>
    <w:rsid w:val="006D7A8D"/>
    <w:rsid w:val="006E19E0"/>
    <w:rsid w:val="006E77C9"/>
    <w:rsid w:val="007039DF"/>
    <w:rsid w:val="007054B2"/>
    <w:rsid w:val="0071419F"/>
    <w:rsid w:val="00715B3C"/>
    <w:rsid w:val="00715BE9"/>
    <w:rsid w:val="00730036"/>
    <w:rsid w:val="00730ADA"/>
    <w:rsid w:val="00734325"/>
    <w:rsid w:val="00736661"/>
    <w:rsid w:val="00741B0C"/>
    <w:rsid w:val="00750F7A"/>
    <w:rsid w:val="007520D5"/>
    <w:rsid w:val="007530CF"/>
    <w:rsid w:val="00753233"/>
    <w:rsid w:val="0076357B"/>
    <w:rsid w:val="0077257A"/>
    <w:rsid w:val="00774051"/>
    <w:rsid w:val="0078561E"/>
    <w:rsid w:val="0079411F"/>
    <w:rsid w:val="00796990"/>
    <w:rsid w:val="007A051A"/>
    <w:rsid w:val="007A4FA6"/>
    <w:rsid w:val="007B65C1"/>
    <w:rsid w:val="007C2058"/>
    <w:rsid w:val="007C212A"/>
    <w:rsid w:val="007D071A"/>
    <w:rsid w:val="007D5436"/>
    <w:rsid w:val="007D6245"/>
    <w:rsid w:val="007F01B5"/>
    <w:rsid w:val="007F2526"/>
    <w:rsid w:val="007F57A0"/>
    <w:rsid w:val="007F7CE6"/>
    <w:rsid w:val="0080518B"/>
    <w:rsid w:val="00806215"/>
    <w:rsid w:val="008105F7"/>
    <w:rsid w:val="0081280E"/>
    <w:rsid w:val="00817F59"/>
    <w:rsid w:val="0083210F"/>
    <w:rsid w:val="00837181"/>
    <w:rsid w:val="00840541"/>
    <w:rsid w:val="00840BD5"/>
    <w:rsid w:val="0084200C"/>
    <w:rsid w:val="008474C5"/>
    <w:rsid w:val="00857913"/>
    <w:rsid w:val="00861D8B"/>
    <w:rsid w:val="00865700"/>
    <w:rsid w:val="00865AC5"/>
    <w:rsid w:val="00873EED"/>
    <w:rsid w:val="00875D20"/>
    <w:rsid w:val="008768BD"/>
    <w:rsid w:val="00883976"/>
    <w:rsid w:val="008B1030"/>
    <w:rsid w:val="008C1D09"/>
    <w:rsid w:val="008C34BB"/>
    <w:rsid w:val="008D1E95"/>
    <w:rsid w:val="008D3279"/>
    <w:rsid w:val="008D4165"/>
    <w:rsid w:val="008D4B76"/>
    <w:rsid w:val="008E199A"/>
    <w:rsid w:val="008E2B1A"/>
    <w:rsid w:val="008E3531"/>
    <w:rsid w:val="008E3940"/>
    <w:rsid w:val="008F095B"/>
    <w:rsid w:val="008F219A"/>
    <w:rsid w:val="00901498"/>
    <w:rsid w:val="00902EC8"/>
    <w:rsid w:val="00906218"/>
    <w:rsid w:val="00910225"/>
    <w:rsid w:val="00914EF1"/>
    <w:rsid w:val="00922FD7"/>
    <w:rsid w:val="009249C2"/>
    <w:rsid w:val="00930EA7"/>
    <w:rsid w:val="00945111"/>
    <w:rsid w:val="00950725"/>
    <w:rsid w:val="009547C1"/>
    <w:rsid w:val="00963B71"/>
    <w:rsid w:val="00963DF0"/>
    <w:rsid w:val="009654E8"/>
    <w:rsid w:val="009736FE"/>
    <w:rsid w:val="009802C9"/>
    <w:rsid w:val="00985AFD"/>
    <w:rsid w:val="00993423"/>
    <w:rsid w:val="00994D3D"/>
    <w:rsid w:val="009A03C9"/>
    <w:rsid w:val="009A0FDE"/>
    <w:rsid w:val="009A4BFE"/>
    <w:rsid w:val="009A52C9"/>
    <w:rsid w:val="009A57D3"/>
    <w:rsid w:val="009B3DAD"/>
    <w:rsid w:val="009B64EF"/>
    <w:rsid w:val="009C52CB"/>
    <w:rsid w:val="009D79DE"/>
    <w:rsid w:val="009E0152"/>
    <w:rsid w:val="009E6E9F"/>
    <w:rsid w:val="009F0557"/>
    <w:rsid w:val="009F48EF"/>
    <w:rsid w:val="00A00F4A"/>
    <w:rsid w:val="00A04AD7"/>
    <w:rsid w:val="00A06397"/>
    <w:rsid w:val="00A127FD"/>
    <w:rsid w:val="00A164B0"/>
    <w:rsid w:val="00A209CB"/>
    <w:rsid w:val="00A252EA"/>
    <w:rsid w:val="00A3137F"/>
    <w:rsid w:val="00A328EC"/>
    <w:rsid w:val="00A342FB"/>
    <w:rsid w:val="00A34816"/>
    <w:rsid w:val="00A5210D"/>
    <w:rsid w:val="00A542F9"/>
    <w:rsid w:val="00A56F1D"/>
    <w:rsid w:val="00A6651E"/>
    <w:rsid w:val="00A674D9"/>
    <w:rsid w:val="00A67B98"/>
    <w:rsid w:val="00A707B8"/>
    <w:rsid w:val="00A73D4E"/>
    <w:rsid w:val="00A778B6"/>
    <w:rsid w:val="00A9084A"/>
    <w:rsid w:val="00AB10D5"/>
    <w:rsid w:val="00AB6DAE"/>
    <w:rsid w:val="00AC637F"/>
    <w:rsid w:val="00AD3B50"/>
    <w:rsid w:val="00AD431D"/>
    <w:rsid w:val="00AD7FEF"/>
    <w:rsid w:val="00AE0E39"/>
    <w:rsid w:val="00AE22D3"/>
    <w:rsid w:val="00AE2C4C"/>
    <w:rsid w:val="00AE41FE"/>
    <w:rsid w:val="00AE6B55"/>
    <w:rsid w:val="00AF44DD"/>
    <w:rsid w:val="00B03719"/>
    <w:rsid w:val="00B03C6F"/>
    <w:rsid w:val="00B11546"/>
    <w:rsid w:val="00B130D4"/>
    <w:rsid w:val="00B13F77"/>
    <w:rsid w:val="00B209AE"/>
    <w:rsid w:val="00B23816"/>
    <w:rsid w:val="00B332A1"/>
    <w:rsid w:val="00B56F3F"/>
    <w:rsid w:val="00B64511"/>
    <w:rsid w:val="00B656A1"/>
    <w:rsid w:val="00B669ED"/>
    <w:rsid w:val="00B74F03"/>
    <w:rsid w:val="00B757C0"/>
    <w:rsid w:val="00B76B44"/>
    <w:rsid w:val="00B778CC"/>
    <w:rsid w:val="00B829A9"/>
    <w:rsid w:val="00B93342"/>
    <w:rsid w:val="00B940E5"/>
    <w:rsid w:val="00B97EFC"/>
    <w:rsid w:val="00BA00A2"/>
    <w:rsid w:val="00BB0B70"/>
    <w:rsid w:val="00BB2171"/>
    <w:rsid w:val="00BB3A93"/>
    <w:rsid w:val="00BB7787"/>
    <w:rsid w:val="00BC2C74"/>
    <w:rsid w:val="00BC3BE2"/>
    <w:rsid w:val="00BC44EB"/>
    <w:rsid w:val="00BC6669"/>
    <w:rsid w:val="00BD0BC2"/>
    <w:rsid w:val="00BD0EDC"/>
    <w:rsid w:val="00BD2C86"/>
    <w:rsid w:val="00BD4338"/>
    <w:rsid w:val="00BD5627"/>
    <w:rsid w:val="00BF0D40"/>
    <w:rsid w:val="00BF620E"/>
    <w:rsid w:val="00BF6C07"/>
    <w:rsid w:val="00C00CB1"/>
    <w:rsid w:val="00C02C46"/>
    <w:rsid w:val="00C1247E"/>
    <w:rsid w:val="00C14C47"/>
    <w:rsid w:val="00C1581D"/>
    <w:rsid w:val="00C23C3D"/>
    <w:rsid w:val="00C36937"/>
    <w:rsid w:val="00C42031"/>
    <w:rsid w:val="00C47105"/>
    <w:rsid w:val="00C55592"/>
    <w:rsid w:val="00C6098A"/>
    <w:rsid w:val="00C70D4E"/>
    <w:rsid w:val="00C70F27"/>
    <w:rsid w:val="00C81B2B"/>
    <w:rsid w:val="00C92E25"/>
    <w:rsid w:val="00C9442B"/>
    <w:rsid w:val="00CA2022"/>
    <w:rsid w:val="00CA3953"/>
    <w:rsid w:val="00CC3F42"/>
    <w:rsid w:val="00CD0D4E"/>
    <w:rsid w:val="00CE0B8F"/>
    <w:rsid w:val="00CE590C"/>
    <w:rsid w:val="00CF5A35"/>
    <w:rsid w:val="00D0228D"/>
    <w:rsid w:val="00D03D54"/>
    <w:rsid w:val="00D05F60"/>
    <w:rsid w:val="00D066A8"/>
    <w:rsid w:val="00D14E4A"/>
    <w:rsid w:val="00D17124"/>
    <w:rsid w:val="00D235EB"/>
    <w:rsid w:val="00D2659D"/>
    <w:rsid w:val="00D31831"/>
    <w:rsid w:val="00D33948"/>
    <w:rsid w:val="00D35FCF"/>
    <w:rsid w:val="00D403C7"/>
    <w:rsid w:val="00D440AA"/>
    <w:rsid w:val="00D46C04"/>
    <w:rsid w:val="00D50EE1"/>
    <w:rsid w:val="00D60155"/>
    <w:rsid w:val="00D62AF1"/>
    <w:rsid w:val="00D66983"/>
    <w:rsid w:val="00D72E78"/>
    <w:rsid w:val="00D7492C"/>
    <w:rsid w:val="00D75CD3"/>
    <w:rsid w:val="00D76C4A"/>
    <w:rsid w:val="00D7744E"/>
    <w:rsid w:val="00D95106"/>
    <w:rsid w:val="00D95900"/>
    <w:rsid w:val="00DA0194"/>
    <w:rsid w:val="00DA2901"/>
    <w:rsid w:val="00DA62E1"/>
    <w:rsid w:val="00DB3C07"/>
    <w:rsid w:val="00DB4E7C"/>
    <w:rsid w:val="00DC22AA"/>
    <w:rsid w:val="00DC693E"/>
    <w:rsid w:val="00DC79AB"/>
    <w:rsid w:val="00DD50BE"/>
    <w:rsid w:val="00DE5DA1"/>
    <w:rsid w:val="00DE7D04"/>
    <w:rsid w:val="00DF159E"/>
    <w:rsid w:val="00DF3C14"/>
    <w:rsid w:val="00DF78BB"/>
    <w:rsid w:val="00E00840"/>
    <w:rsid w:val="00E22374"/>
    <w:rsid w:val="00E37532"/>
    <w:rsid w:val="00E42F34"/>
    <w:rsid w:val="00E47CED"/>
    <w:rsid w:val="00E60C36"/>
    <w:rsid w:val="00E72067"/>
    <w:rsid w:val="00E76636"/>
    <w:rsid w:val="00E84A33"/>
    <w:rsid w:val="00E86DC5"/>
    <w:rsid w:val="00E87129"/>
    <w:rsid w:val="00EA257F"/>
    <w:rsid w:val="00EA4BC8"/>
    <w:rsid w:val="00EA5582"/>
    <w:rsid w:val="00EB3AB5"/>
    <w:rsid w:val="00EB63AE"/>
    <w:rsid w:val="00EC752B"/>
    <w:rsid w:val="00ED0755"/>
    <w:rsid w:val="00ED1816"/>
    <w:rsid w:val="00ED5457"/>
    <w:rsid w:val="00ED62BB"/>
    <w:rsid w:val="00ED646E"/>
    <w:rsid w:val="00EE4715"/>
    <w:rsid w:val="00EE4887"/>
    <w:rsid w:val="00EE7863"/>
    <w:rsid w:val="00EF6163"/>
    <w:rsid w:val="00F005B7"/>
    <w:rsid w:val="00F17EE5"/>
    <w:rsid w:val="00F21712"/>
    <w:rsid w:val="00F24EA5"/>
    <w:rsid w:val="00F27F94"/>
    <w:rsid w:val="00F34455"/>
    <w:rsid w:val="00F41FCF"/>
    <w:rsid w:val="00F47BB5"/>
    <w:rsid w:val="00F573C9"/>
    <w:rsid w:val="00F635F8"/>
    <w:rsid w:val="00F63B59"/>
    <w:rsid w:val="00F64F28"/>
    <w:rsid w:val="00F65793"/>
    <w:rsid w:val="00F674A4"/>
    <w:rsid w:val="00F70705"/>
    <w:rsid w:val="00F8185E"/>
    <w:rsid w:val="00F87D4B"/>
    <w:rsid w:val="00F93963"/>
    <w:rsid w:val="00F941E4"/>
    <w:rsid w:val="00FA2CEF"/>
    <w:rsid w:val="00FA3825"/>
    <w:rsid w:val="00FA5B18"/>
    <w:rsid w:val="00FB04EF"/>
    <w:rsid w:val="00FB0EDA"/>
    <w:rsid w:val="00FB4296"/>
    <w:rsid w:val="00FB4E6E"/>
    <w:rsid w:val="00FB5181"/>
    <w:rsid w:val="00FB68AF"/>
    <w:rsid w:val="00FC305F"/>
    <w:rsid w:val="00FC7ED6"/>
    <w:rsid w:val="00FD1128"/>
    <w:rsid w:val="00FD4F5A"/>
    <w:rsid w:val="00FE3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9AE"/>
    <w:pPr>
      <w:spacing w:after="200" w:line="276" w:lineRule="auto"/>
    </w:pPr>
    <w:rPr>
      <w:sz w:val="22"/>
      <w:szCs w:val="22"/>
    </w:rPr>
  </w:style>
  <w:style w:type="paragraph" w:styleId="Heading1">
    <w:name w:val="heading 1"/>
    <w:basedOn w:val="Normal"/>
    <w:next w:val="Normal"/>
    <w:link w:val="Heading1Char"/>
    <w:uiPriority w:val="9"/>
    <w:qFormat/>
    <w:rsid w:val="008F09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2557D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1581D"/>
    <w:pPr>
      <w:spacing w:before="100" w:beforeAutospacing="1" w:after="100" w:afterAutospacing="1" w:line="240" w:lineRule="auto"/>
      <w:outlineLvl w:val="3"/>
    </w:pPr>
    <w:rPr>
      <w:rFonts w:ascii="Arial" w:eastAsia="Times New Roman" w:hAnsi="Arial" w:cs="Arial"/>
      <w:b/>
      <w:bCs/>
      <w:color w:val="006699"/>
      <w:sz w:val="30"/>
      <w:szCs w:val="30"/>
    </w:rPr>
  </w:style>
  <w:style w:type="paragraph" w:styleId="Heading6">
    <w:name w:val="heading 6"/>
    <w:basedOn w:val="Normal"/>
    <w:link w:val="Heading6Char"/>
    <w:uiPriority w:val="9"/>
    <w:qFormat/>
    <w:rsid w:val="00C1581D"/>
    <w:pPr>
      <w:spacing w:before="100" w:beforeAutospacing="1" w:after="0" w:line="240" w:lineRule="auto"/>
      <w:outlineLvl w:val="5"/>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1581D"/>
    <w:rPr>
      <w:rFonts w:ascii="Arial" w:eastAsia="Times New Roman" w:hAnsi="Arial" w:cs="Arial"/>
      <w:b/>
      <w:bCs/>
      <w:color w:val="006699"/>
      <w:sz w:val="30"/>
      <w:szCs w:val="30"/>
    </w:rPr>
  </w:style>
  <w:style w:type="character" w:customStyle="1" w:styleId="Heading6Char">
    <w:name w:val="Heading 6 Char"/>
    <w:basedOn w:val="DefaultParagraphFont"/>
    <w:link w:val="Heading6"/>
    <w:uiPriority w:val="9"/>
    <w:rsid w:val="00C1581D"/>
    <w:rPr>
      <w:rFonts w:ascii="Arial" w:eastAsia="Times New Roman" w:hAnsi="Arial" w:cs="Arial"/>
      <w:b/>
      <w:bCs/>
      <w:sz w:val="24"/>
      <w:szCs w:val="24"/>
    </w:rPr>
  </w:style>
  <w:style w:type="paragraph" w:styleId="NormalWeb">
    <w:name w:val="Normal (Web)"/>
    <w:basedOn w:val="Normal"/>
    <w:uiPriority w:val="99"/>
    <w:unhideWhenUsed/>
    <w:rsid w:val="00C1581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74545"/>
    <w:rPr>
      <w:color w:val="0000FF"/>
      <w:u w:val="single"/>
    </w:rPr>
  </w:style>
  <w:style w:type="paragraph" w:styleId="Header">
    <w:name w:val="header"/>
    <w:basedOn w:val="Normal"/>
    <w:link w:val="HeaderChar"/>
    <w:uiPriority w:val="99"/>
    <w:semiHidden/>
    <w:unhideWhenUsed/>
    <w:rsid w:val="00BF0D40"/>
    <w:pPr>
      <w:tabs>
        <w:tab w:val="center" w:pos="4680"/>
        <w:tab w:val="right" w:pos="9360"/>
      </w:tabs>
    </w:pPr>
  </w:style>
  <w:style w:type="character" w:customStyle="1" w:styleId="HeaderChar">
    <w:name w:val="Header Char"/>
    <w:basedOn w:val="DefaultParagraphFont"/>
    <w:link w:val="Header"/>
    <w:uiPriority w:val="99"/>
    <w:semiHidden/>
    <w:rsid w:val="00BF0D40"/>
    <w:rPr>
      <w:sz w:val="22"/>
      <w:szCs w:val="22"/>
    </w:rPr>
  </w:style>
  <w:style w:type="paragraph" w:styleId="Footer">
    <w:name w:val="footer"/>
    <w:basedOn w:val="Normal"/>
    <w:link w:val="FooterChar"/>
    <w:uiPriority w:val="99"/>
    <w:unhideWhenUsed/>
    <w:rsid w:val="00BF0D40"/>
    <w:pPr>
      <w:tabs>
        <w:tab w:val="center" w:pos="4680"/>
        <w:tab w:val="right" w:pos="9360"/>
      </w:tabs>
    </w:pPr>
  </w:style>
  <w:style w:type="character" w:customStyle="1" w:styleId="FooterChar">
    <w:name w:val="Footer Char"/>
    <w:basedOn w:val="DefaultParagraphFont"/>
    <w:link w:val="Footer"/>
    <w:uiPriority w:val="99"/>
    <w:rsid w:val="00BF0D40"/>
    <w:rPr>
      <w:sz w:val="22"/>
      <w:szCs w:val="22"/>
    </w:rPr>
  </w:style>
  <w:style w:type="character" w:styleId="Strong">
    <w:name w:val="Strong"/>
    <w:basedOn w:val="DefaultParagraphFont"/>
    <w:uiPriority w:val="22"/>
    <w:qFormat/>
    <w:rsid w:val="001560F8"/>
    <w:rPr>
      <w:b/>
      <w:bCs/>
    </w:rPr>
  </w:style>
  <w:style w:type="paragraph" w:styleId="ListParagraph">
    <w:name w:val="List Paragraph"/>
    <w:basedOn w:val="Normal"/>
    <w:uiPriority w:val="34"/>
    <w:qFormat/>
    <w:rsid w:val="00F64F28"/>
    <w:pPr>
      <w:spacing w:after="0" w:line="240" w:lineRule="auto"/>
      <w:ind w:left="720"/>
    </w:pPr>
  </w:style>
  <w:style w:type="paragraph" w:styleId="BalloonText">
    <w:name w:val="Balloon Text"/>
    <w:basedOn w:val="Normal"/>
    <w:link w:val="BalloonTextChar"/>
    <w:uiPriority w:val="99"/>
    <w:semiHidden/>
    <w:unhideWhenUsed/>
    <w:rsid w:val="001A3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3DA"/>
    <w:rPr>
      <w:rFonts w:ascii="Tahoma" w:hAnsi="Tahoma" w:cs="Tahoma"/>
      <w:sz w:val="16"/>
      <w:szCs w:val="16"/>
    </w:rPr>
  </w:style>
  <w:style w:type="paragraph" w:styleId="NoSpacing">
    <w:name w:val="No Spacing"/>
    <w:uiPriority w:val="1"/>
    <w:qFormat/>
    <w:rsid w:val="00B23816"/>
    <w:rPr>
      <w:rFonts w:ascii="Times New Roman" w:eastAsia="Times New Roman" w:hAnsi="Times New Roman"/>
      <w:sz w:val="24"/>
      <w:szCs w:val="24"/>
    </w:rPr>
  </w:style>
  <w:style w:type="paragraph" w:customStyle="1" w:styleId="Pa0">
    <w:name w:val="Pa0"/>
    <w:basedOn w:val="Normal"/>
    <w:next w:val="Normal"/>
    <w:uiPriority w:val="99"/>
    <w:rsid w:val="00B23816"/>
    <w:pPr>
      <w:autoSpaceDE w:val="0"/>
      <w:autoSpaceDN w:val="0"/>
      <w:adjustRightInd w:val="0"/>
      <w:spacing w:after="0" w:line="241" w:lineRule="atLeast"/>
    </w:pPr>
    <w:rPr>
      <w:rFonts w:ascii="HelveticaNeueLT Std" w:eastAsia="Times New Roman" w:hAnsi="HelveticaNeueLT Std"/>
      <w:sz w:val="24"/>
      <w:szCs w:val="24"/>
    </w:rPr>
  </w:style>
  <w:style w:type="character" w:customStyle="1" w:styleId="text1">
    <w:name w:val="text1"/>
    <w:basedOn w:val="DefaultParagraphFont"/>
    <w:rsid w:val="00B23816"/>
    <w:rPr>
      <w:rFonts w:ascii="Arial" w:hAnsi="Arial" w:cs="Arial" w:hint="default"/>
      <w:caps w:val="0"/>
      <w:strike w:val="0"/>
      <w:dstrike w:val="0"/>
      <w:color w:val="444444"/>
      <w:sz w:val="18"/>
      <w:szCs w:val="18"/>
      <w:u w:val="none"/>
      <w:effect w:val="none"/>
    </w:rPr>
  </w:style>
  <w:style w:type="character" w:styleId="CommentReference">
    <w:name w:val="annotation reference"/>
    <w:basedOn w:val="DefaultParagraphFont"/>
    <w:uiPriority w:val="99"/>
    <w:semiHidden/>
    <w:unhideWhenUsed/>
    <w:rsid w:val="00F8185E"/>
    <w:rPr>
      <w:sz w:val="16"/>
      <w:szCs w:val="16"/>
    </w:rPr>
  </w:style>
  <w:style w:type="paragraph" w:styleId="CommentText">
    <w:name w:val="annotation text"/>
    <w:basedOn w:val="Normal"/>
    <w:link w:val="CommentTextChar"/>
    <w:uiPriority w:val="99"/>
    <w:unhideWhenUsed/>
    <w:rsid w:val="00F8185E"/>
    <w:pPr>
      <w:spacing w:line="240" w:lineRule="auto"/>
    </w:pPr>
    <w:rPr>
      <w:sz w:val="20"/>
      <w:szCs w:val="20"/>
    </w:rPr>
  </w:style>
  <w:style w:type="character" w:customStyle="1" w:styleId="CommentTextChar">
    <w:name w:val="Comment Text Char"/>
    <w:basedOn w:val="DefaultParagraphFont"/>
    <w:link w:val="CommentText"/>
    <w:uiPriority w:val="99"/>
    <w:rsid w:val="00F8185E"/>
  </w:style>
  <w:style w:type="paragraph" w:styleId="CommentSubject">
    <w:name w:val="annotation subject"/>
    <w:basedOn w:val="CommentText"/>
    <w:next w:val="CommentText"/>
    <w:link w:val="CommentSubjectChar"/>
    <w:uiPriority w:val="99"/>
    <w:semiHidden/>
    <w:unhideWhenUsed/>
    <w:rsid w:val="00F8185E"/>
    <w:rPr>
      <w:b/>
      <w:bCs/>
    </w:rPr>
  </w:style>
  <w:style w:type="character" w:customStyle="1" w:styleId="CommentSubjectChar">
    <w:name w:val="Comment Subject Char"/>
    <w:basedOn w:val="CommentTextChar"/>
    <w:link w:val="CommentSubject"/>
    <w:uiPriority w:val="99"/>
    <w:semiHidden/>
    <w:rsid w:val="00F8185E"/>
    <w:rPr>
      <w:b/>
      <w:bCs/>
    </w:rPr>
  </w:style>
  <w:style w:type="character" w:customStyle="1" w:styleId="Heading3Char">
    <w:name w:val="Heading 3 Char"/>
    <w:basedOn w:val="DefaultParagraphFont"/>
    <w:link w:val="Heading3"/>
    <w:uiPriority w:val="9"/>
    <w:rsid w:val="002557D5"/>
    <w:rPr>
      <w:rFonts w:asciiTheme="majorHAnsi" w:eastAsiaTheme="majorEastAsia" w:hAnsiTheme="majorHAnsi" w:cstheme="majorBidi"/>
      <w:b/>
      <w:bCs/>
      <w:color w:val="4F81BD" w:themeColor="accent1"/>
      <w:sz w:val="22"/>
      <w:szCs w:val="22"/>
    </w:rPr>
  </w:style>
  <w:style w:type="paragraph" w:styleId="Revision">
    <w:name w:val="Revision"/>
    <w:hidden/>
    <w:uiPriority w:val="99"/>
    <w:semiHidden/>
    <w:rsid w:val="00102AB2"/>
    <w:rPr>
      <w:sz w:val="22"/>
      <w:szCs w:val="22"/>
    </w:rPr>
  </w:style>
  <w:style w:type="paragraph" w:customStyle="1" w:styleId="CM11">
    <w:name w:val="CM11"/>
    <w:basedOn w:val="Normal"/>
    <w:next w:val="Normal"/>
    <w:uiPriority w:val="99"/>
    <w:rsid w:val="00316D29"/>
    <w:pPr>
      <w:autoSpaceDE w:val="0"/>
      <w:autoSpaceDN w:val="0"/>
      <w:adjustRightInd w:val="0"/>
      <w:spacing w:after="0" w:line="240" w:lineRule="auto"/>
    </w:pPr>
    <w:rPr>
      <w:rFonts w:ascii="Times New Roman" w:hAnsi="Times New Roman"/>
      <w:sz w:val="24"/>
      <w:szCs w:val="24"/>
    </w:rPr>
  </w:style>
  <w:style w:type="table" w:styleId="TableGrid">
    <w:name w:val="Table Grid"/>
    <w:basedOn w:val="TableNormal"/>
    <w:uiPriority w:val="59"/>
    <w:rsid w:val="00B13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095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9AE"/>
    <w:pPr>
      <w:spacing w:after="200" w:line="276" w:lineRule="auto"/>
    </w:pPr>
    <w:rPr>
      <w:sz w:val="22"/>
      <w:szCs w:val="22"/>
    </w:rPr>
  </w:style>
  <w:style w:type="paragraph" w:styleId="Heading1">
    <w:name w:val="heading 1"/>
    <w:basedOn w:val="Normal"/>
    <w:next w:val="Normal"/>
    <w:link w:val="Heading1Char"/>
    <w:uiPriority w:val="9"/>
    <w:qFormat/>
    <w:rsid w:val="008F09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2557D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1581D"/>
    <w:pPr>
      <w:spacing w:before="100" w:beforeAutospacing="1" w:after="100" w:afterAutospacing="1" w:line="240" w:lineRule="auto"/>
      <w:outlineLvl w:val="3"/>
    </w:pPr>
    <w:rPr>
      <w:rFonts w:ascii="Arial" w:eastAsia="Times New Roman" w:hAnsi="Arial" w:cs="Arial"/>
      <w:b/>
      <w:bCs/>
      <w:color w:val="006699"/>
      <w:sz w:val="30"/>
      <w:szCs w:val="30"/>
    </w:rPr>
  </w:style>
  <w:style w:type="paragraph" w:styleId="Heading6">
    <w:name w:val="heading 6"/>
    <w:basedOn w:val="Normal"/>
    <w:link w:val="Heading6Char"/>
    <w:uiPriority w:val="9"/>
    <w:qFormat/>
    <w:rsid w:val="00C1581D"/>
    <w:pPr>
      <w:spacing w:before="100" w:beforeAutospacing="1" w:after="0" w:line="240" w:lineRule="auto"/>
      <w:outlineLvl w:val="5"/>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1581D"/>
    <w:rPr>
      <w:rFonts w:ascii="Arial" w:eastAsia="Times New Roman" w:hAnsi="Arial" w:cs="Arial"/>
      <w:b/>
      <w:bCs/>
      <w:color w:val="006699"/>
      <w:sz w:val="30"/>
      <w:szCs w:val="30"/>
    </w:rPr>
  </w:style>
  <w:style w:type="character" w:customStyle="1" w:styleId="Heading6Char">
    <w:name w:val="Heading 6 Char"/>
    <w:basedOn w:val="DefaultParagraphFont"/>
    <w:link w:val="Heading6"/>
    <w:uiPriority w:val="9"/>
    <w:rsid w:val="00C1581D"/>
    <w:rPr>
      <w:rFonts w:ascii="Arial" w:eastAsia="Times New Roman" w:hAnsi="Arial" w:cs="Arial"/>
      <w:b/>
      <w:bCs/>
      <w:sz w:val="24"/>
      <w:szCs w:val="24"/>
    </w:rPr>
  </w:style>
  <w:style w:type="paragraph" w:styleId="NormalWeb">
    <w:name w:val="Normal (Web)"/>
    <w:basedOn w:val="Normal"/>
    <w:uiPriority w:val="99"/>
    <w:unhideWhenUsed/>
    <w:rsid w:val="00C1581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74545"/>
    <w:rPr>
      <w:color w:val="0000FF"/>
      <w:u w:val="single"/>
    </w:rPr>
  </w:style>
  <w:style w:type="paragraph" w:styleId="Header">
    <w:name w:val="header"/>
    <w:basedOn w:val="Normal"/>
    <w:link w:val="HeaderChar"/>
    <w:uiPriority w:val="99"/>
    <w:semiHidden/>
    <w:unhideWhenUsed/>
    <w:rsid w:val="00BF0D40"/>
    <w:pPr>
      <w:tabs>
        <w:tab w:val="center" w:pos="4680"/>
        <w:tab w:val="right" w:pos="9360"/>
      </w:tabs>
    </w:pPr>
  </w:style>
  <w:style w:type="character" w:customStyle="1" w:styleId="HeaderChar">
    <w:name w:val="Header Char"/>
    <w:basedOn w:val="DefaultParagraphFont"/>
    <w:link w:val="Header"/>
    <w:uiPriority w:val="99"/>
    <w:semiHidden/>
    <w:rsid w:val="00BF0D40"/>
    <w:rPr>
      <w:sz w:val="22"/>
      <w:szCs w:val="22"/>
    </w:rPr>
  </w:style>
  <w:style w:type="paragraph" w:styleId="Footer">
    <w:name w:val="footer"/>
    <w:basedOn w:val="Normal"/>
    <w:link w:val="FooterChar"/>
    <w:uiPriority w:val="99"/>
    <w:unhideWhenUsed/>
    <w:rsid w:val="00BF0D40"/>
    <w:pPr>
      <w:tabs>
        <w:tab w:val="center" w:pos="4680"/>
        <w:tab w:val="right" w:pos="9360"/>
      </w:tabs>
    </w:pPr>
  </w:style>
  <w:style w:type="character" w:customStyle="1" w:styleId="FooterChar">
    <w:name w:val="Footer Char"/>
    <w:basedOn w:val="DefaultParagraphFont"/>
    <w:link w:val="Footer"/>
    <w:uiPriority w:val="99"/>
    <w:rsid w:val="00BF0D40"/>
    <w:rPr>
      <w:sz w:val="22"/>
      <w:szCs w:val="22"/>
    </w:rPr>
  </w:style>
  <w:style w:type="character" w:styleId="Strong">
    <w:name w:val="Strong"/>
    <w:basedOn w:val="DefaultParagraphFont"/>
    <w:uiPriority w:val="22"/>
    <w:qFormat/>
    <w:rsid w:val="001560F8"/>
    <w:rPr>
      <w:b/>
      <w:bCs/>
    </w:rPr>
  </w:style>
  <w:style w:type="paragraph" w:styleId="ListParagraph">
    <w:name w:val="List Paragraph"/>
    <w:basedOn w:val="Normal"/>
    <w:uiPriority w:val="34"/>
    <w:qFormat/>
    <w:rsid w:val="00F64F28"/>
    <w:pPr>
      <w:spacing w:after="0" w:line="240" w:lineRule="auto"/>
      <w:ind w:left="720"/>
    </w:pPr>
  </w:style>
  <w:style w:type="paragraph" w:styleId="BalloonText">
    <w:name w:val="Balloon Text"/>
    <w:basedOn w:val="Normal"/>
    <w:link w:val="BalloonTextChar"/>
    <w:uiPriority w:val="99"/>
    <w:semiHidden/>
    <w:unhideWhenUsed/>
    <w:rsid w:val="001A3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3DA"/>
    <w:rPr>
      <w:rFonts w:ascii="Tahoma" w:hAnsi="Tahoma" w:cs="Tahoma"/>
      <w:sz w:val="16"/>
      <w:szCs w:val="16"/>
    </w:rPr>
  </w:style>
  <w:style w:type="paragraph" w:styleId="NoSpacing">
    <w:name w:val="No Spacing"/>
    <w:uiPriority w:val="1"/>
    <w:qFormat/>
    <w:rsid w:val="00B23816"/>
    <w:rPr>
      <w:rFonts w:ascii="Times New Roman" w:eastAsia="Times New Roman" w:hAnsi="Times New Roman"/>
      <w:sz w:val="24"/>
      <w:szCs w:val="24"/>
    </w:rPr>
  </w:style>
  <w:style w:type="paragraph" w:customStyle="1" w:styleId="Pa0">
    <w:name w:val="Pa0"/>
    <w:basedOn w:val="Normal"/>
    <w:next w:val="Normal"/>
    <w:uiPriority w:val="99"/>
    <w:rsid w:val="00B23816"/>
    <w:pPr>
      <w:autoSpaceDE w:val="0"/>
      <w:autoSpaceDN w:val="0"/>
      <w:adjustRightInd w:val="0"/>
      <w:spacing w:after="0" w:line="241" w:lineRule="atLeast"/>
    </w:pPr>
    <w:rPr>
      <w:rFonts w:ascii="HelveticaNeueLT Std" w:eastAsia="Times New Roman" w:hAnsi="HelveticaNeueLT Std"/>
      <w:sz w:val="24"/>
      <w:szCs w:val="24"/>
    </w:rPr>
  </w:style>
  <w:style w:type="character" w:customStyle="1" w:styleId="text1">
    <w:name w:val="text1"/>
    <w:basedOn w:val="DefaultParagraphFont"/>
    <w:rsid w:val="00B23816"/>
    <w:rPr>
      <w:rFonts w:ascii="Arial" w:hAnsi="Arial" w:cs="Arial" w:hint="default"/>
      <w:caps w:val="0"/>
      <w:strike w:val="0"/>
      <w:dstrike w:val="0"/>
      <w:color w:val="444444"/>
      <w:sz w:val="18"/>
      <w:szCs w:val="18"/>
      <w:u w:val="none"/>
      <w:effect w:val="none"/>
    </w:rPr>
  </w:style>
  <w:style w:type="character" w:styleId="CommentReference">
    <w:name w:val="annotation reference"/>
    <w:basedOn w:val="DefaultParagraphFont"/>
    <w:uiPriority w:val="99"/>
    <w:semiHidden/>
    <w:unhideWhenUsed/>
    <w:rsid w:val="00F8185E"/>
    <w:rPr>
      <w:sz w:val="16"/>
      <w:szCs w:val="16"/>
    </w:rPr>
  </w:style>
  <w:style w:type="paragraph" w:styleId="CommentText">
    <w:name w:val="annotation text"/>
    <w:basedOn w:val="Normal"/>
    <w:link w:val="CommentTextChar"/>
    <w:uiPriority w:val="99"/>
    <w:unhideWhenUsed/>
    <w:rsid w:val="00F8185E"/>
    <w:pPr>
      <w:spacing w:line="240" w:lineRule="auto"/>
    </w:pPr>
    <w:rPr>
      <w:sz w:val="20"/>
      <w:szCs w:val="20"/>
    </w:rPr>
  </w:style>
  <w:style w:type="character" w:customStyle="1" w:styleId="CommentTextChar">
    <w:name w:val="Comment Text Char"/>
    <w:basedOn w:val="DefaultParagraphFont"/>
    <w:link w:val="CommentText"/>
    <w:uiPriority w:val="99"/>
    <w:rsid w:val="00F8185E"/>
  </w:style>
  <w:style w:type="paragraph" w:styleId="CommentSubject">
    <w:name w:val="annotation subject"/>
    <w:basedOn w:val="CommentText"/>
    <w:next w:val="CommentText"/>
    <w:link w:val="CommentSubjectChar"/>
    <w:uiPriority w:val="99"/>
    <w:semiHidden/>
    <w:unhideWhenUsed/>
    <w:rsid w:val="00F8185E"/>
    <w:rPr>
      <w:b/>
      <w:bCs/>
    </w:rPr>
  </w:style>
  <w:style w:type="character" w:customStyle="1" w:styleId="CommentSubjectChar">
    <w:name w:val="Comment Subject Char"/>
    <w:basedOn w:val="CommentTextChar"/>
    <w:link w:val="CommentSubject"/>
    <w:uiPriority w:val="99"/>
    <w:semiHidden/>
    <w:rsid w:val="00F8185E"/>
    <w:rPr>
      <w:b/>
      <w:bCs/>
    </w:rPr>
  </w:style>
  <w:style w:type="character" w:customStyle="1" w:styleId="Heading3Char">
    <w:name w:val="Heading 3 Char"/>
    <w:basedOn w:val="DefaultParagraphFont"/>
    <w:link w:val="Heading3"/>
    <w:uiPriority w:val="9"/>
    <w:rsid w:val="002557D5"/>
    <w:rPr>
      <w:rFonts w:asciiTheme="majorHAnsi" w:eastAsiaTheme="majorEastAsia" w:hAnsiTheme="majorHAnsi" w:cstheme="majorBidi"/>
      <w:b/>
      <w:bCs/>
      <w:color w:val="4F81BD" w:themeColor="accent1"/>
      <w:sz w:val="22"/>
      <w:szCs w:val="22"/>
    </w:rPr>
  </w:style>
  <w:style w:type="paragraph" w:styleId="Revision">
    <w:name w:val="Revision"/>
    <w:hidden/>
    <w:uiPriority w:val="99"/>
    <w:semiHidden/>
    <w:rsid w:val="00102AB2"/>
    <w:rPr>
      <w:sz w:val="22"/>
      <w:szCs w:val="22"/>
    </w:rPr>
  </w:style>
  <w:style w:type="paragraph" w:customStyle="1" w:styleId="CM11">
    <w:name w:val="CM11"/>
    <w:basedOn w:val="Normal"/>
    <w:next w:val="Normal"/>
    <w:uiPriority w:val="99"/>
    <w:rsid w:val="00316D29"/>
    <w:pPr>
      <w:autoSpaceDE w:val="0"/>
      <w:autoSpaceDN w:val="0"/>
      <w:adjustRightInd w:val="0"/>
      <w:spacing w:after="0" w:line="240" w:lineRule="auto"/>
    </w:pPr>
    <w:rPr>
      <w:rFonts w:ascii="Times New Roman" w:hAnsi="Times New Roman"/>
      <w:sz w:val="24"/>
      <w:szCs w:val="24"/>
    </w:rPr>
  </w:style>
  <w:style w:type="table" w:styleId="TableGrid">
    <w:name w:val="Table Grid"/>
    <w:basedOn w:val="TableNormal"/>
    <w:uiPriority w:val="59"/>
    <w:rsid w:val="00B13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F095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2524">
      <w:bodyDiv w:val="1"/>
      <w:marLeft w:val="0"/>
      <w:marRight w:val="0"/>
      <w:marTop w:val="0"/>
      <w:marBottom w:val="0"/>
      <w:divBdr>
        <w:top w:val="none" w:sz="0" w:space="0" w:color="auto"/>
        <w:left w:val="none" w:sz="0" w:space="0" w:color="auto"/>
        <w:bottom w:val="none" w:sz="0" w:space="0" w:color="auto"/>
        <w:right w:val="none" w:sz="0" w:space="0" w:color="auto"/>
      </w:divBdr>
      <w:divsChild>
        <w:div w:id="1724252830">
          <w:marLeft w:val="408"/>
          <w:marRight w:val="408"/>
          <w:marTop w:val="0"/>
          <w:marBottom w:val="0"/>
          <w:divBdr>
            <w:top w:val="none" w:sz="0" w:space="0" w:color="auto"/>
            <w:left w:val="none" w:sz="0" w:space="0" w:color="auto"/>
            <w:bottom w:val="none" w:sz="0" w:space="0" w:color="auto"/>
            <w:right w:val="none" w:sz="0" w:space="0" w:color="auto"/>
          </w:divBdr>
        </w:div>
      </w:divsChild>
    </w:div>
    <w:div w:id="34232660">
      <w:bodyDiv w:val="1"/>
      <w:marLeft w:val="0"/>
      <w:marRight w:val="0"/>
      <w:marTop w:val="0"/>
      <w:marBottom w:val="0"/>
      <w:divBdr>
        <w:top w:val="none" w:sz="0" w:space="0" w:color="auto"/>
        <w:left w:val="none" w:sz="0" w:space="0" w:color="auto"/>
        <w:bottom w:val="none" w:sz="0" w:space="0" w:color="auto"/>
        <w:right w:val="none" w:sz="0" w:space="0" w:color="auto"/>
      </w:divBdr>
    </w:div>
    <w:div w:id="156120736">
      <w:bodyDiv w:val="1"/>
      <w:marLeft w:val="0"/>
      <w:marRight w:val="0"/>
      <w:marTop w:val="0"/>
      <w:marBottom w:val="0"/>
      <w:divBdr>
        <w:top w:val="none" w:sz="0" w:space="0" w:color="auto"/>
        <w:left w:val="none" w:sz="0" w:space="0" w:color="auto"/>
        <w:bottom w:val="none" w:sz="0" w:space="0" w:color="auto"/>
        <w:right w:val="none" w:sz="0" w:space="0" w:color="auto"/>
      </w:divBdr>
    </w:div>
    <w:div w:id="181096216">
      <w:bodyDiv w:val="1"/>
      <w:marLeft w:val="0"/>
      <w:marRight w:val="0"/>
      <w:marTop w:val="0"/>
      <w:marBottom w:val="0"/>
      <w:divBdr>
        <w:top w:val="none" w:sz="0" w:space="0" w:color="auto"/>
        <w:left w:val="none" w:sz="0" w:space="0" w:color="auto"/>
        <w:bottom w:val="none" w:sz="0" w:space="0" w:color="auto"/>
        <w:right w:val="none" w:sz="0" w:space="0" w:color="auto"/>
      </w:divBdr>
    </w:div>
    <w:div w:id="210964028">
      <w:bodyDiv w:val="1"/>
      <w:marLeft w:val="0"/>
      <w:marRight w:val="0"/>
      <w:marTop w:val="0"/>
      <w:marBottom w:val="0"/>
      <w:divBdr>
        <w:top w:val="none" w:sz="0" w:space="0" w:color="auto"/>
        <w:left w:val="none" w:sz="0" w:space="0" w:color="auto"/>
        <w:bottom w:val="none" w:sz="0" w:space="0" w:color="auto"/>
        <w:right w:val="none" w:sz="0" w:space="0" w:color="auto"/>
      </w:divBdr>
    </w:div>
    <w:div w:id="366831511">
      <w:bodyDiv w:val="1"/>
      <w:marLeft w:val="0"/>
      <w:marRight w:val="0"/>
      <w:marTop w:val="0"/>
      <w:marBottom w:val="0"/>
      <w:divBdr>
        <w:top w:val="none" w:sz="0" w:space="0" w:color="auto"/>
        <w:left w:val="none" w:sz="0" w:space="0" w:color="auto"/>
        <w:bottom w:val="none" w:sz="0" w:space="0" w:color="auto"/>
        <w:right w:val="none" w:sz="0" w:space="0" w:color="auto"/>
      </w:divBdr>
    </w:div>
    <w:div w:id="395015371">
      <w:bodyDiv w:val="1"/>
      <w:marLeft w:val="0"/>
      <w:marRight w:val="0"/>
      <w:marTop w:val="0"/>
      <w:marBottom w:val="0"/>
      <w:divBdr>
        <w:top w:val="none" w:sz="0" w:space="0" w:color="auto"/>
        <w:left w:val="none" w:sz="0" w:space="0" w:color="auto"/>
        <w:bottom w:val="none" w:sz="0" w:space="0" w:color="auto"/>
        <w:right w:val="none" w:sz="0" w:space="0" w:color="auto"/>
      </w:divBdr>
    </w:div>
    <w:div w:id="436869067">
      <w:bodyDiv w:val="1"/>
      <w:marLeft w:val="0"/>
      <w:marRight w:val="0"/>
      <w:marTop w:val="0"/>
      <w:marBottom w:val="0"/>
      <w:divBdr>
        <w:top w:val="none" w:sz="0" w:space="0" w:color="auto"/>
        <w:left w:val="none" w:sz="0" w:space="0" w:color="auto"/>
        <w:bottom w:val="none" w:sz="0" w:space="0" w:color="auto"/>
        <w:right w:val="none" w:sz="0" w:space="0" w:color="auto"/>
      </w:divBdr>
    </w:div>
    <w:div w:id="579097630">
      <w:bodyDiv w:val="1"/>
      <w:marLeft w:val="0"/>
      <w:marRight w:val="0"/>
      <w:marTop w:val="0"/>
      <w:marBottom w:val="0"/>
      <w:divBdr>
        <w:top w:val="none" w:sz="0" w:space="0" w:color="auto"/>
        <w:left w:val="none" w:sz="0" w:space="0" w:color="auto"/>
        <w:bottom w:val="none" w:sz="0" w:space="0" w:color="auto"/>
        <w:right w:val="none" w:sz="0" w:space="0" w:color="auto"/>
      </w:divBdr>
    </w:div>
    <w:div w:id="655577030">
      <w:bodyDiv w:val="1"/>
      <w:marLeft w:val="0"/>
      <w:marRight w:val="0"/>
      <w:marTop w:val="0"/>
      <w:marBottom w:val="0"/>
      <w:divBdr>
        <w:top w:val="none" w:sz="0" w:space="0" w:color="auto"/>
        <w:left w:val="none" w:sz="0" w:space="0" w:color="auto"/>
        <w:bottom w:val="none" w:sz="0" w:space="0" w:color="auto"/>
        <w:right w:val="none" w:sz="0" w:space="0" w:color="auto"/>
      </w:divBdr>
    </w:div>
    <w:div w:id="825825491">
      <w:bodyDiv w:val="1"/>
      <w:marLeft w:val="0"/>
      <w:marRight w:val="0"/>
      <w:marTop w:val="0"/>
      <w:marBottom w:val="0"/>
      <w:divBdr>
        <w:top w:val="none" w:sz="0" w:space="0" w:color="auto"/>
        <w:left w:val="none" w:sz="0" w:space="0" w:color="auto"/>
        <w:bottom w:val="none" w:sz="0" w:space="0" w:color="auto"/>
        <w:right w:val="none" w:sz="0" w:space="0" w:color="auto"/>
      </w:divBdr>
      <w:divsChild>
        <w:div w:id="428695480">
          <w:marLeft w:val="0"/>
          <w:marRight w:val="0"/>
          <w:marTop w:val="0"/>
          <w:marBottom w:val="0"/>
          <w:divBdr>
            <w:top w:val="none" w:sz="0" w:space="0" w:color="auto"/>
            <w:left w:val="none" w:sz="0" w:space="0" w:color="auto"/>
            <w:bottom w:val="none" w:sz="0" w:space="0" w:color="auto"/>
            <w:right w:val="none" w:sz="0" w:space="0" w:color="auto"/>
          </w:divBdr>
          <w:divsChild>
            <w:div w:id="1941791291">
              <w:marLeft w:val="0"/>
              <w:marRight w:val="0"/>
              <w:marTop w:val="0"/>
              <w:marBottom w:val="0"/>
              <w:divBdr>
                <w:top w:val="none" w:sz="0" w:space="0" w:color="auto"/>
                <w:left w:val="none" w:sz="0" w:space="0" w:color="auto"/>
                <w:bottom w:val="none" w:sz="0" w:space="0" w:color="auto"/>
                <w:right w:val="none" w:sz="0" w:space="0" w:color="auto"/>
              </w:divBdr>
              <w:divsChild>
                <w:div w:id="1123501431">
                  <w:marLeft w:val="0"/>
                  <w:marRight w:val="0"/>
                  <w:marTop w:val="0"/>
                  <w:marBottom w:val="0"/>
                  <w:divBdr>
                    <w:top w:val="none" w:sz="0" w:space="0" w:color="auto"/>
                    <w:left w:val="none" w:sz="0" w:space="0" w:color="auto"/>
                    <w:bottom w:val="none" w:sz="0" w:space="0" w:color="auto"/>
                    <w:right w:val="none" w:sz="0" w:space="0" w:color="auto"/>
                  </w:divBdr>
                  <w:divsChild>
                    <w:div w:id="1963001127">
                      <w:marLeft w:val="0"/>
                      <w:marRight w:val="0"/>
                      <w:marTop w:val="0"/>
                      <w:marBottom w:val="0"/>
                      <w:divBdr>
                        <w:top w:val="none" w:sz="0" w:space="0" w:color="auto"/>
                        <w:left w:val="none" w:sz="0" w:space="0" w:color="auto"/>
                        <w:bottom w:val="none" w:sz="0" w:space="0" w:color="auto"/>
                        <w:right w:val="none" w:sz="0" w:space="0" w:color="auto"/>
                      </w:divBdr>
                      <w:divsChild>
                        <w:div w:id="1465538949">
                          <w:marLeft w:val="0"/>
                          <w:marRight w:val="0"/>
                          <w:marTop w:val="0"/>
                          <w:marBottom w:val="0"/>
                          <w:divBdr>
                            <w:top w:val="none" w:sz="0" w:space="0" w:color="auto"/>
                            <w:left w:val="none" w:sz="0" w:space="0" w:color="auto"/>
                            <w:bottom w:val="none" w:sz="0" w:space="0" w:color="auto"/>
                            <w:right w:val="none" w:sz="0" w:space="0" w:color="auto"/>
                          </w:divBdr>
                          <w:divsChild>
                            <w:div w:id="35668729">
                              <w:marLeft w:val="0"/>
                              <w:marRight w:val="0"/>
                              <w:marTop w:val="0"/>
                              <w:marBottom w:val="0"/>
                              <w:divBdr>
                                <w:top w:val="none" w:sz="0" w:space="0" w:color="auto"/>
                                <w:left w:val="none" w:sz="0" w:space="0" w:color="auto"/>
                                <w:bottom w:val="none" w:sz="0" w:space="0" w:color="auto"/>
                                <w:right w:val="none" w:sz="0" w:space="0" w:color="auto"/>
                              </w:divBdr>
                              <w:divsChild>
                                <w:div w:id="323553734">
                                  <w:marLeft w:val="0"/>
                                  <w:marRight w:val="0"/>
                                  <w:marTop w:val="0"/>
                                  <w:marBottom w:val="0"/>
                                  <w:divBdr>
                                    <w:top w:val="none" w:sz="0" w:space="0" w:color="auto"/>
                                    <w:left w:val="none" w:sz="0" w:space="0" w:color="auto"/>
                                    <w:bottom w:val="none" w:sz="0" w:space="0" w:color="auto"/>
                                    <w:right w:val="none" w:sz="0" w:space="0" w:color="auto"/>
                                  </w:divBdr>
                                  <w:divsChild>
                                    <w:div w:id="199712832">
                                      <w:marLeft w:val="0"/>
                                      <w:marRight w:val="0"/>
                                      <w:marTop w:val="0"/>
                                      <w:marBottom w:val="0"/>
                                      <w:divBdr>
                                        <w:top w:val="none" w:sz="0" w:space="0" w:color="auto"/>
                                        <w:left w:val="none" w:sz="0" w:space="0" w:color="auto"/>
                                        <w:bottom w:val="none" w:sz="0" w:space="0" w:color="auto"/>
                                        <w:right w:val="none" w:sz="0" w:space="0" w:color="auto"/>
                                      </w:divBdr>
                                      <w:divsChild>
                                        <w:div w:id="8675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673882">
      <w:bodyDiv w:val="1"/>
      <w:marLeft w:val="0"/>
      <w:marRight w:val="0"/>
      <w:marTop w:val="0"/>
      <w:marBottom w:val="0"/>
      <w:divBdr>
        <w:top w:val="none" w:sz="0" w:space="0" w:color="auto"/>
        <w:left w:val="none" w:sz="0" w:space="0" w:color="auto"/>
        <w:bottom w:val="none" w:sz="0" w:space="0" w:color="auto"/>
        <w:right w:val="none" w:sz="0" w:space="0" w:color="auto"/>
      </w:divBdr>
    </w:div>
    <w:div w:id="975722639">
      <w:bodyDiv w:val="1"/>
      <w:marLeft w:val="0"/>
      <w:marRight w:val="0"/>
      <w:marTop w:val="0"/>
      <w:marBottom w:val="0"/>
      <w:divBdr>
        <w:top w:val="none" w:sz="0" w:space="0" w:color="auto"/>
        <w:left w:val="none" w:sz="0" w:space="0" w:color="auto"/>
        <w:bottom w:val="none" w:sz="0" w:space="0" w:color="auto"/>
        <w:right w:val="none" w:sz="0" w:space="0" w:color="auto"/>
      </w:divBdr>
      <w:divsChild>
        <w:div w:id="1837377307">
          <w:marLeft w:val="0"/>
          <w:marRight w:val="0"/>
          <w:marTop w:val="0"/>
          <w:marBottom w:val="0"/>
          <w:divBdr>
            <w:top w:val="none" w:sz="0" w:space="0" w:color="auto"/>
            <w:left w:val="none" w:sz="0" w:space="0" w:color="auto"/>
            <w:bottom w:val="none" w:sz="0" w:space="0" w:color="auto"/>
            <w:right w:val="none" w:sz="0" w:space="0" w:color="auto"/>
          </w:divBdr>
          <w:divsChild>
            <w:div w:id="563756002">
              <w:marLeft w:val="0"/>
              <w:marRight w:val="0"/>
              <w:marTop w:val="0"/>
              <w:marBottom w:val="0"/>
              <w:divBdr>
                <w:top w:val="none" w:sz="0" w:space="0" w:color="auto"/>
                <w:left w:val="none" w:sz="0" w:space="0" w:color="auto"/>
                <w:bottom w:val="none" w:sz="0" w:space="0" w:color="auto"/>
                <w:right w:val="none" w:sz="0" w:space="0" w:color="auto"/>
              </w:divBdr>
              <w:divsChild>
                <w:div w:id="1956908824">
                  <w:marLeft w:val="0"/>
                  <w:marRight w:val="0"/>
                  <w:marTop w:val="0"/>
                  <w:marBottom w:val="0"/>
                  <w:divBdr>
                    <w:top w:val="none" w:sz="0" w:space="0" w:color="auto"/>
                    <w:left w:val="none" w:sz="0" w:space="0" w:color="auto"/>
                    <w:bottom w:val="none" w:sz="0" w:space="0" w:color="auto"/>
                    <w:right w:val="none" w:sz="0" w:space="0" w:color="auto"/>
                  </w:divBdr>
                  <w:divsChild>
                    <w:div w:id="783039492">
                      <w:marLeft w:val="0"/>
                      <w:marRight w:val="0"/>
                      <w:marTop w:val="0"/>
                      <w:marBottom w:val="0"/>
                      <w:divBdr>
                        <w:top w:val="none" w:sz="0" w:space="0" w:color="auto"/>
                        <w:left w:val="none" w:sz="0" w:space="0" w:color="auto"/>
                        <w:bottom w:val="none" w:sz="0" w:space="0" w:color="auto"/>
                        <w:right w:val="none" w:sz="0" w:space="0" w:color="auto"/>
                      </w:divBdr>
                      <w:divsChild>
                        <w:div w:id="1693873014">
                          <w:marLeft w:val="0"/>
                          <w:marRight w:val="0"/>
                          <w:marTop w:val="0"/>
                          <w:marBottom w:val="0"/>
                          <w:divBdr>
                            <w:top w:val="none" w:sz="0" w:space="0" w:color="auto"/>
                            <w:left w:val="none" w:sz="0" w:space="0" w:color="auto"/>
                            <w:bottom w:val="none" w:sz="0" w:space="0" w:color="auto"/>
                            <w:right w:val="none" w:sz="0" w:space="0" w:color="auto"/>
                          </w:divBdr>
                          <w:divsChild>
                            <w:div w:id="447436839">
                              <w:marLeft w:val="0"/>
                              <w:marRight w:val="0"/>
                              <w:marTop w:val="0"/>
                              <w:marBottom w:val="0"/>
                              <w:divBdr>
                                <w:top w:val="none" w:sz="0" w:space="0" w:color="auto"/>
                                <w:left w:val="none" w:sz="0" w:space="0" w:color="auto"/>
                                <w:bottom w:val="none" w:sz="0" w:space="0" w:color="auto"/>
                                <w:right w:val="none" w:sz="0" w:space="0" w:color="auto"/>
                              </w:divBdr>
                              <w:divsChild>
                                <w:div w:id="224999545">
                                  <w:marLeft w:val="0"/>
                                  <w:marRight w:val="0"/>
                                  <w:marTop w:val="0"/>
                                  <w:marBottom w:val="0"/>
                                  <w:divBdr>
                                    <w:top w:val="none" w:sz="0" w:space="0" w:color="auto"/>
                                    <w:left w:val="none" w:sz="0" w:space="0" w:color="auto"/>
                                    <w:bottom w:val="none" w:sz="0" w:space="0" w:color="auto"/>
                                    <w:right w:val="none" w:sz="0" w:space="0" w:color="auto"/>
                                  </w:divBdr>
                                  <w:divsChild>
                                    <w:div w:id="609049303">
                                      <w:marLeft w:val="0"/>
                                      <w:marRight w:val="0"/>
                                      <w:marTop w:val="0"/>
                                      <w:marBottom w:val="0"/>
                                      <w:divBdr>
                                        <w:top w:val="none" w:sz="0" w:space="0" w:color="auto"/>
                                        <w:left w:val="none" w:sz="0" w:space="0" w:color="auto"/>
                                        <w:bottom w:val="none" w:sz="0" w:space="0" w:color="auto"/>
                                        <w:right w:val="none" w:sz="0" w:space="0" w:color="auto"/>
                                      </w:divBdr>
                                      <w:divsChild>
                                        <w:div w:id="13452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2185152">
      <w:bodyDiv w:val="1"/>
      <w:marLeft w:val="0"/>
      <w:marRight w:val="0"/>
      <w:marTop w:val="0"/>
      <w:marBottom w:val="0"/>
      <w:divBdr>
        <w:top w:val="none" w:sz="0" w:space="0" w:color="auto"/>
        <w:left w:val="none" w:sz="0" w:space="0" w:color="auto"/>
        <w:bottom w:val="none" w:sz="0" w:space="0" w:color="auto"/>
        <w:right w:val="none" w:sz="0" w:space="0" w:color="auto"/>
      </w:divBdr>
      <w:divsChild>
        <w:div w:id="1844125473">
          <w:marLeft w:val="408"/>
          <w:marRight w:val="408"/>
          <w:marTop w:val="0"/>
          <w:marBottom w:val="0"/>
          <w:divBdr>
            <w:top w:val="none" w:sz="0" w:space="0" w:color="auto"/>
            <w:left w:val="none" w:sz="0" w:space="0" w:color="auto"/>
            <w:bottom w:val="none" w:sz="0" w:space="0" w:color="auto"/>
            <w:right w:val="none" w:sz="0" w:space="0" w:color="auto"/>
          </w:divBdr>
        </w:div>
      </w:divsChild>
    </w:div>
    <w:div w:id="1155755015">
      <w:bodyDiv w:val="1"/>
      <w:marLeft w:val="0"/>
      <w:marRight w:val="0"/>
      <w:marTop w:val="0"/>
      <w:marBottom w:val="0"/>
      <w:divBdr>
        <w:top w:val="none" w:sz="0" w:space="0" w:color="auto"/>
        <w:left w:val="none" w:sz="0" w:space="0" w:color="auto"/>
        <w:bottom w:val="none" w:sz="0" w:space="0" w:color="auto"/>
        <w:right w:val="none" w:sz="0" w:space="0" w:color="auto"/>
      </w:divBdr>
      <w:divsChild>
        <w:div w:id="81030377">
          <w:marLeft w:val="408"/>
          <w:marRight w:val="408"/>
          <w:marTop w:val="0"/>
          <w:marBottom w:val="0"/>
          <w:divBdr>
            <w:top w:val="none" w:sz="0" w:space="0" w:color="auto"/>
            <w:left w:val="none" w:sz="0" w:space="0" w:color="auto"/>
            <w:bottom w:val="none" w:sz="0" w:space="0" w:color="auto"/>
            <w:right w:val="none" w:sz="0" w:space="0" w:color="auto"/>
          </w:divBdr>
        </w:div>
      </w:divsChild>
    </w:div>
    <w:div w:id="1267154033">
      <w:bodyDiv w:val="1"/>
      <w:marLeft w:val="0"/>
      <w:marRight w:val="0"/>
      <w:marTop w:val="0"/>
      <w:marBottom w:val="0"/>
      <w:divBdr>
        <w:top w:val="none" w:sz="0" w:space="0" w:color="auto"/>
        <w:left w:val="none" w:sz="0" w:space="0" w:color="auto"/>
        <w:bottom w:val="none" w:sz="0" w:space="0" w:color="auto"/>
        <w:right w:val="none" w:sz="0" w:space="0" w:color="auto"/>
      </w:divBdr>
      <w:divsChild>
        <w:div w:id="1714425372">
          <w:marLeft w:val="0"/>
          <w:marRight w:val="0"/>
          <w:marTop w:val="0"/>
          <w:marBottom w:val="0"/>
          <w:divBdr>
            <w:top w:val="none" w:sz="0" w:space="0" w:color="auto"/>
            <w:left w:val="none" w:sz="0" w:space="0" w:color="auto"/>
            <w:bottom w:val="none" w:sz="0" w:space="0" w:color="auto"/>
            <w:right w:val="none" w:sz="0" w:space="0" w:color="auto"/>
          </w:divBdr>
          <w:divsChild>
            <w:div w:id="725108353">
              <w:marLeft w:val="0"/>
              <w:marRight w:val="0"/>
              <w:marTop w:val="0"/>
              <w:marBottom w:val="0"/>
              <w:divBdr>
                <w:top w:val="none" w:sz="0" w:space="0" w:color="auto"/>
                <w:left w:val="none" w:sz="0" w:space="0" w:color="auto"/>
                <w:bottom w:val="none" w:sz="0" w:space="0" w:color="auto"/>
                <w:right w:val="none" w:sz="0" w:space="0" w:color="auto"/>
              </w:divBdr>
              <w:divsChild>
                <w:div w:id="1715153617">
                  <w:marLeft w:val="0"/>
                  <w:marRight w:val="0"/>
                  <w:marTop w:val="0"/>
                  <w:marBottom w:val="0"/>
                  <w:divBdr>
                    <w:top w:val="none" w:sz="0" w:space="0" w:color="auto"/>
                    <w:left w:val="none" w:sz="0" w:space="0" w:color="auto"/>
                    <w:bottom w:val="none" w:sz="0" w:space="0" w:color="auto"/>
                    <w:right w:val="none" w:sz="0" w:space="0" w:color="auto"/>
                  </w:divBdr>
                  <w:divsChild>
                    <w:div w:id="262617538">
                      <w:marLeft w:val="0"/>
                      <w:marRight w:val="0"/>
                      <w:marTop w:val="0"/>
                      <w:marBottom w:val="0"/>
                      <w:divBdr>
                        <w:top w:val="none" w:sz="0" w:space="0" w:color="auto"/>
                        <w:left w:val="none" w:sz="0" w:space="0" w:color="auto"/>
                        <w:bottom w:val="none" w:sz="0" w:space="0" w:color="auto"/>
                        <w:right w:val="none" w:sz="0" w:space="0" w:color="auto"/>
                      </w:divBdr>
                      <w:divsChild>
                        <w:div w:id="1454440558">
                          <w:marLeft w:val="0"/>
                          <w:marRight w:val="0"/>
                          <w:marTop w:val="0"/>
                          <w:marBottom w:val="0"/>
                          <w:divBdr>
                            <w:top w:val="none" w:sz="0" w:space="0" w:color="auto"/>
                            <w:left w:val="none" w:sz="0" w:space="0" w:color="auto"/>
                            <w:bottom w:val="none" w:sz="0" w:space="0" w:color="auto"/>
                            <w:right w:val="none" w:sz="0" w:space="0" w:color="auto"/>
                          </w:divBdr>
                          <w:divsChild>
                            <w:div w:id="202521740">
                              <w:marLeft w:val="0"/>
                              <w:marRight w:val="0"/>
                              <w:marTop w:val="0"/>
                              <w:marBottom w:val="0"/>
                              <w:divBdr>
                                <w:top w:val="none" w:sz="0" w:space="0" w:color="auto"/>
                                <w:left w:val="none" w:sz="0" w:space="0" w:color="auto"/>
                                <w:bottom w:val="none" w:sz="0" w:space="0" w:color="auto"/>
                                <w:right w:val="none" w:sz="0" w:space="0" w:color="auto"/>
                              </w:divBdr>
                              <w:divsChild>
                                <w:div w:id="1776443109">
                                  <w:marLeft w:val="0"/>
                                  <w:marRight w:val="0"/>
                                  <w:marTop w:val="0"/>
                                  <w:marBottom w:val="0"/>
                                  <w:divBdr>
                                    <w:top w:val="none" w:sz="0" w:space="0" w:color="auto"/>
                                    <w:left w:val="none" w:sz="0" w:space="0" w:color="auto"/>
                                    <w:bottom w:val="none" w:sz="0" w:space="0" w:color="auto"/>
                                    <w:right w:val="none" w:sz="0" w:space="0" w:color="auto"/>
                                  </w:divBdr>
                                  <w:divsChild>
                                    <w:div w:id="690030218">
                                      <w:marLeft w:val="0"/>
                                      <w:marRight w:val="0"/>
                                      <w:marTop w:val="0"/>
                                      <w:marBottom w:val="0"/>
                                      <w:divBdr>
                                        <w:top w:val="none" w:sz="0" w:space="0" w:color="auto"/>
                                        <w:left w:val="none" w:sz="0" w:space="0" w:color="auto"/>
                                        <w:bottom w:val="none" w:sz="0" w:space="0" w:color="auto"/>
                                        <w:right w:val="none" w:sz="0" w:space="0" w:color="auto"/>
                                      </w:divBdr>
                                      <w:divsChild>
                                        <w:div w:id="15787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1064932">
      <w:bodyDiv w:val="1"/>
      <w:marLeft w:val="0"/>
      <w:marRight w:val="0"/>
      <w:marTop w:val="0"/>
      <w:marBottom w:val="0"/>
      <w:divBdr>
        <w:top w:val="none" w:sz="0" w:space="0" w:color="auto"/>
        <w:left w:val="none" w:sz="0" w:space="0" w:color="auto"/>
        <w:bottom w:val="none" w:sz="0" w:space="0" w:color="auto"/>
        <w:right w:val="none" w:sz="0" w:space="0" w:color="auto"/>
      </w:divBdr>
    </w:div>
    <w:div w:id="1355229131">
      <w:bodyDiv w:val="1"/>
      <w:marLeft w:val="0"/>
      <w:marRight w:val="0"/>
      <w:marTop w:val="0"/>
      <w:marBottom w:val="0"/>
      <w:divBdr>
        <w:top w:val="none" w:sz="0" w:space="0" w:color="auto"/>
        <w:left w:val="none" w:sz="0" w:space="0" w:color="auto"/>
        <w:bottom w:val="none" w:sz="0" w:space="0" w:color="auto"/>
        <w:right w:val="none" w:sz="0" w:space="0" w:color="auto"/>
      </w:divBdr>
    </w:div>
    <w:div w:id="1469318047">
      <w:bodyDiv w:val="1"/>
      <w:marLeft w:val="0"/>
      <w:marRight w:val="0"/>
      <w:marTop w:val="0"/>
      <w:marBottom w:val="0"/>
      <w:divBdr>
        <w:top w:val="none" w:sz="0" w:space="0" w:color="auto"/>
        <w:left w:val="none" w:sz="0" w:space="0" w:color="auto"/>
        <w:bottom w:val="none" w:sz="0" w:space="0" w:color="auto"/>
        <w:right w:val="none" w:sz="0" w:space="0" w:color="auto"/>
      </w:divBdr>
    </w:div>
    <w:div w:id="1488327747">
      <w:bodyDiv w:val="1"/>
      <w:marLeft w:val="0"/>
      <w:marRight w:val="0"/>
      <w:marTop w:val="0"/>
      <w:marBottom w:val="0"/>
      <w:divBdr>
        <w:top w:val="none" w:sz="0" w:space="0" w:color="auto"/>
        <w:left w:val="none" w:sz="0" w:space="0" w:color="auto"/>
        <w:bottom w:val="none" w:sz="0" w:space="0" w:color="auto"/>
        <w:right w:val="none" w:sz="0" w:space="0" w:color="auto"/>
      </w:divBdr>
    </w:div>
    <w:div w:id="1693145566">
      <w:bodyDiv w:val="1"/>
      <w:marLeft w:val="0"/>
      <w:marRight w:val="0"/>
      <w:marTop w:val="0"/>
      <w:marBottom w:val="0"/>
      <w:divBdr>
        <w:top w:val="none" w:sz="0" w:space="0" w:color="auto"/>
        <w:left w:val="none" w:sz="0" w:space="0" w:color="auto"/>
        <w:bottom w:val="none" w:sz="0" w:space="0" w:color="auto"/>
        <w:right w:val="none" w:sz="0" w:space="0" w:color="auto"/>
      </w:divBdr>
    </w:div>
    <w:div w:id="1732727721">
      <w:bodyDiv w:val="1"/>
      <w:marLeft w:val="0"/>
      <w:marRight w:val="0"/>
      <w:marTop w:val="0"/>
      <w:marBottom w:val="0"/>
      <w:divBdr>
        <w:top w:val="none" w:sz="0" w:space="0" w:color="auto"/>
        <w:left w:val="none" w:sz="0" w:space="0" w:color="auto"/>
        <w:bottom w:val="none" w:sz="0" w:space="0" w:color="auto"/>
        <w:right w:val="none" w:sz="0" w:space="0" w:color="auto"/>
      </w:divBdr>
      <w:divsChild>
        <w:div w:id="2016571540">
          <w:marLeft w:val="0"/>
          <w:marRight w:val="0"/>
          <w:marTop w:val="0"/>
          <w:marBottom w:val="0"/>
          <w:divBdr>
            <w:top w:val="none" w:sz="0" w:space="0" w:color="auto"/>
            <w:left w:val="none" w:sz="0" w:space="0" w:color="auto"/>
            <w:bottom w:val="none" w:sz="0" w:space="0" w:color="auto"/>
            <w:right w:val="none" w:sz="0" w:space="0" w:color="auto"/>
          </w:divBdr>
        </w:div>
        <w:div w:id="199561725">
          <w:marLeft w:val="0"/>
          <w:marRight w:val="0"/>
          <w:marTop w:val="0"/>
          <w:marBottom w:val="0"/>
          <w:divBdr>
            <w:top w:val="none" w:sz="0" w:space="0" w:color="auto"/>
            <w:left w:val="none" w:sz="0" w:space="0" w:color="auto"/>
            <w:bottom w:val="none" w:sz="0" w:space="0" w:color="auto"/>
            <w:right w:val="none" w:sz="0" w:space="0" w:color="auto"/>
          </w:divBdr>
        </w:div>
        <w:div w:id="586428785">
          <w:marLeft w:val="0"/>
          <w:marRight w:val="0"/>
          <w:marTop w:val="0"/>
          <w:marBottom w:val="0"/>
          <w:divBdr>
            <w:top w:val="none" w:sz="0" w:space="0" w:color="auto"/>
            <w:left w:val="none" w:sz="0" w:space="0" w:color="auto"/>
            <w:bottom w:val="none" w:sz="0" w:space="0" w:color="auto"/>
            <w:right w:val="none" w:sz="0" w:space="0" w:color="auto"/>
          </w:divBdr>
        </w:div>
        <w:div w:id="1167553378">
          <w:marLeft w:val="0"/>
          <w:marRight w:val="0"/>
          <w:marTop w:val="0"/>
          <w:marBottom w:val="0"/>
          <w:divBdr>
            <w:top w:val="none" w:sz="0" w:space="0" w:color="auto"/>
            <w:left w:val="none" w:sz="0" w:space="0" w:color="auto"/>
            <w:bottom w:val="none" w:sz="0" w:space="0" w:color="auto"/>
            <w:right w:val="none" w:sz="0" w:space="0" w:color="auto"/>
          </w:divBdr>
        </w:div>
        <w:div w:id="871302834">
          <w:marLeft w:val="0"/>
          <w:marRight w:val="0"/>
          <w:marTop w:val="0"/>
          <w:marBottom w:val="0"/>
          <w:divBdr>
            <w:top w:val="none" w:sz="0" w:space="0" w:color="auto"/>
            <w:left w:val="none" w:sz="0" w:space="0" w:color="auto"/>
            <w:bottom w:val="none" w:sz="0" w:space="0" w:color="auto"/>
            <w:right w:val="none" w:sz="0" w:space="0" w:color="auto"/>
          </w:divBdr>
        </w:div>
        <w:div w:id="1660697581">
          <w:marLeft w:val="0"/>
          <w:marRight w:val="0"/>
          <w:marTop w:val="0"/>
          <w:marBottom w:val="0"/>
          <w:divBdr>
            <w:top w:val="none" w:sz="0" w:space="0" w:color="auto"/>
            <w:left w:val="none" w:sz="0" w:space="0" w:color="auto"/>
            <w:bottom w:val="none" w:sz="0" w:space="0" w:color="auto"/>
            <w:right w:val="none" w:sz="0" w:space="0" w:color="auto"/>
          </w:divBdr>
        </w:div>
        <w:div w:id="466626693">
          <w:marLeft w:val="0"/>
          <w:marRight w:val="0"/>
          <w:marTop w:val="0"/>
          <w:marBottom w:val="0"/>
          <w:divBdr>
            <w:top w:val="none" w:sz="0" w:space="0" w:color="auto"/>
            <w:left w:val="none" w:sz="0" w:space="0" w:color="auto"/>
            <w:bottom w:val="none" w:sz="0" w:space="0" w:color="auto"/>
            <w:right w:val="none" w:sz="0" w:space="0" w:color="auto"/>
          </w:divBdr>
        </w:div>
        <w:div w:id="37559976">
          <w:marLeft w:val="0"/>
          <w:marRight w:val="0"/>
          <w:marTop w:val="0"/>
          <w:marBottom w:val="0"/>
          <w:divBdr>
            <w:top w:val="none" w:sz="0" w:space="0" w:color="auto"/>
            <w:left w:val="none" w:sz="0" w:space="0" w:color="auto"/>
            <w:bottom w:val="none" w:sz="0" w:space="0" w:color="auto"/>
            <w:right w:val="none" w:sz="0" w:space="0" w:color="auto"/>
          </w:divBdr>
        </w:div>
        <w:div w:id="665669645">
          <w:marLeft w:val="0"/>
          <w:marRight w:val="0"/>
          <w:marTop w:val="0"/>
          <w:marBottom w:val="0"/>
          <w:divBdr>
            <w:top w:val="none" w:sz="0" w:space="0" w:color="auto"/>
            <w:left w:val="none" w:sz="0" w:space="0" w:color="auto"/>
            <w:bottom w:val="none" w:sz="0" w:space="0" w:color="auto"/>
            <w:right w:val="none" w:sz="0" w:space="0" w:color="auto"/>
          </w:divBdr>
        </w:div>
        <w:div w:id="434205614">
          <w:marLeft w:val="0"/>
          <w:marRight w:val="0"/>
          <w:marTop w:val="0"/>
          <w:marBottom w:val="0"/>
          <w:divBdr>
            <w:top w:val="none" w:sz="0" w:space="0" w:color="auto"/>
            <w:left w:val="none" w:sz="0" w:space="0" w:color="auto"/>
            <w:bottom w:val="none" w:sz="0" w:space="0" w:color="auto"/>
            <w:right w:val="none" w:sz="0" w:space="0" w:color="auto"/>
          </w:divBdr>
        </w:div>
        <w:div w:id="235020805">
          <w:marLeft w:val="0"/>
          <w:marRight w:val="0"/>
          <w:marTop w:val="0"/>
          <w:marBottom w:val="0"/>
          <w:divBdr>
            <w:top w:val="none" w:sz="0" w:space="0" w:color="auto"/>
            <w:left w:val="none" w:sz="0" w:space="0" w:color="auto"/>
            <w:bottom w:val="none" w:sz="0" w:space="0" w:color="auto"/>
            <w:right w:val="none" w:sz="0" w:space="0" w:color="auto"/>
          </w:divBdr>
        </w:div>
        <w:div w:id="437918234">
          <w:marLeft w:val="0"/>
          <w:marRight w:val="0"/>
          <w:marTop w:val="0"/>
          <w:marBottom w:val="0"/>
          <w:divBdr>
            <w:top w:val="none" w:sz="0" w:space="0" w:color="auto"/>
            <w:left w:val="none" w:sz="0" w:space="0" w:color="auto"/>
            <w:bottom w:val="none" w:sz="0" w:space="0" w:color="auto"/>
            <w:right w:val="none" w:sz="0" w:space="0" w:color="auto"/>
          </w:divBdr>
        </w:div>
        <w:div w:id="1905335738">
          <w:marLeft w:val="0"/>
          <w:marRight w:val="0"/>
          <w:marTop w:val="0"/>
          <w:marBottom w:val="0"/>
          <w:divBdr>
            <w:top w:val="none" w:sz="0" w:space="0" w:color="auto"/>
            <w:left w:val="none" w:sz="0" w:space="0" w:color="auto"/>
            <w:bottom w:val="none" w:sz="0" w:space="0" w:color="auto"/>
            <w:right w:val="none" w:sz="0" w:space="0" w:color="auto"/>
          </w:divBdr>
        </w:div>
        <w:div w:id="138154744">
          <w:marLeft w:val="0"/>
          <w:marRight w:val="0"/>
          <w:marTop w:val="0"/>
          <w:marBottom w:val="0"/>
          <w:divBdr>
            <w:top w:val="none" w:sz="0" w:space="0" w:color="auto"/>
            <w:left w:val="none" w:sz="0" w:space="0" w:color="auto"/>
            <w:bottom w:val="none" w:sz="0" w:space="0" w:color="auto"/>
            <w:right w:val="none" w:sz="0" w:space="0" w:color="auto"/>
          </w:divBdr>
        </w:div>
        <w:div w:id="939803053">
          <w:marLeft w:val="0"/>
          <w:marRight w:val="0"/>
          <w:marTop w:val="0"/>
          <w:marBottom w:val="0"/>
          <w:divBdr>
            <w:top w:val="none" w:sz="0" w:space="0" w:color="auto"/>
            <w:left w:val="none" w:sz="0" w:space="0" w:color="auto"/>
            <w:bottom w:val="none" w:sz="0" w:space="0" w:color="auto"/>
            <w:right w:val="none" w:sz="0" w:space="0" w:color="auto"/>
          </w:divBdr>
        </w:div>
        <w:div w:id="354500420">
          <w:marLeft w:val="0"/>
          <w:marRight w:val="0"/>
          <w:marTop w:val="0"/>
          <w:marBottom w:val="0"/>
          <w:divBdr>
            <w:top w:val="none" w:sz="0" w:space="0" w:color="auto"/>
            <w:left w:val="none" w:sz="0" w:space="0" w:color="auto"/>
            <w:bottom w:val="none" w:sz="0" w:space="0" w:color="auto"/>
            <w:right w:val="none" w:sz="0" w:space="0" w:color="auto"/>
          </w:divBdr>
        </w:div>
        <w:div w:id="900792453">
          <w:marLeft w:val="0"/>
          <w:marRight w:val="0"/>
          <w:marTop w:val="0"/>
          <w:marBottom w:val="0"/>
          <w:divBdr>
            <w:top w:val="none" w:sz="0" w:space="0" w:color="auto"/>
            <w:left w:val="none" w:sz="0" w:space="0" w:color="auto"/>
            <w:bottom w:val="none" w:sz="0" w:space="0" w:color="auto"/>
            <w:right w:val="none" w:sz="0" w:space="0" w:color="auto"/>
          </w:divBdr>
        </w:div>
        <w:div w:id="1749840227">
          <w:marLeft w:val="0"/>
          <w:marRight w:val="0"/>
          <w:marTop w:val="0"/>
          <w:marBottom w:val="0"/>
          <w:divBdr>
            <w:top w:val="none" w:sz="0" w:space="0" w:color="auto"/>
            <w:left w:val="none" w:sz="0" w:space="0" w:color="auto"/>
            <w:bottom w:val="none" w:sz="0" w:space="0" w:color="auto"/>
            <w:right w:val="none" w:sz="0" w:space="0" w:color="auto"/>
          </w:divBdr>
        </w:div>
        <w:div w:id="2092848613">
          <w:marLeft w:val="0"/>
          <w:marRight w:val="0"/>
          <w:marTop w:val="0"/>
          <w:marBottom w:val="0"/>
          <w:divBdr>
            <w:top w:val="none" w:sz="0" w:space="0" w:color="auto"/>
            <w:left w:val="none" w:sz="0" w:space="0" w:color="auto"/>
            <w:bottom w:val="none" w:sz="0" w:space="0" w:color="auto"/>
            <w:right w:val="none" w:sz="0" w:space="0" w:color="auto"/>
          </w:divBdr>
        </w:div>
        <w:div w:id="1612130050">
          <w:marLeft w:val="0"/>
          <w:marRight w:val="0"/>
          <w:marTop w:val="0"/>
          <w:marBottom w:val="0"/>
          <w:divBdr>
            <w:top w:val="none" w:sz="0" w:space="0" w:color="auto"/>
            <w:left w:val="none" w:sz="0" w:space="0" w:color="auto"/>
            <w:bottom w:val="none" w:sz="0" w:space="0" w:color="auto"/>
            <w:right w:val="none" w:sz="0" w:space="0" w:color="auto"/>
          </w:divBdr>
        </w:div>
        <w:div w:id="375469912">
          <w:marLeft w:val="0"/>
          <w:marRight w:val="0"/>
          <w:marTop w:val="0"/>
          <w:marBottom w:val="0"/>
          <w:divBdr>
            <w:top w:val="none" w:sz="0" w:space="0" w:color="auto"/>
            <w:left w:val="none" w:sz="0" w:space="0" w:color="auto"/>
            <w:bottom w:val="none" w:sz="0" w:space="0" w:color="auto"/>
            <w:right w:val="none" w:sz="0" w:space="0" w:color="auto"/>
          </w:divBdr>
        </w:div>
        <w:div w:id="1205556718">
          <w:marLeft w:val="0"/>
          <w:marRight w:val="0"/>
          <w:marTop w:val="0"/>
          <w:marBottom w:val="0"/>
          <w:divBdr>
            <w:top w:val="none" w:sz="0" w:space="0" w:color="auto"/>
            <w:left w:val="none" w:sz="0" w:space="0" w:color="auto"/>
            <w:bottom w:val="none" w:sz="0" w:space="0" w:color="auto"/>
            <w:right w:val="none" w:sz="0" w:space="0" w:color="auto"/>
          </w:divBdr>
        </w:div>
        <w:div w:id="987780917">
          <w:marLeft w:val="0"/>
          <w:marRight w:val="0"/>
          <w:marTop w:val="0"/>
          <w:marBottom w:val="0"/>
          <w:divBdr>
            <w:top w:val="none" w:sz="0" w:space="0" w:color="auto"/>
            <w:left w:val="none" w:sz="0" w:space="0" w:color="auto"/>
            <w:bottom w:val="none" w:sz="0" w:space="0" w:color="auto"/>
            <w:right w:val="none" w:sz="0" w:space="0" w:color="auto"/>
          </w:divBdr>
        </w:div>
        <w:div w:id="745878614">
          <w:marLeft w:val="0"/>
          <w:marRight w:val="0"/>
          <w:marTop w:val="0"/>
          <w:marBottom w:val="0"/>
          <w:divBdr>
            <w:top w:val="none" w:sz="0" w:space="0" w:color="auto"/>
            <w:left w:val="none" w:sz="0" w:space="0" w:color="auto"/>
            <w:bottom w:val="none" w:sz="0" w:space="0" w:color="auto"/>
            <w:right w:val="none" w:sz="0" w:space="0" w:color="auto"/>
          </w:divBdr>
        </w:div>
        <w:div w:id="1706953125">
          <w:marLeft w:val="0"/>
          <w:marRight w:val="0"/>
          <w:marTop w:val="0"/>
          <w:marBottom w:val="0"/>
          <w:divBdr>
            <w:top w:val="none" w:sz="0" w:space="0" w:color="auto"/>
            <w:left w:val="none" w:sz="0" w:space="0" w:color="auto"/>
            <w:bottom w:val="none" w:sz="0" w:space="0" w:color="auto"/>
            <w:right w:val="none" w:sz="0" w:space="0" w:color="auto"/>
          </w:divBdr>
        </w:div>
        <w:div w:id="2084134911">
          <w:marLeft w:val="0"/>
          <w:marRight w:val="0"/>
          <w:marTop w:val="0"/>
          <w:marBottom w:val="0"/>
          <w:divBdr>
            <w:top w:val="none" w:sz="0" w:space="0" w:color="auto"/>
            <w:left w:val="none" w:sz="0" w:space="0" w:color="auto"/>
            <w:bottom w:val="none" w:sz="0" w:space="0" w:color="auto"/>
            <w:right w:val="none" w:sz="0" w:space="0" w:color="auto"/>
          </w:divBdr>
        </w:div>
        <w:div w:id="1319654376">
          <w:marLeft w:val="0"/>
          <w:marRight w:val="0"/>
          <w:marTop w:val="0"/>
          <w:marBottom w:val="0"/>
          <w:divBdr>
            <w:top w:val="none" w:sz="0" w:space="0" w:color="auto"/>
            <w:left w:val="none" w:sz="0" w:space="0" w:color="auto"/>
            <w:bottom w:val="none" w:sz="0" w:space="0" w:color="auto"/>
            <w:right w:val="none" w:sz="0" w:space="0" w:color="auto"/>
          </w:divBdr>
        </w:div>
        <w:div w:id="188643534">
          <w:marLeft w:val="0"/>
          <w:marRight w:val="0"/>
          <w:marTop w:val="0"/>
          <w:marBottom w:val="0"/>
          <w:divBdr>
            <w:top w:val="none" w:sz="0" w:space="0" w:color="auto"/>
            <w:left w:val="none" w:sz="0" w:space="0" w:color="auto"/>
            <w:bottom w:val="none" w:sz="0" w:space="0" w:color="auto"/>
            <w:right w:val="none" w:sz="0" w:space="0" w:color="auto"/>
          </w:divBdr>
        </w:div>
        <w:div w:id="864170548">
          <w:marLeft w:val="0"/>
          <w:marRight w:val="0"/>
          <w:marTop w:val="0"/>
          <w:marBottom w:val="0"/>
          <w:divBdr>
            <w:top w:val="none" w:sz="0" w:space="0" w:color="auto"/>
            <w:left w:val="none" w:sz="0" w:space="0" w:color="auto"/>
            <w:bottom w:val="none" w:sz="0" w:space="0" w:color="auto"/>
            <w:right w:val="none" w:sz="0" w:space="0" w:color="auto"/>
          </w:divBdr>
        </w:div>
        <w:div w:id="2112429902">
          <w:marLeft w:val="0"/>
          <w:marRight w:val="0"/>
          <w:marTop w:val="0"/>
          <w:marBottom w:val="0"/>
          <w:divBdr>
            <w:top w:val="none" w:sz="0" w:space="0" w:color="auto"/>
            <w:left w:val="none" w:sz="0" w:space="0" w:color="auto"/>
            <w:bottom w:val="none" w:sz="0" w:space="0" w:color="auto"/>
            <w:right w:val="none" w:sz="0" w:space="0" w:color="auto"/>
          </w:divBdr>
        </w:div>
        <w:div w:id="1903132495">
          <w:marLeft w:val="0"/>
          <w:marRight w:val="0"/>
          <w:marTop w:val="0"/>
          <w:marBottom w:val="0"/>
          <w:divBdr>
            <w:top w:val="none" w:sz="0" w:space="0" w:color="auto"/>
            <w:left w:val="none" w:sz="0" w:space="0" w:color="auto"/>
            <w:bottom w:val="none" w:sz="0" w:space="0" w:color="auto"/>
            <w:right w:val="none" w:sz="0" w:space="0" w:color="auto"/>
          </w:divBdr>
        </w:div>
        <w:div w:id="707604719">
          <w:marLeft w:val="0"/>
          <w:marRight w:val="0"/>
          <w:marTop w:val="0"/>
          <w:marBottom w:val="0"/>
          <w:divBdr>
            <w:top w:val="none" w:sz="0" w:space="0" w:color="auto"/>
            <w:left w:val="none" w:sz="0" w:space="0" w:color="auto"/>
            <w:bottom w:val="none" w:sz="0" w:space="0" w:color="auto"/>
            <w:right w:val="none" w:sz="0" w:space="0" w:color="auto"/>
          </w:divBdr>
        </w:div>
        <w:div w:id="1258177878">
          <w:marLeft w:val="0"/>
          <w:marRight w:val="0"/>
          <w:marTop w:val="0"/>
          <w:marBottom w:val="0"/>
          <w:divBdr>
            <w:top w:val="none" w:sz="0" w:space="0" w:color="auto"/>
            <w:left w:val="none" w:sz="0" w:space="0" w:color="auto"/>
            <w:bottom w:val="none" w:sz="0" w:space="0" w:color="auto"/>
            <w:right w:val="none" w:sz="0" w:space="0" w:color="auto"/>
          </w:divBdr>
        </w:div>
        <w:div w:id="236985854">
          <w:marLeft w:val="0"/>
          <w:marRight w:val="0"/>
          <w:marTop w:val="0"/>
          <w:marBottom w:val="0"/>
          <w:divBdr>
            <w:top w:val="none" w:sz="0" w:space="0" w:color="auto"/>
            <w:left w:val="none" w:sz="0" w:space="0" w:color="auto"/>
            <w:bottom w:val="none" w:sz="0" w:space="0" w:color="auto"/>
            <w:right w:val="none" w:sz="0" w:space="0" w:color="auto"/>
          </w:divBdr>
        </w:div>
        <w:div w:id="917439878">
          <w:marLeft w:val="0"/>
          <w:marRight w:val="0"/>
          <w:marTop w:val="0"/>
          <w:marBottom w:val="0"/>
          <w:divBdr>
            <w:top w:val="none" w:sz="0" w:space="0" w:color="auto"/>
            <w:left w:val="none" w:sz="0" w:space="0" w:color="auto"/>
            <w:bottom w:val="none" w:sz="0" w:space="0" w:color="auto"/>
            <w:right w:val="none" w:sz="0" w:space="0" w:color="auto"/>
          </w:divBdr>
        </w:div>
        <w:div w:id="2086605146">
          <w:marLeft w:val="0"/>
          <w:marRight w:val="0"/>
          <w:marTop w:val="0"/>
          <w:marBottom w:val="0"/>
          <w:divBdr>
            <w:top w:val="none" w:sz="0" w:space="0" w:color="auto"/>
            <w:left w:val="none" w:sz="0" w:space="0" w:color="auto"/>
            <w:bottom w:val="none" w:sz="0" w:space="0" w:color="auto"/>
            <w:right w:val="none" w:sz="0" w:space="0" w:color="auto"/>
          </w:divBdr>
        </w:div>
        <w:div w:id="599023093">
          <w:marLeft w:val="0"/>
          <w:marRight w:val="0"/>
          <w:marTop w:val="0"/>
          <w:marBottom w:val="0"/>
          <w:divBdr>
            <w:top w:val="none" w:sz="0" w:space="0" w:color="auto"/>
            <w:left w:val="none" w:sz="0" w:space="0" w:color="auto"/>
            <w:bottom w:val="none" w:sz="0" w:space="0" w:color="auto"/>
            <w:right w:val="none" w:sz="0" w:space="0" w:color="auto"/>
          </w:divBdr>
        </w:div>
        <w:div w:id="437263284">
          <w:marLeft w:val="0"/>
          <w:marRight w:val="0"/>
          <w:marTop w:val="0"/>
          <w:marBottom w:val="0"/>
          <w:divBdr>
            <w:top w:val="none" w:sz="0" w:space="0" w:color="auto"/>
            <w:left w:val="none" w:sz="0" w:space="0" w:color="auto"/>
            <w:bottom w:val="none" w:sz="0" w:space="0" w:color="auto"/>
            <w:right w:val="none" w:sz="0" w:space="0" w:color="auto"/>
          </w:divBdr>
        </w:div>
        <w:div w:id="1622178522">
          <w:marLeft w:val="0"/>
          <w:marRight w:val="0"/>
          <w:marTop w:val="0"/>
          <w:marBottom w:val="0"/>
          <w:divBdr>
            <w:top w:val="none" w:sz="0" w:space="0" w:color="auto"/>
            <w:left w:val="none" w:sz="0" w:space="0" w:color="auto"/>
            <w:bottom w:val="none" w:sz="0" w:space="0" w:color="auto"/>
            <w:right w:val="none" w:sz="0" w:space="0" w:color="auto"/>
          </w:divBdr>
        </w:div>
        <w:div w:id="732390411">
          <w:marLeft w:val="0"/>
          <w:marRight w:val="0"/>
          <w:marTop w:val="0"/>
          <w:marBottom w:val="0"/>
          <w:divBdr>
            <w:top w:val="none" w:sz="0" w:space="0" w:color="auto"/>
            <w:left w:val="none" w:sz="0" w:space="0" w:color="auto"/>
            <w:bottom w:val="none" w:sz="0" w:space="0" w:color="auto"/>
            <w:right w:val="none" w:sz="0" w:space="0" w:color="auto"/>
          </w:divBdr>
        </w:div>
        <w:div w:id="693582472">
          <w:marLeft w:val="0"/>
          <w:marRight w:val="0"/>
          <w:marTop w:val="0"/>
          <w:marBottom w:val="0"/>
          <w:divBdr>
            <w:top w:val="none" w:sz="0" w:space="0" w:color="auto"/>
            <w:left w:val="none" w:sz="0" w:space="0" w:color="auto"/>
            <w:bottom w:val="none" w:sz="0" w:space="0" w:color="auto"/>
            <w:right w:val="none" w:sz="0" w:space="0" w:color="auto"/>
          </w:divBdr>
        </w:div>
        <w:div w:id="399064308">
          <w:marLeft w:val="0"/>
          <w:marRight w:val="0"/>
          <w:marTop w:val="0"/>
          <w:marBottom w:val="0"/>
          <w:divBdr>
            <w:top w:val="none" w:sz="0" w:space="0" w:color="auto"/>
            <w:left w:val="none" w:sz="0" w:space="0" w:color="auto"/>
            <w:bottom w:val="none" w:sz="0" w:space="0" w:color="auto"/>
            <w:right w:val="none" w:sz="0" w:space="0" w:color="auto"/>
          </w:divBdr>
        </w:div>
        <w:div w:id="32200043">
          <w:marLeft w:val="0"/>
          <w:marRight w:val="0"/>
          <w:marTop w:val="0"/>
          <w:marBottom w:val="0"/>
          <w:divBdr>
            <w:top w:val="none" w:sz="0" w:space="0" w:color="auto"/>
            <w:left w:val="none" w:sz="0" w:space="0" w:color="auto"/>
            <w:bottom w:val="none" w:sz="0" w:space="0" w:color="auto"/>
            <w:right w:val="none" w:sz="0" w:space="0" w:color="auto"/>
          </w:divBdr>
        </w:div>
        <w:div w:id="161510121">
          <w:marLeft w:val="0"/>
          <w:marRight w:val="0"/>
          <w:marTop w:val="0"/>
          <w:marBottom w:val="0"/>
          <w:divBdr>
            <w:top w:val="none" w:sz="0" w:space="0" w:color="auto"/>
            <w:left w:val="none" w:sz="0" w:space="0" w:color="auto"/>
            <w:bottom w:val="none" w:sz="0" w:space="0" w:color="auto"/>
            <w:right w:val="none" w:sz="0" w:space="0" w:color="auto"/>
          </w:divBdr>
        </w:div>
        <w:div w:id="1948854374">
          <w:marLeft w:val="0"/>
          <w:marRight w:val="0"/>
          <w:marTop w:val="0"/>
          <w:marBottom w:val="0"/>
          <w:divBdr>
            <w:top w:val="none" w:sz="0" w:space="0" w:color="auto"/>
            <w:left w:val="none" w:sz="0" w:space="0" w:color="auto"/>
            <w:bottom w:val="none" w:sz="0" w:space="0" w:color="auto"/>
            <w:right w:val="none" w:sz="0" w:space="0" w:color="auto"/>
          </w:divBdr>
        </w:div>
        <w:div w:id="1955676734">
          <w:marLeft w:val="0"/>
          <w:marRight w:val="0"/>
          <w:marTop w:val="0"/>
          <w:marBottom w:val="0"/>
          <w:divBdr>
            <w:top w:val="none" w:sz="0" w:space="0" w:color="auto"/>
            <w:left w:val="none" w:sz="0" w:space="0" w:color="auto"/>
            <w:bottom w:val="none" w:sz="0" w:space="0" w:color="auto"/>
            <w:right w:val="none" w:sz="0" w:space="0" w:color="auto"/>
          </w:divBdr>
        </w:div>
        <w:div w:id="1825051518">
          <w:marLeft w:val="0"/>
          <w:marRight w:val="0"/>
          <w:marTop w:val="0"/>
          <w:marBottom w:val="0"/>
          <w:divBdr>
            <w:top w:val="none" w:sz="0" w:space="0" w:color="auto"/>
            <w:left w:val="none" w:sz="0" w:space="0" w:color="auto"/>
            <w:bottom w:val="none" w:sz="0" w:space="0" w:color="auto"/>
            <w:right w:val="none" w:sz="0" w:space="0" w:color="auto"/>
          </w:divBdr>
        </w:div>
        <w:div w:id="1657372114">
          <w:marLeft w:val="0"/>
          <w:marRight w:val="0"/>
          <w:marTop w:val="0"/>
          <w:marBottom w:val="0"/>
          <w:divBdr>
            <w:top w:val="none" w:sz="0" w:space="0" w:color="auto"/>
            <w:left w:val="none" w:sz="0" w:space="0" w:color="auto"/>
            <w:bottom w:val="none" w:sz="0" w:space="0" w:color="auto"/>
            <w:right w:val="none" w:sz="0" w:space="0" w:color="auto"/>
          </w:divBdr>
        </w:div>
        <w:div w:id="163325720">
          <w:marLeft w:val="0"/>
          <w:marRight w:val="0"/>
          <w:marTop w:val="0"/>
          <w:marBottom w:val="0"/>
          <w:divBdr>
            <w:top w:val="none" w:sz="0" w:space="0" w:color="auto"/>
            <w:left w:val="none" w:sz="0" w:space="0" w:color="auto"/>
            <w:bottom w:val="none" w:sz="0" w:space="0" w:color="auto"/>
            <w:right w:val="none" w:sz="0" w:space="0" w:color="auto"/>
          </w:divBdr>
        </w:div>
      </w:divsChild>
    </w:div>
    <w:div w:id="1949047514">
      <w:bodyDiv w:val="1"/>
      <w:marLeft w:val="0"/>
      <w:marRight w:val="0"/>
      <w:marTop w:val="0"/>
      <w:marBottom w:val="0"/>
      <w:divBdr>
        <w:top w:val="none" w:sz="0" w:space="0" w:color="auto"/>
        <w:left w:val="none" w:sz="0" w:space="0" w:color="auto"/>
        <w:bottom w:val="none" w:sz="0" w:space="0" w:color="auto"/>
        <w:right w:val="none" w:sz="0" w:space="0" w:color="auto"/>
      </w:divBdr>
      <w:divsChild>
        <w:div w:id="1241985170">
          <w:marLeft w:val="0"/>
          <w:marRight w:val="0"/>
          <w:marTop w:val="0"/>
          <w:marBottom w:val="0"/>
          <w:divBdr>
            <w:top w:val="none" w:sz="0" w:space="0" w:color="auto"/>
            <w:left w:val="none" w:sz="0" w:space="0" w:color="auto"/>
            <w:bottom w:val="none" w:sz="0" w:space="0" w:color="auto"/>
            <w:right w:val="none" w:sz="0" w:space="0" w:color="auto"/>
          </w:divBdr>
          <w:divsChild>
            <w:div w:id="704868181">
              <w:marLeft w:val="0"/>
              <w:marRight w:val="0"/>
              <w:marTop w:val="0"/>
              <w:marBottom w:val="0"/>
              <w:divBdr>
                <w:top w:val="none" w:sz="0" w:space="0" w:color="auto"/>
                <w:left w:val="none" w:sz="0" w:space="0" w:color="auto"/>
                <w:bottom w:val="none" w:sz="0" w:space="0" w:color="auto"/>
                <w:right w:val="none" w:sz="0" w:space="0" w:color="auto"/>
              </w:divBdr>
              <w:divsChild>
                <w:div w:id="493839011">
                  <w:marLeft w:val="0"/>
                  <w:marRight w:val="0"/>
                  <w:marTop w:val="0"/>
                  <w:marBottom w:val="0"/>
                  <w:divBdr>
                    <w:top w:val="none" w:sz="0" w:space="0" w:color="auto"/>
                    <w:left w:val="none" w:sz="0" w:space="0" w:color="auto"/>
                    <w:bottom w:val="none" w:sz="0" w:space="0" w:color="auto"/>
                    <w:right w:val="none" w:sz="0" w:space="0" w:color="auto"/>
                  </w:divBdr>
                  <w:divsChild>
                    <w:div w:id="1677919583">
                      <w:marLeft w:val="0"/>
                      <w:marRight w:val="0"/>
                      <w:marTop w:val="0"/>
                      <w:marBottom w:val="0"/>
                      <w:divBdr>
                        <w:top w:val="none" w:sz="0" w:space="0" w:color="auto"/>
                        <w:left w:val="none" w:sz="0" w:space="0" w:color="auto"/>
                        <w:bottom w:val="none" w:sz="0" w:space="0" w:color="auto"/>
                        <w:right w:val="none" w:sz="0" w:space="0" w:color="auto"/>
                      </w:divBdr>
                      <w:divsChild>
                        <w:div w:id="1693408909">
                          <w:marLeft w:val="0"/>
                          <w:marRight w:val="0"/>
                          <w:marTop w:val="0"/>
                          <w:marBottom w:val="0"/>
                          <w:divBdr>
                            <w:top w:val="none" w:sz="0" w:space="0" w:color="auto"/>
                            <w:left w:val="none" w:sz="0" w:space="0" w:color="auto"/>
                            <w:bottom w:val="none" w:sz="0" w:space="0" w:color="auto"/>
                            <w:right w:val="none" w:sz="0" w:space="0" w:color="auto"/>
                          </w:divBdr>
                          <w:divsChild>
                            <w:div w:id="1776829707">
                              <w:marLeft w:val="0"/>
                              <w:marRight w:val="0"/>
                              <w:marTop w:val="0"/>
                              <w:marBottom w:val="0"/>
                              <w:divBdr>
                                <w:top w:val="none" w:sz="0" w:space="0" w:color="auto"/>
                                <w:left w:val="none" w:sz="0" w:space="0" w:color="auto"/>
                                <w:bottom w:val="none" w:sz="0" w:space="0" w:color="auto"/>
                                <w:right w:val="none" w:sz="0" w:space="0" w:color="auto"/>
                              </w:divBdr>
                              <w:divsChild>
                                <w:div w:id="1522623211">
                                  <w:marLeft w:val="0"/>
                                  <w:marRight w:val="0"/>
                                  <w:marTop w:val="0"/>
                                  <w:marBottom w:val="0"/>
                                  <w:divBdr>
                                    <w:top w:val="none" w:sz="0" w:space="0" w:color="auto"/>
                                    <w:left w:val="none" w:sz="0" w:space="0" w:color="auto"/>
                                    <w:bottom w:val="none" w:sz="0" w:space="0" w:color="auto"/>
                                    <w:right w:val="none" w:sz="0" w:space="0" w:color="auto"/>
                                  </w:divBdr>
                                  <w:divsChild>
                                    <w:div w:id="1844196224">
                                      <w:marLeft w:val="0"/>
                                      <w:marRight w:val="0"/>
                                      <w:marTop w:val="0"/>
                                      <w:marBottom w:val="0"/>
                                      <w:divBdr>
                                        <w:top w:val="none" w:sz="0" w:space="0" w:color="auto"/>
                                        <w:left w:val="none" w:sz="0" w:space="0" w:color="auto"/>
                                        <w:bottom w:val="none" w:sz="0" w:space="0" w:color="auto"/>
                                        <w:right w:val="none" w:sz="0" w:space="0" w:color="auto"/>
                                      </w:divBdr>
                                      <w:divsChild>
                                        <w:div w:id="19551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868452">
      <w:bodyDiv w:val="1"/>
      <w:marLeft w:val="0"/>
      <w:marRight w:val="0"/>
      <w:marTop w:val="0"/>
      <w:marBottom w:val="0"/>
      <w:divBdr>
        <w:top w:val="none" w:sz="0" w:space="0" w:color="auto"/>
        <w:left w:val="none" w:sz="0" w:space="0" w:color="auto"/>
        <w:bottom w:val="none" w:sz="0" w:space="0" w:color="auto"/>
        <w:right w:val="none" w:sz="0" w:space="0" w:color="auto"/>
      </w:divBdr>
    </w:div>
    <w:div w:id="2139108858">
      <w:bodyDiv w:val="1"/>
      <w:marLeft w:val="0"/>
      <w:marRight w:val="0"/>
      <w:marTop w:val="0"/>
      <w:marBottom w:val="0"/>
      <w:divBdr>
        <w:top w:val="none" w:sz="0" w:space="0" w:color="auto"/>
        <w:left w:val="none" w:sz="0" w:space="0" w:color="auto"/>
        <w:bottom w:val="none" w:sz="0" w:space="0" w:color="auto"/>
        <w:right w:val="none" w:sz="0" w:space="0" w:color="auto"/>
      </w:divBdr>
      <w:divsChild>
        <w:div w:id="2136362603">
          <w:marLeft w:val="0"/>
          <w:marRight w:val="0"/>
          <w:marTop w:val="0"/>
          <w:marBottom w:val="0"/>
          <w:divBdr>
            <w:top w:val="none" w:sz="0" w:space="0" w:color="auto"/>
            <w:left w:val="none" w:sz="0" w:space="0" w:color="auto"/>
            <w:bottom w:val="none" w:sz="0" w:space="0" w:color="auto"/>
            <w:right w:val="none" w:sz="0" w:space="0" w:color="auto"/>
          </w:divBdr>
          <w:divsChild>
            <w:div w:id="783229674">
              <w:marLeft w:val="0"/>
              <w:marRight w:val="0"/>
              <w:marTop w:val="0"/>
              <w:marBottom w:val="0"/>
              <w:divBdr>
                <w:top w:val="none" w:sz="0" w:space="0" w:color="auto"/>
                <w:left w:val="none" w:sz="0" w:space="0" w:color="auto"/>
                <w:bottom w:val="none" w:sz="0" w:space="0" w:color="auto"/>
                <w:right w:val="none" w:sz="0" w:space="0" w:color="auto"/>
              </w:divBdr>
              <w:divsChild>
                <w:div w:id="353851709">
                  <w:marLeft w:val="0"/>
                  <w:marRight w:val="0"/>
                  <w:marTop w:val="0"/>
                  <w:marBottom w:val="0"/>
                  <w:divBdr>
                    <w:top w:val="none" w:sz="0" w:space="0" w:color="auto"/>
                    <w:left w:val="none" w:sz="0" w:space="0" w:color="auto"/>
                    <w:bottom w:val="none" w:sz="0" w:space="0" w:color="auto"/>
                    <w:right w:val="none" w:sz="0" w:space="0" w:color="auto"/>
                  </w:divBdr>
                  <w:divsChild>
                    <w:div w:id="928150960">
                      <w:marLeft w:val="0"/>
                      <w:marRight w:val="0"/>
                      <w:marTop w:val="0"/>
                      <w:marBottom w:val="0"/>
                      <w:divBdr>
                        <w:top w:val="none" w:sz="0" w:space="0" w:color="auto"/>
                        <w:left w:val="none" w:sz="0" w:space="0" w:color="auto"/>
                        <w:bottom w:val="none" w:sz="0" w:space="0" w:color="auto"/>
                        <w:right w:val="none" w:sz="0" w:space="0" w:color="auto"/>
                      </w:divBdr>
                      <w:divsChild>
                        <w:div w:id="1163934078">
                          <w:marLeft w:val="0"/>
                          <w:marRight w:val="0"/>
                          <w:marTop w:val="0"/>
                          <w:marBottom w:val="0"/>
                          <w:divBdr>
                            <w:top w:val="none" w:sz="0" w:space="0" w:color="auto"/>
                            <w:left w:val="none" w:sz="0" w:space="0" w:color="auto"/>
                            <w:bottom w:val="none" w:sz="0" w:space="0" w:color="auto"/>
                            <w:right w:val="none" w:sz="0" w:space="0" w:color="auto"/>
                          </w:divBdr>
                          <w:divsChild>
                            <w:div w:id="877745053">
                              <w:marLeft w:val="0"/>
                              <w:marRight w:val="0"/>
                              <w:marTop w:val="0"/>
                              <w:marBottom w:val="0"/>
                              <w:divBdr>
                                <w:top w:val="none" w:sz="0" w:space="0" w:color="auto"/>
                                <w:left w:val="none" w:sz="0" w:space="0" w:color="auto"/>
                                <w:bottom w:val="none" w:sz="0" w:space="0" w:color="auto"/>
                                <w:right w:val="none" w:sz="0" w:space="0" w:color="auto"/>
                              </w:divBdr>
                              <w:divsChild>
                                <w:div w:id="1929465175">
                                  <w:marLeft w:val="0"/>
                                  <w:marRight w:val="0"/>
                                  <w:marTop w:val="0"/>
                                  <w:marBottom w:val="0"/>
                                  <w:divBdr>
                                    <w:top w:val="none" w:sz="0" w:space="0" w:color="auto"/>
                                    <w:left w:val="none" w:sz="0" w:space="0" w:color="auto"/>
                                    <w:bottom w:val="none" w:sz="0" w:space="0" w:color="auto"/>
                                    <w:right w:val="none" w:sz="0" w:space="0" w:color="auto"/>
                                  </w:divBdr>
                                  <w:divsChild>
                                    <w:div w:id="923100864">
                                      <w:marLeft w:val="0"/>
                                      <w:marRight w:val="0"/>
                                      <w:marTop w:val="0"/>
                                      <w:marBottom w:val="0"/>
                                      <w:divBdr>
                                        <w:top w:val="none" w:sz="0" w:space="0" w:color="auto"/>
                                        <w:left w:val="none" w:sz="0" w:space="0" w:color="auto"/>
                                        <w:bottom w:val="none" w:sz="0" w:space="0" w:color="auto"/>
                                        <w:right w:val="none" w:sz="0" w:space="0" w:color="auto"/>
                                      </w:divBdr>
                                      <w:divsChild>
                                        <w:div w:id="19274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n.gov/dwd/files/Policy_2014-02_HSE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amplifya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4247</Words>
  <Characters>24210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MEBaker</dc:creator>
  <cp:lastModifiedBy>Hawkins, Alishea</cp:lastModifiedBy>
  <cp:revision>3</cp:revision>
  <cp:lastPrinted>2013-12-27T17:01:00Z</cp:lastPrinted>
  <dcterms:created xsi:type="dcterms:W3CDTF">2015-12-29T14:47:00Z</dcterms:created>
  <dcterms:modified xsi:type="dcterms:W3CDTF">2015-12-29T15:07:00Z</dcterms:modified>
</cp:coreProperties>
</file>