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8F" w:rsidRDefault="003B35F4" w:rsidP="003B35F4">
      <w:pPr>
        <w:jc w:val="center"/>
        <w:rPr>
          <w:b/>
          <w:sz w:val="28"/>
          <w:szCs w:val="28"/>
        </w:rPr>
      </w:pPr>
      <w:r w:rsidRPr="003B35F4">
        <w:rPr>
          <w:b/>
          <w:sz w:val="28"/>
          <w:szCs w:val="28"/>
        </w:rPr>
        <w:t>Oklahoma Narrative Report 2013-2014</w:t>
      </w:r>
    </w:p>
    <w:p w:rsidR="003B35F4" w:rsidRDefault="003B35F4" w:rsidP="00B77A8D">
      <w:pPr>
        <w:pStyle w:val="ListParagraph"/>
        <w:numPr>
          <w:ilvl w:val="0"/>
          <w:numId w:val="1"/>
        </w:numPr>
        <w:spacing w:after="0" w:line="360" w:lineRule="auto"/>
        <w:jc w:val="both"/>
        <w:rPr>
          <w:b/>
          <w:sz w:val="24"/>
          <w:szCs w:val="24"/>
        </w:rPr>
      </w:pPr>
      <w:r>
        <w:rPr>
          <w:b/>
          <w:sz w:val="24"/>
          <w:szCs w:val="24"/>
        </w:rPr>
        <w:t>State Leadership Funds</w:t>
      </w:r>
    </w:p>
    <w:p w:rsidR="00AA4276" w:rsidRDefault="00AA4276" w:rsidP="00B77A8D">
      <w:pPr>
        <w:pStyle w:val="ListParagraph"/>
        <w:spacing w:after="0" w:line="360" w:lineRule="auto"/>
        <w:ind w:left="1440" w:firstLine="720"/>
        <w:jc w:val="both"/>
        <w:rPr>
          <w:sz w:val="24"/>
          <w:szCs w:val="24"/>
        </w:rPr>
      </w:pPr>
      <w:r>
        <w:rPr>
          <w:sz w:val="24"/>
          <w:szCs w:val="24"/>
        </w:rPr>
        <w:t>Fiscal Year 2013-2014 was a year of great change for Adult Education in Oklahoma.  The State Director, Stephanie Curtis, resigned and Pam Blundell, former Assistant Director, was named as the new State Director</w:t>
      </w:r>
      <w:r w:rsidR="00083D9A">
        <w:rPr>
          <w:sz w:val="24"/>
          <w:szCs w:val="24"/>
        </w:rPr>
        <w:t xml:space="preserve"> in April 2013</w:t>
      </w:r>
      <w:r>
        <w:rPr>
          <w:sz w:val="24"/>
          <w:szCs w:val="24"/>
        </w:rPr>
        <w:t xml:space="preserve">.  Most of </w:t>
      </w:r>
      <w:r w:rsidR="00083D9A">
        <w:rPr>
          <w:sz w:val="24"/>
          <w:szCs w:val="24"/>
        </w:rPr>
        <w:t>FY</w:t>
      </w:r>
      <w:r>
        <w:rPr>
          <w:sz w:val="24"/>
          <w:szCs w:val="24"/>
        </w:rPr>
        <w:t xml:space="preserve">2013-14 was focused on </w:t>
      </w:r>
      <w:r w:rsidR="00083D9A">
        <w:rPr>
          <w:sz w:val="24"/>
          <w:szCs w:val="24"/>
        </w:rPr>
        <w:t>preparation for transferring</w:t>
      </w:r>
      <w:r>
        <w:rPr>
          <w:sz w:val="24"/>
          <w:szCs w:val="24"/>
        </w:rPr>
        <w:t xml:space="preserve"> the Adult Education program from the Oklahoma Department of Education (ODOE) to the Oklahoma Department of Career and Technology Education (ODCTE).  This </w:t>
      </w:r>
      <w:r w:rsidR="00083D9A">
        <w:rPr>
          <w:sz w:val="24"/>
          <w:szCs w:val="24"/>
        </w:rPr>
        <w:t>transfer</w:t>
      </w:r>
      <w:r>
        <w:rPr>
          <w:sz w:val="24"/>
          <w:szCs w:val="24"/>
        </w:rPr>
        <w:t xml:space="preserve"> was finalized on June 30, 2014 with ODCTE taking over</w:t>
      </w:r>
      <w:r w:rsidR="00083D9A">
        <w:rPr>
          <w:sz w:val="24"/>
          <w:szCs w:val="24"/>
        </w:rPr>
        <w:t xml:space="preserve"> management of</w:t>
      </w:r>
      <w:r>
        <w:rPr>
          <w:sz w:val="24"/>
          <w:szCs w:val="24"/>
        </w:rPr>
        <w:t xml:space="preserve"> the program on July 1, 2014.  </w:t>
      </w:r>
      <w:r w:rsidR="001E7F0F">
        <w:rPr>
          <w:sz w:val="24"/>
          <w:szCs w:val="24"/>
        </w:rPr>
        <w:t>Leadership funds were used as needed to support the transfer of the program.</w:t>
      </w:r>
    </w:p>
    <w:p w:rsidR="00AA4276" w:rsidRDefault="00083D9A" w:rsidP="00B77A8D">
      <w:pPr>
        <w:pStyle w:val="ListParagraph"/>
        <w:spacing w:after="0" w:line="360" w:lineRule="auto"/>
        <w:ind w:left="1440" w:firstLine="720"/>
        <w:jc w:val="both"/>
        <w:rPr>
          <w:sz w:val="24"/>
          <w:szCs w:val="24"/>
        </w:rPr>
      </w:pPr>
      <w:r>
        <w:rPr>
          <w:sz w:val="24"/>
          <w:szCs w:val="24"/>
        </w:rPr>
        <w:t xml:space="preserve">Professional Development </w:t>
      </w:r>
      <w:r w:rsidR="001E7F0F">
        <w:rPr>
          <w:sz w:val="24"/>
          <w:szCs w:val="24"/>
        </w:rPr>
        <w:t xml:space="preserve">has always been the </w:t>
      </w:r>
      <w:r>
        <w:rPr>
          <w:sz w:val="24"/>
          <w:szCs w:val="24"/>
        </w:rPr>
        <w:t>primary use of leadership funds in Oklahoma.  During 2013-14 only basic PD was implemented due to the focus</w:t>
      </w:r>
      <w:r w:rsidR="001E7F0F">
        <w:rPr>
          <w:sz w:val="24"/>
          <w:szCs w:val="24"/>
        </w:rPr>
        <w:t>ed work</w:t>
      </w:r>
      <w:r>
        <w:rPr>
          <w:sz w:val="24"/>
          <w:szCs w:val="24"/>
        </w:rPr>
        <w:t xml:space="preserve"> on tr</w:t>
      </w:r>
      <w:r w:rsidR="001E7F0F">
        <w:rPr>
          <w:sz w:val="24"/>
          <w:szCs w:val="24"/>
        </w:rPr>
        <w:t>ansferring the program to ODCTE and to the limited allowable travel and PD scheduling by the ODOE.</w:t>
      </w:r>
      <w:r>
        <w:rPr>
          <w:sz w:val="24"/>
          <w:szCs w:val="24"/>
        </w:rPr>
        <w:t xml:space="preserve"> </w:t>
      </w:r>
      <w:r w:rsidR="001E7F0F">
        <w:rPr>
          <w:sz w:val="24"/>
          <w:szCs w:val="24"/>
        </w:rPr>
        <w:t xml:space="preserve"> </w:t>
      </w:r>
      <w:r w:rsidR="009D20E0">
        <w:rPr>
          <w:sz w:val="24"/>
          <w:szCs w:val="24"/>
        </w:rPr>
        <w:t>Leadership funds were used for the following:</w:t>
      </w:r>
    </w:p>
    <w:p w:rsidR="001E7F0F" w:rsidRDefault="001E7F0F" w:rsidP="00B77A8D">
      <w:pPr>
        <w:pStyle w:val="ListParagraph"/>
        <w:numPr>
          <w:ilvl w:val="0"/>
          <w:numId w:val="2"/>
        </w:numPr>
        <w:spacing w:after="0" w:line="360" w:lineRule="auto"/>
        <w:jc w:val="both"/>
        <w:rPr>
          <w:sz w:val="24"/>
          <w:szCs w:val="24"/>
        </w:rPr>
      </w:pPr>
      <w:r>
        <w:rPr>
          <w:sz w:val="24"/>
          <w:szCs w:val="24"/>
        </w:rPr>
        <w:t>Literacy Pro management information system – Literacy Adult and Community Education (LACES) training.  Both online LACES training and face-to-face training was offered to the field.  All local programs were represented at the trainings.  Both new and experienced data entry personnel received training along with a number of program directors.</w:t>
      </w:r>
      <w:r w:rsidR="009D20E0">
        <w:rPr>
          <w:sz w:val="24"/>
          <w:szCs w:val="24"/>
        </w:rPr>
        <w:t xml:space="preserve">  </w:t>
      </w:r>
    </w:p>
    <w:p w:rsidR="009D20E0" w:rsidRDefault="009D20E0" w:rsidP="00B77A8D">
      <w:pPr>
        <w:pStyle w:val="ListParagraph"/>
        <w:numPr>
          <w:ilvl w:val="0"/>
          <w:numId w:val="2"/>
        </w:numPr>
        <w:spacing w:after="0" w:line="360" w:lineRule="auto"/>
        <w:jc w:val="both"/>
        <w:rPr>
          <w:sz w:val="24"/>
          <w:szCs w:val="24"/>
        </w:rPr>
      </w:pPr>
      <w:r>
        <w:rPr>
          <w:sz w:val="24"/>
          <w:szCs w:val="24"/>
        </w:rPr>
        <w:t>BEST Plus Assessment training was provided to programs needing refresher and/or new assessment administrators to be trained.</w:t>
      </w:r>
    </w:p>
    <w:p w:rsidR="00346688" w:rsidRDefault="00346688" w:rsidP="00B77A8D">
      <w:pPr>
        <w:pStyle w:val="ListParagraph"/>
        <w:numPr>
          <w:ilvl w:val="0"/>
          <w:numId w:val="2"/>
        </w:numPr>
        <w:spacing w:after="0" w:line="360" w:lineRule="auto"/>
        <w:jc w:val="both"/>
        <w:rPr>
          <w:sz w:val="24"/>
          <w:szCs w:val="24"/>
        </w:rPr>
      </w:pPr>
      <w:r>
        <w:rPr>
          <w:sz w:val="24"/>
          <w:szCs w:val="24"/>
        </w:rPr>
        <w:t xml:space="preserve">An </w:t>
      </w:r>
      <w:r w:rsidR="009D20E0">
        <w:rPr>
          <w:sz w:val="24"/>
          <w:szCs w:val="24"/>
        </w:rPr>
        <w:t>Adult Education Directors’ M</w:t>
      </w:r>
      <w:r>
        <w:rPr>
          <w:sz w:val="24"/>
          <w:szCs w:val="24"/>
        </w:rPr>
        <w:t>eeting was held in the spring of 2014.  The agenda included but was not limited to the following:  a review of the FY12-13 data, introduction of Career Tech administrators who would be taking over the program, questions and answers regarding the 2014 GED Assessment, and curriculum ideas and resources.</w:t>
      </w:r>
    </w:p>
    <w:p w:rsidR="00346688" w:rsidRDefault="00346688" w:rsidP="00B77A8D">
      <w:pPr>
        <w:pStyle w:val="ListParagraph"/>
        <w:numPr>
          <w:ilvl w:val="0"/>
          <w:numId w:val="2"/>
        </w:numPr>
        <w:spacing w:after="0" w:line="360" w:lineRule="auto"/>
        <w:jc w:val="both"/>
        <w:rPr>
          <w:sz w:val="24"/>
          <w:szCs w:val="24"/>
        </w:rPr>
      </w:pPr>
      <w:r>
        <w:rPr>
          <w:sz w:val="24"/>
          <w:szCs w:val="24"/>
        </w:rPr>
        <w:lastRenderedPageBreak/>
        <w:t>Monitoring and evaluation of Adult Education Programs.  This included LACES desktop monitoring of all local programs and onsite monitoring as necessary or requested by a local program.</w:t>
      </w:r>
    </w:p>
    <w:p w:rsidR="009D20E0" w:rsidRPr="001E7F0F" w:rsidRDefault="00346688" w:rsidP="00B77A8D">
      <w:pPr>
        <w:pStyle w:val="ListParagraph"/>
        <w:numPr>
          <w:ilvl w:val="0"/>
          <w:numId w:val="2"/>
        </w:numPr>
        <w:spacing w:after="0" w:line="360" w:lineRule="auto"/>
        <w:jc w:val="both"/>
        <w:rPr>
          <w:sz w:val="24"/>
          <w:szCs w:val="24"/>
        </w:rPr>
      </w:pPr>
      <w:r>
        <w:rPr>
          <w:sz w:val="24"/>
          <w:szCs w:val="24"/>
        </w:rPr>
        <w:t xml:space="preserve">Support as necessary for the transfer of the Adult Education program from one state agency to another. </w:t>
      </w:r>
      <w:r w:rsidR="009D20E0">
        <w:rPr>
          <w:sz w:val="24"/>
          <w:szCs w:val="24"/>
        </w:rPr>
        <w:t xml:space="preserve"> </w:t>
      </w:r>
    </w:p>
    <w:p w:rsidR="00AA4276" w:rsidRPr="00AA4276" w:rsidRDefault="00AA4276" w:rsidP="00B77A8D">
      <w:pPr>
        <w:pStyle w:val="ListParagraph"/>
        <w:spacing w:after="0" w:line="360" w:lineRule="auto"/>
        <w:ind w:left="1440"/>
        <w:jc w:val="both"/>
        <w:rPr>
          <w:sz w:val="24"/>
          <w:szCs w:val="24"/>
        </w:rPr>
      </w:pPr>
      <w:r>
        <w:rPr>
          <w:sz w:val="24"/>
          <w:szCs w:val="24"/>
        </w:rPr>
        <w:t xml:space="preserve"> </w:t>
      </w:r>
    </w:p>
    <w:p w:rsidR="003B35F4" w:rsidRDefault="003B35F4" w:rsidP="00B77A8D">
      <w:pPr>
        <w:pStyle w:val="ListParagraph"/>
        <w:numPr>
          <w:ilvl w:val="0"/>
          <w:numId w:val="1"/>
        </w:numPr>
        <w:spacing w:after="0" w:line="360" w:lineRule="auto"/>
        <w:jc w:val="both"/>
        <w:rPr>
          <w:b/>
          <w:sz w:val="24"/>
          <w:szCs w:val="24"/>
        </w:rPr>
      </w:pPr>
      <w:r>
        <w:rPr>
          <w:b/>
          <w:sz w:val="24"/>
          <w:szCs w:val="24"/>
        </w:rPr>
        <w:t>Performance Data Analysis</w:t>
      </w:r>
    </w:p>
    <w:p w:rsidR="002927D3" w:rsidRDefault="00B77A8D" w:rsidP="00B77A8D">
      <w:pPr>
        <w:pStyle w:val="ListParagraph"/>
        <w:spacing w:after="0" w:line="360" w:lineRule="auto"/>
        <w:ind w:left="2160"/>
        <w:jc w:val="both"/>
        <w:rPr>
          <w:sz w:val="24"/>
          <w:szCs w:val="24"/>
        </w:rPr>
      </w:pPr>
      <w:r>
        <w:rPr>
          <w:sz w:val="24"/>
          <w:szCs w:val="24"/>
        </w:rPr>
        <w:t>FY2013-14 was a challenging year for Oklahoma Adult Education.  While</w:t>
      </w:r>
      <w:r w:rsidR="002927D3">
        <w:rPr>
          <w:sz w:val="24"/>
          <w:szCs w:val="24"/>
        </w:rPr>
        <w:t xml:space="preserve"> </w:t>
      </w:r>
    </w:p>
    <w:p w:rsidR="00B77A8D" w:rsidRPr="00B77A8D" w:rsidRDefault="002927D3" w:rsidP="002927D3">
      <w:pPr>
        <w:spacing w:after="0" w:line="360" w:lineRule="auto"/>
        <w:ind w:left="1440"/>
        <w:jc w:val="both"/>
        <w:rPr>
          <w:sz w:val="24"/>
          <w:szCs w:val="24"/>
        </w:rPr>
      </w:pPr>
      <w:r>
        <w:rPr>
          <w:sz w:val="24"/>
          <w:szCs w:val="24"/>
        </w:rPr>
        <w:t>the two previous fiscal years showed continued improvement in meeting Core indicator #1 goals, FY13-14 proved to be a challenge.  Oklahoma met three of eleven educational functioning level (EFL) goals in FY13-14.  The EFL’s met included ESL Low Beginning, ESL High Beginning, and ESL Intermediate High.  Now that the transfer of Adult Education from the Oklahoma Dept. of Education to the Oklahoma Dept. of Career and Technology Education has been completed, work will begin with the field through various professional development opportunities to aide teachers in moving students at all EFL’s forward.</w:t>
      </w:r>
      <w:r w:rsidR="00B77A8D">
        <w:rPr>
          <w:sz w:val="24"/>
          <w:szCs w:val="24"/>
        </w:rPr>
        <w:tab/>
      </w:r>
      <w:r w:rsidR="00B77A8D">
        <w:rPr>
          <w:sz w:val="24"/>
          <w:szCs w:val="24"/>
        </w:rPr>
        <w:tab/>
      </w:r>
    </w:p>
    <w:p w:rsidR="005F51C4" w:rsidRDefault="005F51C4" w:rsidP="00B77A8D">
      <w:pPr>
        <w:pStyle w:val="ListParagraph"/>
        <w:spacing w:after="0" w:line="360" w:lineRule="auto"/>
        <w:ind w:left="2160"/>
        <w:jc w:val="both"/>
        <w:rPr>
          <w:b/>
          <w:sz w:val="24"/>
          <w:szCs w:val="24"/>
        </w:rPr>
      </w:pPr>
    </w:p>
    <w:p w:rsidR="003B35F4" w:rsidRDefault="003B35F4" w:rsidP="00B77A8D">
      <w:pPr>
        <w:pStyle w:val="ListParagraph"/>
        <w:numPr>
          <w:ilvl w:val="0"/>
          <w:numId w:val="1"/>
        </w:numPr>
        <w:spacing w:after="0" w:line="360" w:lineRule="auto"/>
        <w:jc w:val="both"/>
        <w:rPr>
          <w:b/>
          <w:sz w:val="24"/>
          <w:szCs w:val="24"/>
        </w:rPr>
      </w:pPr>
      <w:r>
        <w:rPr>
          <w:b/>
          <w:sz w:val="24"/>
          <w:szCs w:val="24"/>
        </w:rPr>
        <w:t>Integration with Other Programs</w:t>
      </w:r>
    </w:p>
    <w:p w:rsidR="00346688" w:rsidRDefault="0085304F" w:rsidP="00B77A8D">
      <w:pPr>
        <w:pStyle w:val="ListParagraph"/>
        <w:spacing w:after="0" w:line="360" w:lineRule="auto"/>
        <w:ind w:left="1440" w:firstLine="720"/>
        <w:jc w:val="both"/>
        <w:rPr>
          <w:sz w:val="24"/>
          <w:szCs w:val="24"/>
        </w:rPr>
      </w:pPr>
      <w:r>
        <w:rPr>
          <w:sz w:val="24"/>
          <w:szCs w:val="24"/>
        </w:rPr>
        <w:t xml:space="preserve">The Governor’s Council for Workforce and Economic Development is Oklahoma’s State Workforce Board.  Oklahoma brings together leaders from business, government, education, and non-profit sectors to jointly develop ways to coordinate workforce development with economic development.  Adult Education has been involved in this work since it began with the State Director serving on a variety of appointed committees.  The focus has been on but is not limited to the following ideas:  Sector strategies, Career Readiness Certificates, and the certification of Work Ready Communities.  As part of its continuing industry sector strategy work, the Governor’s Council focuses on the state’s key economic drivers of manufacturing, aerospace, healthcare, energy, and construction.  The State Director of Adult Education serves on the Governor’s </w:t>
      </w:r>
      <w:r>
        <w:rPr>
          <w:sz w:val="24"/>
          <w:szCs w:val="24"/>
        </w:rPr>
        <w:lastRenderedPageBreak/>
        <w:t xml:space="preserve">Workforce Solutions Staff Team (WSST), composed of WIA and other key partners in workforce development.  Currently </w:t>
      </w:r>
      <w:r w:rsidR="00714811">
        <w:rPr>
          <w:sz w:val="24"/>
          <w:szCs w:val="24"/>
        </w:rPr>
        <w:t>work is being done</w:t>
      </w:r>
      <w:r>
        <w:rPr>
          <w:sz w:val="24"/>
          <w:szCs w:val="24"/>
        </w:rPr>
        <w:t xml:space="preserve"> </w:t>
      </w:r>
      <w:r w:rsidR="00714811">
        <w:rPr>
          <w:sz w:val="24"/>
          <w:szCs w:val="24"/>
        </w:rPr>
        <w:t>regarding the certification of</w:t>
      </w:r>
      <w:r>
        <w:rPr>
          <w:sz w:val="24"/>
          <w:szCs w:val="24"/>
        </w:rPr>
        <w:t xml:space="preserve"> workforce systems rather than sites.  A representative from the state office of Adult Education serves on this committee and </w:t>
      </w:r>
      <w:r w:rsidR="00714811">
        <w:rPr>
          <w:sz w:val="24"/>
          <w:szCs w:val="24"/>
        </w:rPr>
        <w:t xml:space="preserve">adult education </w:t>
      </w:r>
      <w:r>
        <w:rPr>
          <w:sz w:val="24"/>
          <w:szCs w:val="24"/>
        </w:rPr>
        <w:t>is part of this work.</w:t>
      </w:r>
    </w:p>
    <w:p w:rsidR="00346688" w:rsidRPr="00346688" w:rsidRDefault="00346688" w:rsidP="00B77A8D">
      <w:pPr>
        <w:spacing w:after="0" w:line="360" w:lineRule="auto"/>
        <w:jc w:val="both"/>
        <w:rPr>
          <w:sz w:val="24"/>
          <w:szCs w:val="24"/>
        </w:rPr>
      </w:pPr>
      <w:r>
        <w:rPr>
          <w:sz w:val="24"/>
          <w:szCs w:val="24"/>
        </w:rPr>
        <w:tab/>
        <w:t xml:space="preserve"> </w:t>
      </w:r>
    </w:p>
    <w:p w:rsidR="003B35F4" w:rsidRDefault="003B35F4" w:rsidP="00B77A8D">
      <w:pPr>
        <w:pStyle w:val="ListParagraph"/>
        <w:numPr>
          <w:ilvl w:val="0"/>
          <w:numId w:val="1"/>
        </w:numPr>
        <w:spacing w:after="0" w:line="360" w:lineRule="auto"/>
        <w:jc w:val="both"/>
        <w:rPr>
          <w:b/>
          <w:sz w:val="24"/>
          <w:szCs w:val="24"/>
        </w:rPr>
      </w:pPr>
      <w:r>
        <w:rPr>
          <w:b/>
          <w:sz w:val="24"/>
          <w:szCs w:val="24"/>
        </w:rPr>
        <w:t>English Literacy/Civics (EL/C) Program</w:t>
      </w:r>
    </w:p>
    <w:p w:rsidR="009132C1" w:rsidRPr="009132C1" w:rsidRDefault="009132C1" w:rsidP="00B77A8D">
      <w:pPr>
        <w:pStyle w:val="ListParagraph"/>
        <w:spacing w:after="120" w:line="360" w:lineRule="auto"/>
        <w:ind w:left="1440" w:firstLine="360"/>
        <w:jc w:val="both"/>
        <w:rPr>
          <w:sz w:val="24"/>
          <w:szCs w:val="24"/>
        </w:rPr>
      </w:pPr>
      <w:r w:rsidRPr="009132C1">
        <w:rPr>
          <w:sz w:val="24"/>
          <w:szCs w:val="24"/>
        </w:rPr>
        <w:t>There were five Adult Learning Centers (ALC) received EL/Civics grant funds in FY 2013-2014. These programs were Bartlesville Public Schools, Oklahoma City Community College, Oklahoma City Public Schools, Union Public Schools and Jenks Public School. Each program had many successes during this period of service.</w:t>
      </w:r>
    </w:p>
    <w:p w:rsidR="009132C1" w:rsidRPr="009132C1" w:rsidRDefault="009132C1" w:rsidP="00B77A8D">
      <w:pPr>
        <w:pStyle w:val="ListParagraph"/>
        <w:spacing w:after="120" w:line="360" w:lineRule="auto"/>
        <w:ind w:left="1440" w:firstLine="360"/>
        <w:jc w:val="both"/>
        <w:rPr>
          <w:sz w:val="24"/>
          <w:szCs w:val="24"/>
        </w:rPr>
      </w:pPr>
      <w:r w:rsidRPr="009132C1">
        <w:rPr>
          <w:sz w:val="24"/>
          <w:szCs w:val="24"/>
        </w:rPr>
        <w:t xml:space="preserve">The four EL/Civics programs served a total of </w:t>
      </w:r>
      <w:r w:rsidR="00FA0503" w:rsidRPr="00FA0503">
        <w:rPr>
          <w:sz w:val="24"/>
          <w:szCs w:val="24"/>
        </w:rPr>
        <w:t>229</w:t>
      </w:r>
      <w:r w:rsidR="00FA0503">
        <w:rPr>
          <w:sz w:val="24"/>
          <w:szCs w:val="24"/>
        </w:rPr>
        <w:t>7</w:t>
      </w:r>
      <w:r w:rsidRPr="009132C1">
        <w:rPr>
          <w:sz w:val="24"/>
          <w:szCs w:val="24"/>
        </w:rPr>
        <w:t xml:space="preserve"> EL/Civics students with Tulsa Union being the largest. Union served a total of 1102 EL/Civics students. Union focused on providing students with real-world civic-related opportunities in the community. Student visited locations in the community such as the Tulsa Fire Department and Public Library. Student’s listened to guest speakers about public safety, post-secondary opportunities, banking practices, and literacy services available in the community.  Union Adult Learning Center reported that EL/Civics students accumulated 56,761 attendance hours. Oklahoma City Community College (OCCC) the states second largest program served a total of </w:t>
      </w:r>
      <w:bookmarkStart w:id="0" w:name="_GoBack"/>
      <w:bookmarkEnd w:id="0"/>
      <w:r w:rsidR="00FA0503">
        <w:rPr>
          <w:sz w:val="24"/>
          <w:szCs w:val="24"/>
        </w:rPr>
        <w:t>615</w:t>
      </w:r>
      <w:r w:rsidRPr="009132C1">
        <w:rPr>
          <w:sz w:val="24"/>
          <w:szCs w:val="24"/>
        </w:rPr>
        <w:t xml:space="preserve"> EL/Civics students in FY13-14. Five hundred </w:t>
      </w:r>
      <w:r w:rsidR="00FA0503">
        <w:rPr>
          <w:sz w:val="24"/>
          <w:szCs w:val="24"/>
        </w:rPr>
        <w:t>fifty-three (553) of the 615</w:t>
      </w:r>
      <w:r w:rsidRPr="009132C1">
        <w:rPr>
          <w:sz w:val="24"/>
          <w:szCs w:val="24"/>
        </w:rPr>
        <w:t xml:space="preserve"> served were reported as NRS fundable. OCCC students accumulated a total of </w:t>
      </w:r>
      <w:r w:rsidR="00FA0503">
        <w:rPr>
          <w:sz w:val="24"/>
          <w:szCs w:val="24"/>
        </w:rPr>
        <w:t>47,430 attendance hours.</w:t>
      </w:r>
      <w:r w:rsidRPr="009132C1">
        <w:rPr>
          <w:sz w:val="24"/>
          <w:szCs w:val="24"/>
        </w:rPr>
        <w:t xml:space="preserve"> Oklahoma City Adult Learning Center (OKCALC), the second largest program served 559 EL/Civics students in FY13-14. Oklahoma City Adult Learning Center reported that in the EL/Civics integrated classes a total of 356 were NRS reportable. During FY13-14 Oklahoma City Adult Learning Center reported that 34% of the 356 fundable EL/Civics students advanced one or more levels. Bartlesville Public Schools served a total of 21 EL/Civics students in FY13-</w:t>
      </w:r>
      <w:r w:rsidRPr="009132C1">
        <w:rPr>
          <w:sz w:val="24"/>
          <w:szCs w:val="24"/>
        </w:rPr>
        <w:lastRenderedPageBreak/>
        <w:t xml:space="preserve">14. During FY13-14 Bartlesville reported that 66% of the 21 EL/Civics students served were fundable, and 100% of the fundable students advanced one or more levels. </w:t>
      </w:r>
    </w:p>
    <w:p w:rsidR="009132C1" w:rsidRPr="009132C1" w:rsidRDefault="009132C1" w:rsidP="00B77A8D">
      <w:pPr>
        <w:pStyle w:val="ListParagraph"/>
        <w:spacing w:after="0" w:line="360" w:lineRule="auto"/>
        <w:ind w:left="1080"/>
        <w:jc w:val="both"/>
        <w:rPr>
          <w:sz w:val="24"/>
          <w:szCs w:val="24"/>
        </w:rPr>
      </w:pPr>
    </w:p>
    <w:p w:rsidR="003B35F4" w:rsidRDefault="003B35F4" w:rsidP="00B77A8D">
      <w:pPr>
        <w:pStyle w:val="ListParagraph"/>
        <w:numPr>
          <w:ilvl w:val="0"/>
          <w:numId w:val="1"/>
        </w:numPr>
        <w:spacing w:after="0" w:line="360" w:lineRule="auto"/>
        <w:jc w:val="both"/>
        <w:rPr>
          <w:b/>
          <w:sz w:val="24"/>
          <w:szCs w:val="24"/>
        </w:rPr>
      </w:pPr>
      <w:r>
        <w:rPr>
          <w:b/>
          <w:sz w:val="24"/>
          <w:szCs w:val="24"/>
        </w:rPr>
        <w:t>Secondary School Credentials and Equivalencies</w:t>
      </w:r>
    </w:p>
    <w:p w:rsidR="00714811" w:rsidRDefault="00714811" w:rsidP="00B77A8D">
      <w:pPr>
        <w:pStyle w:val="ListParagraph"/>
        <w:spacing w:after="0" w:line="360" w:lineRule="auto"/>
        <w:ind w:left="1440" w:firstLine="720"/>
        <w:jc w:val="both"/>
        <w:rPr>
          <w:sz w:val="24"/>
          <w:szCs w:val="24"/>
        </w:rPr>
      </w:pPr>
      <w:r>
        <w:rPr>
          <w:sz w:val="24"/>
          <w:szCs w:val="24"/>
        </w:rPr>
        <w:t>Oklahoma law states that a person must successfully pass the GED in order to qualify for an official state High School Equivalency Diploma which is awarded by the Oklahoma State Department of Education.   Until this law is changed, the GED is the only assessment allowed to be used for an official Oklahoma High School Equivalency Diploma.</w:t>
      </w:r>
    </w:p>
    <w:p w:rsidR="00714811" w:rsidRPr="00714811" w:rsidRDefault="00714811" w:rsidP="00B77A8D">
      <w:pPr>
        <w:pStyle w:val="ListParagraph"/>
        <w:spacing w:after="0" w:line="360" w:lineRule="auto"/>
        <w:ind w:left="1440" w:firstLine="720"/>
        <w:jc w:val="both"/>
        <w:rPr>
          <w:sz w:val="24"/>
          <w:szCs w:val="24"/>
        </w:rPr>
      </w:pPr>
    </w:p>
    <w:p w:rsidR="003B35F4" w:rsidRDefault="003B35F4" w:rsidP="00B77A8D">
      <w:pPr>
        <w:pStyle w:val="ListParagraph"/>
        <w:numPr>
          <w:ilvl w:val="0"/>
          <w:numId w:val="1"/>
        </w:numPr>
        <w:spacing w:after="0" w:line="360" w:lineRule="auto"/>
        <w:jc w:val="both"/>
        <w:rPr>
          <w:b/>
          <w:sz w:val="24"/>
          <w:szCs w:val="24"/>
        </w:rPr>
      </w:pPr>
      <w:r>
        <w:rPr>
          <w:b/>
          <w:sz w:val="24"/>
          <w:szCs w:val="24"/>
        </w:rPr>
        <w:t>Adult Education Standards</w:t>
      </w:r>
    </w:p>
    <w:p w:rsidR="00714811" w:rsidRPr="00714811" w:rsidRDefault="00714811" w:rsidP="00B77A8D">
      <w:pPr>
        <w:pStyle w:val="ListParagraph"/>
        <w:spacing w:after="0" w:line="360" w:lineRule="auto"/>
        <w:ind w:left="1440" w:firstLine="720"/>
        <w:jc w:val="both"/>
        <w:rPr>
          <w:sz w:val="24"/>
          <w:szCs w:val="24"/>
        </w:rPr>
      </w:pPr>
      <w:r>
        <w:rPr>
          <w:sz w:val="24"/>
          <w:szCs w:val="24"/>
        </w:rPr>
        <w:t xml:space="preserve">During 2013-2014 Oklahoma adopted the Common Core State Standards for use in K-12 system.  At that time, adult education decided to also follow Common Core Standards and the College and Career Readiness Standards published by OCTAE (OVAE).  However, the legislature overturned the use of Common Core for the K-12 system and is now in the process of writing new standards for Oklahoma.  Adult Education has found this to be somewhat confusing for our field; however, the use of the CCR standards </w:t>
      </w:r>
      <w:r w:rsidR="00323C7D">
        <w:rPr>
          <w:sz w:val="24"/>
          <w:szCs w:val="24"/>
        </w:rPr>
        <w:t>for adult education continues to be the primary focus on standards for our programs.  One of the issues Career Tech will need to address will be the adoption of standards for Adult Education in Oklahoma.  Professional development will then need to be addressed regarding the standards selected.  In the meantime, programs have been encouraged to continue to align curriculum to the College and Career Standards provided by OCTAE.</w:t>
      </w:r>
    </w:p>
    <w:sectPr w:rsidR="00714811" w:rsidRPr="00714811" w:rsidSect="00346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060AB"/>
    <w:multiLevelType w:val="hybridMultilevel"/>
    <w:tmpl w:val="226E1858"/>
    <w:lvl w:ilvl="0" w:tplc="DF0680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DE02123"/>
    <w:multiLevelType w:val="hybridMultilevel"/>
    <w:tmpl w:val="D556EA66"/>
    <w:lvl w:ilvl="0" w:tplc="188AC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5F4"/>
    <w:rsid w:val="00083D9A"/>
    <w:rsid w:val="001E7F0F"/>
    <w:rsid w:val="00261EAE"/>
    <w:rsid w:val="002927D3"/>
    <w:rsid w:val="002E278F"/>
    <w:rsid w:val="002E3E9C"/>
    <w:rsid w:val="00323C7D"/>
    <w:rsid w:val="00346688"/>
    <w:rsid w:val="003B35F4"/>
    <w:rsid w:val="005F51C4"/>
    <w:rsid w:val="006E4A7C"/>
    <w:rsid w:val="00714811"/>
    <w:rsid w:val="0085304F"/>
    <w:rsid w:val="009020EC"/>
    <w:rsid w:val="009132C1"/>
    <w:rsid w:val="009D20E0"/>
    <w:rsid w:val="00AA4276"/>
    <w:rsid w:val="00B078CA"/>
    <w:rsid w:val="00B77A8D"/>
    <w:rsid w:val="00C02741"/>
    <w:rsid w:val="00C34C72"/>
    <w:rsid w:val="00D51F45"/>
    <w:rsid w:val="00E30C88"/>
    <w:rsid w:val="00FA0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F4"/>
    <w:pPr>
      <w:ind w:left="720"/>
      <w:contextualSpacing/>
    </w:pPr>
  </w:style>
</w:styles>
</file>

<file path=word/webSettings.xml><?xml version="1.0" encoding="utf-8"?>
<w:webSettings xmlns:r="http://schemas.openxmlformats.org/officeDocument/2006/relationships" xmlns:w="http://schemas.openxmlformats.org/wordprocessingml/2006/main">
  <w:divs>
    <w:div w:id="21471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pblun</dc:creator>
  <cp:lastModifiedBy>lalle</cp:lastModifiedBy>
  <cp:revision>2</cp:revision>
  <dcterms:created xsi:type="dcterms:W3CDTF">2015-01-23T17:49:00Z</dcterms:created>
  <dcterms:modified xsi:type="dcterms:W3CDTF">2015-01-23T17:49:00Z</dcterms:modified>
</cp:coreProperties>
</file>