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C35" w:rsidRPr="00806023" w:rsidRDefault="00555C35">
      <w:pPr>
        <w:pStyle w:val="FootnoteText"/>
        <w:rPr>
          <w:sz w:val="22"/>
          <w:szCs w:val="22"/>
        </w:rPr>
      </w:pPr>
    </w:p>
    <w:p w:rsidR="00555C35" w:rsidRPr="00806023" w:rsidRDefault="00555C35">
      <w:pPr>
        <w:rPr>
          <w:b/>
          <w:bCs/>
          <w:sz w:val="22"/>
          <w:szCs w:val="22"/>
        </w:rPr>
      </w:pPr>
      <w:r w:rsidRPr="00806023">
        <w:rPr>
          <w:b/>
          <w:bCs/>
          <w:sz w:val="22"/>
          <w:szCs w:val="22"/>
        </w:rPr>
        <w:t>PART II:  Narrative</w:t>
      </w:r>
    </w:p>
    <w:p w:rsidR="00555C35" w:rsidRPr="0040557F" w:rsidRDefault="0040557F">
      <w:pPr>
        <w:jc w:val="both"/>
        <w:rPr>
          <w:b/>
          <w:bCs/>
          <w:sz w:val="22"/>
          <w:szCs w:val="22"/>
          <w:u w:val="single"/>
        </w:rPr>
      </w:pPr>
      <w:r w:rsidRPr="0040557F">
        <w:rPr>
          <w:b/>
          <w:bCs/>
          <w:sz w:val="22"/>
          <w:szCs w:val="22"/>
          <w:u w:val="single"/>
        </w:rPr>
        <w:t>State Leadership Funds</w:t>
      </w:r>
    </w:p>
    <w:p w:rsidR="00555C35" w:rsidRPr="00806023" w:rsidRDefault="00555C35" w:rsidP="00C93DC5">
      <w:pPr>
        <w:pStyle w:val="BodyTextIndent"/>
        <w:numPr>
          <w:ilvl w:val="0"/>
          <w:numId w:val="1"/>
        </w:numPr>
        <w:tabs>
          <w:tab w:val="clear" w:pos="720"/>
          <w:tab w:val="left" w:pos="0"/>
        </w:tabs>
        <w:ind w:left="0"/>
        <w:rPr>
          <w:b/>
          <w:bCs/>
          <w:color w:val="auto"/>
          <w:sz w:val="22"/>
          <w:szCs w:val="22"/>
        </w:rPr>
      </w:pPr>
      <w:r w:rsidRPr="00806023">
        <w:rPr>
          <w:b/>
          <w:bCs/>
          <w:color w:val="auto"/>
          <w:sz w:val="22"/>
          <w:szCs w:val="22"/>
        </w:rPr>
        <w:t xml:space="preserve">Describe </w:t>
      </w:r>
      <w:r w:rsidR="008A6061" w:rsidRPr="00806023">
        <w:rPr>
          <w:b/>
          <w:bCs/>
          <w:color w:val="auto"/>
          <w:sz w:val="22"/>
          <w:szCs w:val="22"/>
        </w:rPr>
        <w:t>major</w:t>
      </w:r>
      <w:r w:rsidRPr="00806023">
        <w:rPr>
          <w:b/>
          <w:bCs/>
          <w:color w:val="auto"/>
          <w:sz w:val="22"/>
          <w:szCs w:val="22"/>
        </w:rPr>
        <w:t xml:space="preserve"> activities supported with State Leadership funds </w:t>
      </w:r>
      <w:r w:rsidR="008A6061" w:rsidRPr="00806023">
        <w:rPr>
          <w:b/>
          <w:bCs/>
          <w:color w:val="auto"/>
          <w:sz w:val="22"/>
          <w:szCs w:val="22"/>
        </w:rPr>
        <w:t xml:space="preserve">during the reporting period </w:t>
      </w:r>
      <w:r w:rsidRPr="00806023">
        <w:rPr>
          <w:b/>
          <w:bCs/>
          <w:color w:val="auto"/>
          <w:sz w:val="22"/>
          <w:szCs w:val="22"/>
        </w:rPr>
        <w:t>and the extent to which these activities</w:t>
      </w:r>
      <w:r w:rsidR="00595D7D" w:rsidRPr="00806023">
        <w:rPr>
          <w:b/>
          <w:bCs/>
          <w:color w:val="auto"/>
          <w:sz w:val="22"/>
          <w:szCs w:val="22"/>
        </w:rPr>
        <w:t xml:space="preserve"> helped </w:t>
      </w:r>
      <w:r w:rsidRPr="00806023">
        <w:rPr>
          <w:b/>
          <w:bCs/>
          <w:color w:val="auto"/>
          <w:sz w:val="22"/>
          <w:szCs w:val="22"/>
        </w:rPr>
        <w:t>in implementing the goals of the State Plan.</w:t>
      </w:r>
      <w:r w:rsidR="00595D7D" w:rsidRPr="00806023">
        <w:rPr>
          <w:b/>
          <w:bCs/>
          <w:color w:val="auto"/>
          <w:sz w:val="22"/>
          <w:szCs w:val="22"/>
        </w:rPr>
        <w:t xml:space="preserve"> Specifically describe activities related to the implementation of career pathways.</w:t>
      </w:r>
    </w:p>
    <w:p w:rsidR="0040557F" w:rsidRPr="0040557F" w:rsidRDefault="0040557F" w:rsidP="00B94B85">
      <w:pPr>
        <w:spacing w:before="100" w:beforeAutospacing="1" w:after="100" w:afterAutospacing="1"/>
        <w:rPr>
          <w:sz w:val="22"/>
          <w:szCs w:val="22"/>
        </w:rPr>
      </w:pPr>
      <w:r>
        <w:rPr>
          <w:sz w:val="22"/>
          <w:szCs w:val="22"/>
        </w:rPr>
        <w:t>The State Leadership funds is used primarily for professional activities and operational costs that support such professional activities and some of them are discussed below.</w:t>
      </w:r>
    </w:p>
    <w:p w:rsidR="00AA29C8" w:rsidRPr="00806023" w:rsidRDefault="0040557F" w:rsidP="00B94B85">
      <w:pPr>
        <w:spacing w:before="100" w:beforeAutospacing="1" w:after="100" w:afterAutospacing="1"/>
        <w:rPr>
          <w:sz w:val="22"/>
          <w:szCs w:val="22"/>
        </w:rPr>
      </w:pPr>
      <w:r>
        <w:rPr>
          <w:b/>
          <w:sz w:val="22"/>
          <w:szCs w:val="22"/>
        </w:rPr>
        <w:t>Regionalization</w:t>
      </w:r>
      <w:r w:rsidR="00C038A8" w:rsidRPr="00806023">
        <w:rPr>
          <w:b/>
          <w:sz w:val="22"/>
          <w:szCs w:val="22"/>
        </w:rPr>
        <w:t>:</w:t>
      </w:r>
      <w:r w:rsidR="00D47333" w:rsidRPr="00806023">
        <w:rPr>
          <w:b/>
          <w:bCs/>
          <w:sz w:val="22"/>
          <w:szCs w:val="22"/>
        </w:rPr>
        <w:t xml:space="preserve"> </w:t>
      </w:r>
      <w:r w:rsidR="00B94B85" w:rsidRPr="00806023">
        <w:rPr>
          <w:bCs/>
          <w:sz w:val="22"/>
          <w:szCs w:val="22"/>
        </w:rPr>
        <w:t>Pursuant to th</w:t>
      </w:r>
      <w:r w:rsidR="00F86577" w:rsidRPr="00806023">
        <w:rPr>
          <w:bCs/>
          <w:sz w:val="22"/>
          <w:szCs w:val="22"/>
        </w:rPr>
        <w:t>e Governor</w:t>
      </w:r>
      <w:r w:rsidR="00B94B85" w:rsidRPr="00806023">
        <w:rPr>
          <w:bCs/>
          <w:sz w:val="22"/>
          <w:szCs w:val="22"/>
        </w:rPr>
        <w:t>’s vision in</w:t>
      </w:r>
      <w:r w:rsidR="00F86577" w:rsidRPr="00806023">
        <w:rPr>
          <w:bCs/>
          <w:sz w:val="22"/>
          <w:szCs w:val="22"/>
        </w:rPr>
        <w:t xml:space="preserve"> moving </w:t>
      </w:r>
      <w:r w:rsidR="000300C1" w:rsidRPr="00806023">
        <w:rPr>
          <w:bCs/>
          <w:sz w:val="22"/>
          <w:szCs w:val="22"/>
        </w:rPr>
        <w:t xml:space="preserve">State Of Michigan </w:t>
      </w:r>
      <w:r w:rsidR="00F86577" w:rsidRPr="00806023">
        <w:rPr>
          <w:bCs/>
          <w:sz w:val="22"/>
          <w:szCs w:val="22"/>
        </w:rPr>
        <w:t>towards regionalization</w:t>
      </w:r>
      <w:r w:rsidR="00B94B85" w:rsidRPr="00806023">
        <w:rPr>
          <w:bCs/>
          <w:sz w:val="22"/>
          <w:szCs w:val="22"/>
        </w:rPr>
        <w:t xml:space="preserve">, </w:t>
      </w:r>
      <w:r w:rsidR="000300C1" w:rsidRPr="00806023">
        <w:rPr>
          <w:bCs/>
          <w:sz w:val="22"/>
          <w:szCs w:val="22"/>
        </w:rPr>
        <w:t>t</w:t>
      </w:r>
      <w:r w:rsidR="007625BB" w:rsidRPr="00806023">
        <w:rPr>
          <w:bCs/>
          <w:sz w:val="22"/>
          <w:szCs w:val="22"/>
        </w:rPr>
        <w:t>he state legislation</w:t>
      </w:r>
      <w:r w:rsidR="00B94B85" w:rsidRPr="00806023">
        <w:rPr>
          <w:bCs/>
          <w:sz w:val="22"/>
          <w:szCs w:val="22"/>
        </w:rPr>
        <w:t xml:space="preserve"> </w:t>
      </w:r>
      <w:r w:rsidR="000300C1" w:rsidRPr="00806023">
        <w:rPr>
          <w:bCs/>
          <w:sz w:val="22"/>
          <w:szCs w:val="22"/>
        </w:rPr>
        <w:t xml:space="preserve">in 2013-2014 </w:t>
      </w:r>
      <w:r w:rsidR="00B94B85" w:rsidRPr="00806023">
        <w:rPr>
          <w:bCs/>
          <w:sz w:val="22"/>
          <w:szCs w:val="22"/>
        </w:rPr>
        <w:t>changed the State School Aid funding and distribution t</w:t>
      </w:r>
      <w:r w:rsidR="00712D38" w:rsidRPr="00806023">
        <w:rPr>
          <w:bCs/>
          <w:sz w:val="22"/>
          <w:szCs w:val="22"/>
        </w:rPr>
        <w:t>o align with the 10 Prosperity R</w:t>
      </w:r>
      <w:r w:rsidR="00B94B85" w:rsidRPr="00806023">
        <w:rPr>
          <w:bCs/>
          <w:sz w:val="22"/>
          <w:szCs w:val="22"/>
        </w:rPr>
        <w:t xml:space="preserve">egions. </w:t>
      </w:r>
      <w:r w:rsidR="00EC763F" w:rsidRPr="00806023">
        <w:rPr>
          <w:bCs/>
          <w:sz w:val="22"/>
          <w:szCs w:val="22"/>
        </w:rPr>
        <w:t xml:space="preserve">A small part of the state leadership fund was used to </w:t>
      </w:r>
      <w:r w:rsidR="009915F0" w:rsidRPr="00806023">
        <w:rPr>
          <w:bCs/>
          <w:sz w:val="22"/>
          <w:szCs w:val="22"/>
        </w:rPr>
        <w:t xml:space="preserve">promote regionalization of adult education programs in the state starting </w:t>
      </w:r>
      <w:r w:rsidR="00BE11A4" w:rsidRPr="00806023">
        <w:rPr>
          <w:bCs/>
          <w:sz w:val="22"/>
          <w:szCs w:val="22"/>
        </w:rPr>
        <w:t xml:space="preserve">with </w:t>
      </w:r>
      <w:r w:rsidR="009915F0" w:rsidRPr="00806023">
        <w:rPr>
          <w:bCs/>
          <w:sz w:val="22"/>
          <w:szCs w:val="22"/>
        </w:rPr>
        <w:t>the distribution of state funds referred to as</w:t>
      </w:r>
      <w:r w:rsidR="00EC763F" w:rsidRPr="00806023">
        <w:rPr>
          <w:sz w:val="22"/>
          <w:szCs w:val="22"/>
        </w:rPr>
        <w:t xml:space="preserve"> </w:t>
      </w:r>
      <w:r w:rsidR="00AA29C8" w:rsidRPr="00806023">
        <w:rPr>
          <w:sz w:val="22"/>
          <w:szCs w:val="22"/>
        </w:rPr>
        <w:t>Section 107</w:t>
      </w:r>
      <w:r w:rsidR="00B94B85" w:rsidRPr="00806023">
        <w:rPr>
          <w:sz w:val="22"/>
          <w:szCs w:val="22"/>
        </w:rPr>
        <w:t xml:space="preserve"> funds</w:t>
      </w:r>
      <w:r w:rsidR="009915F0" w:rsidRPr="00806023">
        <w:rPr>
          <w:sz w:val="22"/>
          <w:szCs w:val="22"/>
        </w:rPr>
        <w:t>.</w:t>
      </w:r>
      <w:r w:rsidR="00EC763F" w:rsidRPr="00806023">
        <w:rPr>
          <w:sz w:val="22"/>
          <w:szCs w:val="22"/>
        </w:rPr>
        <w:t xml:space="preserve"> </w:t>
      </w:r>
      <w:r w:rsidR="00B94B85" w:rsidRPr="00806023">
        <w:rPr>
          <w:sz w:val="22"/>
          <w:szCs w:val="22"/>
        </w:rPr>
        <w:t xml:space="preserve">Below </w:t>
      </w:r>
      <w:r w:rsidR="008256EA" w:rsidRPr="00806023">
        <w:rPr>
          <w:sz w:val="22"/>
          <w:szCs w:val="22"/>
        </w:rPr>
        <w:t>is</w:t>
      </w:r>
      <w:r w:rsidR="00B94B85" w:rsidRPr="00806023">
        <w:rPr>
          <w:sz w:val="22"/>
          <w:szCs w:val="22"/>
        </w:rPr>
        <w:t xml:space="preserve"> a</w:t>
      </w:r>
      <w:r w:rsidR="00AA29C8" w:rsidRPr="00806023">
        <w:rPr>
          <w:sz w:val="22"/>
          <w:szCs w:val="22"/>
        </w:rPr>
        <w:t xml:space="preserve"> side-by-side comparison </w:t>
      </w:r>
      <w:r w:rsidR="008256EA" w:rsidRPr="00806023">
        <w:rPr>
          <w:sz w:val="22"/>
          <w:szCs w:val="22"/>
        </w:rPr>
        <w:t xml:space="preserve">of the new and old statute (a full blown comparison </w:t>
      </w:r>
      <w:r w:rsidR="00BE11A4" w:rsidRPr="00806023">
        <w:rPr>
          <w:sz w:val="22"/>
          <w:szCs w:val="22"/>
        </w:rPr>
        <w:t>may be provided if you requested</w:t>
      </w:r>
      <w:r w:rsidR="008256EA" w:rsidRPr="00806023">
        <w:rPr>
          <w:sz w:val="22"/>
          <w:szCs w:val="22"/>
        </w:rPr>
        <w:t>)</w:t>
      </w:r>
      <w:r w:rsidR="00AA29C8" w:rsidRPr="00806023">
        <w:rPr>
          <w:sz w:val="22"/>
          <w:szCs w:val="22"/>
        </w:rPr>
        <w:t>.</w:t>
      </w:r>
    </w:p>
    <w:p w:rsidR="00AA29C8" w:rsidRPr="00806023" w:rsidRDefault="00AA29C8" w:rsidP="00AA29C8">
      <w:pPr>
        <w:rPr>
          <w:sz w:val="22"/>
          <w:szCs w:val="22"/>
        </w:rPr>
      </w:pPr>
    </w:p>
    <w:tbl>
      <w:tblPr>
        <w:tblpPr w:leftFromText="171" w:rightFromText="171" w:vertAnchor="text"/>
        <w:tblW w:w="0" w:type="auto"/>
        <w:tblCellMar>
          <w:left w:w="0" w:type="dxa"/>
          <w:right w:w="0" w:type="dxa"/>
        </w:tblCellMar>
        <w:tblLook w:val="04A0" w:firstRow="1" w:lastRow="0" w:firstColumn="1" w:lastColumn="0" w:noHBand="0" w:noVBand="1"/>
      </w:tblPr>
      <w:tblGrid>
        <w:gridCol w:w="1551"/>
        <w:gridCol w:w="3661"/>
        <w:gridCol w:w="4140"/>
      </w:tblGrid>
      <w:tr w:rsidR="00E54A82" w:rsidRPr="00806023" w:rsidTr="00AA29C8">
        <w:trPr>
          <w:trHeight w:val="440"/>
        </w:trPr>
        <w:tc>
          <w:tcPr>
            <w:tcW w:w="1551"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AA29C8" w:rsidRPr="00806023" w:rsidRDefault="00AA29C8">
            <w:pPr>
              <w:jc w:val="center"/>
              <w:rPr>
                <w:rFonts w:ascii="Calibri" w:eastAsiaTheme="minorHAnsi" w:hAnsi="Calibri"/>
                <w:sz w:val="22"/>
                <w:szCs w:val="22"/>
              </w:rPr>
            </w:pPr>
          </w:p>
        </w:tc>
        <w:tc>
          <w:tcPr>
            <w:tcW w:w="366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AA29C8" w:rsidRPr="00806023" w:rsidRDefault="00AA29C8">
            <w:pPr>
              <w:jc w:val="center"/>
              <w:rPr>
                <w:rFonts w:ascii="Calibri" w:eastAsiaTheme="minorHAnsi" w:hAnsi="Calibri"/>
                <w:sz w:val="22"/>
                <w:szCs w:val="22"/>
              </w:rPr>
            </w:pPr>
            <w:r w:rsidRPr="00806023">
              <w:rPr>
                <w:sz w:val="22"/>
                <w:szCs w:val="22"/>
              </w:rPr>
              <w:t>Current</w:t>
            </w:r>
          </w:p>
        </w:tc>
        <w:tc>
          <w:tcPr>
            <w:tcW w:w="414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AA29C8" w:rsidRPr="00806023" w:rsidRDefault="00B94B85">
            <w:pPr>
              <w:jc w:val="center"/>
              <w:rPr>
                <w:rFonts w:ascii="Calibri" w:eastAsiaTheme="minorHAnsi" w:hAnsi="Calibri"/>
                <w:sz w:val="22"/>
                <w:szCs w:val="22"/>
              </w:rPr>
            </w:pPr>
            <w:r w:rsidRPr="00806023">
              <w:rPr>
                <w:sz w:val="22"/>
                <w:szCs w:val="22"/>
              </w:rPr>
              <w:t>New</w:t>
            </w:r>
          </w:p>
        </w:tc>
      </w:tr>
      <w:tr w:rsidR="00E54A82" w:rsidRPr="00806023" w:rsidTr="00AA29C8">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9C8" w:rsidRPr="00806023" w:rsidRDefault="00031C08">
            <w:pPr>
              <w:rPr>
                <w:rFonts w:ascii="Calibri" w:eastAsiaTheme="minorHAnsi" w:hAnsi="Calibri"/>
                <w:sz w:val="22"/>
                <w:szCs w:val="22"/>
              </w:rPr>
            </w:pPr>
            <w:r w:rsidRPr="00806023">
              <w:rPr>
                <w:sz w:val="22"/>
                <w:szCs w:val="22"/>
              </w:rPr>
              <w:t>Recipient</w:t>
            </w:r>
            <w:r w:rsidR="00AA29C8" w:rsidRPr="00806023">
              <w:rPr>
                <w:sz w:val="22"/>
                <w:szCs w:val="22"/>
              </w:rPr>
              <w:t>/</w:t>
            </w:r>
          </w:p>
          <w:p w:rsidR="00AA29C8" w:rsidRPr="00806023" w:rsidRDefault="00AA29C8">
            <w:pPr>
              <w:rPr>
                <w:rFonts w:ascii="Calibri" w:eastAsiaTheme="minorHAnsi" w:hAnsi="Calibri"/>
                <w:sz w:val="22"/>
                <w:szCs w:val="22"/>
              </w:rPr>
            </w:pPr>
            <w:r w:rsidRPr="00806023">
              <w:rPr>
                <w:sz w:val="22"/>
                <w:szCs w:val="22"/>
              </w:rPr>
              <w:t>Fiscal Agent</w:t>
            </w:r>
          </w:p>
        </w:tc>
        <w:tc>
          <w:tcPr>
            <w:tcW w:w="3661" w:type="dxa"/>
            <w:tcBorders>
              <w:top w:val="nil"/>
              <w:left w:val="nil"/>
              <w:bottom w:val="single" w:sz="8" w:space="0" w:color="auto"/>
              <w:right w:val="single" w:sz="8" w:space="0" w:color="auto"/>
            </w:tcBorders>
            <w:tcMar>
              <w:top w:w="0" w:type="dxa"/>
              <w:left w:w="108" w:type="dxa"/>
              <w:bottom w:w="0" w:type="dxa"/>
              <w:right w:w="108" w:type="dxa"/>
            </w:tcMar>
            <w:hideMark/>
          </w:tcPr>
          <w:p w:rsidR="00AA29C8" w:rsidRPr="00806023" w:rsidRDefault="00DD30E4" w:rsidP="00031C08">
            <w:pPr>
              <w:rPr>
                <w:rFonts w:ascii="Calibri" w:eastAsiaTheme="minorHAnsi" w:hAnsi="Calibri"/>
                <w:sz w:val="22"/>
                <w:szCs w:val="22"/>
              </w:rPr>
            </w:pPr>
            <w:r w:rsidRPr="00806023">
              <w:rPr>
                <w:sz w:val="22"/>
                <w:szCs w:val="22"/>
              </w:rPr>
              <w:t>Current Local Education Agency (LEA)</w:t>
            </w:r>
            <w:r w:rsidR="00031C08" w:rsidRPr="00806023">
              <w:rPr>
                <w:sz w:val="22"/>
                <w:szCs w:val="22"/>
              </w:rPr>
              <w:t>/I</w:t>
            </w:r>
            <w:r w:rsidRPr="00806023">
              <w:rPr>
                <w:sz w:val="22"/>
                <w:szCs w:val="22"/>
              </w:rPr>
              <w:t>ntermediate School District (I</w:t>
            </w:r>
            <w:r w:rsidR="00031C08" w:rsidRPr="00806023">
              <w:rPr>
                <w:sz w:val="22"/>
                <w:szCs w:val="22"/>
              </w:rPr>
              <w:t>SD</w:t>
            </w:r>
            <w:r w:rsidRPr="00806023">
              <w:rPr>
                <w:sz w:val="22"/>
                <w:szCs w:val="22"/>
              </w:rPr>
              <w:t>)</w:t>
            </w:r>
            <w:r w:rsidR="00AA29C8" w:rsidRPr="00806023">
              <w:rPr>
                <w:sz w:val="22"/>
                <w:szCs w:val="22"/>
              </w:rPr>
              <w:t xml:space="preserve"> receiving funds</w:t>
            </w:r>
            <w:r w:rsidR="00031C08" w:rsidRPr="00806023">
              <w:rPr>
                <w:sz w:val="22"/>
                <w:szCs w:val="22"/>
              </w:rPr>
              <w:t xml:space="preserve"> and</w:t>
            </w:r>
            <w:r w:rsidR="00AA29C8" w:rsidRPr="00806023">
              <w:rPr>
                <w:sz w:val="22"/>
                <w:szCs w:val="22"/>
              </w:rPr>
              <w:t xml:space="preserve"> operate</w:t>
            </w:r>
            <w:r w:rsidR="00031C08" w:rsidRPr="00806023">
              <w:rPr>
                <w:sz w:val="22"/>
                <w:szCs w:val="22"/>
              </w:rPr>
              <w:t>s</w:t>
            </w:r>
            <w:r w:rsidR="00AA29C8" w:rsidRPr="00806023">
              <w:rPr>
                <w:sz w:val="22"/>
                <w:szCs w:val="22"/>
              </w:rPr>
              <w:t xml:space="preserve"> either independently or as a consortium.</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AA29C8" w:rsidRPr="00806023" w:rsidRDefault="00240810">
            <w:pPr>
              <w:rPr>
                <w:rFonts w:ascii="Calibri" w:eastAsiaTheme="minorHAnsi" w:hAnsi="Calibri"/>
                <w:sz w:val="22"/>
                <w:szCs w:val="22"/>
              </w:rPr>
            </w:pPr>
            <w:r w:rsidRPr="00806023">
              <w:rPr>
                <w:sz w:val="22"/>
                <w:szCs w:val="22"/>
              </w:rPr>
              <w:t>Eligible provider</w:t>
            </w:r>
            <w:r w:rsidR="00AA29C8" w:rsidRPr="00806023">
              <w:rPr>
                <w:sz w:val="22"/>
                <w:szCs w:val="22"/>
              </w:rPr>
              <w:t xml:space="preserve"> could be an LEA, ISD, consortium of districts, consortium of ISDs or consortium of districts and ISDs</w:t>
            </w:r>
          </w:p>
          <w:p w:rsidR="00AA29C8" w:rsidRPr="00806023" w:rsidRDefault="00AA29C8">
            <w:pPr>
              <w:rPr>
                <w:sz w:val="22"/>
                <w:szCs w:val="22"/>
              </w:rPr>
            </w:pPr>
          </w:p>
          <w:p w:rsidR="00AA29C8" w:rsidRPr="00806023" w:rsidRDefault="00AA29C8">
            <w:pPr>
              <w:rPr>
                <w:sz w:val="22"/>
                <w:szCs w:val="22"/>
              </w:rPr>
            </w:pPr>
            <w:r w:rsidRPr="00806023">
              <w:rPr>
                <w:sz w:val="22"/>
                <w:szCs w:val="22"/>
              </w:rPr>
              <w:t>One ISD will serve as the fiscal agent in each of the ten prosperity regions.</w:t>
            </w:r>
          </w:p>
          <w:p w:rsidR="00AA29C8" w:rsidRPr="00806023" w:rsidRDefault="00AA29C8">
            <w:pPr>
              <w:rPr>
                <w:sz w:val="22"/>
                <w:szCs w:val="22"/>
              </w:rPr>
            </w:pPr>
          </w:p>
          <w:p w:rsidR="00AA29C8" w:rsidRPr="00806023" w:rsidRDefault="00AA29C8">
            <w:pPr>
              <w:rPr>
                <w:sz w:val="22"/>
                <w:szCs w:val="22"/>
              </w:rPr>
            </w:pPr>
            <w:r w:rsidRPr="00806023">
              <w:rPr>
                <w:sz w:val="22"/>
                <w:szCs w:val="22"/>
              </w:rPr>
              <w:t>An ISD serving as the fiscal agent can utilize 5% of the region’s funds for administrative costs associated with being the fiscal agent.</w:t>
            </w:r>
          </w:p>
          <w:p w:rsidR="00AA29C8" w:rsidRPr="00806023" w:rsidRDefault="00AA29C8">
            <w:pPr>
              <w:rPr>
                <w:sz w:val="22"/>
                <w:szCs w:val="22"/>
              </w:rPr>
            </w:pPr>
          </w:p>
          <w:p w:rsidR="00AA29C8" w:rsidRPr="00806023" w:rsidRDefault="00AA29C8">
            <w:pPr>
              <w:rPr>
                <w:sz w:val="22"/>
                <w:szCs w:val="22"/>
              </w:rPr>
            </w:pPr>
            <w:r w:rsidRPr="00806023">
              <w:rPr>
                <w:sz w:val="22"/>
                <w:szCs w:val="22"/>
              </w:rPr>
              <w:t xml:space="preserve">Requires department to ensure that the number of individuals served </w:t>
            </w:r>
            <w:r w:rsidR="00D46A44" w:rsidRPr="00806023">
              <w:rPr>
                <w:sz w:val="22"/>
                <w:szCs w:val="22"/>
              </w:rPr>
              <w:t>in 2014-2015 (when it</w:t>
            </w:r>
            <w:r w:rsidR="00DD30E4" w:rsidRPr="00806023">
              <w:rPr>
                <w:sz w:val="22"/>
                <w:szCs w:val="22"/>
              </w:rPr>
              <w:t xml:space="preserve"> is</w:t>
            </w:r>
            <w:r w:rsidR="00D46A44" w:rsidRPr="00806023">
              <w:rPr>
                <w:sz w:val="22"/>
                <w:szCs w:val="22"/>
              </w:rPr>
              <w:t xml:space="preserve"> fully implemented) </w:t>
            </w:r>
            <w:r w:rsidRPr="00806023">
              <w:rPr>
                <w:sz w:val="22"/>
                <w:szCs w:val="22"/>
              </w:rPr>
              <w:t xml:space="preserve">is at least as many as in </w:t>
            </w:r>
            <w:r w:rsidR="00D46A44" w:rsidRPr="00806023">
              <w:rPr>
                <w:sz w:val="22"/>
                <w:szCs w:val="22"/>
              </w:rPr>
              <w:t>the previous year (</w:t>
            </w:r>
            <w:r w:rsidRPr="00806023">
              <w:rPr>
                <w:sz w:val="22"/>
                <w:szCs w:val="22"/>
              </w:rPr>
              <w:t>2013-14</w:t>
            </w:r>
            <w:r w:rsidR="00D46A44" w:rsidRPr="00806023">
              <w:rPr>
                <w:sz w:val="22"/>
                <w:szCs w:val="22"/>
              </w:rPr>
              <w:t>) and</w:t>
            </w:r>
            <w:r w:rsidRPr="00806023">
              <w:rPr>
                <w:sz w:val="22"/>
                <w:szCs w:val="22"/>
              </w:rPr>
              <w:t xml:space="preserve"> </w:t>
            </w:r>
            <w:r w:rsidR="00DD30E4" w:rsidRPr="00806023">
              <w:rPr>
                <w:sz w:val="22"/>
                <w:szCs w:val="22"/>
              </w:rPr>
              <w:t>it is</w:t>
            </w:r>
            <w:r w:rsidRPr="00806023">
              <w:rPr>
                <w:sz w:val="22"/>
                <w:szCs w:val="22"/>
              </w:rPr>
              <w:t xml:space="preserve"> the same requirement for each region.</w:t>
            </w:r>
          </w:p>
          <w:p w:rsidR="00AA29C8" w:rsidRPr="00806023" w:rsidRDefault="00AA29C8">
            <w:pPr>
              <w:rPr>
                <w:sz w:val="22"/>
                <w:szCs w:val="22"/>
              </w:rPr>
            </w:pPr>
          </w:p>
          <w:p w:rsidR="00AA29C8" w:rsidRPr="00806023" w:rsidRDefault="00AA29C8">
            <w:pPr>
              <w:rPr>
                <w:rFonts w:ascii="Calibri" w:eastAsiaTheme="minorHAnsi" w:hAnsi="Calibri"/>
                <w:sz w:val="22"/>
                <w:szCs w:val="22"/>
              </w:rPr>
            </w:pPr>
            <w:r w:rsidRPr="00806023">
              <w:rPr>
                <w:sz w:val="22"/>
                <w:szCs w:val="22"/>
              </w:rPr>
              <w:t>The ISD is required to collaborate with</w:t>
            </w:r>
            <w:r w:rsidR="001714AA" w:rsidRPr="00806023">
              <w:rPr>
                <w:sz w:val="22"/>
                <w:szCs w:val="22"/>
              </w:rPr>
              <w:t xml:space="preserve"> the</w:t>
            </w:r>
            <w:r w:rsidRPr="00806023">
              <w:rPr>
                <w:sz w:val="22"/>
                <w:szCs w:val="22"/>
              </w:rPr>
              <w:t xml:space="preserve"> </w:t>
            </w:r>
            <w:r w:rsidR="001714AA" w:rsidRPr="00806023">
              <w:rPr>
                <w:sz w:val="22"/>
                <w:szCs w:val="22"/>
              </w:rPr>
              <w:t>Education Advisory Group (EAG)</w:t>
            </w:r>
            <w:r w:rsidRPr="00806023">
              <w:rPr>
                <w:sz w:val="22"/>
                <w:szCs w:val="22"/>
              </w:rPr>
              <w:t xml:space="preserve"> and </w:t>
            </w:r>
            <w:r w:rsidR="001714AA" w:rsidRPr="00806023">
              <w:rPr>
                <w:sz w:val="22"/>
                <w:szCs w:val="22"/>
              </w:rPr>
              <w:t>Workforce Development Board (</w:t>
            </w:r>
            <w:r w:rsidRPr="00806023">
              <w:rPr>
                <w:sz w:val="22"/>
                <w:szCs w:val="22"/>
              </w:rPr>
              <w:t>WDB</w:t>
            </w:r>
            <w:r w:rsidR="001714AA" w:rsidRPr="00806023">
              <w:rPr>
                <w:sz w:val="22"/>
                <w:szCs w:val="22"/>
              </w:rPr>
              <w:t>)</w:t>
            </w:r>
            <w:r w:rsidRPr="00806023">
              <w:rPr>
                <w:sz w:val="22"/>
                <w:szCs w:val="22"/>
              </w:rPr>
              <w:t xml:space="preserve"> in their region to identify providers of service</w:t>
            </w:r>
            <w:r w:rsidR="001714AA" w:rsidRPr="00806023">
              <w:rPr>
                <w:sz w:val="22"/>
                <w:szCs w:val="22"/>
              </w:rPr>
              <w:t>s</w:t>
            </w:r>
            <w:r w:rsidRPr="00806023">
              <w:rPr>
                <w:sz w:val="22"/>
                <w:szCs w:val="22"/>
              </w:rPr>
              <w:t xml:space="preserve"> based upon regional need and performance, which requires WDA approval</w:t>
            </w:r>
          </w:p>
        </w:tc>
      </w:tr>
      <w:tr w:rsidR="00E54A82" w:rsidRPr="00806023" w:rsidTr="00AA29C8">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9C8" w:rsidRPr="00806023" w:rsidRDefault="00AA29C8">
            <w:pPr>
              <w:rPr>
                <w:rFonts w:ascii="Calibri" w:eastAsiaTheme="minorHAnsi" w:hAnsi="Calibri"/>
                <w:sz w:val="22"/>
                <w:szCs w:val="22"/>
              </w:rPr>
            </w:pPr>
            <w:r w:rsidRPr="00806023">
              <w:rPr>
                <w:sz w:val="22"/>
                <w:szCs w:val="22"/>
              </w:rPr>
              <w:t>Funding Distribution</w:t>
            </w:r>
          </w:p>
        </w:tc>
        <w:tc>
          <w:tcPr>
            <w:tcW w:w="3661" w:type="dxa"/>
            <w:tcBorders>
              <w:top w:val="nil"/>
              <w:left w:val="nil"/>
              <w:bottom w:val="single" w:sz="8" w:space="0" w:color="auto"/>
              <w:right w:val="single" w:sz="8" w:space="0" w:color="auto"/>
            </w:tcBorders>
            <w:tcMar>
              <w:top w:w="0" w:type="dxa"/>
              <w:left w:w="108" w:type="dxa"/>
              <w:bottom w:w="0" w:type="dxa"/>
              <w:right w:w="108" w:type="dxa"/>
            </w:tcMar>
            <w:hideMark/>
          </w:tcPr>
          <w:p w:rsidR="00AA29C8" w:rsidRPr="00806023" w:rsidRDefault="00AA29C8">
            <w:pPr>
              <w:rPr>
                <w:rFonts w:ascii="Calibri" w:eastAsiaTheme="minorHAnsi" w:hAnsi="Calibri"/>
                <w:sz w:val="22"/>
                <w:szCs w:val="22"/>
              </w:rPr>
            </w:pPr>
            <w:r w:rsidRPr="00806023">
              <w:rPr>
                <w:sz w:val="22"/>
                <w:szCs w:val="22"/>
              </w:rPr>
              <w:t>Capped allowance based upon prior year cap (originating from 1995-96 data)</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AA29C8" w:rsidRPr="00806023" w:rsidRDefault="00AA29C8">
            <w:pPr>
              <w:rPr>
                <w:rFonts w:ascii="Calibri" w:eastAsiaTheme="minorHAnsi" w:hAnsi="Calibri"/>
                <w:sz w:val="22"/>
                <w:szCs w:val="22"/>
              </w:rPr>
            </w:pPr>
            <w:r w:rsidRPr="00806023">
              <w:rPr>
                <w:sz w:val="22"/>
                <w:szCs w:val="22"/>
              </w:rPr>
              <w:t>Allocations would be based upon current census data which would be phased in over a three-year period, allowing districts time to adjust.</w:t>
            </w:r>
          </w:p>
          <w:p w:rsidR="00AA29C8" w:rsidRPr="00806023" w:rsidRDefault="00AA29C8">
            <w:pPr>
              <w:rPr>
                <w:sz w:val="22"/>
                <w:szCs w:val="22"/>
              </w:rPr>
            </w:pPr>
          </w:p>
          <w:p w:rsidR="00AA29C8" w:rsidRPr="00806023" w:rsidRDefault="00AA29C8">
            <w:pPr>
              <w:rPr>
                <w:sz w:val="22"/>
                <w:szCs w:val="22"/>
              </w:rPr>
            </w:pPr>
            <w:r w:rsidRPr="00806023">
              <w:rPr>
                <w:sz w:val="22"/>
                <w:szCs w:val="22"/>
              </w:rPr>
              <w:t xml:space="preserve">For the three-year phase-in period, allocations would be based upon the amount of funds received by the region in the prior year and also current census data for the </w:t>
            </w:r>
            <w:r w:rsidRPr="00806023">
              <w:rPr>
                <w:sz w:val="22"/>
                <w:szCs w:val="22"/>
              </w:rPr>
              <w:lastRenderedPageBreak/>
              <w:t>region, as follows:</w:t>
            </w:r>
          </w:p>
          <w:p w:rsidR="00AA29C8" w:rsidRPr="00806023" w:rsidRDefault="00AA29C8">
            <w:pPr>
              <w:rPr>
                <w:sz w:val="22"/>
                <w:szCs w:val="22"/>
              </w:rPr>
            </w:pPr>
            <w:r w:rsidRPr="00806023">
              <w:rPr>
                <w:sz w:val="22"/>
                <w:szCs w:val="22"/>
              </w:rPr>
              <w:t>Year 1 – 67% prior year/33% census data</w:t>
            </w:r>
          </w:p>
          <w:p w:rsidR="00AA29C8" w:rsidRPr="00806023" w:rsidRDefault="00AA29C8">
            <w:pPr>
              <w:rPr>
                <w:sz w:val="22"/>
                <w:szCs w:val="22"/>
              </w:rPr>
            </w:pPr>
            <w:r w:rsidRPr="00806023">
              <w:rPr>
                <w:sz w:val="22"/>
                <w:szCs w:val="22"/>
              </w:rPr>
              <w:t>Year 2 – 33% prior year/67% census data</w:t>
            </w:r>
          </w:p>
          <w:p w:rsidR="00AA29C8" w:rsidRPr="00806023" w:rsidRDefault="00AA29C8">
            <w:pPr>
              <w:rPr>
                <w:sz w:val="22"/>
                <w:szCs w:val="22"/>
              </w:rPr>
            </w:pPr>
            <w:r w:rsidRPr="00806023">
              <w:rPr>
                <w:sz w:val="22"/>
                <w:szCs w:val="22"/>
              </w:rPr>
              <w:t>Year 3 – 100% census data</w:t>
            </w:r>
          </w:p>
          <w:p w:rsidR="00AA29C8" w:rsidRPr="00806023" w:rsidRDefault="00AA29C8">
            <w:pPr>
              <w:rPr>
                <w:sz w:val="22"/>
                <w:szCs w:val="22"/>
              </w:rPr>
            </w:pPr>
          </w:p>
          <w:p w:rsidR="00AA29C8" w:rsidRPr="00806023" w:rsidRDefault="001714AA">
            <w:pPr>
              <w:rPr>
                <w:sz w:val="22"/>
                <w:szCs w:val="22"/>
              </w:rPr>
            </w:pPr>
            <w:r w:rsidRPr="00806023">
              <w:rPr>
                <w:sz w:val="22"/>
                <w:szCs w:val="22"/>
              </w:rPr>
              <w:t xml:space="preserve">Distribution of </w:t>
            </w:r>
            <w:r w:rsidR="00AA29C8" w:rsidRPr="00806023">
              <w:rPr>
                <w:sz w:val="22"/>
                <w:szCs w:val="22"/>
              </w:rPr>
              <w:t>Census Data to be used:</w:t>
            </w:r>
          </w:p>
          <w:p w:rsidR="00AA29C8" w:rsidRPr="00806023" w:rsidRDefault="00AA29C8">
            <w:pPr>
              <w:rPr>
                <w:sz w:val="22"/>
                <w:szCs w:val="22"/>
              </w:rPr>
            </w:pPr>
            <w:r w:rsidRPr="00806023">
              <w:rPr>
                <w:sz w:val="22"/>
                <w:szCs w:val="22"/>
              </w:rPr>
              <w:t>(60%) 18-24 year old non high school grads</w:t>
            </w:r>
          </w:p>
          <w:p w:rsidR="00AA29C8" w:rsidRPr="00806023" w:rsidRDefault="00AA29C8">
            <w:pPr>
              <w:rPr>
                <w:sz w:val="22"/>
                <w:szCs w:val="22"/>
              </w:rPr>
            </w:pPr>
            <w:r w:rsidRPr="00806023">
              <w:rPr>
                <w:sz w:val="22"/>
                <w:szCs w:val="22"/>
              </w:rPr>
              <w:t>(35%) 25+ year old non high school grads</w:t>
            </w:r>
          </w:p>
          <w:p w:rsidR="00AA29C8" w:rsidRPr="00806023" w:rsidRDefault="00AA29C8">
            <w:pPr>
              <w:rPr>
                <w:rFonts w:ascii="Calibri" w:eastAsiaTheme="minorHAnsi" w:hAnsi="Calibri"/>
                <w:sz w:val="22"/>
                <w:szCs w:val="22"/>
              </w:rPr>
            </w:pPr>
            <w:r w:rsidRPr="00806023">
              <w:rPr>
                <w:sz w:val="22"/>
                <w:szCs w:val="22"/>
              </w:rPr>
              <w:t>(5%) 18+ lacking basic English proficiency</w:t>
            </w:r>
          </w:p>
        </w:tc>
      </w:tr>
      <w:tr w:rsidR="00E54A82" w:rsidRPr="00806023" w:rsidTr="00AA29C8">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9C8" w:rsidRPr="00806023" w:rsidRDefault="00AA29C8">
            <w:pPr>
              <w:rPr>
                <w:rFonts w:ascii="Calibri" w:eastAsiaTheme="minorHAnsi" w:hAnsi="Calibri"/>
                <w:sz w:val="22"/>
                <w:szCs w:val="22"/>
              </w:rPr>
            </w:pPr>
            <w:r w:rsidRPr="00806023">
              <w:rPr>
                <w:sz w:val="22"/>
                <w:szCs w:val="22"/>
              </w:rPr>
              <w:lastRenderedPageBreak/>
              <w:t>Determination of Payments</w:t>
            </w:r>
          </w:p>
        </w:tc>
        <w:tc>
          <w:tcPr>
            <w:tcW w:w="3661" w:type="dxa"/>
            <w:tcBorders>
              <w:top w:val="nil"/>
              <w:left w:val="nil"/>
              <w:bottom w:val="single" w:sz="8" w:space="0" w:color="auto"/>
              <w:right w:val="single" w:sz="8" w:space="0" w:color="auto"/>
            </w:tcBorders>
            <w:tcMar>
              <w:top w:w="0" w:type="dxa"/>
              <w:left w:w="108" w:type="dxa"/>
              <w:bottom w:w="0" w:type="dxa"/>
              <w:right w:w="108" w:type="dxa"/>
            </w:tcMar>
            <w:hideMark/>
          </w:tcPr>
          <w:p w:rsidR="00AA29C8" w:rsidRPr="00806023" w:rsidRDefault="00AA29C8">
            <w:pPr>
              <w:rPr>
                <w:rFonts w:ascii="Calibri" w:eastAsiaTheme="minorHAnsi" w:hAnsi="Calibri"/>
                <w:sz w:val="22"/>
                <w:szCs w:val="22"/>
              </w:rPr>
            </w:pPr>
            <w:r w:rsidRPr="00806023">
              <w:rPr>
                <w:sz w:val="22"/>
                <w:szCs w:val="22"/>
              </w:rPr>
              <w:t>90% for enrollment of eligible participants</w:t>
            </w:r>
          </w:p>
          <w:p w:rsidR="00AA29C8" w:rsidRPr="00806023" w:rsidRDefault="00AA29C8">
            <w:pPr>
              <w:rPr>
                <w:rFonts w:ascii="Calibri" w:eastAsiaTheme="minorHAnsi" w:hAnsi="Calibri"/>
                <w:sz w:val="22"/>
                <w:szCs w:val="22"/>
              </w:rPr>
            </w:pPr>
            <w:r w:rsidRPr="00806023">
              <w:rPr>
                <w:sz w:val="22"/>
                <w:szCs w:val="22"/>
              </w:rPr>
              <w:t>10% for achievement of specific performance criteria</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AA29C8" w:rsidRPr="00806023" w:rsidRDefault="00AA29C8">
            <w:pPr>
              <w:rPr>
                <w:rFonts w:ascii="Calibri" w:eastAsiaTheme="minorHAnsi" w:hAnsi="Calibri"/>
                <w:sz w:val="22"/>
                <w:szCs w:val="22"/>
              </w:rPr>
            </w:pPr>
            <w:r w:rsidRPr="00806023">
              <w:rPr>
                <w:sz w:val="22"/>
                <w:szCs w:val="22"/>
              </w:rPr>
              <w:t>75% for enrollment of eligible participants</w:t>
            </w:r>
          </w:p>
          <w:p w:rsidR="00AA29C8" w:rsidRPr="00806023" w:rsidRDefault="00AA29C8">
            <w:pPr>
              <w:rPr>
                <w:rFonts w:ascii="Calibri" w:eastAsiaTheme="minorHAnsi" w:hAnsi="Calibri"/>
                <w:sz w:val="22"/>
                <w:szCs w:val="22"/>
              </w:rPr>
            </w:pPr>
            <w:r w:rsidRPr="00806023">
              <w:rPr>
                <w:sz w:val="22"/>
                <w:szCs w:val="22"/>
              </w:rPr>
              <w:t>25% for achievement of specific performance criteria</w:t>
            </w:r>
          </w:p>
        </w:tc>
      </w:tr>
      <w:tr w:rsidR="00E54A82" w:rsidRPr="00806023" w:rsidTr="00AA29C8">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9C8" w:rsidRPr="00806023" w:rsidRDefault="00AA29C8">
            <w:pPr>
              <w:rPr>
                <w:rFonts w:ascii="Calibri" w:eastAsiaTheme="minorHAnsi" w:hAnsi="Calibri"/>
                <w:sz w:val="22"/>
                <w:szCs w:val="22"/>
              </w:rPr>
            </w:pPr>
            <w:r w:rsidRPr="00806023">
              <w:rPr>
                <w:sz w:val="22"/>
                <w:szCs w:val="22"/>
              </w:rPr>
              <w:t>Performance Criteria</w:t>
            </w:r>
          </w:p>
        </w:tc>
        <w:tc>
          <w:tcPr>
            <w:tcW w:w="3661" w:type="dxa"/>
            <w:tcBorders>
              <w:top w:val="nil"/>
              <w:left w:val="nil"/>
              <w:bottom w:val="single" w:sz="8" w:space="0" w:color="auto"/>
              <w:right w:val="single" w:sz="8" w:space="0" w:color="auto"/>
            </w:tcBorders>
            <w:tcMar>
              <w:top w:w="0" w:type="dxa"/>
              <w:left w:w="108" w:type="dxa"/>
              <w:bottom w:w="0" w:type="dxa"/>
              <w:right w:w="108" w:type="dxa"/>
            </w:tcMar>
            <w:hideMark/>
          </w:tcPr>
          <w:p w:rsidR="00AA29C8" w:rsidRPr="00806023" w:rsidRDefault="00AA29C8">
            <w:pPr>
              <w:rPr>
                <w:rFonts w:ascii="Calibri" w:eastAsiaTheme="minorHAnsi" w:hAnsi="Calibri"/>
                <w:sz w:val="22"/>
                <w:szCs w:val="22"/>
              </w:rPr>
            </w:pPr>
            <w:r w:rsidRPr="00806023">
              <w:rPr>
                <w:sz w:val="22"/>
                <w:szCs w:val="22"/>
              </w:rPr>
              <w:t>Grade level increase in reading or mathematics, achieve basic English proficiency, obtain GED, pass one or more individual GED test, attain HS Diploma, pass a course required to obtain a HS Diploma, or pass a course and demonstrate proficiency in the academic skills to be learned in the course.</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AA29C8" w:rsidRPr="00806023" w:rsidRDefault="00AA29C8">
            <w:pPr>
              <w:rPr>
                <w:rFonts w:ascii="Calibri" w:eastAsiaTheme="minorHAnsi" w:hAnsi="Calibri"/>
                <w:sz w:val="22"/>
                <w:szCs w:val="22"/>
              </w:rPr>
            </w:pPr>
            <w:r w:rsidRPr="00806023">
              <w:rPr>
                <w:sz w:val="22"/>
                <w:szCs w:val="22"/>
              </w:rPr>
              <w:t>Performance criteria changed to align with federal adult education funding.</w:t>
            </w:r>
          </w:p>
          <w:p w:rsidR="00AA29C8" w:rsidRPr="00806023" w:rsidRDefault="00AA29C8">
            <w:pPr>
              <w:rPr>
                <w:rFonts w:ascii="Calibri" w:eastAsiaTheme="minorHAnsi" w:hAnsi="Calibri"/>
                <w:sz w:val="22"/>
                <w:szCs w:val="22"/>
              </w:rPr>
            </w:pPr>
            <w:r w:rsidRPr="00806023">
              <w:rPr>
                <w:sz w:val="22"/>
                <w:szCs w:val="22"/>
              </w:rPr>
              <w:t>Educational gain as defined by National Reporting System levels,  achieve basic English proficiency, obtain GED, pass one or more individual GED test, attain HS Diploma, pass a course required to obtain a HS Diploma, enrollment in postsecondary, or enter/retain employment.</w:t>
            </w:r>
          </w:p>
        </w:tc>
      </w:tr>
    </w:tbl>
    <w:p w:rsidR="00AA29C8" w:rsidRPr="00806023" w:rsidRDefault="00AA29C8" w:rsidP="00AA29C8">
      <w:pPr>
        <w:rPr>
          <w:rFonts w:ascii="Calibri" w:eastAsiaTheme="minorHAnsi" w:hAnsi="Calibri"/>
          <w:sz w:val="22"/>
          <w:szCs w:val="22"/>
        </w:rPr>
      </w:pPr>
    </w:p>
    <w:p w:rsidR="00AA29C8" w:rsidRPr="00806023" w:rsidRDefault="00AA29C8" w:rsidP="00AA29C8">
      <w:pPr>
        <w:rPr>
          <w:sz w:val="22"/>
          <w:szCs w:val="22"/>
        </w:rPr>
      </w:pPr>
    </w:p>
    <w:p w:rsidR="00AA29C8" w:rsidRPr="00806023" w:rsidRDefault="00AA29C8" w:rsidP="00AA29C8">
      <w:pPr>
        <w:rPr>
          <w:sz w:val="22"/>
          <w:szCs w:val="22"/>
        </w:rPr>
      </w:pPr>
    </w:p>
    <w:p w:rsidR="00AA29C8" w:rsidRPr="00806023" w:rsidRDefault="00AA29C8" w:rsidP="00AA29C8">
      <w:pPr>
        <w:rPr>
          <w:sz w:val="22"/>
          <w:szCs w:val="22"/>
        </w:rPr>
      </w:pPr>
    </w:p>
    <w:p w:rsidR="00AA29C8" w:rsidRPr="00806023" w:rsidRDefault="00AA29C8" w:rsidP="00AA29C8">
      <w:pPr>
        <w:rPr>
          <w:sz w:val="22"/>
          <w:szCs w:val="22"/>
        </w:rPr>
      </w:pPr>
    </w:p>
    <w:p w:rsidR="00AA29C8" w:rsidRPr="00806023" w:rsidRDefault="00AA29C8" w:rsidP="00AA29C8">
      <w:pPr>
        <w:rPr>
          <w:sz w:val="22"/>
          <w:szCs w:val="22"/>
        </w:rPr>
      </w:pPr>
    </w:p>
    <w:p w:rsidR="00AA29C8" w:rsidRPr="00806023" w:rsidRDefault="00AA29C8" w:rsidP="00AA29C8">
      <w:pPr>
        <w:rPr>
          <w:sz w:val="22"/>
          <w:szCs w:val="22"/>
        </w:rPr>
      </w:pPr>
    </w:p>
    <w:p w:rsidR="00AA29C8" w:rsidRPr="00806023" w:rsidRDefault="00AA29C8" w:rsidP="00AA29C8">
      <w:pPr>
        <w:rPr>
          <w:sz w:val="22"/>
          <w:szCs w:val="22"/>
        </w:rPr>
      </w:pPr>
    </w:p>
    <w:p w:rsidR="00AA29C8" w:rsidRPr="00806023" w:rsidRDefault="00AA29C8" w:rsidP="00AA29C8">
      <w:pPr>
        <w:rPr>
          <w:sz w:val="22"/>
          <w:szCs w:val="22"/>
        </w:rPr>
      </w:pPr>
    </w:p>
    <w:p w:rsidR="00AA29C8" w:rsidRPr="00806023" w:rsidRDefault="00AA29C8" w:rsidP="00AA29C8">
      <w:pPr>
        <w:rPr>
          <w:sz w:val="22"/>
          <w:szCs w:val="22"/>
        </w:rPr>
      </w:pPr>
    </w:p>
    <w:p w:rsidR="00AA29C8" w:rsidRPr="00806023" w:rsidRDefault="00AA29C8" w:rsidP="00AA29C8">
      <w:pPr>
        <w:rPr>
          <w:sz w:val="22"/>
          <w:szCs w:val="22"/>
        </w:rPr>
      </w:pPr>
    </w:p>
    <w:p w:rsidR="00AA29C8" w:rsidRPr="00806023" w:rsidRDefault="00AA29C8" w:rsidP="00AA29C8">
      <w:pPr>
        <w:rPr>
          <w:sz w:val="22"/>
          <w:szCs w:val="22"/>
        </w:rPr>
      </w:pPr>
    </w:p>
    <w:p w:rsidR="00AA29C8" w:rsidRPr="00806023" w:rsidRDefault="00AA29C8" w:rsidP="00AA29C8">
      <w:pPr>
        <w:rPr>
          <w:sz w:val="22"/>
          <w:szCs w:val="22"/>
        </w:rPr>
      </w:pPr>
    </w:p>
    <w:p w:rsidR="00AA29C8" w:rsidRPr="00806023" w:rsidRDefault="00AA29C8" w:rsidP="00AA29C8">
      <w:pPr>
        <w:rPr>
          <w:sz w:val="22"/>
          <w:szCs w:val="22"/>
        </w:rPr>
      </w:pPr>
    </w:p>
    <w:p w:rsidR="00AA29C8" w:rsidRPr="00806023" w:rsidRDefault="00AA29C8" w:rsidP="00AA29C8">
      <w:pPr>
        <w:rPr>
          <w:sz w:val="22"/>
          <w:szCs w:val="22"/>
        </w:rPr>
      </w:pPr>
    </w:p>
    <w:p w:rsidR="00AA29C8" w:rsidRPr="00806023" w:rsidRDefault="00AA29C8" w:rsidP="00AA29C8">
      <w:pPr>
        <w:rPr>
          <w:sz w:val="22"/>
          <w:szCs w:val="22"/>
        </w:rPr>
      </w:pPr>
    </w:p>
    <w:p w:rsidR="00AA29C8" w:rsidRPr="00806023" w:rsidRDefault="00AA29C8" w:rsidP="00AA29C8">
      <w:pPr>
        <w:rPr>
          <w:sz w:val="22"/>
          <w:szCs w:val="22"/>
        </w:rPr>
      </w:pPr>
    </w:p>
    <w:p w:rsidR="00AA29C8" w:rsidRPr="00806023" w:rsidRDefault="00AA29C8" w:rsidP="00AA29C8">
      <w:pPr>
        <w:rPr>
          <w:sz w:val="22"/>
          <w:szCs w:val="22"/>
        </w:rPr>
      </w:pPr>
    </w:p>
    <w:p w:rsidR="00AA29C8" w:rsidRPr="00806023" w:rsidRDefault="00AA29C8" w:rsidP="00AA29C8">
      <w:pPr>
        <w:rPr>
          <w:sz w:val="22"/>
          <w:szCs w:val="22"/>
        </w:rPr>
      </w:pPr>
    </w:p>
    <w:p w:rsidR="00AA29C8" w:rsidRPr="00806023" w:rsidRDefault="00AA29C8" w:rsidP="00AA29C8">
      <w:pPr>
        <w:rPr>
          <w:sz w:val="22"/>
          <w:szCs w:val="22"/>
        </w:rPr>
      </w:pPr>
    </w:p>
    <w:p w:rsidR="00AA29C8" w:rsidRPr="00806023" w:rsidRDefault="00AA29C8" w:rsidP="00AA29C8">
      <w:pPr>
        <w:rPr>
          <w:sz w:val="22"/>
          <w:szCs w:val="22"/>
        </w:rPr>
      </w:pPr>
    </w:p>
    <w:p w:rsidR="00AA29C8" w:rsidRPr="00806023" w:rsidRDefault="00AA29C8" w:rsidP="00AA29C8">
      <w:pPr>
        <w:rPr>
          <w:sz w:val="22"/>
          <w:szCs w:val="22"/>
        </w:rPr>
      </w:pPr>
    </w:p>
    <w:p w:rsidR="00AA29C8" w:rsidRPr="00806023" w:rsidRDefault="00AA29C8" w:rsidP="00AA29C8">
      <w:pPr>
        <w:rPr>
          <w:sz w:val="22"/>
          <w:szCs w:val="22"/>
        </w:rPr>
      </w:pPr>
    </w:p>
    <w:p w:rsidR="00AA29C8" w:rsidRPr="00806023" w:rsidRDefault="00AA29C8" w:rsidP="00AA29C8">
      <w:pPr>
        <w:rPr>
          <w:sz w:val="22"/>
          <w:szCs w:val="22"/>
        </w:rPr>
      </w:pPr>
    </w:p>
    <w:p w:rsidR="00612B9E" w:rsidRPr="00806023" w:rsidRDefault="002D7E73" w:rsidP="00A34E45">
      <w:pPr>
        <w:rPr>
          <w:rFonts w:eastAsia="Calibri"/>
          <w:b/>
          <w:sz w:val="22"/>
          <w:szCs w:val="22"/>
        </w:rPr>
      </w:pPr>
      <w:r w:rsidRPr="00806023">
        <w:rPr>
          <w:rFonts w:eastAsia="Calibri"/>
          <w:b/>
          <w:sz w:val="22"/>
          <w:szCs w:val="22"/>
        </w:rPr>
        <w:t xml:space="preserve">Other Activities supported by </w:t>
      </w:r>
      <w:r w:rsidR="00612B9E" w:rsidRPr="00806023">
        <w:rPr>
          <w:rFonts w:eastAsia="Calibri"/>
          <w:b/>
          <w:sz w:val="22"/>
          <w:szCs w:val="22"/>
        </w:rPr>
        <w:t>State Leadership Funds</w:t>
      </w:r>
    </w:p>
    <w:p w:rsidR="00A34E45" w:rsidRPr="00806023" w:rsidRDefault="00A34E45" w:rsidP="00A34E45">
      <w:pPr>
        <w:rPr>
          <w:rFonts w:eastAsia="Calibri"/>
          <w:sz w:val="22"/>
          <w:szCs w:val="22"/>
        </w:rPr>
      </w:pPr>
      <w:r w:rsidRPr="00806023">
        <w:rPr>
          <w:rFonts w:eastAsia="Calibri"/>
          <w:sz w:val="22"/>
          <w:szCs w:val="22"/>
        </w:rPr>
        <w:t>The M</w:t>
      </w:r>
      <w:r w:rsidR="00104392" w:rsidRPr="00806023">
        <w:rPr>
          <w:rFonts w:eastAsia="Calibri"/>
          <w:sz w:val="22"/>
          <w:szCs w:val="22"/>
        </w:rPr>
        <w:t xml:space="preserve">ichigan </w:t>
      </w:r>
      <w:r w:rsidRPr="00806023">
        <w:rPr>
          <w:rFonts w:eastAsia="Calibri"/>
          <w:sz w:val="22"/>
          <w:szCs w:val="22"/>
        </w:rPr>
        <w:t>A</w:t>
      </w:r>
      <w:r w:rsidR="00104392" w:rsidRPr="00806023">
        <w:rPr>
          <w:rFonts w:eastAsia="Calibri"/>
          <w:sz w:val="22"/>
          <w:szCs w:val="22"/>
        </w:rPr>
        <w:t xml:space="preserve">dult </w:t>
      </w:r>
      <w:r w:rsidRPr="00806023">
        <w:rPr>
          <w:rFonts w:eastAsia="Calibri"/>
          <w:sz w:val="22"/>
          <w:szCs w:val="22"/>
        </w:rPr>
        <w:t>E</w:t>
      </w:r>
      <w:r w:rsidR="00104392" w:rsidRPr="00806023">
        <w:rPr>
          <w:rFonts w:eastAsia="Calibri"/>
          <w:sz w:val="22"/>
          <w:szCs w:val="22"/>
        </w:rPr>
        <w:t xml:space="preserve">ducation </w:t>
      </w:r>
      <w:r w:rsidRPr="00806023">
        <w:rPr>
          <w:rFonts w:eastAsia="Calibri"/>
          <w:sz w:val="22"/>
          <w:szCs w:val="22"/>
        </w:rPr>
        <w:t>P</w:t>
      </w:r>
      <w:r w:rsidR="00104392" w:rsidRPr="00806023">
        <w:rPr>
          <w:rFonts w:eastAsia="Calibri"/>
          <w:sz w:val="22"/>
          <w:szCs w:val="22"/>
        </w:rPr>
        <w:t xml:space="preserve">rofessional </w:t>
      </w:r>
      <w:r w:rsidRPr="00806023">
        <w:rPr>
          <w:rFonts w:eastAsia="Calibri"/>
          <w:sz w:val="22"/>
          <w:szCs w:val="22"/>
        </w:rPr>
        <w:t>D</w:t>
      </w:r>
      <w:r w:rsidR="00104392" w:rsidRPr="00806023">
        <w:rPr>
          <w:rFonts w:eastAsia="Calibri"/>
          <w:sz w:val="22"/>
          <w:szCs w:val="22"/>
        </w:rPr>
        <w:t>evelopment (MAEPD)</w:t>
      </w:r>
      <w:r w:rsidRPr="00806023">
        <w:rPr>
          <w:rFonts w:eastAsia="Calibri"/>
          <w:sz w:val="22"/>
          <w:szCs w:val="22"/>
        </w:rPr>
        <w:t xml:space="preserve"> </w:t>
      </w:r>
      <w:r w:rsidR="00AC3B98" w:rsidRPr="00806023">
        <w:rPr>
          <w:rFonts w:eastAsia="Calibri"/>
          <w:sz w:val="22"/>
          <w:szCs w:val="22"/>
        </w:rPr>
        <w:t xml:space="preserve">project </w:t>
      </w:r>
      <w:r w:rsidR="00CF7AE4" w:rsidRPr="00806023">
        <w:rPr>
          <w:rFonts w:eastAsia="Calibri"/>
          <w:sz w:val="22"/>
          <w:szCs w:val="22"/>
        </w:rPr>
        <w:t>achieved its goal for 2013-2014</w:t>
      </w:r>
      <w:r w:rsidRPr="00806023">
        <w:rPr>
          <w:rFonts w:eastAsia="Calibri"/>
          <w:sz w:val="22"/>
          <w:szCs w:val="22"/>
        </w:rPr>
        <w:t xml:space="preserve"> of ensuring that adult educators within the state of Michigan had access to the knowledge, resources, and tools they need to enhance the quality of instruction in their programs thus enabling students to attain their educational and/or employment goals. The MAEPD project developed and delivered a number of professional development activities as well as provided support to adult educators in a variety of areas, including: preparation for transition to 2014 GED </w:t>
      </w:r>
      <w:r w:rsidR="00104392" w:rsidRPr="00806023">
        <w:rPr>
          <w:rFonts w:eastAsia="Calibri"/>
          <w:sz w:val="22"/>
          <w:szCs w:val="22"/>
        </w:rPr>
        <w:t xml:space="preserve">online </w:t>
      </w:r>
      <w:r w:rsidRPr="00806023">
        <w:rPr>
          <w:rFonts w:eastAsia="Calibri"/>
          <w:sz w:val="22"/>
          <w:szCs w:val="22"/>
        </w:rPr>
        <w:t>test</w:t>
      </w:r>
      <w:r w:rsidR="00104392" w:rsidRPr="00806023">
        <w:rPr>
          <w:rFonts w:eastAsia="Calibri"/>
          <w:sz w:val="22"/>
          <w:szCs w:val="22"/>
        </w:rPr>
        <w:t>ing</w:t>
      </w:r>
      <w:r w:rsidRPr="00806023">
        <w:rPr>
          <w:rFonts w:eastAsia="Calibri"/>
          <w:sz w:val="22"/>
          <w:szCs w:val="22"/>
        </w:rPr>
        <w:t>, development of</w:t>
      </w:r>
      <w:r w:rsidR="00C84562" w:rsidRPr="00806023">
        <w:rPr>
          <w:rFonts w:eastAsia="Calibri"/>
          <w:sz w:val="22"/>
          <w:szCs w:val="22"/>
        </w:rPr>
        <w:t xml:space="preserve"> regional</w:t>
      </w:r>
      <w:r w:rsidRPr="00806023">
        <w:rPr>
          <w:rFonts w:eastAsia="Calibri"/>
          <w:sz w:val="22"/>
          <w:szCs w:val="22"/>
        </w:rPr>
        <w:t xml:space="preserve"> collaborative partnerships, and </w:t>
      </w:r>
      <w:r w:rsidR="002A1A3A" w:rsidRPr="00806023">
        <w:rPr>
          <w:rFonts w:eastAsia="Calibri"/>
          <w:sz w:val="22"/>
          <w:szCs w:val="22"/>
        </w:rPr>
        <w:t xml:space="preserve">integrating </w:t>
      </w:r>
      <w:r w:rsidRPr="00806023">
        <w:rPr>
          <w:rFonts w:eastAsia="Calibri"/>
          <w:sz w:val="22"/>
          <w:szCs w:val="22"/>
        </w:rPr>
        <w:t>career pathways</w:t>
      </w:r>
      <w:r w:rsidR="002A1A3A" w:rsidRPr="00806023">
        <w:rPr>
          <w:rFonts w:eastAsia="Calibri"/>
          <w:sz w:val="22"/>
          <w:szCs w:val="22"/>
        </w:rPr>
        <w:t xml:space="preserve"> in</w:t>
      </w:r>
      <w:r w:rsidR="00F52B81" w:rsidRPr="00806023">
        <w:rPr>
          <w:rFonts w:eastAsia="Calibri"/>
          <w:sz w:val="22"/>
          <w:szCs w:val="22"/>
        </w:rPr>
        <w:t>to</w:t>
      </w:r>
      <w:r w:rsidR="002A1A3A" w:rsidRPr="00806023">
        <w:rPr>
          <w:rFonts w:eastAsia="Calibri"/>
          <w:sz w:val="22"/>
          <w:szCs w:val="22"/>
        </w:rPr>
        <w:t xml:space="preserve"> local providers</w:t>
      </w:r>
      <w:r w:rsidR="00804960" w:rsidRPr="00806023">
        <w:rPr>
          <w:rFonts w:eastAsia="Calibri"/>
          <w:sz w:val="22"/>
          <w:szCs w:val="22"/>
        </w:rPr>
        <w:t>’</w:t>
      </w:r>
      <w:r w:rsidR="002A1A3A" w:rsidRPr="00806023">
        <w:rPr>
          <w:rFonts w:eastAsia="Calibri"/>
          <w:sz w:val="22"/>
          <w:szCs w:val="22"/>
        </w:rPr>
        <w:t xml:space="preserve"> curriculum</w:t>
      </w:r>
      <w:r w:rsidRPr="00806023">
        <w:rPr>
          <w:rFonts w:eastAsia="Calibri"/>
          <w:sz w:val="22"/>
          <w:szCs w:val="22"/>
        </w:rPr>
        <w:t>.</w:t>
      </w:r>
    </w:p>
    <w:p w:rsidR="00697DB0" w:rsidRPr="00806023" w:rsidRDefault="00697DB0" w:rsidP="001C7402">
      <w:pPr>
        <w:rPr>
          <w:sz w:val="22"/>
          <w:szCs w:val="22"/>
        </w:rPr>
      </w:pPr>
    </w:p>
    <w:p w:rsidR="001C7402" w:rsidRPr="00806023" w:rsidRDefault="001C7402" w:rsidP="001C7402">
      <w:pPr>
        <w:rPr>
          <w:sz w:val="22"/>
          <w:szCs w:val="22"/>
        </w:rPr>
      </w:pPr>
      <w:r w:rsidRPr="00806023">
        <w:rPr>
          <w:sz w:val="22"/>
          <w:szCs w:val="22"/>
        </w:rPr>
        <w:t>A total of 29 workshops, institutes and conference sessions were conducted in 2013-14.  Those included the following:</w:t>
      </w:r>
    </w:p>
    <w:p w:rsidR="001C7402" w:rsidRPr="00806023" w:rsidRDefault="001C7402" w:rsidP="001C7402">
      <w:pPr>
        <w:pStyle w:val="ListParagraph"/>
        <w:numPr>
          <w:ilvl w:val="0"/>
          <w:numId w:val="44"/>
        </w:numPr>
        <w:rPr>
          <w:rFonts w:ascii="Times New Roman" w:hAnsi="Times New Roman" w:cs="Times New Roman"/>
          <w:sz w:val="22"/>
          <w:szCs w:val="22"/>
        </w:rPr>
      </w:pPr>
      <w:r w:rsidRPr="00806023">
        <w:rPr>
          <w:rFonts w:ascii="Times New Roman" w:hAnsi="Times New Roman" w:cs="Times New Roman"/>
          <w:b/>
          <w:sz w:val="22"/>
          <w:szCs w:val="22"/>
        </w:rPr>
        <w:t>MACAE Conference</w:t>
      </w:r>
      <w:r w:rsidRPr="00806023">
        <w:rPr>
          <w:rFonts w:ascii="Times New Roman" w:hAnsi="Times New Roman" w:cs="Times New Roman"/>
          <w:sz w:val="22"/>
          <w:szCs w:val="22"/>
        </w:rPr>
        <w:t xml:space="preserve"> - </w:t>
      </w:r>
      <w:r w:rsidRPr="00806023">
        <w:rPr>
          <w:rFonts w:ascii="Times New Roman" w:hAnsi="Times New Roman" w:cs="Times New Roman"/>
          <w:i/>
          <w:sz w:val="22"/>
          <w:szCs w:val="22"/>
        </w:rPr>
        <w:t xml:space="preserve">New Director's Training, Parts I &amp; II </w:t>
      </w:r>
      <w:r w:rsidRPr="00806023">
        <w:rPr>
          <w:rFonts w:ascii="Times New Roman" w:hAnsi="Times New Roman" w:cs="Times New Roman"/>
          <w:sz w:val="22"/>
          <w:szCs w:val="22"/>
        </w:rPr>
        <w:t>- a total of 4 face-to-face sessions and one online professional development session</w:t>
      </w:r>
      <w:r w:rsidR="00E82B6C" w:rsidRPr="00806023">
        <w:rPr>
          <w:rFonts w:ascii="Times New Roman" w:hAnsi="Times New Roman" w:cs="Times New Roman"/>
          <w:sz w:val="22"/>
          <w:szCs w:val="22"/>
        </w:rPr>
        <w:t xml:space="preserve"> were conducted</w:t>
      </w:r>
      <w:r w:rsidRPr="00806023">
        <w:rPr>
          <w:rFonts w:ascii="Times New Roman" w:hAnsi="Times New Roman" w:cs="Times New Roman"/>
          <w:sz w:val="22"/>
          <w:szCs w:val="22"/>
        </w:rPr>
        <w:t>. The initial New Directors’ sessions were conducted on September 18, 2013 as part of the MACAE Conference with the follow-up sessions conducted at the Michigan Adult Education and Training Conference in April 2014. Three sessions (including one online session) were provided for new directors hired during the previous 12 m</w:t>
      </w:r>
      <w:r w:rsidR="00E82B6C" w:rsidRPr="00806023">
        <w:rPr>
          <w:rFonts w:ascii="Times New Roman" w:hAnsi="Times New Roman" w:cs="Times New Roman"/>
          <w:sz w:val="22"/>
          <w:szCs w:val="22"/>
        </w:rPr>
        <w:t>onths. There were twenty-two (22</w:t>
      </w:r>
      <w:r w:rsidRPr="00806023">
        <w:rPr>
          <w:rFonts w:ascii="Times New Roman" w:hAnsi="Times New Roman" w:cs="Times New Roman"/>
          <w:sz w:val="22"/>
          <w:szCs w:val="22"/>
        </w:rPr>
        <w:t>) new directors participating in the Year 1 sessions. Two sessions were provided for new directors who are in their second year of servi</w:t>
      </w:r>
      <w:r w:rsidR="00E82B6C" w:rsidRPr="00806023">
        <w:rPr>
          <w:rFonts w:ascii="Times New Roman" w:hAnsi="Times New Roman" w:cs="Times New Roman"/>
          <w:sz w:val="22"/>
          <w:szCs w:val="22"/>
        </w:rPr>
        <w:t>ce as adult educators. Eight (8</w:t>
      </w:r>
      <w:r w:rsidRPr="00806023">
        <w:rPr>
          <w:rFonts w:ascii="Times New Roman" w:hAnsi="Times New Roman" w:cs="Times New Roman"/>
          <w:sz w:val="22"/>
          <w:szCs w:val="22"/>
        </w:rPr>
        <w:t xml:space="preserve">) new directors participated in Year 2 activities. </w:t>
      </w:r>
      <w:r w:rsidRPr="00806023">
        <w:rPr>
          <w:rFonts w:ascii="Times New Roman" w:hAnsi="Times New Roman" w:cs="Times New Roman"/>
          <w:i/>
          <w:sz w:val="22"/>
          <w:szCs w:val="22"/>
        </w:rPr>
        <w:t>Total</w:t>
      </w:r>
      <w:r w:rsidR="00E82B6C" w:rsidRPr="00806023">
        <w:rPr>
          <w:rFonts w:ascii="Times New Roman" w:hAnsi="Times New Roman" w:cs="Times New Roman"/>
          <w:i/>
          <w:sz w:val="22"/>
          <w:szCs w:val="22"/>
        </w:rPr>
        <w:t xml:space="preserve"> participants – 30</w:t>
      </w:r>
      <w:r w:rsidRPr="00806023">
        <w:rPr>
          <w:rFonts w:ascii="Times New Roman" w:hAnsi="Times New Roman" w:cs="Times New Roman"/>
          <w:i/>
          <w:sz w:val="22"/>
          <w:szCs w:val="22"/>
        </w:rPr>
        <w:t>.</w:t>
      </w:r>
    </w:p>
    <w:p w:rsidR="001C7402" w:rsidRPr="00806023" w:rsidRDefault="001C7402" w:rsidP="001C7402">
      <w:pPr>
        <w:pStyle w:val="ListParagraph"/>
        <w:numPr>
          <w:ilvl w:val="1"/>
          <w:numId w:val="44"/>
        </w:numPr>
        <w:rPr>
          <w:rFonts w:ascii="Times New Roman" w:hAnsi="Times New Roman" w:cs="Times New Roman"/>
          <w:sz w:val="22"/>
          <w:szCs w:val="22"/>
        </w:rPr>
      </w:pPr>
      <w:r w:rsidRPr="00806023">
        <w:rPr>
          <w:rFonts w:ascii="Times New Roman" w:hAnsi="Times New Roman" w:cs="Times New Roman"/>
          <w:sz w:val="22"/>
          <w:szCs w:val="22"/>
        </w:rPr>
        <w:t xml:space="preserve">Other sessions that were presented at the MACAE Conference delivered by adult education staff included MAERS training, College &amp; Career Readiness Standards training, and a state update.  </w:t>
      </w:r>
      <w:r w:rsidRPr="00806023">
        <w:rPr>
          <w:rFonts w:ascii="Times New Roman" w:hAnsi="Times New Roman" w:cs="Times New Roman"/>
          <w:i/>
          <w:sz w:val="22"/>
          <w:szCs w:val="22"/>
        </w:rPr>
        <w:t>Total participants – 130</w:t>
      </w:r>
    </w:p>
    <w:p w:rsidR="001C7402" w:rsidRPr="00806023" w:rsidRDefault="001C7402" w:rsidP="001C7402">
      <w:pPr>
        <w:pStyle w:val="ListParagraph"/>
        <w:ind w:left="1440"/>
        <w:rPr>
          <w:rFonts w:ascii="Times New Roman" w:hAnsi="Times New Roman" w:cs="Times New Roman"/>
          <w:sz w:val="22"/>
          <w:szCs w:val="22"/>
        </w:rPr>
      </w:pPr>
    </w:p>
    <w:p w:rsidR="001C7402" w:rsidRPr="00806023" w:rsidRDefault="001C7402" w:rsidP="001C7402">
      <w:pPr>
        <w:pStyle w:val="ListParagraph"/>
        <w:numPr>
          <w:ilvl w:val="0"/>
          <w:numId w:val="44"/>
        </w:numPr>
        <w:spacing w:after="0" w:line="240" w:lineRule="auto"/>
        <w:rPr>
          <w:rFonts w:ascii="Times New Roman" w:hAnsi="Times New Roman" w:cs="Times New Roman"/>
          <w:i/>
          <w:sz w:val="22"/>
          <w:szCs w:val="22"/>
        </w:rPr>
      </w:pPr>
      <w:r w:rsidRPr="00806023">
        <w:rPr>
          <w:rFonts w:ascii="Times New Roman" w:hAnsi="Times New Roman" w:cs="Times New Roman"/>
          <w:b/>
          <w:sz w:val="22"/>
          <w:szCs w:val="22"/>
        </w:rPr>
        <w:t>CASAS Certification training</w:t>
      </w:r>
      <w:r w:rsidRPr="00806023">
        <w:rPr>
          <w:rFonts w:ascii="Times New Roman" w:hAnsi="Times New Roman" w:cs="Times New Roman"/>
          <w:sz w:val="22"/>
          <w:szCs w:val="22"/>
        </w:rPr>
        <w:t xml:space="preserve"> -  was provided on November 22, 2013 (27 Participants) and then again on January 24, 2014 (11 Participants). This training was conducted for programs that needed either a refresher on </w:t>
      </w:r>
      <w:r w:rsidR="00E82B6C" w:rsidRPr="00806023">
        <w:rPr>
          <w:rFonts w:ascii="Times New Roman" w:hAnsi="Times New Roman" w:cs="Times New Roman"/>
          <w:sz w:val="22"/>
          <w:szCs w:val="22"/>
        </w:rPr>
        <w:t xml:space="preserve">the </w:t>
      </w:r>
      <w:r w:rsidRPr="00806023">
        <w:rPr>
          <w:rFonts w:ascii="Times New Roman" w:hAnsi="Times New Roman" w:cs="Times New Roman"/>
          <w:sz w:val="22"/>
          <w:szCs w:val="22"/>
        </w:rPr>
        <w:t>implementation of CASAS</w:t>
      </w:r>
      <w:r w:rsidR="00E82B6C" w:rsidRPr="00806023">
        <w:rPr>
          <w:rFonts w:ascii="Times New Roman" w:hAnsi="Times New Roman" w:cs="Times New Roman"/>
          <w:sz w:val="22"/>
          <w:szCs w:val="22"/>
        </w:rPr>
        <w:t>,</w:t>
      </w:r>
      <w:r w:rsidRPr="00806023">
        <w:rPr>
          <w:rFonts w:ascii="Times New Roman" w:hAnsi="Times New Roman" w:cs="Times New Roman"/>
          <w:sz w:val="22"/>
          <w:szCs w:val="22"/>
        </w:rPr>
        <w:t xml:space="preserve"> or for those who had new staff members who required </w:t>
      </w:r>
      <w:r w:rsidRPr="00806023">
        <w:rPr>
          <w:rFonts w:ascii="Times New Roman" w:hAnsi="Times New Roman" w:cs="Times New Roman"/>
          <w:sz w:val="22"/>
          <w:szCs w:val="22"/>
        </w:rPr>
        <w:lastRenderedPageBreak/>
        <w:t xml:space="preserve">training. This training is required in order for local programs to use the Comprehensive Adult Student Assessment System. </w:t>
      </w:r>
      <w:r w:rsidRPr="00806023">
        <w:rPr>
          <w:rFonts w:ascii="Times New Roman" w:hAnsi="Times New Roman" w:cs="Times New Roman"/>
          <w:i/>
          <w:sz w:val="22"/>
          <w:szCs w:val="22"/>
        </w:rPr>
        <w:t>Total participants – 38</w:t>
      </w:r>
    </w:p>
    <w:p w:rsidR="001C7402" w:rsidRPr="00806023" w:rsidRDefault="001C7402" w:rsidP="001C7402">
      <w:pPr>
        <w:pStyle w:val="ListParagraph"/>
        <w:spacing w:after="0" w:line="240" w:lineRule="auto"/>
        <w:rPr>
          <w:rFonts w:ascii="Times New Roman" w:hAnsi="Times New Roman" w:cs="Times New Roman"/>
          <w:i/>
          <w:sz w:val="22"/>
          <w:szCs w:val="22"/>
        </w:rPr>
      </w:pPr>
    </w:p>
    <w:p w:rsidR="00A537D1" w:rsidRPr="00806023" w:rsidRDefault="001C7402" w:rsidP="006D3762">
      <w:pPr>
        <w:pStyle w:val="ListParagraph"/>
        <w:numPr>
          <w:ilvl w:val="0"/>
          <w:numId w:val="44"/>
        </w:numPr>
        <w:rPr>
          <w:rFonts w:ascii="Times New Roman" w:hAnsi="Times New Roman" w:cs="Times New Roman"/>
          <w:sz w:val="22"/>
          <w:szCs w:val="22"/>
        </w:rPr>
      </w:pPr>
      <w:r w:rsidRPr="00806023">
        <w:rPr>
          <w:rFonts w:ascii="Times New Roman" w:hAnsi="Times New Roman" w:cs="Times New Roman"/>
          <w:b/>
          <w:sz w:val="22"/>
          <w:szCs w:val="22"/>
        </w:rPr>
        <w:t>2014 MAETC</w:t>
      </w:r>
      <w:r w:rsidR="00B70E54" w:rsidRPr="00806023">
        <w:rPr>
          <w:rFonts w:ascii="Times New Roman" w:hAnsi="Times New Roman" w:cs="Times New Roman"/>
          <w:sz w:val="22"/>
          <w:szCs w:val="22"/>
        </w:rPr>
        <w:t xml:space="preserve"> - </w:t>
      </w:r>
      <w:r w:rsidRPr="00806023">
        <w:rPr>
          <w:rFonts w:ascii="Times New Roman" w:hAnsi="Times New Roman" w:cs="Times New Roman"/>
          <w:sz w:val="22"/>
          <w:szCs w:val="22"/>
        </w:rPr>
        <w:t>The focus of th</w:t>
      </w:r>
      <w:r w:rsidR="00B70E54" w:rsidRPr="00806023">
        <w:rPr>
          <w:rFonts w:ascii="Times New Roman" w:hAnsi="Times New Roman" w:cs="Times New Roman"/>
          <w:sz w:val="22"/>
          <w:szCs w:val="22"/>
        </w:rPr>
        <w:t>e</w:t>
      </w:r>
      <w:r w:rsidRPr="00806023">
        <w:rPr>
          <w:rFonts w:ascii="Times New Roman" w:hAnsi="Times New Roman" w:cs="Times New Roman"/>
          <w:sz w:val="22"/>
          <w:szCs w:val="22"/>
        </w:rPr>
        <w:t xml:space="preserve"> annual confer</w:t>
      </w:r>
      <w:r w:rsidR="00E82B6C" w:rsidRPr="00806023">
        <w:rPr>
          <w:rFonts w:ascii="Times New Roman" w:hAnsi="Times New Roman" w:cs="Times New Roman"/>
          <w:sz w:val="22"/>
          <w:szCs w:val="22"/>
        </w:rPr>
        <w:t xml:space="preserve">ence was more on </w:t>
      </w:r>
      <w:r w:rsidR="00B70E54" w:rsidRPr="00806023">
        <w:rPr>
          <w:rFonts w:ascii="Times New Roman" w:hAnsi="Times New Roman" w:cs="Times New Roman"/>
          <w:sz w:val="22"/>
          <w:szCs w:val="22"/>
        </w:rPr>
        <w:t xml:space="preserve">instruction and </w:t>
      </w:r>
      <w:r w:rsidR="00E82B6C" w:rsidRPr="00806023">
        <w:rPr>
          <w:rFonts w:ascii="Times New Roman" w:hAnsi="Times New Roman" w:cs="Times New Roman"/>
          <w:sz w:val="22"/>
          <w:szCs w:val="22"/>
        </w:rPr>
        <w:t>the instructor.  T</w:t>
      </w:r>
      <w:r w:rsidRPr="00806023">
        <w:rPr>
          <w:rFonts w:ascii="Times New Roman" w:hAnsi="Times New Roman" w:cs="Times New Roman"/>
          <w:sz w:val="22"/>
          <w:szCs w:val="22"/>
        </w:rPr>
        <w:t>eacher specific trainings were conducted in intensive sessions that included several sessions over a half day.  A total of 413 adult educators, workforce development staff, and representatives from community based organizations attended the 2014 MAETC.</w:t>
      </w:r>
    </w:p>
    <w:p w:rsidR="004C3C07" w:rsidRPr="00806023" w:rsidRDefault="004C3C07" w:rsidP="004C3C07">
      <w:pPr>
        <w:pStyle w:val="ListParagraph"/>
        <w:rPr>
          <w:rFonts w:ascii="Times New Roman" w:hAnsi="Times New Roman" w:cs="Times New Roman"/>
          <w:sz w:val="22"/>
          <w:szCs w:val="22"/>
        </w:rPr>
      </w:pPr>
    </w:p>
    <w:p w:rsidR="004C3C07" w:rsidRPr="00806023" w:rsidRDefault="004C3C07" w:rsidP="004C3C07">
      <w:pPr>
        <w:pStyle w:val="ListParagraph"/>
        <w:numPr>
          <w:ilvl w:val="0"/>
          <w:numId w:val="44"/>
        </w:numPr>
        <w:rPr>
          <w:rFonts w:ascii="Times New Roman" w:hAnsi="Times New Roman" w:cs="Times New Roman"/>
          <w:sz w:val="22"/>
          <w:szCs w:val="22"/>
        </w:rPr>
      </w:pPr>
      <w:r w:rsidRPr="00806023">
        <w:rPr>
          <w:rFonts w:ascii="Times New Roman" w:hAnsi="Times New Roman" w:cs="Times New Roman"/>
          <w:sz w:val="22"/>
          <w:szCs w:val="22"/>
        </w:rPr>
        <w:t xml:space="preserve">At the state conference (2014 MAETC), </w:t>
      </w:r>
      <w:r w:rsidR="00B70E54" w:rsidRPr="00806023">
        <w:rPr>
          <w:rFonts w:ascii="Times New Roman" w:hAnsi="Times New Roman" w:cs="Times New Roman"/>
          <w:sz w:val="22"/>
          <w:szCs w:val="22"/>
        </w:rPr>
        <w:t>9</w:t>
      </w:r>
      <w:r w:rsidRPr="00806023">
        <w:rPr>
          <w:rFonts w:ascii="Times New Roman" w:hAnsi="Times New Roman" w:cs="Times New Roman"/>
          <w:sz w:val="22"/>
          <w:szCs w:val="22"/>
        </w:rPr>
        <w:t xml:space="preserve"> literacy-specific breakout sessions and many additional sessions for learning disabilities training, lower level ESL and ABE instruction were off</w:t>
      </w:r>
      <w:r w:rsidR="00B70E54" w:rsidRPr="00806023">
        <w:rPr>
          <w:rFonts w:ascii="Times New Roman" w:hAnsi="Times New Roman" w:cs="Times New Roman"/>
          <w:sz w:val="22"/>
          <w:szCs w:val="22"/>
        </w:rPr>
        <w:t>ered. 10</w:t>
      </w:r>
      <w:r w:rsidRPr="00806023">
        <w:rPr>
          <w:rFonts w:ascii="Times New Roman" w:hAnsi="Times New Roman" w:cs="Times New Roman"/>
          <w:sz w:val="22"/>
          <w:szCs w:val="22"/>
        </w:rPr>
        <w:t xml:space="preserve"> literacy tutors and administrators were able to attend the 2014 MAETC th</w:t>
      </w:r>
      <w:r w:rsidR="00B70E54" w:rsidRPr="00806023">
        <w:rPr>
          <w:rFonts w:ascii="Times New Roman" w:hAnsi="Times New Roman" w:cs="Times New Roman"/>
          <w:sz w:val="22"/>
          <w:szCs w:val="22"/>
        </w:rPr>
        <w:t>rough a special project</w:t>
      </w:r>
      <w:r w:rsidRPr="00806023">
        <w:rPr>
          <w:rFonts w:ascii="Times New Roman" w:hAnsi="Times New Roman" w:cs="Times New Roman"/>
          <w:sz w:val="22"/>
          <w:szCs w:val="22"/>
        </w:rPr>
        <w:t xml:space="preserve"> grant. In all, </w:t>
      </w:r>
      <w:r w:rsidR="00B70E54" w:rsidRPr="00806023">
        <w:rPr>
          <w:rFonts w:ascii="Times New Roman" w:hAnsi="Times New Roman" w:cs="Times New Roman"/>
          <w:sz w:val="22"/>
          <w:szCs w:val="22"/>
        </w:rPr>
        <w:t>1,008</w:t>
      </w:r>
      <w:r w:rsidRPr="00806023">
        <w:rPr>
          <w:rFonts w:ascii="Times New Roman" w:hAnsi="Times New Roman" w:cs="Times New Roman"/>
          <w:sz w:val="22"/>
          <w:szCs w:val="22"/>
        </w:rPr>
        <w:t xml:space="preserve"> adult educators were served through face-to-face professional development activities (workshops, statewide conferences and sessions) conducted during 2013-2014.</w:t>
      </w:r>
    </w:p>
    <w:p w:rsidR="00A537D1" w:rsidRPr="00806023" w:rsidRDefault="00A537D1" w:rsidP="00A537D1">
      <w:pPr>
        <w:numPr>
          <w:ilvl w:val="0"/>
          <w:numId w:val="44"/>
        </w:numPr>
        <w:rPr>
          <w:sz w:val="22"/>
          <w:szCs w:val="22"/>
        </w:rPr>
      </w:pPr>
      <w:r w:rsidRPr="00806023">
        <w:rPr>
          <w:sz w:val="22"/>
          <w:szCs w:val="22"/>
        </w:rPr>
        <w:t>The Fall ESL Workshop (2013) speaker was Gwen McIntyre, “Discovering Fun Activities to Use with Your ESL Students.”  Also featured were afternoon break-out sessions: “Navigating the Immigration Process” with Frank Castria, USCIS-Detroit, “Learning to Use the TABE CLAS-E” with Aaron Hartman, Representative, CTB/McGraw Hill and “Vocabulary Games” with Gwen McIntyre.  There were 110 participants.      </w:t>
      </w:r>
    </w:p>
    <w:p w:rsidR="00A537D1" w:rsidRPr="00806023" w:rsidRDefault="00A537D1" w:rsidP="006D3762">
      <w:pPr>
        <w:ind w:left="360"/>
        <w:rPr>
          <w:sz w:val="22"/>
          <w:szCs w:val="22"/>
        </w:rPr>
      </w:pPr>
    </w:p>
    <w:p w:rsidR="001C7402" w:rsidRPr="00806023" w:rsidRDefault="001C7402" w:rsidP="001C7402">
      <w:pPr>
        <w:pStyle w:val="NoSpacing"/>
        <w:numPr>
          <w:ilvl w:val="0"/>
          <w:numId w:val="45"/>
        </w:numPr>
        <w:ind w:left="720"/>
        <w:rPr>
          <w:rFonts w:ascii="Times New Roman" w:eastAsiaTheme="minorHAnsi" w:hAnsi="Times New Roman" w:cs="Times New Roman"/>
          <w:sz w:val="22"/>
          <w:szCs w:val="22"/>
        </w:rPr>
      </w:pPr>
      <w:r w:rsidRPr="00806023">
        <w:rPr>
          <w:rFonts w:ascii="Times New Roman" w:eastAsiaTheme="minorHAnsi" w:hAnsi="Times New Roman" w:cs="Times New Roman"/>
          <w:b/>
          <w:sz w:val="22"/>
          <w:szCs w:val="22"/>
        </w:rPr>
        <w:t>ESL Advisory Council’s Spring Training Session</w:t>
      </w:r>
      <w:r w:rsidRPr="00806023">
        <w:rPr>
          <w:rFonts w:ascii="Times New Roman" w:hAnsi="Times New Roman" w:cs="Times New Roman"/>
          <w:b/>
          <w:sz w:val="22"/>
          <w:szCs w:val="22"/>
        </w:rPr>
        <w:t xml:space="preserve"> </w:t>
      </w:r>
      <w:r w:rsidRPr="00806023">
        <w:rPr>
          <w:rFonts w:ascii="Times New Roman" w:hAnsi="Times New Roman" w:cs="Times New Roman"/>
          <w:sz w:val="22"/>
          <w:szCs w:val="22"/>
        </w:rPr>
        <w:t xml:space="preserve">- </w:t>
      </w:r>
      <w:r w:rsidRPr="00806023">
        <w:rPr>
          <w:rFonts w:ascii="Times New Roman" w:eastAsiaTheme="minorHAnsi" w:hAnsi="Times New Roman" w:cs="Times New Roman"/>
          <w:sz w:val="22"/>
          <w:szCs w:val="22"/>
        </w:rPr>
        <w:t xml:space="preserve">The focus of the opening session was on exploring myths regarding Common Core State Standards as related to ESL students. Mary Ann Christison conducted the sessions. A total of 61 evaluations were submitted as part of the project. </w:t>
      </w:r>
      <w:r w:rsidRPr="00806023">
        <w:rPr>
          <w:rFonts w:ascii="Times New Roman" w:eastAsiaTheme="minorHAnsi" w:hAnsi="Times New Roman" w:cs="Times New Roman"/>
          <w:i/>
          <w:sz w:val="22"/>
          <w:szCs w:val="22"/>
        </w:rPr>
        <w:t>Total participants – 61</w:t>
      </w:r>
    </w:p>
    <w:p w:rsidR="00CE388E" w:rsidRPr="00806023" w:rsidRDefault="00A537D1" w:rsidP="00F1639E">
      <w:pPr>
        <w:pStyle w:val="NormalWeb"/>
        <w:numPr>
          <w:ilvl w:val="0"/>
          <w:numId w:val="40"/>
        </w:numPr>
        <w:rPr>
          <w:sz w:val="22"/>
          <w:szCs w:val="22"/>
        </w:rPr>
      </w:pPr>
      <w:r w:rsidRPr="00806023">
        <w:rPr>
          <w:sz w:val="22"/>
          <w:szCs w:val="22"/>
        </w:rPr>
        <w:t xml:space="preserve">The </w:t>
      </w:r>
      <w:r w:rsidR="00CE388E" w:rsidRPr="00806023">
        <w:rPr>
          <w:sz w:val="22"/>
          <w:szCs w:val="22"/>
        </w:rPr>
        <w:t>Spring Workshop</w:t>
      </w:r>
      <w:r w:rsidRPr="00806023">
        <w:rPr>
          <w:sz w:val="22"/>
          <w:szCs w:val="22"/>
        </w:rPr>
        <w:t xml:space="preserve"> (2014)</w:t>
      </w:r>
      <w:r w:rsidR="00CE388E" w:rsidRPr="00806023">
        <w:rPr>
          <w:sz w:val="22"/>
          <w:szCs w:val="22"/>
        </w:rPr>
        <w:t xml:space="preserve"> </w:t>
      </w:r>
      <w:r w:rsidR="00B0544D" w:rsidRPr="00806023">
        <w:rPr>
          <w:sz w:val="22"/>
          <w:szCs w:val="22"/>
        </w:rPr>
        <w:t xml:space="preserve">keynote speaker </w:t>
      </w:r>
      <w:r w:rsidR="00CE388E" w:rsidRPr="00806023">
        <w:rPr>
          <w:sz w:val="22"/>
          <w:szCs w:val="22"/>
        </w:rPr>
        <w:t>was Dr. Michael Jones, Branch Chief for the U.S. Department of Education's Division of Adult Education.  His topic was "Exploring the Sounds of Language, “What They Mean, and How to Teach Them”</w:t>
      </w:r>
      <w:r w:rsidRPr="00806023">
        <w:rPr>
          <w:sz w:val="22"/>
          <w:szCs w:val="22"/>
        </w:rPr>
        <w:t>-</w:t>
      </w:r>
      <w:r w:rsidR="00CE388E" w:rsidRPr="00806023">
        <w:rPr>
          <w:sz w:val="22"/>
          <w:szCs w:val="22"/>
        </w:rPr>
        <w:t xml:space="preserve"> a workshop on pronunciation and </w:t>
      </w:r>
      <w:r w:rsidR="00211DA4" w:rsidRPr="00806023">
        <w:rPr>
          <w:sz w:val="22"/>
          <w:szCs w:val="22"/>
        </w:rPr>
        <w:t>a</w:t>
      </w:r>
      <w:r w:rsidR="00CE388E" w:rsidRPr="00806023">
        <w:rPr>
          <w:sz w:val="22"/>
          <w:szCs w:val="22"/>
        </w:rPr>
        <w:t xml:space="preserve">ccent for ESL Teachers.  There were 99 participants.  </w:t>
      </w:r>
    </w:p>
    <w:p w:rsidR="007B08F6" w:rsidRPr="00806023" w:rsidRDefault="007B08F6" w:rsidP="007B08F6">
      <w:pPr>
        <w:pStyle w:val="ListParagraph"/>
        <w:rPr>
          <w:rFonts w:asciiTheme="majorHAnsi" w:hAnsiTheme="majorHAnsi"/>
          <w:b/>
          <w:sz w:val="22"/>
          <w:szCs w:val="22"/>
          <w:u w:val="single"/>
        </w:rPr>
      </w:pPr>
      <w:r w:rsidRPr="00806023">
        <w:rPr>
          <w:rFonts w:asciiTheme="majorHAnsi" w:hAnsiTheme="majorHAnsi"/>
          <w:b/>
          <w:sz w:val="22"/>
          <w:szCs w:val="22"/>
          <w:u w:val="single"/>
        </w:rPr>
        <w:t>Moving Pathways Forward</w:t>
      </w:r>
    </w:p>
    <w:p w:rsidR="007B08F6" w:rsidRPr="00806023" w:rsidRDefault="007B08F6" w:rsidP="007B08F6">
      <w:pPr>
        <w:pStyle w:val="ListParagraph"/>
        <w:numPr>
          <w:ilvl w:val="0"/>
          <w:numId w:val="40"/>
        </w:numPr>
        <w:spacing w:before="120"/>
        <w:rPr>
          <w:rFonts w:asciiTheme="majorHAnsi" w:hAnsiTheme="majorHAnsi"/>
          <w:sz w:val="22"/>
          <w:szCs w:val="22"/>
        </w:rPr>
      </w:pPr>
      <w:r w:rsidRPr="00806023">
        <w:rPr>
          <w:rFonts w:asciiTheme="majorHAnsi" w:hAnsiTheme="majorHAnsi"/>
          <w:sz w:val="22"/>
          <w:szCs w:val="22"/>
        </w:rPr>
        <w:t xml:space="preserve">The Office of Adult Education is excited to be one of the states selected to participate in the </w:t>
      </w:r>
      <w:r w:rsidRPr="00806023">
        <w:rPr>
          <w:rFonts w:asciiTheme="majorHAnsi" w:hAnsiTheme="majorHAnsi"/>
          <w:i/>
          <w:sz w:val="22"/>
          <w:szCs w:val="22"/>
        </w:rPr>
        <w:t xml:space="preserve">Moving Pathways Forward </w:t>
      </w:r>
      <w:r w:rsidRPr="00806023">
        <w:rPr>
          <w:rFonts w:asciiTheme="majorHAnsi" w:hAnsiTheme="majorHAnsi"/>
          <w:sz w:val="22"/>
          <w:szCs w:val="22"/>
        </w:rPr>
        <w:t>initiative sponsored by the USDOE.   The goal is to develop and implement a quality and comprehensive statewide career pathway system.  Because Michigan is a decentralized state with an emphasis on local control, much of the activity to date around career pathways had been fragmented and happening in pockets around the state.  Through this initiative, the conversation, planning, and action will be done cohesively at the state and regional levels.</w:t>
      </w:r>
    </w:p>
    <w:p w:rsidR="007B08F6" w:rsidRPr="00806023" w:rsidRDefault="007B08F6" w:rsidP="007B08F6">
      <w:pPr>
        <w:pStyle w:val="ListParagraph"/>
        <w:numPr>
          <w:ilvl w:val="0"/>
          <w:numId w:val="40"/>
        </w:numPr>
        <w:spacing w:before="120"/>
        <w:rPr>
          <w:rFonts w:asciiTheme="majorHAnsi" w:hAnsiTheme="majorHAnsi"/>
          <w:sz w:val="22"/>
          <w:szCs w:val="22"/>
        </w:rPr>
      </w:pPr>
      <w:r w:rsidRPr="00806023">
        <w:rPr>
          <w:rFonts w:asciiTheme="majorHAnsi" w:hAnsiTheme="majorHAnsi"/>
          <w:sz w:val="22"/>
          <w:szCs w:val="22"/>
        </w:rPr>
        <w:t xml:space="preserve"> The lead coordinator and state director first began meeting with various entities and organizations around the state to learn about current career pathway efforts.  It was encouraging to hear about the breadth of activities currently happening and shared support of the career pathway approach; however, connecting it all into one comprehensive system will be a large task.</w:t>
      </w:r>
    </w:p>
    <w:p w:rsidR="007B08F6" w:rsidRPr="00806023" w:rsidRDefault="007B08F6" w:rsidP="007B08F6">
      <w:pPr>
        <w:pStyle w:val="ListParagraph"/>
        <w:numPr>
          <w:ilvl w:val="0"/>
          <w:numId w:val="40"/>
        </w:numPr>
        <w:spacing w:before="120"/>
        <w:rPr>
          <w:rFonts w:asciiTheme="majorHAnsi" w:hAnsiTheme="majorHAnsi"/>
          <w:sz w:val="22"/>
          <w:szCs w:val="22"/>
        </w:rPr>
      </w:pPr>
      <w:r w:rsidRPr="00806023">
        <w:rPr>
          <w:rFonts w:asciiTheme="majorHAnsi" w:hAnsiTheme="majorHAnsi"/>
          <w:sz w:val="22"/>
          <w:szCs w:val="22"/>
        </w:rPr>
        <w:t>The full implementation of this project will be in 2014-2015.</w:t>
      </w:r>
    </w:p>
    <w:p w:rsidR="00555C35" w:rsidRPr="00806023" w:rsidRDefault="00555C35">
      <w:pPr>
        <w:jc w:val="both"/>
        <w:rPr>
          <w:sz w:val="22"/>
          <w:szCs w:val="22"/>
        </w:rPr>
      </w:pPr>
      <w:r w:rsidRPr="00806023">
        <w:rPr>
          <w:b/>
          <w:bCs/>
          <w:sz w:val="22"/>
          <w:szCs w:val="22"/>
        </w:rPr>
        <w:t>Program: Institutional</w:t>
      </w:r>
      <w:r w:rsidRPr="00806023">
        <w:rPr>
          <w:sz w:val="22"/>
          <w:szCs w:val="22"/>
        </w:rPr>
        <w:t xml:space="preserve">  </w:t>
      </w:r>
    </w:p>
    <w:p w:rsidR="00A00662" w:rsidRPr="00806023" w:rsidRDefault="00E94E82" w:rsidP="000F3846">
      <w:pPr>
        <w:rPr>
          <w:sz w:val="22"/>
          <w:szCs w:val="22"/>
        </w:rPr>
      </w:pPr>
      <w:r w:rsidRPr="00806023">
        <w:rPr>
          <w:sz w:val="22"/>
          <w:szCs w:val="22"/>
        </w:rPr>
        <w:t xml:space="preserve">In </w:t>
      </w:r>
      <w:r w:rsidR="0054219B" w:rsidRPr="00806023">
        <w:rPr>
          <w:sz w:val="22"/>
          <w:szCs w:val="22"/>
        </w:rPr>
        <w:t>201</w:t>
      </w:r>
      <w:r w:rsidR="008F631D" w:rsidRPr="00806023">
        <w:rPr>
          <w:sz w:val="22"/>
          <w:szCs w:val="22"/>
        </w:rPr>
        <w:t>3</w:t>
      </w:r>
      <w:r w:rsidR="0054219B" w:rsidRPr="00806023">
        <w:rPr>
          <w:sz w:val="22"/>
          <w:szCs w:val="22"/>
        </w:rPr>
        <w:t>-201</w:t>
      </w:r>
      <w:r w:rsidR="008F631D" w:rsidRPr="00806023">
        <w:rPr>
          <w:sz w:val="22"/>
          <w:szCs w:val="22"/>
        </w:rPr>
        <w:t>4</w:t>
      </w:r>
      <w:r w:rsidRPr="00806023">
        <w:rPr>
          <w:sz w:val="22"/>
          <w:szCs w:val="22"/>
        </w:rPr>
        <w:t xml:space="preserve"> </w:t>
      </w:r>
      <w:r w:rsidR="00555C35" w:rsidRPr="00806023">
        <w:rPr>
          <w:sz w:val="22"/>
          <w:szCs w:val="22"/>
        </w:rPr>
        <w:t xml:space="preserve">Michigan </w:t>
      </w:r>
      <w:r w:rsidR="00B0776D" w:rsidRPr="00806023">
        <w:rPr>
          <w:sz w:val="22"/>
          <w:szCs w:val="22"/>
        </w:rPr>
        <w:t>allocated</w:t>
      </w:r>
      <w:r w:rsidR="00555C35" w:rsidRPr="00806023">
        <w:rPr>
          <w:sz w:val="22"/>
          <w:szCs w:val="22"/>
        </w:rPr>
        <w:t xml:space="preserve"> the </w:t>
      </w:r>
      <w:r w:rsidR="00B0776D" w:rsidRPr="00806023">
        <w:rPr>
          <w:sz w:val="22"/>
          <w:szCs w:val="22"/>
        </w:rPr>
        <w:t>maximum</w:t>
      </w:r>
      <w:r w:rsidR="00555C35" w:rsidRPr="00806023">
        <w:rPr>
          <w:sz w:val="22"/>
          <w:szCs w:val="22"/>
        </w:rPr>
        <w:t xml:space="preserve"> amount </w:t>
      </w:r>
      <w:r w:rsidR="0067461A" w:rsidRPr="00806023">
        <w:rPr>
          <w:sz w:val="22"/>
          <w:szCs w:val="22"/>
        </w:rPr>
        <w:t xml:space="preserve">(10%) </w:t>
      </w:r>
      <w:r w:rsidR="00555C35" w:rsidRPr="00806023">
        <w:rPr>
          <w:sz w:val="22"/>
          <w:szCs w:val="22"/>
        </w:rPr>
        <w:t>authoriz</w:t>
      </w:r>
      <w:r w:rsidR="00072F9A" w:rsidRPr="00806023">
        <w:rPr>
          <w:sz w:val="22"/>
          <w:szCs w:val="22"/>
        </w:rPr>
        <w:t>ed</w:t>
      </w:r>
      <w:r w:rsidR="00555C35" w:rsidRPr="00806023">
        <w:rPr>
          <w:sz w:val="22"/>
          <w:szCs w:val="22"/>
        </w:rPr>
        <w:t xml:space="preserve"> by Section 225</w:t>
      </w:r>
      <w:r w:rsidR="000B3139" w:rsidRPr="00806023">
        <w:rPr>
          <w:sz w:val="22"/>
          <w:szCs w:val="22"/>
        </w:rPr>
        <w:t xml:space="preserve"> to correctional education.</w:t>
      </w:r>
      <w:r w:rsidR="00D87F20" w:rsidRPr="00806023">
        <w:rPr>
          <w:sz w:val="22"/>
          <w:szCs w:val="22"/>
        </w:rPr>
        <w:t xml:space="preserve"> Thirty two</w:t>
      </w:r>
      <w:r w:rsidR="009B1ECB" w:rsidRPr="00806023">
        <w:rPr>
          <w:sz w:val="22"/>
          <w:szCs w:val="22"/>
        </w:rPr>
        <w:t xml:space="preserve"> county jails and state correctional facilities</w:t>
      </w:r>
      <w:r w:rsidR="00555C35" w:rsidRPr="00806023">
        <w:rPr>
          <w:sz w:val="22"/>
          <w:szCs w:val="22"/>
        </w:rPr>
        <w:t xml:space="preserve"> received $</w:t>
      </w:r>
      <w:r w:rsidR="00050778" w:rsidRPr="00806023">
        <w:rPr>
          <w:sz w:val="22"/>
          <w:szCs w:val="22"/>
        </w:rPr>
        <w:t>984,650</w:t>
      </w:r>
      <w:r w:rsidR="00344FDD" w:rsidRPr="00806023">
        <w:rPr>
          <w:sz w:val="22"/>
          <w:szCs w:val="22"/>
        </w:rPr>
        <w:t>.</w:t>
      </w:r>
      <w:r w:rsidR="00B21D1B" w:rsidRPr="00806023">
        <w:rPr>
          <w:sz w:val="22"/>
          <w:szCs w:val="22"/>
        </w:rPr>
        <w:t xml:space="preserve"> </w:t>
      </w:r>
      <w:r w:rsidR="00344FDD" w:rsidRPr="00806023">
        <w:rPr>
          <w:sz w:val="22"/>
          <w:szCs w:val="22"/>
        </w:rPr>
        <w:t>S</w:t>
      </w:r>
      <w:r w:rsidR="00555C35" w:rsidRPr="00806023">
        <w:rPr>
          <w:sz w:val="22"/>
          <w:szCs w:val="22"/>
        </w:rPr>
        <w:t xml:space="preserve">tate correctional facilities </w:t>
      </w:r>
      <w:r w:rsidR="00FC3AB0" w:rsidRPr="00806023">
        <w:rPr>
          <w:sz w:val="22"/>
          <w:szCs w:val="22"/>
        </w:rPr>
        <w:t xml:space="preserve">are </w:t>
      </w:r>
      <w:r w:rsidR="00555C35" w:rsidRPr="00806023">
        <w:rPr>
          <w:sz w:val="22"/>
          <w:szCs w:val="22"/>
        </w:rPr>
        <w:t xml:space="preserve">operated by the Michigan Department of Corrections </w:t>
      </w:r>
      <w:r w:rsidR="0050443C" w:rsidRPr="00806023">
        <w:rPr>
          <w:sz w:val="22"/>
          <w:szCs w:val="22"/>
        </w:rPr>
        <w:t xml:space="preserve">(MDOC) </w:t>
      </w:r>
      <w:r w:rsidR="00555C35" w:rsidRPr="00806023">
        <w:rPr>
          <w:sz w:val="22"/>
          <w:szCs w:val="22"/>
        </w:rPr>
        <w:t xml:space="preserve">for adults and the Michigan Department of Human Services </w:t>
      </w:r>
      <w:r w:rsidR="00FC3AB0" w:rsidRPr="00806023">
        <w:rPr>
          <w:sz w:val="22"/>
          <w:szCs w:val="22"/>
        </w:rPr>
        <w:t xml:space="preserve">(DHS) </w:t>
      </w:r>
      <w:r w:rsidR="00555C35" w:rsidRPr="00806023">
        <w:rPr>
          <w:sz w:val="22"/>
          <w:szCs w:val="22"/>
        </w:rPr>
        <w:t>for youth. Othe</w:t>
      </w:r>
      <w:r w:rsidR="00A00EC0" w:rsidRPr="00806023">
        <w:rPr>
          <w:sz w:val="22"/>
          <w:szCs w:val="22"/>
        </w:rPr>
        <w:t>r eligible institutions include</w:t>
      </w:r>
      <w:r w:rsidR="00555C35" w:rsidRPr="00806023">
        <w:rPr>
          <w:sz w:val="22"/>
          <w:szCs w:val="22"/>
        </w:rPr>
        <w:t xml:space="preserve"> reformatories, work farms, detention </w:t>
      </w:r>
      <w:r w:rsidR="00555C35" w:rsidRPr="00806023">
        <w:rPr>
          <w:sz w:val="22"/>
          <w:szCs w:val="22"/>
        </w:rPr>
        <w:lastRenderedPageBreak/>
        <w:t xml:space="preserve">centers, halfway houses, boot </w:t>
      </w:r>
      <w:r w:rsidR="00211806" w:rsidRPr="00806023">
        <w:rPr>
          <w:sz w:val="22"/>
          <w:szCs w:val="22"/>
        </w:rPr>
        <w:t>camps</w:t>
      </w:r>
      <w:r w:rsidR="009F2BA0" w:rsidRPr="00806023">
        <w:rPr>
          <w:sz w:val="22"/>
          <w:szCs w:val="22"/>
        </w:rPr>
        <w:t>,</w:t>
      </w:r>
      <w:r w:rsidR="00211806" w:rsidRPr="00806023">
        <w:rPr>
          <w:sz w:val="22"/>
          <w:szCs w:val="22"/>
        </w:rPr>
        <w:t xml:space="preserve"> and</w:t>
      </w:r>
      <w:r w:rsidR="00555C35" w:rsidRPr="00806023">
        <w:rPr>
          <w:sz w:val="22"/>
          <w:szCs w:val="22"/>
        </w:rPr>
        <w:t xml:space="preserve"> similar institutions designed for the confinement or rehabilitation of criminal offenders.</w:t>
      </w:r>
      <w:r w:rsidR="00B21D1B" w:rsidRPr="00806023">
        <w:rPr>
          <w:sz w:val="22"/>
          <w:szCs w:val="22"/>
        </w:rPr>
        <w:t xml:space="preserve"> </w:t>
      </w:r>
    </w:p>
    <w:p w:rsidR="006E4F1B" w:rsidRPr="00806023" w:rsidRDefault="00A16929" w:rsidP="000F3846">
      <w:pPr>
        <w:rPr>
          <w:sz w:val="22"/>
          <w:szCs w:val="22"/>
        </w:rPr>
      </w:pPr>
      <w:r>
        <w:rPr>
          <w:b/>
          <w:sz w:val="22"/>
          <w:szCs w:val="22"/>
          <w:u w:val="single"/>
        </w:rPr>
        <w:t xml:space="preserve">2013-2014 </w:t>
      </w:r>
      <w:r w:rsidR="0050443C" w:rsidRPr="00806023">
        <w:rPr>
          <w:b/>
          <w:sz w:val="22"/>
          <w:szCs w:val="22"/>
          <w:u w:val="single"/>
        </w:rPr>
        <w:t>MDOC:</w:t>
      </w:r>
      <w:r w:rsidR="00F837DD">
        <w:rPr>
          <w:sz w:val="22"/>
          <w:szCs w:val="22"/>
        </w:rPr>
        <w:t xml:space="preserve"> </w:t>
      </w:r>
      <w:r w:rsidR="008E4FA1" w:rsidRPr="00806023">
        <w:rPr>
          <w:bCs/>
          <w:sz w:val="22"/>
          <w:szCs w:val="22"/>
        </w:rPr>
        <w:t>12,607</w:t>
      </w:r>
      <w:r w:rsidR="00F7273B" w:rsidRPr="00806023">
        <w:rPr>
          <w:sz w:val="22"/>
          <w:szCs w:val="22"/>
        </w:rPr>
        <w:t xml:space="preserve"> </w:t>
      </w:r>
      <w:r w:rsidR="00F837DD">
        <w:rPr>
          <w:sz w:val="22"/>
          <w:szCs w:val="22"/>
        </w:rPr>
        <w:t>i</w:t>
      </w:r>
      <w:r w:rsidR="00F837DD">
        <w:rPr>
          <w:sz w:val="22"/>
          <w:szCs w:val="22"/>
        </w:rPr>
        <w:t>nmates at the state correctional</w:t>
      </w:r>
      <w:r w:rsidR="000F3846" w:rsidRPr="00806023">
        <w:rPr>
          <w:sz w:val="22"/>
          <w:szCs w:val="22"/>
        </w:rPr>
        <w:t xml:space="preserve"> passed </w:t>
      </w:r>
      <w:r w:rsidR="00F837DD">
        <w:rPr>
          <w:sz w:val="22"/>
          <w:szCs w:val="22"/>
        </w:rPr>
        <w:t xml:space="preserve">GED subtests </w:t>
      </w:r>
      <w:r w:rsidR="000F3846" w:rsidRPr="00806023">
        <w:rPr>
          <w:sz w:val="22"/>
          <w:szCs w:val="22"/>
        </w:rPr>
        <w:t>during the program year</w:t>
      </w:r>
      <w:r w:rsidR="0018018C" w:rsidRPr="00806023">
        <w:rPr>
          <w:sz w:val="22"/>
          <w:szCs w:val="22"/>
        </w:rPr>
        <w:t>.</w:t>
      </w:r>
      <w:r w:rsidR="00F97643" w:rsidRPr="00806023">
        <w:rPr>
          <w:sz w:val="22"/>
          <w:szCs w:val="22"/>
        </w:rPr>
        <w:t xml:space="preserve"> </w:t>
      </w:r>
      <w:r w:rsidR="0018018C" w:rsidRPr="00806023">
        <w:rPr>
          <w:sz w:val="22"/>
          <w:szCs w:val="22"/>
        </w:rPr>
        <w:t>Of this number 7,836</w:t>
      </w:r>
      <w:r w:rsidR="00344FDD" w:rsidRPr="00806023">
        <w:rPr>
          <w:sz w:val="22"/>
          <w:szCs w:val="22"/>
        </w:rPr>
        <w:t xml:space="preserve"> were reported </w:t>
      </w:r>
      <w:r w:rsidR="0018018C" w:rsidRPr="00806023">
        <w:rPr>
          <w:sz w:val="22"/>
          <w:szCs w:val="22"/>
        </w:rPr>
        <w:t xml:space="preserve">enrolled </w:t>
      </w:r>
      <w:r w:rsidR="00344FDD" w:rsidRPr="00806023">
        <w:rPr>
          <w:sz w:val="22"/>
          <w:szCs w:val="22"/>
        </w:rPr>
        <w:t xml:space="preserve">in MAERS. </w:t>
      </w:r>
      <w:r w:rsidR="00F47C2F" w:rsidRPr="00806023">
        <w:rPr>
          <w:sz w:val="22"/>
          <w:szCs w:val="22"/>
        </w:rPr>
        <w:t>Final report</w:t>
      </w:r>
      <w:r w:rsidR="00C4639F" w:rsidRPr="00806023">
        <w:rPr>
          <w:sz w:val="22"/>
          <w:szCs w:val="22"/>
        </w:rPr>
        <w:t xml:space="preserve"> obtained from the MDOC </w:t>
      </w:r>
      <w:r w:rsidR="00896435" w:rsidRPr="00806023">
        <w:rPr>
          <w:sz w:val="22"/>
          <w:szCs w:val="22"/>
        </w:rPr>
        <w:t>Offend</w:t>
      </w:r>
      <w:r w:rsidR="00C4639F" w:rsidRPr="00806023">
        <w:rPr>
          <w:sz w:val="22"/>
          <w:szCs w:val="22"/>
        </w:rPr>
        <w:t xml:space="preserve">er </w:t>
      </w:r>
      <w:r w:rsidR="00896435" w:rsidRPr="00806023">
        <w:rPr>
          <w:sz w:val="22"/>
          <w:szCs w:val="22"/>
        </w:rPr>
        <w:t xml:space="preserve">Education Tracking System (OETS) </w:t>
      </w:r>
      <w:r w:rsidR="00F47C2F" w:rsidRPr="00806023">
        <w:rPr>
          <w:sz w:val="22"/>
          <w:szCs w:val="22"/>
        </w:rPr>
        <w:t xml:space="preserve">shows </w:t>
      </w:r>
      <w:r w:rsidR="00F47C2F" w:rsidRPr="00806023">
        <w:rPr>
          <w:b/>
          <w:sz w:val="22"/>
          <w:szCs w:val="22"/>
        </w:rPr>
        <w:t>2,489 inmates obtained GED certificates in 2013-2014.</w:t>
      </w:r>
    </w:p>
    <w:p w:rsidR="00E75D1E" w:rsidRDefault="00E75D1E">
      <w:pPr>
        <w:jc w:val="both"/>
        <w:rPr>
          <w:sz w:val="22"/>
          <w:szCs w:val="22"/>
        </w:rPr>
      </w:pPr>
    </w:p>
    <w:p w:rsidR="00CD74D2" w:rsidRPr="00CD74D2" w:rsidRDefault="00CD74D2">
      <w:pPr>
        <w:jc w:val="both"/>
        <w:rPr>
          <w:b/>
          <w:sz w:val="22"/>
          <w:szCs w:val="22"/>
          <w:u w:val="single"/>
        </w:rPr>
      </w:pPr>
      <w:r w:rsidRPr="00CD74D2">
        <w:rPr>
          <w:b/>
          <w:sz w:val="22"/>
          <w:szCs w:val="22"/>
          <w:u w:val="single"/>
        </w:rPr>
        <w:t>Performance Data Analyses</w:t>
      </w:r>
    </w:p>
    <w:p w:rsidR="00555C35" w:rsidRPr="00806023" w:rsidRDefault="00555C35">
      <w:pPr>
        <w:pStyle w:val="BodyTextIndent"/>
        <w:numPr>
          <w:ilvl w:val="0"/>
          <w:numId w:val="1"/>
        </w:numPr>
        <w:tabs>
          <w:tab w:val="clear" w:pos="720"/>
          <w:tab w:val="left" w:pos="0"/>
        </w:tabs>
        <w:ind w:left="0"/>
        <w:rPr>
          <w:b/>
          <w:bCs/>
          <w:color w:val="auto"/>
          <w:sz w:val="22"/>
          <w:szCs w:val="22"/>
        </w:rPr>
      </w:pPr>
      <w:r w:rsidRPr="00806023">
        <w:rPr>
          <w:b/>
          <w:bCs/>
          <w:color w:val="auto"/>
          <w:sz w:val="22"/>
          <w:szCs w:val="22"/>
        </w:rPr>
        <w:t xml:space="preserve">Describe any significant findings from the evaluation of </w:t>
      </w:r>
      <w:r w:rsidR="00415766" w:rsidRPr="00806023">
        <w:rPr>
          <w:b/>
          <w:bCs/>
          <w:color w:val="auto"/>
          <w:sz w:val="22"/>
          <w:szCs w:val="22"/>
        </w:rPr>
        <w:t xml:space="preserve">your performance data for the reporting period and the efforts to improve </w:t>
      </w:r>
      <w:r w:rsidR="006F21B2" w:rsidRPr="00806023">
        <w:rPr>
          <w:b/>
          <w:bCs/>
          <w:color w:val="auto"/>
          <w:sz w:val="22"/>
          <w:szCs w:val="22"/>
        </w:rPr>
        <w:t xml:space="preserve">outcomes for the </w:t>
      </w:r>
      <w:r w:rsidRPr="00806023">
        <w:rPr>
          <w:b/>
          <w:bCs/>
          <w:color w:val="auto"/>
          <w:sz w:val="22"/>
          <w:szCs w:val="22"/>
        </w:rPr>
        <w:t>core indicators of performance.</w:t>
      </w:r>
    </w:p>
    <w:p w:rsidR="00555C35" w:rsidRPr="00806023" w:rsidRDefault="00555C35">
      <w:pPr>
        <w:pStyle w:val="BodyTextIndent"/>
        <w:tabs>
          <w:tab w:val="left" w:pos="360"/>
        </w:tabs>
        <w:rPr>
          <w:color w:val="auto"/>
          <w:sz w:val="22"/>
          <w:szCs w:val="22"/>
        </w:rPr>
      </w:pPr>
    </w:p>
    <w:p w:rsidR="00555C35" w:rsidRPr="00806023" w:rsidRDefault="00555C35">
      <w:pPr>
        <w:tabs>
          <w:tab w:val="left" w:pos="360"/>
        </w:tabs>
        <w:jc w:val="both"/>
        <w:rPr>
          <w:sz w:val="22"/>
          <w:szCs w:val="22"/>
        </w:rPr>
      </w:pPr>
      <w:r w:rsidRPr="00806023">
        <w:rPr>
          <w:sz w:val="22"/>
          <w:szCs w:val="22"/>
        </w:rPr>
        <w:t>The NRS data tables 4, 4B, and 5 reflect the aggregate participants’ information gathered through the Michigan Adult Education Reporting System (MAERS) that met</w:t>
      </w:r>
      <w:r w:rsidR="00A90DA1" w:rsidRPr="00806023">
        <w:rPr>
          <w:sz w:val="22"/>
          <w:szCs w:val="22"/>
        </w:rPr>
        <w:t xml:space="preserve"> and/or exceeded </w:t>
      </w:r>
      <w:r w:rsidRPr="00806023">
        <w:rPr>
          <w:sz w:val="22"/>
          <w:szCs w:val="22"/>
        </w:rPr>
        <w:t xml:space="preserve">the </w:t>
      </w:r>
      <w:r w:rsidR="00A90DA1" w:rsidRPr="00806023">
        <w:rPr>
          <w:sz w:val="22"/>
          <w:szCs w:val="22"/>
        </w:rPr>
        <w:t>negotiated performance measures</w:t>
      </w:r>
      <w:r w:rsidR="002B3BDE" w:rsidRPr="00806023">
        <w:rPr>
          <w:sz w:val="22"/>
          <w:szCs w:val="22"/>
        </w:rPr>
        <w:t xml:space="preserve"> per the </w:t>
      </w:r>
      <w:r w:rsidRPr="00806023">
        <w:rPr>
          <w:sz w:val="22"/>
          <w:szCs w:val="22"/>
        </w:rPr>
        <w:t xml:space="preserve">National Reporting System (NRS) requirements. </w:t>
      </w:r>
      <w:r w:rsidR="00242CBD" w:rsidRPr="00806023">
        <w:rPr>
          <w:sz w:val="22"/>
          <w:szCs w:val="22"/>
        </w:rPr>
        <w:t>D</w:t>
      </w:r>
      <w:r w:rsidRPr="00806023">
        <w:rPr>
          <w:sz w:val="22"/>
          <w:szCs w:val="22"/>
        </w:rPr>
        <w:t xml:space="preserve">ata tables completed for this report contain information reported during the year of operation </w:t>
      </w:r>
      <w:r w:rsidR="00242CBD" w:rsidRPr="00806023">
        <w:rPr>
          <w:sz w:val="22"/>
          <w:szCs w:val="22"/>
        </w:rPr>
        <w:t>for</w:t>
      </w:r>
      <w:r w:rsidRPr="00806023">
        <w:rPr>
          <w:sz w:val="22"/>
          <w:szCs w:val="22"/>
        </w:rPr>
        <w:t xml:space="preserve"> the data system. </w:t>
      </w:r>
      <w:r w:rsidR="00CE27FA" w:rsidRPr="00806023">
        <w:rPr>
          <w:sz w:val="22"/>
          <w:szCs w:val="22"/>
        </w:rPr>
        <w:t>In-depth</w:t>
      </w:r>
      <w:r w:rsidRPr="00806023">
        <w:rPr>
          <w:sz w:val="22"/>
          <w:szCs w:val="22"/>
        </w:rPr>
        <w:t xml:space="preserve"> data analysis will continue to identify specific system policies and areas that require technical assistance to</w:t>
      </w:r>
      <w:r w:rsidR="00D67031" w:rsidRPr="00806023">
        <w:rPr>
          <w:sz w:val="22"/>
          <w:szCs w:val="22"/>
        </w:rPr>
        <w:t xml:space="preserve"> </w:t>
      </w:r>
      <w:r w:rsidRPr="00806023">
        <w:rPr>
          <w:sz w:val="22"/>
          <w:szCs w:val="22"/>
        </w:rPr>
        <w:t>program providers to improve data quality, reliability and validity.</w:t>
      </w:r>
    </w:p>
    <w:p w:rsidR="00555C35" w:rsidRPr="00806023" w:rsidRDefault="00555C35">
      <w:pPr>
        <w:tabs>
          <w:tab w:val="left" w:pos="0"/>
        </w:tabs>
        <w:jc w:val="both"/>
        <w:rPr>
          <w:sz w:val="22"/>
          <w:szCs w:val="22"/>
        </w:rPr>
      </w:pPr>
    </w:p>
    <w:p w:rsidR="00555C35" w:rsidRPr="00806023" w:rsidRDefault="00555C35">
      <w:pPr>
        <w:tabs>
          <w:tab w:val="left" w:pos="0"/>
        </w:tabs>
        <w:jc w:val="both"/>
        <w:rPr>
          <w:sz w:val="22"/>
          <w:szCs w:val="22"/>
        </w:rPr>
      </w:pPr>
      <w:r w:rsidRPr="00806023">
        <w:rPr>
          <w:sz w:val="22"/>
          <w:szCs w:val="22"/>
        </w:rPr>
        <w:t>The following are a few highlights of the findings based on Tables 4, 4B</w:t>
      </w:r>
      <w:r w:rsidR="00640103" w:rsidRPr="00806023">
        <w:rPr>
          <w:sz w:val="22"/>
          <w:szCs w:val="22"/>
        </w:rPr>
        <w:t>,</w:t>
      </w:r>
      <w:r w:rsidRPr="00806023">
        <w:rPr>
          <w:sz w:val="22"/>
          <w:szCs w:val="22"/>
        </w:rPr>
        <w:t xml:space="preserve"> and 5 respectively, the indicators of performance for the core measures:</w:t>
      </w:r>
    </w:p>
    <w:p w:rsidR="00555C35" w:rsidRPr="00806023" w:rsidRDefault="00555C35">
      <w:pPr>
        <w:tabs>
          <w:tab w:val="left" w:pos="360"/>
        </w:tabs>
        <w:ind w:hanging="360"/>
        <w:rPr>
          <w:sz w:val="22"/>
          <w:szCs w:val="22"/>
        </w:rPr>
      </w:pPr>
    </w:p>
    <w:p w:rsidR="00555C35" w:rsidRPr="00806023" w:rsidRDefault="00555C35">
      <w:pPr>
        <w:pStyle w:val="Heading5"/>
        <w:ind w:left="0"/>
        <w:jc w:val="center"/>
        <w:rPr>
          <w:rFonts w:ascii="Times New Roman" w:hAnsi="Times New Roman" w:cs="Times New Roman"/>
          <w:color w:val="auto"/>
          <w:sz w:val="22"/>
          <w:szCs w:val="22"/>
        </w:rPr>
      </w:pPr>
      <w:r w:rsidRPr="00806023">
        <w:rPr>
          <w:rFonts w:ascii="Times New Roman" w:hAnsi="Times New Roman" w:cs="Times New Roman"/>
          <w:color w:val="auto"/>
          <w:sz w:val="22"/>
          <w:szCs w:val="22"/>
        </w:rPr>
        <w:t xml:space="preserve">Table </w:t>
      </w:r>
      <w:r w:rsidR="00750A19" w:rsidRPr="00806023">
        <w:rPr>
          <w:rFonts w:ascii="Times New Roman" w:hAnsi="Times New Roman" w:cs="Times New Roman"/>
          <w:color w:val="auto"/>
          <w:sz w:val="22"/>
          <w:szCs w:val="22"/>
        </w:rPr>
        <w:t>C</w:t>
      </w:r>
      <w:r w:rsidRPr="00806023">
        <w:rPr>
          <w:rFonts w:ascii="Times New Roman" w:hAnsi="Times New Roman" w:cs="Times New Roman"/>
          <w:color w:val="auto"/>
          <w:sz w:val="22"/>
          <w:szCs w:val="22"/>
        </w:rPr>
        <w:t>:  Michigan Enrollment Trend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3031"/>
        <w:gridCol w:w="2307"/>
        <w:gridCol w:w="2307"/>
      </w:tblGrid>
      <w:tr w:rsidR="00D373A4" w:rsidRPr="00806023" w:rsidTr="00D373A4">
        <w:trPr>
          <w:trHeight w:val="258"/>
        </w:trPr>
        <w:tc>
          <w:tcPr>
            <w:tcW w:w="1235" w:type="pct"/>
          </w:tcPr>
          <w:p w:rsidR="00D373A4" w:rsidRPr="00806023" w:rsidRDefault="00D373A4" w:rsidP="00DD2F18">
            <w:pPr>
              <w:tabs>
                <w:tab w:val="left" w:pos="0"/>
              </w:tabs>
              <w:jc w:val="both"/>
              <w:rPr>
                <w:b/>
                <w:bCs/>
                <w:sz w:val="22"/>
                <w:szCs w:val="22"/>
              </w:rPr>
            </w:pPr>
            <w:r w:rsidRPr="00806023">
              <w:rPr>
                <w:b/>
                <w:bCs/>
                <w:sz w:val="22"/>
                <w:szCs w:val="22"/>
              </w:rPr>
              <w:t>Year</w:t>
            </w:r>
          </w:p>
        </w:tc>
        <w:tc>
          <w:tcPr>
            <w:tcW w:w="1493" w:type="pct"/>
          </w:tcPr>
          <w:p w:rsidR="00D373A4" w:rsidRPr="00806023" w:rsidRDefault="00D373A4" w:rsidP="00DD2F18">
            <w:pPr>
              <w:tabs>
                <w:tab w:val="left" w:pos="0"/>
              </w:tabs>
              <w:jc w:val="both"/>
              <w:rPr>
                <w:b/>
                <w:bCs/>
                <w:sz w:val="22"/>
                <w:szCs w:val="22"/>
              </w:rPr>
            </w:pPr>
            <w:r w:rsidRPr="00806023">
              <w:rPr>
                <w:b/>
                <w:bCs/>
                <w:sz w:val="22"/>
                <w:szCs w:val="22"/>
              </w:rPr>
              <w:t>Enrollment</w:t>
            </w:r>
          </w:p>
        </w:tc>
        <w:tc>
          <w:tcPr>
            <w:tcW w:w="1136" w:type="pct"/>
          </w:tcPr>
          <w:p w:rsidR="00D373A4" w:rsidRPr="00806023" w:rsidRDefault="00D373A4" w:rsidP="00DD2F18">
            <w:pPr>
              <w:tabs>
                <w:tab w:val="left" w:pos="0"/>
              </w:tabs>
              <w:jc w:val="both"/>
              <w:rPr>
                <w:b/>
                <w:bCs/>
                <w:sz w:val="22"/>
                <w:szCs w:val="22"/>
              </w:rPr>
            </w:pPr>
            <w:r>
              <w:rPr>
                <w:b/>
                <w:bCs/>
                <w:sz w:val="22"/>
                <w:szCs w:val="22"/>
              </w:rPr>
              <w:t xml:space="preserve">Year </w:t>
            </w:r>
          </w:p>
        </w:tc>
        <w:tc>
          <w:tcPr>
            <w:tcW w:w="1136" w:type="pct"/>
          </w:tcPr>
          <w:p w:rsidR="00D373A4" w:rsidRPr="00806023" w:rsidRDefault="00D373A4" w:rsidP="00DD2F18">
            <w:pPr>
              <w:tabs>
                <w:tab w:val="left" w:pos="0"/>
              </w:tabs>
              <w:jc w:val="both"/>
              <w:rPr>
                <w:b/>
                <w:bCs/>
                <w:sz w:val="22"/>
                <w:szCs w:val="22"/>
              </w:rPr>
            </w:pPr>
            <w:r>
              <w:rPr>
                <w:b/>
                <w:bCs/>
                <w:sz w:val="22"/>
                <w:szCs w:val="22"/>
              </w:rPr>
              <w:t>Enrollment</w:t>
            </w:r>
          </w:p>
        </w:tc>
      </w:tr>
      <w:tr w:rsidR="00D373A4" w:rsidRPr="00806023" w:rsidTr="00D373A4">
        <w:trPr>
          <w:trHeight w:val="258"/>
        </w:trPr>
        <w:tc>
          <w:tcPr>
            <w:tcW w:w="1235" w:type="pct"/>
          </w:tcPr>
          <w:p w:rsidR="00D373A4" w:rsidRPr="00806023" w:rsidRDefault="00D373A4" w:rsidP="00DD2F18">
            <w:pPr>
              <w:tabs>
                <w:tab w:val="left" w:pos="0"/>
              </w:tabs>
              <w:jc w:val="both"/>
              <w:rPr>
                <w:sz w:val="22"/>
                <w:szCs w:val="22"/>
              </w:rPr>
            </w:pPr>
            <w:r w:rsidRPr="00806023">
              <w:rPr>
                <w:sz w:val="22"/>
                <w:szCs w:val="22"/>
              </w:rPr>
              <w:t>1999/2000</w:t>
            </w:r>
          </w:p>
        </w:tc>
        <w:tc>
          <w:tcPr>
            <w:tcW w:w="1493" w:type="pct"/>
          </w:tcPr>
          <w:p w:rsidR="00D373A4" w:rsidRPr="00806023" w:rsidRDefault="00D373A4" w:rsidP="00DD2F18">
            <w:pPr>
              <w:tabs>
                <w:tab w:val="left" w:pos="0"/>
              </w:tabs>
              <w:jc w:val="both"/>
              <w:rPr>
                <w:sz w:val="22"/>
                <w:szCs w:val="22"/>
              </w:rPr>
            </w:pPr>
            <w:r w:rsidRPr="00806023">
              <w:rPr>
                <w:sz w:val="22"/>
                <w:szCs w:val="22"/>
              </w:rPr>
              <w:t>86,218</w:t>
            </w:r>
          </w:p>
        </w:tc>
        <w:tc>
          <w:tcPr>
            <w:tcW w:w="1136" w:type="pct"/>
          </w:tcPr>
          <w:p w:rsidR="00D373A4" w:rsidRPr="00806023" w:rsidRDefault="00D373A4" w:rsidP="00DD2F18">
            <w:pPr>
              <w:tabs>
                <w:tab w:val="left" w:pos="0"/>
              </w:tabs>
              <w:jc w:val="both"/>
              <w:rPr>
                <w:sz w:val="22"/>
                <w:szCs w:val="22"/>
              </w:rPr>
            </w:pPr>
            <w:r w:rsidRPr="00806023">
              <w:rPr>
                <w:sz w:val="22"/>
                <w:szCs w:val="22"/>
              </w:rPr>
              <w:t>2007-2008</w:t>
            </w:r>
          </w:p>
        </w:tc>
        <w:tc>
          <w:tcPr>
            <w:tcW w:w="1136" w:type="pct"/>
          </w:tcPr>
          <w:p w:rsidR="00D373A4" w:rsidRPr="00806023" w:rsidRDefault="00D373A4" w:rsidP="00DD2F18">
            <w:pPr>
              <w:tabs>
                <w:tab w:val="left" w:pos="0"/>
              </w:tabs>
              <w:jc w:val="both"/>
              <w:rPr>
                <w:sz w:val="22"/>
                <w:szCs w:val="22"/>
              </w:rPr>
            </w:pPr>
            <w:r w:rsidRPr="00806023">
              <w:rPr>
                <w:sz w:val="22"/>
                <w:szCs w:val="22"/>
              </w:rPr>
              <w:t>30,571</w:t>
            </w:r>
          </w:p>
        </w:tc>
      </w:tr>
      <w:tr w:rsidR="00D373A4" w:rsidRPr="00806023" w:rsidTr="00D373A4">
        <w:trPr>
          <w:trHeight w:val="258"/>
        </w:trPr>
        <w:tc>
          <w:tcPr>
            <w:tcW w:w="1235" w:type="pct"/>
          </w:tcPr>
          <w:p w:rsidR="00D373A4" w:rsidRPr="00806023" w:rsidRDefault="00D373A4" w:rsidP="00DD2F18">
            <w:pPr>
              <w:tabs>
                <w:tab w:val="left" w:pos="0"/>
              </w:tabs>
              <w:jc w:val="both"/>
              <w:rPr>
                <w:sz w:val="22"/>
                <w:szCs w:val="22"/>
              </w:rPr>
            </w:pPr>
            <w:r w:rsidRPr="00806023">
              <w:rPr>
                <w:sz w:val="22"/>
                <w:szCs w:val="22"/>
              </w:rPr>
              <w:t>2000/2001</w:t>
            </w:r>
          </w:p>
        </w:tc>
        <w:tc>
          <w:tcPr>
            <w:tcW w:w="1493" w:type="pct"/>
          </w:tcPr>
          <w:p w:rsidR="00D373A4" w:rsidRPr="00806023" w:rsidRDefault="00D373A4" w:rsidP="00DD2F18">
            <w:pPr>
              <w:tabs>
                <w:tab w:val="left" w:pos="0"/>
              </w:tabs>
              <w:jc w:val="both"/>
              <w:rPr>
                <w:sz w:val="22"/>
                <w:szCs w:val="22"/>
              </w:rPr>
            </w:pPr>
            <w:r w:rsidRPr="00806023">
              <w:rPr>
                <w:sz w:val="22"/>
                <w:szCs w:val="22"/>
              </w:rPr>
              <w:t>56,096</w:t>
            </w:r>
          </w:p>
        </w:tc>
        <w:tc>
          <w:tcPr>
            <w:tcW w:w="1136" w:type="pct"/>
          </w:tcPr>
          <w:p w:rsidR="00D373A4" w:rsidRPr="00806023" w:rsidRDefault="00D373A4" w:rsidP="00DD2F18">
            <w:pPr>
              <w:tabs>
                <w:tab w:val="left" w:pos="0"/>
              </w:tabs>
              <w:jc w:val="both"/>
              <w:rPr>
                <w:sz w:val="22"/>
                <w:szCs w:val="22"/>
              </w:rPr>
            </w:pPr>
            <w:r w:rsidRPr="00806023">
              <w:rPr>
                <w:sz w:val="22"/>
                <w:szCs w:val="22"/>
              </w:rPr>
              <w:t>2008-2009</w:t>
            </w:r>
          </w:p>
        </w:tc>
        <w:tc>
          <w:tcPr>
            <w:tcW w:w="1136" w:type="pct"/>
          </w:tcPr>
          <w:p w:rsidR="00D373A4" w:rsidRPr="00806023" w:rsidRDefault="00D373A4" w:rsidP="00DD2F18">
            <w:pPr>
              <w:tabs>
                <w:tab w:val="left" w:pos="0"/>
              </w:tabs>
              <w:jc w:val="both"/>
              <w:rPr>
                <w:sz w:val="22"/>
                <w:szCs w:val="22"/>
              </w:rPr>
            </w:pPr>
            <w:r w:rsidRPr="00806023">
              <w:rPr>
                <w:sz w:val="22"/>
                <w:szCs w:val="22"/>
              </w:rPr>
              <w:t>28,243</w:t>
            </w:r>
          </w:p>
        </w:tc>
      </w:tr>
      <w:tr w:rsidR="00D373A4" w:rsidRPr="00806023" w:rsidTr="00D373A4">
        <w:trPr>
          <w:trHeight w:val="258"/>
        </w:trPr>
        <w:tc>
          <w:tcPr>
            <w:tcW w:w="1235" w:type="pct"/>
          </w:tcPr>
          <w:p w:rsidR="00D373A4" w:rsidRPr="00806023" w:rsidRDefault="00D373A4" w:rsidP="00DD2F18">
            <w:pPr>
              <w:tabs>
                <w:tab w:val="left" w:pos="0"/>
              </w:tabs>
              <w:jc w:val="both"/>
              <w:rPr>
                <w:sz w:val="22"/>
                <w:szCs w:val="22"/>
              </w:rPr>
            </w:pPr>
            <w:r w:rsidRPr="00806023">
              <w:rPr>
                <w:sz w:val="22"/>
                <w:szCs w:val="22"/>
              </w:rPr>
              <w:t>2001/2002</w:t>
            </w:r>
          </w:p>
        </w:tc>
        <w:tc>
          <w:tcPr>
            <w:tcW w:w="1493" w:type="pct"/>
          </w:tcPr>
          <w:p w:rsidR="00D373A4" w:rsidRPr="00806023" w:rsidRDefault="00D373A4" w:rsidP="00DD2F18">
            <w:pPr>
              <w:tabs>
                <w:tab w:val="left" w:pos="0"/>
              </w:tabs>
              <w:jc w:val="both"/>
              <w:rPr>
                <w:sz w:val="22"/>
                <w:szCs w:val="22"/>
              </w:rPr>
            </w:pPr>
            <w:r w:rsidRPr="00806023">
              <w:rPr>
                <w:sz w:val="22"/>
                <w:szCs w:val="22"/>
              </w:rPr>
              <w:t>75,988</w:t>
            </w:r>
          </w:p>
        </w:tc>
        <w:tc>
          <w:tcPr>
            <w:tcW w:w="1136" w:type="pct"/>
          </w:tcPr>
          <w:p w:rsidR="00D373A4" w:rsidRPr="00806023" w:rsidRDefault="00D373A4" w:rsidP="00DD2F18">
            <w:pPr>
              <w:tabs>
                <w:tab w:val="left" w:pos="0"/>
              </w:tabs>
              <w:jc w:val="both"/>
              <w:rPr>
                <w:sz w:val="22"/>
                <w:szCs w:val="22"/>
              </w:rPr>
            </w:pPr>
            <w:r w:rsidRPr="00806023">
              <w:rPr>
                <w:sz w:val="22"/>
                <w:szCs w:val="22"/>
              </w:rPr>
              <w:t>2009-2010</w:t>
            </w:r>
          </w:p>
        </w:tc>
        <w:tc>
          <w:tcPr>
            <w:tcW w:w="1136" w:type="pct"/>
          </w:tcPr>
          <w:p w:rsidR="00D373A4" w:rsidRPr="00806023" w:rsidRDefault="00D373A4" w:rsidP="00DD2F18">
            <w:pPr>
              <w:tabs>
                <w:tab w:val="left" w:pos="0"/>
              </w:tabs>
              <w:jc w:val="both"/>
              <w:rPr>
                <w:sz w:val="22"/>
                <w:szCs w:val="22"/>
              </w:rPr>
            </w:pPr>
            <w:r w:rsidRPr="00806023">
              <w:rPr>
                <w:sz w:val="22"/>
                <w:szCs w:val="22"/>
              </w:rPr>
              <w:t>31,106</w:t>
            </w:r>
          </w:p>
        </w:tc>
      </w:tr>
      <w:tr w:rsidR="00D373A4" w:rsidRPr="00806023" w:rsidTr="00D373A4">
        <w:trPr>
          <w:trHeight w:val="258"/>
        </w:trPr>
        <w:tc>
          <w:tcPr>
            <w:tcW w:w="1235" w:type="pct"/>
          </w:tcPr>
          <w:p w:rsidR="00D373A4" w:rsidRPr="00806023" w:rsidRDefault="00D373A4" w:rsidP="00DD2F18">
            <w:pPr>
              <w:tabs>
                <w:tab w:val="left" w:pos="0"/>
              </w:tabs>
              <w:jc w:val="both"/>
              <w:rPr>
                <w:sz w:val="22"/>
                <w:szCs w:val="22"/>
              </w:rPr>
            </w:pPr>
            <w:r w:rsidRPr="00806023">
              <w:rPr>
                <w:sz w:val="22"/>
                <w:szCs w:val="22"/>
              </w:rPr>
              <w:t>2002/2003</w:t>
            </w:r>
          </w:p>
        </w:tc>
        <w:tc>
          <w:tcPr>
            <w:tcW w:w="1493" w:type="pct"/>
          </w:tcPr>
          <w:p w:rsidR="00D373A4" w:rsidRPr="00806023" w:rsidRDefault="00D373A4" w:rsidP="00DD2F18">
            <w:pPr>
              <w:tabs>
                <w:tab w:val="left" w:pos="0"/>
              </w:tabs>
              <w:jc w:val="both"/>
              <w:rPr>
                <w:sz w:val="22"/>
                <w:szCs w:val="22"/>
              </w:rPr>
            </w:pPr>
            <w:r w:rsidRPr="00806023">
              <w:rPr>
                <w:sz w:val="22"/>
                <w:szCs w:val="22"/>
              </w:rPr>
              <w:t>70,893</w:t>
            </w:r>
          </w:p>
        </w:tc>
        <w:tc>
          <w:tcPr>
            <w:tcW w:w="1136" w:type="pct"/>
          </w:tcPr>
          <w:p w:rsidR="00D373A4" w:rsidRPr="00806023" w:rsidRDefault="00D373A4" w:rsidP="00DD2F18">
            <w:pPr>
              <w:tabs>
                <w:tab w:val="left" w:pos="0"/>
              </w:tabs>
              <w:jc w:val="both"/>
              <w:rPr>
                <w:sz w:val="22"/>
                <w:szCs w:val="22"/>
              </w:rPr>
            </w:pPr>
            <w:r w:rsidRPr="00806023">
              <w:rPr>
                <w:sz w:val="22"/>
                <w:szCs w:val="22"/>
              </w:rPr>
              <w:t>2010-2011</w:t>
            </w:r>
          </w:p>
        </w:tc>
        <w:tc>
          <w:tcPr>
            <w:tcW w:w="1136" w:type="pct"/>
          </w:tcPr>
          <w:p w:rsidR="00D373A4" w:rsidRPr="00806023" w:rsidRDefault="00D373A4" w:rsidP="00DD2F18">
            <w:pPr>
              <w:tabs>
                <w:tab w:val="left" w:pos="0"/>
              </w:tabs>
              <w:jc w:val="both"/>
              <w:rPr>
                <w:sz w:val="22"/>
                <w:szCs w:val="22"/>
              </w:rPr>
            </w:pPr>
            <w:r w:rsidRPr="00806023">
              <w:rPr>
                <w:sz w:val="22"/>
                <w:szCs w:val="22"/>
              </w:rPr>
              <w:t>32,840</w:t>
            </w:r>
          </w:p>
        </w:tc>
      </w:tr>
      <w:tr w:rsidR="00D373A4" w:rsidRPr="00806023" w:rsidTr="00D373A4">
        <w:trPr>
          <w:trHeight w:val="258"/>
        </w:trPr>
        <w:tc>
          <w:tcPr>
            <w:tcW w:w="1235" w:type="pct"/>
          </w:tcPr>
          <w:p w:rsidR="00D373A4" w:rsidRPr="00806023" w:rsidRDefault="00D373A4" w:rsidP="00DD2F18">
            <w:pPr>
              <w:tabs>
                <w:tab w:val="left" w:pos="0"/>
              </w:tabs>
              <w:jc w:val="both"/>
              <w:rPr>
                <w:sz w:val="22"/>
                <w:szCs w:val="22"/>
              </w:rPr>
            </w:pPr>
            <w:r w:rsidRPr="00806023">
              <w:rPr>
                <w:sz w:val="22"/>
                <w:szCs w:val="22"/>
              </w:rPr>
              <w:t>2003/2004</w:t>
            </w:r>
          </w:p>
        </w:tc>
        <w:tc>
          <w:tcPr>
            <w:tcW w:w="1493" w:type="pct"/>
          </w:tcPr>
          <w:p w:rsidR="00D373A4" w:rsidRPr="00806023" w:rsidRDefault="00D373A4" w:rsidP="00DD2F18">
            <w:pPr>
              <w:tabs>
                <w:tab w:val="left" w:pos="0"/>
              </w:tabs>
              <w:jc w:val="both"/>
              <w:rPr>
                <w:sz w:val="22"/>
                <w:szCs w:val="22"/>
              </w:rPr>
            </w:pPr>
            <w:r w:rsidRPr="00806023">
              <w:rPr>
                <w:sz w:val="22"/>
                <w:szCs w:val="22"/>
              </w:rPr>
              <w:t>48,237</w:t>
            </w:r>
          </w:p>
        </w:tc>
        <w:tc>
          <w:tcPr>
            <w:tcW w:w="1136" w:type="pct"/>
          </w:tcPr>
          <w:p w:rsidR="00D373A4" w:rsidRPr="00806023" w:rsidRDefault="00D373A4" w:rsidP="00DD2F18">
            <w:pPr>
              <w:tabs>
                <w:tab w:val="left" w:pos="0"/>
              </w:tabs>
              <w:jc w:val="both"/>
              <w:rPr>
                <w:sz w:val="22"/>
                <w:szCs w:val="22"/>
              </w:rPr>
            </w:pPr>
            <w:r w:rsidRPr="00806023">
              <w:rPr>
                <w:sz w:val="22"/>
                <w:szCs w:val="22"/>
              </w:rPr>
              <w:t>2011-2012</w:t>
            </w:r>
          </w:p>
        </w:tc>
        <w:tc>
          <w:tcPr>
            <w:tcW w:w="1136" w:type="pct"/>
          </w:tcPr>
          <w:p w:rsidR="00D373A4" w:rsidRPr="00806023" w:rsidRDefault="00D373A4" w:rsidP="00DD2F18">
            <w:pPr>
              <w:tabs>
                <w:tab w:val="left" w:pos="0"/>
              </w:tabs>
              <w:jc w:val="both"/>
              <w:rPr>
                <w:sz w:val="22"/>
                <w:szCs w:val="22"/>
              </w:rPr>
            </w:pPr>
            <w:r w:rsidRPr="00806023">
              <w:rPr>
                <w:sz w:val="22"/>
                <w:szCs w:val="22"/>
              </w:rPr>
              <w:t>34,220</w:t>
            </w:r>
          </w:p>
        </w:tc>
      </w:tr>
      <w:tr w:rsidR="00D373A4" w:rsidRPr="00806023" w:rsidTr="00D373A4">
        <w:trPr>
          <w:trHeight w:val="258"/>
        </w:trPr>
        <w:tc>
          <w:tcPr>
            <w:tcW w:w="1235" w:type="pct"/>
          </w:tcPr>
          <w:p w:rsidR="00D373A4" w:rsidRPr="00806023" w:rsidRDefault="00D373A4" w:rsidP="00DD2F18">
            <w:pPr>
              <w:tabs>
                <w:tab w:val="left" w:pos="0"/>
              </w:tabs>
              <w:jc w:val="both"/>
              <w:rPr>
                <w:sz w:val="22"/>
                <w:szCs w:val="22"/>
              </w:rPr>
            </w:pPr>
            <w:r w:rsidRPr="00806023">
              <w:rPr>
                <w:sz w:val="22"/>
                <w:szCs w:val="22"/>
              </w:rPr>
              <w:t>2004/2005</w:t>
            </w:r>
          </w:p>
        </w:tc>
        <w:tc>
          <w:tcPr>
            <w:tcW w:w="1493" w:type="pct"/>
          </w:tcPr>
          <w:p w:rsidR="00D373A4" w:rsidRPr="00806023" w:rsidRDefault="00D373A4" w:rsidP="00DD2F18">
            <w:pPr>
              <w:tabs>
                <w:tab w:val="left" w:pos="0"/>
              </w:tabs>
              <w:jc w:val="both"/>
              <w:rPr>
                <w:sz w:val="22"/>
                <w:szCs w:val="22"/>
              </w:rPr>
            </w:pPr>
            <w:r w:rsidRPr="00806023">
              <w:rPr>
                <w:sz w:val="22"/>
                <w:szCs w:val="22"/>
              </w:rPr>
              <w:t>34,768</w:t>
            </w:r>
          </w:p>
        </w:tc>
        <w:tc>
          <w:tcPr>
            <w:tcW w:w="1136" w:type="pct"/>
          </w:tcPr>
          <w:p w:rsidR="00D373A4" w:rsidRPr="00806023" w:rsidRDefault="00D373A4" w:rsidP="00DD2F18">
            <w:pPr>
              <w:tabs>
                <w:tab w:val="left" w:pos="0"/>
              </w:tabs>
              <w:jc w:val="both"/>
              <w:rPr>
                <w:sz w:val="22"/>
                <w:szCs w:val="22"/>
              </w:rPr>
            </w:pPr>
            <w:r w:rsidRPr="00806023">
              <w:rPr>
                <w:sz w:val="22"/>
                <w:szCs w:val="22"/>
              </w:rPr>
              <w:t>2012-2013</w:t>
            </w:r>
          </w:p>
        </w:tc>
        <w:tc>
          <w:tcPr>
            <w:tcW w:w="1136" w:type="pct"/>
          </w:tcPr>
          <w:p w:rsidR="00D373A4" w:rsidRPr="00806023" w:rsidRDefault="00D373A4" w:rsidP="00DD2F18">
            <w:pPr>
              <w:tabs>
                <w:tab w:val="left" w:pos="0"/>
              </w:tabs>
              <w:jc w:val="both"/>
              <w:rPr>
                <w:sz w:val="22"/>
                <w:szCs w:val="22"/>
              </w:rPr>
            </w:pPr>
            <w:r w:rsidRPr="00806023">
              <w:rPr>
                <w:sz w:val="22"/>
                <w:szCs w:val="22"/>
              </w:rPr>
              <w:t xml:space="preserve">29,933 </w:t>
            </w:r>
          </w:p>
        </w:tc>
      </w:tr>
      <w:tr w:rsidR="00D373A4" w:rsidRPr="00806023" w:rsidTr="00D373A4">
        <w:trPr>
          <w:trHeight w:val="258"/>
        </w:trPr>
        <w:tc>
          <w:tcPr>
            <w:tcW w:w="1235" w:type="pct"/>
          </w:tcPr>
          <w:p w:rsidR="00D373A4" w:rsidRPr="00806023" w:rsidRDefault="00D373A4" w:rsidP="00DD2F18">
            <w:pPr>
              <w:tabs>
                <w:tab w:val="left" w:pos="0"/>
              </w:tabs>
              <w:jc w:val="both"/>
              <w:rPr>
                <w:sz w:val="22"/>
                <w:szCs w:val="22"/>
              </w:rPr>
            </w:pPr>
            <w:r w:rsidRPr="00806023">
              <w:rPr>
                <w:sz w:val="22"/>
                <w:szCs w:val="22"/>
              </w:rPr>
              <w:t>2005/2006</w:t>
            </w:r>
          </w:p>
        </w:tc>
        <w:tc>
          <w:tcPr>
            <w:tcW w:w="1493" w:type="pct"/>
          </w:tcPr>
          <w:p w:rsidR="00D373A4" w:rsidRPr="00806023" w:rsidRDefault="00D373A4" w:rsidP="00DD2F18">
            <w:pPr>
              <w:tabs>
                <w:tab w:val="left" w:pos="0"/>
              </w:tabs>
              <w:jc w:val="both"/>
              <w:rPr>
                <w:sz w:val="22"/>
                <w:szCs w:val="22"/>
              </w:rPr>
            </w:pPr>
            <w:r w:rsidRPr="00806023">
              <w:rPr>
                <w:sz w:val="22"/>
                <w:szCs w:val="22"/>
              </w:rPr>
              <w:t>32,024</w:t>
            </w:r>
          </w:p>
        </w:tc>
        <w:tc>
          <w:tcPr>
            <w:tcW w:w="1136" w:type="pct"/>
          </w:tcPr>
          <w:p w:rsidR="00D373A4" w:rsidRPr="00806023" w:rsidRDefault="00D373A4" w:rsidP="00DD2F18">
            <w:pPr>
              <w:tabs>
                <w:tab w:val="left" w:pos="0"/>
              </w:tabs>
              <w:jc w:val="both"/>
              <w:rPr>
                <w:sz w:val="22"/>
                <w:szCs w:val="22"/>
              </w:rPr>
            </w:pPr>
            <w:r w:rsidRPr="00806023">
              <w:rPr>
                <w:sz w:val="22"/>
                <w:szCs w:val="22"/>
              </w:rPr>
              <w:t>2013-2014</w:t>
            </w:r>
          </w:p>
        </w:tc>
        <w:tc>
          <w:tcPr>
            <w:tcW w:w="1136" w:type="pct"/>
          </w:tcPr>
          <w:p w:rsidR="00D373A4" w:rsidRPr="00806023" w:rsidRDefault="00D373A4" w:rsidP="00DD2F18">
            <w:pPr>
              <w:tabs>
                <w:tab w:val="left" w:pos="0"/>
              </w:tabs>
              <w:jc w:val="both"/>
              <w:rPr>
                <w:sz w:val="22"/>
                <w:szCs w:val="22"/>
              </w:rPr>
            </w:pPr>
            <w:r w:rsidRPr="00806023">
              <w:rPr>
                <w:sz w:val="22"/>
                <w:szCs w:val="22"/>
              </w:rPr>
              <w:t>28,625</w:t>
            </w:r>
          </w:p>
        </w:tc>
      </w:tr>
      <w:tr w:rsidR="00D373A4" w:rsidRPr="00806023" w:rsidTr="00D373A4">
        <w:trPr>
          <w:trHeight w:val="275"/>
        </w:trPr>
        <w:tc>
          <w:tcPr>
            <w:tcW w:w="1235" w:type="pct"/>
          </w:tcPr>
          <w:p w:rsidR="00D373A4" w:rsidRPr="00806023" w:rsidRDefault="00D373A4" w:rsidP="00DD2F18">
            <w:pPr>
              <w:tabs>
                <w:tab w:val="left" w:pos="0"/>
              </w:tabs>
              <w:jc w:val="both"/>
              <w:rPr>
                <w:sz w:val="22"/>
                <w:szCs w:val="22"/>
              </w:rPr>
            </w:pPr>
            <w:r w:rsidRPr="00806023">
              <w:rPr>
                <w:sz w:val="22"/>
                <w:szCs w:val="22"/>
              </w:rPr>
              <w:t>2006/2007</w:t>
            </w:r>
          </w:p>
        </w:tc>
        <w:tc>
          <w:tcPr>
            <w:tcW w:w="1493" w:type="pct"/>
          </w:tcPr>
          <w:p w:rsidR="00D373A4" w:rsidRPr="00806023" w:rsidRDefault="00D373A4" w:rsidP="00DD2F18">
            <w:pPr>
              <w:tabs>
                <w:tab w:val="left" w:pos="0"/>
              </w:tabs>
              <w:jc w:val="both"/>
              <w:rPr>
                <w:sz w:val="22"/>
                <w:szCs w:val="22"/>
              </w:rPr>
            </w:pPr>
            <w:r w:rsidRPr="00806023">
              <w:rPr>
                <w:sz w:val="22"/>
                <w:szCs w:val="22"/>
              </w:rPr>
              <w:t>32,856</w:t>
            </w:r>
          </w:p>
        </w:tc>
        <w:tc>
          <w:tcPr>
            <w:tcW w:w="1136" w:type="pct"/>
          </w:tcPr>
          <w:p w:rsidR="00D373A4" w:rsidRPr="00806023" w:rsidRDefault="00D373A4" w:rsidP="00DD2F18">
            <w:pPr>
              <w:tabs>
                <w:tab w:val="left" w:pos="0"/>
              </w:tabs>
              <w:jc w:val="both"/>
              <w:rPr>
                <w:sz w:val="22"/>
                <w:szCs w:val="22"/>
              </w:rPr>
            </w:pPr>
          </w:p>
        </w:tc>
        <w:tc>
          <w:tcPr>
            <w:tcW w:w="1136" w:type="pct"/>
          </w:tcPr>
          <w:p w:rsidR="00D373A4" w:rsidRPr="00806023" w:rsidRDefault="00D373A4" w:rsidP="00DD2F18">
            <w:pPr>
              <w:tabs>
                <w:tab w:val="left" w:pos="0"/>
              </w:tabs>
              <w:jc w:val="both"/>
              <w:rPr>
                <w:sz w:val="22"/>
                <w:szCs w:val="22"/>
              </w:rPr>
            </w:pPr>
          </w:p>
        </w:tc>
      </w:tr>
    </w:tbl>
    <w:p w:rsidR="00267609" w:rsidRPr="00806023" w:rsidRDefault="00267609" w:rsidP="00267609">
      <w:pPr>
        <w:tabs>
          <w:tab w:val="left" w:pos="0"/>
        </w:tabs>
        <w:ind w:left="-360"/>
        <w:jc w:val="both"/>
        <w:rPr>
          <w:sz w:val="22"/>
          <w:szCs w:val="22"/>
        </w:rPr>
      </w:pPr>
    </w:p>
    <w:p w:rsidR="003126AD" w:rsidRPr="00806023" w:rsidRDefault="00555C35" w:rsidP="009A5D1D">
      <w:pPr>
        <w:numPr>
          <w:ilvl w:val="0"/>
          <w:numId w:val="3"/>
        </w:numPr>
        <w:tabs>
          <w:tab w:val="left" w:pos="0"/>
        </w:tabs>
        <w:ind w:left="0"/>
        <w:jc w:val="both"/>
        <w:rPr>
          <w:sz w:val="22"/>
          <w:szCs w:val="22"/>
        </w:rPr>
      </w:pPr>
      <w:r w:rsidRPr="00806023">
        <w:rPr>
          <w:sz w:val="22"/>
          <w:szCs w:val="22"/>
        </w:rPr>
        <w:t xml:space="preserve">Table </w:t>
      </w:r>
      <w:r w:rsidR="00691FF1" w:rsidRPr="00806023">
        <w:rPr>
          <w:sz w:val="22"/>
          <w:szCs w:val="22"/>
        </w:rPr>
        <w:t>B</w:t>
      </w:r>
      <w:r w:rsidRPr="00806023">
        <w:rPr>
          <w:sz w:val="22"/>
          <w:szCs w:val="22"/>
        </w:rPr>
        <w:t xml:space="preserve"> and the corresponding graph illustrate the trend of enrollments </w:t>
      </w:r>
      <w:r w:rsidR="005C3F89" w:rsidRPr="00806023">
        <w:rPr>
          <w:sz w:val="22"/>
          <w:szCs w:val="22"/>
        </w:rPr>
        <w:t xml:space="preserve">(unduplicated) </w:t>
      </w:r>
      <w:r w:rsidRPr="00806023">
        <w:rPr>
          <w:sz w:val="22"/>
          <w:szCs w:val="22"/>
        </w:rPr>
        <w:t>in Michigan since 1999/2000 as reported to NRS</w:t>
      </w:r>
      <w:r w:rsidR="006F6507" w:rsidRPr="00806023">
        <w:rPr>
          <w:sz w:val="22"/>
          <w:szCs w:val="22"/>
        </w:rPr>
        <w:t xml:space="preserve"> </w:t>
      </w:r>
      <w:r w:rsidR="005C3F89" w:rsidRPr="00806023">
        <w:rPr>
          <w:sz w:val="22"/>
          <w:szCs w:val="22"/>
        </w:rPr>
        <w:t>that</w:t>
      </w:r>
      <w:r w:rsidR="006F6507" w:rsidRPr="00806023">
        <w:rPr>
          <w:sz w:val="22"/>
          <w:szCs w:val="22"/>
        </w:rPr>
        <w:t xml:space="preserve"> </w:t>
      </w:r>
      <w:r w:rsidR="005C3F89" w:rsidRPr="00806023">
        <w:rPr>
          <w:sz w:val="22"/>
          <w:szCs w:val="22"/>
        </w:rPr>
        <w:t>received at least</w:t>
      </w:r>
      <w:r w:rsidR="006F6507" w:rsidRPr="00806023">
        <w:rPr>
          <w:sz w:val="22"/>
          <w:szCs w:val="22"/>
        </w:rPr>
        <w:t xml:space="preserve"> 12</w:t>
      </w:r>
      <w:r w:rsidR="00640103" w:rsidRPr="00806023">
        <w:rPr>
          <w:sz w:val="22"/>
          <w:szCs w:val="22"/>
        </w:rPr>
        <w:t xml:space="preserve"> </w:t>
      </w:r>
      <w:r w:rsidR="006F6507" w:rsidRPr="00806023">
        <w:rPr>
          <w:sz w:val="22"/>
          <w:szCs w:val="22"/>
        </w:rPr>
        <w:t>instructional hours</w:t>
      </w:r>
      <w:r w:rsidRPr="00806023">
        <w:rPr>
          <w:sz w:val="22"/>
          <w:szCs w:val="22"/>
        </w:rPr>
        <w:t xml:space="preserve">. </w:t>
      </w:r>
      <w:r w:rsidR="00B21D1B" w:rsidRPr="00806023">
        <w:rPr>
          <w:sz w:val="22"/>
          <w:szCs w:val="22"/>
        </w:rPr>
        <w:t xml:space="preserve"> </w:t>
      </w:r>
      <w:r w:rsidR="00F1732A" w:rsidRPr="00806023">
        <w:rPr>
          <w:sz w:val="22"/>
          <w:szCs w:val="22"/>
        </w:rPr>
        <w:t>However, i</w:t>
      </w:r>
      <w:r w:rsidRPr="00806023">
        <w:rPr>
          <w:sz w:val="22"/>
          <w:szCs w:val="22"/>
        </w:rPr>
        <w:t xml:space="preserve">n </w:t>
      </w:r>
      <w:r w:rsidR="0054219B" w:rsidRPr="00806023">
        <w:rPr>
          <w:sz w:val="22"/>
          <w:szCs w:val="22"/>
        </w:rPr>
        <w:t>201</w:t>
      </w:r>
      <w:r w:rsidR="008F631D" w:rsidRPr="00806023">
        <w:rPr>
          <w:sz w:val="22"/>
          <w:szCs w:val="22"/>
        </w:rPr>
        <w:t>3</w:t>
      </w:r>
      <w:r w:rsidR="0054219B" w:rsidRPr="00806023">
        <w:rPr>
          <w:sz w:val="22"/>
          <w:szCs w:val="22"/>
        </w:rPr>
        <w:t>-201</w:t>
      </w:r>
      <w:r w:rsidR="008F631D" w:rsidRPr="00806023">
        <w:rPr>
          <w:sz w:val="22"/>
          <w:szCs w:val="22"/>
        </w:rPr>
        <w:t>4</w:t>
      </w:r>
      <w:r w:rsidRPr="00806023">
        <w:rPr>
          <w:sz w:val="22"/>
          <w:szCs w:val="22"/>
        </w:rPr>
        <w:t xml:space="preserve"> </w:t>
      </w:r>
      <w:r w:rsidR="00F1732A" w:rsidRPr="00806023">
        <w:rPr>
          <w:sz w:val="22"/>
          <w:szCs w:val="22"/>
        </w:rPr>
        <w:t xml:space="preserve">40,631 (duplicated count) adults registered for adult education programs, 35,406 enrolled, </w:t>
      </w:r>
      <w:r w:rsidR="004868D1" w:rsidRPr="00806023">
        <w:rPr>
          <w:sz w:val="22"/>
          <w:szCs w:val="22"/>
        </w:rPr>
        <w:t xml:space="preserve">and </w:t>
      </w:r>
      <w:r w:rsidR="000C3E53" w:rsidRPr="00806023">
        <w:rPr>
          <w:sz w:val="22"/>
          <w:szCs w:val="22"/>
        </w:rPr>
        <w:t>36,468</w:t>
      </w:r>
      <w:r w:rsidR="006F6507" w:rsidRPr="00806023">
        <w:rPr>
          <w:sz w:val="22"/>
          <w:szCs w:val="22"/>
        </w:rPr>
        <w:t xml:space="preserve"> pretest</w:t>
      </w:r>
      <w:r w:rsidR="000C3E53" w:rsidRPr="00806023">
        <w:rPr>
          <w:sz w:val="22"/>
          <w:szCs w:val="22"/>
        </w:rPr>
        <w:t>ed</w:t>
      </w:r>
      <w:r w:rsidR="006F6507" w:rsidRPr="00806023">
        <w:rPr>
          <w:sz w:val="22"/>
          <w:szCs w:val="22"/>
        </w:rPr>
        <w:t xml:space="preserve"> </w:t>
      </w:r>
      <w:r w:rsidR="000C3E53" w:rsidRPr="00806023">
        <w:rPr>
          <w:sz w:val="22"/>
          <w:szCs w:val="22"/>
        </w:rPr>
        <w:t>compared to</w:t>
      </w:r>
      <w:r w:rsidR="006F6507" w:rsidRPr="00806023">
        <w:rPr>
          <w:sz w:val="22"/>
          <w:szCs w:val="22"/>
        </w:rPr>
        <w:t xml:space="preserve"> 37,525</w:t>
      </w:r>
      <w:r w:rsidR="000C3E53" w:rsidRPr="00806023">
        <w:rPr>
          <w:sz w:val="22"/>
          <w:szCs w:val="22"/>
        </w:rPr>
        <w:t xml:space="preserve"> </w:t>
      </w:r>
      <w:r w:rsidR="004868D1" w:rsidRPr="00806023">
        <w:rPr>
          <w:sz w:val="22"/>
          <w:szCs w:val="22"/>
        </w:rPr>
        <w:t xml:space="preserve">pretested last year </w:t>
      </w:r>
      <w:r w:rsidR="000C3E53" w:rsidRPr="00806023">
        <w:rPr>
          <w:sz w:val="22"/>
          <w:szCs w:val="22"/>
        </w:rPr>
        <w:t>(</w:t>
      </w:r>
      <w:r w:rsidR="00A23F8B" w:rsidRPr="00806023">
        <w:rPr>
          <w:sz w:val="22"/>
          <w:szCs w:val="22"/>
        </w:rPr>
        <w:t>refer to appendix A)</w:t>
      </w:r>
      <w:r w:rsidR="008915B2" w:rsidRPr="00806023">
        <w:rPr>
          <w:sz w:val="22"/>
          <w:szCs w:val="22"/>
        </w:rPr>
        <w:t>.</w:t>
      </w:r>
      <w:r w:rsidR="00573310" w:rsidRPr="00806023">
        <w:rPr>
          <w:sz w:val="22"/>
          <w:szCs w:val="22"/>
        </w:rPr>
        <w:t>T</w:t>
      </w:r>
      <w:r w:rsidR="00D77354" w:rsidRPr="00806023">
        <w:rPr>
          <w:sz w:val="22"/>
          <w:szCs w:val="22"/>
        </w:rPr>
        <w:t>he average pre-posttest rate was approximately 54%.</w:t>
      </w:r>
      <w:r w:rsidRPr="00806023">
        <w:rPr>
          <w:sz w:val="22"/>
          <w:szCs w:val="22"/>
        </w:rPr>
        <w:t xml:space="preserve"> </w:t>
      </w:r>
      <w:r w:rsidR="00B21D1B" w:rsidRPr="00806023">
        <w:rPr>
          <w:sz w:val="22"/>
          <w:szCs w:val="22"/>
        </w:rPr>
        <w:t xml:space="preserve"> </w:t>
      </w:r>
    </w:p>
    <w:p w:rsidR="0082770F" w:rsidRPr="00806023" w:rsidRDefault="0082770F" w:rsidP="0082770F">
      <w:pPr>
        <w:tabs>
          <w:tab w:val="left" w:pos="0"/>
        </w:tabs>
        <w:jc w:val="both"/>
        <w:rPr>
          <w:sz w:val="22"/>
          <w:szCs w:val="22"/>
        </w:rPr>
      </w:pPr>
    </w:p>
    <w:p w:rsidR="00267609" w:rsidRPr="00806023" w:rsidRDefault="00267609" w:rsidP="00D24F71">
      <w:pPr>
        <w:tabs>
          <w:tab w:val="left" w:pos="0"/>
        </w:tabs>
        <w:jc w:val="center"/>
        <w:rPr>
          <w:sz w:val="22"/>
          <w:szCs w:val="22"/>
        </w:rPr>
      </w:pPr>
    </w:p>
    <w:p w:rsidR="0082770F" w:rsidRPr="00806023" w:rsidRDefault="008D1755" w:rsidP="00D24F71">
      <w:pPr>
        <w:tabs>
          <w:tab w:val="left" w:pos="0"/>
        </w:tabs>
        <w:jc w:val="center"/>
        <w:rPr>
          <w:sz w:val="22"/>
          <w:szCs w:val="22"/>
        </w:rPr>
      </w:pPr>
      <w:r w:rsidRPr="00806023">
        <w:rPr>
          <w:noProof/>
          <w:sz w:val="22"/>
          <w:szCs w:val="22"/>
        </w:rPr>
        <w:lastRenderedPageBreak/>
        <w:drawing>
          <wp:inline distT="0" distB="0" distL="0" distR="0" wp14:anchorId="3D7A48D3" wp14:editId="174891A9">
            <wp:extent cx="4572000" cy="29337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2770F" w:rsidRPr="00806023" w:rsidRDefault="0082770F" w:rsidP="0082770F">
      <w:pPr>
        <w:tabs>
          <w:tab w:val="left" w:pos="0"/>
        </w:tabs>
        <w:jc w:val="both"/>
        <w:rPr>
          <w:sz w:val="22"/>
          <w:szCs w:val="22"/>
        </w:rPr>
      </w:pPr>
    </w:p>
    <w:p w:rsidR="00555C35" w:rsidRPr="00806023" w:rsidRDefault="00555C35">
      <w:pPr>
        <w:tabs>
          <w:tab w:val="left" w:pos="0"/>
        </w:tabs>
        <w:jc w:val="both"/>
        <w:rPr>
          <w:sz w:val="22"/>
          <w:szCs w:val="22"/>
        </w:rPr>
      </w:pPr>
    </w:p>
    <w:p w:rsidR="00555C35" w:rsidRPr="00806023" w:rsidRDefault="008B1F24">
      <w:pPr>
        <w:numPr>
          <w:ilvl w:val="0"/>
          <w:numId w:val="3"/>
        </w:numPr>
        <w:tabs>
          <w:tab w:val="left" w:pos="0"/>
        </w:tabs>
        <w:ind w:left="0"/>
        <w:jc w:val="both"/>
        <w:rPr>
          <w:sz w:val="22"/>
          <w:szCs w:val="22"/>
        </w:rPr>
      </w:pPr>
      <w:r w:rsidRPr="00806023">
        <w:rPr>
          <w:sz w:val="22"/>
          <w:szCs w:val="22"/>
        </w:rPr>
        <w:t>The following is</w:t>
      </w:r>
      <w:r w:rsidR="00555C35" w:rsidRPr="00806023">
        <w:rPr>
          <w:sz w:val="22"/>
          <w:szCs w:val="22"/>
        </w:rPr>
        <w:t xml:space="preserve"> </w:t>
      </w:r>
      <w:r w:rsidR="00640103" w:rsidRPr="00806023">
        <w:rPr>
          <w:sz w:val="22"/>
          <w:szCs w:val="22"/>
        </w:rPr>
        <w:t>Michigan</w:t>
      </w:r>
      <w:r w:rsidR="00555C35" w:rsidRPr="00806023">
        <w:rPr>
          <w:sz w:val="22"/>
          <w:szCs w:val="22"/>
        </w:rPr>
        <w:t>’s performance compared to the levels negotiated with the U.S. Department of Education.</w:t>
      </w:r>
    </w:p>
    <w:p w:rsidR="00555C35" w:rsidRPr="00806023" w:rsidRDefault="00555C35">
      <w:pPr>
        <w:pStyle w:val="BodyTextIndent"/>
        <w:tabs>
          <w:tab w:val="left" w:pos="360"/>
        </w:tabs>
        <w:ind w:hanging="360"/>
        <w:jc w:val="center"/>
        <w:rPr>
          <w:color w:val="auto"/>
          <w:sz w:val="22"/>
          <w:szCs w:val="22"/>
        </w:rPr>
      </w:pPr>
    </w:p>
    <w:p w:rsidR="00555C35" w:rsidRPr="00806023" w:rsidRDefault="00220D27">
      <w:pPr>
        <w:pStyle w:val="BodyTextIndent"/>
        <w:tabs>
          <w:tab w:val="left" w:pos="360"/>
        </w:tabs>
        <w:ind w:hanging="360"/>
        <w:jc w:val="center"/>
        <w:rPr>
          <w:b/>
          <w:bCs/>
          <w:color w:val="auto"/>
          <w:sz w:val="22"/>
          <w:szCs w:val="22"/>
        </w:rPr>
      </w:pPr>
      <w:r w:rsidRPr="00806023">
        <w:rPr>
          <w:b/>
          <w:bCs/>
          <w:color w:val="auto"/>
          <w:sz w:val="22"/>
          <w:szCs w:val="22"/>
        </w:rPr>
        <w:t>Table D</w:t>
      </w:r>
      <w:r w:rsidR="001A7E4E" w:rsidRPr="00806023">
        <w:rPr>
          <w:b/>
          <w:bCs/>
          <w:color w:val="auto"/>
          <w:sz w:val="22"/>
          <w:szCs w:val="22"/>
        </w:rPr>
        <w:t xml:space="preserve">: NRS Table 4 - </w:t>
      </w:r>
      <w:r w:rsidR="00555C35" w:rsidRPr="00806023">
        <w:rPr>
          <w:b/>
          <w:bCs/>
          <w:color w:val="auto"/>
          <w:sz w:val="22"/>
          <w:szCs w:val="22"/>
        </w:rPr>
        <w:t>Educational Gains and Attendance by EFL</w:t>
      </w:r>
    </w:p>
    <w:p w:rsidR="00555C35" w:rsidRPr="00806023" w:rsidRDefault="00555C35">
      <w:pPr>
        <w:pStyle w:val="BodyTextIndent"/>
        <w:tabs>
          <w:tab w:val="left" w:pos="360"/>
        </w:tabs>
        <w:ind w:hanging="360"/>
        <w:rPr>
          <w:color w:val="auto"/>
          <w:sz w:val="22"/>
          <w:szCs w:val="22"/>
        </w:rPr>
      </w:pPr>
      <w:r w:rsidRPr="00806023">
        <w:rPr>
          <w:color w:val="auto"/>
          <w:sz w:val="22"/>
          <w:szCs w:val="22"/>
        </w:rPr>
        <w:tab/>
      </w:r>
      <w:r w:rsidRPr="00806023">
        <w:rPr>
          <w:color w:val="auto"/>
          <w:sz w:val="22"/>
          <w:szCs w:val="22"/>
        </w:rPr>
        <w:tab/>
      </w:r>
    </w:p>
    <w:tbl>
      <w:tblPr>
        <w:tblW w:w="0" w:type="auto"/>
        <w:jc w:val="center"/>
        <w:tblInd w:w="-13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839"/>
        <w:gridCol w:w="1177"/>
        <w:gridCol w:w="1260"/>
      </w:tblGrid>
      <w:tr w:rsidR="00E54A82" w:rsidRPr="00806023" w:rsidTr="00676E25">
        <w:trPr>
          <w:cantSplit/>
          <w:trHeight w:val="404"/>
          <w:jc w:val="center"/>
        </w:trPr>
        <w:tc>
          <w:tcPr>
            <w:tcW w:w="4839" w:type="dxa"/>
            <w:tcBorders>
              <w:top w:val="single" w:sz="4" w:space="0" w:color="auto"/>
            </w:tcBorders>
          </w:tcPr>
          <w:p w:rsidR="00267609" w:rsidRPr="00806023" w:rsidRDefault="00267609">
            <w:pPr>
              <w:jc w:val="both"/>
              <w:rPr>
                <w:b/>
                <w:bCs/>
                <w:i/>
                <w:iCs/>
                <w:sz w:val="22"/>
                <w:szCs w:val="22"/>
              </w:rPr>
            </w:pPr>
          </w:p>
          <w:p w:rsidR="00676E25" w:rsidRPr="00806023" w:rsidRDefault="0054219B" w:rsidP="008F631D">
            <w:pPr>
              <w:jc w:val="center"/>
              <w:rPr>
                <w:b/>
                <w:bCs/>
                <w:i/>
                <w:iCs/>
                <w:sz w:val="22"/>
                <w:szCs w:val="22"/>
              </w:rPr>
            </w:pPr>
            <w:r w:rsidRPr="00806023">
              <w:rPr>
                <w:b/>
                <w:bCs/>
                <w:i/>
                <w:iCs/>
                <w:sz w:val="22"/>
                <w:szCs w:val="22"/>
              </w:rPr>
              <w:t>201</w:t>
            </w:r>
            <w:r w:rsidR="008F631D" w:rsidRPr="00806023">
              <w:rPr>
                <w:b/>
                <w:bCs/>
                <w:i/>
                <w:iCs/>
                <w:sz w:val="22"/>
                <w:szCs w:val="22"/>
              </w:rPr>
              <w:t>3</w:t>
            </w:r>
            <w:r w:rsidRPr="00806023">
              <w:rPr>
                <w:b/>
                <w:bCs/>
                <w:i/>
                <w:iCs/>
                <w:sz w:val="22"/>
                <w:szCs w:val="22"/>
              </w:rPr>
              <w:t>-201</w:t>
            </w:r>
            <w:r w:rsidR="008F631D" w:rsidRPr="00806023">
              <w:rPr>
                <w:b/>
                <w:bCs/>
                <w:i/>
                <w:iCs/>
                <w:sz w:val="22"/>
                <w:szCs w:val="22"/>
              </w:rPr>
              <w:t>4</w:t>
            </w:r>
            <w:r w:rsidR="00676E25" w:rsidRPr="00806023">
              <w:rPr>
                <w:b/>
                <w:bCs/>
                <w:i/>
                <w:iCs/>
                <w:sz w:val="22"/>
                <w:szCs w:val="22"/>
              </w:rPr>
              <w:t xml:space="preserve"> Benchmarks</w:t>
            </w:r>
          </w:p>
        </w:tc>
        <w:tc>
          <w:tcPr>
            <w:tcW w:w="1177" w:type="dxa"/>
            <w:tcBorders>
              <w:top w:val="single" w:sz="4" w:space="0" w:color="auto"/>
            </w:tcBorders>
          </w:tcPr>
          <w:p w:rsidR="00676E25" w:rsidRPr="00806023" w:rsidRDefault="00985B18" w:rsidP="00267609">
            <w:pPr>
              <w:jc w:val="center"/>
              <w:rPr>
                <w:b/>
                <w:bCs/>
                <w:i/>
                <w:iCs/>
                <w:sz w:val="22"/>
                <w:szCs w:val="22"/>
              </w:rPr>
            </w:pPr>
            <w:r w:rsidRPr="00806023">
              <w:rPr>
                <w:b/>
                <w:bCs/>
                <w:i/>
                <w:iCs/>
                <w:sz w:val="22"/>
                <w:szCs w:val="22"/>
              </w:rPr>
              <w:t>Federal Target</w:t>
            </w:r>
          </w:p>
        </w:tc>
        <w:tc>
          <w:tcPr>
            <w:tcW w:w="1260" w:type="dxa"/>
            <w:tcBorders>
              <w:top w:val="single" w:sz="4" w:space="0" w:color="auto"/>
            </w:tcBorders>
          </w:tcPr>
          <w:p w:rsidR="00267609" w:rsidRPr="00806023" w:rsidRDefault="00985B18" w:rsidP="00267609">
            <w:pPr>
              <w:jc w:val="center"/>
              <w:rPr>
                <w:b/>
                <w:bCs/>
                <w:i/>
                <w:iCs/>
                <w:sz w:val="22"/>
                <w:szCs w:val="22"/>
              </w:rPr>
            </w:pPr>
            <w:r w:rsidRPr="00806023">
              <w:rPr>
                <w:b/>
                <w:bCs/>
                <w:i/>
                <w:iCs/>
                <w:sz w:val="22"/>
                <w:szCs w:val="22"/>
              </w:rPr>
              <w:t xml:space="preserve">State </w:t>
            </w:r>
          </w:p>
          <w:p w:rsidR="00676E25" w:rsidRPr="00806023" w:rsidRDefault="00985B18" w:rsidP="00267609">
            <w:pPr>
              <w:jc w:val="center"/>
              <w:rPr>
                <w:b/>
                <w:bCs/>
                <w:i/>
                <w:iCs/>
                <w:sz w:val="22"/>
                <w:szCs w:val="22"/>
              </w:rPr>
            </w:pPr>
            <w:r w:rsidRPr="00806023">
              <w:rPr>
                <w:b/>
                <w:bCs/>
                <w:i/>
                <w:iCs/>
                <w:sz w:val="22"/>
                <w:szCs w:val="22"/>
              </w:rPr>
              <w:t>Actual</w:t>
            </w:r>
          </w:p>
        </w:tc>
      </w:tr>
      <w:tr w:rsidR="00E54A82" w:rsidRPr="00806023" w:rsidTr="00676E25">
        <w:trPr>
          <w:cantSplit/>
          <w:trHeight w:val="300"/>
          <w:jc w:val="center"/>
        </w:trPr>
        <w:tc>
          <w:tcPr>
            <w:tcW w:w="4839" w:type="dxa"/>
          </w:tcPr>
          <w:p w:rsidR="00676E25" w:rsidRPr="00806023" w:rsidRDefault="00676E25">
            <w:pPr>
              <w:jc w:val="both"/>
              <w:rPr>
                <w:sz w:val="22"/>
                <w:szCs w:val="22"/>
              </w:rPr>
            </w:pPr>
            <w:r w:rsidRPr="00806023">
              <w:rPr>
                <w:sz w:val="22"/>
                <w:szCs w:val="22"/>
              </w:rPr>
              <w:t>Beginning ABE Literacy</w:t>
            </w:r>
          </w:p>
        </w:tc>
        <w:tc>
          <w:tcPr>
            <w:tcW w:w="1177" w:type="dxa"/>
          </w:tcPr>
          <w:p w:rsidR="00676E25" w:rsidRPr="00806023" w:rsidRDefault="00A37B8C">
            <w:pPr>
              <w:jc w:val="both"/>
              <w:rPr>
                <w:sz w:val="22"/>
                <w:szCs w:val="22"/>
              </w:rPr>
            </w:pPr>
            <w:r w:rsidRPr="00806023">
              <w:rPr>
                <w:sz w:val="22"/>
                <w:szCs w:val="22"/>
              </w:rPr>
              <w:t>42</w:t>
            </w:r>
            <w:r w:rsidR="00676E25" w:rsidRPr="00806023">
              <w:rPr>
                <w:sz w:val="22"/>
                <w:szCs w:val="22"/>
              </w:rPr>
              <w:t>%</w:t>
            </w:r>
          </w:p>
        </w:tc>
        <w:tc>
          <w:tcPr>
            <w:tcW w:w="1260" w:type="dxa"/>
          </w:tcPr>
          <w:p w:rsidR="00676E25" w:rsidRPr="00806023" w:rsidRDefault="009144D0">
            <w:pPr>
              <w:jc w:val="both"/>
              <w:rPr>
                <w:b/>
                <w:sz w:val="22"/>
                <w:szCs w:val="22"/>
              </w:rPr>
            </w:pPr>
            <w:r w:rsidRPr="00806023">
              <w:rPr>
                <w:b/>
                <w:sz w:val="22"/>
                <w:szCs w:val="22"/>
              </w:rPr>
              <w:t>37</w:t>
            </w:r>
            <w:r w:rsidR="00676E25" w:rsidRPr="00806023">
              <w:rPr>
                <w:b/>
                <w:sz w:val="22"/>
                <w:szCs w:val="22"/>
              </w:rPr>
              <w:t>%</w:t>
            </w:r>
            <w:r w:rsidR="000D4248" w:rsidRPr="00806023">
              <w:rPr>
                <w:b/>
                <w:sz w:val="22"/>
                <w:szCs w:val="22"/>
              </w:rPr>
              <w:t>*</w:t>
            </w:r>
          </w:p>
        </w:tc>
      </w:tr>
      <w:tr w:rsidR="00E54A82" w:rsidRPr="00806023" w:rsidTr="00676E25">
        <w:trPr>
          <w:cantSplit/>
          <w:trHeight w:val="300"/>
          <w:jc w:val="center"/>
        </w:trPr>
        <w:tc>
          <w:tcPr>
            <w:tcW w:w="4839" w:type="dxa"/>
          </w:tcPr>
          <w:p w:rsidR="00676E25" w:rsidRPr="00806023" w:rsidRDefault="00676E25">
            <w:pPr>
              <w:jc w:val="both"/>
              <w:rPr>
                <w:sz w:val="22"/>
                <w:szCs w:val="22"/>
              </w:rPr>
            </w:pPr>
            <w:r w:rsidRPr="00806023">
              <w:rPr>
                <w:sz w:val="22"/>
                <w:szCs w:val="22"/>
              </w:rPr>
              <w:t>Beginning ABE Education</w:t>
            </w:r>
          </w:p>
        </w:tc>
        <w:tc>
          <w:tcPr>
            <w:tcW w:w="1177" w:type="dxa"/>
          </w:tcPr>
          <w:p w:rsidR="00676E25" w:rsidRPr="00806023" w:rsidRDefault="002A1825">
            <w:pPr>
              <w:jc w:val="both"/>
              <w:rPr>
                <w:sz w:val="22"/>
                <w:szCs w:val="22"/>
              </w:rPr>
            </w:pPr>
            <w:r w:rsidRPr="00806023">
              <w:rPr>
                <w:sz w:val="22"/>
                <w:szCs w:val="22"/>
              </w:rPr>
              <w:t>42</w:t>
            </w:r>
            <w:r w:rsidR="00676E25" w:rsidRPr="00806023">
              <w:rPr>
                <w:sz w:val="22"/>
                <w:szCs w:val="22"/>
              </w:rPr>
              <w:t>%</w:t>
            </w:r>
          </w:p>
        </w:tc>
        <w:tc>
          <w:tcPr>
            <w:tcW w:w="1260" w:type="dxa"/>
          </w:tcPr>
          <w:p w:rsidR="00676E25" w:rsidRPr="00806023" w:rsidRDefault="009144D0">
            <w:pPr>
              <w:jc w:val="both"/>
              <w:rPr>
                <w:b/>
                <w:sz w:val="22"/>
                <w:szCs w:val="22"/>
              </w:rPr>
            </w:pPr>
            <w:r w:rsidRPr="00806023">
              <w:rPr>
                <w:b/>
                <w:sz w:val="22"/>
                <w:szCs w:val="22"/>
              </w:rPr>
              <w:t>29</w:t>
            </w:r>
            <w:r w:rsidR="00676E25" w:rsidRPr="00806023">
              <w:rPr>
                <w:b/>
                <w:sz w:val="22"/>
                <w:szCs w:val="22"/>
              </w:rPr>
              <w:t>%</w:t>
            </w:r>
            <w:r w:rsidR="000D4248" w:rsidRPr="00806023">
              <w:rPr>
                <w:b/>
                <w:sz w:val="22"/>
                <w:szCs w:val="22"/>
              </w:rPr>
              <w:t>*</w:t>
            </w:r>
          </w:p>
        </w:tc>
      </w:tr>
      <w:tr w:rsidR="00E54A82" w:rsidRPr="00806023" w:rsidTr="00676E25">
        <w:trPr>
          <w:cantSplit/>
          <w:trHeight w:val="300"/>
          <w:jc w:val="center"/>
        </w:trPr>
        <w:tc>
          <w:tcPr>
            <w:tcW w:w="4839" w:type="dxa"/>
          </w:tcPr>
          <w:p w:rsidR="00676E25" w:rsidRPr="00806023" w:rsidRDefault="00676E25">
            <w:pPr>
              <w:rPr>
                <w:sz w:val="22"/>
                <w:szCs w:val="22"/>
              </w:rPr>
            </w:pPr>
            <w:r w:rsidRPr="00806023">
              <w:rPr>
                <w:sz w:val="22"/>
                <w:szCs w:val="22"/>
              </w:rPr>
              <w:t>Low Intermediate Basic Education</w:t>
            </w:r>
          </w:p>
        </w:tc>
        <w:tc>
          <w:tcPr>
            <w:tcW w:w="1177" w:type="dxa"/>
          </w:tcPr>
          <w:p w:rsidR="00676E25" w:rsidRPr="00806023" w:rsidRDefault="002A1825">
            <w:pPr>
              <w:jc w:val="both"/>
              <w:rPr>
                <w:sz w:val="22"/>
                <w:szCs w:val="22"/>
              </w:rPr>
            </w:pPr>
            <w:r w:rsidRPr="00806023">
              <w:rPr>
                <w:sz w:val="22"/>
                <w:szCs w:val="22"/>
              </w:rPr>
              <w:t>40</w:t>
            </w:r>
            <w:r w:rsidR="00676E25" w:rsidRPr="00806023">
              <w:rPr>
                <w:sz w:val="22"/>
                <w:szCs w:val="22"/>
              </w:rPr>
              <w:t>%</w:t>
            </w:r>
          </w:p>
        </w:tc>
        <w:tc>
          <w:tcPr>
            <w:tcW w:w="1260" w:type="dxa"/>
          </w:tcPr>
          <w:p w:rsidR="00676E25" w:rsidRPr="00806023" w:rsidRDefault="009144D0">
            <w:pPr>
              <w:jc w:val="both"/>
              <w:rPr>
                <w:b/>
                <w:sz w:val="22"/>
                <w:szCs w:val="22"/>
              </w:rPr>
            </w:pPr>
            <w:r w:rsidRPr="00806023">
              <w:rPr>
                <w:b/>
                <w:sz w:val="22"/>
                <w:szCs w:val="22"/>
              </w:rPr>
              <w:t>29</w:t>
            </w:r>
            <w:r w:rsidR="00676E25" w:rsidRPr="00806023">
              <w:rPr>
                <w:b/>
                <w:sz w:val="22"/>
                <w:szCs w:val="22"/>
              </w:rPr>
              <w:t>%</w:t>
            </w:r>
            <w:r w:rsidR="00E25799" w:rsidRPr="00806023">
              <w:rPr>
                <w:b/>
                <w:sz w:val="22"/>
                <w:szCs w:val="22"/>
              </w:rPr>
              <w:t>*</w:t>
            </w:r>
          </w:p>
        </w:tc>
      </w:tr>
      <w:tr w:rsidR="00E54A82" w:rsidRPr="00806023" w:rsidTr="00676E25">
        <w:trPr>
          <w:cantSplit/>
          <w:trHeight w:val="300"/>
          <w:jc w:val="center"/>
        </w:trPr>
        <w:tc>
          <w:tcPr>
            <w:tcW w:w="4839" w:type="dxa"/>
          </w:tcPr>
          <w:p w:rsidR="00676E25" w:rsidRPr="00806023" w:rsidRDefault="00676E25">
            <w:pPr>
              <w:rPr>
                <w:sz w:val="22"/>
                <w:szCs w:val="22"/>
              </w:rPr>
            </w:pPr>
            <w:r w:rsidRPr="00806023">
              <w:rPr>
                <w:sz w:val="22"/>
                <w:szCs w:val="22"/>
              </w:rPr>
              <w:t>High Intermediate Basic Education</w:t>
            </w:r>
          </w:p>
        </w:tc>
        <w:tc>
          <w:tcPr>
            <w:tcW w:w="1177" w:type="dxa"/>
          </w:tcPr>
          <w:p w:rsidR="00676E25" w:rsidRPr="00806023" w:rsidRDefault="002A1825">
            <w:pPr>
              <w:jc w:val="both"/>
              <w:rPr>
                <w:sz w:val="22"/>
                <w:szCs w:val="22"/>
              </w:rPr>
            </w:pPr>
            <w:r w:rsidRPr="00806023">
              <w:rPr>
                <w:sz w:val="22"/>
                <w:szCs w:val="22"/>
              </w:rPr>
              <w:t>35</w:t>
            </w:r>
            <w:r w:rsidR="00676E25" w:rsidRPr="00806023">
              <w:rPr>
                <w:sz w:val="22"/>
                <w:szCs w:val="22"/>
              </w:rPr>
              <w:t>%</w:t>
            </w:r>
          </w:p>
        </w:tc>
        <w:tc>
          <w:tcPr>
            <w:tcW w:w="1260" w:type="dxa"/>
          </w:tcPr>
          <w:p w:rsidR="00676E25" w:rsidRPr="00806023" w:rsidRDefault="009144D0">
            <w:pPr>
              <w:jc w:val="both"/>
              <w:rPr>
                <w:b/>
                <w:sz w:val="22"/>
                <w:szCs w:val="22"/>
              </w:rPr>
            </w:pPr>
            <w:r w:rsidRPr="00806023">
              <w:rPr>
                <w:b/>
                <w:sz w:val="22"/>
                <w:szCs w:val="22"/>
              </w:rPr>
              <w:t>25</w:t>
            </w:r>
            <w:r w:rsidR="00676E25" w:rsidRPr="00806023">
              <w:rPr>
                <w:b/>
                <w:sz w:val="22"/>
                <w:szCs w:val="22"/>
              </w:rPr>
              <w:t>%</w:t>
            </w:r>
            <w:r w:rsidR="00E25799" w:rsidRPr="00806023">
              <w:rPr>
                <w:b/>
                <w:sz w:val="22"/>
                <w:szCs w:val="22"/>
              </w:rPr>
              <w:t>*</w:t>
            </w:r>
          </w:p>
        </w:tc>
      </w:tr>
      <w:tr w:rsidR="00E54A82" w:rsidRPr="00806023" w:rsidTr="00676E25">
        <w:trPr>
          <w:cantSplit/>
          <w:trHeight w:val="300"/>
          <w:jc w:val="center"/>
        </w:trPr>
        <w:tc>
          <w:tcPr>
            <w:tcW w:w="4839" w:type="dxa"/>
          </w:tcPr>
          <w:p w:rsidR="00676E25" w:rsidRPr="00806023" w:rsidRDefault="00676E25">
            <w:pPr>
              <w:rPr>
                <w:sz w:val="22"/>
                <w:szCs w:val="22"/>
              </w:rPr>
            </w:pPr>
            <w:r w:rsidRPr="00806023">
              <w:rPr>
                <w:sz w:val="22"/>
                <w:szCs w:val="22"/>
              </w:rPr>
              <w:t>Low Adult Secondary Education</w:t>
            </w:r>
          </w:p>
        </w:tc>
        <w:tc>
          <w:tcPr>
            <w:tcW w:w="1177" w:type="dxa"/>
          </w:tcPr>
          <w:p w:rsidR="00676E25" w:rsidRPr="00806023" w:rsidRDefault="002A1825">
            <w:pPr>
              <w:jc w:val="both"/>
              <w:rPr>
                <w:sz w:val="22"/>
                <w:szCs w:val="22"/>
              </w:rPr>
            </w:pPr>
            <w:r w:rsidRPr="00806023">
              <w:rPr>
                <w:sz w:val="22"/>
                <w:szCs w:val="22"/>
              </w:rPr>
              <w:t>32</w:t>
            </w:r>
            <w:r w:rsidR="00676E25" w:rsidRPr="00806023">
              <w:rPr>
                <w:sz w:val="22"/>
                <w:szCs w:val="22"/>
              </w:rPr>
              <w:t>%</w:t>
            </w:r>
          </w:p>
        </w:tc>
        <w:tc>
          <w:tcPr>
            <w:tcW w:w="1260" w:type="dxa"/>
          </w:tcPr>
          <w:p w:rsidR="00676E25" w:rsidRPr="00806023" w:rsidRDefault="009144D0">
            <w:pPr>
              <w:jc w:val="both"/>
              <w:rPr>
                <w:b/>
                <w:sz w:val="22"/>
                <w:szCs w:val="22"/>
              </w:rPr>
            </w:pPr>
            <w:r w:rsidRPr="00806023">
              <w:rPr>
                <w:b/>
                <w:sz w:val="22"/>
                <w:szCs w:val="22"/>
              </w:rPr>
              <w:t>26</w:t>
            </w:r>
            <w:r w:rsidR="00676E25" w:rsidRPr="00806023">
              <w:rPr>
                <w:b/>
                <w:sz w:val="22"/>
                <w:szCs w:val="22"/>
              </w:rPr>
              <w:t>%</w:t>
            </w:r>
            <w:r w:rsidR="00E25799" w:rsidRPr="00806023">
              <w:rPr>
                <w:b/>
                <w:sz w:val="22"/>
                <w:szCs w:val="22"/>
              </w:rPr>
              <w:t>*</w:t>
            </w:r>
          </w:p>
        </w:tc>
      </w:tr>
      <w:tr w:rsidR="00E54A82" w:rsidRPr="00806023" w:rsidTr="00676E25">
        <w:trPr>
          <w:cantSplit/>
          <w:trHeight w:val="300"/>
          <w:jc w:val="center"/>
        </w:trPr>
        <w:tc>
          <w:tcPr>
            <w:tcW w:w="4839" w:type="dxa"/>
          </w:tcPr>
          <w:p w:rsidR="00676E25" w:rsidRPr="00806023" w:rsidRDefault="00676E25">
            <w:pPr>
              <w:rPr>
                <w:sz w:val="22"/>
                <w:szCs w:val="22"/>
              </w:rPr>
            </w:pPr>
            <w:r w:rsidRPr="00806023">
              <w:rPr>
                <w:sz w:val="22"/>
                <w:szCs w:val="22"/>
              </w:rPr>
              <w:t>High Adult Secondary Education</w:t>
            </w:r>
          </w:p>
        </w:tc>
        <w:tc>
          <w:tcPr>
            <w:tcW w:w="1177" w:type="dxa"/>
          </w:tcPr>
          <w:p w:rsidR="00676E25" w:rsidRPr="00806023" w:rsidRDefault="00676E25">
            <w:pPr>
              <w:jc w:val="both"/>
              <w:rPr>
                <w:sz w:val="22"/>
                <w:szCs w:val="22"/>
              </w:rPr>
            </w:pPr>
            <w:r w:rsidRPr="00806023">
              <w:rPr>
                <w:sz w:val="22"/>
                <w:szCs w:val="22"/>
              </w:rPr>
              <w:t>N/A</w:t>
            </w:r>
          </w:p>
        </w:tc>
        <w:tc>
          <w:tcPr>
            <w:tcW w:w="1260" w:type="dxa"/>
          </w:tcPr>
          <w:p w:rsidR="00676E25" w:rsidRPr="00806023" w:rsidRDefault="00676E25">
            <w:pPr>
              <w:jc w:val="both"/>
              <w:rPr>
                <w:b/>
                <w:sz w:val="22"/>
                <w:szCs w:val="22"/>
              </w:rPr>
            </w:pPr>
            <w:r w:rsidRPr="00806023">
              <w:rPr>
                <w:b/>
                <w:sz w:val="22"/>
                <w:szCs w:val="22"/>
              </w:rPr>
              <w:t>N/A</w:t>
            </w:r>
          </w:p>
        </w:tc>
      </w:tr>
      <w:tr w:rsidR="00E54A82" w:rsidRPr="00806023" w:rsidTr="00676E25">
        <w:trPr>
          <w:cantSplit/>
          <w:trHeight w:val="300"/>
          <w:jc w:val="center"/>
        </w:trPr>
        <w:tc>
          <w:tcPr>
            <w:tcW w:w="4839" w:type="dxa"/>
          </w:tcPr>
          <w:p w:rsidR="00676E25" w:rsidRPr="00806023" w:rsidRDefault="00676E25">
            <w:pPr>
              <w:jc w:val="both"/>
              <w:rPr>
                <w:sz w:val="22"/>
                <w:szCs w:val="22"/>
              </w:rPr>
            </w:pPr>
            <w:r w:rsidRPr="00806023">
              <w:rPr>
                <w:sz w:val="22"/>
                <w:szCs w:val="22"/>
              </w:rPr>
              <w:t>Beginning ESL Literacy</w:t>
            </w:r>
          </w:p>
        </w:tc>
        <w:tc>
          <w:tcPr>
            <w:tcW w:w="1177" w:type="dxa"/>
          </w:tcPr>
          <w:p w:rsidR="00676E25" w:rsidRPr="00806023" w:rsidRDefault="008D62FC">
            <w:pPr>
              <w:jc w:val="both"/>
              <w:rPr>
                <w:sz w:val="22"/>
                <w:szCs w:val="22"/>
              </w:rPr>
            </w:pPr>
            <w:r w:rsidRPr="00806023">
              <w:rPr>
                <w:sz w:val="22"/>
                <w:szCs w:val="22"/>
              </w:rPr>
              <w:t>60</w:t>
            </w:r>
            <w:r w:rsidR="00676E25" w:rsidRPr="00806023">
              <w:rPr>
                <w:sz w:val="22"/>
                <w:szCs w:val="22"/>
              </w:rPr>
              <w:t>%</w:t>
            </w:r>
          </w:p>
        </w:tc>
        <w:tc>
          <w:tcPr>
            <w:tcW w:w="1260" w:type="dxa"/>
          </w:tcPr>
          <w:p w:rsidR="00676E25" w:rsidRPr="00806023" w:rsidRDefault="005168E9">
            <w:pPr>
              <w:jc w:val="both"/>
              <w:rPr>
                <w:b/>
                <w:sz w:val="22"/>
                <w:szCs w:val="22"/>
              </w:rPr>
            </w:pPr>
            <w:r w:rsidRPr="00806023">
              <w:rPr>
                <w:b/>
                <w:sz w:val="22"/>
                <w:szCs w:val="22"/>
              </w:rPr>
              <w:t>56</w:t>
            </w:r>
            <w:r w:rsidR="00676E25" w:rsidRPr="00806023">
              <w:rPr>
                <w:b/>
                <w:sz w:val="22"/>
                <w:szCs w:val="22"/>
              </w:rPr>
              <w:t>%</w:t>
            </w:r>
            <w:r w:rsidR="00E25799" w:rsidRPr="00806023">
              <w:rPr>
                <w:b/>
                <w:sz w:val="22"/>
                <w:szCs w:val="22"/>
              </w:rPr>
              <w:t>*</w:t>
            </w:r>
          </w:p>
        </w:tc>
      </w:tr>
      <w:tr w:rsidR="00E54A82" w:rsidRPr="00806023" w:rsidTr="00676E25">
        <w:trPr>
          <w:cantSplit/>
          <w:trHeight w:val="300"/>
          <w:jc w:val="center"/>
        </w:trPr>
        <w:tc>
          <w:tcPr>
            <w:tcW w:w="4839" w:type="dxa"/>
          </w:tcPr>
          <w:p w:rsidR="00676E25" w:rsidRPr="00806023" w:rsidRDefault="00676E25">
            <w:pPr>
              <w:jc w:val="both"/>
              <w:rPr>
                <w:sz w:val="22"/>
                <w:szCs w:val="22"/>
              </w:rPr>
            </w:pPr>
            <w:r w:rsidRPr="00806023">
              <w:rPr>
                <w:sz w:val="22"/>
                <w:szCs w:val="22"/>
              </w:rPr>
              <w:t xml:space="preserve">Low Beginning ESL </w:t>
            </w:r>
          </w:p>
        </w:tc>
        <w:tc>
          <w:tcPr>
            <w:tcW w:w="1177" w:type="dxa"/>
          </w:tcPr>
          <w:p w:rsidR="00676E25" w:rsidRPr="00806023" w:rsidRDefault="00676E25">
            <w:pPr>
              <w:jc w:val="both"/>
              <w:rPr>
                <w:sz w:val="22"/>
                <w:szCs w:val="22"/>
              </w:rPr>
            </w:pPr>
            <w:r w:rsidRPr="00806023">
              <w:rPr>
                <w:sz w:val="22"/>
                <w:szCs w:val="22"/>
              </w:rPr>
              <w:t>6</w:t>
            </w:r>
            <w:r w:rsidR="008D62FC" w:rsidRPr="00806023">
              <w:rPr>
                <w:sz w:val="22"/>
                <w:szCs w:val="22"/>
              </w:rPr>
              <w:t>0</w:t>
            </w:r>
            <w:r w:rsidRPr="00806023">
              <w:rPr>
                <w:sz w:val="22"/>
                <w:szCs w:val="22"/>
              </w:rPr>
              <w:t>%</w:t>
            </w:r>
          </w:p>
        </w:tc>
        <w:tc>
          <w:tcPr>
            <w:tcW w:w="1260" w:type="dxa"/>
          </w:tcPr>
          <w:p w:rsidR="00676E25" w:rsidRPr="00806023" w:rsidRDefault="005168E9">
            <w:pPr>
              <w:jc w:val="both"/>
              <w:rPr>
                <w:b/>
                <w:sz w:val="22"/>
                <w:szCs w:val="22"/>
              </w:rPr>
            </w:pPr>
            <w:r w:rsidRPr="00806023">
              <w:rPr>
                <w:b/>
                <w:sz w:val="22"/>
                <w:szCs w:val="22"/>
              </w:rPr>
              <w:t>63</w:t>
            </w:r>
            <w:r w:rsidR="00676E25" w:rsidRPr="00806023">
              <w:rPr>
                <w:b/>
                <w:sz w:val="22"/>
                <w:szCs w:val="22"/>
              </w:rPr>
              <w:t>%</w:t>
            </w:r>
          </w:p>
        </w:tc>
      </w:tr>
      <w:tr w:rsidR="00E54A82" w:rsidRPr="00806023" w:rsidTr="00676E25">
        <w:trPr>
          <w:cantSplit/>
          <w:trHeight w:val="300"/>
          <w:jc w:val="center"/>
        </w:trPr>
        <w:tc>
          <w:tcPr>
            <w:tcW w:w="4839" w:type="dxa"/>
          </w:tcPr>
          <w:p w:rsidR="00676E25" w:rsidRPr="00806023" w:rsidRDefault="00676E25">
            <w:pPr>
              <w:jc w:val="both"/>
              <w:rPr>
                <w:sz w:val="22"/>
                <w:szCs w:val="22"/>
              </w:rPr>
            </w:pPr>
            <w:r w:rsidRPr="00806023">
              <w:rPr>
                <w:sz w:val="22"/>
                <w:szCs w:val="22"/>
              </w:rPr>
              <w:t>High Beginning ESL</w:t>
            </w:r>
          </w:p>
        </w:tc>
        <w:tc>
          <w:tcPr>
            <w:tcW w:w="1177" w:type="dxa"/>
          </w:tcPr>
          <w:p w:rsidR="00676E25" w:rsidRPr="00806023" w:rsidRDefault="008D62FC">
            <w:pPr>
              <w:jc w:val="both"/>
              <w:rPr>
                <w:sz w:val="22"/>
                <w:szCs w:val="22"/>
              </w:rPr>
            </w:pPr>
            <w:r w:rsidRPr="00806023">
              <w:rPr>
                <w:sz w:val="22"/>
                <w:szCs w:val="22"/>
              </w:rPr>
              <w:t>55</w:t>
            </w:r>
            <w:r w:rsidR="00676E25" w:rsidRPr="00806023">
              <w:rPr>
                <w:sz w:val="22"/>
                <w:szCs w:val="22"/>
              </w:rPr>
              <w:t>%</w:t>
            </w:r>
          </w:p>
        </w:tc>
        <w:tc>
          <w:tcPr>
            <w:tcW w:w="1260" w:type="dxa"/>
          </w:tcPr>
          <w:p w:rsidR="00676E25" w:rsidRPr="00806023" w:rsidRDefault="005168E9" w:rsidP="00D11254">
            <w:pPr>
              <w:jc w:val="both"/>
              <w:rPr>
                <w:b/>
                <w:sz w:val="22"/>
                <w:szCs w:val="22"/>
              </w:rPr>
            </w:pPr>
            <w:r w:rsidRPr="00806023">
              <w:rPr>
                <w:b/>
                <w:sz w:val="22"/>
                <w:szCs w:val="22"/>
              </w:rPr>
              <w:t>55</w:t>
            </w:r>
            <w:r w:rsidR="00D11254" w:rsidRPr="00806023">
              <w:rPr>
                <w:b/>
                <w:sz w:val="22"/>
                <w:szCs w:val="22"/>
              </w:rPr>
              <w:t>%</w:t>
            </w:r>
          </w:p>
        </w:tc>
      </w:tr>
      <w:tr w:rsidR="00E54A82" w:rsidRPr="00806023" w:rsidTr="00676E25">
        <w:trPr>
          <w:cantSplit/>
          <w:trHeight w:val="300"/>
          <w:jc w:val="center"/>
        </w:trPr>
        <w:tc>
          <w:tcPr>
            <w:tcW w:w="4839" w:type="dxa"/>
          </w:tcPr>
          <w:p w:rsidR="00676E25" w:rsidRPr="00806023" w:rsidRDefault="00676E25">
            <w:pPr>
              <w:jc w:val="both"/>
              <w:rPr>
                <w:sz w:val="22"/>
                <w:szCs w:val="22"/>
              </w:rPr>
            </w:pPr>
            <w:r w:rsidRPr="00806023">
              <w:rPr>
                <w:sz w:val="22"/>
                <w:szCs w:val="22"/>
              </w:rPr>
              <w:t>Low Intermediate ESL</w:t>
            </w:r>
          </w:p>
        </w:tc>
        <w:tc>
          <w:tcPr>
            <w:tcW w:w="1177" w:type="dxa"/>
          </w:tcPr>
          <w:p w:rsidR="00676E25" w:rsidRPr="00806023" w:rsidRDefault="008D62FC">
            <w:pPr>
              <w:jc w:val="both"/>
              <w:rPr>
                <w:sz w:val="22"/>
                <w:szCs w:val="22"/>
              </w:rPr>
            </w:pPr>
            <w:r w:rsidRPr="00806023">
              <w:rPr>
                <w:sz w:val="22"/>
                <w:szCs w:val="22"/>
              </w:rPr>
              <w:t>45</w:t>
            </w:r>
            <w:r w:rsidR="00676E25" w:rsidRPr="00806023">
              <w:rPr>
                <w:sz w:val="22"/>
                <w:szCs w:val="22"/>
              </w:rPr>
              <w:t>%</w:t>
            </w:r>
          </w:p>
        </w:tc>
        <w:tc>
          <w:tcPr>
            <w:tcW w:w="1260" w:type="dxa"/>
          </w:tcPr>
          <w:p w:rsidR="00676E25" w:rsidRPr="00806023" w:rsidRDefault="005168E9">
            <w:pPr>
              <w:jc w:val="both"/>
              <w:rPr>
                <w:b/>
                <w:sz w:val="22"/>
                <w:szCs w:val="22"/>
              </w:rPr>
            </w:pPr>
            <w:r w:rsidRPr="00806023">
              <w:rPr>
                <w:b/>
                <w:sz w:val="22"/>
                <w:szCs w:val="22"/>
              </w:rPr>
              <w:t>46</w:t>
            </w:r>
            <w:r w:rsidR="00676E25" w:rsidRPr="00806023">
              <w:rPr>
                <w:b/>
                <w:sz w:val="22"/>
                <w:szCs w:val="22"/>
              </w:rPr>
              <w:t>%</w:t>
            </w:r>
          </w:p>
        </w:tc>
      </w:tr>
      <w:tr w:rsidR="00E54A82" w:rsidRPr="00806023" w:rsidTr="00676E25">
        <w:trPr>
          <w:cantSplit/>
          <w:trHeight w:val="300"/>
          <w:jc w:val="center"/>
        </w:trPr>
        <w:tc>
          <w:tcPr>
            <w:tcW w:w="4839" w:type="dxa"/>
          </w:tcPr>
          <w:p w:rsidR="00676E25" w:rsidRPr="00806023" w:rsidRDefault="00676E25">
            <w:pPr>
              <w:jc w:val="both"/>
              <w:rPr>
                <w:sz w:val="22"/>
                <w:szCs w:val="22"/>
              </w:rPr>
            </w:pPr>
            <w:r w:rsidRPr="00806023">
              <w:rPr>
                <w:sz w:val="22"/>
                <w:szCs w:val="22"/>
              </w:rPr>
              <w:t>High Intermediate ESL</w:t>
            </w:r>
          </w:p>
        </w:tc>
        <w:tc>
          <w:tcPr>
            <w:tcW w:w="1177" w:type="dxa"/>
          </w:tcPr>
          <w:p w:rsidR="00676E25" w:rsidRPr="00806023" w:rsidRDefault="008D62FC" w:rsidP="00114B52">
            <w:pPr>
              <w:jc w:val="both"/>
              <w:rPr>
                <w:sz w:val="22"/>
                <w:szCs w:val="22"/>
              </w:rPr>
            </w:pPr>
            <w:r w:rsidRPr="00806023">
              <w:rPr>
                <w:sz w:val="22"/>
                <w:szCs w:val="22"/>
              </w:rPr>
              <w:t>48</w:t>
            </w:r>
            <w:r w:rsidR="00676E25" w:rsidRPr="00806023">
              <w:rPr>
                <w:sz w:val="22"/>
                <w:szCs w:val="22"/>
              </w:rPr>
              <w:t>%</w:t>
            </w:r>
          </w:p>
        </w:tc>
        <w:tc>
          <w:tcPr>
            <w:tcW w:w="1260" w:type="dxa"/>
          </w:tcPr>
          <w:p w:rsidR="00676E25" w:rsidRPr="00806023" w:rsidRDefault="005168E9">
            <w:pPr>
              <w:jc w:val="both"/>
              <w:rPr>
                <w:b/>
                <w:sz w:val="22"/>
                <w:szCs w:val="22"/>
              </w:rPr>
            </w:pPr>
            <w:r w:rsidRPr="00806023">
              <w:rPr>
                <w:b/>
                <w:sz w:val="22"/>
                <w:szCs w:val="22"/>
              </w:rPr>
              <w:t>43</w:t>
            </w:r>
            <w:r w:rsidR="00676E25" w:rsidRPr="00806023">
              <w:rPr>
                <w:b/>
                <w:sz w:val="22"/>
                <w:szCs w:val="22"/>
              </w:rPr>
              <w:t>%</w:t>
            </w:r>
            <w:r w:rsidR="000D4248" w:rsidRPr="00806023">
              <w:rPr>
                <w:b/>
                <w:sz w:val="22"/>
                <w:szCs w:val="22"/>
              </w:rPr>
              <w:t>*</w:t>
            </w:r>
          </w:p>
        </w:tc>
      </w:tr>
      <w:tr w:rsidR="00E54A82" w:rsidRPr="00806023" w:rsidTr="00676E25">
        <w:trPr>
          <w:cantSplit/>
          <w:trHeight w:val="300"/>
          <w:jc w:val="center"/>
        </w:trPr>
        <w:tc>
          <w:tcPr>
            <w:tcW w:w="4839" w:type="dxa"/>
            <w:tcBorders>
              <w:bottom w:val="single" w:sz="4" w:space="0" w:color="auto"/>
            </w:tcBorders>
          </w:tcPr>
          <w:p w:rsidR="00676E25" w:rsidRPr="00806023" w:rsidRDefault="00676E25">
            <w:pPr>
              <w:jc w:val="both"/>
              <w:rPr>
                <w:sz w:val="22"/>
                <w:szCs w:val="22"/>
              </w:rPr>
            </w:pPr>
            <w:r w:rsidRPr="00806023">
              <w:rPr>
                <w:sz w:val="22"/>
                <w:szCs w:val="22"/>
              </w:rPr>
              <w:t>Advanced ESL</w:t>
            </w:r>
          </w:p>
        </w:tc>
        <w:tc>
          <w:tcPr>
            <w:tcW w:w="1177" w:type="dxa"/>
            <w:tcBorders>
              <w:bottom w:val="single" w:sz="4" w:space="0" w:color="auto"/>
            </w:tcBorders>
          </w:tcPr>
          <w:p w:rsidR="00676E25" w:rsidRPr="00806023" w:rsidRDefault="00676E25" w:rsidP="00114B52">
            <w:pPr>
              <w:jc w:val="both"/>
              <w:rPr>
                <w:sz w:val="22"/>
                <w:szCs w:val="22"/>
              </w:rPr>
            </w:pPr>
            <w:r w:rsidRPr="00806023">
              <w:rPr>
                <w:sz w:val="22"/>
                <w:szCs w:val="22"/>
              </w:rPr>
              <w:t>5</w:t>
            </w:r>
            <w:r w:rsidR="008D62FC" w:rsidRPr="00806023">
              <w:rPr>
                <w:sz w:val="22"/>
                <w:szCs w:val="22"/>
              </w:rPr>
              <w:t>3</w:t>
            </w:r>
            <w:r w:rsidRPr="00806023">
              <w:rPr>
                <w:sz w:val="22"/>
                <w:szCs w:val="22"/>
              </w:rPr>
              <w:t>%</w:t>
            </w:r>
          </w:p>
        </w:tc>
        <w:tc>
          <w:tcPr>
            <w:tcW w:w="1260" w:type="dxa"/>
            <w:tcBorders>
              <w:bottom w:val="single" w:sz="4" w:space="0" w:color="auto"/>
            </w:tcBorders>
          </w:tcPr>
          <w:p w:rsidR="00676E25" w:rsidRPr="00806023" w:rsidRDefault="005168E9">
            <w:pPr>
              <w:jc w:val="both"/>
              <w:rPr>
                <w:b/>
                <w:sz w:val="22"/>
                <w:szCs w:val="22"/>
              </w:rPr>
            </w:pPr>
            <w:r w:rsidRPr="00806023">
              <w:rPr>
                <w:b/>
                <w:sz w:val="22"/>
                <w:szCs w:val="22"/>
              </w:rPr>
              <w:t>19</w:t>
            </w:r>
            <w:r w:rsidR="00676E25" w:rsidRPr="00806023">
              <w:rPr>
                <w:b/>
                <w:sz w:val="22"/>
                <w:szCs w:val="22"/>
              </w:rPr>
              <w:t>%</w:t>
            </w:r>
            <w:r w:rsidR="000D4248" w:rsidRPr="00806023">
              <w:rPr>
                <w:b/>
                <w:sz w:val="22"/>
                <w:szCs w:val="22"/>
              </w:rPr>
              <w:t>*</w:t>
            </w:r>
          </w:p>
        </w:tc>
      </w:tr>
    </w:tbl>
    <w:p w:rsidR="004952B0" w:rsidRPr="00806023" w:rsidRDefault="004952B0" w:rsidP="00A23E55">
      <w:pPr>
        <w:pStyle w:val="BodyTextIndent"/>
        <w:tabs>
          <w:tab w:val="left" w:pos="360"/>
          <w:tab w:val="left" w:pos="1080"/>
          <w:tab w:val="left" w:pos="1440"/>
          <w:tab w:val="left" w:pos="1980"/>
          <w:tab w:val="left" w:pos="4320"/>
          <w:tab w:val="left" w:pos="5040"/>
          <w:tab w:val="left" w:pos="6840"/>
          <w:tab w:val="left" w:pos="7200"/>
          <w:tab w:val="left" w:pos="7755"/>
        </w:tabs>
        <w:jc w:val="center"/>
        <w:rPr>
          <w:b/>
          <w:bCs/>
          <w:color w:val="auto"/>
          <w:sz w:val="22"/>
          <w:szCs w:val="22"/>
        </w:rPr>
      </w:pPr>
    </w:p>
    <w:p w:rsidR="004952B0" w:rsidRPr="00806023" w:rsidRDefault="004952B0">
      <w:pPr>
        <w:pStyle w:val="BodyTextIndent"/>
        <w:tabs>
          <w:tab w:val="left" w:pos="360"/>
          <w:tab w:val="left" w:pos="1080"/>
          <w:tab w:val="left" w:pos="1440"/>
          <w:tab w:val="left" w:pos="1980"/>
          <w:tab w:val="left" w:pos="4320"/>
          <w:tab w:val="left" w:pos="5040"/>
          <w:tab w:val="left" w:pos="6840"/>
          <w:tab w:val="left" w:pos="7200"/>
          <w:tab w:val="left" w:pos="7755"/>
        </w:tabs>
        <w:jc w:val="center"/>
        <w:rPr>
          <w:b/>
          <w:bCs/>
          <w:color w:val="auto"/>
          <w:sz w:val="22"/>
          <w:szCs w:val="22"/>
        </w:rPr>
      </w:pPr>
    </w:p>
    <w:p w:rsidR="00555C35" w:rsidRPr="00806023" w:rsidRDefault="00117F2F">
      <w:pPr>
        <w:pStyle w:val="BodyTextIndent"/>
        <w:tabs>
          <w:tab w:val="left" w:pos="360"/>
          <w:tab w:val="left" w:pos="1080"/>
          <w:tab w:val="left" w:pos="1440"/>
          <w:tab w:val="left" w:pos="1980"/>
          <w:tab w:val="left" w:pos="4320"/>
          <w:tab w:val="left" w:pos="5040"/>
          <w:tab w:val="left" w:pos="6840"/>
          <w:tab w:val="left" w:pos="7200"/>
          <w:tab w:val="left" w:pos="7755"/>
        </w:tabs>
        <w:jc w:val="center"/>
        <w:rPr>
          <w:b/>
          <w:bCs/>
          <w:color w:val="auto"/>
          <w:sz w:val="22"/>
          <w:szCs w:val="22"/>
        </w:rPr>
      </w:pPr>
      <w:r w:rsidRPr="00806023">
        <w:rPr>
          <w:b/>
          <w:bCs/>
          <w:color w:val="auto"/>
          <w:sz w:val="22"/>
          <w:szCs w:val="22"/>
        </w:rPr>
        <w:t>Table E</w:t>
      </w:r>
      <w:r w:rsidR="0053733D" w:rsidRPr="00806023">
        <w:rPr>
          <w:b/>
          <w:bCs/>
          <w:color w:val="auto"/>
          <w:sz w:val="22"/>
          <w:szCs w:val="22"/>
        </w:rPr>
        <w:t xml:space="preserve">: </w:t>
      </w:r>
      <w:r w:rsidR="00555C35" w:rsidRPr="00806023">
        <w:rPr>
          <w:b/>
          <w:bCs/>
          <w:color w:val="auto"/>
          <w:sz w:val="22"/>
          <w:szCs w:val="22"/>
        </w:rPr>
        <w:t>NRS Table 4B</w:t>
      </w:r>
      <w:r w:rsidR="0053733D" w:rsidRPr="00806023">
        <w:rPr>
          <w:b/>
          <w:bCs/>
          <w:color w:val="auto"/>
          <w:sz w:val="22"/>
          <w:szCs w:val="22"/>
        </w:rPr>
        <w:t xml:space="preserve"> - </w:t>
      </w:r>
      <w:r w:rsidR="00555C35" w:rsidRPr="00806023">
        <w:rPr>
          <w:b/>
          <w:bCs/>
          <w:color w:val="auto"/>
          <w:sz w:val="22"/>
          <w:szCs w:val="22"/>
        </w:rPr>
        <w:t>Pre and Post tested Participants</w:t>
      </w:r>
    </w:p>
    <w:p w:rsidR="00555C35" w:rsidRPr="00806023" w:rsidRDefault="00555C35">
      <w:pPr>
        <w:pStyle w:val="BodyTextIndent"/>
        <w:tabs>
          <w:tab w:val="left" w:pos="360"/>
        </w:tabs>
        <w:rPr>
          <w:color w:val="auto"/>
          <w:sz w:val="22"/>
          <w:szCs w:val="22"/>
        </w:rPr>
      </w:pPr>
      <w:r w:rsidRPr="00806023">
        <w:rPr>
          <w:color w:val="auto"/>
          <w:sz w:val="22"/>
          <w:szCs w:val="22"/>
        </w:rPr>
        <w:tab/>
      </w:r>
    </w:p>
    <w:tbl>
      <w:tblPr>
        <w:tblW w:w="0" w:type="auto"/>
        <w:jc w:val="center"/>
        <w:tblInd w:w="-13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871"/>
        <w:gridCol w:w="1260"/>
        <w:gridCol w:w="1260"/>
      </w:tblGrid>
      <w:tr w:rsidR="00E54A82" w:rsidRPr="00806023" w:rsidTr="0062552E">
        <w:trPr>
          <w:cantSplit/>
          <w:trHeight w:val="270"/>
          <w:jc w:val="center"/>
        </w:trPr>
        <w:tc>
          <w:tcPr>
            <w:tcW w:w="4871" w:type="dxa"/>
            <w:tcBorders>
              <w:top w:val="single" w:sz="4" w:space="0" w:color="auto"/>
            </w:tcBorders>
          </w:tcPr>
          <w:p w:rsidR="00267609" w:rsidRPr="00806023" w:rsidRDefault="00267609" w:rsidP="00267609">
            <w:pPr>
              <w:jc w:val="center"/>
              <w:rPr>
                <w:b/>
                <w:bCs/>
                <w:i/>
                <w:iCs/>
                <w:sz w:val="22"/>
                <w:szCs w:val="22"/>
              </w:rPr>
            </w:pPr>
          </w:p>
          <w:p w:rsidR="00FC5C2E" w:rsidRPr="00806023" w:rsidRDefault="0054219B" w:rsidP="008F631D">
            <w:pPr>
              <w:jc w:val="center"/>
              <w:rPr>
                <w:b/>
                <w:bCs/>
                <w:i/>
                <w:iCs/>
                <w:sz w:val="22"/>
                <w:szCs w:val="22"/>
              </w:rPr>
            </w:pPr>
            <w:r w:rsidRPr="00806023">
              <w:rPr>
                <w:b/>
                <w:bCs/>
                <w:i/>
                <w:iCs/>
                <w:sz w:val="22"/>
                <w:szCs w:val="22"/>
              </w:rPr>
              <w:t>201</w:t>
            </w:r>
            <w:r w:rsidR="008F631D" w:rsidRPr="00806023">
              <w:rPr>
                <w:b/>
                <w:bCs/>
                <w:i/>
                <w:iCs/>
                <w:sz w:val="22"/>
                <w:szCs w:val="22"/>
              </w:rPr>
              <w:t>3</w:t>
            </w:r>
            <w:r w:rsidRPr="00806023">
              <w:rPr>
                <w:b/>
                <w:bCs/>
                <w:i/>
                <w:iCs/>
                <w:sz w:val="22"/>
                <w:szCs w:val="22"/>
              </w:rPr>
              <w:t>-201</w:t>
            </w:r>
            <w:r w:rsidR="008F631D" w:rsidRPr="00806023">
              <w:rPr>
                <w:b/>
                <w:bCs/>
                <w:i/>
                <w:iCs/>
                <w:sz w:val="22"/>
                <w:szCs w:val="22"/>
              </w:rPr>
              <w:t>4</w:t>
            </w:r>
            <w:r w:rsidR="00FC5C2E" w:rsidRPr="00806023">
              <w:rPr>
                <w:b/>
                <w:bCs/>
                <w:i/>
                <w:iCs/>
                <w:sz w:val="22"/>
                <w:szCs w:val="22"/>
              </w:rPr>
              <w:t xml:space="preserve"> Benchmarks</w:t>
            </w:r>
          </w:p>
        </w:tc>
        <w:tc>
          <w:tcPr>
            <w:tcW w:w="1260" w:type="dxa"/>
            <w:tcBorders>
              <w:top w:val="single" w:sz="4" w:space="0" w:color="auto"/>
            </w:tcBorders>
          </w:tcPr>
          <w:p w:rsidR="00FC5C2E" w:rsidRPr="00806023" w:rsidRDefault="00FC5C2E" w:rsidP="00267609">
            <w:pPr>
              <w:jc w:val="center"/>
              <w:rPr>
                <w:b/>
                <w:bCs/>
                <w:i/>
                <w:iCs/>
                <w:sz w:val="22"/>
                <w:szCs w:val="22"/>
              </w:rPr>
            </w:pPr>
            <w:r w:rsidRPr="00806023">
              <w:rPr>
                <w:b/>
                <w:bCs/>
                <w:i/>
                <w:iCs/>
                <w:sz w:val="22"/>
                <w:szCs w:val="22"/>
              </w:rPr>
              <w:t>Federal Target</w:t>
            </w:r>
          </w:p>
        </w:tc>
        <w:tc>
          <w:tcPr>
            <w:tcW w:w="1260" w:type="dxa"/>
            <w:tcBorders>
              <w:top w:val="single" w:sz="4" w:space="0" w:color="auto"/>
            </w:tcBorders>
          </w:tcPr>
          <w:p w:rsidR="00267609" w:rsidRPr="00806023" w:rsidRDefault="00FC5C2E" w:rsidP="00267609">
            <w:pPr>
              <w:jc w:val="center"/>
              <w:rPr>
                <w:b/>
                <w:bCs/>
                <w:i/>
                <w:iCs/>
                <w:sz w:val="22"/>
                <w:szCs w:val="22"/>
              </w:rPr>
            </w:pPr>
            <w:r w:rsidRPr="00806023">
              <w:rPr>
                <w:b/>
                <w:bCs/>
                <w:i/>
                <w:iCs/>
                <w:sz w:val="22"/>
                <w:szCs w:val="22"/>
              </w:rPr>
              <w:t xml:space="preserve">State </w:t>
            </w:r>
          </w:p>
          <w:p w:rsidR="00FC5C2E" w:rsidRPr="00806023" w:rsidRDefault="00FC5C2E" w:rsidP="00267609">
            <w:pPr>
              <w:jc w:val="center"/>
              <w:rPr>
                <w:b/>
                <w:bCs/>
                <w:i/>
                <w:iCs/>
                <w:sz w:val="22"/>
                <w:szCs w:val="22"/>
              </w:rPr>
            </w:pPr>
            <w:r w:rsidRPr="00806023">
              <w:rPr>
                <w:b/>
                <w:bCs/>
                <w:i/>
                <w:iCs/>
                <w:sz w:val="22"/>
                <w:szCs w:val="22"/>
              </w:rPr>
              <w:t>Actual</w:t>
            </w:r>
          </w:p>
        </w:tc>
      </w:tr>
      <w:tr w:rsidR="00E54A82" w:rsidRPr="00806023" w:rsidTr="0062552E">
        <w:trPr>
          <w:cantSplit/>
          <w:trHeight w:val="300"/>
          <w:jc w:val="center"/>
        </w:trPr>
        <w:tc>
          <w:tcPr>
            <w:tcW w:w="4871" w:type="dxa"/>
          </w:tcPr>
          <w:p w:rsidR="00FC5C2E" w:rsidRPr="00806023" w:rsidRDefault="00FC5C2E">
            <w:pPr>
              <w:jc w:val="both"/>
              <w:rPr>
                <w:sz w:val="22"/>
                <w:szCs w:val="22"/>
              </w:rPr>
            </w:pPr>
            <w:r w:rsidRPr="00806023">
              <w:rPr>
                <w:sz w:val="22"/>
                <w:szCs w:val="22"/>
              </w:rPr>
              <w:t>Beginning ABE Literacy</w:t>
            </w:r>
          </w:p>
        </w:tc>
        <w:tc>
          <w:tcPr>
            <w:tcW w:w="1260" w:type="dxa"/>
          </w:tcPr>
          <w:p w:rsidR="00FC5C2E" w:rsidRPr="00806023" w:rsidRDefault="00D918BD" w:rsidP="0062552E">
            <w:pPr>
              <w:jc w:val="both"/>
              <w:rPr>
                <w:sz w:val="22"/>
                <w:szCs w:val="22"/>
              </w:rPr>
            </w:pPr>
            <w:r w:rsidRPr="00806023">
              <w:rPr>
                <w:sz w:val="22"/>
                <w:szCs w:val="22"/>
              </w:rPr>
              <w:t>42</w:t>
            </w:r>
            <w:r w:rsidR="00FC5C2E" w:rsidRPr="00806023">
              <w:rPr>
                <w:sz w:val="22"/>
                <w:szCs w:val="22"/>
              </w:rPr>
              <w:t>%</w:t>
            </w:r>
          </w:p>
        </w:tc>
        <w:tc>
          <w:tcPr>
            <w:tcW w:w="1260" w:type="dxa"/>
          </w:tcPr>
          <w:p w:rsidR="00FC5C2E" w:rsidRPr="00806023" w:rsidRDefault="00F563D7" w:rsidP="000B2C98">
            <w:pPr>
              <w:jc w:val="both"/>
              <w:rPr>
                <w:b/>
                <w:sz w:val="22"/>
                <w:szCs w:val="22"/>
              </w:rPr>
            </w:pPr>
            <w:r w:rsidRPr="00806023">
              <w:rPr>
                <w:b/>
                <w:sz w:val="22"/>
                <w:szCs w:val="22"/>
              </w:rPr>
              <w:t>71</w:t>
            </w:r>
            <w:r w:rsidR="00FC5C2E" w:rsidRPr="00806023">
              <w:rPr>
                <w:b/>
                <w:sz w:val="22"/>
                <w:szCs w:val="22"/>
              </w:rPr>
              <w:t>%</w:t>
            </w:r>
          </w:p>
        </w:tc>
      </w:tr>
      <w:tr w:rsidR="00E54A82" w:rsidRPr="00806023" w:rsidTr="0062552E">
        <w:trPr>
          <w:cantSplit/>
          <w:trHeight w:val="300"/>
          <w:jc w:val="center"/>
        </w:trPr>
        <w:tc>
          <w:tcPr>
            <w:tcW w:w="4871" w:type="dxa"/>
          </w:tcPr>
          <w:p w:rsidR="00FC5C2E" w:rsidRPr="00806023" w:rsidRDefault="00FC5C2E">
            <w:pPr>
              <w:jc w:val="both"/>
              <w:rPr>
                <w:sz w:val="22"/>
                <w:szCs w:val="22"/>
              </w:rPr>
            </w:pPr>
            <w:r w:rsidRPr="00806023">
              <w:rPr>
                <w:sz w:val="22"/>
                <w:szCs w:val="22"/>
              </w:rPr>
              <w:t>Beginning ABE Education</w:t>
            </w:r>
          </w:p>
        </w:tc>
        <w:tc>
          <w:tcPr>
            <w:tcW w:w="1260" w:type="dxa"/>
          </w:tcPr>
          <w:p w:rsidR="00FC5C2E" w:rsidRPr="00806023" w:rsidRDefault="00D1700E" w:rsidP="0062552E">
            <w:pPr>
              <w:jc w:val="both"/>
              <w:rPr>
                <w:sz w:val="22"/>
                <w:szCs w:val="22"/>
              </w:rPr>
            </w:pPr>
            <w:r w:rsidRPr="00806023">
              <w:rPr>
                <w:sz w:val="22"/>
                <w:szCs w:val="22"/>
              </w:rPr>
              <w:t>42</w:t>
            </w:r>
            <w:r w:rsidR="00FC5C2E" w:rsidRPr="00806023">
              <w:rPr>
                <w:sz w:val="22"/>
                <w:szCs w:val="22"/>
              </w:rPr>
              <w:t>%</w:t>
            </w:r>
          </w:p>
        </w:tc>
        <w:tc>
          <w:tcPr>
            <w:tcW w:w="1260" w:type="dxa"/>
          </w:tcPr>
          <w:p w:rsidR="00FC5C2E" w:rsidRPr="00806023" w:rsidRDefault="00F563D7">
            <w:pPr>
              <w:jc w:val="both"/>
              <w:rPr>
                <w:b/>
                <w:sz w:val="22"/>
                <w:szCs w:val="22"/>
              </w:rPr>
            </w:pPr>
            <w:r w:rsidRPr="00806023">
              <w:rPr>
                <w:b/>
                <w:sz w:val="22"/>
                <w:szCs w:val="22"/>
              </w:rPr>
              <w:t>53</w:t>
            </w:r>
            <w:r w:rsidR="00FC5C2E" w:rsidRPr="00806023">
              <w:rPr>
                <w:b/>
                <w:sz w:val="22"/>
                <w:szCs w:val="22"/>
              </w:rPr>
              <w:t>%</w:t>
            </w:r>
          </w:p>
        </w:tc>
      </w:tr>
      <w:tr w:rsidR="00E54A82" w:rsidRPr="00806023" w:rsidTr="0062552E">
        <w:trPr>
          <w:cantSplit/>
          <w:trHeight w:val="300"/>
          <w:jc w:val="center"/>
        </w:trPr>
        <w:tc>
          <w:tcPr>
            <w:tcW w:w="4871" w:type="dxa"/>
          </w:tcPr>
          <w:p w:rsidR="00FC5C2E" w:rsidRPr="00806023" w:rsidRDefault="00FC5C2E">
            <w:pPr>
              <w:rPr>
                <w:sz w:val="22"/>
                <w:szCs w:val="22"/>
              </w:rPr>
            </w:pPr>
            <w:r w:rsidRPr="00806023">
              <w:rPr>
                <w:sz w:val="22"/>
                <w:szCs w:val="22"/>
              </w:rPr>
              <w:t>Low Intermediate Basic Education</w:t>
            </w:r>
          </w:p>
        </w:tc>
        <w:tc>
          <w:tcPr>
            <w:tcW w:w="1260" w:type="dxa"/>
          </w:tcPr>
          <w:p w:rsidR="00FC5C2E" w:rsidRPr="00806023" w:rsidRDefault="00D1700E" w:rsidP="0062552E">
            <w:pPr>
              <w:jc w:val="both"/>
              <w:rPr>
                <w:sz w:val="22"/>
                <w:szCs w:val="22"/>
              </w:rPr>
            </w:pPr>
            <w:r w:rsidRPr="00806023">
              <w:rPr>
                <w:sz w:val="22"/>
                <w:szCs w:val="22"/>
              </w:rPr>
              <w:t>40</w:t>
            </w:r>
            <w:r w:rsidR="00FC5C2E" w:rsidRPr="00806023">
              <w:rPr>
                <w:sz w:val="22"/>
                <w:szCs w:val="22"/>
              </w:rPr>
              <w:t>%</w:t>
            </w:r>
          </w:p>
        </w:tc>
        <w:tc>
          <w:tcPr>
            <w:tcW w:w="1260" w:type="dxa"/>
          </w:tcPr>
          <w:p w:rsidR="00FC5C2E" w:rsidRPr="00806023" w:rsidRDefault="00F563D7">
            <w:pPr>
              <w:jc w:val="both"/>
              <w:rPr>
                <w:b/>
                <w:sz w:val="22"/>
                <w:szCs w:val="22"/>
              </w:rPr>
            </w:pPr>
            <w:r w:rsidRPr="00806023">
              <w:rPr>
                <w:b/>
                <w:sz w:val="22"/>
                <w:szCs w:val="22"/>
              </w:rPr>
              <w:t>54</w:t>
            </w:r>
            <w:r w:rsidR="00FC5C2E" w:rsidRPr="00806023">
              <w:rPr>
                <w:b/>
                <w:sz w:val="22"/>
                <w:szCs w:val="22"/>
              </w:rPr>
              <w:t>%</w:t>
            </w:r>
          </w:p>
        </w:tc>
      </w:tr>
      <w:tr w:rsidR="00E54A82" w:rsidRPr="00806023" w:rsidTr="0062552E">
        <w:trPr>
          <w:cantSplit/>
          <w:trHeight w:val="300"/>
          <w:jc w:val="center"/>
        </w:trPr>
        <w:tc>
          <w:tcPr>
            <w:tcW w:w="4871" w:type="dxa"/>
          </w:tcPr>
          <w:p w:rsidR="00FC5C2E" w:rsidRPr="00806023" w:rsidRDefault="00FC5C2E">
            <w:pPr>
              <w:rPr>
                <w:sz w:val="22"/>
                <w:szCs w:val="22"/>
              </w:rPr>
            </w:pPr>
            <w:r w:rsidRPr="00806023">
              <w:rPr>
                <w:sz w:val="22"/>
                <w:szCs w:val="22"/>
              </w:rPr>
              <w:t>High Intermediate Basic Education</w:t>
            </w:r>
          </w:p>
        </w:tc>
        <w:tc>
          <w:tcPr>
            <w:tcW w:w="1260" w:type="dxa"/>
          </w:tcPr>
          <w:p w:rsidR="00FC5C2E" w:rsidRPr="00806023" w:rsidRDefault="00D1700E" w:rsidP="0062552E">
            <w:pPr>
              <w:jc w:val="both"/>
              <w:rPr>
                <w:sz w:val="22"/>
                <w:szCs w:val="22"/>
              </w:rPr>
            </w:pPr>
            <w:r w:rsidRPr="00806023">
              <w:rPr>
                <w:sz w:val="22"/>
                <w:szCs w:val="22"/>
              </w:rPr>
              <w:t>35</w:t>
            </w:r>
            <w:r w:rsidR="00FC5C2E" w:rsidRPr="00806023">
              <w:rPr>
                <w:sz w:val="22"/>
                <w:szCs w:val="22"/>
              </w:rPr>
              <w:t>%</w:t>
            </w:r>
          </w:p>
        </w:tc>
        <w:tc>
          <w:tcPr>
            <w:tcW w:w="1260" w:type="dxa"/>
          </w:tcPr>
          <w:p w:rsidR="00FC5C2E" w:rsidRPr="00806023" w:rsidRDefault="00F563D7">
            <w:pPr>
              <w:jc w:val="both"/>
              <w:rPr>
                <w:b/>
                <w:sz w:val="22"/>
                <w:szCs w:val="22"/>
              </w:rPr>
            </w:pPr>
            <w:r w:rsidRPr="00806023">
              <w:rPr>
                <w:b/>
                <w:sz w:val="22"/>
                <w:szCs w:val="22"/>
              </w:rPr>
              <w:t>45</w:t>
            </w:r>
            <w:r w:rsidR="00FC5C2E" w:rsidRPr="00806023">
              <w:rPr>
                <w:b/>
                <w:sz w:val="22"/>
                <w:szCs w:val="22"/>
              </w:rPr>
              <w:t>%</w:t>
            </w:r>
          </w:p>
        </w:tc>
      </w:tr>
      <w:tr w:rsidR="00E54A82" w:rsidRPr="00806023" w:rsidTr="0062552E">
        <w:trPr>
          <w:cantSplit/>
          <w:trHeight w:val="300"/>
          <w:jc w:val="center"/>
        </w:trPr>
        <w:tc>
          <w:tcPr>
            <w:tcW w:w="4871" w:type="dxa"/>
          </w:tcPr>
          <w:p w:rsidR="00FC5C2E" w:rsidRPr="00806023" w:rsidRDefault="00FC5C2E">
            <w:pPr>
              <w:rPr>
                <w:sz w:val="22"/>
                <w:szCs w:val="22"/>
              </w:rPr>
            </w:pPr>
            <w:r w:rsidRPr="00806023">
              <w:rPr>
                <w:sz w:val="22"/>
                <w:szCs w:val="22"/>
              </w:rPr>
              <w:lastRenderedPageBreak/>
              <w:t>Low Adult Secondary Education</w:t>
            </w:r>
          </w:p>
        </w:tc>
        <w:tc>
          <w:tcPr>
            <w:tcW w:w="1260" w:type="dxa"/>
          </w:tcPr>
          <w:p w:rsidR="00FC5C2E" w:rsidRPr="00806023" w:rsidRDefault="00D1700E" w:rsidP="0062552E">
            <w:pPr>
              <w:jc w:val="both"/>
              <w:rPr>
                <w:sz w:val="22"/>
                <w:szCs w:val="22"/>
              </w:rPr>
            </w:pPr>
            <w:r w:rsidRPr="00806023">
              <w:rPr>
                <w:sz w:val="22"/>
                <w:szCs w:val="22"/>
              </w:rPr>
              <w:t>32</w:t>
            </w:r>
            <w:r w:rsidR="00FC5C2E" w:rsidRPr="00806023">
              <w:rPr>
                <w:sz w:val="22"/>
                <w:szCs w:val="22"/>
              </w:rPr>
              <w:t>%</w:t>
            </w:r>
          </w:p>
        </w:tc>
        <w:tc>
          <w:tcPr>
            <w:tcW w:w="1260" w:type="dxa"/>
          </w:tcPr>
          <w:p w:rsidR="00FC5C2E" w:rsidRPr="00806023" w:rsidRDefault="00F563D7">
            <w:pPr>
              <w:jc w:val="both"/>
              <w:rPr>
                <w:b/>
                <w:sz w:val="22"/>
                <w:szCs w:val="22"/>
              </w:rPr>
            </w:pPr>
            <w:r w:rsidRPr="00806023">
              <w:rPr>
                <w:b/>
                <w:sz w:val="22"/>
                <w:szCs w:val="22"/>
              </w:rPr>
              <w:t>43</w:t>
            </w:r>
            <w:r w:rsidR="00FC5C2E" w:rsidRPr="00806023">
              <w:rPr>
                <w:b/>
                <w:sz w:val="22"/>
                <w:szCs w:val="22"/>
              </w:rPr>
              <w:t>%</w:t>
            </w:r>
          </w:p>
        </w:tc>
      </w:tr>
      <w:tr w:rsidR="00E54A82" w:rsidRPr="00806023" w:rsidTr="0062552E">
        <w:trPr>
          <w:cantSplit/>
          <w:trHeight w:val="300"/>
          <w:jc w:val="center"/>
        </w:trPr>
        <w:tc>
          <w:tcPr>
            <w:tcW w:w="4871" w:type="dxa"/>
          </w:tcPr>
          <w:p w:rsidR="00FC5C2E" w:rsidRPr="00806023" w:rsidRDefault="00FC5C2E">
            <w:pPr>
              <w:rPr>
                <w:sz w:val="22"/>
                <w:szCs w:val="22"/>
              </w:rPr>
            </w:pPr>
            <w:r w:rsidRPr="00806023">
              <w:rPr>
                <w:sz w:val="22"/>
                <w:szCs w:val="22"/>
              </w:rPr>
              <w:t>High Adult Secondary Education</w:t>
            </w:r>
          </w:p>
        </w:tc>
        <w:tc>
          <w:tcPr>
            <w:tcW w:w="1260" w:type="dxa"/>
          </w:tcPr>
          <w:p w:rsidR="00FC5C2E" w:rsidRPr="00806023" w:rsidRDefault="00FC5C2E" w:rsidP="0062552E">
            <w:pPr>
              <w:jc w:val="both"/>
              <w:rPr>
                <w:sz w:val="22"/>
                <w:szCs w:val="22"/>
              </w:rPr>
            </w:pPr>
            <w:r w:rsidRPr="00806023">
              <w:rPr>
                <w:sz w:val="22"/>
                <w:szCs w:val="22"/>
              </w:rPr>
              <w:t>N/A</w:t>
            </w:r>
          </w:p>
        </w:tc>
        <w:tc>
          <w:tcPr>
            <w:tcW w:w="1260" w:type="dxa"/>
          </w:tcPr>
          <w:p w:rsidR="00FC5C2E" w:rsidRPr="00806023" w:rsidRDefault="00FC5C2E">
            <w:pPr>
              <w:jc w:val="both"/>
              <w:rPr>
                <w:b/>
                <w:sz w:val="22"/>
                <w:szCs w:val="22"/>
              </w:rPr>
            </w:pPr>
            <w:r w:rsidRPr="00806023">
              <w:rPr>
                <w:b/>
                <w:sz w:val="22"/>
                <w:szCs w:val="22"/>
              </w:rPr>
              <w:t>N/A</w:t>
            </w:r>
          </w:p>
        </w:tc>
      </w:tr>
      <w:tr w:rsidR="00E54A82" w:rsidRPr="00806023" w:rsidTr="0062552E">
        <w:trPr>
          <w:cantSplit/>
          <w:trHeight w:val="300"/>
          <w:jc w:val="center"/>
        </w:trPr>
        <w:tc>
          <w:tcPr>
            <w:tcW w:w="4871" w:type="dxa"/>
          </w:tcPr>
          <w:p w:rsidR="00FC5C2E" w:rsidRPr="00806023" w:rsidRDefault="00FC5C2E">
            <w:pPr>
              <w:jc w:val="both"/>
              <w:rPr>
                <w:sz w:val="22"/>
                <w:szCs w:val="22"/>
              </w:rPr>
            </w:pPr>
            <w:r w:rsidRPr="00806023">
              <w:rPr>
                <w:sz w:val="22"/>
                <w:szCs w:val="22"/>
              </w:rPr>
              <w:t>Beginning ESL Literacy</w:t>
            </w:r>
          </w:p>
        </w:tc>
        <w:tc>
          <w:tcPr>
            <w:tcW w:w="1260" w:type="dxa"/>
          </w:tcPr>
          <w:p w:rsidR="00FC5C2E" w:rsidRPr="00806023" w:rsidRDefault="00D1700E" w:rsidP="0062552E">
            <w:pPr>
              <w:jc w:val="both"/>
              <w:rPr>
                <w:sz w:val="22"/>
                <w:szCs w:val="22"/>
              </w:rPr>
            </w:pPr>
            <w:r w:rsidRPr="00806023">
              <w:rPr>
                <w:sz w:val="22"/>
                <w:szCs w:val="22"/>
              </w:rPr>
              <w:t>50</w:t>
            </w:r>
            <w:r w:rsidR="00FC5C2E" w:rsidRPr="00806023">
              <w:rPr>
                <w:sz w:val="22"/>
                <w:szCs w:val="22"/>
              </w:rPr>
              <w:t>%</w:t>
            </w:r>
          </w:p>
        </w:tc>
        <w:tc>
          <w:tcPr>
            <w:tcW w:w="1260" w:type="dxa"/>
          </w:tcPr>
          <w:p w:rsidR="00FC5C2E" w:rsidRPr="00806023" w:rsidRDefault="00F563D7">
            <w:pPr>
              <w:jc w:val="both"/>
              <w:rPr>
                <w:b/>
                <w:sz w:val="22"/>
                <w:szCs w:val="22"/>
              </w:rPr>
            </w:pPr>
            <w:r w:rsidRPr="00806023">
              <w:rPr>
                <w:b/>
                <w:sz w:val="22"/>
                <w:szCs w:val="22"/>
              </w:rPr>
              <w:t>74</w:t>
            </w:r>
            <w:r w:rsidR="00FC5C2E" w:rsidRPr="00806023">
              <w:rPr>
                <w:b/>
                <w:sz w:val="22"/>
                <w:szCs w:val="22"/>
              </w:rPr>
              <w:t>%</w:t>
            </w:r>
          </w:p>
        </w:tc>
      </w:tr>
      <w:tr w:rsidR="00E54A82" w:rsidRPr="00806023" w:rsidTr="0062552E">
        <w:trPr>
          <w:cantSplit/>
          <w:trHeight w:val="300"/>
          <w:jc w:val="center"/>
        </w:trPr>
        <w:tc>
          <w:tcPr>
            <w:tcW w:w="4871" w:type="dxa"/>
          </w:tcPr>
          <w:p w:rsidR="00FC5C2E" w:rsidRPr="00806023" w:rsidRDefault="00FC5C2E">
            <w:pPr>
              <w:jc w:val="both"/>
              <w:rPr>
                <w:sz w:val="22"/>
                <w:szCs w:val="22"/>
              </w:rPr>
            </w:pPr>
            <w:r w:rsidRPr="00806023">
              <w:rPr>
                <w:sz w:val="22"/>
                <w:szCs w:val="22"/>
              </w:rPr>
              <w:t xml:space="preserve">Low Beginning ESL </w:t>
            </w:r>
          </w:p>
        </w:tc>
        <w:tc>
          <w:tcPr>
            <w:tcW w:w="1260" w:type="dxa"/>
          </w:tcPr>
          <w:p w:rsidR="00FC5C2E" w:rsidRPr="00806023" w:rsidRDefault="00D1700E" w:rsidP="0062552E">
            <w:pPr>
              <w:jc w:val="both"/>
              <w:rPr>
                <w:sz w:val="22"/>
                <w:szCs w:val="22"/>
              </w:rPr>
            </w:pPr>
            <w:r w:rsidRPr="00806023">
              <w:rPr>
                <w:sz w:val="22"/>
                <w:szCs w:val="22"/>
              </w:rPr>
              <w:t>60</w:t>
            </w:r>
            <w:r w:rsidR="00FC5C2E" w:rsidRPr="00806023">
              <w:rPr>
                <w:sz w:val="22"/>
                <w:szCs w:val="22"/>
              </w:rPr>
              <w:t>%</w:t>
            </w:r>
          </w:p>
        </w:tc>
        <w:tc>
          <w:tcPr>
            <w:tcW w:w="1260" w:type="dxa"/>
          </w:tcPr>
          <w:p w:rsidR="00FC5C2E" w:rsidRPr="00806023" w:rsidRDefault="00633DA3">
            <w:pPr>
              <w:jc w:val="both"/>
              <w:rPr>
                <w:b/>
                <w:sz w:val="22"/>
                <w:szCs w:val="22"/>
              </w:rPr>
            </w:pPr>
            <w:r w:rsidRPr="00806023">
              <w:rPr>
                <w:b/>
                <w:sz w:val="22"/>
                <w:szCs w:val="22"/>
              </w:rPr>
              <w:t>83</w:t>
            </w:r>
            <w:r w:rsidR="00FC5C2E" w:rsidRPr="00806023">
              <w:rPr>
                <w:b/>
                <w:sz w:val="22"/>
                <w:szCs w:val="22"/>
              </w:rPr>
              <w:t>%</w:t>
            </w:r>
          </w:p>
        </w:tc>
      </w:tr>
      <w:tr w:rsidR="00E54A82" w:rsidRPr="00806023" w:rsidTr="0062552E">
        <w:trPr>
          <w:cantSplit/>
          <w:trHeight w:val="300"/>
          <w:jc w:val="center"/>
        </w:trPr>
        <w:tc>
          <w:tcPr>
            <w:tcW w:w="4871" w:type="dxa"/>
          </w:tcPr>
          <w:p w:rsidR="00FC5C2E" w:rsidRPr="00806023" w:rsidRDefault="00FC5C2E">
            <w:pPr>
              <w:jc w:val="both"/>
              <w:rPr>
                <w:sz w:val="22"/>
                <w:szCs w:val="22"/>
              </w:rPr>
            </w:pPr>
            <w:r w:rsidRPr="00806023">
              <w:rPr>
                <w:sz w:val="22"/>
                <w:szCs w:val="22"/>
              </w:rPr>
              <w:t>High Beginning ESL</w:t>
            </w:r>
          </w:p>
        </w:tc>
        <w:tc>
          <w:tcPr>
            <w:tcW w:w="1260" w:type="dxa"/>
          </w:tcPr>
          <w:p w:rsidR="00FC5C2E" w:rsidRPr="00806023" w:rsidRDefault="00D1700E" w:rsidP="0062552E">
            <w:pPr>
              <w:jc w:val="both"/>
              <w:rPr>
                <w:sz w:val="22"/>
                <w:szCs w:val="22"/>
              </w:rPr>
            </w:pPr>
            <w:r w:rsidRPr="00806023">
              <w:rPr>
                <w:sz w:val="22"/>
                <w:szCs w:val="22"/>
              </w:rPr>
              <w:t>55</w:t>
            </w:r>
            <w:r w:rsidR="00FC5C2E" w:rsidRPr="00806023">
              <w:rPr>
                <w:sz w:val="22"/>
                <w:szCs w:val="22"/>
              </w:rPr>
              <w:t>%</w:t>
            </w:r>
          </w:p>
        </w:tc>
        <w:tc>
          <w:tcPr>
            <w:tcW w:w="1260" w:type="dxa"/>
          </w:tcPr>
          <w:p w:rsidR="00FC5C2E" w:rsidRPr="00806023" w:rsidRDefault="00F563D7">
            <w:pPr>
              <w:jc w:val="both"/>
              <w:rPr>
                <w:b/>
                <w:sz w:val="22"/>
                <w:szCs w:val="22"/>
              </w:rPr>
            </w:pPr>
            <w:r w:rsidRPr="00806023">
              <w:rPr>
                <w:b/>
                <w:sz w:val="22"/>
                <w:szCs w:val="22"/>
              </w:rPr>
              <w:t>72</w:t>
            </w:r>
            <w:r w:rsidR="00FC5C2E" w:rsidRPr="00806023">
              <w:rPr>
                <w:b/>
                <w:sz w:val="22"/>
                <w:szCs w:val="22"/>
              </w:rPr>
              <w:t>%</w:t>
            </w:r>
          </w:p>
        </w:tc>
      </w:tr>
      <w:tr w:rsidR="00E54A82" w:rsidRPr="00806023" w:rsidTr="0062552E">
        <w:trPr>
          <w:cantSplit/>
          <w:trHeight w:val="300"/>
          <w:jc w:val="center"/>
        </w:trPr>
        <w:tc>
          <w:tcPr>
            <w:tcW w:w="4871" w:type="dxa"/>
          </w:tcPr>
          <w:p w:rsidR="00FC5C2E" w:rsidRPr="00806023" w:rsidRDefault="00FC5C2E">
            <w:pPr>
              <w:jc w:val="both"/>
              <w:rPr>
                <w:sz w:val="22"/>
                <w:szCs w:val="22"/>
              </w:rPr>
            </w:pPr>
            <w:r w:rsidRPr="00806023">
              <w:rPr>
                <w:sz w:val="22"/>
                <w:szCs w:val="22"/>
              </w:rPr>
              <w:t>Low Intermediate ESL</w:t>
            </w:r>
          </w:p>
        </w:tc>
        <w:tc>
          <w:tcPr>
            <w:tcW w:w="1260" w:type="dxa"/>
          </w:tcPr>
          <w:p w:rsidR="00FC5C2E" w:rsidRPr="00806023" w:rsidRDefault="00D1700E" w:rsidP="0062552E">
            <w:pPr>
              <w:jc w:val="both"/>
              <w:rPr>
                <w:sz w:val="22"/>
                <w:szCs w:val="22"/>
              </w:rPr>
            </w:pPr>
            <w:r w:rsidRPr="00806023">
              <w:rPr>
                <w:sz w:val="22"/>
                <w:szCs w:val="22"/>
              </w:rPr>
              <w:t>45</w:t>
            </w:r>
            <w:r w:rsidR="00FC5C2E" w:rsidRPr="00806023">
              <w:rPr>
                <w:sz w:val="22"/>
                <w:szCs w:val="22"/>
              </w:rPr>
              <w:t>%</w:t>
            </w:r>
          </w:p>
        </w:tc>
        <w:tc>
          <w:tcPr>
            <w:tcW w:w="1260" w:type="dxa"/>
          </w:tcPr>
          <w:p w:rsidR="00FC5C2E" w:rsidRPr="00806023" w:rsidRDefault="00F563D7">
            <w:pPr>
              <w:jc w:val="both"/>
              <w:rPr>
                <w:b/>
                <w:sz w:val="22"/>
                <w:szCs w:val="22"/>
              </w:rPr>
            </w:pPr>
            <w:r w:rsidRPr="00806023">
              <w:rPr>
                <w:b/>
                <w:sz w:val="22"/>
                <w:szCs w:val="22"/>
              </w:rPr>
              <w:t>60</w:t>
            </w:r>
            <w:r w:rsidR="00FC5C2E" w:rsidRPr="00806023">
              <w:rPr>
                <w:b/>
                <w:sz w:val="22"/>
                <w:szCs w:val="22"/>
              </w:rPr>
              <w:t>%</w:t>
            </w:r>
          </w:p>
        </w:tc>
      </w:tr>
      <w:tr w:rsidR="00E54A82" w:rsidRPr="00806023" w:rsidTr="0062552E">
        <w:trPr>
          <w:cantSplit/>
          <w:trHeight w:val="300"/>
          <w:jc w:val="center"/>
        </w:trPr>
        <w:tc>
          <w:tcPr>
            <w:tcW w:w="4871" w:type="dxa"/>
          </w:tcPr>
          <w:p w:rsidR="00FC5C2E" w:rsidRPr="00806023" w:rsidRDefault="00FC5C2E">
            <w:pPr>
              <w:jc w:val="both"/>
              <w:rPr>
                <w:sz w:val="22"/>
                <w:szCs w:val="22"/>
              </w:rPr>
            </w:pPr>
            <w:r w:rsidRPr="00806023">
              <w:rPr>
                <w:sz w:val="22"/>
                <w:szCs w:val="22"/>
              </w:rPr>
              <w:t>High Intermediate ESL</w:t>
            </w:r>
          </w:p>
        </w:tc>
        <w:tc>
          <w:tcPr>
            <w:tcW w:w="1260" w:type="dxa"/>
          </w:tcPr>
          <w:p w:rsidR="00FC5C2E" w:rsidRPr="00806023" w:rsidRDefault="00D1700E" w:rsidP="0062552E">
            <w:pPr>
              <w:jc w:val="both"/>
              <w:rPr>
                <w:sz w:val="22"/>
                <w:szCs w:val="22"/>
              </w:rPr>
            </w:pPr>
            <w:r w:rsidRPr="00806023">
              <w:rPr>
                <w:sz w:val="22"/>
                <w:szCs w:val="22"/>
              </w:rPr>
              <w:t>48</w:t>
            </w:r>
            <w:r w:rsidR="00FC5C2E" w:rsidRPr="00806023">
              <w:rPr>
                <w:sz w:val="22"/>
                <w:szCs w:val="22"/>
              </w:rPr>
              <w:t>%</w:t>
            </w:r>
          </w:p>
        </w:tc>
        <w:tc>
          <w:tcPr>
            <w:tcW w:w="1260" w:type="dxa"/>
          </w:tcPr>
          <w:p w:rsidR="00FC5C2E" w:rsidRPr="00806023" w:rsidRDefault="00F563D7">
            <w:pPr>
              <w:jc w:val="both"/>
              <w:rPr>
                <w:b/>
                <w:sz w:val="22"/>
                <w:szCs w:val="22"/>
              </w:rPr>
            </w:pPr>
            <w:r w:rsidRPr="00806023">
              <w:rPr>
                <w:b/>
                <w:sz w:val="22"/>
                <w:szCs w:val="22"/>
              </w:rPr>
              <w:t>51</w:t>
            </w:r>
            <w:r w:rsidR="00FC5C2E" w:rsidRPr="00806023">
              <w:rPr>
                <w:b/>
                <w:sz w:val="22"/>
                <w:szCs w:val="22"/>
              </w:rPr>
              <w:t>%</w:t>
            </w:r>
          </w:p>
        </w:tc>
      </w:tr>
      <w:tr w:rsidR="00E54A82" w:rsidRPr="00806023" w:rsidTr="0062552E">
        <w:trPr>
          <w:cantSplit/>
          <w:trHeight w:val="300"/>
          <w:jc w:val="center"/>
        </w:trPr>
        <w:tc>
          <w:tcPr>
            <w:tcW w:w="4871" w:type="dxa"/>
            <w:tcBorders>
              <w:bottom w:val="single" w:sz="4" w:space="0" w:color="auto"/>
            </w:tcBorders>
          </w:tcPr>
          <w:p w:rsidR="00FC5C2E" w:rsidRPr="00806023" w:rsidRDefault="00FC5C2E">
            <w:pPr>
              <w:jc w:val="both"/>
              <w:rPr>
                <w:sz w:val="22"/>
                <w:szCs w:val="22"/>
              </w:rPr>
            </w:pPr>
            <w:r w:rsidRPr="00806023">
              <w:rPr>
                <w:sz w:val="22"/>
                <w:szCs w:val="22"/>
              </w:rPr>
              <w:t>Advanced ESL</w:t>
            </w:r>
          </w:p>
        </w:tc>
        <w:tc>
          <w:tcPr>
            <w:tcW w:w="1260" w:type="dxa"/>
            <w:tcBorders>
              <w:bottom w:val="single" w:sz="4" w:space="0" w:color="auto"/>
            </w:tcBorders>
          </w:tcPr>
          <w:p w:rsidR="00FC5C2E" w:rsidRPr="00806023" w:rsidRDefault="00D1700E" w:rsidP="0062552E">
            <w:pPr>
              <w:jc w:val="both"/>
              <w:rPr>
                <w:sz w:val="22"/>
                <w:szCs w:val="22"/>
              </w:rPr>
            </w:pPr>
            <w:r w:rsidRPr="00806023">
              <w:rPr>
                <w:sz w:val="22"/>
                <w:szCs w:val="22"/>
              </w:rPr>
              <w:t>53</w:t>
            </w:r>
            <w:r w:rsidR="00FC5C2E" w:rsidRPr="00806023">
              <w:rPr>
                <w:sz w:val="22"/>
                <w:szCs w:val="22"/>
              </w:rPr>
              <w:t>%</w:t>
            </w:r>
          </w:p>
        </w:tc>
        <w:tc>
          <w:tcPr>
            <w:tcW w:w="1260" w:type="dxa"/>
            <w:tcBorders>
              <w:bottom w:val="single" w:sz="4" w:space="0" w:color="auto"/>
            </w:tcBorders>
          </w:tcPr>
          <w:p w:rsidR="00FC5C2E" w:rsidRPr="00806023" w:rsidRDefault="00F563D7">
            <w:pPr>
              <w:jc w:val="both"/>
              <w:rPr>
                <w:b/>
                <w:sz w:val="22"/>
                <w:szCs w:val="22"/>
              </w:rPr>
            </w:pPr>
            <w:r w:rsidRPr="00806023">
              <w:rPr>
                <w:b/>
                <w:sz w:val="22"/>
                <w:szCs w:val="22"/>
              </w:rPr>
              <w:t>26</w:t>
            </w:r>
            <w:r w:rsidR="00FC5C2E" w:rsidRPr="00806023">
              <w:rPr>
                <w:b/>
                <w:sz w:val="22"/>
                <w:szCs w:val="22"/>
              </w:rPr>
              <w:t>%</w:t>
            </w:r>
            <w:r w:rsidR="000B2C98" w:rsidRPr="00806023">
              <w:rPr>
                <w:b/>
                <w:sz w:val="22"/>
                <w:szCs w:val="22"/>
              </w:rPr>
              <w:t>*</w:t>
            </w:r>
          </w:p>
        </w:tc>
      </w:tr>
    </w:tbl>
    <w:p w:rsidR="00555C35" w:rsidRPr="00806023" w:rsidRDefault="00555C35">
      <w:pPr>
        <w:pStyle w:val="BodyTextIndent2"/>
        <w:tabs>
          <w:tab w:val="left" w:pos="0"/>
        </w:tabs>
        <w:ind w:left="0"/>
        <w:jc w:val="both"/>
        <w:rPr>
          <w:rFonts w:ascii="Times New Roman" w:hAnsi="Times New Roman" w:cs="Times New Roman"/>
        </w:rPr>
      </w:pPr>
    </w:p>
    <w:p w:rsidR="000B2C98" w:rsidRPr="00806023" w:rsidRDefault="000B2C98" w:rsidP="00087AD1">
      <w:pPr>
        <w:pStyle w:val="BodyTextIndent2"/>
        <w:numPr>
          <w:ilvl w:val="0"/>
          <w:numId w:val="4"/>
        </w:numPr>
        <w:tabs>
          <w:tab w:val="left" w:pos="0"/>
        </w:tabs>
        <w:ind w:left="0"/>
        <w:jc w:val="both"/>
        <w:rPr>
          <w:rFonts w:ascii="Times New Roman" w:hAnsi="Times New Roman" w:cs="Times New Roman"/>
        </w:rPr>
      </w:pPr>
      <w:r w:rsidRPr="00806023">
        <w:rPr>
          <w:rFonts w:ascii="Times New Roman" w:hAnsi="Times New Roman" w:cs="Times New Roman"/>
        </w:rPr>
        <w:t>* Indicates performance measures the state did not meet.</w:t>
      </w:r>
    </w:p>
    <w:p w:rsidR="001242A9" w:rsidRPr="00806023" w:rsidRDefault="00207481" w:rsidP="00087AD1">
      <w:pPr>
        <w:pStyle w:val="BodyTextIndent2"/>
        <w:numPr>
          <w:ilvl w:val="0"/>
          <w:numId w:val="4"/>
        </w:numPr>
        <w:tabs>
          <w:tab w:val="left" w:pos="0"/>
        </w:tabs>
        <w:ind w:left="0"/>
        <w:jc w:val="both"/>
        <w:rPr>
          <w:rFonts w:ascii="Times New Roman" w:hAnsi="Times New Roman" w:cs="Times New Roman"/>
        </w:rPr>
      </w:pPr>
      <w:r w:rsidRPr="00806023">
        <w:rPr>
          <w:rFonts w:ascii="Times New Roman" w:hAnsi="Times New Roman" w:cs="Times New Roman"/>
        </w:rPr>
        <w:t>Table D (</w:t>
      </w:r>
      <w:r w:rsidR="00555C35" w:rsidRPr="00806023">
        <w:rPr>
          <w:rFonts w:ascii="Times New Roman" w:hAnsi="Times New Roman" w:cs="Times New Roman"/>
        </w:rPr>
        <w:t>NRS Table 4</w:t>
      </w:r>
      <w:r w:rsidRPr="00806023">
        <w:rPr>
          <w:rFonts w:ascii="Times New Roman" w:hAnsi="Times New Roman" w:cs="Times New Roman"/>
        </w:rPr>
        <w:t>)</w:t>
      </w:r>
      <w:r w:rsidR="00555C35" w:rsidRPr="00806023">
        <w:rPr>
          <w:rFonts w:ascii="Times New Roman" w:hAnsi="Times New Roman" w:cs="Times New Roman"/>
        </w:rPr>
        <w:t xml:space="preserve"> shows Michigan</w:t>
      </w:r>
      <w:r w:rsidR="00D47D1E" w:rsidRPr="00806023">
        <w:rPr>
          <w:rFonts w:ascii="Times New Roman" w:hAnsi="Times New Roman" w:cs="Times New Roman"/>
        </w:rPr>
        <w:t xml:space="preserve"> only met or exceeded three performance measures </w:t>
      </w:r>
      <w:r w:rsidR="00554C56" w:rsidRPr="00806023">
        <w:rPr>
          <w:rFonts w:ascii="Times New Roman" w:hAnsi="Times New Roman" w:cs="Times New Roman"/>
        </w:rPr>
        <w:t>compared to NRS Table 4B</w:t>
      </w:r>
      <w:r w:rsidR="00910360" w:rsidRPr="00806023">
        <w:rPr>
          <w:rFonts w:ascii="Times New Roman" w:hAnsi="Times New Roman" w:cs="Times New Roman"/>
        </w:rPr>
        <w:t>,</w:t>
      </w:r>
      <w:r w:rsidR="00554C56" w:rsidRPr="00806023">
        <w:rPr>
          <w:rFonts w:ascii="Times New Roman" w:hAnsi="Times New Roman" w:cs="Times New Roman"/>
        </w:rPr>
        <w:t xml:space="preserve"> w</w:t>
      </w:r>
      <w:r w:rsidR="0061010B" w:rsidRPr="00806023">
        <w:rPr>
          <w:rFonts w:ascii="Times New Roman" w:hAnsi="Times New Roman" w:cs="Times New Roman"/>
        </w:rPr>
        <w:t>h</w:t>
      </w:r>
      <w:r w:rsidR="00554C56" w:rsidRPr="00806023">
        <w:rPr>
          <w:rFonts w:ascii="Times New Roman" w:hAnsi="Times New Roman" w:cs="Times New Roman"/>
        </w:rPr>
        <w:t xml:space="preserve">ere the performance </w:t>
      </w:r>
      <w:r w:rsidR="0061010B" w:rsidRPr="00806023">
        <w:rPr>
          <w:rFonts w:ascii="Times New Roman" w:hAnsi="Times New Roman" w:cs="Times New Roman"/>
        </w:rPr>
        <w:t>wa</w:t>
      </w:r>
      <w:r w:rsidR="00554C56" w:rsidRPr="00806023">
        <w:rPr>
          <w:rFonts w:ascii="Times New Roman" w:hAnsi="Times New Roman" w:cs="Times New Roman"/>
        </w:rPr>
        <w:t xml:space="preserve">s </w:t>
      </w:r>
      <w:r w:rsidR="00D47D1E" w:rsidRPr="00806023">
        <w:rPr>
          <w:rFonts w:ascii="Times New Roman" w:hAnsi="Times New Roman" w:cs="Times New Roman"/>
        </w:rPr>
        <w:t>nearly</w:t>
      </w:r>
      <w:r w:rsidR="004A30B1" w:rsidRPr="00806023">
        <w:rPr>
          <w:rFonts w:ascii="Times New Roman" w:hAnsi="Times New Roman" w:cs="Times New Roman"/>
        </w:rPr>
        <w:t xml:space="preserve"> perfect</w:t>
      </w:r>
      <w:r w:rsidR="00D47D1E" w:rsidRPr="00806023">
        <w:rPr>
          <w:rFonts w:ascii="Times New Roman" w:hAnsi="Times New Roman" w:cs="Times New Roman"/>
        </w:rPr>
        <w:t>.</w:t>
      </w:r>
      <w:r w:rsidRPr="00806023">
        <w:rPr>
          <w:rFonts w:ascii="Times New Roman" w:hAnsi="Times New Roman" w:cs="Times New Roman"/>
        </w:rPr>
        <w:t xml:space="preserve"> Table E (NRS </w:t>
      </w:r>
      <w:r w:rsidR="004A30B1" w:rsidRPr="00806023">
        <w:rPr>
          <w:rFonts w:ascii="Times New Roman" w:hAnsi="Times New Roman" w:cs="Times New Roman"/>
        </w:rPr>
        <w:t>Table 4B</w:t>
      </w:r>
      <w:r w:rsidRPr="00806023">
        <w:rPr>
          <w:rFonts w:ascii="Times New Roman" w:hAnsi="Times New Roman" w:cs="Times New Roman"/>
        </w:rPr>
        <w:t>)</w:t>
      </w:r>
      <w:r w:rsidR="00555C35" w:rsidRPr="00806023">
        <w:rPr>
          <w:rFonts w:ascii="Times New Roman" w:hAnsi="Times New Roman" w:cs="Times New Roman"/>
        </w:rPr>
        <w:t xml:space="preserve"> shows a significant increase in </w:t>
      </w:r>
      <w:r w:rsidR="00554C56" w:rsidRPr="00806023">
        <w:rPr>
          <w:rFonts w:ascii="Times New Roman" w:hAnsi="Times New Roman" w:cs="Times New Roman"/>
        </w:rPr>
        <w:t xml:space="preserve">performance </w:t>
      </w:r>
      <w:r w:rsidR="005B275F" w:rsidRPr="00806023">
        <w:rPr>
          <w:rFonts w:ascii="Times New Roman" w:hAnsi="Times New Roman" w:cs="Times New Roman"/>
        </w:rPr>
        <w:t xml:space="preserve">in all </w:t>
      </w:r>
      <w:r w:rsidR="00555C35" w:rsidRPr="00806023">
        <w:rPr>
          <w:rFonts w:ascii="Times New Roman" w:hAnsi="Times New Roman" w:cs="Times New Roman"/>
        </w:rPr>
        <w:t>categories</w:t>
      </w:r>
      <w:r w:rsidR="005B275F" w:rsidRPr="00806023">
        <w:rPr>
          <w:rFonts w:ascii="Times New Roman" w:hAnsi="Times New Roman" w:cs="Times New Roman"/>
        </w:rPr>
        <w:t xml:space="preserve"> </w:t>
      </w:r>
      <w:r w:rsidR="0061010B" w:rsidRPr="00806023">
        <w:rPr>
          <w:rFonts w:ascii="Times New Roman" w:hAnsi="Times New Roman" w:cs="Times New Roman"/>
        </w:rPr>
        <w:t>due to higher pre and posttest rate of 61% compared to 53%</w:t>
      </w:r>
      <w:r w:rsidR="00555C35" w:rsidRPr="00806023">
        <w:rPr>
          <w:rFonts w:ascii="Times New Roman" w:hAnsi="Times New Roman" w:cs="Times New Roman"/>
        </w:rPr>
        <w:t xml:space="preserve">. </w:t>
      </w:r>
      <w:r w:rsidR="00A01544" w:rsidRPr="00806023">
        <w:rPr>
          <w:rFonts w:ascii="Times New Roman" w:hAnsi="Times New Roman" w:cs="Times New Roman"/>
        </w:rPr>
        <w:t xml:space="preserve">The </w:t>
      </w:r>
      <w:r w:rsidR="001401A2" w:rsidRPr="00806023">
        <w:rPr>
          <w:rFonts w:ascii="Times New Roman" w:hAnsi="Times New Roman" w:cs="Times New Roman"/>
        </w:rPr>
        <w:t>persi</w:t>
      </w:r>
      <w:r w:rsidR="00E43545" w:rsidRPr="00806023">
        <w:rPr>
          <w:rFonts w:ascii="Times New Roman" w:hAnsi="Times New Roman" w:cs="Times New Roman"/>
        </w:rPr>
        <w:t>ste</w:t>
      </w:r>
      <w:r w:rsidR="001401A2" w:rsidRPr="00806023">
        <w:rPr>
          <w:rFonts w:ascii="Times New Roman" w:hAnsi="Times New Roman" w:cs="Times New Roman"/>
        </w:rPr>
        <w:t>nt</w:t>
      </w:r>
      <w:r w:rsidR="00A01544" w:rsidRPr="00806023">
        <w:rPr>
          <w:rFonts w:ascii="Times New Roman" w:hAnsi="Times New Roman" w:cs="Times New Roman"/>
        </w:rPr>
        <w:t xml:space="preserve"> drop in performance is forcing </w:t>
      </w:r>
      <w:r w:rsidR="00A01544" w:rsidRPr="00806023">
        <w:rPr>
          <w:rFonts w:ascii="Times New Roman" w:hAnsi="Times New Roman" w:cs="Times New Roman"/>
          <w:b/>
        </w:rPr>
        <w:t xml:space="preserve">Michigan to </w:t>
      </w:r>
      <w:r w:rsidR="00E75563" w:rsidRPr="00806023">
        <w:rPr>
          <w:rFonts w:ascii="Times New Roman" w:hAnsi="Times New Roman" w:cs="Times New Roman"/>
          <w:b/>
        </w:rPr>
        <w:t>request technical assistance from OCTAE-USDOE</w:t>
      </w:r>
      <w:r w:rsidR="007666F3" w:rsidRPr="00806023">
        <w:rPr>
          <w:rFonts w:ascii="Times New Roman" w:hAnsi="Times New Roman" w:cs="Times New Roman"/>
          <w:b/>
        </w:rPr>
        <w:t>.</w:t>
      </w:r>
      <w:r w:rsidR="007666F3" w:rsidRPr="00806023">
        <w:rPr>
          <w:rFonts w:ascii="Times New Roman" w:hAnsi="Times New Roman" w:cs="Times New Roman"/>
        </w:rPr>
        <w:t xml:space="preserve"> </w:t>
      </w:r>
      <w:r w:rsidR="00E43545" w:rsidRPr="00806023">
        <w:rPr>
          <w:rFonts w:ascii="Times New Roman" w:hAnsi="Times New Roman" w:cs="Times New Roman"/>
        </w:rPr>
        <w:t xml:space="preserve">In addition, we </w:t>
      </w:r>
      <w:r w:rsidR="00FF1C99" w:rsidRPr="00806023">
        <w:rPr>
          <w:rFonts w:ascii="Times New Roman" w:hAnsi="Times New Roman" w:cs="Times New Roman"/>
        </w:rPr>
        <w:t xml:space="preserve">will </w:t>
      </w:r>
      <w:r w:rsidR="00E43545" w:rsidRPr="00806023">
        <w:rPr>
          <w:rFonts w:ascii="Times New Roman" w:hAnsi="Times New Roman" w:cs="Times New Roman"/>
        </w:rPr>
        <w:t xml:space="preserve">continue to upgrade </w:t>
      </w:r>
      <w:r w:rsidR="00FF1C99" w:rsidRPr="00806023">
        <w:rPr>
          <w:rFonts w:ascii="Times New Roman" w:hAnsi="Times New Roman" w:cs="Times New Roman"/>
        </w:rPr>
        <w:t>MAERS</w:t>
      </w:r>
      <w:r w:rsidR="0081601E" w:rsidRPr="00806023">
        <w:rPr>
          <w:rFonts w:ascii="Times New Roman" w:hAnsi="Times New Roman" w:cs="Times New Roman"/>
        </w:rPr>
        <w:t>,</w:t>
      </w:r>
      <w:r w:rsidR="00FF1C99" w:rsidRPr="00806023">
        <w:rPr>
          <w:rFonts w:ascii="Times New Roman" w:hAnsi="Times New Roman" w:cs="Times New Roman"/>
        </w:rPr>
        <w:t xml:space="preserve"> </w:t>
      </w:r>
      <w:r w:rsidR="00E43545" w:rsidRPr="00806023">
        <w:rPr>
          <w:rFonts w:ascii="Times New Roman" w:hAnsi="Times New Roman" w:cs="Times New Roman"/>
        </w:rPr>
        <w:t xml:space="preserve">our data collection and reporting system, </w:t>
      </w:r>
      <w:r w:rsidR="00FF1C99" w:rsidRPr="00806023">
        <w:rPr>
          <w:rFonts w:ascii="Times New Roman" w:hAnsi="Times New Roman" w:cs="Times New Roman"/>
        </w:rPr>
        <w:t>increase</w:t>
      </w:r>
      <w:r w:rsidR="00E43545" w:rsidRPr="00806023">
        <w:rPr>
          <w:rFonts w:ascii="Times New Roman" w:hAnsi="Times New Roman" w:cs="Times New Roman"/>
        </w:rPr>
        <w:t xml:space="preserve"> the flexibility of the system and </w:t>
      </w:r>
      <w:r w:rsidR="0081601E" w:rsidRPr="00806023">
        <w:rPr>
          <w:rFonts w:ascii="Times New Roman" w:hAnsi="Times New Roman" w:cs="Times New Roman"/>
        </w:rPr>
        <w:t>the ability to</w:t>
      </w:r>
      <w:r w:rsidR="00FF1C99" w:rsidRPr="00806023">
        <w:rPr>
          <w:rFonts w:ascii="Times New Roman" w:hAnsi="Times New Roman" w:cs="Times New Roman"/>
        </w:rPr>
        <w:t xml:space="preserve"> </w:t>
      </w:r>
      <w:r w:rsidR="0081601E" w:rsidRPr="00806023">
        <w:rPr>
          <w:rFonts w:ascii="Times New Roman" w:hAnsi="Times New Roman" w:cs="Times New Roman"/>
        </w:rPr>
        <w:t>run</w:t>
      </w:r>
      <w:r w:rsidR="00247CDB" w:rsidRPr="00806023">
        <w:rPr>
          <w:rFonts w:ascii="Times New Roman" w:hAnsi="Times New Roman" w:cs="Times New Roman"/>
        </w:rPr>
        <w:t xml:space="preserve"> more </w:t>
      </w:r>
      <w:r w:rsidR="00FF1C99" w:rsidRPr="00806023">
        <w:rPr>
          <w:rFonts w:ascii="Times New Roman" w:hAnsi="Times New Roman" w:cs="Times New Roman"/>
        </w:rPr>
        <w:t xml:space="preserve">on-time </w:t>
      </w:r>
      <w:r w:rsidR="00E43545" w:rsidRPr="00806023">
        <w:rPr>
          <w:rFonts w:ascii="Times New Roman" w:hAnsi="Times New Roman" w:cs="Times New Roman"/>
        </w:rPr>
        <w:t>reports</w:t>
      </w:r>
      <w:r w:rsidR="00FF1C99" w:rsidRPr="00806023">
        <w:rPr>
          <w:rFonts w:ascii="Times New Roman" w:hAnsi="Times New Roman" w:cs="Times New Roman"/>
        </w:rPr>
        <w:t>. These collective efforts should</w:t>
      </w:r>
      <w:r w:rsidR="00E43545" w:rsidRPr="00806023">
        <w:rPr>
          <w:rFonts w:ascii="Times New Roman" w:hAnsi="Times New Roman" w:cs="Times New Roman"/>
        </w:rPr>
        <w:t xml:space="preserve"> assist </w:t>
      </w:r>
      <w:r w:rsidR="00FF1C99" w:rsidRPr="00806023">
        <w:rPr>
          <w:rFonts w:ascii="Times New Roman" w:hAnsi="Times New Roman" w:cs="Times New Roman"/>
        </w:rPr>
        <w:t xml:space="preserve">local providers </w:t>
      </w:r>
      <w:r w:rsidR="00D032D8" w:rsidRPr="00806023">
        <w:rPr>
          <w:rFonts w:ascii="Times New Roman" w:hAnsi="Times New Roman" w:cs="Times New Roman"/>
        </w:rPr>
        <w:t>to dig</w:t>
      </w:r>
      <w:r w:rsidR="00E43545" w:rsidRPr="00806023">
        <w:rPr>
          <w:rFonts w:ascii="Times New Roman" w:hAnsi="Times New Roman" w:cs="Times New Roman"/>
        </w:rPr>
        <w:t xml:space="preserve"> deeper into instructional information </w:t>
      </w:r>
      <w:r w:rsidR="00247CDB" w:rsidRPr="00806023">
        <w:rPr>
          <w:rFonts w:ascii="Times New Roman" w:hAnsi="Times New Roman" w:cs="Times New Roman"/>
        </w:rPr>
        <w:t>that</w:t>
      </w:r>
      <w:r w:rsidR="00E43545" w:rsidRPr="00806023">
        <w:rPr>
          <w:rFonts w:ascii="Times New Roman" w:hAnsi="Times New Roman" w:cs="Times New Roman"/>
        </w:rPr>
        <w:t xml:space="preserve"> may provide fact-based </w:t>
      </w:r>
      <w:r w:rsidR="00FF1C99" w:rsidRPr="00806023">
        <w:rPr>
          <w:rFonts w:ascii="Times New Roman" w:hAnsi="Times New Roman" w:cs="Times New Roman"/>
        </w:rPr>
        <w:t>strategies</w:t>
      </w:r>
      <w:r w:rsidR="00247CDB" w:rsidRPr="00806023">
        <w:rPr>
          <w:rFonts w:ascii="Times New Roman" w:hAnsi="Times New Roman" w:cs="Times New Roman"/>
        </w:rPr>
        <w:t xml:space="preserve"> t</w:t>
      </w:r>
      <w:r w:rsidR="00FF1C99" w:rsidRPr="00806023">
        <w:rPr>
          <w:rFonts w:ascii="Times New Roman" w:hAnsi="Times New Roman" w:cs="Times New Roman"/>
        </w:rPr>
        <w:t>hat could</w:t>
      </w:r>
      <w:r w:rsidR="00247CDB" w:rsidRPr="00806023">
        <w:rPr>
          <w:rFonts w:ascii="Times New Roman" w:hAnsi="Times New Roman" w:cs="Times New Roman"/>
        </w:rPr>
        <w:t xml:space="preserve"> assist </w:t>
      </w:r>
      <w:r w:rsidR="00FF1C99" w:rsidRPr="00806023">
        <w:rPr>
          <w:rFonts w:ascii="Times New Roman" w:hAnsi="Times New Roman" w:cs="Times New Roman"/>
        </w:rPr>
        <w:t>them</w:t>
      </w:r>
      <w:r w:rsidR="00D032D8" w:rsidRPr="00806023">
        <w:rPr>
          <w:rFonts w:ascii="Times New Roman" w:hAnsi="Times New Roman" w:cs="Times New Roman"/>
        </w:rPr>
        <w:t xml:space="preserve"> to</w:t>
      </w:r>
      <w:r w:rsidR="00247CDB" w:rsidRPr="00806023">
        <w:rPr>
          <w:rFonts w:ascii="Times New Roman" w:hAnsi="Times New Roman" w:cs="Times New Roman"/>
        </w:rPr>
        <w:t xml:space="preserve"> improve their performance. </w:t>
      </w:r>
      <w:r w:rsidR="001242A9" w:rsidRPr="00806023">
        <w:rPr>
          <w:rFonts w:ascii="Times New Roman" w:hAnsi="Times New Roman" w:cs="Times New Roman"/>
        </w:rPr>
        <w:t>In</w:t>
      </w:r>
      <w:r w:rsidR="00D032D8" w:rsidRPr="00806023">
        <w:rPr>
          <w:rFonts w:ascii="Times New Roman" w:hAnsi="Times New Roman" w:cs="Times New Roman"/>
        </w:rPr>
        <w:t xml:space="preserve"> the</w:t>
      </w:r>
      <w:r w:rsidR="001242A9" w:rsidRPr="00806023">
        <w:rPr>
          <w:rFonts w:ascii="Times New Roman" w:hAnsi="Times New Roman" w:cs="Times New Roman"/>
        </w:rPr>
        <w:t xml:space="preserve"> recent past</w:t>
      </w:r>
      <w:r w:rsidR="00FF1C99" w:rsidRPr="00806023">
        <w:rPr>
          <w:rFonts w:ascii="Times New Roman" w:hAnsi="Times New Roman" w:cs="Times New Roman"/>
        </w:rPr>
        <w:t>,</w:t>
      </w:r>
      <w:r w:rsidR="001242A9" w:rsidRPr="00806023">
        <w:rPr>
          <w:rFonts w:ascii="Times New Roman" w:hAnsi="Times New Roman" w:cs="Times New Roman"/>
        </w:rPr>
        <w:t xml:space="preserve"> </w:t>
      </w:r>
      <w:r w:rsidR="00D032D8" w:rsidRPr="00806023">
        <w:rPr>
          <w:rFonts w:ascii="Times New Roman" w:hAnsi="Times New Roman" w:cs="Times New Roman"/>
        </w:rPr>
        <w:t>Michigan has</w:t>
      </w:r>
      <w:r w:rsidR="00E43545" w:rsidRPr="00806023">
        <w:rPr>
          <w:rFonts w:ascii="Times New Roman" w:hAnsi="Times New Roman" w:cs="Times New Roman"/>
        </w:rPr>
        <w:t xml:space="preserve"> invested considerable </w:t>
      </w:r>
      <w:r w:rsidR="00247CDB" w:rsidRPr="00806023">
        <w:rPr>
          <w:rFonts w:ascii="Times New Roman" w:hAnsi="Times New Roman" w:cs="Times New Roman"/>
        </w:rPr>
        <w:t>resources</w:t>
      </w:r>
      <w:r w:rsidR="00E43545" w:rsidRPr="00806023">
        <w:rPr>
          <w:rFonts w:ascii="Times New Roman" w:hAnsi="Times New Roman" w:cs="Times New Roman"/>
        </w:rPr>
        <w:t xml:space="preserve"> into the </w:t>
      </w:r>
      <w:r w:rsidR="00FF1C99" w:rsidRPr="00806023">
        <w:rPr>
          <w:rFonts w:ascii="Times New Roman" w:hAnsi="Times New Roman" w:cs="Times New Roman"/>
        </w:rPr>
        <w:t xml:space="preserve">data collection and </w:t>
      </w:r>
      <w:r w:rsidR="00E43545" w:rsidRPr="00806023">
        <w:rPr>
          <w:rFonts w:ascii="Times New Roman" w:hAnsi="Times New Roman" w:cs="Times New Roman"/>
        </w:rPr>
        <w:t xml:space="preserve">reporting system and the MAERS team </w:t>
      </w:r>
      <w:r w:rsidR="0004754D" w:rsidRPr="00806023">
        <w:rPr>
          <w:rFonts w:ascii="Times New Roman" w:hAnsi="Times New Roman" w:cs="Times New Roman"/>
        </w:rPr>
        <w:t xml:space="preserve">has been </w:t>
      </w:r>
      <w:r w:rsidR="00E43545" w:rsidRPr="00806023">
        <w:rPr>
          <w:rFonts w:ascii="Times New Roman" w:hAnsi="Times New Roman" w:cs="Times New Roman"/>
        </w:rPr>
        <w:t xml:space="preserve">working tirelessly </w:t>
      </w:r>
      <w:r w:rsidR="0004754D" w:rsidRPr="00806023">
        <w:rPr>
          <w:rFonts w:ascii="Times New Roman" w:hAnsi="Times New Roman" w:cs="Times New Roman"/>
        </w:rPr>
        <w:t>t</w:t>
      </w:r>
      <w:r w:rsidR="001242A9" w:rsidRPr="00806023">
        <w:rPr>
          <w:rFonts w:ascii="Times New Roman" w:hAnsi="Times New Roman" w:cs="Times New Roman"/>
        </w:rPr>
        <w:t xml:space="preserve">o </w:t>
      </w:r>
      <w:r w:rsidR="00FF1C99" w:rsidRPr="00806023">
        <w:rPr>
          <w:rFonts w:ascii="Times New Roman" w:hAnsi="Times New Roman" w:cs="Times New Roman"/>
        </w:rPr>
        <w:t>make</w:t>
      </w:r>
      <w:r w:rsidR="001242A9" w:rsidRPr="00806023">
        <w:rPr>
          <w:rFonts w:ascii="Times New Roman" w:hAnsi="Times New Roman" w:cs="Times New Roman"/>
        </w:rPr>
        <w:t xml:space="preserve"> </w:t>
      </w:r>
      <w:r w:rsidR="00FF1C99" w:rsidRPr="00806023">
        <w:rPr>
          <w:rFonts w:ascii="Times New Roman" w:hAnsi="Times New Roman" w:cs="Times New Roman"/>
        </w:rPr>
        <w:t>MAERS</w:t>
      </w:r>
      <w:r w:rsidR="001242A9" w:rsidRPr="00806023">
        <w:rPr>
          <w:rFonts w:ascii="Times New Roman" w:hAnsi="Times New Roman" w:cs="Times New Roman"/>
        </w:rPr>
        <w:t xml:space="preserve"> user-friendly, effective and efficient. </w:t>
      </w:r>
    </w:p>
    <w:p w:rsidR="00575E3E" w:rsidRPr="00806023" w:rsidRDefault="00575E3E" w:rsidP="00575E3E">
      <w:pPr>
        <w:pStyle w:val="BodyTextIndent2"/>
        <w:tabs>
          <w:tab w:val="left" w:pos="0"/>
        </w:tabs>
        <w:ind w:left="-720"/>
        <w:jc w:val="both"/>
        <w:rPr>
          <w:rFonts w:ascii="Times New Roman" w:hAnsi="Times New Roman" w:cs="Times New Roman"/>
        </w:rPr>
      </w:pPr>
    </w:p>
    <w:p w:rsidR="006003FD" w:rsidRPr="00806023" w:rsidRDefault="005211B8" w:rsidP="00F26439">
      <w:pPr>
        <w:pStyle w:val="BodyTextIndent2"/>
        <w:numPr>
          <w:ilvl w:val="0"/>
          <w:numId w:val="4"/>
        </w:numPr>
        <w:tabs>
          <w:tab w:val="left" w:pos="0"/>
        </w:tabs>
        <w:ind w:left="0"/>
        <w:jc w:val="both"/>
        <w:rPr>
          <w:rFonts w:ascii="Times New Roman" w:hAnsi="Times New Roman" w:cs="Times New Roman"/>
        </w:rPr>
      </w:pPr>
      <w:r w:rsidRPr="00806023">
        <w:rPr>
          <w:rFonts w:ascii="Times New Roman" w:hAnsi="Times New Roman" w:cs="Times New Roman"/>
        </w:rPr>
        <w:t xml:space="preserve">NRS </w:t>
      </w:r>
      <w:r w:rsidR="00FA577A" w:rsidRPr="00806023">
        <w:rPr>
          <w:rFonts w:ascii="Times New Roman" w:hAnsi="Times New Roman" w:cs="Times New Roman"/>
        </w:rPr>
        <w:t>Table 4C</w:t>
      </w:r>
      <w:r w:rsidR="006003FD" w:rsidRPr="00806023">
        <w:rPr>
          <w:rFonts w:ascii="Times New Roman" w:hAnsi="Times New Roman" w:cs="Times New Roman"/>
        </w:rPr>
        <w:t xml:space="preserve"> performance </w:t>
      </w:r>
      <w:r w:rsidRPr="00806023">
        <w:rPr>
          <w:rFonts w:ascii="Times New Roman" w:hAnsi="Times New Roman" w:cs="Times New Roman"/>
        </w:rPr>
        <w:t xml:space="preserve">report </w:t>
      </w:r>
      <w:r w:rsidR="00C90F7A" w:rsidRPr="00806023">
        <w:rPr>
          <w:rFonts w:ascii="Times New Roman" w:hAnsi="Times New Roman" w:cs="Times New Roman"/>
        </w:rPr>
        <w:t>shows</w:t>
      </w:r>
      <w:r w:rsidR="006003FD" w:rsidRPr="00806023">
        <w:rPr>
          <w:rFonts w:ascii="Times New Roman" w:hAnsi="Times New Roman" w:cs="Times New Roman"/>
        </w:rPr>
        <w:t xml:space="preserve"> </w:t>
      </w:r>
      <w:r w:rsidR="00166CEB" w:rsidRPr="00806023">
        <w:rPr>
          <w:rFonts w:ascii="Times New Roman" w:hAnsi="Times New Roman" w:cs="Times New Roman"/>
        </w:rPr>
        <w:t xml:space="preserve">that </w:t>
      </w:r>
      <w:r w:rsidR="00C90F7A" w:rsidRPr="00806023">
        <w:rPr>
          <w:rFonts w:ascii="Times New Roman" w:hAnsi="Times New Roman" w:cs="Times New Roman"/>
        </w:rPr>
        <w:t>very</w:t>
      </w:r>
      <w:r w:rsidR="006003FD" w:rsidRPr="00806023">
        <w:rPr>
          <w:rFonts w:ascii="Times New Roman" w:hAnsi="Times New Roman" w:cs="Times New Roman"/>
        </w:rPr>
        <w:t xml:space="preserve"> few </w:t>
      </w:r>
      <w:r w:rsidR="00C90F7A" w:rsidRPr="00806023">
        <w:rPr>
          <w:rFonts w:ascii="Times New Roman" w:hAnsi="Times New Roman" w:cs="Times New Roman"/>
        </w:rPr>
        <w:t>adults</w:t>
      </w:r>
      <w:r w:rsidR="00166CEB" w:rsidRPr="00806023">
        <w:rPr>
          <w:rFonts w:ascii="Times New Roman" w:hAnsi="Times New Roman" w:cs="Times New Roman"/>
        </w:rPr>
        <w:t>,</w:t>
      </w:r>
      <w:r w:rsidR="00C90F7A" w:rsidRPr="00806023">
        <w:rPr>
          <w:rFonts w:ascii="Times New Roman" w:hAnsi="Times New Roman" w:cs="Times New Roman"/>
        </w:rPr>
        <w:t xml:space="preserve"> </w:t>
      </w:r>
      <w:r w:rsidR="00CD1694" w:rsidRPr="00806023">
        <w:rPr>
          <w:rFonts w:ascii="Times New Roman" w:hAnsi="Times New Roman" w:cs="Times New Roman"/>
        </w:rPr>
        <w:t>about 213</w:t>
      </w:r>
      <w:r w:rsidR="00166CEB" w:rsidRPr="00806023">
        <w:rPr>
          <w:rFonts w:ascii="Times New Roman" w:hAnsi="Times New Roman" w:cs="Times New Roman"/>
        </w:rPr>
        <w:t>,</w:t>
      </w:r>
      <w:r w:rsidR="00CD1694" w:rsidRPr="00806023">
        <w:rPr>
          <w:rFonts w:ascii="Times New Roman" w:hAnsi="Times New Roman" w:cs="Times New Roman"/>
        </w:rPr>
        <w:t xml:space="preserve"> </w:t>
      </w:r>
      <w:r w:rsidR="006003FD" w:rsidRPr="00806023">
        <w:rPr>
          <w:rFonts w:ascii="Times New Roman" w:hAnsi="Times New Roman" w:cs="Times New Roman"/>
        </w:rPr>
        <w:t>participated in distance learning</w:t>
      </w:r>
      <w:r w:rsidR="00166CEB" w:rsidRPr="00806023">
        <w:rPr>
          <w:rFonts w:ascii="Times New Roman" w:hAnsi="Times New Roman" w:cs="Times New Roman"/>
        </w:rPr>
        <w:t>,</w:t>
      </w:r>
      <w:r w:rsidR="00CD1694" w:rsidRPr="00806023">
        <w:rPr>
          <w:rFonts w:ascii="Times New Roman" w:hAnsi="Times New Roman" w:cs="Times New Roman"/>
        </w:rPr>
        <w:t xml:space="preserve"> and they </w:t>
      </w:r>
      <w:r w:rsidRPr="00806023">
        <w:rPr>
          <w:rFonts w:ascii="Times New Roman" w:hAnsi="Times New Roman" w:cs="Times New Roman"/>
        </w:rPr>
        <w:t>we</w:t>
      </w:r>
      <w:r w:rsidR="00CD1694" w:rsidRPr="00806023">
        <w:rPr>
          <w:rFonts w:ascii="Times New Roman" w:hAnsi="Times New Roman" w:cs="Times New Roman"/>
        </w:rPr>
        <w:t>re mostly ABE and ASE participants</w:t>
      </w:r>
      <w:r w:rsidR="00781AEF" w:rsidRPr="00806023">
        <w:rPr>
          <w:rFonts w:ascii="Times New Roman" w:hAnsi="Times New Roman" w:cs="Times New Roman"/>
        </w:rPr>
        <w:t>. It is very likely</w:t>
      </w:r>
      <w:r w:rsidR="00FA577A" w:rsidRPr="00806023">
        <w:rPr>
          <w:rFonts w:ascii="Times New Roman" w:hAnsi="Times New Roman" w:cs="Times New Roman"/>
        </w:rPr>
        <w:t xml:space="preserve"> that</w:t>
      </w:r>
      <w:r w:rsidR="00781AEF" w:rsidRPr="00806023">
        <w:rPr>
          <w:rFonts w:ascii="Times New Roman" w:hAnsi="Times New Roman" w:cs="Times New Roman"/>
        </w:rPr>
        <w:t xml:space="preserve"> the </w:t>
      </w:r>
      <w:r w:rsidR="0055043D" w:rsidRPr="00806023">
        <w:rPr>
          <w:rFonts w:ascii="Times New Roman" w:hAnsi="Times New Roman" w:cs="Times New Roman"/>
        </w:rPr>
        <w:t xml:space="preserve">low </w:t>
      </w:r>
      <w:r w:rsidR="00781AEF" w:rsidRPr="00806023">
        <w:rPr>
          <w:rFonts w:ascii="Times New Roman" w:hAnsi="Times New Roman" w:cs="Times New Roman"/>
        </w:rPr>
        <w:t>number of p</w:t>
      </w:r>
      <w:r w:rsidR="00FA577A" w:rsidRPr="00806023">
        <w:rPr>
          <w:rFonts w:ascii="Times New Roman" w:hAnsi="Times New Roman" w:cs="Times New Roman"/>
        </w:rPr>
        <w:t>articipants reported on Table 4C</w:t>
      </w:r>
      <w:r w:rsidR="00781AEF" w:rsidRPr="00806023">
        <w:rPr>
          <w:rFonts w:ascii="Times New Roman" w:hAnsi="Times New Roman" w:cs="Times New Roman"/>
        </w:rPr>
        <w:t xml:space="preserve"> is based on Michigan</w:t>
      </w:r>
      <w:r w:rsidR="0055043D" w:rsidRPr="00806023">
        <w:rPr>
          <w:rFonts w:ascii="Times New Roman" w:hAnsi="Times New Roman" w:cs="Times New Roman"/>
        </w:rPr>
        <w:t>’s</w:t>
      </w:r>
      <w:r w:rsidR="00781AEF" w:rsidRPr="00806023">
        <w:rPr>
          <w:rFonts w:ascii="Times New Roman" w:hAnsi="Times New Roman" w:cs="Times New Roman"/>
        </w:rPr>
        <w:t xml:space="preserve"> narrow definition of distance learning. I</w:t>
      </w:r>
      <w:r w:rsidR="000E63A6" w:rsidRPr="00806023">
        <w:rPr>
          <w:rFonts w:ascii="Times New Roman" w:hAnsi="Times New Roman" w:cs="Times New Roman"/>
        </w:rPr>
        <w:t xml:space="preserve">t is </w:t>
      </w:r>
      <w:r w:rsidR="0055043D" w:rsidRPr="00806023">
        <w:rPr>
          <w:rFonts w:ascii="Times New Roman" w:hAnsi="Times New Roman" w:cs="Times New Roman"/>
        </w:rPr>
        <w:t>too</w:t>
      </w:r>
      <w:r w:rsidR="000E63A6" w:rsidRPr="00806023">
        <w:rPr>
          <w:rFonts w:ascii="Times New Roman" w:hAnsi="Times New Roman" w:cs="Times New Roman"/>
        </w:rPr>
        <w:t xml:space="preserve"> soon</w:t>
      </w:r>
      <w:r w:rsidR="006003FD" w:rsidRPr="00806023">
        <w:rPr>
          <w:rFonts w:ascii="Times New Roman" w:hAnsi="Times New Roman" w:cs="Times New Roman"/>
        </w:rPr>
        <w:t xml:space="preserve"> to quantify any success or failure until we implement our new</w:t>
      </w:r>
      <w:r w:rsidR="000E63A6" w:rsidRPr="00806023">
        <w:rPr>
          <w:rFonts w:ascii="Times New Roman" w:hAnsi="Times New Roman" w:cs="Times New Roman"/>
        </w:rPr>
        <w:t>ly</w:t>
      </w:r>
      <w:r w:rsidR="006003FD" w:rsidRPr="00806023">
        <w:rPr>
          <w:rFonts w:ascii="Times New Roman" w:hAnsi="Times New Roman" w:cs="Times New Roman"/>
        </w:rPr>
        <w:t xml:space="preserve"> approved distance learning policy.</w:t>
      </w:r>
    </w:p>
    <w:p w:rsidR="00AB32D4" w:rsidRPr="00806023" w:rsidRDefault="00AB32D4" w:rsidP="00AB32D4">
      <w:pPr>
        <w:pStyle w:val="BodyTextIndent2"/>
        <w:tabs>
          <w:tab w:val="left" w:pos="0"/>
        </w:tabs>
        <w:ind w:left="-360"/>
        <w:jc w:val="both"/>
        <w:rPr>
          <w:rFonts w:ascii="Times New Roman" w:hAnsi="Times New Roman" w:cs="Times New Roman"/>
        </w:rPr>
      </w:pPr>
    </w:p>
    <w:p w:rsidR="00555C35" w:rsidRPr="00806023" w:rsidRDefault="00555C35" w:rsidP="00D95451">
      <w:pPr>
        <w:pStyle w:val="BodyTextIndent2"/>
        <w:numPr>
          <w:ilvl w:val="0"/>
          <w:numId w:val="4"/>
        </w:numPr>
        <w:tabs>
          <w:tab w:val="left" w:pos="0"/>
        </w:tabs>
        <w:ind w:left="0"/>
        <w:jc w:val="both"/>
        <w:rPr>
          <w:rFonts w:ascii="Times New Roman" w:hAnsi="Times New Roman" w:cs="Times New Roman"/>
        </w:rPr>
      </w:pPr>
      <w:r w:rsidRPr="00806023">
        <w:rPr>
          <w:rFonts w:ascii="Times New Roman" w:hAnsi="Times New Roman" w:cs="Times New Roman"/>
        </w:rPr>
        <w:t xml:space="preserve">The Michigan Department of Corrections (MDOC) data </w:t>
      </w:r>
      <w:r w:rsidR="00AD7A34" w:rsidRPr="00806023">
        <w:rPr>
          <w:rFonts w:ascii="Times New Roman" w:hAnsi="Times New Roman" w:cs="Times New Roman"/>
        </w:rPr>
        <w:t xml:space="preserve">collection </w:t>
      </w:r>
      <w:r w:rsidR="00C90F7A" w:rsidRPr="00806023">
        <w:rPr>
          <w:rFonts w:ascii="Times New Roman" w:hAnsi="Times New Roman" w:cs="Times New Roman"/>
        </w:rPr>
        <w:t xml:space="preserve">and reporting </w:t>
      </w:r>
      <w:r w:rsidR="005A778B" w:rsidRPr="00806023">
        <w:rPr>
          <w:rFonts w:ascii="Times New Roman" w:hAnsi="Times New Roman" w:cs="Times New Roman"/>
        </w:rPr>
        <w:t>improved</w:t>
      </w:r>
      <w:r w:rsidR="00867302" w:rsidRPr="00806023">
        <w:rPr>
          <w:rFonts w:ascii="Times New Roman" w:hAnsi="Times New Roman" w:cs="Times New Roman"/>
        </w:rPr>
        <w:t>,</w:t>
      </w:r>
      <w:r w:rsidR="005A778B" w:rsidRPr="00806023">
        <w:rPr>
          <w:rFonts w:ascii="Times New Roman" w:hAnsi="Times New Roman" w:cs="Times New Roman"/>
        </w:rPr>
        <w:t xml:space="preserve"> compared to the </w:t>
      </w:r>
      <w:r w:rsidR="00C90F7A" w:rsidRPr="00806023">
        <w:rPr>
          <w:rFonts w:ascii="Times New Roman" w:hAnsi="Times New Roman" w:cs="Times New Roman"/>
        </w:rPr>
        <w:t>recent past</w:t>
      </w:r>
      <w:r w:rsidR="005A778B" w:rsidRPr="00806023">
        <w:rPr>
          <w:rFonts w:ascii="Times New Roman" w:hAnsi="Times New Roman" w:cs="Times New Roman"/>
        </w:rPr>
        <w:t xml:space="preserve">. </w:t>
      </w:r>
      <w:r w:rsidR="004936F8" w:rsidRPr="00806023">
        <w:rPr>
          <w:rFonts w:ascii="Times New Roman" w:hAnsi="Times New Roman" w:cs="Times New Roman"/>
        </w:rPr>
        <w:t xml:space="preserve">MDOC </w:t>
      </w:r>
      <w:r w:rsidR="00767E04" w:rsidRPr="00806023">
        <w:rPr>
          <w:rFonts w:ascii="Times New Roman" w:hAnsi="Times New Roman" w:cs="Times New Roman"/>
        </w:rPr>
        <w:t>registered 9,283</w:t>
      </w:r>
      <w:r w:rsidR="000E1E93" w:rsidRPr="00806023">
        <w:rPr>
          <w:rFonts w:ascii="Times New Roman" w:hAnsi="Times New Roman" w:cs="Times New Roman"/>
        </w:rPr>
        <w:t xml:space="preserve"> inmates</w:t>
      </w:r>
      <w:r w:rsidR="00464F6E" w:rsidRPr="00806023">
        <w:rPr>
          <w:rFonts w:ascii="Times New Roman" w:hAnsi="Times New Roman" w:cs="Times New Roman"/>
        </w:rPr>
        <w:t xml:space="preserve"> in educational programs, p</w:t>
      </w:r>
      <w:r w:rsidR="000E1E93" w:rsidRPr="00806023">
        <w:rPr>
          <w:rFonts w:ascii="Times New Roman" w:hAnsi="Times New Roman" w:cs="Times New Roman"/>
        </w:rPr>
        <w:t xml:space="preserve">re-tested </w:t>
      </w:r>
      <w:r w:rsidR="00767E04" w:rsidRPr="00806023">
        <w:rPr>
          <w:rFonts w:ascii="Times New Roman" w:hAnsi="Times New Roman" w:cs="Times New Roman"/>
        </w:rPr>
        <w:t>8,130</w:t>
      </w:r>
      <w:r w:rsidR="000E1E93" w:rsidRPr="00806023">
        <w:rPr>
          <w:rFonts w:ascii="Times New Roman" w:hAnsi="Times New Roman" w:cs="Times New Roman"/>
        </w:rPr>
        <w:t xml:space="preserve"> and post</w:t>
      </w:r>
      <w:r w:rsidR="00575E3E" w:rsidRPr="00806023">
        <w:rPr>
          <w:rFonts w:ascii="Times New Roman" w:hAnsi="Times New Roman" w:cs="Times New Roman"/>
        </w:rPr>
        <w:t>-</w:t>
      </w:r>
      <w:r w:rsidR="00D16840" w:rsidRPr="00806023">
        <w:rPr>
          <w:rFonts w:ascii="Times New Roman" w:hAnsi="Times New Roman" w:cs="Times New Roman"/>
        </w:rPr>
        <w:t xml:space="preserve"> </w:t>
      </w:r>
      <w:r w:rsidR="000E1E93" w:rsidRPr="00806023">
        <w:rPr>
          <w:rFonts w:ascii="Times New Roman" w:hAnsi="Times New Roman" w:cs="Times New Roman"/>
        </w:rPr>
        <w:t>tested</w:t>
      </w:r>
      <w:r w:rsidR="00464F6E" w:rsidRPr="00806023">
        <w:rPr>
          <w:rFonts w:ascii="Times New Roman" w:hAnsi="Times New Roman" w:cs="Times New Roman"/>
        </w:rPr>
        <w:t xml:space="preserve"> 3,</w:t>
      </w:r>
      <w:r w:rsidR="00767E04" w:rsidRPr="00806023">
        <w:rPr>
          <w:rFonts w:ascii="Times New Roman" w:hAnsi="Times New Roman" w:cs="Times New Roman"/>
        </w:rPr>
        <w:t>709</w:t>
      </w:r>
      <w:r w:rsidR="00646B19" w:rsidRPr="00806023">
        <w:rPr>
          <w:rFonts w:ascii="Times New Roman" w:hAnsi="Times New Roman" w:cs="Times New Roman"/>
        </w:rPr>
        <w:t xml:space="preserve"> with</w:t>
      </w:r>
      <w:r w:rsidR="00464F6E" w:rsidRPr="00806023">
        <w:rPr>
          <w:rFonts w:ascii="Times New Roman" w:hAnsi="Times New Roman" w:cs="Times New Roman"/>
        </w:rPr>
        <w:t xml:space="preserve"> about </w:t>
      </w:r>
      <w:r w:rsidR="00867302" w:rsidRPr="00806023">
        <w:rPr>
          <w:rFonts w:ascii="Times New Roman" w:hAnsi="Times New Roman" w:cs="Times New Roman"/>
        </w:rPr>
        <w:t xml:space="preserve">a </w:t>
      </w:r>
      <w:r w:rsidR="00464F6E" w:rsidRPr="00806023">
        <w:rPr>
          <w:rFonts w:ascii="Times New Roman" w:hAnsi="Times New Roman" w:cs="Times New Roman"/>
        </w:rPr>
        <w:t>4</w:t>
      </w:r>
      <w:r w:rsidR="00767E04" w:rsidRPr="00806023">
        <w:rPr>
          <w:rFonts w:ascii="Times New Roman" w:hAnsi="Times New Roman" w:cs="Times New Roman"/>
        </w:rPr>
        <w:t>6</w:t>
      </w:r>
      <w:r w:rsidR="00464F6E" w:rsidRPr="00806023">
        <w:rPr>
          <w:rFonts w:ascii="Times New Roman" w:hAnsi="Times New Roman" w:cs="Times New Roman"/>
        </w:rPr>
        <w:t>% posttest</w:t>
      </w:r>
      <w:r w:rsidR="00E71280" w:rsidRPr="00806023">
        <w:rPr>
          <w:rFonts w:ascii="Times New Roman" w:hAnsi="Times New Roman" w:cs="Times New Roman"/>
        </w:rPr>
        <w:t>-</w:t>
      </w:r>
      <w:r w:rsidR="00464F6E" w:rsidRPr="00806023">
        <w:rPr>
          <w:rFonts w:ascii="Times New Roman" w:hAnsi="Times New Roman" w:cs="Times New Roman"/>
        </w:rPr>
        <w:t>rate</w:t>
      </w:r>
      <w:r w:rsidR="00D16840" w:rsidRPr="00806023">
        <w:rPr>
          <w:rFonts w:ascii="Times New Roman" w:hAnsi="Times New Roman" w:cs="Times New Roman"/>
        </w:rPr>
        <w:t>.</w:t>
      </w:r>
      <w:r w:rsidR="003F1EF2" w:rsidRPr="00806023">
        <w:rPr>
          <w:rFonts w:ascii="Times New Roman" w:hAnsi="Times New Roman" w:cs="Times New Roman"/>
        </w:rPr>
        <w:t xml:space="preserve"> </w:t>
      </w:r>
      <w:r w:rsidR="00646B19" w:rsidRPr="00806023">
        <w:rPr>
          <w:rFonts w:ascii="Times New Roman" w:hAnsi="Times New Roman" w:cs="Times New Roman"/>
        </w:rPr>
        <w:t>On the other hand, t</w:t>
      </w:r>
      <w:r w:rsidR="003F1EF2" w:rsidRPr="00806023">
        <w:rPr>
          <w:rFonts w:ascii="Times New Roman" w:hAnsi="Times New Roman" w:cs="Times New Roman"/>
        </w:rPr>
        <w:t xml:space="preserve">he </w:t>
      </w:r>
      <w:r w:rsidR="00646B19" w:rsidRPr="00806023">
        <w:rPr>
          <w:rFonts w:ascii="Times New Roman" w:hAnsi="Times New Roman" w:cs="Times New Roman"/>
        </w:rPr>
        <w:t>D</w:t>
      </w:r>
      <w:r w:rsidR="003F1EF2" w:rsidRPr="00806023">
        <w:rPr>
          <w:rFonts w:ascii="Times New Roman" w:hAnsi="Times New Roman" w:cs="Times New Roman"/>
        </w:rPr>
        <w:t>epartment of Human Services (DHS) for Juvenile registered 42</w:t>
      </w:r>
      <w:r w:rsidR="005620B5" w:rsidRPr="00806023">
        <w:rPr>
          <w:rFonts w:ascii="Times New Roman" w:hAnsi="Times New Roman" w:cs="Times New Roman"/>
        </w:rPr>
        <w:t>,</w:t>
      </w:r>
      <w:r w:rsidR="003F1EF2" w:rsidRPr="00806023">
        <w:rPr>
          <w:rFonts w:ascii="Times New Roman" w:hAnsi="Times New Roman" w:cs="Times New Roman"/>
        </w:rPr>
        <w:t xml:space="preserve"> pretested 40 and post-tested 32 </w:t>
      </w:r>
      <w:r w:rsidR="00646B19" w:rsidRPr="00806023">
        <w:rPr>
          <w:rFonts w:ascii="Times New Roman" w:hAnsi="Times New Roman" w:cs="Times New Roman"/>
        </w:rPr>
        <w:t xml:space="preserve">with </w:t>
      </w:r>
      <w:r w:rsidR="003F1EF2" w:rsidRPr="00806023">
        <w:rPr>
          <w:rFonts w:ascii="Times New Roman" w:hAnsi="Times New Roman" w:cs="Times New Roman"/>
        </w:rPr>
        <w:t xml:space="preserve">about 80% posttest rate.  </w:t>
      </w:r>
    </w:p>
    <w:p w:rsidR="00555C35" w:rsidRPr="00806023" w:rsidRDefault="00555C35">
      <w:pPr>
        <w:tabs>
          <w:tab w:val="left" w:pos="0"/>
        </w:tabs>
        <w:rPr>
          <w:b/>
          <w:bCs/>
          <w:sz w:val="22"/>
          <w:szCs w:val="22"/>
        </w:rPr>
      </w:pPr>
    </w:p>
    <w:p w:rsidR="00555C35" w:rsidRPr="00806023" w:rsidRDefault="00555C35">
      <w:pPr>
        <w:pStyle w:val="Heading5"/>
        <w:tabs>
          <w:tab w:val="clear" w:pos="360"/>
          <w:tab w:val="left" w:pos="0"/>
          <w:tab w:val="left" w:pos="900"/>
        </w:tabs>
        <w:ind w:left="0" w:firstLine="0"/>
        <w:jc w:val="center"/>
        <w:rPr>
          <w:rFonts w:ascii="Times New Roman" w:hAnsi="Times New Roman" w:cs="Times New Roman"/>
          <w:color w:val="auto"/>
          <w:sz w:val="22"/>
          <w:szCs w:val="22"/>
        </w:rPr>
      </w:pPr>
      <w:r w:rsidRPr="00806023">
        <w:rPr>
          <w:rFonts w:ascii="Times New Roman" w:hAnsi="Times New Roman" w:cs="Times New Roman"/>
          <w:color w:val="auto"/>
          <w:sz w:val="22"/>
          <w:szCs w:val="22"/>
        </w:rPr>
        <w:t>NRS Table 5:</w:t>
      </w:r>
      <w:r w:rsidRPr="00806023">
        <w:rPr>
          <w:rFonts w:ascii="Times New Roman" w:hAnsi="Times New Roman" w:cs="Times New Roman"/>
          <w:color w:val="auto"/>
          <w:sz w:val="22"/>
          <w:szCs w:val="22"/>
        </w:rPr>
        <w:tab/>
        <w:t>Core Follow-up Outcome Achievement</w:t>
      </w:r>
    </w:p>
    <w:p w:rsidR="00555C35" w:rsidRPr="00806023" w:rsidRDefault="00555C35">
      <w:pPr>
        <w:tabs>
          <w:tab w:val="left" w:pos="0"/>
        </w:tabs>
        <w:rPr>
          <w:b/>
          <w:bCs/>
          <w:sz w:val="22"/>
          <w:szCs w:val="22"/>
        </w:rPr>
      </w:pPr>
    </w:p>
    <w:p w:rsidR="00EE18D1" w:rsidRPr="00806023" w:rsidRDefault="00B24C3C" w:rsidP="00EE18D1">
      <w:pPr>
        <w:numPr>
          <w:ilvl w:val="0"/>
          <w:numId w:val="4"/>
        </w:numPr>
        <w:tabs>
          <w:tab w:val="num" w:pos="0"/>
        </w:tabs>
        <w:ind w:left="0"/>
        <w:jc w:val="both"/>
        <w:rPr>
          <w:sz w:val="22"/>
          <w:szCs w:val="22"/>
        </w:rPr>
      </w:pPr>
      <w:r w:rsidRPr="00806023">
        <w:rPr>
          <w:sz w:val="22"/>
          <w:szCs w:val="22"/>
        </w:rPr>
        <w:t>26,628</w:t>
      </w:r>
      <w:r w:rsidR="00033EF4" w:rsidRPr="00806023">
        <w:rPr>
          <w:sz w:val="22"/>
          <w:szCs w:val="22"/>
        </w:rPr>
        <w:t xml:space="preserve"> out of </w:t>
      </w:r>
      <w:r w:rsidRPr="00806023">
        <w:rPr>
          <w:sz w:val="22"/>
          <w:szCs w:val="22"/>
        </w:rPr>
        <w:t>28,625</w:t>
      </w:r>
      <w:r w:rsidR="0086093C" w:rsidRPr="00806023">
        <w:rPr>
          <w:sz w:val="22"/>
          <w:szCs w:val="22"/>
        </w:rPr>
        <w:t xml:space="preserve"> participants </w:t>
      </w:r>
      <w:r w:rsidRPr="00806023">
        <w:rPr>
          <w:sz w:val="22"/>
          <w:szCs w:val="22"/>
        </w:rPr>
        <w:t>wer</w:t>
      </w:r>
      <w:r w:rsidR="0091200F" w:rsidRPr="00806023">
        <w:rPr>
          <w:sz w:val="22"/>
          <w:szCs w:val="22"/>
        </w:rPr>
        <w:t>e in follow-up cohort</w:t>
      </w:r>
      <w:r w:rsidR="00F97296" w:rsidRPr="00806023">
        <w:rPr>
          <w:sz w:val="22"/>
          <w:szCs w:val="22"/>
        </w:rPr>
        <w:t>s</w:t>
      </w:r>
      <w:r w:rsidR="0091200F" w:rsidRPr="00806023">
        <w:rPr>
          <w:sz w:val="22"/>
          <w:szCs w:val="22"/>
        </w:rPr>
        <w:t xml:space="preserve">. </w:t>
      </w:r>
      <w:r w:rsidR="0016783E" w:rsidRPr="00806023">
        <w:rPr>
          <w:sz w:val="22"/>
          <w:szCs w:val="22"/>
        </w:rPr>
        <w:t>This repr</w:t>
      </w:r>
      <w:r w:rsidR="00FA577A" w:rsidRPr="00806023">
        <w:rPr>
          <w:sz w:val="22"/>
          <w:szCs w:val="22"/>
        </w:rPr>
        <w:t xml:space="preserve">esents about </w:t>
      </w:r>
      <w:r w:rsidR="00700C95" w:rsidRPr="00806023">
        <w:rPr>
          <w:sz w:val="22"/>
          <w:szCs w:val="22"/>
        </w:rPr>
        <w:t>93</w:t>
      </w:r>
      <w:r w:rsidR="00FA577A" w:rsidRPr="00806023">
        <w:rPr>
          <w:sz w:val="22"/>
          <w:szCs w:val="22"/>
        </w:rPr>
        <w:t xml:space="preserve">% of the </w:t>
      </w:r>
      <w:r w:rsidR="00700C95" w:rsidRPr="00806023">
        <w:rPr>
          <w:sz w:val="22"/>
          <w:szCs w:val="22"/>
        </w:rPr>
        <w:t xml:space="preserve">total </w:t>
      </w:r>
      <w:r w:rsidR="00FA577A" w:rsidRPr="00806023">
        <w:rPr>
          <w:sz w:val="22"/>
          <w:szCs w:val="22"/>
        </w:rPr>
        <w:t>population</w:t>
      </w:r>
      <w:r w:rsidR="0016783E" w:rsidRPr="00806023">
        <w:rPr>
          <w:sz w:val="22"/>
          <w:szCs w:val="22"/>
        </w:rPr>
        <w:t xml:space="preserve"> that received adult education services</w:t>
      </w:r>
      <w:r w:rsidR="00700C95" w:rsidRPr="00806023">
        <w:rPr>
          <w:sz w:val="22"/>
          <w:szCs w:val="22"/>
        </w:rPr>
        <w:t xml:space="preserve"> </w:t>
      </w:r>
      <w:r w:rsidR="005D3E03" w:rsidRPr="00806023">
        <w:rPr>
          <w:sz w:val="22"/>
          <w:szCs w:val="22"/>
        </w:rPr>
        <w:t xml:space="preserve">and </w:t>
      </w:r>
      <w:r w:rsidR="00A4448D" w:rsidRPr="00806023">
        <w:rPr>
          <w:sz w:val="22"/>
          <w:szCs w:val="22"/>
        </w:rPr>
        <w:t>with</w:t>
      </w:r>
      <w:r w:rsidR="00700C95" w:rsidRPr="00806023">
        <w:rPr>
          <w:sz w:val="22"/>
          <w:szCs w:val="22"/>
        </w:rPr>
        <w:t xml:space="preserve"> at least 12 </w:t>
      </w:r>
      <w:r w:rsidR="00A4448D" w:rsidRPr="00806023">
        <w:rPr>
          <w:sz w:val="22"/>
          <w:szCs w:val="22"/>
        </w:rPr>
        <w:t xml:space="preserve">instructional </w:t>
      </w:r>
      <w:r w:rsidR="00700C95" w:rsidRPr="00806023">
        <w:rPr>
          <w:sz w:val="22"/>
          <w:szCs w:val="22"/>
        </w:rPr>
        <w:t>hours</w:t>
      </w:r>
      <w:r w:rsidR="0016783E" w:rsidRPr="00806023">
        <w:rPr>
          <w:sz w:val="22"/>
          <w:szCs w:val="22"/>
        </w:rPr>
        <w:t xml:space="preserve">. </w:t>
      </w:r>
      <w:r w:rsidR="00700C95" w:rsidRPr="00806023">
        <w:rPr>
          <w:sz w:val="22"/>
          <w:szCs w:val="22"/>
        </w:rPr>
        <w:t xml:space="preserve">Last year the average </w:t>
      </w:r>
      <w:r w:rsidR="0016783E" w:rsidRPr="00806023">
        <w:rPr>
          <w:sz w:val="22"/>
          <w:szCs w:val="22"/>
        </w:rPr>
        <w:t xml:space="preserve">response rate </w:t>
      </w:r>
      <w:r w:rsidR="00482C3B" w:rsidRPr="00806023">
        <w:rPr>
          <w:sz w:val="22"/>
          <w:szCs w:val="22"/>
        </w:rPr>
        <w:t xml:space="preserve">for job-related goals </w:t>
      </w:r>
      <w:r w:rsidR="00700C95" w:rsidRPr="00806023">
        <w:rPr>
          <w:sz w:val="22"/>
          <w:szCs w:val="22"/>
        </w:rPr>
        <w:t>was higher</w:t>
      </w:r>
      <w:r w:rsidR="0016783E" w:rsidRPr="00806023">
        <w:rPr>
          <w:sz w:val="22"/>
          <w:szCs w:val="22"/>
        </w:rPr>
        <w:t xml:space="preserve"> than 50% due to </w:t>
      </w:r>
      <w:r w:rsidR="005D3E03" w:rsidRPr="00806023">
        <w:rPr>
          <w:sz w:val="22"/>
          <w:szCs w:val="22"/>
        </w:rPr>
        <w:t xml:space="preserve">the </w:t>
      </w:r>
      <w:r w:rsidR="00700C95" w:rsidRPr="00806023">
        <w:rPr>
          <w:sz w:val="22"/>
          <w:szCs w:val="22"/>
        </w:rPr>
        <w:t xml:space="preserve">concerted efforts and technical assistance </w:t>
      </w:r>
      <w:r w:rsidR="005D3E03" w:rsidRPr="00806023">
        <w:rPr>
          <w:sz w:val="22"/>
          <w:szCs w:val="22"/>
        </w:rPr>
        <w:t xml:space="preserve">provided </w:t>
      </w:r>
      <w:r w:rsidR="00DC3260" w:rsidRPr="00806023">
        <w:rPr>
          <w:sz w:val="22"/>
          <w:szCs w:val="22"/>
        </w:rPr>
        <w:t>at</w:t>
      </w:r>
      <w:r w:rsidR="00700C95" w:rsidRPr="00806023">
        <w:rPr>
          <w:sz w:val="22"/>
          <w:szCs w:val="22"/>
        </w:rPr>
        <w:t xml:space="preserve"> the local</w:t>
      </w:r>
      <w:r w:rsidR="00DC3260" w:rsidRPr="00806023">
        <w:rPr>
          <w:sz w:val="22"/>
          <w:szCs w:val="22"/>
        </w:rPr>
        <w:t xml:space="preserve"> level</w:t>
      </w:r>
      <w:r w:rsidR="00700C95" w:rsidRPr="00806023">
        <w:rPr>
          <w:sz w:val="22"/>
          <w:szCs w:val="22"/>
        </w:rPr>
        <w:t>.</w:t>
      </w:r>
      <w:r w:rsidR="0016783E" w:rsidRPr="00806023">
        <w:rPr>
          <w:sz w:val="22"/>
          <w:szCs w:val="22"/>
        </w:rPr>
        <w:t xml:space="preserve"> </w:t>
      </w:r>
      <w:r w:rsidR="00D14191" w:rsidRPr="00806023">
        <w:rPr>
          <w:sz w:val="22"/>
          <w:szCs w:val="22"/>
        </w:rPr>
        <w:t xml:space="preserve">In addition, </w:t>
      </w:r>
      <w:r w:rsidR="00482C3B" w:rsidRPr="00806023">
        <w:rPr>
          <w:sz w:val="22"/>
          <w:szCs w:val="22"/>
        </w:rPr>
        <w:t xml:space="preserve">the number that obtained HSD/GED </w:t>
      </w:r>
      <w:r w:rsidR="00AD7AE0" w:rsidRPr="00806023">
        <w:rPr>
          <w:sz w:val="22"/>
          <w:szCs w:val="22"/>
        </w:rPr>
        <w:t>continues to grow yearly (5,087)</w:t>
      </w:r>
      <w:r w:rsidR="004B06A7" w:rsidRPr="00806023">
        <w:rPr>
          <w:sz w:val="22"/>
          <w:szCs w:val="22"/>
        </w:rPr>
        <w:t xml:space="preserve"> with </w:t>
      </w:r>
      <w:r w:rsidR="00AD7AE0" w:rsidRPr="00806023">
        <w:rPr>
          <w:sz w:val="22"/>
          <w:szCs w:val="22"/>
        </w:rPr>
        <w:t xml:space="preserve">more than </w:t>
      </w:r>
      <w:r w:rsidR="00334CFE" w:rsidRPr="00806023">
        <w:rPr>
          <w:sz w:val="22"/>
          <w:szCs w:val="22"/>
        </w:rPr>
        <w:t xml:space="preserve">a </w:t>
      </w:r>
      <w:r w:rsidR="00AD7AE0" w:rsidRPr="00806023">
        <w:rPr>
          <w:sz w:val="22"/>
          <w:szCs w:val="22"/>
        </w:rPr>
        <w:t>91</w:t>
      </w:r>
      <w:r w:rsidR="004B06A7" w:rsidRPr="00806023">
        <w:rPr>
          <w:sz w:val="22"/>
          <w:szCs w:val="22"/>
        </w:rPr>
        <w:t>% response rate</w:t>
      </w:r>
      <w:r w:rsidR="00BA4364" w:rsidRPr="00806023">
        <w:rPr>
          <w:sz w:val="22"/>
          <w:szCs w:val="22"/>
        </w:rPr>
        <w:t xml:space="preserve"> (</w:t>
      </w:r>
      <w:r w:rsidR="00B642B4" w:rsidRPr="00806023">
        <w:rPr>
          <w:sz w:val="22"/>
          <w:szCs w:val="22"/>
        </w:rPr>
        <w:t>78</w:t>
      </w:r>
      <w:r w:rsidR="00BA4364" w:rsidRPr="00806023">
        <w:rPr>
          <w:sz w:val="22"/>
          <w:szCs w:val="22"/>
        </w:rPr>
        <w:t xml:space="preserve">% </w:t>
      </w:r>
      <w:r w:rsidR="00B642B4" w:rsidRPr="00806023">
        <w:rPr>
          <w:sz w:val="22"/>
          <w:szCs w:val="22"/>
        </w:rPr>
        <w:t>exceeding the negotiated performance</w:t>
      </w:r>
      <w:r w:rsidR="00BA4364" w:rsidRPr="00806023">
        <w:rPr>
          <w:sz w:val="22"/>
          <w:szCs w:val="22"/>
        </w:rPr>
        <w:t>)</w:t>
      </w:r>
      <w:r w:rsidR="009566B6" w:rsidRPr="00806023">
        <w:rPr>
          <w:sz w:val="22"/>
          <w:szCs w:val="22"/>
        </w:rPr>
        <w:t xml:space="preserve"> and 3,</w:t>
      </w:r>
      <w:r w:rsidR="005C689B" w:rsidRPr="00806023">
        <w:rPr>
          <w:sz w:val="22"/>
          <w:szCs w:val="22"/>
        </w:rPr>
        <w:t>415</w:t>
      </w:r>
      <w:r w:rsidR="009566B6" w:rsidRPr="00806023">
        <w:rPr>
          <w:sz w:val="22"/>
          <w:szCs w:val="22"/>
        </w:rPr>
        <w:t xml:space="preserve"> entered postsecondary/training with </w:t>
      </w:r>
      <w:r w:rsidR="005C689B" w:rsidRPr="00806023">
        <w:rPr>
          <w:sz w:val="22"/>
          <w:szCs w:val="22"/>
        </w:rPr>
        <w:t>6</w:t>
      </w:r>
      <w:r w:rsidR="009566B6" w:rsidRPr="00806023">
        <w:rPr>
          <w:sz w:val="22"/>
          <w:szCs w:val="22"/>
        </w:rPr>
        <w:t>3% response rate</w:t>
      </w:r>
      <w:r w:rsidR="00484C7F" w:rsidRPr="00806023">
        <w:rPr>
          <w:sz w:val="22"/>
          <w:szCs w:val="22"/>
        </w:rPr>
        <w:t xml:space="preserve"> and 23%</w:t>
      </w:r>
      <w:r w:rsidR="00BA4364" w:rsidRPr="00806023">
        <w:rPr>
          <w:sz w:val="22"/>
          <w:szCs w:val="22"/>
        </w:rPr>
        <w:t xml:space="preserve"> </w:t>
      </w:r>
      <w:r w:rsidR="00CD1694" w:rsidRPr="00806023">
        <w:rPr>
          <w:sz w:val="22"/>
          <w:szCs w:val="22"/>
        </w:rPr>
        <w:t>met or exceeded</w:t>
      </w:r>
      <w:r w:rsidR="005C689B" w:rsidRPr="00806023">
        <w:rPr>
          <w:sz w:val="22"/>
          <w:szCs w:val="22"/>
        </w:rPr>
        <w:t xml:space="preserve"> </w:t>
      </w:r>
      <w:r w:rsidR="00BA4364" w:rsidRPr="00806023">
        <w:rPr>
          <w:sz w:val="22"/>
          <w:szCs w:val="22"/>
        </w:rPr>
        <w:t>performance</w:t>
      </w:r>
      <w:r w:rsidR="00482C3B" w:rsidRPr="00806023">
        <w:rPr>
          <w:sz w:val="22"/>
          <w:szCs w:val="22"/>
        </w:rPr>
        <w:t xml:space="preserve">.  </w:t>
      </w:r>
      <w:r w:rsidR="00EE18D1" w:rsidRPr="00806023">
        <w:rPr>
          <w:sz w:val="22"/>
          <w:szCs w:val="22"/>
        </w:rPr>
        <w:t xml:space="preserve">The overall job-related numbers increased significantly because Michigan </w:t>
      </w:r>
      <w:r w:rsidR="005D3E03" w:rsidRPr="00806023">
        <w:rPr>
          <w:sz w:val="22"/>
          <w:szCs w:val="22"/>
        </w:rPr>
        <w:t>used</w:t>
      </w:r>
      <w:r w:rsidR="00EE18D1" w:rsidRPr="00806023">
        <w:rPr>
          <w:sz w:val="22"/>
          <w:szCs w:val="22"/>
        </w:rPr>
        <w:t xml:space="preserve"> data-match </w:t>
      </w:r>
      <w:r w:rsidR="005D3E03" w:rsidRPr="00806023">
        <w:rPr>
          <w:sz w:val="22"/>
          <w:szCs w:val="22"/>
        </w:rPr>
        <w:t>toward the end of year (October 2014)</w:t>
      </w:r>
      <w:r w:rsidR="00334CFE" w:rsidRPr="00806023">
        <w:rPr>
          <w:sz w:val="22"/>
          <w:szCs w:val="22"/>
        </w:rPr>
        <w:t>,</w:t>
      </w:r>
      <w:r w:rsidR="005D3E03" w:rsidRPr="00806023">
        <w:rPr>
          <w:sz w:val="22"/>
          <w:szCs w:val="22"/>
        </w:rPr>
        <w:t xml:space="preserve"> as mentioned </w:t>
      </w:r>
      <w:r w:rsidR="004C15D4" w:rsidRPr="00806023">
        <w:rPr>
          <w:sz w:val="22"/>
          <w:szCs w:val="22"/>
        </w:rPr>
        <w:t xml:space="preserve">in Table B </w:t>
      </w:r>
      <w:r w:rsidR="005D3E03" w:rsidRPr="00806023">
        <w:rPr>
          <w:sz w:val="22"/>
          <w:szCs w:val="22"/>
        </w:rPr>
        <w:t xml:space="preserve">above </w:t>
      </w:r>
      <w:r w:rsidR="00EE18D1" w:rsidRPr="00806023">
        <w:rPr>
          <w:sz w:val="22"/>
          <w:szCs w:val="22"/>
        </w:rPr>
        <w:t xml:space="preserve">and that </w:t>
      </w:r>
      <w:r w:rsidR="005D3E03" w:rsidRPr="00806023">
        <w:rPr>
          <w:sz w:val="22"/>
          <w:szCs w:val="22"/>
        </w:rPr>
        <w:t xml:space="preserve">produced </w:t>
      </w:r>
      <w:r w:rsidR="00EE18D1" w:rsidRPr="00806023">
        <w:rPr>
          <w:sz w:val="22"/>
          <w:szCs w:val="22"/>
        </w:rPr>
        <w:t xml:space="preserve">positive </w:t>
      </w:r>
      <w:r w:rsidR="005D3E03" w:rsidRPr="00806023">
        <w:rPr>
          <w:sz w:val="22"/>
          <w:szCs w:val="22"/>
        </w:rPr>
        <w:t>outcomes</w:t>
      </w:r>
      <w:r w:rsidR="00EE18D1" w:rsidRPr="00806023">
        <w:rPr>
          <w:sz w:val="22"/>
          <w:szCs w:val="22"/>
        </w:rPr>
        <w:t>.</w:t>
      </w:r>
    </w:p>
    <w:p w:rsidR="00EC7BC6" w:rsidRPr="00806023" w:rsidRDefault="00EE18D1" w:rsidP="00A4448D">
      <w:pPr>
        <w:jc w:val="both"/>
        <w:rPr>
          <w:sz w:val="22"/>
          <w:szCs w:val="22"/>
        </w:rPr>
      </w:pPr>
      <w:r w:rsidRPr="00806023">
        <w:rPr>
          <w:sz w:val="22"/>
          <w:szCs w:val="22"/>
        </w:rPr>
        <w:t xml:space="preserve"> </w:t>
      </w:r>
    </w:p>
    <w:p w:rsidR="00555C35" w:rsidRPr="00806023" w:rsidRDefault="003F257E">
      <w:pPr>
        <w:pStyle w:val="Heading6"/>
        <w:tabs>
          <w:tab w:val="clear" w:pos="360"/>
          <w:tab w:val="left" w:pos="0"/>
        </w:tabs>
        <w:ind w:left="0" w:hanging="360"/>
        <w:rPr>
          <w:rFonts w:ascii="Times New Roman" w:hAnsi="Times New Roman" w:cs="Times New Roman"/>
          <w:color w:val="auto"/>
          <w:sz w:val="22"/>
          <w:szCs w:val="22"/>
        </w:rPr>
      </w:pPr>
      <w:r w:rsidRPr="00806023">
        <w:rPr>
          <w:rFonts w:ascii="Times New Roman" w:hAnsi="Times New Roman" w:cs="Times New Roman"/>
          <w:color w:val="auto"/>
          <w:sz w:val="22"/>
          <w:szCs w:val="22"/>
        </w:rPr>
        <w:t>Table F</w:t>
      </w:r>
      <w:r w:rsidR="00003F2E" w:rsidRPr="00806023">
        <w:rPr>
          <w:rFonts w:ascii="Times New Roman" w:hAnsi="Times New Roman" w:cs="Times New Roman"/>
          <w:color w:val="auto"/>
          <w:sz w:val="22"/>
          <w:szCs w:val="22"/>
        </w:rPr>
        <w:t xml:space="preserve">: NRS Table 5 - </w:t>
      </w:r>
      <w:r w:rsidR="00555C35" w:rsidRPr="00806023">
        <w:rPr>
          <w:rFonts w:ascii="Times New Roman" w:hAnsi="Times New Roman" w:cs="Times New Roman"/>
          <w:color w:val="auto"/>
          <w:sz w:val="22"/>
          <w:szCs w:val="22"/>
        </w:rPr>
        <w:t>Core Indicator #2</w:t>
      </w:r>
    </w:p>
    <w:p w:rsidR="00555C35" w:rsidRPr="00806023" w:rsidRDefault="00555C35">
      <w:pPr>
        <w:tabs>
          <w:tab w:val="left" w:pos="0"/>
        </w:tabs>
        <w:ind w:hanging="360"/>
        <w:rPr>
          <w:sz w:val="22"/>
          <w:szCs w:val="22"/>
        </w:rPr>
      </w:pPr>
    </w:p>
    <w:tbl>
      <w:tblPr>
        <w:tblW w:w="10962" w:type="dxa"/>
        <w:jc w:val="center"/>
        <w:tblInd w:w="-27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860"/>
        <w:gridCol w:w="2250"/>
        <w:gridCol w:w="1926"/>
        <w:gridCol w:w="1926"/>
      </w:tblGrid>
      <w:tr w:rsidR="00E54A82" w:rsidRPr="00806023" w:rsidTr="004B06A7">
        <w:trPr>
          <w:cantSplit/>
          <w:trHeight w:val="295"/>
          <w:jc w:val="center"/>
        </w:trPr>
        <w:tc>
          <w:tcPr>
            <w:tcW w:w="4860" w:type="dxa"/>
            <w:tcBorders>
              <w:top w:val="single" w:sz="4" w:space="0" w:color="auto"/>
            </w:tcBorders>
          </w:tcPr>
          <w:p w:rsidR="004B06A7" w:rsidRPr="00806023" w:rsidRDefault="004B06A7" w:rsidP="008F631D">
            <w:pPr>
              <w:tabs>
                <w:tab w:val="left" w:pos="0"/>
              </w:tabs>
              <w:ind w:hanging="360"/>
              <w:jc w:val="center"/>
              <w:rPr>
                <w:b/>
                <w:bCs/>
                <w:i/>
                <w:iCs/>
                <w:sz w:val="22"/>
                <w:szCs w:val="22"/>
              </w:rPr>
            </w:pPr>
            <w:r w:rsidRPr="00806023">
              <w:rPr>
                <w:b/>
                <w:bCs/>
                <w:i/>
                <w:iCs/>
                <w:sz w:val="22"/>
                <w:szCs w:val="22"/>
              </w:rPr>
              <w:t>201</w:t>
            </w:r>
            <w:r w:rsidR="008F631D" w:rsidRPr="00806023">
              <w:rPr>
                <w:b/>
                <w:bCs/>
                <w:i/>
                <w:iCs/>
                <w:sz w:val="22"/>
                <w:szCs w:val="22"/>
              </w:rPr>
              <w:t>3</w:t>
            </w:r>
            <w:r w:rsidRPr="00806023">
              <w:rPr>
                <w:b/>
                <w:bCs/>
                <w:i/>
                <w:iCs/>
                <w:sz w:val="22"/>
                <w:szCs w:val="22"/>
              </w:rPr>
              <w:t>-201</w:t>
            </w:r>
            <w:r w:rsidR="008F631D" w:rsidRPr="00806023">
              <w:rPr>
                <w:b/>
                <w:bCs/>
                <w:i/>
                <w:iCs/>
                <w:sz w:val="22"/>
                <w:szCs w:val="22"/>
              </w:rPr>
              <w:t>4</w:t>
            </w:r>
            <w:r w:rsidRPr="00806023">
              <w:rPr>
                <w:b/>
                <w:bCs/>
                <w:i/>
                <w:iCs/>
                <w:sz w:val="22"/>
                <w:szCs w:val="22"/>
              </w:rPr>
              <w:t xml:space="preserve"> Benchmarks</w:t>
            </w:r>
          </w:p>
        </w:tc>
        <w:tc>
          <w:tcPr>
            <w:tcW w:w="2250" w:type="dxa"/>
            <w:tcBorders>
              <w:top w:val="single" w:sz="4" w:space="0" w:color="auto"/>
            </w:tcBorders>
          </w:tcPr>
          <w:p w:rsidR="004B06A7" w:rsidRPr="00806023" w:rsidRDefault="004B06A7" w:rsidP="006C6FCB">
            <w:pPr>
              <w:tabs>
                <w:tab w:val="left" w:pos="0"/>
              </w:tabs>
              <w:ind w:hanging="360"/>
              <w:jc w:val="center"/>
              <w:rPr>
                <w:b/>
                <w:bCs/>
                <w:i/>
                <w:iCs/>
                <w:sz w:val="22"/>
                <w:szCs w:val="22"/>
              </w:rPr>
            </w:pPr>
            <w:r w:rsidRPr="00806023">
              <w:rPr>
                <w:b/>
                <w:bCs/>
                <w:i/>
                <w:iCs/>
                <w:sz w:val="22"/>
                <w:szCs w:val="22"/>
              </w:rPr>
              <w:t xml:space="preserve">   Federal Target</w:t>
            </w:r>
          </w:p>
        </w:tc>
        <w:tc>
          <w:tcPr>
            <w:tcW w:w="1926" w:type="dxa"/>
            <w:tcBorders>
              <w:top w:val="single" w:sz="4" w:space="0" w:color="auto"/>
            </w:tcBorders>
          </w:tcPr>
          <w:p w:rsidR="004B06A7" w:rsidRPr="00806023" w:rsidRDefault="004B06A7" w:rsidP="006C6FCB">
            <w:pPr>
              <w:tabs>
                <w:tab w:val="left" w:pos="0"/>
              </w:tabs>
              <w:ind w:hanging="360"/>
              <w:jc w:val="center"/>
              <w:rPr>
                <w:b/>
                <w:bCs/>
                <w:i/>
                <w:iCs/>
                <w:sz w:val="22"/>
                <w:szCs w:val="22"/>
              </w:rPr>
            </w:pPr>
            <w:r w:rsidRPr="00806023">
              <w:rPr>
                <w:b/>
                <w:bCs/>
                <w:i/>
                <w:iCs/>
                <w:sz w:val="22"/>
                <w:szCs w:val="22"/>
              </w:rPr>
              <w:t xml:space="preserve">    State Actual</w:t>
            </w:r>
          </w:p>
        </w:tc>
        <w:tc>
          <w:tcPr>
            <w:tcW w:w="1926" w:type="dxa"/>
            <w:tcBorders>
              <w:top w:val="single" w:sz="4" w:space="0" w:color="auto"/>
            </w:tcBorders>
          </w:tcPr>
          <w:p w:rsidR="004B06A7" w:rsidRPr="00806023" w:rsidRDefault="004B06A7" w:rsidP="006C6FCB">
            <w:pPr>
              <w:tabs>
                <w:tab w:val="left" w:pos="0"/>
              </w:tabs>
              <w:ind w:hanging="360"/>
              <w:jc w:val="center"/>
              <w:rPr>
                <w:b/>
                <w:bCs/>
                <w:i/>
                <w:iCs/>
                <w:sz w:val="22"/>
                <w:szCs w:val="22"/>
              </w:rPr>
            </w:pPr>
            <w:r w:rsidRPr="00806023">
              <w:rPr>
                <w:b/>
                <w:bCs/>
                <w:i/>
                <w:iCs/>
                <w:sz w:val="22"/>
                <w:szCs w:val="22"/>
              </w:rPr>
              <w:t>Response Rate</w:t>
            </w:r>
          </w:p>
        </w:tc>
      </w:tr>
      <w:tr w:rsidR="00E54A82" w:rsidRPr="00806023" w:rsidTr="004B06A7">
        <w:trPr>
          <w:cantSplit/>
          <w:trHeight w:val="328"/>
          <w:jc w:val="center"/>
        </w:trPr>
        <w:tc>
          <w:tcPr>
            <w:tcW w:w="4860" w:type="dxa"/>
          </w:tcPr>
          <w:p w:rsidR="004B06A7" w:rsidRPr="00806023" w:rsidRDefault="004B06A7" w:rsidP="006C6FCB">
            <w:pPr>
              <w:tabs>
                <w:tab w:val="left" w:pos="0"/>
              </w:tabs>
              <w:ind w:hanging="360"/>
              <w:rPr>
                <w:sz w:val="22"/>
                <w:szCs w:val="22"/>
              </w:rPr>
            </w:pPr>
            <w:r w:rsidRPr="00806023">
              <w:rPr>
                <w:sz w:val="22"/>
                <w:szCs w:val="22"/>
              </w:rPr>
              <w:t>Pl   Placement in Postsecondary</w:t>
            </w:r>
            <w:r w:rsidR="00616917" w:rsidRPr="00806023">
              <w:rPr>
                <w:sz w:val="22"/>
                <w:szCs w:val="22"/>
              </w:rPr>
              <w:t>/Training</w:t>
            </w:r>
          </w:p>
        </w:tc>
        <w:tc>
          <w:tcPr>
            <w:tcW w:w="2250" w:type="dxa"/>
          </w:tcPr>
          <w:p w:rsidR="004B06A7" w:rsidRPr="00806023" w:rsidRDefault="005218DF" w:rsidP="006C6FCB">
            <w:pPr>
              <w:tabs>
                <w:tab w:val="left" w:pos="0"/>
              </w:tabs>
              <w:ind w:hanging="360"/>
              <w:jc w:val="center"/>
              <w:rPr>
                <w:sz w:val="22"/>
                <w:szCs w:val="22"/>
              </w:rPr>
            </w:pPr>
            <w:r w:rsidRPr="00806023">
              <w:rPr>
                <w:sz w:val="22"/>
                <w:szCs w:val="22"/>
              </w:rPr>
              <w:t>48</w:t>
            </w:r>
            <w:r w:rsidR="004B06A7" w:rsidRPr="00806023">
              <w:rPr>
                <w:sz w:val="22"/>
                <w:szCs w:val="22"/>
              </w:rPr>
              <w:t>%</w:t>
            </w:r>
          </w:p>
        </w:tc>
        <w:tc>
          <w:tcPr>
            <w:tcW w:w="1926" w:type="dxa"/>
          </w:tcPr>
          <w:p w:rsidR="004B06A7" w:rsidRPr="00806023" w:rsidRDefault="004B06A7" w:rsidP="006C6FCB">
            <w:pPr>
              <w:tabs>
                <w:tab w:val="left" w:pos="0"/>
              </w:tabs>
              <w:ind w:hanging="360"/>
              <w:jc w:val="center"/>
              <w:rPr>
                <w:b/>
                <w:sz w:val="22"/>
                <w:szCs w:val="22"/>
              </w:rPr>
            </w:pPr>
            <w:r w:rsidRPr="00806023">
              <w:rPr>
                <w:b/>
                <w:sz w:val="22"/>
                <w:szCs w:val="22"/>
              </w:rPr>
              <w:t>23%</w:t>
            </w:r>
            <w:r w:rsidR="00D14191" w:rsidRPr="00806023">
              <w:rPr>
                <w:b/>
                <w:sz w:val="22"/>
                <w:szCs w:val="22"/>
              </w:rPr>
              <w:t>*</w:t>
            </w:r>
          </w:p>
        </w:tc>
        <w:tc>
          <w:tcPr>
            <w:tcW w:w="1926" w:type="dxa"/>
          </w:tcPr>
          <w:p w:rsidR="004B06A7" w:rsidRPr="00806023" w:rsidRDefault="00D01B4C" w:rsidP="006C6FCB">
            <w:pPr>
              <w:tabs>
                <w:tab w:val="left" w:pos="0"/>
              </w:tabs>
              <w:ind w:hanging="360"/>
              <w:jc w:val="center"/>
              <w:rPr>
                <w:b/>
                <w:sz w:val="22"/>
                <w:szCs w:val="22"/>
              </w:rPr>
            </w:pPr>
            <w:r w:rsidRPr="00806023">
              <w:rPr>
                <w:b/>
                <w:sz w:val="22"/>
                <w:szCs w:val="22"/>
              </w:rPr>
              <w:t>63</w:t>
            </w:r>
            <w:r w:rsidR="004B06A7" w:rsidRPr="00806023">
              <w:rPr>
                <w:b/>
                <w:sz w:val="22"/>
                <w:szCs w:val="22"/>
              </w:rPr>
              <w:t>%</w:t>
            </w:r>
          </w:p>
        </w:tc>
      </w:tr>
      <w:tr w:rsidR="00E54A82" w:rsidRPr="00806023" w:rsidTr="004B06A7">
        <w:trPr>
          <w:cantSplit/>
          <w:trHeight w:val="328"/>
          <w:jc w:val="center"/>
        </w:trPr>
        <w:tc>
          <w:tcPr>
            <w:tcW w:w="4860" w:type="dxa"/>
          </w:tcPr>
          <w:p w:rsidR="004B06A7" w:rsidRPr="00806023" w:rsidRDefault="004B06A7" w:rsidP="006C6FCB">
            <w:pPr>
              <w:tabs>
                <w:tab w:val="left" w:pos="0"/>
              </w:tabs>
              <w:ind w:hanging="360"/>
              <w:rPr>
                <w:sz w:val="22"/>
                <w:szCs w:val="22"/>
              </w:rPr>
            </w:pPr>
            <w:r w:rsidRPr="00806023">
              <w:rPr>
                <w:sz w:val="22"/>
                <w:szCs w:val="22"/>
              </w:rPr>
              <w:t xml:space="preserve">      Entered Employment</w:t>
            </w:r>
          </w:p>
        </w:tc>
        <w:tc>
          <w:tcPr>
            <w:tcW w:w="2250" w:type="dxa"/>
          </w:tcPr>
          <w:p w:rsidR="004B06A7" w:rsidRPr="00806023" w:rsidRDefault="005218DF" w:rsidP="006C6FCB">
            <w:pPr>
              <w:tabs>
                <w:tab w:val="left" w:pos="0"/>
              </w:tabs>
              <w:ind w:hanging="360"/>
              <w:jc w:val="center"/>
              <w:rPr>
                <w:sz w:val="22"/>
                <w:szCs w:val="22"/>
              </w:rPr>
            </w:pPr>
            <w:r w:rsidRPr="00806023">
              <w:rPr>
                <w:sz w:val="22"/>
                <w:szCs w:val="22"/>
              </w:rPr>
              <w:t>25</w:t>
            </w:r>
            <w:r w:rsidR="004B06A7" w:rsidRPr="00806023">
              <w:rPr>
                <w:sz w:val="22"/>
                <w:szCs w:val="22"/>
              </w:rPr>
              <w:t>%</w:t>
            </w:r>
          </w:p>
        </w:tc>
        <w:tc>
          <w:tcPr>
            <w:tcW w:w="1926" w:type="dxa"/>
          </w:tcPr>
          <w:p w:rsidR="004B06A7" w:rsidRPr="00806023" w:rsidRDefault="00D01B4C" w:rsidP="009F00FF">
            <w:pPr>
              <w:tabs>
                <w:tab w:val="left" w:pos="0"/>
              </w:tabs>
              <w:ind w:hanging="360"/>
              <w:jc w:val="center"/>
              <w:rPr>
                <w:b/>
                <w:sz w:val="22"/>
                <w:szCs w:val="22"/>
              </w:rPr>
            </w:pPr>
            <w:r w:rsidRPr="00806023">
              <w:rPr>
                <w:b/>
                <w:sz w:val="22"/>
                <w:szCs w:val="22"/>
              </w:rPr>
              <w:t>36</w:t>
            </w:r>
            <w:r w:rsidR="004B06A7" w:rsidRPr="00806023">
              <w:rPr>
                <w:b/>
                <w:sz w:val="22"/>
                <w:szCs w:val="22"/>
              </w:rPr>
              <w:t>%</w:t>
            </w:r>
          </w:p>
        </w:tc>
        <w:tc>
          <w:tcPr>
            <w:tcW w:w="1926" w:type="dxa"/>
          </w:tcPr>
          <w:p w:rsidR="004B06A7" w:rsidRPr="00806023" w:rsidRDefault="00D01B4C" w:rsidP="009F00FF">
            <w:pPr>
              <w:tabs>
                <w:tab w:val="left" w:pos="0"/>
              </w:tabs>
              <w:ind w:hanging="360"/>
              <w:jc w:val="center"/>
              <w:rPr>
                <w:b/>
                <w:sz w:val="22"/>
                <w:szCs w:val="22"/>
              </w:rPr>
            </w:pPr>
            <w:r w:rsidRPr="00806023">
              <w:rPr>
                <w:b/>
                <w:sz w:val="22"/>
                <w:szCs w:val="22"/>
              </w:rPr>
              <w:t>69</w:t>
            </w:r>
            <w:r w:rsidR="004B06A7" w:rsidRPr="00806023">
              <w:rPr>
                <w:b/>
                <w:sz w:val="22"/>
                <w:szCs w:val="22"/>
              </w:rPr>
              <w:t>%</w:t>
            </w:r>
          </w:p>
        </w:tc>
      </w:tr>
      <w:tr w:rsidR="00E54A82" w:rsidRPr="00806023" w:rsidTr="004B06A7">
        <w:trPr>
          <w:cantSplit/>
          <w:trHeight w:val="328"/>
          <w:jc w:val="center"/>
        </w:trPr>
        <w:tc>
          <w:tcPr>
            <w:tcW w:w="4860" w:type="dxa"/>
            <w:tcBorders>
              <w:bottom w:val="single" w:sz="4" w:space="0" w:color="auto"/>
            </w:tcBorders>
          </w:tcPr>
          <w:p w:rsidR="004B06A7" w:rsidRPr="00806023" w:rsidRDefault="004B06A7" w:rsidP="006C6FCB">
            <w:pPr>
              <w:tabs>
                <w:tab w:val="left" w:pos="0"/>
              </w:tabs>
              <w:ind w:hanging="360"/>
              <w:rPr>
                <w:sz w:val="22"/>
                <w:szCs w:val="22"/>
              </w:rPr>
            </w:pPr>
            <w:r w:rsidRPr="00806023">
              <w:rPr>
                <w:sz w:val="22"/>
                <w:szCs w:val="22"/>
              </w:rPr>
              <w:t xml:space="preserve">      Retained or Improved Employment</w:t>
            </w:r>
          </w:p>
        </w:tc>
        <w:tc>
          <w:tcPr>
            <w:tcW w:w="2250" w:type="dxa"/>
            <w:tcBorders>
              <w:bottom w:val="single" w:sz="4" w:space="0" w:color="auto"/>
            </w:tcBorders>
          </w:tcPr>
          <w:p w:rsidR="004B06A7" w:rsidRPr="00806023" w:rsidRDefault="005218DF" w:rsidP="006C6FCB">
            <w:pPr>
              <w:tabs>
                <w:tab w:val="left" w:pos="0"/>
              </w:tabs>
              <w:ind w:hanging="360"/>
              <w:jc w:val="center"/>
              <w:rPr>
                <w:sz w:val="22"/>
                <w:szCs w:val="22"/>
              </w:rPr>
            </w:pPr>
            <w:r w:rsidRPr="00806023">
              <w:rPr>
                <w:sz w:val="22"/>
                <w:szCs w:val="22"/>
              </w:rPr>
              <w:t>50</w:t>
            </w:r>
            <w:r w:rsidR="004B06A7" w:rsidRPr="00806023">
              <w:rPr>
                <w:sz w:val="22"/>
                <w:szCs w:val="22"/>
              </w:rPr>
              <w:t>%</w:t>
            </w:r>
          </w:p>
        </w:tc>
        <w:tc>
          <w:tcPr>
            <w:tcW w:w="1926" w:type="dxa"/>
            <w:tcBorders>
              <w:bottom w:val="single" w:sz="4" w:space="0" w:color="auto"/>
            </w:tcBorders>
          </w:tcPr>
          <w:p w:rsidR="004B06A7" w:rsidRPr="00806023" w:rsidRDefault="00D01B4C" w:rsidP="006C6FCB">
            <w:pPr>
              <w:tabs>
                <w:tab w:val="left" w:pos="0"/>
              </w:tabs>
              <w:ind w:hanging="360"/>
              <w:jc w:val="center"/>
              <w:rPr>
                <w:b/>
                <w:sz w:val="22"/>
                <w:szCs w:val="22"/>
              </w:rPr>
            </w:pPr>
            <w:r w:rsidRPr="00806023">
              <w:rPr>
                <w:b/>
                <w:sz w:val="22"/>
                <w:szCs w:val="22"/>
              </w:rPr>
              <w:t>78</w:t>
            </w:r>
            <w:r w:rsidR="004B06A7" w:rsidRPr="00806023">
              <w:rPr>
                <w:b/>
                <w:sz w:val="22"/>
                <w:szCs w:val="22"/>
              </w:rPr>
              <w:t>%</w:t>
            </w:r>
          </w:p>
        </w:tc>
        <w:tc>
          <w:tcPr>
            <w:tcW w:w="1926" w:type="dxa"/>
            <w:tcBorders>
              <w:bottom w:val="single" w:sz="4" w:space="0" w:color="auto"/>
            </w:tcBorders>
          </w:tcPr>
          <w:p w:rsidR="004B06A7" w:rsidRPr="00806023" w:rsidRDefault="00D01B4C" w:rsidP="006C6FCB">
            <w:pPr>
              <w:tabs>
                <w:tab w:val="left" w:pos="0"/>
              </w:tabs>
              <w:ind w:hanging="360"/>
              <w:jc w:val="center"/>
              <w:rPr>
                <w:b/>
                <w:sz w:val="22"/>
                <w:szCs w:val="22"/>
              </w:rPr>
            </w:pPr>
            <w:r w:rsidRPr="00806023">
              <w:rPr>
                <w:b/>
                <w:sz w:val="22"/>
                <w:szCs w:val="22"/>
              </w:rPr>
              <w:t>71</w:t>
            </w:r>
            <w:r w:rsidR="009C6B13" w:rsidRPr="00806023">
              <w:rPr>
                <w:b/>
                <w:sz w:val="22"/>
                <w:szCs w:val="22"/>
              </w:rPr>
              <w:t>%</w:t>
            </w:r>
          </w:p>
        </w:tc>
      </w:tr>
    </w:tbl>
    <w:p w:rsidR="00555C35" w:rsidRPr="00806023" w:rsidRDefault="00555C35">
      <w:pPr>
        <w:pStyle w:val="BodyTextIndent2"/>
        <w:tabs>
          <w:tab w:val="left" w:pos="0"/>
          <w:tab w:val="left" w:pos="1260"/>
        </w:tabs>
        <w:ind w:left="0"/>
        <w:jc w:val="both"/>
        <w:rPr>
          <w:rFonts w:ascii="Times New Roman" w:hAnsi="Times New Roman" w:cs="Times New Roman"/>
        </w:rPr>
      </w:pPr>
      <w:r w:rsidRPr="00806023">
        <w:rPr>
          <w:rFonts w:ascii="Times New Roman" w:hAnsi="Times New Roman" w:cs="Times New Roman"/>
        </w:rPr>
        <w:tab/>
      </w:r>
    </w:p>
    <w:p w:rsidR="00555C35" w:rsidRPr="00806023" w:rsidRDefault="00555C35" w:rsidP="00612437">
      <w:pPr>
        <w:pStyle w:val="BodyTextIndent2"/>
        <w:tabs>
          <w:tab w:val="left" w:pos="0"/>
          <w:tab w:val="left" w:pos="1260"/>
        </w:tabs>
        <w:ind w:left="0"/>
        <w:jc w:val="both"/>
        <w:rPr>
          <w:rFonts w:ascii="Times New Roman" w:hAnsi="Times New Roman" w:cs="Times New Roman"/>
          <w:b/>
          <w:bCs/>
        </w:rPr>
      </w:pPr>
    </w:p>
    <w:p w:rsidR="00555C35" w:rsidRPr="00806023" w:rsidRDefault="00666498">
      <w:pPr>
        <w:pStyle w:val="BodyTextIndent2"/>
        <w:tabs>
          <w:tab w:val="left" w:pos="0"/>
          <w:tab w:val="left" w:pos="1260"/>
        </w:tabs>
        <w:ind w:left="0"/>
        <w:jc w:val="center"/>
        <w:rPr>
          <w:rFonts w:ascii="Times New Roman" w:hAnsi="Times New Roman" w:cs="Times New Roman"/>
          <w:b/>
          <w:bCs/>
        </w:rPr>
      </w:pPr>
      <w:r w:rsidRPr="00806023">
        <w:rPr>
          <w:rFonts w:ascii="Times New Roman" w:hAnsi="Times New Roman" w:cs="Times New Roman"/>
          <w:b/>
          <w:bCs/>
        </w:rPr>
        <w:lastRenderedPageBreak/>
        <w:t>Table G</w:t>
      </w:r>
      <w:r w:rsidR="00FF368C" w:rsidRPr="00806023">
        <w:rPr>
          <w:rFonts w:ascii="Times New Roman" w:hAnsi="Times New Roman" w:cs="Times New Roman"/>
          <w:b/>
          <w:bCs/>
        </w:rPr>
        <w:t xml:space="preserve">: </w:t>
      </w:r>
      <w:r w:rsidR="00555C35" w:rsidRPr="00806023">
        <w:rPr>
          <w:rFonts w:ascii="Times New Roman" w:hAnsi="Times New Roman" w:cs="Times New Roman"/>
          <w:b/>
          <w:bCs/>
        </w:rPr>
        <w:t>NRS Table 5</w:t>
      </w:r>
      <w:r w:rsidR="00FF368C" w:rsidRPr="00806023">
        <w:rPr>
          <w:rFonts w:ascii="Times New Roman" w:hAnsi="Times New Roman" w:cs="Times New Roman"/>
          <w:b/>
          <w:bCs/>
        </w:rPr>
        <w:t xml:space="preserve"> - </w:t>
      </w:r>
      <w:r w:rsidR="00555C35" w:rsidRPr="00806023">
        <w:rPr>
          <w:rFonts w:ascii="Times New Roman" w:hAnsi="Times New Roman" w:cs="Times New Roman"/>
          <w:b/>
          <w:bCs/>
        </w:rPr>
        <w:t>Core Indicator #3</w:t>
      </w:r>
    </w:p>
    <w:p w:rsidR="00555C35" w:rsidRPr="00806023" w:rsidRDefault="00555C35">
      <w:pPr>
        <w:pStyle w:val="BodyTextIndent2"/>
        <w:tabs>
          <w:tab w:val="left" w:pos="0"/>
          <w:tab w:val="left" w:pos="1260"/>
        </w:tabs>
        <w:ind w:left="0"/>
        <w:jc w:val="center"/>
        <w:rPr>
          <w:rFonts w:ascii="Times New Roman" w:hAnsi="Times New Roman" w:cs="Times New Roman"/>
        </w:rPr>
      </w:pPr>
    </w:p>
    <w:tbl>
      <w:tblPr>
        <w:tblW w:w="0" w:type="auto"/>
        <w:jc w:val="center"/>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6"/>
        <w:gridCol w:w="1958"/>
        <w:gridCol w:w="2204"/>
        <w:gridCol w:w="2203"/>
      </w:tblGrid>
      <w:tr w:rsidR="00E54A82" w:rsidRPr="00806023" w:rsidTr="009D4208">
        <w:trPr>
          <w:jc w:val="center"/>
        </w:trPr>
        <w:tc>
          <w:tcPr>
            <w:tcW w:w="4846" w:type="dxa"/>
          </w:tcPr>
          <w:p w:rsidR="009D4208" w:rsidRPr="00806023" w:rsidRDefault="009D4208" w:rsidP="008F631D">
            <w:pPr>
              <w:pStyle w:val="BodyTextIndent2"/>
              <w:tabs>
                <w:tab w:val="left" w:pos="0"/>
                <w:tab w:val="left" w:pos="1260"/>
              </w:tabs>
              <w:ind w:left="0"/>
              <w:jc w:val="center"/>
              <w:rPr>
                <w:rFonts w:ascii="Times New Roman" w:hAnsi="Times New Roman" w:cs="Times New Roman"/>
                <w:b/>
                <w:bCs/>
                <w:i/>
                <w:iCs/>
              </w:rPr>
            </w:pPr>
            <w:r w:rsidRPr="00806023">
              <w:rPr>
                <w:rFonts w:ascii="Times New Roman" w:hAnsi="Times New Roman" w:cs="Times New Roman"/>
                <w:b/>
                <w:bCs/>
                <w:i/>
                <w:iCs/>
              </w:rPr>
              <w:t>201</w:t>
            </w:r>
            <w:r w:rsidR="008F631D" w:rsidRPr="00806023">
              <w:rPr>
                <w:rFonts w:ascii="Times New Roman" w:hAnsi="Times New Roman" w:cs="Times New Roman"/>
                <w:b/>
                <w:bCs/>
                <w:i/>
                <w:iCs/>
              </w:rPr>
              <w:t>3</w:t>
            </w:r>
            <w:r w:rsidRPr="00806023">
              <w:rPr>
                <w:rFonts w:ascii="Times New Roman" w:hAnsi="Times New Roman" w:cs="Times New Roman"/>
                <w:b/>
                <w:bCs/>
                <w:i/>
                <w:iCs/>
              </w:rPr>
              <w:t>-201</w:t>
            </w:r>
            <w:r w:rsidR="008F631D" w:rsidRPr="00806023">
              <w:rPr>
                <w:rFonts w:ascii="Times New Roman" w:hAnsi="Times New Roman" w:cs="Times New Roman"/>
                <w:b/>
                <w:bCs/>
                <w:i/>
                <w:iCs/>
              </w:rPr>
              <w:t>4</w:t>
            </w:r>
            <w:r w:rsidRPr="00806023">
              <w:rPr>
                <w:rFonts w:ascii="Times New Roman" w:hAnsi="Times New Roman" w:cs="Times New Roman"/>
                <w:b/>
                <w:bCs/>
                <w:i/>
                <w:iCs/>
              </w:rPr>
              <w:t xml:space="preserve"> Benchmark</w:t>
            </w:r>
          </w:p>
        </w:tc>
        <w:tc>
          <w:tcPr>
            <w:tcW w:w="1958" w:type="dxa"/>
          </w:tcPr>
          <w:p w:rsidR="009D4208" w:rsidRPr="00806023" w:rsidRDefault="009D4208">
            <w:pPr>
              <w:pStyle w:val="BodyTextIndent2"/>
              <w:tabs>
                <w:tab w:val="left" w:pos="0"/>
                <w:tab w:val="left" w:pos="1260"/>
              </w:tabs>
              <w:ind w:left="0"/>
              <w:jc w:val="center"/>
              <w:rPr>
                <w:rFonts w:ascii="Times New Roman" w:hAnsi="Times New Roman" w:cs="Times New Roman"/>
                <w:b/>
                <w:bCs/>
                <w:i/>
                <w:iCs/>
              </w:rPr>
            </w:pPr>
            <w:r w:rsidRPr="00806023">
              <w:rPr>
                <w:rFonts w:ascii="Times New Roman" w:hAnsi="Times New Roman" w:cs="Times New Roman"/>
                <w:b/>
                <w:bCs/>
                <w:i/>
                <w:iCs/>
              </w:rPr>
              <w:t>Federal Target</w:t>
            </w:r>
          </w:p>
        </w:tc>
        <w:tc>
          <w:tcPr>
            <w:tcW w:w="2204" w:type="dxa"/>
          </w:tcPr>
          <w:p w:rsidR="009D4208" w:rsidRPr="00806023" w:rsidRDefault="009D4208">
            <w:pPr>
              <w:pStyle w:val="BodyTextIndent2"/>
              <w:tabs>
                <w:tab w:val="left" w:pos="0"/>
                <w:tab w:val="left" w:pos="1260"/>
              </w:tabs>
              <w:ind w:left="0"/>
              <w:jc w:val="center"/>
              <w:rPr>
                <w:rFonts w:ascii="Times New Roman" w:hAnsi="Times New Roman" w:cs="Times New Roman"/>
                <w:b/>
                <w:bCs/>
                <w:i/>
                <w:iCs/>
              </w:rPr>
            </w:pPr>
            <w:r w:rsidRPr="00806023">
              <w:rPr>
                <w:rFonts w:ascii="Times New Roman" w:hAnsi="Times New Roman" w:cs="Times New Roman"/>
                <w:b/>
                <w:bCs/>
                <w:i/>
                <w:iCs/>
              </w:rPr>
              <w:t>State Actual</w:t>
            </w:r>
          </w:p>
        </w:tc>
        <w:tc>
          <w:tcPr>
            <w:tcW w:w="2203" w:type="dxa"/>
          </w:tcPr>
          <w:p w:rsidR="009D4208" w:rsidRPr="00806023" w:rsidRDefault="009D4208">
            <w:pPr>
              <w:pStyle w:val="BodyTextIndent2"/>
              <w:tabs>
                <w:tab w:val="left" w:pos="0"/>
                <w:tab w:val="left" w:pos="1260"/>
              </w:tabs>
              <w:ind w:left="0"/>
              <w:jc w:val="center"/>
              <w:rPr>
                <w:rFonts w:ascii="Times New Roman" w:hAnsi="Times New Roman" w:cs="Times New Roman"/>
                <w:b/>
                <w:bCs/>
                <w:i/>
                <w:iCs/>
              </w:rPr>
            </w:pPr>
            <w:r w:rsidRPr="00806023">
              <w:rPr>
                <w:rFonts w:ascii="Times New Roman" w:hAnsi="Times New Roman" w:cs="Times New Roman"/>
                <w:b/>
                <w:bCs/>
                <w:i/>
                <w:iCs/>
              </w:rPr>
              <w:t>Response Rate</w:t>
            </w:r>
          </w:p>
        </w:tc>
      </w:tr>
      <w:tr w:rsidR="00E54A82" w:rsidRPr="00806023" w:rsidTr="009D4208">
        <w:trPr>
          <w:jc w:val="center"/>
        </w:trPr>
        <w:tc>
          <w:tcPr>
            <w:tcW w:w="4846" w:type="dxa"/>
          </w:tcPr>
          <w:p w:rsidR="009D4208" w:rsidRPr="00806023" w:rsidRDefault="009D4208">
            <w:pPr>
              <w:tabs>
                <w:tab w:val="left" w:pos="0"/>
              </w:tabs>
              <w:rPr>
                <w:sz w:val="22"/>
                <w:szCs w:val="22"/>
              </w:rPr>
            </w:pPr>
            <w:r w:rsidRPr="00806023">
              <w:rPr>
                <w:sz w:val="22"/>
                <w:szCs w:val="22"/>
              </w:rPr>
              <w:t>Obtained GED or High School Diploma</w:t>
            </w:r>
          </w:p>
        </w:tc>
        <w:tc>
          <w:tcPr>
            <w:tcW w:w="1958" w:type="dxa"/>
          </w:tcPr>
          <w:p w:rsidR="009D4208" w:rsidRPr="00806023" w:rsidRDefault="00544405">
            <w:pPr>
              <w:tabs>
                <w:tab w:val="left" w:pos="0"/>
              </w:tabs>
              <w:jc w:val="center"/>
              <w:rPr>
                <w:sz w:val="22"/>
                <w:szCs w:val="22"/>
              </w:rPr>
            </w:pPr>
            <w:r w:rsidRPr="00806023">
              <w:rPr>
                <w:sz w:val="22"/>
                <w:szCs w:val="22"/>
              </w:rPr>
              <w:t>55</w:t>
            </w:r>
            <w:r w:rsidR="009D4208" w:rsidRPr="00806023">
              <w:rPr>
                <w:sz w:val="22"/>
                <w:szCs w:val="22"/>
              </w:rPr>
              <w:t>%</w:t>
            </w:r>
          </w:p>
        </w:tc>
        <w:tc>
          <w:tcPr>
            <w:tcW w:w="2204" w:type="dxa"/>
          </w:tcPr>
          <w:p w:rsidR="009D4208" w:rsidRPr="00806023" w:rsidRDefault="00D01B4C">
            <w:pPr>
              <w:tabs>
                <w:tab w:val="left" w:pos="0"/>
              </w:tabs>
              <w:jc w:val="center"/>
              <w:rPr>
                <w:b/>
                <w:sz w:val="22"/>
                <w:szCs w:val="22"/>
              </w:rPr>
            </w:pPr>
            <w:r w:rsidRPr="00806023">
              <w:rPr>
                <w:b/>
                <w:sz w:val="22"/>
                <w:szCs w:val="22"/>
              </w:rPr>
              <w:t>78</w:t>
            </w:r>
            <w:r w:rsidR="009D4208" w:rsidRPr="00806023">
              <w:rPr>
                <w:b/>
                <w:sz w:val="22"/>
                <w:szCs w:val="22"/>
              </w:rPr>
              <w:t>%</w:t>
            </w:r>
          </w:p>
        </w:tc>
        <w:tc>
          <w:tcPr>
            <w:tcW w:w="2203" w:type="dxa"/>
          </w:tcPr>
          <w:p w:rsidR="009D4208" w:rsidRPr="00806023" w:rsidRDefault="00D01B4C">
            <w:pPr>
              <w:tabs>
                <w:tab w:val="left" w:pos="0"/>
              </w:tabs>
              <w:jc w:val="center"/>
              <w:rPr>
                <w:b/>
                <w:sz w:val="22"/>
                <w:szCs w:val="22"/>
              </w:rPr>
            </w:pPr>
            <w:r w:rsidRPr="00806023">
              <w:rPr>
                <w:b/>
                <w:sz w:val="22"/>
                <w:szCs w:val="22"/>
              </w:rPr>
              <w:t>91</w:t>
            </w:r>
            <w:r w:rsidR="009D4208" w:rsidRPr="00806023">
              <w:rPr>
                <w:b/>
                <w:sz w:val="22"/>
                <w:szCs w:val="22"/>
              </w:rPr>
              <w:t>%</w:t>
            </w:r>
          </w:p>
        </w:tc>
      </w:tr>
    </w:tbl>
    <w:p w:rsidR="00555C35" w:rsidRDefault="00555C35" w:rsidP="005A6ADD">
      <w:pPr>
        <w:pStyle w:val="BodyTextIndent2"/>
        <w:tabs>
          <w:tab w:val="left" w:pos="0"/>
          <w:tab w:val="left" w:pos="1260"/>
        </w:tabs>
        <w:ind w:left="0"/>
        <w:rPr>
          <w:rFonts w:ascii="Times New Roman" w:hAnsi="Times New Roman" w:cs="Times New Roman"/>
        </w:rPr>
      </w:pPr>
    </w:p>
    <w:p w:rsidR="005A6ADD" w:rsidRPr="005A6ADD" w:rsidRDefault="005A6ADD" w:rsidP="005A6ADD">
      <w:pPr>
        <w:pStyle w:val="BodyTextIndent2"/>
        <w:tabs>
          <w:tab w:val="left" w:pos="0"/>
          <w:tab w:val="left" w:pos="1260"/>
        </w:tabs>
        <w:ind w:left="0"/>
        <w:rPr>
          <w:rFonts w:ascii="Times New Roman" w:hAnsi="Times New Roman" w:cs="Times New Roman"/>
          <w:b/>
          <w:u w:val="single"/>
        </w:rPr>
      </w:pPr>
      <w:r w:rsidRPr="005A6ADD">
        <w:rPr>
          <w:rFonts w:ascii="Times New Roman" w:hAnsi="Times New Roman" w:cs="Times New Roman"/>
          <w:b/>
          <w:u w:val="single"/>
        </w:rPr>
        <w:t>Integration with Other Programs</w:t>
      </w:r>
    </w:p>
    <w:p w:rsidR="00555C35" w:rsidRPr="00806023" w:rsidRDefault="00555C35">
      <w:pPr>
        <w:pStyle w:val="BodyTextIndent"/>
        <w:numPr>
          <w:ilvl w:val="0"/>
          <w:numId w:val="1"/>
        </w:numPr>
        <w:tabs>
          <w:tab w:val="clear" w:pos="720"/>
          <w:tab w:val="left" w:pos="0"/>
          <w:tab w:val="left" w:pos="360"/>
        </w:tabs>
        <w:ind w:left="0" w:firstLine="0"/>
        <w:rPr>
          <w:b/>
          <w:bCs/>
          <w:color w:val="auto"/>
          <w:sz w:val="22"/>
          <w:szCs w:val="22"/>
        </w:rPr>
      </w:pPr>
      <w:r w:rsidRPr="00806023">
        <w:rPr>
          <w:b/>
          <w:bCs/>
          <w:color w:val="auto"/>
          <w:sz w:val="22"/>
          <w:szCs w:val="22"/>
        </w:rPr>
        <w:t xml:space="preserve">Describe how the Eligible Agency has supported the integration of activities sponsored under Title II with other adult education, career development, and employment and training activities. </w:t>
      </w:r>
      <w:r w:rsidR="00F34171" w:rsidRPr="00806023">
        <w:rPr>
          <w:b/>
          <w:bCs/>
          <w:color w:val="auto"/>
          <w:sz w:val="22"/>
          <w:szCs w:val="22"/>
        </w:rPr>
        <w:t xml:space="preserve">Describe your efforts to develop or advance career pathway systems that include career and technical education, employers, and economic and workforce development. </w:t>
      </w:r>
      <w:r w:rsidRPr="00806023">
        <w:rPr>
          <w:b/>
          <w:bCs/>
          <w:color w:val="auto"/>
          <w:sz w:val="22"/>
          <w:szCs w:val="22"/>
        </w:rPr>
        <w:t xml:space="preserve">Include a description of how the eligible agency is being represented on the Local Workforce Investment Boards, adult education’s involvement on the State Workforce Investment Board, the provision of core and other services through the One-Stop system and an estimate of </w:t>
      </w:r>
      <w:r w:rsidR="00F34171" w:rsidRPr="00806023">
        <w:rPr>
          <w:b/>
          <w:bCs/>
          <w:color w:val="auto"/>
          <w:sz w:val="22"/>
          <w:szCs w:val="22"/>
        </w:rPr>
        <w:t xml:space="preserve">AEFLA </w:t>
      </w:r>
      <w:r w:rsidRPr="00806023">
        <w:rPr>
          <w:b/>
          <w:bCs/>
          <w:color w:val="auto"/>
          <w:sz w:val="22"/>
          <w:szCs w:val="22"/>
        </w:rPr>
        <w:t>funds being used to support activities and services through the One-Stop delivery system.</w:t>
      </w:r>
    </w:p>
    <w:p w:rsidR="00555C35" w:rsidRPr="00806023" w:rsidRDefault="00555C35">
      <w:pPr>
        <w:pStyle w:val="BodyTextIndent"/>
        <w:tabs>
          <w:tab w:val="left" w:pos="0"/>
          <w:tab w:val="left" w:pos="360"/>
        </w:tabs>
        <w:rPr>
          <w:b/>
          <w:bCs/>
          <w:color w:val="auto"/>
          <w:sz w:val="22"/>
          <w:szCs w:val="22"/>
        </w:rPr>
      </w:pPr>
    </w:p>
    <w:p w:rsidR="00EC2720" w:rsidRPr="00806023" w:rsidRDefault="0056185B" w:rsidP="00EC2720">
      <w:pPr>
        <w:rPr>
          <w:sz w:val="22"/>
          <w:szCs w:val="22"/>
        </w:rPr>
      </w:pPr>
      <w:r w:rsidRPr="00806023">
        <w:rPr>
          <w:sz w:val="22"/>
          <w:szCs w:val="22"/>
        </w:rPr>
        <w:t xml:space="preserve">The Governor and </w:t>
      </w:r>
      <w:r w:rsidR="00B6741E" w:rsidRPr="00806023">
        <w:rPr>
          <w:sz w:val="22"/>
          <w:szCs w:val="22"/>
        </w:rPr>
        <w:t>Workforce Development Agency</w:t>
      </w:r>
      <w:r w:rsidR="00555C35" w:rsidRPr="00806023">
        <w:rPr>
          <w:sz w:val="22"/>
          <w:szCs w:val="22"/>
        </w:rPr>
        <w:t xml:space="preserve"> have </w:t>
      </w:r>
      <w:r w:rsidRPr="00806023">
        <w:rPr>
          <w:sz w:val="22"/>
          <w:szCs w:val="22"/>
        </w:rPr>
        <w:t>continued to support gr</w:t>
      </w:r>
      <w:r w:rsidR="00555C35" w:rsidRPr="00806023">
        <w:rPr>
          <w:sz w:val="22"/>
          <w:szCs w:val="22"/>
        </w:rPr>
        <w:t xml:space="preserve">owing Michigan’s economy </w:t>
      </w:r>
      <w:r w:rsidR="002F5E82" w:rsidRPr="00806023">
        <w:rPr>
          <w:sz w:val="22"/>
          <w:szCs w:val="22"/>
        </w:rPr>
        <w:t>as</w:t>
      </w:r>
      <w:r w:rsidRPr="00806023">
        <w:rPr>
          <w:sz w:val="22"/>
          <w:szCs w:val="22"/>
        </w:rPr>
        <w:t xml:space="preserve"> </w:t>
      </w:r>
      <w:r w:rsidR="00555C35" w:rsidRPr="00806023">
        <w:rPr>
          <w:sz w:val="22"/>
          <w:szCs w:val="22"/>
        </w:rPr>
        <w:t>a top priority.</w:t>
      </w:r>
      <w:r w:rsidR="00294E4B" w:rsidRPr="00806023">
        <w:rPr>
          <w:sz w:val="22"/>
          <w:szCs w:val="22"/>
        </w:rPr>
        <w:t xml:space="preserve"> </w:t>
      </w:r>
      <w:r w:rsidR="00E524FA" w:rsidRPr="00806023">
        <w:rPr>
          <w:sz w:val="22"/>
          <w:szCs w:val="22"/>
        </w:rPr>
        <w:t>As espoused in the 10 Prosperity</w:t>
      </w:r>
      <w:r w:rsidR="00C94A61" w:rsidRPr="00806023">
        <w:rPr>
          <w:sz w:val="22"/>
          <w:szCs w:val="22"/>
        </w:rPr>
        <w:t xml:space="preserve"> Region</w:t>
      </w:r>
      <w:r w:rsidR="00E524FA" w:rsidRPr="00806023">
        <w:rPr>
          <w:sz w:val="22"/>
          <w:szCs w:val="22"/>
        </w:rPr>
        <w:t xml:space="preserve"> document mentioned in last year’s final report, t</w:t>
      </w:r>
      <w:r w:rsidR="00294E4B" w:rsidRPr="00806023">
        <w:rPr>
          <w:sz w:val="22"/>
          <w:szCs w:val="22"/>
        </w:rPr>
        <w:t xml:space="preserve">he administration </w:t>
      </w:r>
      <w:r w:rsidR="00555C35" w:rsidRPr="00806023">
        <w:rPr>
          <w:sz w:val="22"/>
          <w:szCs w:val="22"/>
        </w:rPr>
        <w:t xml:space="preserve">has continued to build a seamless </w:t>
      </w:r>
      <w:r w:rsidR="00294E4B" w:rsidRPr="00806023">
        <w:rPr>
          <w:sz w:val="22"/>
          <w:szCs w:val="22"/>
        </w:rPr>
        <w:t xml:space="preserve">and </w:t>
      </w:r>
      <w:r w:rsidR="00555C35" w:rsidRPr="00806023">
        <w:rPr>
          <w:sz w:val="22"/>
          <w:szCs w:val="22"/>
        </w:rPr>
        <w:t>integrated service delivery system that inclu</w:t>
      </w:r>
      <w:r w:rsidR="00294E4B" w:rsidRPr="00806023">
        <w:rPr>
          <w:sz w:val="22"/>
          <w:szCs w:val="22"/>
        </w:rPr>
        <w:t>des academic instruction geared</w:t>
      </w:r>
      <w:r w:rsidR="00555C35" w:rsidRPr="00806023">
        <w:rPr>
          <w:sz w:val="22"/>
          <w:szCs w:val="22"/>
        </w:rPr>
        <w:t xml:space="preserve"> to</w:t>
      </w:r>
      <w:r w:rsidR="00294E4B" w:rsidRPr="00806023">
        <w:rPr>
          <w:sz w:val="22"/>
          <w:szCs w:val="22"/>
        </w:rPr>
        <w:t>ward</w:t>
      </w:r>
      <w:r w:rsidR="00555C35" w:rsidRPr="00806023">
        <w:rPr>
          <w:sz w:val="22"/>
          <w:szCs w:val="22"/>
        </w:rPr>
        <w:t xml:space="preserve"> career interests, workforce services to help individuals find new or better jobs, and other wrap around services that help employers increase the skills of their workers. </w:t>
      </w:r>
      <w:r w:rsidR="00FF0BC9" w:rsidRPr="00806023">
        <w:rPr>
          <w:sz w:val="22"/>
          <w:szCs w:val="22"/>
        </w:rPr>
        <w:t xml:space="preserve">The Talent Map is one of the tools being developed to </w:t>
      </w:r>
      <w:r w:rsidR="00EC2720" w:rsidRPr="00806023">
        <w:rPr>
          <w:sz w:val="22"/>
          <w:szCs w:val="22"/>
        </w:rPr>
        <w:t xml:space="preserve">make all </w:t>
      </w:r>
      <w:r w:rsidR="00FF0BC9" w:rsidRPr="00806023">
        <w:rPr>
          <w:sz w:val="22"/>
          <w:szCs w:val="22"/>
        </w:rPr>
        <w:t xml:space="preserve">resources </w:t>
      </w:r>
      <w:r w:rsidR="00EC2720" w:rsidRPr="00806023">
        <w:rPr>
          <w:sz w:val="22"/>
          <w:szCs w:val="22"/>
        </w:rPr>
        <w:t>within</w:t>
      </w:r>
      <w:r w:rsidR="00FF0BC9" w:rsidRPr="00806023">
        <w:rPr>
          <w:sz w:val="22"/>
          <w:szCs w:val="22"/>
        </w:rPr>
        <w:t xml:space="preserve"> each region</w:t>
      </w:r>
      <w:r w:rsidR="00EC2720" w:rsidRPr="00806023">
        <w:rPr>
          <w:sz w:val="22"/>
          <w:szCs w:val="22"/>
        </w:rPr>
        <w:t xml:space="preserve"> readily accessible to all.</w:t>
      </w:r>
      <w:r w:rsidR="00FF0BC9" w:rsidRPr="00806023">
        <w:rPr>
          <w:sz w:val="22"/>
          <w:szCs w:val="22"/>
        </w:rPr>
        <w:t xml:space="preserve"> </w:t>
      </w:r>
    </w:p>
    <w:p w:rsidR="00EC2720" w:rsidRPr="00806023" w:rsidRDefault="00EC2720" w:rsidP="00FF0BC9">
      <w:pPr>
        <w:jc w:val="center"/>
        <w:rPr>
          <w:sz w:val="22"/>
          <w:szCs w:val="22"/>
        </w:rPr>
      </w:pPr>
    </w:p>
    <w:p w:rsidR="00FF0BC9" w:rsidRPr="00806023" w:rsidRDefault="00FF0BC9" w:rsidP="009B2487">
      <w:pPr>
        <w:rPr>
          <w:sz w:val="22"/>
          <w:szCs w:val="22"/>
        </w:rPr>
      </w:pPr>
      <w:r w:rsidRPr="00806023">
        <w:rPr>
          <w:rFonts w:ascii="Calibri" w:hAnsi="Calibri" w:cs="Calibri"/>
          <w:b/>
          <w:sz w:val="22"/>
          <w:szCs w:val="22"/>
          <w:u w:val="single"/>
        </w:rPr>
        <w:t>Prosperity Regions Talent Map Overview</w:t>
      </w:r>
      <w:r w:rsidR="009B2487">
        <w:rPr>
          <w:rFonts w:ascii="Calibri" w:hAnsi="Calibri" w:cs="Calibri"/>
          <w:b/>
          <w:sz w:val="22"/>
          <w:szCs w:val="22"/>
          <w:u w:val="single"/>
        </w:rPr>
        <w:t xml:space="preserve">: </w:t>
      </w:r>
      <w:hyperlink r:id="rId9" w:history="1">
        <w:r w:rsidRPr="00806023">
          <w:rPr>
            <w:rStyle w:val="Hyperlink"/>
            <w:color w:val="auto"/>
            <w:sz w:val="22"/>
            <w:szCs w:val="22"/>
          </w:rPr>
          <w:t>http://www.mitalent.org/prosperity-region-talent-map/</w:t>
        </w:r>
      </w:hyperlink>
      <w:r w:rsidRPr="00806023">
        <w:rPr>
          <w:sz w:val="22"/>
          <w:szCs w:val="22"/>
        </w:rPr>
        <w:t>)</w:t>
      </w:r>
    </w:p>
    <w:p w:rsidR="00FF0BC9" w:rsidRPr="00806023" w:rsidRDefault="00FF0BC9" w:rsidP="00FF0BC9">
      <w:pPr>
        <w:rPr>
          <w:rFonts w:ascii="Calibri" w:hAnsi="Calibri" w:cs="Calibri"/>
          <w:sz w:val="22"/>
          <w:szCs w:val="22"/>
        </w:rPr>
      </w:pPr>
    </w:p>
    <w:p w:rsidR="00FF0BC9" w:rsidRPr="00806023" w:rsidRDefault="00FF0BC9" w:rsidP="00FF0BC9">
      <w:pPr>
        <w:rPr>
          <w:sz w:val="22"/>
          <w:szCs w:val="22"/>
        </w:rPr>
      </w:pPr>
      <w:r w:rsidRPr="00806023">
        <w:rPr>
          <w:sz w:val="22"/>
          <w:szCs w:val="22"/>
        </w:rPr>
        <w:t>The Workforce Development Agency, State of Michigan and the Michigan Economic Development Corporation are pleased to introduce the Prosperity Regions Talent Map! The Prosperity Regions Talent Map is a web-based tool for talent system stakeholders to "collaborate, create, and connect" in an effort to better serve their employer customers.</w:t>
      </w:r>
    </w:p>
    <w:p w:rsidR="00FF0BC9" w:rsidRPr="00806023" w:rsidRDefault="00FF0BC9" w:rsidP="00FF0BC9">
      <w:pPr>
        <w:rPr>
          <w:sz w:val="22"/>
          <w:szCs w:val="22"/>
        </w:rPr>
      </w:pPr>
    </w:p>
    <w:p w:rsidR="00FF0BC9" w:rsidRPr="00806023" w:rsidRDefault="00FF0BC9" w:rsidP="00FF0BC9">
      <w:pPr>
        <w:rPr>
          <w:sz w:val="22"/>
          <w:szCs w:val="22"/>
        </w:rPr>
      </w:pPr>
      <w:bookmarkStart w:id="0" w:name="OLE_LINK9"/>
      <w:r w:rsidRPr="00806023">
        <w:rPr>
          <w:sz w:val="22"/>
          <w:szCs w:val="22"/>
        </w:rPr>
        <w:t>This interactive mapping solution was developed, in part, to respond to feedback from attendees of the Governor’s 2013 summits on economic development and education who had expressed a vital need for more and better systems for locating and accessing people and resources that their business and industry need for success. Envisioned as a tool for promoting better connectivity amongst key stakeholders from the three domains of workforce development, economic development, and education/training that constitute the “supply side” of the system, the Prosperity Regions Talent Map is designed to be partner inclusive, enabling stakeholders to have a say in reinventing Michigan’s talent delivery system while continuing to be invested as “collaborators, creators, and connecters.” Promotion and continuous enhancement of the Prosperity Regions Talent Map could also become a meaningful strategic advantage for Michigan economic development to grow existing companies and attract new ones.</w:t>
      </w:r>
    </w:p>
    <w:p w:rsidR="00FF0BC9" w:rsidRPr="00806023" w:rsidRDefault="00FF0BC9" w:rsidP="00FF0BC9">
      <w:pPr>
        <w:rPr>
          <w:sz w:val="22"/>
          <w:szCs w:val="22"/>
        </w:rPr>
      </w:pPr>
    </w:p>
    <w:p w:rsidR="00FF0BC9" w:rsidRPr="00806023" w:rsidRDefault="00FF0BC9" w:rsidP="00FF0BC9">
      <w:pPr>
        <w:rPr>
          <w:sz w:val="22"/>
          <w:szCs w:val="22"/>
        </w:rPr>
      </w:pPr>
      <w:r w:rsidRPr="00806023">
        <w:rPr>
          <w:sz w:val="22"/>
          <w:szCs w:val="22"/>
        </w:rPr>
        <w:t>Rather than static information, this dynamic web-based resource encourages collaboration among stakeholders who may have similar needs or be good strategic partners; creates synergies among related services and resources that strengthen the overall talent system and how it is used; connects resources in ways that reduces duplication of services, wasteful spending, and frustration due to unmet needs and missed opportunities; and rapidly adapts and evolves to leverage new industry trends, technologies, federal opportunities, and more.</w:t>
      </w:r>
    </w:p>
    <w:p w:rsidR="00FF0BC9" w:rsidRPr="00806023" w:rsidRDefault="00FF0BC9" w:rsidP="00FF0BC9">
      <w:pPr>
        <w:rPr>
          <w:sz w:val="22"/>
          <w:szCs w:val="22"/>
        </w:rPr>
      </w:pPr>
    </w:p>
    <w:p w:rsidR="00FF0BC9" w:rsidRPr="00806023" w:rsidRDefault="00FF0BC9" w:rsidP="00FF0BC9">
      <w:pPr>
        <w:rPr>
          <w:sz w:val="22"/>
          <w:szCs w:val="22"/>
        </w:rPr>
      </w:pPr>
      <w:r w:rsidRPr="00806023">
        <w:rPr>
          <w:sz w:val="22"/>
          <w:szCs w:val="22"/>
        </w:rPr>
        <w:t xml:space="preserve">Although future phases call for other site features to be added and there are plans to eventually incorporate key industry and occupational data, the current version of the Prosperity Regions Talent Map is essentially an electronic directory of key talent system partners and resources. It’s important to understand that the Prosperity Regions Talent Map is intended to represent those key individual(s) who can serve as a single point-of-contact for their respective organizations, ultimately helping streamline access to information and resources while improving the user’s overall experience. The site is organized so that contacts can be filtered by domain, partner type, region and/or industry to allow users to quickly and easily locate the information they need. </w:t>
      </w:r>
    </w:p>
    <w:p w:rsidR="00FF0BC9" w:rsidRPr="00806023" w:rsidRDefault="00FF0BC9" w:rsidP="00FF0BC9">
      <w:pPr>
        <w:rPr>
          <w:sz w:val="22"/>
          <w:szCs w:val="22"/>
        </w:rPr>
      </w:pPr>
    </w:p>
    <w:p w:rsidR="00FF0BC9" w:rsidRPr="00806023" w:rsidRDefault="00514F5E" w:rsidP="00FF0BC9">
      <w:pPr>
        <w:rPr>
          <w:sz w:val="22"/>
          <w:szCs w:val="22"/>
        </w:rPr>
      </w:pPr>
      <w:r w:rsidRPr="00806023">
        <w:rPr>
          <w:sz w:val="22"/>
          <w:szCs w:val="22"/>
        </w:rPr>
        <w:t xml:space="preserve">The </w:t>
      </w:r>
      <w:r w:rsidR="00FF0BC9" w:rsidRPr="00806023">
        <w:rPr>
          <w:sz w:val="22"/>
          <w:szCs w:val="22"/>
        </w:rPr>
        <w:t>ph</w:t>
      </w:r>
      <w:r w:rsidRPr="00806023">
        <w:rPr>
          <w:sz w:val="22"/>
          <w:szCs w:val="22"/>
        </w:rPr>
        <w:t>ase I of this</w:t>
      </w:r>
      <w:r w:rsidR="00FF0BC9" w:rsidRPr="00806023">
        <w:rPr>
          <w:sz w:val="22"/>
          <w:szCs w:val="22"/>
        </w:rPr>
        <w:t xml:space="preserve"> project was on mapping statewide IT resources</w:t>
      </w:r>
      <w:r w:rsidR="00883369" w:rsidRPr="00806023">
        <w:rPr>
          <w:sz w:val="22"/>
          <w:szCs w:val="22"/>
        </w:rPr>
        <w:t xml:space="preserve"> </w:t>
      </w:r>
      <w:r w:rsidR="00FF0BC9" w:rsidRPr="00806023">
        <w:rPr>
          <w:sz w:val="22"/>
          <w:szCs w:val="22"/>
        </w:rPr>
        <w:t xml:space="preserve">reflected </w:t>
      </w:r>
      <w:r w:rsidR="00D54553" w:rsidRPr="00806023">
        <w:rPr>
          <w:sz w:val="22"/>
          <w:szCs w:val="22"/>
        </w:rPr>
        <w:t>the disproportionally</w:t>
      </w:r>
      <w:r w:rsidR="00FF0BC9" w:rsidRPr="00806023">
        <w:rPr>
          <w:sz w:val="22"/>
          <w:szCs w:val="22"/>
        </w:rPr>
        <w:t xml:space="preserve"> high number of IT specific partners/resources compared to the other industries. However, the project team is transitioning and has started to collect data on the other priority industries of Agriculture, Energy, Healthcare, and Manufacturing. </w:t>
      </w:r>
      <w:r w:rsidR="00F2533E" w:rsidRPr="00806023">
        <w:rPr>
          <w:sz w:val="22"/>
          <w:szCs w:val="22"/>
        </w:rPr>
        <w:t xml:space="preserve">In the </w:t>
      </w:r>
      <w:r w:rsidR="00FF0BC9" w:rsidRPr="00806023">
        <w:rPr>
          <w:sz w:val="22"/>
          <w:szCs w:val="22"/>
        </w:rPr>
        <w:t xml:space="preserve">next phase, the project team plans to engage </w:t>
      </w:r>
      <w:bookmarkEnd w:id="0"/>
      <w:r w:rsidR="00FF0BC9" w:rsidRPr="00806023">
        <w:rPr>
          <w:sz w:val="22"/>
          <w:szCs w:val="22"/>
        </w:rPr>
        <w:t>regional partners to explore what role they may be willing to play when it comes to helping collect/maintain information on the map, so whether you are a practitioner who specializes in workforce, economic development or education/training, an employer or job seeker, you will have an important role to play in helping evolve this tool to ensure that we are all contributing and adding value to Michigan’s talent system!</w:t>
      </w:r>
    </w:p>
    <w:p w:rsidR="00FF0BC9" w:rsidRPr="00806023" w:rsidRDefault="00FF0BC9" w:rsidP="00FF0BC9">
      <w:pPr>
        <w:rPr>
          <w:sz w:val="22"/>
          <w:szCs w:val="22"/>
        </w:rPr>
      </w:pPr>
    </w:p>
    <w:p w:rsidR="00FF0BC9" w:rsidRPr="00806023" w:rsidRDefault="00FF0BC9" w:rsidP="00FF0BC9">
      <w:pPr>
        <w:rPr>
          <w:sz w:val="22"/>
          <w:szCs w:val="22"/>
        </w:rPr>
      </w:pPr>
      <w:r w:rsidRPr="00806023">
        <w:rPr>
          <w:sz w:val="22"/>
          <w:szCs w:val="22"/>
        </w:rPr>
        <w:t>A User Guide that provides detailed instructions on using the map as well as how t</w:t>
      </w:r>
      <w:r w:rsidR="00492F71" w:rsidRPr="00806023">
        <w:rPr>
          <w:sz w:val="22"/>
          <w:szCs w:val="22"/>
        </w:rPr>
        <w:t>o report missing or inaccurate c</w:t>
      </w:r>
      <w:r w:rsidRPr="00806023">
        <w:rPr>
          <w:sz w:val="22"/>
          <w:szCs w:val="22"/>
        </w:rPr>
        <w:t>ontact information is available directly from the web page.</w:t>
      </w:r>
    </w:p>
    <w:p w:rsidR="007429F5" w:rsidRPr="00806023" w:rsidRDefault="00555C35" w:rsidP="00514F5E">
      <w:pPr>
        <w:pStyle w:val="BodyTextIndent"/>
        <w:tabs>
          <w:tab w:val="left" w:pos="0"/>
          <w:tab w:val="left" w:pos="360"/>
        </w:tabs>
        <w:rPr>
          <w:color w:val="auto"/>
          <w:sz w:val="22"/>
          <w:szCs w:val="22"/>
        </w:rPr>
      </w:pPr>
      <w:r w:rsidRPr="00806023">
        <w:rPr>
          <w:color w:val="auto"/>
          <w:sz w:val="22"/>
          <w:szCs w:val="22"/>
        </w:rPr>
        <w:t xml:space="preserve"> </w:t>
      </w:r>
    </w:p>
    <w:p w:rsidR="00555C35" w:rsidRPr="00806023" w:rsidRDefault="0001370D" w:rsidP="005F3892">
      <w:pPr>
        <w:rPr>
          <w:sz w:val="22"/>
          <w:szCs w:val="22"/>
        </w:rPr>
      </w:pPr>
      <w:r w:rsidRPr="00806023">
        <w:rPr>
          <w:sz w:val="22"/>
          <w:szCs w:val="22"/>
        </w:rPr>
        <w:t>Existing infrastructures f</w:t>
      </w:r>
      <w:r w:rsidR="00555C35" w:rsidRPr="00806023">
        <w:rPr>
          <w:sz w:val="22"/>
          <w:szCs w:val="22"/>
        </w:rPr>
        <w:t>or all</w:t>
      </w:r>
      <w:r w:rsidRPr="00806023">
        <w:rPr>
          <w:sz w:val="22"/>
          <w:szCs w:val="22"/>
        </w:rPr>
        <w:t xml:space="preserve"> Michigan residents </w:t>
      </w:r>
      <w:r w:rsidR="002F5E82" w:rsidRPr="00806023">
        <w:rPr>
          <w:sz w:val="22"/>
          <w:szCs w:val="22"/>
        </w:rPr>
        <w:t xml:space="preserve">to </w:t>
      </w:r>
      <w:r w:rsidRPr="00806023">
        <w:rPr>
          <w:sz w:val="22"/>
          <w:szCs w:val="22"/>
        </w:rPr>
        <w:t>access</w:t>
      </w:r>
      <w:r w:rsidR="00555C35" w:rsidRPr="00806023">
        <w:rPr>
          <w:sz w:val="22"/>
          <w:szCs w:val="22"/>
        </w:rPr>
        <w:t xml:space="preserve"> convenient entry to services </w:t>
      </w:r>
      <w:r w:rsidRPr="00806023">
        <w:rPr>
          <w:sz w:val="22"/>
          <w:szCs w:val="22"/>
        </w:rPr>
        <w:t>from a wide array of programs are still</w:t>
      </w:r>
      <w:r w:rsidR="00555C35" w:rsidRPr="00806023">
        <w:rPr>
          <w:sz w:val="22"/>
          <w:szCs w:val="22"/>
        </w:rPr>
        <w:t xml:space="preserve"> provided</w:t>
      </w:r>
      <w:r w:rsidRPr="00806023">
        <w:rPr>
          <w:sz w:val="22"/>
          <w:szCs w:val="22"/>
        </w:rPr>
        <w:t xml:space="preserve"> by (</w:t>
      </w:r>
      <w:r w:rsidR="00555C35" w:rsidRPr="00806023">
        <w:rPr>
          <w:sz w:val="22"/>
          <w:szCs w:val="22"/>
        </w:rPr>
        <w:t xml:space="preserve">1) electronic access to comprehensive web-based information at </w:t>
      </w:r>
      <w:hyperlink r:id="rId10" w:history="1">
        <w:r w:rsidR="0056103D" w:rsidRPr="00806023">
          <w:rPr>
            <w:rStyle w:val="Hyperlink"/>
            <w:color w:val="auto"/>
            <w:sz w:val="22"/>
            <w:szCs w:val="22"/>
          </w:rPr>
          <w:t>www.MiTalent.org</w:t>
        </w:r>
      </w:hyperlink>
      <w:r w:rsidR="00FB402F" w:rsidRPr="00806023">
        <w:rPr>
          <w:sz w:val="22"/>
          <w:szCs w:val="22"/>
        </w:rPr>
        <w:t>; (2) a s</w:t>
      </w:r>
      <w:r w:rsidR="00555C35" w:rsidRPr="00806023">
        <w:rPr>
          <w:sz w:val="22"/>
          <w:szCs w:val="22"/>
        </w:rPr>
        <w:t>tatewide network of 103 certified Michigan Works! One Stop Service Centers; and (3) a department telephone system that can automatically route callers to local servi</w:t>
      </w:r>
      <w:r w:rsidR="007146EB" w:rsidRPr="00806023">
        <w:rPr>
          <w:sz w:val="22"/>
          <w:szCs w:val="22"/>
        </w:rPr>
        <w:t xml:space="preserve">ces (telephone 1-800-285-WORKS); </w:t>
      </w:r>
      <w:r w:rsidR="0044219A" w:rsidRPr="00806023">
        <w:rPr>
          <w:sz w:val="22"/>
          <w:szCs w:val="22"/>
        </w:rPr>
        <w:t xml:space="preserve">and </w:t>
      </w:r>
      <w:r w:rsidR="00CE3369" w:rsidRPr="00806023">
        <w:rPr>
          <w:sz w:val="22"/>
          <w:szCs w:val="22"/>
        </w:rPr>
        <w:t>(4) a sophisticated Talent Bank for employers and employees dedicated for hiring purposes</w:t>
      </w:r>
      <w:r w:rsidR="00555C35" w:rsidRPr="00806023">
        <w:rPr>
          <w:sz w:val="22"/>
          <w:szCs w:val="22"/>
        </w:rPr>
        <w:t>.</w:t>
      </w:r>
    </w:p>
    <w:p w:rsidR="006E3767" w:rsidRPr="00806023" w:rsidRDefault="006E3767">
      <w:pPr>
        <w:pStyle w:val="BodyTextIndent"/>
        <w:tabs>
          <w:tab w:val="left" w:pos="0"/>
          <w:tab w:val="left" w:pos="360"/>
        </w:tabs>
        <w:rPr>
          <w:color w:val="auto"/>
          <w:sz w:val="22"/>
          <w:szCs w:val="22"/>
        </w:rPr>
      </w:pPr>
    </w:p>
    <w:p w:rsidR="00555C35" w:rsidRPr="00806023" w:rsidRDefault="00555C35">
      <w:pPr>
        <w:pStyle w:val="BodyTextIndent"/>
        <w:tabs>
          <w:tab w:val="left" w:pos="0"/>
          <w:tab w:val="left" w:pos="360"/>
        </w:tabs>
        <w:rPr>
          <w:color w:val="auto"/>
          <w:sz w:val="22"/>
          <w:szCs w:val="22"/>
        </w:rPr>
      </w:pPr>
      <w:r w:rsidRPr="00806023">
        <w:rPr>
          <w:color w:val="auto"/>
          <w:sz w:val="22"/>
          <w:szCs w:val="22"/>
        </w:rPr>
        <w:t xml:space="preserve">The following federal programs, in addition to many </w:t>
      </w:r>
      <w:r w:rsidR="002F5E82" w:rsidRPr="00806023">
        <w:rPr>
          <w:color w:val="auto"/>
          <w:sz w:val="22"/>
          <w:szCs w:val="22"/>
        </w:rPr>
        <w:t>s</w:t>
      </w:r>
      <w:r w:rsidRPr="00806023">
        <w:rPr>
          <w:color w:val="auto"/>
          <w:sz w:val="22"/>
          <w:szCs w:val="22"/>
        </w:rPr>
        <w:t xml:space="preserve">tate programs, are located within the </w:t>
      </w:r>
      <w:r w:rsidR="000E1BA0" w:rsidRPr="00806023">
        <w:rPr>
          <w:color w:val="auto"/>
          <w:sz w:val="22"/>
          <w:szCs w:val="22"/>
        </w:rPr>
        <w:t>MSF</w:t>
      </w:r>
      <w:r w:rsidRPr="00806023">
        <w:rPr>
          <w:color w:val="auto"/>
          <w:sz w:val="22"/>
          <w:szCs w:val="22"/>
        </w:rPr>
        <w:t>: Carl Perkins Vocational Education, Food Stamp Employment and Training, BLS Labor Market Information, Veteran’s Education, Wagner-Peyser Employment Services, Jobs Education and Training (JET) Program, WIA Title I, Dislocated Worker and Youth, WIA Title II Adult Education and</w:t>
      </w:r>
      <w:r w:rsidR="002F5E82" w:rsidRPr="00806023">
        <w:rPr>
          <w:color w:val="auto"/>
          <w:sz w:val="22"/>
          <w:szCs w:val="22"/>
        </w:rPr>
        <w:t xml:space="preserve"> Family</w:t>
      </w:r>
      <w:r w:rsidRPr="00806023">
        <w:rPr>
          <w:color w:val="auto"/>
          <w:sz w:val="22"/>
          <w:szCs w:val="22"/>
        </w:rPr>
        <w:t xml:space="preserve"> Literacy, and WIA Title IV. </w:t>
      </w:r>
    </w:p>
    <w:p w:rsidR="00575E3E" w:rsidRPr="00806023" w:rsidRDefault="00575E3E">
      <w:pPr>
        <w:pStyle w:val="BodyTextIndent"/>
        <w:tabs>
          <w:tab w:val="left" w:pos="0"/>
          <w:tab w:val="left" w:pos="360"/>
        </w:tabs>
        <w:jc w:val="left"/>
        <w:rPr>
          <w:b/>
          <w:bCs/>
          <w:color w:val="auto"/>
          <w:sz w:val="22"/>
          <w:szCs w:val="22"/>
        </w:rPr>
      </w:pPr>
    </w:p>
    <w:p w:rsidR="00555C35" w:rsidRPr="00806023" w:rsidRDefault="00555C35">
      <w:pPr>
        <w:pStyle w:val="BodyTextIndent"/>
        <w:tabs>
          <w:tab w:val="left" w:pos="0"/>
          <w:tab w:val="left" w:pos="360"/>
        </w:tabs>
        <w:jc w:val="left"/>
        <w:rPr>
          <w:color w:val="auto"/>
          <w:sz w:val="22"/>
          <w:szCs w:val="22"/>
        </w:rPr>
      </w:pPr>
      <w:r w:rsidRPr="00806023">
        <w:rPr>
          <w:b/>
          <w:bCs/>
          <w:color w:val="auto"/>
          <w:sz w:val="22"/>
          <w:szCs w:val="22"/>
        </w:rPr>
        <w:t>STATE OFFICE COLLABORATION</w:t>
      </w:r>
    </w:p>
    <w:p w:rsidR="0073092D" w:rsidRPr="00806023" w:rsidRDefault="000D3067" w:rsidP="0073092D">
      <w:pPr>
        <w:rPr>
          <w:sz w:val="22"/>
          <w:szCs w:val="22"/>
        </w:rPr>
      </w:pPr>
      <w:r w:rsidRPr="00806023">
        <w:rPr>
          <w:b/>
          <w:bCs/>
          <w:sz w:val="22"/>
          <w:szCs w:val="22"/>
          <w:u w:val="single"/>
        </w:rPr>
        <w:t>Workforce Development Agency (WDA)</w:t>
      </w:r>
      <w:r w:rsidR="00555C35" w:rsidRPr="00806023">
        <w:rPr>
          <w:b/>
          <w:bCs/>
          <w:sz w:val="22"/>
          <w:szCs w:val="22"/>
          <w:u w:val="single"/>
        </w:rPr>
        <w:t>:</w:t>
      </w:r>
      <w:r w:rsidR="00555C35" w:rsidRPr="00806023">
        <w:rPr>
          <w:sz w:val="22"/>
          <w:szCs w:val="22"/>
        </w:rPr>
        <w:t xml:space="preserve"> </w:t>
      </w:r>
      <w:r w:rsidR="0073092D" w:rsidRPr="00806023">
        <w:rPr>
          <w:sz w:val="22"/>
          <w:szCs w:val="22"/>
        </w:rPr>
        <w:t>The Michigan Workforce Development Agency (Workforce Development Agency) has gone through reorganization to provide more effective and efficient services to job seekers, employers</w:t>
      </w:r>
      <w:r w:rsidR="00E14E26" w:rsidRPr="00806023">
        <w:rPr>
          <w:sz w:val="22"/>
          <w:szCs w:val="22"/>
        </w:rPr>
        <w:t>,</w:t>
      </w:r>
      <w:r w:rsidR="0073092D" w:rsidRPr="00806023">
        <w:rPr>
          <w:sz w:val="22"/>
          <w:szCs w:val="22"/>
        </w:rPr>
        <w:t xml:space="preserve"> and others who partner and participate with the workforce investment system.  </w:t>
      </w:r>
      <w:r w:rsidR="00E14E26" w:rsidRPr="00806023">
        <w:rPr>
          <w:sz w:val="22"/>
          <w:szCs w:val="22"/>
        </w:rPr>
        <w:t>A</w:t>
      </w:r>
      <w:r w:rsidR="0073092D" w:rsidRPr="00806023">
        <w:rPr>
          <w:sz w:val="22"/>
          <w:szCs w:val="22"/>
        </w:rPr>
        <w:t xml:space="preserve"> new approach will involve a demand model approach to workforce investment, which involves an industry driven effort that includes “smart” connections and “results” driven training, with a particular focus on industry clusters.  </w:t>
      </w:r>
    </w:p>
    <w:p w:rsidR="00555C35" w:rsidRPr="00806023" w:rsidRDefault="0073092D" w:rsidP="0073092D">
      <w:pPr>
        <w:jc w:val="both"/>
        <w:rPr>
          <w:b/>
          <w:bCs/>
          <w:sz w:val="22"/>
          <w:szCs w:val="22"/>
        </w:rPr>
      </w:pPr>
      <w:r w:rsidRPr="00806023">
        <w:rPr>
          <w:sz w:val="22"/>
          <w:szCs w:val="22"/>
        </w:rPr>
        <w:t xml:space="preserve">“Smart” Connections/Training means </w:t>
      </w:r>
      <w:r w:rsidR="00232855" w:rsidRPr="00806023">
        <w:rPr>
          <w:sz w:val="22"/>
          <w:szCs w:val="22"/>
        </w:rPr>
        <w:t>to</w:t>
      </w:r>
      <w:r w:rsidRPr="00806023">
        <w:rPr>
          <w:sz w:val="22"/>
          <w:szCs w:val="22"/>
        </w:rPr>
        <w:t xml:space="preserve"> provide the flexibility and tools to more effectively deliver the correct type of training or employer-employee connections, based on industry needs and participant capabilities and aspirations.  Some participants need job connections or minimal training, while others need (and have the skills to complete) more extensive training.  </w:t>
      </w:r>
      <w:r w:rsidR="00232855" w:rsidRPr="00806023">
        <w:rPr>
          <w:sz w:val="22"/>
          <w:szCs w:val="22"/>
        </w:rPr>
        <w:t>The state is</w:t>
      </w:r>
      <w:r w:rsidRPr="00806023">
        <w:rPr>
          <w:sz w:val="22"/>
          <w:szCs w:val="22"/>
        </w:rPr>
        <w:t xml:space="preserve"> work</w:t>
      </w:r>
      <w:r w:rsidR="00232855" w:rsidRPr="00806023">
        <w:rPr>
          <w:sz w:val="22"/>
          <w:szCs w:val="22"/>
        </w:rPr>
        <w:t>ing</w:t>
      </w:r>
      <w:r w:rsidRPr="00806023">
        <w:rPr>
          <w:sz w:val="22"/>
          <w:szCs w:val="22"/>
        </w:rPr>
        <w:t xml:space="preserve"> with federal and state partners to implement a more nimble, responsive and evaluative system that connects employers to employees</w:t>
      </w:r>
      <w:r w:rsidR="008451BC" w:rsidRPr="00806023">
        <w:rPr>
          <w:sz w:val="22"/>
          <w:szCs w:val="22"/>
        </w:rPr>
        <w:t>,</w:t>
      </w:r>
      <w:r w:rsidRPr="00806023">
        <w:rPr>
          <w:sz w:val="22"/>
          <w:szCs w:val="22"/>
        </w:rPr>
        <w:t xml:space="preserve"> </w:t>
      </w:r>
      <w:r w:rsidR="008451BC" w:rsidRPr="00806023">
        <w:rPr>
          <w:sz w:val="22"/>
          <w:szCs w:val="22"/>
        </w:rPr>
        <w:t>and still</w:t>
      </w:r>
      <w:r w:rsidRPr="00806023">
        <w:rPr>
          <w:sz w:val="22"/>
          <w:szCs w:val="22"/>
        </w:rPr>
        <w:t xml:space="preserve"> provide long-term training, where appropriate.  Efforts include better frontline training and oversight, talent acquisition and connection efforts and tools such as Talent Connect.</w:t>
      </w:r>
      <w:r w:rsidR="00555C35" w:rsidRPr="00806023">
        <w:rPr>
          <w:sz w:val="22"/>
          <w:szCs w:val="22"/>
        </w:rPr>
        <w:t xml:space="preserve"> </w:t>
      </w:r>
    </w:p>
    <w:p w:rsidR="00555C35" w:rsidRPr="00806023" w:rsidRDefault="00555C35">
      <w:pPr>
        <w:pStyle w:val="BodyTextIndent"/>
        <w:tabs>
          <w:tab w:val="left" w:pos="0"/>
        </w:tabs>
        <w:rPr>
          <w:color w:val="auto"/>
          <w:sz w:val="22"/>
          <w:szCs w:val="22"/>
        </w:rPr>
      </w:pPr>
      <w:r w:rsidRPr="00806023">
        <w:rPr>
          <w:b/>
          <w:bCs/>
          <w:color w:val="auto"/>
          <w:sz w:val="22"/>
          <w:szCs w:val="22"/>
          <w:u w:val="single"/>
        </w:rPr>
        <w:t>State Workforce Investment Board</w:t>
      </w:r>
      <w:r w:rsidRPr="00806023">
        <w:rPr>
          <w:b/>
          <w:bCs/>
          <w:color w:val="auto"/>
          <w:sz w:val="22"/>
          <w:szCs w:val="22"/>
        </w:rPr>
        <w:t>:</w:t>
      </w:r>
      <w:r w:rsidRPr="00806023">
        <w:rPr>
          <w:color w:val="auto"/>
          <w:sz w:val="22"/>
          <w:szCs w:val="22"/>
        </w:rPr>
        <w:t xml:space="preserve">  </w:t>
      </w:r>
      <w:r w:rsidR="0056103D" w:rsidRPr="00806023">
        <w:rPr>
          <w:color w:val="auto"/>
          <w:sz w:val="22"/>
          <w:szCs w:val="22"/>
        </w:rPr>
        <w:t>The director of</w:t>
      </w:r>
      <w:r w:rsidRPr="00806023">
        <w:rPr>
          <w:color w:val="auto"/>
          <w:sz w:val="22"/>
          <w:szCs w:val="22"/>
        </w:rPr>
        <w:t xml:space="preserve"> Division of </w:t>
      </w:r>
      <w:r w:rsidR="0056103D" w:rsidRPr="00806023">
        <w:rPr>
          <w:color w:val="auto"/>
          <w:sz w:val="22"/>
          <w:szCs w:val="22"/>
        </w:rPr>
        <w:t>Education &amp; Career Success</w:t>
      </w:r>
      <w:r w:rsidR="00C96C3B" w:rsidRPr="00806023">
        <w:rPr>
          <w:color w:val="auto"/>
          <w:sz w:val="22"/>
          <w:szCs w:val="22"/>
        </w:rPr>
        <w:t>,</w:t>
      </w:r>
      <w:r w:rsidR="0089071B" w:rsidRPr="00806023">
        <w:rPr>
          <w:color w:val="auto"/>
          <w:sz w:val="22"/>
          <w:szCs w:val="22"/>
        </w:rPr>
        <w:t xml:space="preserve"> who </w:t>
      </w:r>
      <w:r w:rsidRPr="00806023">
        <w:rPr>
          <w:color w:val="auto"/>
          <w:sz w:val="22"/>
          <w:szCs w:val="22"/>
        </w:rPr>
        <w:t>is responsible for administering Adult Education and other education</w:t>
      </w:r>
      <w:r w:rsidR="00BA470E" w:rsidRPr="00806023">
        <w:rPr>
          <w:color w:val="auto"/>
          <w:sz w:val="22"/>
          <w:szCs w:val="22"/>
        </w:rPr>
        <w:t>al</w:t>
      </w:r>
      <w:r w:rsidRPr="00806023">
        <w:rPr>
          <w:color w:val="auto"/>
          <w:sz w:val="22"/>
          <w:szCs w:val="22"/>
        </w:rPr>
        <w:t xml:space="preserve"> programs</w:t>
      </w:r>
      <w:r w:rsidR="00C96C3B" w:rsidRPr="00806023">
        <w:rPr>
          <w:color w:val="auto"/>
          <w:sz w:val="22"/>
          <w:szCs w:val="22"/>
        </w:rPr>
        <w:t>,</w:t>
      </w:r>
      <w:r w:rsidRPr="00806023">
        <w:rPr>
          <w:color w:val="auto"/>
          <w:sz w:val="22"/>
          <w:szCs w:val="22"/>
        </w:rPr>
        <w:t xml:space="preserve"> attends the </w:t>
      </w:r>
      <w:r w:rsidR="0056103D" w:rsidRPr="00806023">
        <w:rPr>
          <w:color w:val="auto"/>
          <w:sz w:val="22"/>
          <w:szCs w:val="22"/>
        </w:rPr>
        <w:t xml:space="preserve">Governor’s </w:t>
      </w:r>
      <w:r w:rsidR="00A42069" w:rsidRPr="00806023">
        <w:rPr>
          <w:color w:val="auto"/>
          <w:sz w:val="22"/>
          <w:szCs w:val="22"/>
        </w:rPr>
        <w:t>Talent Investment Board</w:t>
      </w:r>
      <w:r w:rsidR="0056103D" w:rsidRPr="00806023">
        <w:rPr>
          <w:color w:val="auto"/>
          <w:sz w:val="22"/>
          <w:szCs w:val="22"/>
        </w:rPr>
        <w:t xml:space="preserve"> (GTIB</w:t>
      </w:r>
      <w:r w:rsidR="0089071B" w:rsidRPr="00806023">
        <w:rPr>
          <w:color w:val="auto"/>
          <w:sz w:val="22"/>
          <w:szCs w:val="22"/>
        </w:rPr>
        <w:t xml:space="preserve">) and </w:t>
      </w:r>
      <w:r w:rsidR="008E20A7" w:rsidRPr="00806023">
        <w:rPr>
          <w:color w:val="auto"/>
          <w:sz w:val="22"/>
          <w:szCs w:val="22"/>
        </w:rPr>
        <w:t xml:space="preserve">is </w:t>
      </w:r>
      <w:r w:rsidR="0089071B" w:rsidRPr="00806023">
        <w:rPr>
          <w:color w:val="auto"/>
          <w:sz w:val="22"/>
          <w:szCs w:val="22"/>
        </w:rPr>
        <w:t>responsible for the policies of the Education Advisory Group (EAG)</w:t>
      </w:r>
      <w:r w:rsidR="003E50AC" w:rsidRPr="00806023">
        <w:rPr>
          <w:color w:val="auto"/>
          <w:sz w:val="22"/>
          <w:szCs w:val="22"/>
        </w:rPr>
        <w:t>/Talent District Career Council (TDCC)</w:t>
      </w:r>
      <w:r w:rsidR="0089071B" w:rsidRPr="00806023">
        <w:rPr>
          <w:color w:val="auto"/>
          <w:sz w:val="22"/>
          <w:szCs w:val="22"/>
        </w:rPr>
        <w:t xml:space="preserve"> of the Workforce Development Board (WDB)</w:t>
      </w:r>
      <w:r w:rsidR="007E48FB" w:rsidRPr="00806023">
        <w:rPr>
          <w:color w:val="auto"/>
          <w:sz w:val="22"/>
          <w:szCs w:val="22"/>
        </w:rPr>
        <w:t>.</w:t>
      </w:r>
      <w:r w:rsidR="00A42069" w:rsidRPr="00806023">
        <w:rPr>
          <w:color w:val="auto"/>
          <w:sz w:val="22"/>
          <w:szCs w:val="22"/>
        </w:rPr>
        <w:t xml:space="preserve"> T</w:t>
      </w:r>
      <w:r w:rsidRPr="00806023">
        <w:rPr>
          <w:color w:val="auto"/>
          <w:sz w:val="22"/>
          <w:szCs w:val="22"/>
        </w:rPr>
        <w:t xml:space="preserve">he opportunity to present adult education program issues to the </w:t>
      </w:r>
      <w:r w:rsidR="0056103D" w:rsidRPr="00806023">
        <w:rPr>
          <w:color w:val="auto"/>
          <w:sz w:val="22"/>
          <w:szCs w:val="22"/>
        </w:rPr>
        <w:t>GTIB</w:t>
      </w:r>
      <w:r w:rsidRPr="00806023">
        <w:rPr>
          <w:color w:val="auto"/>
          <w:sz w:val="22"/>
          <w:szCs w:val="22"/>
        </w:rPr>
        <w:t xml:space="preserve"> is always offered to the Director of </w:t>
      </w:r>
      <w:r w:rsidR="007E48FB" w:rsidRPr="00806023">
        <w:rPr>
          <w:color w:val="auto"/>
          <w:sz w:val="22"/>
          <w:szCs w:val="22"/>
        </w:rPr>
        <w:t>Education and Career Success</w:t>
      </w:r>
      <w:r w:rsidRPr="00806023">
        <w:rPr>
          <w:color w:val="auto"/>
          <w:sz w:val="22"/>
          <w:szCs w:val="22"/>
        </w:rPr>
        <w:t xml:space="preserve"> before each </w:t>
      </w:r>
      <w:r w:rsidR="0056103D" w:rsidRPr="00806023">
        <w:rPr>
          <w:color w:val="auto"/>
          <w:sz w:val="22"/>
          <w:szCs w:val="22"/>
        </w:rPr>
        <w:t>GTIB</w:t>
      </w:r>
      <w:r w:rsidRPr="00806023">
        <w:rPr>
          <w:color w:val="auto"/>
          <w:sz w:val="22"/>
          <w:szCs w:val="22"/>
        </w:rPr>
        <w:t xml:space="preserve"> meeting</w:t>
      </w:r>
      <w:r w:rsidR="0056103D" w:rsidRPr="00806023">
        <w:rPr>
          <w:color w:val="auto"/>
          <w:sz w:val="22"/>
          <w:szCs w:val="22"/>
        </w:rPr>
        <w:t>s</w:t>
      </w:r>
      <w:r w:rsidRPr="00806023">
        <w:rPr>
          <w:color w:val="auto"/>
          <w:sz w:val="22"/>
          <w:szCs w:val="22"/>
        </w:rPr>
        <w:t xml:space="preserve">.  Michigan </w:t>
      </w:r>
      <w:r w:rsidR="007E48FB" w:rsidRPr="00806023">
        <w:rPr>
          <w:color w:val="auto"/>
          <w:sz w:val="22"/>
          <w:szCs w:val="22"/>
        </w:rPr>
        <w:t xml:space="preserve">has </w:t>
      </w:r>
      <w:r w:rsidR="00A42069" w:rsidRPr="00806023">
        <w:rPr>
          <w:color w:val="auto"/>
          <w:sz w:val="22"/>
          <w:szCs w:val="22"/>
        </w:rPr>
        <w:t>implemented s</w:t>
      </w:r>
      <w:r w:rsidRPr="00806023">
        <w:rPr>
          <w:color w:val="auto"/>
          <w:sz w:val="22"/>
          <w:szCs w:val="22"/>
        </w:rPr>
        <w:t>tate initiatives that pioneered many aspects of WIA prior to enactment of legislation</w:t>
      </w:r>
      <w:r w:rsidR="00A42069" w:rsidRPr="00806023">
        <w:rPr>
          <w:color w:val="auto"/>
          <w:sz w:val="22"/>
          <w:szCs w:val="22"/>
        </w:rPr>
        <w:t xml:space="preserve"> forming</w:t>
      </w:r>
      <w:r w:rsidRPr="00806023">
        <w:rPr>
          <w:color w:val="auto"/>
          <w:sz w:val="22"/>
          <w:szCs w:val="22"/>
        </w:rPr>
        <w:t xml:space="preserve"> </w:t>
      </w:r>
      <w:r w:rsidR="0056103D" w:rsidRPr="00806023">
        <w:rPr>
          <w:color w:val="auto"/>
          <w:sz w:val="22"/>
          <w:szCs w:val="22"/>
        </w:rPr>
        <w:t>GTIB</w:t>
      </w:r>
      <w:r w:rsidR="00A42069" w:rsidRPr="00806023">
        <w:rPr>
          <w:color w:val="auto"/>
          <w:sz w:val="22"/>
          <w:szCs w:val="22"/>
        </w:rPr>
        <w:t>, and</w:t>
      </w:r>
      <w:r w:rsidRPr="00806023">
        <w:rPr>
          <w:color w:val="auto"/>
          <w:sz w:val="22"/>
          <w:szCs w:val="22"/>
        </w:rPr>
        <w:t xml:space="preserve"> membership was “grandfathered,” so no </w:t>
      </w:r>
      <w:r w:rsidR="00C96C3B" w:rsidRPr="00806023">
        <w:rPr>
          <w:color w:val="auto"/>
          <w:sz w:val="22"/>
          <w:szCs w:val="22"/>
        </w:rPr>
        <w:t>adult e</w:t>
      </w:r>
      <w:r w:rsidRPr="00806023">
        <w:rPr>
          <w:color w:val="auto"/>
          <w:sz w:val="22"/>
          <w:szCs w:val="22"/>
        </w:rPr>
        <w:t>ducation representation is required.</w:t>
      </w:r>
    </w:p>
    <w:p w:rsidR="00555C35" w:rsidRPr="00806023" w:rsidRDefault="00555C35">
      <w:pPr>
        <w:pStyle w:val="BodyTextIndent"/>
        <w:tabs>
          <w:tab w:val="left" w:pos="0"/>
        </w:tabs>
        <w:rPr>
          <w:color w:val="auto"/>
          <w:sz w:val="22"/>
          <w:szCs w:val="22"/>
        </w:rPr>
      </w:pPr>
      <w:r w:rsidRPr="00806023">
        <w:rPr>
          <w:b/>
          <w:bCs/>
          <w:color w:val="auto"/>
          <w:sz w:val="22"/>
          <w:szCs w:val="22"/>
          <w:u w:val="single"/>
        </w:rPr>
        <w:t>Local Workforce Investment Boards</w:t>
      </w:r>
      <w:r w:rsidRPr="00806023">
        <w:rPr>
          <w:b/>
          <w:bCs/>
          <w:color w:val="auto"/>
          <w:sz w:val="22"/>
          <w:szCs w:val="22"/>
        </w:rPr>
        <w:t>:</w:t>
      </w:r>
      <w:r w:rsidR="00670EDC" w:rsidRPr="00806023">
        <w:rPr>
          <w:color w:val="auto"/>
          <w:sz w:val="22"/>
          <w:szCs w:val="22"/>
        </w:rPr>
        <w:t xml:space="preserve">  The Director of</w:t>
      </w:r>
      <w:r w:rsidRPr="00806023">
        <w:rPr>
          <w:color w:val="auto"/>
          <w:sz w:val="22"/>
          <w:szCs w:val="22"/>
        </w:rPr>
        <w:t xml:space="preserve"> Division of </w:t>
      </w:r>
      <w:r w:rsidR="007E48FB" w:rsidRPr="00806023">
        <w:rPr>
          <w:color w:val="auto"/>
          <w:sz w:val="22"/>
          <w:szCs w:val="22"/>
        </w:rPr>
        <w:t>Education and Career Success</w:t>
      </w:r>
      <w:r w:rsidRPr="00806023">
        <w:rPr>
          <w:color w:val="auto"/>
          <w:sz w:val="22"/>
          <w:szCs w:val="22"/>
        </w:rPr>
        <w:t xml:space="preserve"> is a member of </w:t>
      </w:r>
      <w:r w:rsidR="000E1BA0" w:rsidRPr="00806023">
        <w:rPr>
          <w:color w:val="auto"/>
          <w:sz w:val="22"/>
          <w:szCs w:val="22"/>
        </w:rPr>
        <w:t>MSF</w:t>
      </w:r>
      <w:r w:rsidRPr="00806023">
        <w:rPr>
          <w:color w:val="auto"/>
          <w:sz w:val="22"/>
          <w:szCs w:val="22"/>
        </w:rPr>
        <w:t>’s committee responsible for periodically reviewing and updating the “Michigan Works! System Governance and Minimum Standards.”  These standards specify the minimum requirements for local governance systems as well as the services to be provided by the Michigan Works! One-Stop Service Centers.  As des</w:t>
      </w:r>
      <w:r w:rsidR="00CF7B96" w:rsidRPr="00806023">
        <w:rPr>
          <w:color w:val="auto"/>
          <w:sz w:val="22"/>
          <w:szCs w:val="22"/>
        </w:rPr>
        <w:t xml:space="preserve">cribed above for the </w:t>
      </w:r>
      <w:r w:rsidR="0056103D" w:rsidRPr="00806023">
        <w:rPr>
          <w:color w:val="auto"/>
          <w:sz w:val="22"/>
          <w:szCs w:val="22"/>
        </w:rPr>
        <w:t>GTIB</w:t>
      </w:r>
      <w:r w:rsidRPr="00806023">
        <w:rPr>
          <w:color w:val="auto"/>
          <w:sz w:val="22"/>
          <w:szCs w:val="22"/>
        </w:rPr>
        <w:t xml:space="preserve">, the structure of local Workforce Development Boards (WDBs) was also “grandfathered” in; therefore, no adult education representation is required. Also, Michigan’s local governance </w:t>
      </w:r>
      <w:r w:rsidRPr="00806023">
        <w:rPr>
          <w:color w:val="auto"/>
          <w:sz w:val="22"/>
          <w:szCs w:val="22"/>
        </w:rPr>
        <w:lastRenderedPageBreak/>
        <w:t>system has a non-conflict of interest requirement that stipulates that no board member may be employed by an organization that receives funds that are under the direct control of the board.</w:t>
      </w:r>
    </w:p>
    <w:p w:rsidR="00555C35" w:rsidRPr="00806023" w:rsidRDefault="00555C35" w:rsidP="008408D5">
      <w:pPr>
        <w:pStyle w:val="BodyTextIndent"/>
        <w:tabs>
          <w:tab w:val="left" w:pos="0"/>
        </w:tabs>
        <w:jc w:val="left"/>
        <w:rPr>
          <w:color w:val="auto"/>
          <w:sz w:val="22"/>
          <w:szCs w:val="22"/>
        </w:rPr>
      </w:pPr>
      <w:r w:rsidRPr="00806023">
        <w:rPr>
          <w:b/>
          <w:bCs/>
          <w:color w:val="auto"/>
          <w:sz w:val="22"/>
          <w:szCs w:val="22"/>
          <w:u w:val="single"/>
        </w:rPr>
        <w:t>One-Stop Core Services</w:t>
      </w:r>
      <w:r w:rsidRPr="00806023">
        <w:rPr>
          <w:b/>
          <w:bCs/>
          <w:color w:val="auto"/>
          <w:sz w:val="22"/>
          <w:szCs w:val="22"/>
        </w:rPr>
        <w:t>:</w:t>
      </w:r>
      <w:r w:rsidRPr="00806023">
        <w:rPr>
          <w:color w:val="auto"/>
          <w:sz w:val="22"/>
          <w:szCs w:val="22"/>
        </w:rPr>
        <w:t xml:space="preserve">  WIA II, Adult Education</w:t>
      </w:r>
      <w:r w:rsidR="003D0741" w:rsidRPr="00806023">
        <w:rPr>
          <w:color w:val="auto"/>
          <w:sz w:val="22"/>
          <w:szCs w:val="22"/>
        </w:rPr>
        <w:t>,</w:t>
      </w:r>
      <w:r w:rsidRPr="00806023">
        <w:rPr>
          <w:color w:val="auto"/>
          <w:sz w:val="22"/>
          <w:szCs w:val="22"/>
        </w:rPr>
        <w:t xml:space="preserve"> and Literacy funding is not designated by </w:t>
      </w:r>
      <w:r w:rsidR="000E1BA0" w:rsidRPr="00806023">
        <w:rPr>
          <w:color w:val="auto"/>
          <w:sz w:val="22"/>
          <w:szCs w:val="22"/>
        </w:rPr>
        <w:t>MSF</w:t>
      </w:r>
      <w:r w:rsidRPr="00806023">
        <w:rPr>
          <w:color w:val="auto"/>
          <w:sz w:val="22"/>
          <w:szCs w:val="22"/>
        </w:rPr>
        <w:t xml:space="preserve"> to suppo</w:t>
      </w:r>
      <w:r w:rsidR="008D0F0F" w:rsidRPr="00806023">
        <w:rPr>
          <w:color w:val="auto"/>
          <w:sz w:val="22"/>
          <w:szCs w:val="22"/>
        </w:rPr>
        <w:t xml:space="preserve">rt the Michigan Works! One-Stop Service </w:t>
      </w:r>
      <w:r w:rsidRPr="00806023">
        <w:rPr>
          <w:color w:val="auto"/>
          <w:sz w:val="22"/>
          <w:szCs w:val="22"/>
        </w:rPr>
        <w:t>Centers</w:t>
      </w:r>
      <w:r w:rsidR="0058087D" w:rsidRPr="00806023">
        <w:rPr>
          <w:color w:val="auto"/>
          <w:sz w:val="22"/>
          <w:szCs w:val="22"/>
        </w:rPr>
        <w:t>.</w:t>
      </w:r>
      <w:r w:rsidR="003D0741" w:rsidRPr="00806023">
        <w:rPr>
          <w:color w:val="auto"/>
          <w:sz w:val="22"/>
          <w:szCs w:val="22"/>
        </w:rPr>
        <w:t xml:space="preserve"> </w:t>
      </w:r>
      <w:r w:rsidRPr="00806023">
        <w:rPr>
          <w:color w:val="auto"/>
          <w:sz w:val="22"/>
          <w:szCs w:val="22"/>
        </w:rPr>
        <w:t xml:space="preserve"> Michigan operates a decentralized education and workforce development system, and many spending decisions are made at a local level. The considerable collaboration between Michigan’s adult education programs and the Michigan W</w:t>
      </w:r>
      <w:r w:rsidR="002C3B70" w:rsidRPr="00806023">
        <w:rPr>
          <w:color w:val="auto"/>
          <w:sz w:val="22"/>
          <w:szCs w:val="22"/>
        </w:rPr>
        <w:t>orks! One-Stop service system continues</w:t>
      </w:r>
      <w:r w:rsidRPr="00806023">
        <w:rPr>
          <w:color w:val="auto"/>
          <w:sz w:val="22"/>
          <w:szCs w:val="22"/>
        </w:rPr>
        <w:t xml:space="preserve"> to expand.</w:t>
      </w:r>
      <w:r w:rsidR="007E48FB" w:rsidRPr="00806023">
        <w:rPr>
          <w:color w:val="auto"/>
          <w:sz w:val="22"/>
          <w:szCs w:val="22"/>
        </w:rPr>
        <w:t xml:space="preserve"> </w:t>
      </w:r>
      <w:r w:rsidRPr="00806023">
        <w:rPr>
          <w:color w:val="auto"/>
          <w:sz w:val="22"/>
          <w:szCs w:val="22"/>
        </w:rPr>
        <w:t>Local strategies for collaboration and program de</w:t>
      </w:r>
      <w:r w:rsidR="00224E25" w:rsidRPr="00806023">
        <w:rPr>
          <w:color w:val="auto"/>
          <w:sz w:val="22"/>
          <w:szCs w:val="22"/>
        </w:rPr>
        <w:t xml:space="preserve">sign vary considerably, but they </w:t>
      </w:r>
      <w:r w:rsidRPr="00806023">
        <w:rPr>
          <w:color w:val="auto"/>
          <w:sz w:val="22"/>
          <w:szCs w:val="22"/>
        </w:rPr>
        <w:t>p</w:t>
      </w:r>
      <w:r w:rsidR="002C3B70" w:rsidRPr="00806023">
        <w:rPr>
          <w:color w:val="auto"/>
          <w:sz w:val="22"/>
          <w:szCs w:val="22"/>
        </w:rPr>
        <w:t>articipation in mutual services</w:t>
      </w:r>
      <w:r w:rsidR="008408D5" w:rsidRPr="00806023">
        <w:rPr>
          <w:color w:val="auto"/>
          <w:sz w:val="22"/>
          <w:szCs w:val="22"/>
        </w:rPr>
        <w:t>.</w:t>
      </w:r>
    </w:p>
    <w:p w:rsidR="007973BA" w:rsidRPr="00806023" w:rsidRDefault="007973BA">
      <w:pPr>
        <w:pStyle w:val="BodyTextIndent"/>
        <w:tabs>
          <w:tab w:val="left" w:pos="0"/>
        </w:tabs>
        <w:rPr>
          <w:b/>
          <w:bCs/>
          <w:color w:val="auto"/>
          <w:sz w:val="22"/>
          <w:szCs w:val="22"/>
        </w:rPr>
      </w:pPr>
    </w:p>
    <w:p w:rsidR="00F50D51" w:rsidRPr="00806023" w:rsidRDefault="00F50D51" w:rsidP="00F50D51">
      <w:pPr>
        <w:pStyle w:val="Heading1"/>
        <w:tabs>
          <w:tab w:val="left" w:pos="0"/>
        </w:tabs>
        <w:ind w:left="0"/>
        <w:rPr>
          <w:rFonts w:ascii="Times New Roman" w:hAnsi="Times New Roman" w:cs="Times New Roman"/>
        </w:rPr>
      </w:pPr>
      <w:r w:rsidRPr="00806023">
        <w:rPr>
          <w:rFonts w:ascii="Times New Roman" w:hAnsi="Times New Roman" w:cs="Times New Roman"/>
        </w:rPr>
        <w:t>EL Civics:  A Program that Integrates Civics Education into English Literacy</w:t>
      </w:r>
    </w:p>
    <w:p w:rsidR="00555C35" w:rsidRPr="00806023" w:rsidRDefault="00555C35" w:rsidP="00AE5691">
      <w:pPr>
        <w:pStyle w:val="BodyTextIndent"/>
        <w:numPr>
          <w:ilvl w:val="0"/>
          <w:numId w:val="1"/>
        </w:numPr>
        <w:tabs>
          <w:tab w:val="clear" w:pos="720"/>
          <w:tab w:val="left" w:pos="0"/>
          <w:tab w:val="left" w:pos="360"/>
        </w:tabs>
        <w:ind w:left="0" w:firstLine="0"/>
        <w:rPr>
          <w:b/>
          <w:bCs/>
          <w:color w:val="auto"/>
          <w:sz w:val="22"/>
          <w:szCs w:val="22"/>
        </w:rPr>
      </w:pPr>
      <w:r w:rsidRPr="00806023">
        <w:rPr>
          <w:b/>
          <w:bCs/>
          <w:color w:val="auto"/>
          <w:sz w:val="22"/>
          <w:szCs w:val="22"/>
        </w:rPr>
        <w:t>Describe successful activities and services supported with EL Civics funds, including the number of program receiving EL Civics grants and an estimate of the number of adult learners served.</w:t>
      </w:r>
    </w:p>
    <w:p w:rsidR="00C96C3B" w:rsidRPr="00806023" w:rsidRDefault="00D95451" w:rsidP="00D95451">
      <w:pPr>
        <w:tabs>
          <w:tab w:val="left" w:pos="0"/>
        </w:tabs>
        <w:jc w:val="both"/>
        <w:rPr>
          <w:sz w:val="22"/>
          <w:szCs w:val="22"/>
        </w:rPr>
      </w:pPr>
      <w:r w:rsidRPr="00806023">
        <w:rPr>
          <w:sz w:val="22"/>
          <w:szCs w:val="22"/>
        </w:rPr>
        <w:t xml:space="preserve">In </w:t>
      </w:r>
      <w:r w:rsidR="0054219B" w:rsidRPr="00806023">
        <w:rPr>
          <w:sz w:val="22"/>
          <w:szCs w:val="22"/>
        </w:rPr>
        <w:t>201</w:t>
      </w:r>
      <w:r w:rsidR="008F631D" w:rsidRPr="00806023">
        <w:rPr>
          <w:sz w:val="22"/>
          <w:szCs w:val="22"/>
        </w:rPr>
        <w:t>3</w:t>
      </w:r>
      <w:r w:rsidR="0054219B" w:rsidRPr="00806023">
        <w:rPr>
          <w:sz w:val="22"/>
          <w:szCs w:val="22"/>
        </w:rPr>
        <w:t>-201</w:t>
      </w:r>
      <w:r w:rsidR="008F631D" w:rsidRPr="00806023">
        <w:rPr>
          <w:sz w:val="22"/>
          <w:szCs w:val="22"/>
        </w:rPr>
        <w:t>4</w:t>
      </w:r>
      <w:r w:rsidR="002B6027" w:rsidRPr="00806023">
        <w:rPr>
          <w:sz w:val="22"/>
          <w:szCs w:val="22"/>
        </w:rPr>
        <w:t xml:space="preserve"> program year</w:t>
      </w:r>
      <w:r w:rsidRPr="00806023">
        <w:rPr>
          <w:sz w:val="22"/>
          <w:szCs w:val="22"/>
        </w:rPr>
        <w:t>,</w:t>
      </w:r>
      <w:r w:rsidR="00E918FD" w:rsidRPr="00806023">
        <w:rPr>
          <w:sz w:val="22"/>
          <w:szCs w:val="22"/>
        </w:rPr>
        <w:t xml:space="preserve"> 4</w:t>
      </w:r>
      <w:r w:rsidR="00EE03F3" w:rsidRPr="00806023">
        <w:rPr>
          <w:sz w:val="22"/>
          <w:szCs w:val="22"/>
        </w:rPr>
        <w:t>6</w:t>
      </w:r>
      <w:r w:rsidR="00F55663" w:rsidRPr="00806023">
        <w:rPr>
          <w:sz w:val="22"/>
          <w:szCs w:val="22"/>
        </w:rPr>
        <w:t xml:space="preserve"> local providers received </w:t>
      </w:r>
      <w:r w:rsidR="002B6027" w:rsidRPr="00806023">
        <w:rPr>
          <w:sz w:val="22"/>
          <w:szCs w:val="22"/>
        </w:rPr>
        <w:t xml:space="preserve">$1,033,860 </w:t>
      </w:r>
      <w:r w:rsidR="00F55663" w:rsidRPr="00806023">
        <w:rPr>
          <w:sz w:val="22"/>
          <w:szCs w:val="22"/>
        </w:rPr>
        <w:t xml:space="preserve">EL </w:t>
      </w:r>
      <w:r w:rsidR="002B6027" w:rsidRPr="00806023">
        <w:rPr>
          <w:sz w:val="22"/>
          <w:szCs w:val="22"/>
        </w:rPr>
        <w:t xml:space="preserve">Civics funds to serve </w:t>
      </w:r>
      <w:r w:rsidRPr="00806023">
        <w:rPr>
          <w:sz w:val="22"/>
          <w:szCs w:val="22"/>
        </w:rPr>
        <w:t>8</w:t>
      </w:r>
      <w:r w:rsidR="00ED6875" w:rsidRPr="00806023">
        <w:rPr>
          <w:sz w:val="22"/>
          <w:szCs w:val="22"/>
        </w:rPr>
        <w:t>,</w:t>
      </w:r>
      <w:r w:rsidR="00ED1CF5" w:rsidRPr="00806023">
        <w:rPr>
          <w:sz w:val="22"/>
          <w:szCs w:val="22"/>
        </w:rPr>
        <w:t>770</w:t>
      </w:r>
      <w:r w:rsidR="008E20A7" w:rsidRPr="00806023">
        <w:rPr>
          <w:sz w:val="22"/>
          <w:szCs w:val="22"/>
        </w:rPr>
        <w:t xml:space="preserve"> </w:t>
      </w:r>
      <w:r w:rsidR="002B6027" w:rsidRPr="00806023">
        <w:rPr>
          <w:sz w:val="22"/>
          <w:szCs w:val="22"/>
        </w:rPr>
        <w:t>(</w:t>
      </w:r>
      <w:r w:rsidR="008E20A7" w:rsidRPr="00806023">
        <w:rPr>
          <w:sz w:val="22"/>
          <w:szCs w:val="22"/>
        </w:rPr>
        <w:t>unduplicated</w:t>
      </w:r>
      <w:r w:rsidR="002B6027" w:rsidRPr="00806023">
        <w:rPr>
          <w:sz w:val="22"/>
          <w:szCs w:val="22"/>
        </w:rPr>
        <w:t>)</w:t>
      </w:r>
      <w:r w:rsidRPr="00806023">
        <w:rPr>
          <w:sz w:val="22"/>
          <w:szCs w:val="22"/>
        </w:rPr>
        <w:t xml:space="preserve"> participants including inmates in both state and community correctional facilities. </w:t>
      </w:r>
      <w:r w:rsidR="002B6027" w:rsidRPr="00806023">
        <w:rPr>
          <w:sz w:val="22"/>
          <w:szCs w:val="22"/>
        </w:rPr>
        <w:t>A total of 10,248</w:t>
      </w:r>
      <w:r w:rsidR="00104625" w:rsidRPr="00806023">
        <w:rPr>
          <w:sz w:val="22"/>
          <w:szCs w:val="22"/>
        </w:rPr>
        <w:t xml:space="preserve"> </w:t>
      </w:r>
      <w:r w:rsidR="00C443D8" w:rsidRPr="00806023">
        <w:rPr>
          <w:sz w:val="22"/>
          <w:szCs w:val="22"/>
        </w:rPr>
        <w:t xml:space="preserve">(duplicated) </w:t>
      </w:r>
      <w:r w:rsidR="002B6027" w:rsidRPr="00806023">
        <w:rPr>
          <w:sz w:val="22"/>
          <w:szCs w:val="22"/>
        </w:rPr>
        <w:t>enroll</w:t>
      </w:r>
      <w:r w:rsidR="00104625" w:rsidRPr="00806023">
        <w:rPr>
          <w:sz w:val="22"/>
          <w:szCs w:val="22"/>
        </w:rPr>
        <w:t xml:space="preserve">ed in ESL classes and </w:t>
      </w:r>
      <w:r w:rsidR="002B6027" w:rsidRPr="00806023">
        <w:rPr>
          <w:sz w:val="22"/>
          <w:szCs w:val="22"/>
        </w:rPr>
        <w:t>across</w:t>
      </w:r>
      <w:r w:rsidRPr="00806023">
        <w:rPr>
          <w:sz w:val="22"/>
          <w:szCs w:val="22"/>
        </w:rPr>
        <w:t xml:space="preserve"> local adult education programs, few literacy </w:t>
      </w:r>
      <w:r w:rsidR="002B6027" w:rsidRPr="00806023">
        <w:rPr>
          <w:sz w:val="22"/>
          <w:szCs w:val="22"/>
        </w:rPr>
        <w:t>council</w:t>
      </w:r>
      <w:r w:rsidRPr="00806023">
        <w:rPr>
          <w:sz w:val="22"/>
          <w:szCs w:val="22"/>
        </w:rPr>
        <w:t>s, community-based organizations and state correctio</w:t>
      </w:r>
      <w:r w:rsidR="007A6B89" w:rsidRPr="00806023">
        <w:rPr>
          <w:sz w:val="22"/>
          <w:szCs w:val="22"/>
        </w:rPr>
        <w:t xml:space="preserve">nal facilities. The state met </w:t>
      </w:r>
      <w:r w:rsidR="009B7527" w:rsidRPr="00806023">
        <w:rPr>
          <w:sz w:val="22"/>
          <w:szCs w:val="22"/>
        </w:rPr>
        <w:t>three</w:t>
      </w:r>
      <w:r w:rsidR="007A6B89" w:rsidRPr="00806023">
        <w:rPr>
          <w:sz w:val="22"/>
          <w:szCs w:val="22"/>
        </w:rPr>
        <w:t xml:space="preserve"> of the</w:t>
      </w:r>
      <w:r w:rsidRPr="00806023">
        <w:rPr>
          <w:sz w:val="22"/>
          <w:szCs w:val="22"/>
        </w:rPr>
        <w:t xml:space="preserve"> </w:t>
      </w:r>
      <w:r w:rsidR="00ED6875" w:rsidRPr="00806023">
        <w:rPr>
          <w:sz w:val="22"/>
          <w:szCs w:val="22"/>
        </w:rPr>
        <w:t>six</w:t>
      </w:r>
      <w:r w:rsidRPr="00806023">
        <w:rPr>
          <w:sz w:val="22"/>
          <w:szCs w:val="22"/>
        </w:rPr>
        <w:t xml:space="preserve"> negotiated EFL (performance measures</w:t>
      </w:r>
      <w:r w:rsidR="00ED6875" w:rsidRPr="00806023">
        <w:rPr>
          <w:sz w:val="22"/>
          <w:szCs w:val="22"/>
        </w:rPr>
        <w:t>) in</w:t>
      </w:r>
      <w:r w:rsidRPr="00806023">
        <w:rPr>
          <w:sz w:val="22"/>
          <w:szCs w:val="22"/>
        </w:rPr>
        <w:t xml:space="preserve"> ESL categories. Michigan </w:t>
      </w:r>
      <w:r w:rsidR="00DD0D14" w:rsidRPr="00806023">
        <w:rPr>
          <w:sz w:val="22"/>
          <w:szCs w:val="22"/>
        </w:rPr>
        <w:t xml:space="preserve">still contends that ESL programs’ performance benchmarks are very </w:t>
      </w:r>
      <w:r w:rsidRPr="00806023">
        <w:rPr>
          <w:sz w:val="22"/>
          <w:szCs w:val="22"/>
        </w:rPr>
        <w:t>hig</w:t>
      </w:r>
      <w:r w:rsidR="00DD0D14" w:rsidRPr="00806023">
        <w:rPr>
          <w:sz w:val="22"/>
          <w:szCs w:val="22"/>
        </w:rPr>
        <w:t>h (4th</w:t>
      </w:r>
      <w:r w:rsidRPr="00806023">
        <w:rPr>
          <w:sz w:val="22"/>
          <w:szCs w:val="22"/>
        </w:rPr>
        <w:t xml:space="preserve"> quartile</w:t>
      </w:r>
      <w:r w:rsidR="00DD0D14" w:rsidRPr="00806023">
        <w:rPr>
          <w:sz w:val="22"/>
          <w:szCs w:val="22"/>
        </w:rPr>
        <w:t xml:space="preserve">) and makes it </w:t>
      </w:r>
      <w:r w:rsidR="00C96C3B" w:rsidRPr="00806023">
        <w:rPr>
          <w:sz w:val="22"/>
          <w:szCs w:val="22"/>
        </w:rPr>
        <w:t xml:space="preserve">difficult </w:t>
      </w:r>
      <w:r w:rsidR="00DD0D14" w:rsidRPr="00806023">
        <w:rPr>
          <w:sz w:val="22"/>
          <w:szCs w:val="22"/>
        </w:rPr>
        <w:t xml:space="preserve">to meet </w:t>
      </w:r>
      <w:r w:rsidR="009B7527" w:rsidRPr="00806023">
        <w:rPr>
          <w:sz w:val="22"/>
          <w:szCs w:val="22"/>
        </w:rPr>
        <w:t xml:space="preserve">all </w:t>
      </w:r>
      <w:r w:rsidR="00DD0D14" w:rsidRPr="00806023">
        <w:rPr>
          <w:sz w:val="22"/>
          <w:szCs w:val="22"/>
        </w:rPr>
        <w:t xml:space="preserve">the target-levels. </w:t>
      </w:r>
    </w:p>
    <w:p w:rsidR="00C96C3B" w:rsidRPr="00806023" w:rsidRDefault="00C96C3B" w:rsidP="00D95451">
      <w:pPr>
        <w:tabs>
          <w:tab w:val="left" w:pos="0"/>
        </w:tabs>
        <w:jc w:val="both"/>
        <w:rPr>
          <w:sz w:val="22"/>
          <w:szCs w:val="22"/>
        </w:rPr>
      </w:pPr>
    </w:p>
    <w:p w:rsidR="00555C35" w:rsidRDefault="00D95451" w:rsidP="00D95451">
      <w:pPr>
        <w:tabs>
          <w:tab w:val="left" w:pos="0"/>
        </w:tabs>
        <w:jc w:val="both"/>
        <w:rPr>
          <w:sz w:val="22"/>
          <w:szCs w:val="22"/>
        </w:rPr>
      </w:pPr>
      <w:r w:rsidRPr="00806023">
        <w:rPr>
          <w:sz w:val="22"/>
          <w:szCs w:val="22"/>
        </w:rPr>
        <w:t xml:space="preserve">Michigan </w:t>
      </w:r>
      <w:r w:rsidR="00DD0D14" w:rsidRPr="00806023">
        <w:rPr>
          <w:sz w:val="22"/>
          <w:szCs w:val="22"/>
        </w:rPr>
        <w:t>will continue</w:t>
      </w:r>
      <w:r w:rsidRPr="00806023">
        <w:rPr>
          <w:sz w:val="22"/>
          <w:szCs w:val="22"/>
        </w:rPr>
        <w:t xml:space="preserve"> to provide professional development opportunities to ESL teachers</w:t>
      </w:r>
      <w:r w:rsidR="00DD0D14" w:rsidRPr="00806023">
        <w:rPr>
          <w:sz w:val="22"/>
          <w:szCs w:val="22"/>
        </w:rPr>
        <w:t xml:space="preserve"> and explore other effective strategies to improve performance</w:t>
      </w:r>
      <w:r w:rsidRPr="00806023">
        <w:rPr>
          <w:sz w:val="22"/>
          <w:szCs w:val="22"/>
        </w:rPr>
        <w:t>. The ESL advisory group has been running two workshops for ESL teachers annually – spring and fall</w:t>
      </w:r>
      <w:r w:rsidR="003E538C" w:rsidRPr="00806023">
        <w:rPr>
          <w:sz w:val="22"/>
          <w:szCs w:val="22"/>
        </w:rPr>
        <w:t xml:space="preserve"> (the workshops were mentioned above under professional development)</w:t>
      </w:r>
      <w:r w:rsidRPr="00806023">
        <w:rPr>
          <w:sz w:val="22"/>
          <w:szCs w:val="22"/>
        </w:rPr>
        <w:t xml:space="preserve">. </w:t>
      </w:r>
      <w:r w:rsidR="008D7BC9" w:rsidRPr="00806023">
        <w:rPr>
          <w:sz w:val="22"/>
          <w:szCs w:val="22"/>
        </w:rPr>
        <w:t xml:space="preserve">For example, a team of three members of the advisory group attended the TESOL conference, two attended the MiTESOL and two participated in the Naturalization workshop organized by US Department of Homeland Security. </w:t>
      </w:r>
      <w:r w:rsidRPr="00806023">
        <w:rPr>
          <w:sz w:val="22"/>
          <w:szCs w:val="22"/>
        </w:rPr>
        <w:t xml:space="preserve">The workshops have offered brain- based teaching strategies, Toolkits for Persistence and Retention, </w:t>
      </w:r>
      <w:r w:rsidR="00DD0D14" w:rsidRPr="00806023">
        <w:rPr>
          <w:sz w:val="22"/>
          <w:szCs w:val="22"/>
        </w:rPr>
        <w:t xml:space="preserve">citizenship </w:t>
      </w:r>
      <w:r w:rsidRPr="00806023">
        <w:rPr>
          <w:sz w:val="22"/>
          <w:szCs w:val="22"/>
        </w:rPr>
        <w:t>and six other ESL specific sessions during the conference for their ESL adult le</w:t>
      </w:r>
      <w:r w:rsidR="005042E9" w:rsidRPr="00806023">
        <w:rPr>
          <w:sz w:val="22"/>
          <w:szCs w:val="22"/>
        </w:rPr>
        <w:t>arners.</w:t>
      </w:r>
    </w:p>
    <w:p w:rsidR="00344E8B" w:rsidRDefault="00344E8B" w:rsidP="00D95451">
      <w:pPr>
        <w:tabs>
          <w:tab w:val="left" w:pos="0"/>
        </w:tabs>
        <w:jc w:val="both"/>
        <w:rPr>
          <w:sz w:val="22"/>
          <w:szCs w:val="22"/>
        </w:rPr>
      </w:pPr>
    </w:p>
    <w:p w:rsidR="00E24947" w:rsidRPr="00E24947" w:rsidRDefault="00E24947" w:rsidP="00344E8B">
      <w:pPr>
        <w:pStyle w:val="ListParagraph"/>
        <w:tabs>
          <w:tab w:val="left" w:pos="0"/>
        </w:tabs>
        <w:ind w:left="0"/>
        <w:jc w:val="both"/>
        <w:rPr>
          <w:rFonts w:ascii="Times New Roman" w:hAnsi="Times New Roman" w:cs="Times New Roman"/>
          <w:b/>
          <w:sz w:val="22"/>
          <w:szCs w:val="22"/>
          <w:u w:val="single"/>
        </w:rPr>
      </w:pPr>
      <w:r w:rsidRPr="00E24947">
        <w:rPr>
          <w:rFonts w:ascii="Times New Roman" w:hAnsi="Times New Roman" w:cs="Times New Roman"/>
          <w:b/>
          <w:sz w:val="22"/>
          <w:szCs w:val="22"/>
          <w:u w:val="single"/>
        </w:rPr>
        <w:t>Secondary School Credentials and Equivalencies</w:t>
      </w:r>
    </w:p>
    <w:p w:rsidR="007C5EB6" w:rsidRPr="00344E8B" w:rsidRDefault="00344E8B" w:rsidP="00344E8B">
      <w:pPr>
        <w:pStyle w:val="ListParagraph"/>
        <w:tabs>
          <w:tab w:val="left" w:pos="0"/>
        </w:tabs>
        <w:ind w:left="0"/>
        <w:jc w:val="both"/>
        <w:rPr>
          <w:rFonts w:ascii="Times New Roman" w:hAnsi="Times New Roman" w:cs="Times New Roman"/>
          <w:b/>
          <w:sz w:val="22"/>
          <w:szCs w:val="22"/>
        </w:rPr>
      </w:pPr>
      <w:r w:rsidRPr="00344E8B">
        <w:rPr>
          <w:rFonts w:ascii="Times New Roman" w:hAnsi="Times New Roman" w:cs="Times New Roman"/>
          <w:b/>
          <w:sz w:val="22"/>
          <w:szCs w:val="22"/>
        </w:rPr>
        <w:t xml:space="preserve">5. </w:t>
      </w:r>
      <w:r w:rsidR="007C5EB6" w:rsidRPr="00344E8B">
        <w:rPr>
          <w:rFonts w:ascii="Times New Roman" w:hAnsi="Times New Roman" w:cs="Times New Roman"/>
          <w:b/>
          <w:sz w:val="22"/>
          <w:szCs w:val="22"/>
        </w:rPr>
        <w:t>Describe your state’s policies related to how it awards a secondary school diploma or its equivalent to individuals who are no longer enrolled or required to be enrolled in secondary school under state law. Include state recognized tests that are used to award the diploma as well as other criteria that may be recognized, such as competency-based or credit-based methods.</w:t>
      </w:r>
    </w:p>
    <w:p w:rsidR="00544481" w:rsidRDefault="00544481" w:rsidP="00544481">
      <w:pPr>
        <w:rPr>
          <w:sz w:val="22"/>
          <w:szCs w:val="22"/>
        </w:rPr>
      </w:pPr>
      <w:r>
        <w:rPr>
          <w:sz w:val="22"/>
          <w:szCs w:val="22"/>
        </w:rPr>
        <w:t>In Michigan, local education agencies are autonomous and locally controlled and they’re by constitution authorized to issue a high school diploma. All high schools are under the supervision of the state department of education (MDE) and the state superintendent is responsible to the day-to-day administration of programs.</w:t>
      </w:r>
      <w:r w:rsidRPr="00544481">
        <w:rPr>
          <w:b/>
          <w:sz w:val="22"/>
          <w:szCs w:val="22"/>
        </w:rPr>
        <w:t xml:space="preserve"> </w:t>
      </w:r>
      <w:r>
        <w:rPr>
          <w:sz w:val="22"/>
          <w:szCs w:val="22"/>
        </w:rPr>
        <w:t>However, Michigan recognizes the general education</w:t>
      </w:r>
      <w:r w:rsidR="003D3EBA">
        <w:rPr>
          <w:sz w:val="22"/>
          <w:szCs w:val="22"/>
        </w:rPr>
        <w:t>al development (GED) as a high school equivalent.</w:t>
      </w:r>
      <w:r>
        <w:rPr>
          <w:sz w:val="22"/>
          <w:szCs w:val="22"/>
        </w:rPr>
        <w:t xml:space="preserve"> </w:t>
      </w:r>
    </w:p>
    <w:p w:rsidR="00544481" w:rsidRPr="00806023" w:rsidRDefault="00544481" w:rsidP="00544481">
      <w:pPr>
        <w:rPr>
          <w:b/>
          <w:sz w:val="22"/>
          <w:szCs w:val="22"/>
        </w:rPr>
      </w:pPr>
      <w:r w:rsidRPr="00806023">
        <w:rPr>
          <w:b/>
          <w:sz w:val="22"/>
          <w:szCs w:val="22"/>
        </w:rPr>
        <w:t xml:space="preserve">GED® Testing and Test Delivery Technology Upgrade </w:t>
      </w:r>
    </w:p>
    <w:p w:rsidR="00544481" w:rsidRPr="00806023" w:rsidRDefault="00544481" w:rsidP="00544481">
      <w:pPr>
        <w:rPr>
          <w:sz w:val="22"/>
          <w:szCs w:val="22"/>
        </w:rPr>
      </w:pPr>
      <w:r>
        <w:rPr>
          <w:sz w:val="22"/>
          <w:szCs w:val="22"/>
        </w:rPr>
        <w:t xml:space="preserve">Other performance related information: </w:t>
      </w:r>
      <w:r w:rsidRPr="00806023">
        <w:rPr>
          <w:sz w:val="22"/>
          <w:szCs w:val="22"/>
        </w:rPr>
        <w:t xml:space="preserve">Each year in Michigan, adults and youth who do not possess a high school diploma take the GED® exam. The GED® is a second chance for individuals to obtain a high school equivalency credential, which is critically needed to pursue additional career and college opportunities.  In FY14 Michigan improved its GED® passing rate by nearly 6 percentage points.  Michigan’s pass rate of 75.7 is very competitive compared to states of similar size: </w:t>
      </w:r>
    </w:p>
    <w:p w:rsidR="00544481" w:rsidRPr="00806023" w:rsidRDefault="00544481" w:rsidP="00544481">
      <w:pPr>
        <w:pStyle w:val="ListParagraph"/>
        <w:numPr>
          <w:ilvl w:val="0"/>
          <w:numId w:val="46"/>
        </w:numPr>
        <w:spacing w:after="0" w:line="240" w:lineRule="auto"/>
        <w:rPr>
          <w:rFonts w:ascii="Times New Roman" w:hAnsi="Times New Roman" w:cs="Times New Roman"/>
          <w:sz w:val="22"/>
          <w:szCs w:val="22"/>
        </w:rPr>
      </w:pPr>
      <w:r w:rsidRPr="00806023">
        <w:rPr>
          <w:rFonts w:ascii="Times New Roman" w:hAnsi="Times New Roman" w:cs="Times New Roman"/>
          <w:sz w:val="22"/>
          <w:szCs w:val="22"/>
        </w:rPr>
        <w:t xml:space="preserve">Over 22,000 individuals tested in the Michigan GED® testing program  </w:t>
      </w:r>
    </w:p>
    <w:p w:rsidR="00544481" w:rsidRPr="00806023" w:rsidRDefault="00544481" w:rsidP="00544481">
      <w:pPr>
        <w:pStyle w:val="ListParagraph"/>
        <w:numPr>
          <w:ilvl w:val="0"/>
          <w:numId w:val="46"/>
        </w:numPr>
        <w:spacing w:after="0" w:line="240" w:lineRule="auto"/>
        <w:rPr>
          <w:rFonts w:ascii="Times New Roman" w:hAnsi="Times New Roman" w:cs="Times New Roman"/>
          <w:sz w:val="22"/>
          <w:szCs w:val="22"/>
        </w:rPr>
      </w:pPr>
      <w:r w:rsidRPr="00806023">
        <w:rPr>
          <w:rFonts w:ascii="Times New Roman" w:hAnsi="Times New Roman" w:cs="Times New Roman"/>
          <w:sz w:val="22"/>
          <w:szCs w:val="22"/>
        </w:rPr>
        <w:t>Over 18,000 people completed all of the required exams</w:t>
      </w:r>
    </w:p>
    <w:p w:rsidR="00544481" w:rsidRPr="00806023" w:rsidRDefault="00544481" w:rsidP="00544481">
      <w:pPr>
        <w:pStyle w:val="ListParagraph"/>
        <w:numPr>
          <w:ilvl w:val="0"/>
          <w:numId w:val="46"/>
        </w:numPr>
        <w:spacing w:after="0" w:line="240" w:lineRule="auto"/>
        <w:rPr>
          <w:rFonts w:ascii="Times New Roman" w:hAnsi="Times New Roman" w:cs="Times New Roman"/>
          <w:sz w:val="22"/>
          <w:szCs w:val="22"/>
        </w:rPr>
      </w:pPr>
      <w:r w:rsidRPr="00806023">
        <w:rPr>
          <w:rFonts w:ascii="Times New Roman" w:hAnsi="Times New Roman" w:cs="Times New Roman"/>
          <w:sz w:val="22"/>
          <w:szCs w:val="22"/>
        </w:rPr>
        <w:t xml:space="preserve">Over 13,000 passed and earned the GED certificates  </w:t>
      </w:r>
    </w:p>
    <w:p w:rsidR="00544481" w:rsidRPr="00806023" w:rsidRDefault="00544481" w:rsidP="00544481">
      <w:pPr>
        <w:rPr>
          <w:sz w:val="22"/>
          <w:szCs w:val="22"/>
        </w:rPr>
      </w:pPr>
    </w:p>
    <w:p w:rsidR="00544481" w:rsidRPr="00806023" w:rsidRDefault="00544481" w:rsidP="00544481">
      <w:pPr>
        <w:rPr>
          <w:sz w:val="22"/>
          <w:szCs w:val="22"/>
        </w:rPr>
      </w:pPr>
      <w:r w:rsidRPr="00806023">
        <w:rPr>
          <w:sz w:val="22"/>
          <w:szCs w:val="22"/>
        </w:rPr>
        <w:t xml:space="preserve">Michigan also successfully implemented GED® Computer-Based-Testing (CBT) with over 90 CBT centers opening statewide.  The Detroit Public Library implemented CBT, making it one of only a few public libraries in the country offering the GED® exam via computer.  </w:t>
      </w:r>
    </w:p>
    <w:p w:rsidR="00544481" w:rsidRPr="00806023" w:rsidRDefault="00544481" w:rsidP="00544481">
      <w:pPr>
        <w:jc w:val="both"/>
        <w:rPr>
          <w:bCs/>
          <w:sz w:val="22"/>
          <w:szCs w:val="22"/>
          <w:u w:val="single"/>
        </w:rPr>
      </w:pPr>
    </w:p>
    <w:p w:rsidR="00544481" w:rsidRPr="00806023" w:rsidRDefault="00544481" w:rsidP="00544481">
      <w:pPr>
        <w:rPr>
          <w:b/>
          <w:bCs/>
          <w:sz w:val="22"/>
          <w:szCs w:val="22"/>
        </w:rPr>
      </w:pPr>
      <w:r w:rsidRPr="00806023">
        <w:rPr>
          <w:b/>
          <w:bCs/>
          <w:sz w:val="22"/>
          <w:szCs w:val="22"/>
        </w:rPr>
        <w:t>National Career Readiness Certificate (NCRC)</w:t>
      </w:r>
    </w:p>
    <w:p w:rsidR="00B7378D" w:rsidRDefault="00E35A03" w:rsidP="00B7378D">
      <w:pPr>
        <w:rPr>
          <w:sz w:val="22"/>
          <w:szCs w:val="22"/>
        </w:rPr>
      </w:pPr>
      <w:r>
        <w:rPr>
          <w:sz w:val="22"/>
          <w:szCs w:val="22"/>
        </w:rPr>
        <w:lastRenderedPageBreak/>
        <w:t xml:space="preserve">Another credential Michigan has recognized is the National Career Readiness Certificate. </w:t>
      </w:r>
      <w:r w:rsidR="00544481" w:rsidRPr="00806023">
        <w:rPr>
          <w:sz w:val="22"/>
          <w:szCs w:val="22"/>
        </w:rPr>
        <w:t>The Workforce Development Agency (WDA</w:t>
      </w:r>
      <w:r w:rsidR="00544481">
        <w:rPr>
          <w:sz w:val="22"/>
          <w:szCs w:val="22"/>
        </w:rPr>
        <w:t xml:space="preserve">) </w:t>
      </w:r>
      <w:r w:rsidR="006C7A31">
        <w:rPr>
          <w:sz w:val="22"/>
          <w:szCs w:val="22"/>
        </w:rPr>
        <w:t xml:space="preserve">has </w:t>
      </w:r>
      <w:r w:rsidR="00544481">
        <w:rPr>
          <w:sz w:val="22"/>
          <w:szCs w:val="22"/>
        </w:rPr>
        <w:t xml:space="preserve">continued to address </w:t>
      </w:r>
      <w:r w:rsidR="006C7A31">
        <w:rPr>
          <w:sz w:val="22"/>
          <w:szCs w:val="22"/>
        </w:rPr>
        <w:t xml:space="preserve">the </w:t>
      </w:r>
      <w:r w:rsidR="00544481" w:rsidRPr="00806023">
        <w:rPr>
          <w:sz w:val="22"/>
          <w:szCs w:val="22"/>
        </w:rPr>
        <w:t xml:space="preserve">work readiness job skills of adults using the Nation Career Readiness Certificate (NCRC). In the 2014 program year, through Michigan’s federally funded programs (Michigan Works!®),  6,810 individuals earned the NCRC.  Additionally, 165 individuals received </w:t>
      </w:r>
      <w:r w:rsidR="00544481" w:rsidRPr="00806023">
        <w:rPr>
          <w:i/>
          <w:iCs/>
          <w:sz w:val="22"/>
          <w:szCs w:val="22"/>
        </w:rPr>
        <w:t>Employability Skills</w:t>
      </w:r>
      <w:r w:rsidR="00544481" w:rsidRPr="00806023">
        <w:rPr>
          <w:sz w:val="22"/>
          <w:szCs w:val="22"/>
        </w:rPr>
        <w:t xml:space="preserve"> training, which focuses on critical workplace interpersonal skills such as: </w:t>
      </w:r>
      <w:r w:rsidR="00544481" w:rsidRPr="00806023">
        <w:rPr>
          <w:i/>
          <w:iCs/>
          <w:sz w:val="22"/>
          <w:szCs w:val="22"/>
        </w:rPr>
        <w:t>Team Building, Conflict Resolution, and Communications</w:t>
      </w:r>
      <w:r w:rsidR="00544481" w:rsidRPr="00806023">
        <w:rPr>
          <w:sz w:val="22"/>
          <w:szCs w:val="22"/>
        </w:rPr>
        <w:t xml:space="preserve">.        </w:t>
      </w:r>
    </w:p>
    <w:p w:rsidR="00B7378D" w:rsidRDefault="00B7378D" w:rsidP="00B7378D">
      <w:pPr>
        <w:rPr>
          <w:sz w:val="22"/>
          <w:szCs w:val="22"/>
        </w:rPr>
      </w:pPr>
    </w:p>
    <w:p w:rsidR="00B7378D" w:rsidRPr="00897771" w:rsidRDefault="00B7378D" w:rsidP="00B7378D">
      <w:pPr>
        <w:rPr>
          <w:b/>
          <w:sz w:val="22"/>
          <w:szCs w:val="22"/>
          <w:u w:val="single"/>
        </w:rPr>
      </w:pPr>
      <w:r w:rsidRPr="00897771">
        <w:rPr>
          <w:b/>
          <w:sz w:val="22"/>
          <w:szCs w:val="22"/>
          <w:u w:val="single"/>
        </w:rPr>
        <w:t>Adult Education Standards</w:t>
      </w:r>
    </w:p>
    <w:p w:rsidR="00B7378D" w:rsidRPr="00897771" w:rsidRDefault="00B7378D" w:rsidP="00B7378D">
      <w:pPr>
        <w:rPr>
          <w:b/>
          <w:sz w:val="22"/>
          <w:szCs w:val="22"/>
        </w:rPr>
      </w:pPr>
      <w:r w:rsidRPr="00897771">
        <w:rPr>
          <w:b/>
          <w:sz w:val="22"/>
          <w:szCs w:val="22"/>
        </w:rPr>
        <w:t>Describe your state’s progress toward implementation of adult education college and career readiness (CCR) standards, including whether your state has formally adopted a validated set of CCR standards</w:t>
      </w:r>
      <w:r w:rsidR="00897771" w:rsidRPr="00897771">
        <w:rPr>
          <w:b/>
          <w:sz w:val="22"/>
          <w:szCs w:val="22"/>
        </w:rPr>
        <w:t>. Describe how the state has determined the standards to be representative of CCR and the timeline by which such standards will be or have been implemented by all local programs. Des</w:t>
      </w:r>
      <w:r w:rsidR="008625F2">
        <w:rPr>
          <w:b/>
          <w:sz w:val="22"/>
          <w:szCs w:val="22"/>
        </w:rPr>
        <w:t>cribe how th</w:t>
      </w:r>
      <w:r w:rsidR="00897771" w:rsidRPr="00897771">
        <w:rPr>
          <w:b/>
          <w:sz w:val="22"/>
          <w:szCs w:val="22"/>
        </w:rPr>
        <w:t>is</w:t>
      </w:r>
      <w:r w:rsidR="008625F2">
        <w:rPr>
          <w:b/>
          <w:sz w:val="22"/>
          <w:szCs w:val="22"/>
        </w:rPr>
        <w:t xml:space="preserve"> is</w:t>
      </w:r>
      <w:r w:rsidR="00897771" w:rsidRPr="00897771">
        <w:rPr>
          <w:b/>
          <w:sz w:val="22"/>
          <w:szCs w:val="22"/>
        </w:rPr>
        <w:t xml:space="preserve"> supporting the use of standards by local programs and state leadership funds that are being used to support implementation.</w:t>
      </w:r>
    </w:p>
    <w:p w:rsidR="00897771" w:rsidRPr="00897771" w:rsidRDefault="00897771" w:rsidP="00B7378D">
      <w:pPr>
        <w:rPr>
          <w:sz w:val="22"/>
          <w:szCs w:val="22"/>
        </w:rPr>
      </w:pPr>
    </w:p>
    <w:p w:rsidR="00897771" w:rsidRPr="00897771" w:rsidRDefault="00897771" w:rsidP="00897771">
      <w:pPr>
        <w:rPr>
          <w:sz w:val="22"/>
          <w:szCs w:val="22"/>
        </w:rPr>
      </w:pPr>
      <w:r w:rsidRPr="00897771">
        <w:rPr>
          <w:sz w:val="22"/>
          <w:szCs w:val="22"/>
        </w:rPr>
        <w:t>Michigan has formally adopted OCTAE’s College and Career Readiness Standards</w:t>
      </w:r>
      <w:r w:rsidR="008625F2">
        <w:rPr>
          <w:sz w:val="22"/>
          <w:szCs w:val="22"/>
        </w:rPr>
        <w:t xml:space="preserve"> (CCRS)</w:t>
      </w:r>
      <w:r w:rsidRPr="00897771">
        <w:rPr>
          <w:sz w:val="22"/>
          <w:szCs w:val="22"/>
        </w:rPr>
        <w:t xml:space="preserve">.  This determination was made after a review of our previous content standards by OCTAE consultants at the June 1014 CCRS Training held in Washington, DC. Michigan has </w:t>
      </w:r>
      <w:r w:rsidR="008625F2">
        <w:rPr>
          <w:sz w:val="22"/>
          <w:szCs w:val="22"/>
        </w:rPr>
        <w:t xml:space="preserve">aligned the CCRS with the Common Core Standards. Michigan has </w:t>
      </w:r>
      <w:r w:rsidRPr="00897771">
        <w:rPr>
          <w:sz w:val="22"/>
          <w:szCs w:val="22"/>
        </w:rPr>
        <w:t xml:space="preserve">been offering regional training opportunities to locals programs to align </w:t>
      </w:r>
      <w:r w:rsidR="0050198C">
        <w:rPr>
          <w:sz w:val="22"/>
          <w:szCs w:val="22"/>
        </w:rPr>
        <w:t xml:space="preserve">their curriculums (or curricula) </w:t>
      </w:r>
      <w:r w:rsidRPr="00897771">
        <w:rPr>
          <w:sz w:val="22"/>
          <w:szCs w:val="22"/>
        </w:rPr>
        <w:t xml:space="preserve">to CCRS for the past 3 years, first </w:t>
      </w:r>
      <w:r w:rsidR="0050198C">
        <w:rPr>
          <w:sz w:val="22"/>
          <w:szCs w:val="22"/>
        </w:rPr>
        <w:t>with</w:t>
      </w:r>
      <w:r w:rsidRPr="00897771">
        <w:rPr>
          <w:sz w:val="22"/>
          <w:szCs w:val="22"/>
        </w:rPr>
        <w:t xml:space="preserve"> the GED </w:t>
      </w:r>
      <w:r w:rsidR="0050198C">
        <w:rPr>
          <w:sz w:val="22"/>
          <w:szCs w:val="22"/>
        </w:rPr>
        <w:t xml:space="preserve">content standards </w:t>
      </w:r>
      <w:r w:rsidRPr="00897771">
        <w:rPr>
          <w:sz w:val="22"/>
          <w:szCs w:val="22"/>
        </w:rPr>
        <w:t xml:space="preserve">and currently at all levels.  </w:t>
      </w:r>
      <w:r w:rsidR="004A16C2">
        <w:rPr>
          <w:sz w:val="22"/>
          <w:szCs w:val="22"/>
        </w:rPr>
        <w:t xml:space="preserve">Few local programs have started using the CCRS, </w:t>
      </w:r>
      <w:r w:rsidR="000D5DBB">
        <w:rPr>
          <w:sz w:val="22"/>
          <w:szCs w:val="22"/>
        </w:rPr>
        <w:t xml:space="preserve">and </w:t>
      </w:r>
      <w:r w:rsidR="000A3F10">
        <w:rPr>
          <w:sz w:val="22"/>
          <w:szCs w:val="22"/>
        </w:rPr>
        <w:t>hop</w:t>
      </w:r>
      <w:r w:rsidR="000D5DBB">
        <w:rPr>
          <w:sz w:val="22"/>
          <w:szCs w:val="22"/>
        </w:rPr>
        <w:t>efully it will be</w:t>
      </w:r>
      <w:r w:rsidR="000A3F10">
        <w:rPr>
          <w:sz w:val="22"/>
          <w:szCs w:val="22"/>
        </w:rPr>
        <w:t xml:space="preserve"> fully implement</w:t>
      </w:r>
      <w:r w:rsidR="000D5DBB">
        <w:rPr>
          <w:sz w:val="22"/>
          <w:szCs w:val="22"/>
        </w:rPr>
        <w:t>ed in</w:t>
      </w:r>
      <w:r w:rsidR="000A3F10">
        <w:rPr>
          <w:sz w:val="22"/>
          <w:szCs w:val="22"/>
        </w:rPr>
        <w:t xml:space="preserve"> 2016-2017</w:t>
      </w:r>
      <w:r w:rsidR="004A16C2">
        <w:rPr>
          <w:sz w:val="22"/>
          <w:szCs w:val="22"/>
        </w:rPr>
        <w:t xml:space="preserve"> by all local programs</w:t>
      </w:r>
      <w:r w:rsidR="000A3F10">
        <w:rPr>
          <w:sz w:val="22"/>
          <w:szCs w:val="22"/>
        </w:rPr>
        <w:t xml:space="preserve">. </w:t>
      </w:r>
      <w:r w:rsidRPr="00897771">
        <w:rPr>
          <w:sz w:val="22"/>
          <w:szCs w:val="22"/>
        </w:rPr>
        <w:t xml:space="preserve">We </w:t>
      </w:r>
      <w:r w:rsidR="003469C0">
        <w:rPr>
          <w:sz w:val="22"/>
          <w:szCs w:val="22"/>
        </w:rPr>
        <w:t xml:space="preserve">have </w:t>
      </w:r>
      <w:bookmarkStart w:id="1" w:name="_GoBack"/>
      <w:bookmarkEnd w:id="1"/>
      <w:r w:rsidRPr="00897771">
        <w:rPr>
          <w:sz w:val="22"/>
          <w:szCs w:val="22"/>
        </w:rPr>
        <w:t xml:space="preserve">held multiple sessions on </w:t>
      </w:r>
      <w:r w:rsidR="004B3FE6">
        <w:rPr>
          <w:sz w:val="22"/>
          <w:szCs w:val="22"/>
        </w:rPr>
        <w:t xml:space="preserve">how to integrate CCRS to the </w:t>
      </w:r>
      <w:r w:rsidRPr="00897771">
        <w:rPr>
          <w:sz w:val="22"/>
          <w:szCs w:val="22"/>
        </w:rPr>
        <w:t>classroom at our annual Michigan Adult Education and Training Conferences.</w:t>
      </w:r>
    </w:p>
    <w:p w:rsidR="00897771" w:rsidRPr="00B7378D" w:rsidRDefault="00897771" w:rsidP="00B7378D">
      <w:pPr>
        <w:rPr>
          <w:sz w:val="22"/>
          <w:szCs w:val="22"/>
        </w:rPr>
      </w:pPr>
    </w:p>
    <w:p w:rsidR="007C5EB6" w:rsidRPr="007C5EB6" w:rsidRDefault="00544481" w:rsidP="007C5EB6">
      <w:pPr>
        <w:pStyle w:val="ListParagraph"/>
        <w:tabs>
          <w:tab w:val="left" w:pos="0"/>
        </w:tabs>
        <w:ind w:left="0"/>
        <w:jc w:val="both"/>
        <w:rPr>
          <w:rFonts w:ascii="Times New Roman" w:hAnsi="Times New Roman" w:cs="Times New Roman"/>
          <w:sz w:val="22"/>
          <w:szCs w:val="22"/>
        </w:rPr>
      </w:pPr>
      <w:r>
        <w:rPr>
          <w:rFonts w:ascii="Times New Roman" w:hAnsi="Times New Roman" w:cs="Times New Roman"/>
          <w:sz w:val="22"/>
          <w:szCs w:val="22"/>
        </w:rPr>
        <w:t xml:space="preserve"> </w:t>
      </w:r>
    </w:p>
    <w:sectPr w:rsidR="007C5EB6" w:rsidRPr="007C5EB6">
      <w:headerReference w:type="default" r:id="rId11"/>
      <w:footerReference w:type="even" r:id="rId12"/>
      <w:footerReference w:type="default" r:id="rId13"/>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E7E" w:rsidRDefault="00902E7E">
      <w:r>
        <w:separator/>
      </w:r>
    </w:p>
  </w:endnote>
  <w:endnote w:type="continuationSeparator" w:id="0">
    <w:p w:rsidR="00902E7E" w:rsidRDefault="0090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B1" w:rsidRDefault="00C138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C138B1" w:rsidRDefault="00C138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B1" w:rsidRDefault="00C138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69C0">
      <w:rPr>
        <w:rStyle w:val="PageNumber"/>
        <w:noProof/>
      </w:rPr>
      <w:t>10</w:t>
    </w:r>
    <w:r>
      <w:rPr>
        <w:rStyle w:val="PageNumber"/>
      </w:rPr>
      <w:fldChar w:fldCharType="end"/>
    </w:r>
  </w:p>
  <w:p w:rsidR="00C138B1" w:rsidRDefault="00C138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E7E" w:rsidRDefault="00902E7E">
      <w:r>
        <w:separator/>
      </w:r>
    </w:p>
  </w:footnote>
  <w:footnote w:type="continuationSeparator" w:id="0">
    <w:p w:rsidR="00902E7E" w:rsidRDefault="00902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B1" w:rsidRDefault="00C138B1">
    <w:pPr>
      <w:pStyle w:val="Header"/>
      <w:jc w:val="center"/>
      <w:rPr>
        <w:b/>
        <w:bCs/>
      </w:rPr>
    </w:pPr>
    <w:r>
      <w:rPr>
        <w:b/>
        <w:bCs/>
      </w:rPr>
      <w:t xml:space="preserve">MICHIGAN NARRATIVE REPORT </w:t>
    </w:r>
    <w:r w:rsidR="0054219B">
      <w:rPr>
        <w:b/>
        <w:bCs/>
      </w:rPr>
      <w:t>201</w:t>
    </w:r>
    <w:r w:rsidR="00961521">
      <w:rPr>
        <w:b/>
        <w:bCs/>
      </w:rPr>
      <w:t>3</w:t>
    </w:r>
    <w:r w:rsidR="0054219B">
      <w:rPr>
        <w:b/>
        <w:bCs/>
      </w:rPr>
      <w:t>-201</w:t>
    </w:r>
    <w:r w:rsidR="00961521">
      <w:rPr>
        <w:b/>
        <w:bCs/>
      </w:rPr>
      <w:t>4</w:t>
    </w:r>
  </w:p>
  <w:p w:rsidR="00C138B1" w:rsidRDefault="0054219B">
    <w:pPr>
      <w:pStyle w:val="Header"/>
      <w:jc w:val="center"/>
    </w:pPr>
    <w:r>
      <w:rPr>
        <w:b/>
        <w:bCs/>
      </w:rPr>
      <w:t>201</w:t>
    </w:r>
    <w:r w:rsidR="00961521">
      <w:rPr>
        <w:b/>
        <w:bCs/>
      </w:rPr>
      <w:t>3</w:t>
    </w:r>
    <w:r>
      <w:rPr>
        <w:b/>
        <w:bCs/>
      </w:rPr>
      <w:t>-201</w:t>
    </w:r>
    <w:r w:rsidR="00961521">
      <w:rPr>
        <w:b/>
        <w:bCs/>
      </w:rPr>
      <w:t>4</w:t>
    </w:r>
    <w:r w:rsidR="00C138B1">
      <w:rPr>
        <w:b/>
        <w:bCs/>
      </w:rPr>
      <w:t xml:space="preserve"> Office of Adult Education (OAE) Annual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0B9E"/>
    <w:multiLevelType w:val="hybridMultilevel"/>
    <w:tmpl w:val="3C782A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9FB8DD1E">
      <w:numFmt w:val="bullet"/>
      <w:lvlText w:val="-"/>
      <w:lvlJc w:val="left"/>
      <w:pPr>
        <w:tabs>
          <w:tab w:val="num" w:pos="2520"/>
        </w:tabs>
        <w:ind w:left="2520" w:hanging="360"/>
      </w:pPr>
      <w:rPr>
        <w:rFonts w:ascii="Times New Roman" w:eastAsia="Times New Roman" w:hAnsi="Times New Roman" w:cs="Times New Roman"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9A15D5"/>
    <w:multiLevelType w:val="hybridMultilevel"/>
    <w:tmpl w:val="2995EB9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7667E98"/>
    <w:multiLevelType w:val="hybridMultilevel"/>
    <w:tmpl w:val="B8041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A951C0F"/>
    <w:multiLevelType w:val="hybridMultilevel"/>
    <w:tmpl w:val="337A503E"/>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D2D3816"/>
    <w:multiLevelType w:val="hybridMultilevel"/>
    <w:tmpl w:val="A24483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56A4C"/>
    <w:multiLevelType w:val="hybridMultilevel"/>
    <w:tmpl w:val="6CB250D4"/>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6">
    <w:nsid w:val="109F475D"/>
    <w:multiLevelType w:val="hybridMultilevel"/>
    <w:tmpl w:val="F4A29EFA"/>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113B3418"/>
    <w:multiLevelType w:val="hybridMultilevel"/>
    <w:tmpl w:val="73448330"/>
    <w:lvl w:ilvl="0" w:tplc="315AC1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AF6275"/>
    <w:multiLevelType w:val="hybridMultilevel"/>
    <w:tmpl w:val="E4BA5C2A"/>
    <w:lvl w:ilvl="0" w:tplc="315AC1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EF626B"/>
    <w:multiLevelType w:val="hybridMultilevel"/>
    <w:tmpl w:val="FA4864A4"/>
    <w:lvl w:ilvl="0" w:tplc="315AC1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41769D5"/>
    <w:multiLevelType w:val="hybridMultilevel"/>
    <w:tmpl w:val="BBD0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540A10"/>
    <w:multiLevelType w:val="hybridMultilevel"/>
    <w:tmpl w:val="A2FE5A6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F">
      <w:start w:val="1"/>
      <w:numFmt w:val="decimal"/>
      <w:lvlText w:val="%3."/>
      <w:lvlJc w:val="left"/>
      <w:pPr>
        <w:tabs>
          <w:tab w:val="num" w:pos="2520"/>
        </w:tabs>
        <w:ind w:left="252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5F93739"/>
    <w:multiLevelType w:val="hybridMultilevel"/>
    <w:tmpl w:val="1792B6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0D4D4C"/>
    <w:multiLevelType w:val="hybridMultilevel"/>
    <w:tmpl w:val="414A3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3B3CBD"/>
    <w:multiLevelType w:val="hybridMultilevel"/>
    <w:tmpl w:val="E060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3F42FA"/>
    <w:multiLevelType w:val="hybridMultilevel"/>
    <w:tmpl w:val="81369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9871D5"/>
    <w:multiLevelType w:val="hybridMultilevel"/>
    <w:tmpl w:val="D35030D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39C608D"/>
    <w:multiLevelType w:val="hybridMultilevel"/>
    <w:tmpl w:val="A13E4A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7965EB6"/>
    <w:multiLevelType w:val="hybridMultilevel"/>
    <w:tmpl w:val="8966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933544"/>
    <w:multiLevelType w:val="hybridMultilevel"/>
    <w:tmpl w:val="548C088A"/>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31C87EB9"/>
    <w:multiLevelType w:val="hybridMultilevel"/>
    <w:tmpl w:val="E682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305ECD"/>
    <w:multiLevelType w:val="hybridMultilevel"/>
    <w:tmpl w:val="3766B782"/>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348C2407"/>
    <w:multiLevelType w:val="hybridMultilevel"/>
    <w:tmpl w:val="7A404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501BC5"/>
    <w:multiLevelType w:val="hybridMultilevel"/>
    <w:tmpl w:val="3ACAA97C"/>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3DEC39C2"/>
    <w:multiLevelType w:val="hybridMultilevel"/>
    <w:tmpl w:val="17E074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6A616E"/>
    <w:multiLevelType w:val="hybridMultilevel"/>
    <w:tmpl w:val="F25C5CA4"/>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42334DAB"/>
    <w:multiLevelType w:val="hybridMultilevel"/>
    <w:tmpl w:val="AB36D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BC5B07"/>
    <w:multiLevelType w:val="hybridMultilevel"/>
    <w:tmpl w:val="E7E01E0A"/>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491574C7"/>
    <w:multiLevelType w:val="hybridMultilevel"/>
    <w:tmpl w:val="83F84B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D7320C"/>
    <w:multiLevelType w:val="hybridMultilevel"/>
    <w:tmpl w:val="83A032C4"/>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54230E90"/>
    <w:multiLevelType w:val="hybridMultilevel"/>
    <w:tmpl w:val="D724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E47992"/>
    <w:multiLevelType w:val="hybridMultilevel"/>
    <w:tmpl w:val="FFF62D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ED23B5"/>
    <w:multiLevelType w:val="hybridMultilevel"/>
    <w:tmpl w:val="F99EB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F9D4907"/>
    <w:multiLevelType w:val="hybridMultilevel"/>
    <w:tmpl w:val="9A4E0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9C7A4E"/>
    <w:multiLevelType w:val="hybridMultilevel"/>
    <w:tmpl w:val="CAB4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1475CA"/>
    <w:multiLevelType w:val="hybridMultilevel"/>
    <w:tmpl w:val="4670B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8C9230C"/>
    <w:multiLevelType w:val="hybridMultilevel"/>
    <w:tmpl w:val="713E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DA137C"/>
    <w:multiLevelType w:val="hybridMultilevel"/>
    <w:tmpl w:val="477CE7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8D69AC"/>
    <w:multiLevelType w:val="hybridMultilevel"/>
    <w:tmpl w:val="97D0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1B53DF"/>
    <w:multiLevelType w:val="hybridMultilevel"/>
    <w:tmpl w:val="9B06AF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3CB0D0D"/>
    <w:multiLevelType w:val="hybridMultilevel"/>
    <w:tmpl w:val="BA5E3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B8023B"/>
    <w:multiLevelType w:val="hybridMultilevel"/>
    <w:tmpl w:val="A02C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DF193D"/>
    <w:multiLevelType w:val="hybridMultilevel"/>
    <w:tmpl w:val="53FA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7E68BB"/>
    <w:multiLevelType w:val="hybridMultilevel"/>
    <w:tmpl w:val="16144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B92EF5"/>
    <w:multiLevelType w:val="hybridMultilevel"/>
    <w:tmpl w:val="5BA41C0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4"/>
  </w:num>
  <w:num w:numId="2">
    <w:abstractNumId w:val="5"/>
  </w:num>
  <w:num w:numId="3">
    <w:abstractNumId w:val="26"/>
  </w:num>
  <w:num w:numId="4">
    <w:abstractNumId w:val="16"/>
  </w:num>
  <w:num w:numId="5">
    <w:abstractNumId w:val="17"/>
  </w:num>
  <w:num w:numId="6">
    <w:abstractNumId w:val="15"/>
  </w:num>
  <w:num w:numId="7">
    <w:abstractNumId w:val="1"/>
  </w:num>
  <w:num w:numId="8">
    <w:abstractNumId w:val="39"/>
  </w:num>
  <w:num w:numId="9">
    <w:abstractNumId w:val="3"/>
  </w:num>
  <w:num w:numId="10">
    <w:abstractNumId w:val="19"/>
  </w:num>
  <w:num w:numId="11">
    <w:abstractNumId w:val="23"/>
  </w:num>
  <w:num w:numId="12">
    <w:abstractNumId w:val="27"/>
  </w:num>
  <w:num w:numId="13">
    <w:abstractNumId w:val="29"/>
  </w:num>
  <w:num w:numId="14">
    <w:abstractNumId w:val="21"/>
  </w:num>
  <w:num w:numId="15">
    <w:abstractNumId w:val="6"/>
  </w:num>
  <w:num w:numId="16">
    <w:abstractNumId w:val="25"/>
  </w:num>
  <w:num w:numId="17">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1"/>
  </w:num>
  <w:num w:numId="20">
    <w:abstractNumId w:val="0"/>
  </w:num>
  <w:num w:numId="21">
    <w:abstractNumId w:val="8"/>
  </w:num>
  <w:num w:numId="22">
    <w:abstractNumId w:val="7"/>
  </w:num>
  <w:num w:numId="23">
    <w:abstractNumId w:val="9"/>
  </w:num>
  <w:num w:numId="24">
    <w:abstractNumId w:val="4"/>
  </w:num>
  <w:num w:numId="25">
    <w:abstractNumId w:val="22"/>
  </w:num>
  <w:num w:numId="26">
    <w:abstractNumId w:val="10"/>
  </w:num>
  <w:num w:numId="27">
    <w:abstractNumId w:val="43"/>
  </w:num>
  <w:num w:numId="28">
    <w:abstractNumId w:val="36"/>
  </w:num>
  <w:num w:numId="29">
    <w:abstractNumId w:val="20"/>
  </w:num>
  <w:num w:numId="30">
    <w:abstractNumId w:val="30"/>
  </w:num>
  <w:num w:numId="31">
    <w:abstractNumId w:val="38"/>
  </w:num>
  <w:num w:numId="32">
    <w:abstractNumId w:val="2"/>
  </w:num>
  <w:num w:numId="33">
    <w:abstractNumId w:val="41"/>
  </w:num>
  <w:num w:numId="34">
    <w:abstractNumId w:val="13"/>
  </w:num>
  <w:num w:numId="35">
    <w:abstractNumId w:val="42"/>
  </w:num>
  <w:num w:numId="36">
    <w:abstractNumId w:val="18"/>
  </w:num>
  <w:num w:numId="37">
    <w:abstractNumId w:val="24"/>
  </w:num>
  <w:num w:numId="38">
    <w:abstractNumId w:val="12"/>
  </w:num>
  <w:num w:numId="39">
    <w:abstractNumId w:val="35"/>
  </w:num>
  <w:num w:numId="40">
    <w:abstractNumId w:val="14"/>
  </w:num>
  <w:num w:numId="41">
    <w:abstractNumId w:val="37"/>
  </w:num>
  <w:num w:numId="42">
    <w:abstractNumId w:val="40"/>
  </w:num>
  <w:num w:numId="43">
    <w:abstractNumId w:val="28"/>
  </w:num>
  <w:num w:numId="44">
    <w:abstractNumId w:val="33"/>
  </w:num>
  <w:num w:numId="45">
    <w:abstractNumId w:val="32"/>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26C"/>
    <w:rsid w:val="00001864"/>
    <w:rsid w:val="00002EC4"/>
    <w:rsid w:val="00003B82"/>
    <w:rsid w:val="00003F2E"/>
    <w:rsid w:val="00011C9D"/>
    <w:rsid w:val="00011CCC"/>
    <w:rsid w:val="00012F55"/>
    <w:rsid w:val="0001370D"/>
    <w:rsid w:val="00013A0A"/>
    <w:rsid w:val="000238E6"/>
    <w:rsid w:val="00026D90"/>
    <w:rsid w:val="000300C1"/>
    <w:rsid w:val="00031224"/>
    <w:rsid w:val="00031C08"/>
    <w:rsid w:val="000327E0"/>
    <w:rsid w:val="00033EF4"/>
    <w:rsid w:val="00034039"/>
    <w:rsid w:val="000345C9"/>
    <w:rsid w:val="00035338"/>
    <w:rsid w:val="0003687E"/>
    <w:rsid w:val="000368FC"/>
    <w:rsid w:val="00043946"/>
    <w:rsid w:val="00043EC8"/>
    <w:rsid w:val="0004754D"/>
    <w:rsid w:val="000479DA"/>
    <w:rsid w:val="00050778"/>
    <w:rsid w:val="0005255E"/>
    <w:rsid w:val="0005272E"/>
    <w:rsid w:val="00053E75"/>
    <w:rsid w:val="00055EAA"/>
    <w:rsid w:val="000561A1"/>
    <w:rsid w:val="00057E4E"/>
    <w:rsid w:val="00065384"/>
    <w:rsid w:val="00071581"/>
    <w:rsid w:val="0007162B"/>
    <w:rsid w:val="000723BC"/>
    <w:rsid w:val="00072AAC"/>
    <w:rsid w:val="00072F9A"/>
    <w:rsid w:val="00081DF6"/>
    <w:rsid w:val="00083211"/>
    <w:rsid w:val="00083505"/>
    <w:rsid w:val="000853D8"/>
    <w:rsid w:val="00087AD1"/>
    <w:rsid w:val="00091AF1"/>
    <w:rsid w:val="000924EB"/>
    <w:rsid w:val="00092881"/>
    <w:rsid w:val="0009563F"/>
    <w:rsid w:val="0009615D"/>
    <w:rsid w:val="000A02F9"/>
    <w:rsid w:val="000A3F10"/>
    <w:rsid w:val="000A5038"/>
    <w:rsid w:val="000A544D"/>
    <w:rsid w:val="000B00F8"/>
    <w:rsid w:val="000B0727"/>
    <w:rsid w:val="000B231A"/>
    <w:rsid w:val="000B2C98"/>
    <w:rsid w:val="000B3139"/>
    <w:rsid w:val="000B426B"/>
    <w:rsid w:val="000B6BD9"/>
    <w:rsid w:val="000C1C45"/>
    <w:rsid w:val="000C3E53"/>
    <w:rsid w:val="000C5FFA"/>
    <w:rsid w:val="000C72C1"/>
    <w:rsid w:val="000C73C7"/>
    <w:rsid w:val="000D3067"/>
    <w:rsid w:val="000D3EF9"/>
    <w:rsid w:val="000D4248"/>
    <w:rsid w:val="000D5DBB"/>
    <w:rsid w:val="000D79DE"/>
    <w:rsid w:val="000E0298"/>
    <w:rsid w:val="000E1BA0"/>
    <w:rsid w:val="000E1E93"/>
    <w:rsid w:val="000E63A6"/>
    <w:rsid w:val="000E6643"/>
    <w:rsid w:val="000F084F"/>
    <w:rsid w:val="000F0A16"/>
    <w:rsid w:val="000F287E"/>
    <w:rsid w:val="000F2E71"/>
    <w:rsid w:val="000F3846"/>
    <w:rsid w:val="000F4849"/>
    <w:rsid w:val="001015CD"/>
    <w:rsid w:val="001020BD"/>
    <w:rsid w:val="00104392"/>
    <w:rsid w:val="00104625"/>
    <w:rsid w:val="001066F4"/>
    <w:rsid w:val="00107BFD"/>
    <w:rsid w:val="00111E65"/>
    <w:rsid w:val="00114B52"/>
    <w:rsid w:val="00116D82"/>
    <w:rsid w:val="00117F2F"/>
    <w:rsid w:val="001242A9"/>
    <w:rsid w:val="0012611D"/>
    <w:rsid w:val="0012636F"/>
    <w:rsid w:val="001323DB"/>
    <w:rsid w:val="00133750"/>
    <w:rsid w:val="00134A0B"/>
    <w:rsid w:val="001362D1"/>
    <w:rsid w:val="0013758E"/>
    <w:rsid w:val="001401A2"/>
    <w:rsid w:val="00141D9F"/>
    <w:rsid w:val="001429AB"/>
    <w:rsid w:val="0014586D"/>
    <w:rsid w:val="00145BFE"/>
    <w:rsid w:val="0015796D"/>
    <w:rsid w:val="00157D3F"/>
    <w:rsid w:val="00164D98"/>
    <w:rsid w:val="00165A5D"/>
    <w:rsid w:val="00166AB9"/>
    <w:rsid w:val="00166CEB"/>
    <w:rsid w:val="0016783E"/>
    <w:rsid w:val="00167865"/>
    <w:rsid w:val="001714AA"/>
    <w:rsid w:val="00172211"/>
    <w:rsid w:val="00173210"/>
    <w:rsid w:val="0017619F"/>
    <w:rsid w:val="0018018C"/>
    <w:rsid w:val="00181A6C"/>
    <w:rsid w:val="001879CD"/>
    <w:rsid w:val="001903D3"/>
    <w:rsid w:val="00191E5A"/>
    <w:rsid w:val="00195292"/>
    <w:rsid w:val="001A7E4E"/>
    <w:rsid w:val="001B3DEA"/>
    <w:rsid w:val="001B3E45"/>
    <w:rsid w:val="001B58A9"/>
    <w:rsid w:val="001B672C"/>
    <w:rsid w:val="001B6854"/>
    <w:rsid w:val="001B78BB"/>
    <w:rsid w:val="001C3348"/>
    <w:rsid w:val="001C410F"/>
    <w:rsid w:val="001C602D"/>
    <w:rsid w:val="001C66AB"/>
    <w:rsid w:val="001C681E"/>
    <w:rsid w:val="001C6D95"/>
    <w:rsid w:val="001C7402"/>
    <w:rsid w:val="001D085C"/>
    <w:rsid w:val="001D0C32"/>
    <w:rsid w:val="001D140D"/>
    <w:rsid w:val="001D16F6"/>
    <w:rsid w:val="001D2F97"/>
    <w:rsid w:val="001D4F35"/>
    <w:rsid w:val="001D5A6E"/>
    <w:rsid w:val="001D78FB"/>
    <w:rsid w:val="001E1CA5"/>
    <w:rsid w:val="001E1ECB"/>
    <w:rsid w:val="001E2A34"/>
    <w:rsid w:val="001E3F30"/>
    <w:rsid w:val="001E4752"/>
    <w:rsid w:val="001E57F8"/>
    <w:rsid w:val="001E7108"/>
    <w:rsid w:val="001F0E9E"/>
    <w:rsid w:val="001F2C7C"/>
    <w:rsid w:val="001F5455"/>
    <w:rsid w:val="00200FA2"/>
    <w:rsid w:val="00202F81"/>
    <w:rsid w:val="00203A72"/>
    <w:rsid w:val="00206156"/>
    <w:rsid w:val="00207481"/>
    <w:rsid w:val="00211410"/>
    <w:rsid w:val="00211806"/>
    <w:rsid w:val="00211DA4"/>
    <w:rsid w:val="002148D3"/>
    <w:rsid w:val="00217437"/>
    <w:rsid w:val="00217461"/>
    <w:rsid w:val="002207B4"/>
    <w:rsid w:val="00220D27"/>
    <w:rsid w:val="002222BD"/>
    <w:rsid w:val="00222562"/>
    <w:rsid w:val="00223E4D"/>
    <w:rsid w:val="00224E25"/>
    <w:rsid w:val="0023072D"/>
    <w:rsid w:val="00232855"/>
    <w:rsid w:val="00233EFA"/>
    <w:rsid w:val="00236F77"/>
    <w:rsid w:val="00240353"/>
    <w:rsid w:val="00240810"/>
    <w:rsid w:val="002415A3"/>
    <w:rsid w:val="00241755"/>
    <w:rsid w:val="00242567"/>
    <w:rsid w:val="00242CBD"/>
    <w:rsid w:val="00242F47"/>
    <w:rsid w:val="00247CDB"/>
    <w:rsid w:val="0026176F"/>
    <w:rsid w:val="00262D76"/>
    <w:rsid w:val="00263316"/>
    <w:rsid w:val="002638A6"/>
    <w:rsid w:val="00263C29"/>
    <w:rsid w:val="00264157"/>
    <w:rsid w:val="00267609"/>
    <w:rsid w:val="002701B1"/>
    <w:rsid w:val="002702F1"/>
    <w:rsid w:val="0027470B"/>
    <w:rsid w:val="00282ABC"/>
    <w:rsid w:val="0028610C"/>
    <w:rsid w:val="00287086"/>
    <w:rsid w:val="002911D7"/>
    <w:rsid w:val="00292B07"/>
    <w:rsid w:val="00292BA8"/>
    <w:rsid w:val="00293D88"/>
    <w:rsid w:val="00293E73"/>
    <w:rsid w:val="00294CF3"/>
    <w:rsid w:val="00294E4B"/>
    <w:rsid w:val="00295F65"/>
    <w:rsid w:val="00297452"/>
    <w:rsid w:val="002A08B2"/>
    <w:rsid w:val="002A1825"/>
    <w:rsid w:val="002A1A3A"/>
    <w:rsid w:val="002B00DC"/>
    <w:rsid w:val="002B3BDE"/>
    <w:rsid w:val="002B48B0"/>
    <w:rsid w:val="002B5E97"/>
    <w:rsid w:val="002B6027"/>
    <w:rsid w:val="002B69EE"/>
    <w:rsid w:val="002C3B70"/>
    <w:rsid w:val="002C4000"/>
    <w:rsid w:val="002C5B89"/>
    <w:rsid w:val="002D1BDC"/>
    <w:rsid w:val="002D67D3"/>
    <w:rsid w:val="002D7E73"/>
    <w:rsid w:val="002E405D"/>
    <w:rsid w:val="002E617F"/>
    <w:rsid w:val="002E6AD5"/>
    <w:rsid w:val="002E746F"/>
    <w:rsid w:val="002F1572"/>
    <w:rsid w:val="002F2E55"/>
    <w:rsid w:val="002F5E82"/>
    <w:rsid w:val="00300084"/>
    <w:rsid w:val="00301D4B"/>
    <w:rsid w:val="00302812"/>
    <w:rsid w:val="00307612"/>
    <w:rsid w:val="003103CD"/>
    <w:rsid w:val="0031065F"/>
    <w:rsid w:val="0031095C"/>
    <w:rsid w:val="00310C99"/>
    <w:rsid w:val="00311A2C"/>
    <w:rsid w:val="00311FDA"/>
    <w:rsid w:val="003126AD"/>
    <w:rsid w:val="003208E2"/>
    <w:rsid w:val="00324D53"/>
    <w:rsid w:val="003317D3"/>
    <w:rsid w:val="00333729"/>
    <w:rsid w:val="00334CFE"/>
    <w:rsid w:val="00336695"/>
    <w:rsid w:val="003413E8"/>
    <w:rsid w:val="00342E80"/>
    <w:rsid w:val="00343F6D"/>
    <w:rsid w:val="003443C2"/>
    <w:rsid w:val="00344E8B"/>
    <w:rsid w:val="00344FDD"/>
    <w:rsid w:val="003469C0"/>
    <w:rsid w:val="003478BC"/>
    <w:rsid w:val="00350524"/>
    <w:rsid w:val="00354298"/>
    <w:rsid w:val="00364720"/>
    <w:rsid w:val="003658A9"/>
    <w:rsid w:val="00372D67"/>
    <w:rsid w:val="00372FAF"/>
    <w:rsid w:val="00373785"/>
    <w:rsid w:val="00375A46"/>
    <w:rsid w:val="00387AE1"/>
    <w:rsid w:val="00390B24"/>
    <w:rsid w:val="00391B14"/>
    <w:rsid w:val="00391BD3"/>
    <w:rsid w:val="00397B71"/>
    <w:rsid w:val="003A5414"/>
    <w:rsid w:val="003B0982"/>
    <w:rsid w:val="003B0D93"/>
    <w:rsid w:val="003B226C"/>
    <w:rsid w:val="003B5C7E"/>
    <w:rsid w:val="003C2FA0"/>
    <w:rsid w:val="003C38A2"/>
    <w:rsid w:val="003C6022"/>
    <w:rsid w:val="003C6A69"/>
    <w:rsid w:val="003D0741"/>
    <w:rsid w:val="003D109D"/>
    <w:rsid w:val="003D1D6A"/>
    <w:rsid w:val="003D3EBA"/>
    <w:rsid w:val="003D7554"/>
    <w:rsid w:val="003E3418"/>
    <w:rsid w:val="003E50AC"/>
    <w:rsid w:val="003E538C"/>
    <w:rsid w:val="003F1EF2"/>
    <w:rsid w:val="003F257E"/>
    <w:rsid w:val="003F38D6"/>
    <w:rsid w:val="004020FA"/>
    <w:rsid w:val="00403C38"/>
    <w:rsid w:val="0040557F"/>
    <w:rsid w:val="004058A1"/>
    <w:rsid w:val="00410838"/>
    <w:rsid w:val="004110C8"/>
    <w:rsid w:val="00412654"/>
    <w:rsid w:val="00415766"/>
    <w:rsid w:val="00415F91"/>
    <w:rsid w:val="004224AC"/>
    <w:rsid w:val="00427528"/>
    <w:rsid w:val="00434BCB"/>
    <w:rsid w:val="00434D8E"/>
    <w:rsid w:val="004356AC"/>
    <w:rsid w:val="00440B7C"/>
    <w:rsid w:val="0044219A"/>
    <w:rsid w:val="004439E8"/>
    <w:rsid w:val="00445777"/>
    <w:rsid w:val="00453C98"/>
    <w:rsid w:val="00453F07"/>
    <w:rsid w:val="00454561"/>
    <w:rsid w:val="00455CB2"/>
    <w:rsid w:val="0046122F"/>
    <w:rsid w:val="00464F6E"/>
    <w:rsid w:val="00465BC3"/>
    <w:rsid w:val="004701DD"/>
    <w:rsid w:val="004712F7"/>
    <w:rsid w:val="004717D6"/>
    <w:rsid w:val="00472F6E"/>
    <w:rsid w:val="00476FEA"/>
    <w:rsid w:val="00480C0A"/>
    <w:rsid w:val="00482C3B"/>
    <w:rsid w:val="00483FA3"/>
    <w:rsid w:val="00484C7F"/>
    <w:rsid w:val="004864AD"/>
    <w:rsid w:val="004865A9"/>
    <w:rsid w:val="004868D1"/>
    <w:rsid w:val="00490112"/>
    <w:rsid w:val="00492F71"/>
    <w:rsid w:val="004936F8"/>
    <w:rsid w:val="004952B0"/>
    <w:rsid w:val="00495485"/>
    <w:rsid w:val="004A035E"/>
    <w:rsid w:val="004A16C2"/>
    <w:rsid w:val="004A18DD"/>
    <w:rsid w:val="004A2BAB"/>
    <w:rsid w:val="004A30B1"/>
    <w:rsid w:val="004A3BD4"/>
    <w:rsid w:val="004A4275"/>
    <w:rsid w:val="004B0067"/>
    <w:rsid w:val="004B06A7"/>
    <w:rsid w:val="004B399D"/>
    <w:rsid w:val="004B3FE6"/>
    <w:rsid w:val="004B42D5"/>
    <w:rsid w:val="004B5A50"/>
    <w:rsid w:val="004B6305"/>
    <w:rsid w:val="004B7D4C"/>
    <w:rsid w:val="004C15D4"/>
    <w:rsid w:val="004C2D08"/>
    <w:rsid w:val="004C3C07"/>
    <w:rsid w:val="004D0744"/>
    <w:rsid w:val="004E53E1"/>
    <w:rsid w:val="004E57A0"/>
    <w:rsid w:val="004F23E3"/>
    <w:rsid w:val="004F550A"/>
    <w:rsid w:val="005013D5"/>
    <w:rsid w:val="0050198C"/>
    <w:rsid w:val="005042E9"/>
    <w:rsid w:val="0050443C"/>
    <w:rsid w:val="00505A4A"/>
    <w:rsid w:val="00505A9C"/>
    <w:rsid w:val="0051491D"/>
    <w:rsid w:val="00514F5E"/>
    <w:rsid w:val="005151A6"/>
    <w:rsid w:val="005168E9"/>
    <w:rsid w:val="005208DF"/>
    <w:rsid w:val="005211B8"/>
    <w:rsid w:val="005218DF"/>
    <w:rsid w:val="00525984"/>
    <w:rsid w:val="00533651"/>
    <w:rsid w:val="0053733D"/>
    <w:rsid w:val="00537C13"/>
    <w:rsid w:val="0054219B"/>
    <w:rsid w:val="00544405"/>
    <w:rsid w:val="00544481"/>
    <w:rsid w:val="00546459"/>
    <w:rsid w:val="00546514"/>
    <w:rsid w:val="0055043D"/>
    <w:rsid w:val="005507B6"/>
    <w:rsid w:val="00553EC6"/>
    <w:rsid w:val="00554C56"/>
    <w:rsid w:val="00555A2F"/>
    <w:rsid w:val="00555C35"/>
    <w:rsid w:val="0056103D"/>
    <w:rsid w:val="0056185B"/>
    <w:rsid w:val="005620B5"/>
    <w:rsid w:val="00566500"/>
    <w:rsid w:val="005670CA"/>
    <w:rsid w:val="00570E4F"/>
    <w:rsid w:val="005712A6"/>
    <w:rsid w:val="00573310"/>
    <w:rsid w:val="00574434"/>
    <w:rsid w:val="00575550"/>
    <w:rsid w:val="00575E3E"/>
    <w:rsid w:val="00576D71"/>
    <w:rsid w:val="00577E65"/>
    <w:rsid w:val="005800F5"/>
    <w:rsid w:val="0058087D"/>
    <w:rsid w:val="00583C25"/>
    <w:rsid w:val="005841B4"/>
    <w:rsid w:val="00590E57"/>
    <w:rsid w:val="00591E27"/>
    <w:rsid w:val="00593859"/>
    <w:rsid w:val="00594020"/>
    <w:rsid w:val="00595D7D"/>
    <w:rsid w:val="005974C1"/>
    <w:rsid w:val="005A065F"/>
    <w:rsid w:val="005A2DC8"/>
    <w:rsid w:val="005A55E3"/>
    <w:rsid w:val="005A6ADD"/>
    <w:rsid w:val="005A778B"/>
    <w:rsid w:val="005A7AB7"/>
    <w:rsid w:val="005B07CB"/>
    <w:rsid w:val="005B13EB"/>
    <w:rsid w:val="005B275F"/>
    <w:rsid w:val="005B5504"/>
    <w:rsid w:val="005B5DFE"/>
    <w:rsid w:val="005C268F"/>
    <w:rsid w:val="005C3F89"/>
    <w:rsid w:val="005C689B"/>
    <w:rsid w:val="005C6B31"/>
    <w:rsid w:val="005C72E1"/>
    <w:rsid w:val="005D3E03"/>
    <w:rsid w:val="005D419D"/>
    <w:rsid w:val="005D787A"/>
    <w:rsid w:val="005D7B52"/>
    <w:rsid w:val="005E1DC1"/>
    <w:rsid w:val="005F3892"/>
    <w:rsid w:val="005F4927"/>
    <w:rsid w:val="005F4E1C"/>
    <w:rsid w:val="005F5676"/>
    <w:rsid w:val="005F598A"/>
    <w:rsid w:val="00600355"/>
    <w:rsid w:val="006003FD"/>
    <w:rsid w:val="006018A8"/>
    <w:rsid w:val="006065ED"/>
    <w:rsid w:val="0061010B"/>
    <w:rsid w:val="0061195F"/>
    <w:rsid w:val="00612437"/>
    <w:rsid w:val="00612B9E"/>
    <w:rsid w:val="00616917"/>
    <w:rsid w:val="0062552E"/>
    <w:rsid w:val="0062575F"/>
    <w:rsid w:val="00633DA3"/>
    <w:rsid w:val="00635D3A"/>
    <w:rsid w:val="006376DF"/>
    <w:rsid w:val="00640103"/>
    <w:rsid w:val="00641E3C"/>
    <w:rsid w:val="006449F6"/>
    <w:rsid w:val="00645010"/>
    <w:rsid w:val="00645343"/>
    <w:rsid w:val="00646B19"/>
    <w:rsid w:val="00655A17"/>
    <w:rsid w:val="0065667B"/>
    <w:rsid w:val="00665AF4"/>
    <w:rsid w:val="00666498"/>
    <w:rsid w:val="00670264"/>
    <w:rsid w:val="00670EDC"/>
    <w:rsid w:val="00672236"/>
    <w:rsid w:val="00673762"/>
    <w:rsid w:val="00673BFD"/>
    <w:rsid w:val="0067461A"/>
    <w:rsid w:val="00676E25"/>
    <w:rsid w:val="00685E24"/>
    <w:rsid w:val="0068672B"/>
    <w:rsid w:val="0068758F"/>
    <w:rsid w:val="00691FF1"/>
    <w:rsid w:val="00692F3D"/>
    <w:rsid w:val="00694568"/>
    <w:rsid w:val="006959AC"/>
    <w:rsid w:val="00695EC3"/>
    <w:rsid w:val="0069600E"/>
    <w:rsid w:val="006967BA"/>
    <w:rsid w:val="00697DB0"/>
    <w:rsid w:val="006A0016"/>
    <w:rsid w:val="006A12C7"/>
    <w:rsid w:val="006A6D4B"/>
    <w:rsid w:val="006A7956"/>
    <w:rsid w:val="006B006C"/>
    <w:rsid w:val="006B1963"/>
    <w:rsid w:val="006B7C76"/>
    <w:rsid w:val="006C4E61"/>
    <w:rsid w:val="006C5970"/>
    <w:rsid w:val="006C6FCB"/>
    <w:rsid w:val="006C7A31"/>
    <w:rsid w:val="006D159C"/>
    <w:rsid w:val="006D3762"/>
    <w:rsid w:val="006D4452"/>
    <w:rsid w:val="006E3767"/>
    <w:rsid w:val="006E4F1B"/>
    <w:rsid w:val="006E55B1"/>
    <w:rsid w:val="006E59FF"/>
    <w:rsid w:val="006E6005"/>
    <w:rsid w:val="006E62D1"/>
    <w:rsid w:val="006E66E0"/>
    <w:rsid w:val="006F168C"/>
    <w:rsid w:val="006F18ED"/>
    <w:rsid w:val="006F21B2"/>
    <w:rsid w:val="006F23FB"/>
    <w:rsid w:val="006F2BC9"/>
    <w:rsid w:val="006F2E29"/>
    <w:rsid w:val="006F6507"/>
    <w:rsid w:val="006F6F37"/>
    <w:rsid w:val="00700429"/>
    <w:rsid w:val="00700630"/>
    <w:rsid w:val="00700C95"/>
    <w:rsid w:val="007015C5"/>
    <w:rsid w:val="007033D5"/>
    <w:rsid w:val="00706A9F"/>
    <w:rsid w:val="00711C3E"/>
    <w:rsid w:val="0071223D"/>
    <w:rsid w:val="00712632"/>
    <w:rsid w:val="00712D38"/>
    <w:rsid w:val="007130C6"/>
    <w:rsid w:val="007146EB"/>
    <w:rsid w:val="007259ED"/>
    <w:rsid w:val="0073092D"/>
    <w:rsid w:val="007326B1"/>
    <w:rsid w:val="00735774"/>
    <w:rsid w:val="00740DCD"/>
    <w:rsid w:val="007426F2"/>
    <w:rsid w:val="007429F5"/>
    <w:rsid w:val="00750A19"/>
    <w:rsid w:val="0075160F"/>
    <w:rsid w:val="00757313"/>
    <w:rsid w:val="0076176B"/>
    <w:rsid w:val="007625BB"/>
    <w:rsid w:val="00763BA8"/>
    <w:rsid w:val="007656A5"/>
    <w:rsid w:val="00765FAB"/>
    <w:rsid w:val="007666F3"/>
    <w:rsid w:val="00767E04"/>
    <w:rsid w:val="00770BE9"/>
    <w:rsid w:val="00771B56"/>
    <w:rsid w:val="00772646"/>
    <w:rsid w:val="007740D3"/>
    <w:rsid w:val="00781AEF"/>
    <w:rsid w:val="007873BA"/>
    <w:rsid w:val="007876B1"/>
    <w:rsid w:val="00794BBA"/>
    <w:rsid w:val="00796B98"/>
    <w:rsid w:val="007973BA"/>
    <w:rsid w:val="007A06CF"/>
    <w:rsid w:val="007A0AA8"/>
    <w:rsid w:val="007A3FEE"/>
    <w:rsid w:val="007A6846"/>
    <w:rsid w:val="007A6B89"/>
    <w:rsid w:val="007A77FF"/>
    <w:rsid w:val="007B08F6"/>
    <w:rsid w:val="007B1AC9"/>
    <w:rsid w:val="007B3023"/>
    <w:rsid w:val="007B52FE"/>
    <w:rsid w:val="007B5FC1"/>
    <w:rsid w:val="007C072D"/>
    <w:rsid w:val="007C1BD2"/>
    <w:rsid w:val="007C5EB6"/>
    <w:rsid w:val="007C786D"/>
    <w:rsid w:val="007D20D7"/>
    <w:rsid w:val="007D3178"/>
    <w:rsid w:val="007E24FD"/>
    <w:rsid w:val="007E43D1"/>
    <w:rsid w:val="007E48FB"/>
    <w:rsid w:val="007E6BB9"/>
    <w:rsid w:val="007E7C18"/>
    <w:rsid w:val="007F1A15"/>
    <w:rsid w:val="007F2CF2"/>
    <w:rsid w:val="007F739F"/>
    <w:rsid w:val="008025E8"/>
    <w:rsid w:val="008026E7"/>
    <w:rsid w:val="00803836"/>
    <w:rsid w:val="00804960"/>
    <w:rsid w:val="00806023"/>
    <w:rsid w:val="00806AA2"/>
    <w:rsid w:val="00807B97"/>
    <w:rsid w:val="00811150"/>
    <w:rsid w:val="0081601E"/>
    <w:rsid w:val="00823E94"/>
    <w:rsid w:val="008256EA"/>
    <w:rsid w:val="008259D9"/>
    <w:rsid w:val="008267D6"/>
    <w:rsid w:val="008269CE"/>
    <w:rsid w:val="00826BF5"/>
    <w:rsid w:val="0082770F"/>
    <w:rsid w:val="00831F03"/>
    <w:rsid w:val="00833BDF"/>
    <w:rsid w:val="00835E91"/>
    <w:rsid w:val="008361B5"/>
    <w:rsid w:val="008408D5"/>
    <w:rsid w:val="008411B7"/>
    <w:rsid w:val="00842711"/>
    <w:rsid w:val="00842A29"/>
    <w:rsid w:val="00844E8C"/>
    <w:rsid w:val="008451BC"/>
    <w:rsid w:val="00845830"/>
    <w:rsid w:val="008460EE"/>
    <w:rsid w:val="00852AFD"/>
    <w:rsid w:val="008540C9"/>
    <w:rsid w:val="008577CE"/>
    <w:rsid w:val="00857FB1"/>
    <w:rsid w:val="0086093C"/>
    <w:rsid w:val="00860B9F"/>
    <w:rsid w:val="008625F2"/>
    <w:rsid w:val="00862D91"/>
    <w:rsid w:val="0086470C"/>
    <w:rsid w:val="00865574"/>
    <w:rsid w:val="00867302"/>
    <w:rsid w:val="0086754E"/>
    <w:rsid w:val="008701E0"/>
    <w:rsid w:val="008726F9"/>
    <w:rsid w:val="008732D1"/>
    <w:rsid w:val="00876731"/>
    <w:rsid w:val="008802A2"/>
    <w:rsid w:val="008831A7"/>
    <w:rsid w:val="00883369"/>
    <w:rsid w:val="00884DA1"/>
    <w:rsid w:val="00885FB5"/>
    <w:rsid w:val="00886B82"/>
    <w:rsid w:val="00886D64"/>
    <w:rsid w:val="0089071B"/>
    <w:rsid w:val="008915B2"/>
    <w:rsid w:val="00892135"/>
    <w:rsid w:val="00893862"/>
    <w:rsid w:val="00894B8B"/>
    <w:rsid w:val="008957D2"/>
    <w:rsid w:val="00896435"/>
    <w:rsid w:val="008976A2"/>
    <w:rsid w:val="00897771"/>
    <w:rsid w:val="00897DEA"/>
    <w:rsid w:val="008A11D0"/>
    <w:rsid w:val="008A2733"/>
    <w:rsid w:val="008A6061"/>
    <w:rsid w:val="008A6127"/>
    <w:rsid w:val="008B1245"/>
    <w:rsid w:val="008B1F24"/>
    <w:rsid w:val="008B3B91"/>
    <w:rsid w:val="008B5655"/>
    <w:rsid w:val="008B6C36"/>
    <w:rsid w:val="008C0077"/>
    <w:rsid w:val="008C1B75"/>
    <w:rsid w:val="008C1D69"/>
    <w:rsid w:val="008C48FC"/>
    <w:rsid w:val="008D0F0F"/>
    <w:rsid w:val="008D1173"/>
    <w:rsid w:val="008D1755"/>
    <w:rsid w:val="008D3869"/>
    <w:rsid w:val="008D467F"/>
    <w:rsid w:val="008D62FC"/>
    <w:rsid w:val="008D6A2D"/>
    <w:rsid w:val="008D7BC9"/>
    <w:rsid w:val="008E1707"/>
    <w:rsid w:val="008E20A7"/>
    <w:rsid w:val="008E2822"/>
    <w:rsid w:val="008E4FA1"/>
    <w:rsid w:val="008E5E3C"/>
    <w:rsid w:val="008E674C"/>
    <w:rsid w:val="008F2CAC"/>
    <w:rsid w:val="008F631D"/>
    <w:rsid w:val="008F6929"/>
    <w:rsid w:val="009012EE"/>
    <w:rsid w:val="0090174E"/>
    <w:rsid w:val="0090258D"/>
    <w:rsid w:val="00902E7E"/>
    <w:rsid w:val="009030CC"/>
    <w:rsid w:val="0090351A"/>
    <w:rsid w:val="00905C1E"/>
    <w:rsid w:val="00906326"/>
    <w:rsid w:val="00910360"/>
    <w:rsid w:val="009105F3"/>
    <w:rsid w:val="009118B5"/>
    <w:rsid w:val="0091200F"/>
    <w:rsid w:val="009144D0"/>
    <w:rsid w:val="00917074"/>
    <w:rsid w:val="00920C9C"/>
    <w:rsid w:val="00921484"/>
    <w:rsid w:val="00921726"/>
    <w:rsid w:val="00921874"/>
    <w:rsid w:val="00923F0B"/>
    <w:rsid w:val="00924697"/>
    <w:rsid w:val="009312A0"/>
    <w:rsid w:val="00932B5B"/>
    <w:rsid w:val="00935141"/>
    <w:rsid w:val="009371D6"/>
    <w:rsid w:val="00937785"/>
    <w:rsid w:val="00942B19"/>
    <w:rsid w:val="00947D8B"/>
    <w:rsid w:val="009500A8"/>
    <w:rsid w:val="00954CD5"/>
    <w:rsid w:val="009566B6"/>
    <w:rsid w:val="0096132F"/>
    <w:rsid w:val="00961521"/>
    <w:rsid w:val="0096226C"/>
    <w:rsid w:val="009635EC"/>
    <w:rsid w:val="00965DBD"/>
    <w:rsid w:val="00966A2E"/>
    <w:rsid w:val="0097213B"/>
    <w:rsid w:val="00972812"/>
    <w:rsid w:val="00972B87"/>
    <w:rsid w:val="00973DA6"/>
    <w:rsid w:val="00981F67"/>
    <w:rsid w:val="00984E5A"/>
    <w:rsid w:val="00985B18"/>
    <w:rsid w:val="009908A1"/>
    <w:rsid w:val="00990937"/>
    <w:rsid w:val="009915F0"/>
    <w:rsid w:val="00991A32"/>
    <w:rsid w:val="00992246"/>
    <w:rsid w:val="009A2596"/>
    <w:rsid w:val="009A5D1D"/>
    <w:rsid w:val="009A5D95"/>
    <w:rsid w:val="009B1ECB"/>
    <w:rsid w:val="009B2487"/>
    <w:rsid w:val="009B3ED7"/>
    <w:rsid w:val="009B4322"/>
    <w:rsid w:val="009B43B6"/>
    <w:rsid w:val="009B7527"/>
    <w:rsid w:val="009C08E3"/>
    <w:rsid w:val="009C265E"/>
    <w:rsid w:val="009C337A"/>
    <w:rsid w:val="009C365D"/>
    <w:rsid w:val="009C3703"/>
    <w:rsid w:val="009C6B13"/>
    <w:rsid w:val="009D298D"/>
    <w:rsid w:val="009D4208"/>
    <w:rsid w:val="009D529D"/>
    <w:rsid w:val="009E2D29"/>
    <w:rsid w:val="009E2D8B"/>
    <w:rsid w:val="009E5F17"/>
    <w:rsid w:val="009E6927"/>
    <w:rsid w:val="009F00FF"/>
    <w:rsid w:val="009F0FA5"/>
    <w:rsid w:val="009F256E"/>
    <w:rsid w:val="009F2BA0"/>
    <w:rsid w:val="009F4B05"/>
    <w:rsid w:val="009F6FE5"/>
    <w:rsid w:val="00A00662"/>
    <w:rsid w:val="00A0092F"/>
    <w:rsid w:val="00A00EAF"/>
    <w:rsid w:val="00A00EC0"/>
    <w:rsid w:val="00A01019"/>
    <w:rsid w:val="00A01066"/>
    <w:rsid w:val="00A0110C"/>
    <w:rsid w:val="00A01544"/>
    <w:rsid w:val="00A11841"/>
    <w:rsid w:val="00A1249D"/>
    <w:rsid w:val="00A14736"/>
    <w:rsid w:val="00A16929"/>
    <w:rsid w:val="00A17FFE"/>
    <w:rsid w:val="00A234E8"/>
    <w:rsid w:val="00A23E55"/>
    <w:rsid w:val="00A23F8B"/>
    <w:rsid w:val="00A31EE3"/>
    <w:rsid w:val="00A32455"/>
    <w:rsid w:val="00A34E45"/>
    <w:rsid w:val="00A3697D"/>
    <w:rsid w:val="00A36ECD"/>
    <w:rsid w:val="00A37B8C"/>
    <w:rsid w:val="00A41103"/>
    <w:rsid w:val="00A42069"/>
    <w:rsid w:val="00A4229B"/>
    <w:rsid w:val="00A4448D"/>
    <w:rsid w:val="00A444E1"/>
    <w:rsid w:val="00A469AE"/>
    <w:rsid w:val="00A46E42"/>
    <w:rsid w:val="00A525D7"/>
    <w:rsid w:val="00A537D1"/>
    <w:rsid w:val="00A552A3"/>
    <w:rsid w:val="00A55FD8"/>
    <w:rsid w:val="00A56350"/>
    <w:rsid w:val="00A61379"/>
    <w:rsid w:val="00A64CF6"/>
    <w:rsid w:val="00A65325"/>
    <w:rsid w:val="00A65AAD"/>
    <w:rsid w:val="00A77704"/>
    <w:rsid w:val="00A77835"/>
    <w:rsid w:val="00A80664"/>
    <w:rsid w:val="00A81E38"/>
    <w:rsid w:val="00A83E2F"/>
    <w:rsid w:val="00A90DA1"/>
    <w:rsid w:val="00A9156E"/>
    <w:rsid w:val="00A91736"/>
    <w:rsid w:val="00A944A4"/>
    <w:rsid w:val="00A97067"/>
    <w:rsid w:val="00AA03F0"/>
    <w:rsid w:val="00AA1665"/>
    <w:rsid w:val="00AA29C8"/>
    <w:rsid w:val="00AA2FCB"/>
    <w:rsid w:val="00AA41A6"/>
    <w:rsid w:val="00AA52FE"/>
    <w:rsid w:val="00AB09B7"/>
    <w:rsid w:val="00AB32D4"/>
    <w:rsid w:val="00AB50CF"/>
    <w:rsid w:val="00AB68B0"/>
    <w:rsid w:val="00AC078F"/>
    <w:rsid w:val="00AC25C2"/>
    <w:rsid w:val="00AC3766"/>
    <w:rsid w:val="00AC3B98"/>
    <w:rsid w:val="00AC7281"/>
    <w:rsid w:val="00AD2264"/>
    <w:rsid w:val="00AD27E1"/>
    <w:rsid w:val="00AD52DF"/>
    <w:rsid w:val="00AD57D0"/>
    <w:rsid w:val="00AD73B0"/>
    <w:rsid w:val="00AD7A34"/>
    <w:rsid w:val="00AD7AE0"/>
    <w:rsid w:val="00AE1E63"/>
    <w:rsid w:val="00AE33F6"/>
    <w:rsid w:val="00AE3988"/>
    <w:rsid w:val="00AE441B"/>
    <w:rsid w:val="00AE5691"/>
    <w:rsid w:val="00AE640A"/>
    <w:rsid w:val="00AF02B9"/>
    <w:rsid w:val="00B0544D"/>
    <w:rsid w:val="00B0776D"/>
    <w:rsid w:val="00B14DF5"/>
    <w:rsid w:val="00B167FA"/>
    <w:rsid w:val="00B21D1B"/>
    <w:rsid w:val="00B24C3C"/>
    <w:rsid w:val="00B26A08"/>
    <w:rsid w:val="00B309CE"/>
    <w:rsid w:val="00B31FDC"/>
    <w:rsid w:val="00B32362"/>
    <w:rsid w:val="00B37039"/>
    <w:rsid w:val="00B42B8D"/>
    <w:rsid w:val="00B55610"/>
    <w:rsid w:val="00B5578C"/>
    <w:rsid w:val="00B55F2C"/>
    <w:rsid w:val="00B60C76"/>
    <w:rsid w:val="00B61848"/>
    <w:rsid w:val="00B61E3E"/>
    <w:rsid w:val="00B633CD"/>
    <w:rsid w:val="00B642B4"/>
    <w:rsid w:val="00B64A5F"/>
    <w:rsid w:val="00B64C6A"/>
    <w:rsid w:val="00B65713"/>
    <w:rsid w:val="00B6641C"/>
    <w:rsid w:val="00B6741E"/>
    <w:rsid w:val="00B70E54"/>
    <w:rsid w:val="00B7378D"/>
    <w:rsid w:val="00B73CD6"/>
    <w:rsid w:val="00B76259"/>
    <w:rsid w:val="00B76DC9"/>
    <w:rsid w:val="00B81C01"/>
    <w:rsid w:val="00B82090"/>
    <w:rsid w:val="00B83A83"/>
    <w:rsid w:val="00B900D8"/>
    <w:rsid w:val="00B90D7D"/>
    <w:rsid w:val="00B91B31"/>
    <w:rsid w:val="00B94B85"/>
    <w:rsid w:val="00B96A56"/>
    <w:rsid w:val="00BA36FC"/>
    <w:rsid w:val="00BA3DA1"/>
    <w:rsid w:val="00BA4364"/>
    <w:rsid w:val="00BA45C2"/>
    <w:rsid w:val="00BA470E"/>
    <w:rsid w:val="00BA5A25"/>
    <w:rsid w:val="00BA7843"/>
    <w:rsid w:val="00BB0274"/>
    <w:rsid w:val="00BB043B"/>
    <w:rsid w:val="00BB2974"/>
    <w:rsid w:val="00BB2EF4"/>
    <w:rsid w:val="00BB39BB"/>
    <w:rsid w:val="00BB4BB7"/>
    <w:rsid w:val="00BB62A2"/>
    <w:rsid w:val="00BC0658"/>
    <w:rsid w:val="00BC5EC2"/>
    <w:rsid w:val="00BC69C3"/>
    <w:rsid w:val="00BD5DA9"/>
    <w:rsid w:val="00BD6243"/>
    <w:rsid w:val="00BE037F"/>
    <w:rsid w:val="00BE09CC"/>
    <w:rsid w:val="00BE11A4"/>
    <w:rsid w:val="00BE216E"/>
    <w:rsid w:val="00BE532E"/>
    <w:rsid w:val="00BE756B"/>
    <w:rsid w:val="00C038A8"/>
    <w:rsid w:val="00C138B1"/>
    <w:rsid w:val="00C15FAD"/>
    <w:rsid w:val="00C21F45"/>
    <w:rsid w:val="00C35AA2"/>
    <w:rsid w:val="00C36C2F"/>
    <w:rsid w:val="00C43594"/>
    <w:rsid w:val="00C443D8"/>
    <w:rsid w:val="00C461FE"/>
    <w:rsid w:val="00C4639F"/>
    <w:rsid w:val="00C473CA"/>
    <w:rsid w:val="00C576D4"/>
    <w:rsid w:val="00C60473"/>
    <w:rsid w:val="00C61BFE"/>
    <w:rsid w:val="00C65667"/>
    <w:rsid w:val="00C65B30"/>
    <w:rsid w:val="00C662F3"/>
    <w:rsid w:val="00C670E3"/>
    <w:rsid w:val="00C75161"/>
    <w:rsid w:val="00C774DA"/>
    <w:rsid w:val="00C82A33"/>
    <w:rsid w:val="00C83BEE"/>
    <w:rsid w:val="00C84562"/>
    <w:rsid w:val="00C85E96"/>
    <w:rsid w:val="00C8632B"/>
    <w:rsid w:val="00C874E6"/>
    <w:rsid w:val="00C90F7A"/>
    <w:rsid w:val="00C93DC5"/>
    <w:rsid w:val="00C94A61"/>
    <w:rsid w:val="00C96C3B"/>
    <w:rsid w:val="00C96C5B"/>
    <w:rsid w:val="00CA28F4"/>
    <w:rsid w:val="00CA5A5D"/>
    <w:rsid w:val="00CA5CB4"/>
    <w:rsid w:val="00CA7D35"/>
    <w:rsid w:val="00CB267E"/>
    <w:rsid w:val="00CC2151"/>
    <w:rsid w:val="00CC2B28"/>
    <w:rsid w:val="00CD1694"/>
    <w:rsid w:val="00CD3007"/>
    <w:rsid w:val="00CD4E2D"/>
    <w:rsid w:val="00CD574D"/>
    <w:rsid w:val="00CD5766"/>
    <w:rsid w:val="00CD74D2"/>
    <w:rsid w:val="00CE0EAC"/>
    <w:rsid w:val="00CE27FA"/>
    <w:rsid w:val="00CE3369"/>
    <w:rsid w:val="00CE388E"/>
    <w:rsid w:val="00CE4E7D"/>
    <w:rsid w:val="00CE5990"/>
    <w:rsid w:val="00CF3102"/>
    <w:rsid w:val="00CF7958"/>
    <w:rsid w:val="00CF7AE4"/>
    <w:rsid w:val="00CF7B96"/>
    <w:rsid w:val="00D01B4C"/>
    <w:rsid w:val="00D032D8"/>
    <w:rsid w:val="00D035F6"/>
    <w:rsid w:val="00D11254"/>
    <w:rsid w:val="00D11C26"/>
    <w:rsid w:val="00D12F90"/>
    <w:rsid w:val="00D14191"/>
    <w:rsid w:val="00D15C59"/>
    <w:rsid w:val="00D16840"/>
    <w:rsid w:val="00D1700E"/>
    <w:rsid w:val="00D17D65"/>
    <w:rsid w:val="00D24F71"/>
    <w:rsid w:val="00D27A72"/>
    <w:rsid w:val="00D341F4"/>
    <w:rsid w:val="00D373A4"/>
    <w:rsid w:val="00D37FCC"/>
    <w:rsid w:val="00D40B83"/>
    <w:rsid w:val="00D4119E"/>
    <w:rsid w:val="00D46A44"/>
    <w:rsid w:val="00D46B49"/>
    <w:rsid w:val="00D47333"/>
    <w:rsid w:val="00D4756C"/>
    <w:rsid w:val="00D47D1E"/>
    <w:rsid w:val="00D5134B"/>
    <w:rsid w:val="00D54261"/>
    <w:rsid w:val="00D54553"/>
    <w:rsid w:val="00D54A1A"/>
    <w:rsid w:val="00D54C3B"/>
    <w:rsid w:val="00D60927"/>
    <w:rsid w:val="00D67031"/>
    <w:rsid w:val="00D67300"/>
    <w:rsid w:val="00D67C70"/>
    <w:rsid w:val="00D73D7E"/>
    <w:rsid w:val="00D740CB"/>
    <w:rsid w:val="00D77354"/>
    <w:rsid w:val="00D7774C"/>
    <w:rsid w:val="00D777F8"/>
    <w:rsid w:val="00D81CF9"/>
    <w:rsid w:val="00D84BB4"/>
    <w:rsid w:val="00D866FD"/>
    <w:rsid w:val="00D87F20"/>
    <w:rsid w:val="00D87F3B"/>
    <w:rsid w:val="00D909B7"/>
    <w:rsid w:val="00D918BD"/>
    <w:rsid w:val="00D92224"/>
    <w:rsid w:val="00D94D09"/>
    <w:rsid w:val="00D94EAE"/>
    <w:rsid w:val="00D95451"/>
    <w:rsid w:val="00D96C17"/>
    <w:rsid w:val="00DA3336"/>
    <w:rsid w:val="00DA3804"/>
    <w:rsid w:val="00DA5CB3"/>
    <w:rsid w:val="00DA627B"/>
    <w:rsid w:val="00DB097B"/>
    <w:rsid w:val="00DB3A39"/>
    <w:rsid w:val="00DB7067"/>
    <w:rsid w:val="00DC0B2A"/>
    <w:rsid w:val="00DC0D5D"/>
    <w:rsid w:val="00DC2849"/>
    <w:rsid w:val="00DC30F0"/>
    <w:rsid w:val="00DC3260"/>
    <w:rsid w:val="00DD0D14"/>
    <w:rsid w:val="00DD1939"/>
    <w:rsid w:val="00DD30E4"/>
    <w:rsid w:val="00DD458C"/>
    <w:rsid w:val="00DD47DB"/>
    <w:rsid w:val="00DD5EA2"/>
    <w:rsid w:val="00DD64BD"/>
    <w:rsid w:val="00DE55C8"/>
    <w:rsid w:val="00DE7C4A"/>
    <w:rsid w:val="00DF161D"/>
    <w:rsid w:val="00DF595C"/>
    <w:rsid w:val="00DF6933"/>
    <w:rsid w:val="00E02C96"/>
    <w:rsid w:val="00E03A02"/>
    <w:rsid w:val="00E0701D"/>
    <w:rsid w:val="00E12126"/>
    <w:rsid w:val="00E122FF"/>
    <w:rsid w:val="00E13058"/>
    <w:rsid w:val="00E14E26"/>
    <w:rsid w:val="00E14EA1"/>
    <w:rsid w:val="00E15430"/>
    <w:rsid w:val="00E24947"/>
    <w:rsid w:val="00E25799"/>
    <w:rsid w:val="00E278A7"/>
    <w:rsid w:val="00E30115"/>
    <w:rsid w:val="00E32299"/>
    <w:rsid w:val="00E329BB"/>
    <w:rsid w:val="00E33BC5"/>
    <w:rsid w:val="00E35A03"/>
    <w:rsid w:val="00E36959"/>
    <w:rsid w:val="00E43545"/>
    <w:rsid w:val="00E450FE"/>
    <w:rsid w:val="00E46A54"/>
    <w:rsid w:val="00E505D6"/>
    <w:rsid w:val="00E524FA"/>
    <w:rsid w:val="00E54A82"/>
    <w:rsid w:val="00E5510F"/>
    <w:rsid w:val="00E64B2B"/>
    <w:rsid w:val="00E66A8C"/>
    <w:rsid w:val="00E66FD2"/>
    <w:rsid w:val="00E708A6"/>
    <w:rsid w:val="00E71280"/>
    <w:rsid w:val="00E714D4"/>
    <w:rsid w:val="00E71B62"/>
    <w:rsid w:val="00E72E21"/>
    <w:rsid w:val="00E73136"/>
    <w:rsid w:val="00E732E8"/>
    <w:rsid w:val="00E7339F"/>
    <w:rsid w:val="00E75563"/>
    <w:rsid w:val="00E75D1E"/>
    <w:rsid w:val="00E76FDA"/>
    <w:rsid w:val="00E82A3E"/>
    <w:rsid w:val="00E82B6C"/>
    <w:rsid w:val="00E8491C"/>
    <w:rsid w:val="00E90E31"/>
    <w:rsid w:val="00E918FD"/>
    <w:rsid w:val="00E92730"/>
    <w:rsid w:val="00E94E82"/>
    <w:rsid w:val="00E95FB5"/>
    <w:rsid w:val="00E97F10"/>
    <w:rsid w:val="00EA124E"/>
    <w:rsid w:val="00EA2390"/>
    <w:rsid w:val="00EA5994"/>
    <w:rsid w:val="00EB0597"/>
    <w:rsid w:val="00EB0E66"/>
    <w:rsid w:val="00EB544D"/>
    <w:rsid w:val="00EB6993"/>
    <w:rsid w:val="00EC013A"/>
    <w:rsid w:val="00EC1665"/>
    <w:rsid w:val="00EC21B6"/>
    <w:rsid w:val="00EC2720"/>
    <w:rsid w:val="00EC3A75"/>
    <w:rsid w:val="00EC4CF7"/>
    <w:rsid w:val="00EC700A"/>
    <w:rsid w:val="00EC763F"/>
    <w:rsid w:val="00EC7BC6"/>
    <w:rsid w:val="00ED1CF5"/>
    <w:rsid w:val="00ED56EB"/>
    <w:rsid w:val="00ED6875"/>
    <w:rsid w:val="00EE03F3"/>
    <w:rsid w:val="00EE18D1"/>
    <w:rsid w:val="00EE1ED0"/>
    <w:rsid w:val="00EE28BA"/>
    <w:rsid w:val="00EE3C8B"/>
    <w:rsid w:val="00EE4AB0"/>
    <w:rsid w:val="00EE5473"/>
    <w:rsid w:val="00EF0FAE"/>
    <w:rsid w:val="00EF2336"/>
    <w:rsid w:val="00EF3AA4"/>
    <w:rsid w:val="00F012BE"/>
    <w:rsid w:val="00F075AB"/>
    <w:rsid w:val="00F12ECA"/>
    <w:rsid w:val="00F14993"/>
    <w:rsid w:val="00F15520"/>
    <w:rsid w:val="00F1639E"/>
    <w:rsid w:val="00F1732A"/>
    <w:rsid w:val="00F22DB6"/>
    <w:rsid w:val="00F2533E"/>
    <w:rsid w:val="00F26439"/>
    <w:rsid w:val="00F26E9A"/>
    <w:rsid w:val="00F34171"/>
    <w:rsid w:val="00F35394"/>
    <w:rsid w:val="00F35553"/>
    <w:rsid w:val="00F35818"/>
    <w:rsid w:val="00F44BF9"/>
    <w:rsid w:val="00F47C2F"/>
    <w:rsid w:val="00F50D51"/>
    <w:rsid w:val="00F50FC2"/>
    <w:rsid w:val="00F5110C"/>
    <w:rsid w:val="00F52B81"/>
    <w:rsid w:val="00F55663"/>
    <w:rsid w:val="00F55FAB"/>
    <w:rsid w:val="00F563D7"/>
    <w:rsid w:val="00F5711B"/>
    <w:rsid w:val="00F603EA"/>
    <w:rsid w:val="00F63DCA"/>
    <w:rsid w:val="00F65603"/>
    <w:rsid w:val="00F65F1D"/>
    <w:rsid w:val="00F674CD"/>
    <w:rsid w:val="00F70ED5"/>
    <w:rsid w:val="00F7273B"/>
    <w:rsid w:val="00F753BC"/>
    <w:rsid w:val="00F76837"/>
    <w:rsid w:val="00F837DD"/>
    <w:rsid w:val="00F86577"/>
    <w:rsid w:val="00F8685F"/>
    <w:rsid w:val="00F875C2"/>
    <w:rsid w:val="00F878A5"/>
    <w:rsid w:val="00F9004A"/>
    <w:rsid w:val="00F956E5"/>
    <w:rsid w:val="00F97296"/>
    <w:rsid w:val="00F97643"/>
    <w:rsid w:val="00FA0CD9"/>
    <w:rsid w:val="00FA561D"/>
    <w:rsid w:val="00FA577A"/>
    <w:rsid w:val="00FA70D4"/>
    <w:rsid w:val="00FB402F"/>
    <w:rsid w:val="00FB662F"/>
    <w:rsid w:val="00FB6E9F"/>
    <w:rsid w:val="00FB7196"/>
    <w:rsid w:val="00FB7A49"/>
    <w:rsid w:val="00FC2E74"/>
    <w:rsid w:val="00FC2F6C"/>
    <w:rsid w:val="00FC3AB0"/>
    <w:rsid w:val="00FC5C2E"/>
    <w:rsid w:val="00FD3213"/>
    <w:rsid w:val="00FD4C61"/>
    <w:rsid w:val="00FE005F"/>
    <w:rsid w:val="00FE1083"/>
    <w:rsid w:val="00FF0BC9"/>
    <w:rsid w:val="00FF12DC"/>
    <w:rsid w:val="00FF1C99"/>
    <w:rsid w:val="00FF2427"/>
    <w:rsid w:val="00FF368C"/>
    <w:rsid w:val="00FF42D6"/>
    <w:rsid w:val="00FF53B0"/>
    <w:rsid w:val="00FF56C5"/>
    <w:rsid w:val="00FF6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ind w:left="1260"/>
      <w:outlineLvl w:val="0"/>
    </w:pPr>
    <w:rPr>
      <w:rFonts w:ascii="Arial" w:hAnsi="Arial" w:cs="Arial"/>
      <w:b/>
      <w:bCs/>
      <w:sz w:val="22"/>
      <w:szCs w:val="22"/>
      <w:u w:val="single"/>
    </w:rPr>
  </w:style>
  <w:style w:type="paragraph" w:styleId="Heading2">
    <w:name w:val="heading 2"/>
    <w:basedOn w:val="Normal"/>
    <w:next w:val="Normal"/>
    <w:qFormat/>
    <w:pPr>
      <w:keepNext/>
      <w:ind w:left="1260"/>
      <w:outlineLvl w:val="1"/>
    </w:pPr>
    <w:rPr>
      <w:rFonts w:ascii="Arial" w:hAnsi="Arial" w:cs="Arial"/>
      <w:i/>
      <w:iCs/>
      <w:sz w:val="22"/>
      <w:szCs w:val="22"/>
    </w:rPr>
  </w:style>
  <w:style w:type="paragraph" w:styleId="Heading3">
    <w:name w:val="heading 3"/>
    <w:basedOn w:val="Normal"/>
    <w:next w:val="Normal"/>
    <w:qFormat/>
    <w:pPr>
      <w:keepNext/>
      <w:outlineLvl w:val="2"/>
    </w:pPr>
    <w:rPr>
      <w:rFonts w:ascii="Arial" w:hAnsi="Arial" w:cs="Arial"/>
      <w:b/>
      <w:bCs/>
      <w:sz w:val="20"/>
      <w:szCs w:val="20"/>
    </w:rPr>
  </w:style>
  <w:style w:type="paragraph" w:styleId="Heading4">
    <w:name w:val="heading 4"/>
    <w:basedOn w:val="Normal"/>
    <w:next w:val="Normal"/>
    <w:qFormat/>
    <w:pPr>
      <w:keepNext/>
      <w:ind w:left="360"/>
      <w:outlineLvl w:val="3"/>
    </w:pPr>
    <w:rPr>
      <w:rFonts w:ascii="Arial" w:hAnsi="Arial" w:cs="Arial"/>
      <w:b/>
      <w:bCs/>
      <w:sz w:val="20"/>
      <w:szCs w:val="20"/>
    </w:rPr>
  </w:style>
  <w:style w:type="paragraph" w:styleId="Heading5">
    <w:name w:val="heading 5"/>
    <w:basedOn w:val="Normal"/>
    <w:next w:val="Normal"/>
    <w:qFormat/>
    <w:pPr>
      <w:keepNext/>
      <w:tabs>
        <w:tab w:val="left" w:pos="360"/>
      </w:tabs>
      <w:ind w:left="360" w:hanging="360"/>
      <w:outlineLvl w:val="4"/>
    </w:pPr>
    <w:rPr>
      <w:rFonts w:ascii="Arial" w:hAnsi="Arial" w:cs="Arial"/>
      <w:b/>
      <w:bCs/>
      <w:color w:val="000000"/>
      <w:sz w:val="20"/>
      <w:szCs w:val="20"/>
    </w:rPr>
  </w:style>
  <w:style w:type="paragraph" w:styleId="Heading6">
    <w:name w:val="heading 6"/>
    <w:basedOn w:val="Normal"/>
    <w:next w:val="Normal"/>
    <w:qFormat/>
    <w:pPr>
      <w:keepNext/>
      <w:tabs>
        <w:tab w:val="left" w:pos="360"/>
      </w:tabs>
      <w:ind w:left="360"/>
      <w:jc w:val="center"/>
      <w:outlineLvl w:val="5"/>
    </w:pPr>
    <w:rPr>
      <w:rFonts w:ascii="Arial" w:hAnsi="Arial" w:cs="Arial"/>
      <w:b/>
      <w:bCs/>
      <w:color w:val="000000"/>
      <w:sz w:val="20"/>
      <w:szCs w:val="20"/>
    </w:rPr>
  </w:style>
  <w:style w:type="paragraph" w:styleId="Heading7">
    <w:name w:val="heading 7"/>
    <w:basedOn w:val="Normal"/>
    <w:next w:val="Normal"/>
    <w:qFormat/>
    <w:pPr>
      <w:keepNext/>
      <w:ind w:firstLine="360"/>
      <w:outlineLvl w:val="6"/>
    </w:pPr>
    <w:rPr>
      <w:rFonts w:ascii="Arial" w:hAnsi="Arial" w:cs="Arial"/>
      <w:b/>
      <w:bCs/>
      <w:sz w:val="20"/>
      <w:szCs w:val="20"/>
      <w:u w:val="single"/>
    </w:rPr>
  </w:style>
  <w:style w:type="paragraph" w:styleId="Heading8">
    <w:name w:val="heading 8"/>
    <w:basedOn w:val="Normal"/>
    <w:next w:val="Normal"/>
    <w:qFormat/>
    <w:pPr>
      <w:keepNext/>
      <w:ind w:left="360"/>
      <w:outlineLvl w:val="7"/>
    </w:pPr>
    <w:rPr>
      <w:b/>
      <w:bCs/>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Cambria"/>
      <w:b/>
      <w:bCs/>
      <w:kern w:val="32"/>
      <w:sz w:val="32"/>
      <w:szCs w:val="32"/>
    </w:rPr>
  </w:style>
  <w:style w:type="character" w:customStyle="1" w:styleId="Heading2Char">
    <w:name w:val="Heading 2 Char"/>
    <w:semiHidden/>
    <w:rPr>
      <w:rFonts w:ascii="Cambria" w:hAnsi="Cambria" w:cs="Cambria"/>
      <w:b/>
      <w:bCs/>
      <w:i/>
      <w:iCs/>
      <w:sz w:val="28"/>
      <w:szCs w:val="28"/>
    </w:rPr>
  </w:style>
  <w:style w:type="character" w:customStyle="1" w:styleId="Heading3Char">
    <w:name w:val="Heading 3 Char"/>
    <w:semiHidden/>
    <w:rPr>
      <w:rFonts w:ascii="Cambria" w:hAnsi="Cambria" w:cs="Cambria"/>
      <w:b/>
      <w:bCs/>
      <w:sz w:val="26"/>
      <w:szCs w:val="26"/>
    </w:rPr>
  </w:style>
  <w:style w:type="character" w:customStyle="1" w:styleId="Heading4Char">
    <w:name w:val="Heading 4 Char"/>
    <w:semiHidden/>
    <w:rPr>
      <w:rFonts w:ascii="Calibri" w:hAnsi="Calibri" w:cs="Calibri"/>
      <w:b/>
      <w:bCs/>
      <w:sz w:val="28"/>
      <w:szCs w:val="28"/>
    </w:rPr>
  </w:style>
  <w:style w:type="character" w:customStyle="1" w:styleId="Heading5Char">
    <w:name w:val="Heading 5 Char"/>
    <w:semiHidden/>
    <w:rPr>
      <w:rFonts w:ascii="Calibri" w:hAnsi="Calibri" w:cs="Calibri"/>
      <w:b/>
      <w:bCs/>
      <w:i/>
      <w:iCs/>
      <w:sz w:val="26"/>
      <w:szCs w:val="26"/>
    </w:rPr>
  </w:style>
  <w:style w:type="character" w:customStyle="1" w:styleId="Heading6Char">
    <w:name w:val="Heading 6 Char"/>
    <w:semiHidden/>
    <w:rPr>
      <w:rFonts w:ascii="Calibri" w:hAnsi="Calibri" w:cs="Calibri"/>
      <w:b/>
      <w:bCs/>
    </w:rPr>
  </w:style>
  <w:style w:type="character" w:customStyle="1" w:styleId="Heading7Char">
    <w:name w:val="Heading 7 Char"/>
    <w:semiHidden/>
    <w:rPr>
      <w:rFonts w:ascii="Calibri" w:hAnsi="Calibri" w:cs="Calibri"/>
      <w:sz w:val="24"/>
      <w:szCs w:val="24"/>
    </w:rPr>
  </w:style>
  <w:style w:type="character" w:customStyle="1" w:styleId="Heading8Char">
    <w:name w:val="Heading 8 Char"/>
    <w:semiHidden/>
    <w:rPr>
      <w:rFonts w:ascii="Calibri" w:hAnsi="Calibri" w:cs="Calibri"/>
      <w:i/>
      <w:iCs/>
      <w:sz w:val="24"/>
      <w:szCs w:val="24"/>
    </w:rPr>
  </w:style>
  <w:style w:type="paragraph" w:styleId="BodyTextIndent">
    <w:name w:val="Body Text Indent"/>
    <w:basedOn w:val="Normal"/>
    <w:pPr>
      <w:jc w:val="both"/>
    </w:pPr>
    <w:rPr>
      <w:color w:val="000000"/>
      <w:sz w:val="20"/>
      <w:szCs w:val="20"/>
    </w:rPr>
  </w:style>
  <w:style w:type="character" w:customStyle="1" w:styleId="BodyText2Char">
    <w:name w:val="Body Text 2 Char"/>
    <w:semiHidden/>
    <w:rPr>
      <w:rFonts w:cs="Times New Roman"/>
      <w:sz w:val="24"/>
      <w:szCs w:val="24"/>
    </w:rPr>
  </w:style>
  <w:style w:type="paragraph" w:styleId="Title">
    <w:name w:val="Title"/>
    <w:basedOn w:val="Normal"/>
    <w:qFormat/>
    <w:pPr>
      <w:jc w:val="center"/>
    </w:pPr>
    <w:rPr>
      <w:rFonts w:ascii="Arial" w:hAnsi="Arial" w:cs="Arial"/>
      <w:b/>
      <w:bCs/>
      <w:sz w:val="22"/>
      <w:szCs w:val="22"/>
    </w:rPr>
  </w:style>
  <w:style w:type="character" w:customStyle="1" w:styleId="TitleChar">
    <w:name w:val="Title Char"/>
    <w:rPr>
      <w:rFonts w:ascii="Cambria" w:hAnsi="Cambria" w:cs="Cambria"/>
      <w:b/>
      <w:bCs/>
      <w:kern w:val="28"/>
      <w:sz w:val="32"/>
      <w:szCs w:val="32"/>
    </w:rPr>
  </w:style>
  <w:style w:type="paragraph" w:styleId="BodyTextIndent2">
    <w:name w:val="Body Text Indent 2"/>
    <w:basedOn w:val="Normal"/>
    <w:pPr>
      <w:autoSpaceDE w:val="0"/>
      <w:autoSpaceDN w:val="0"/>
      <w:adjustRightInd w:val="0"/>
      <w:ind w:left="1260"/>
    </w:pPr>
    <w:rPr>
      <w:rFonts w:ascii="Arial" w:hAnsi="Arial" w:cs="Arial"/>
      <w:sz w:val="22"/>
      <w:szCs w:val="22"/>
    </w:rPr>
  </w:style>
  <w:style w:type="character" w:customStyle="1" w:styleId="BodyTextIndent2Char">
    <w:name w:val="Body Text Indent 2 Char"/>
    <w:rPr>
      <w:rFonts w:cs="Times New Roman"/>
      <w:sz w:val="24"/>
      <w:szCs w:val="24"/>
    </w:rPr>
  </w:style>
  <w:style w:type="paragraph" w:styleId="BodyTextIndent3">
    <w:name w:val="Body Text Indent 3"/>
    <w:basedOn w:val="Normal"/>
    <w:pPr>
      <w:ind w:left="1260"/>
    </w:pPr>
  </w:style>
  <w:style w:type="character" w:customStyle="1" w:styleId="BodyTextIndent3Char">
    <w:name w:val="Body Text Indent 3 Char"/>
    <w:semiHidden/>
    <w:rPr>
      <w:rFonts w:cs="Times New Roman"/>
      <w:sz w:val="16"/>
      <w:szCs w:val="16"/>
    </w:rPr>
  </w:style>
  <w:style w:type="paragraph" w:styleId="Footer">
    <w:name w:val="footer"/>
    <w:basedOn w:val="Normal"/>
    <w:pPr>
      <w:tabs>
        <w:tab w:val="center" w:pos="4320"/>
        <w:tab w:val="right" w:pos="8640"/>
      </w:tabs>
    </w:pPr>
  </w:style>
  <w:style w:type="character" w:customStyle="1" w:styleId="FooterChar">
    <w:name w:val="Footer Char"/>
    <w:semiHidden/>
    <w:rPr>
      <w:rFonts w:cs="Times New Roman"/>
      <w:sz w:val="24"/>
      <w:szCs w:val="24"/>
    </w:rPr>
  </w:style>
  <w:style w:type="character" w:styleId="PageNumber">
    <w:name w:val="page number"/>
    <w:rPr>
      <w:rFonts w:cs="Times New Roman"/>
    </w:rPr>
  </w:style>
  <w:style w:type="character" w:styleId="Hyperlink">
    <w:name w:val="Hyperlink"/>
    <w:uiPriority w:val="99"/>
    <w:rPr>
      <w:rFonts w:cs="Times New Roman"/>
      <w:color w:val="0000FF"/>
      <w:u w:val="single"/>
    </w:rPr>
  </w:style>
  <w:style w:type="paragraph" w:styleId="BodyText">
    <w:name w:val="Body Text"/>
    <w:basedOn w:val="Normal"/>
    <w:rPr>
      <w:rFonts w:ascii="Arial" w:hAnsi="Arial" w:cs="Arial"/>
      <w:sz w:val="22"/>
      <w:szCs w:val="22"/>
    </w:rPr>
  </w:style>
  <w:style w:type="character" w:customStyle="1" w:styleId="BodyTextChar">
    <w:name w:val="Body Text Char"/>
    <w:semiHidden/>
    <w:rPr>
      <w:rFonts w:cs="Times New Roman"/>
      <w:sz w:val="24"/>
      <w:szCs w:val="24"/>
    </w:rPr>
  </w:style>
  <w:style w:type="paragraph" w:styleId="FootnoteText">
    <w:name w:val="footnote text"/>
    <w:basedOn w:val="Normal"/>
    <w:semiHidden/>
    <w:rPr>
      <w:sz w:val="20"/>
      <w:szCs w:val="20"/>
    </w:rPr>
  </w:style>
  <w:style w:type="character" w:customStyle="1" w:styleId="FootnoteTextChar">
    <w:name w:val="Footnote Text Char"/>
    <w:semiHidden/>
    <w:rPr>
      <w:rFonts w:cs="Times New Roman"/>
      <w:sz w:val="20"/>
      <w:szCs w:val="20"/>
    </w:rPr>
  </w:style>
  <w:style w:type="character" w:styleId="FootnoteReference">
    <w:name w:val="footnote reference"/>
    <w:semiHidden/>
    <w:rPr>
      <w:rFonts w:cs="Times New Roman"/>
      <w:vertAlign w:val="superscript"/>
    </w:rPr>
  </w:style>
  <w:style w:type="character" w:styleId="FollowedHyperlink">
    <w:name w:val="FollowedHyperlink"/>
    <w:rPr>
      <w:rFonts w:cs="Times New Roman"/>
      <w:color w:val="800080"/>
      <w:u w:val="single"/>
    </w:rPr>
  </w:style>
  <w:style w:type="paragraph" w:styleId="Header">
    <w:name w:val="header"/>
    <w:basedOn w:val="Normal"/>
    <w:pPr>
      <w:tabs>
        <w:tab w:val="center" w:pos="4320"/>
        <w:tab w:val="right" w:pos="8640"/>
      </w:tabs>
    </w:pPr>
  </w:style>
  <w:style w:type="character" w:customStyle="1" w:styleId="HeaderChar">
    <w:name w:val="Header Char"/>
    <w:semiHidden/>
    <w:rPr>
      <w:rFonts w:cs="Times New Roman"/>
      <w:sz w:val="24"/>
      <w:szCs w:val="24"/>
    </w:rPr>
  </w:style>
  <w:style w:type="paragraph" w:styleId="BodyText3">
    <w:name w:val="Body Text 3"/>
    <w:basedOn w:val="Normal"/>
    <w:rPr>
      <w:rFonts w:ascii="Arial" w:hAnsi="Arial" w:cs="Arial"/>
      <w:sz w:val="20"/>
      <w:szCs w:val="20"/>
    </w:rPr>
  </w:style>
  <w:style w:type="character" w:customStyle="1" w:styleId="BodyText3Char">
    <w:name w:val="Body Text 3 Char"/>
    <w:semiHidden/>
    <w:rPr>
      <w:rFonts w:cs="Times New Roman"/>
      <w:sz w:val="16"/>
      <w:szCs w:val="16"/>
    </w:rPr>
  </w:style>
  <w:style w:type="paragraph" w:customStyle="1" w:styleId="Default">
    <w:name w:val="Default"/>
    <w:pPr>
      <w:autoSpaceDE w:val="0"/>
      <w:autoSpaceDN w:val="0"/>
      <w:adjustRightInd w:val="0"/>
    </w:pPr>
    <w:rPr>
      <w:rFonts w:ascii="TimesNewRoman,Bold" w:hAnsi="TimesNewRoman,Bold" w:cs="TimesNewRoman,Bold"/>
    </w:rPr>
  </w:style>
  <w:style w:type="paragraph" w:styleId="PlainText">
    <w:name w:val="Plain Text"/>
    <w:basedOn w:val="Normal"/>
    <w:rPr>
      <w:rFonts w:ascii="Courier New" w:hAnsi="Courier New" w:cs="Courier New"/>
    </w:rPr>
  </w:style>
  <w:style w:type="character" w:customStyle="1" w:styleId="PlainTextChar">
    <w:name w:val="Plain Text Char"/>
    <w:rPr>
      <w:rFonts w:ascii="Courier New" w:hAnsi="Courier New" w:cs="Courier New"/>
      <w:sz w:val="24"/>
      <w:szCs w:val="24"/>
      <w:lang w:val="en-US" w:eastAsia="en-US"/>
    </w:r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basedOn w:val="Normal"/>
    <w:uiPriority w:val="34"/>
    <w:qFormat/>
    <w:pPr>
      <w:spacing w:after="200" w:line="276" w:lineRule="auto"/>
      <w:ind w:left="720"/>
      <w:contextualSpacing/>
    </w:pPr>
    <w:rPr>
      <w:rFonts w:ascii="Arial" w:hAnsi="Arial" w:cs="Arial"/>
      <w:sz w:val="20"/>
      <w:szCs w:val="20"/>
    </w:rPr>
  </w:style>
  <w:style w:type="paragraph" w:styleId="NoSpacing">
    <w:name w:val="No Spacing"/>
    <w:uiPriority w:val="1"/>
    <w:qFormat/>
    <w:rPr>
      <w:rFonts w:ascii="Arial" w:eastAsia="Calibri" w:hAnsi="Arial" w:cs="Arial"/>
      <w:szCs w:val="24"/>
    </w:rPr>
  </w:style>
  <w:style w:type="character" w:customStyle="1" w:styleId="NoSpacingChar">
    <w:name w:val="No Spacing Char"/>
    <w:uiPriority w:val="1"/>
    <w:rPr>
      <w:rFonts w:ascii="Arial" w:eastAsia="Calibri" w:hAnsi="Arial" w:cs="Arial"/>
      <w:szCs w:val="24"/>
      <w:lang w:val="en-US" w:eastAsia="en-US" w:bidi="ar-SA"/>
    </w:rPr>
  </w:style>
  <w:style w:type="paragraph" w:styleId="BalloonText">
    <w:name w:val="Balloon Text"/>
    <w:basedOn w:val="Normal"/>
    <w:semiHidden/>
    <w:rsid w:val="00920C9C"/>
    <w:rPr>
      <w:rFonts w:ascii="Tahoma" w:hAnsi="Tahoma" w:cs="Tahoma"/>
      <w:sz w:val="16"/>
      <w:szCs w:val="16"/>
    </w:rPr>
  </w:style>
  <w:style w:type="paragraph" w:styleId="NormalWeb">
    <w:name w:val="Normal (Web)"/>
    <w:basedOn w:val="Normal"/>
    <w:uiPriority w:val="99"/>
    <w:unhideWhenUsed/>
    <w:rsid w:val="00CE388E"/>
    <w:pPr>
      <w:spacing w:before="100" w:beforeAutospacing="1" w:after="100" w:afterAutospacing="1"/>
    </w:pPr>
    <w:rPr>
      <w:rFonts w:eastAsiaTheme="minorHAnsi"/>
    </w:rPr>
  </w:style>
  <w:style w:type="table" w:styleId="TableGrid">
    <w:name w:val="Table Grid"/>
    <w:basedOn w:val="TableNormal"/>
    <w:uiPriority w:val="59"/>
    <w:rsid w:val="00A525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ind w:left="1260"/>
      <w:outlineLvl w:val="0"/>
    </w:pPr>
    <w:rPr>
      <w:rFonts w:ascii="Arial" w:hAnsi="Arial" w:cs="Arial"/>
      <w:b/>
      <w:bCs/>
      <w:sz w:val="22"/>
      <w:szCs w:val="22"/>
      <w:u w:val="single"/>
    </w:rPr>
  </w:style>
  <w:style w:type="paragraph" w:styleId="Heading2">
    <w:name w:val="heading 2"/>
    <w:basedOn w:val="Normal"/>
    <w:next w:val="Normal"/>
    <w:qFormat/>
    <w:pPr>
      <w:keepNext/>
      <w:ind w:left="1260"/>
      <w:outlineLvl w:val="1"/>
    </w:pPr>
    <w:rPr>
      <w:rFonts w:ascii="Arial" w:hAnsi="Arial" w:cs="Arial"/>
      <w:i/>
      <w:iCs/>
      <w:sz w:val="22"/>
      <w:szCs w:val="22"/>
    </w:rPr>
  </w:style>
  <w:style w:type="paragraph" w:styleId="Heading3">
    <w:name w:val="heading 3"/>
    <w:basedOn w:val="Normal"/>
    <w:next w:val="Normal"/>
    <w:qFormat/>
    <w:pPr>
      <w:keepNext/>
      <w:outlineLvl w:val="2"/>
    </w:pPr>
    <w:rPr>
      <w:rFonts w:ascii="Arial" w:hAnsi="Arial" w:cs="Arial"/>
      <w:b/>
      <w:bCs/>
      <w:sz w:val="20"/>
      <w:szCs w:val="20"/>
    </w:rPr>
  </w:style>
  <w:style w:type="paragraph" w:styleId="Heading4">
    <w:name w:val="heading 4"/>
    <w:basedOn w:val="Normal"/>
    <w:next w:val="Normal"/>
    <w:qFormat/>
    <w:pPr>
      <w:keepNext/>
      <w:ind w:left="360"/>
      <w:outlineLvl w:val="3"/>
    </w:pPr>
    <w:rPr>
      <w:rFonts w:ascii="Arial" w:hAnsi="Arial" w:cs="Arial"/>
      <w:b/>
      <w:bCs/>
      <w:sz w:val="20"/>
      <w:szCs w:val="20"/>
    </w:rPr>
  </w:style>
  <w:style w:type="paragraph" w:styleId="Heading5">
    <w:name w:val="heading 5"/>
    <w:basedOn w:val="Normal"/>
    <w:next w:val="Normal"/>
    <w:qFormat/>
    <w:pPr>
      <w:keepNext/>
      <w:tabs>
        <w:tab w:val="left" w:pos="360"/>
      </w:tabs>
      <w:ind w:left="360" w:hanging="360"/>
      <w:outlineLvl w:val="4"/>
    </w:pPr>
    <w:rPr>
      <w:rFonts w:ascii="Arial" w:hAnsi="Arial" w:cs="Arial"/>
      <w:b/>
      <w:bCs/>
      <w:color w:val="000000"/>
      <w:sz w:val="20"/>
      <w:szCs w:val="20"/>
    </w:rPr>
  </w:style>
  <w:style w:type="paragraph" w:styleId="Heading6">
    <w:name w:val="heading 6"/>
    <w:basedOn w:val="Normal"/>
    <w:next w:val="Normal"/>
    <w:qFormat/>
    <w:pPr>
      <w:keepNext/>
      <w:tabs>
        <w:tab w:val="left" w:pos="360"/>
      </w:tabs>
      <w:ind w:left="360"/>
      <w:jc w:val="center"/>
      <w:outlineLvl w:val="5"/>
    </w:pPr>
    <w:rPr>
      <w:rFonts w:ascii="Arial" w:hAnsi="Arial" w:cs="Arial"/>
      <w:b/>
      <w:bCs/>
      <w:color w:val="000000"/>
      <w:sz w:val="20"/>
      <w:szCs w:val="20"/>
    </w:rPr>
  </w:style>
  <w:style w:type="paragraph" w:styleId="Heading7">
    <w:name w:val="heading 7"/>
    <w:basedOn w:val="Normal"/>
    <w:next w:val="Normal"/>
    <w:qFormat/>
    <w:pPr>
      <w:keepNext/>
      <w:ind w:firstLine="360"/>
      <w:outlineLvl w:val="6"/>
    </w:pPr>
    <w:rPr>
      <w:rFonts w:ascii="Arial" w:hAnsi="Arial" w:cs="Arial"/>
      <w:b/>
      <w:bCs/>
      <w:sz w:val="20"/>
      <w:szCs w:val="20"/>
      <w:u w:val="single"/>
    </w:rPr>
  </w:style>
  <w:style w:type="paragraph" w:styleId="Heading8">
    <w:name w:val="heading 8"/>
    <w:basedOn w:val="Normal"/>
    <w:next w:val="Normal"/>
    <w:qFormat/>
    <w:pPr>
      <w:keepNext/>
      <w:ind w:left="360"/>
      <w:outlineLvl w:val="7"/>
    </w:pPr>
    <w:rPr>
      <w:b/>
      <w:bCs/>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Cambria"/>
      <w:b/>
      <w:bCs/>
      <w:kern w:val="32"/>
      <w:sz w:val="32"/>
      <w:szCs w:val="32"/>
    </w:rPr>
  </w:style>
  <w:style w:type="character" w:customStyle="1" w:styleId="Heading2Char">
    <w:name w:val="Heading 2 Char"/>
    <w:semiHidden/>
    <w:rPr>
      <w:rFonts w:ascii="Cambria" w:hAnsi="Cambria" w:cs="Cambria"/>
      <w:b/>
      <w:bCs/>
      <w:i/>
      <w:iCs/>
      <w:sz w:val="28"/>
      <w:szCs w:val="28"/>
    </w:rPr>
  </w:style>
  <w:style w:type="character" w:customStyle="1" w:styleId="Heading3Char">
    <w:name w:val="Heading 3 Char"/>
    <w:semiHidden/>
    <w:rPr>
      <w:rFonts w:ascii="Cambria" w:hAnsi="Cambria" w:cs="Cambria"/>
      <w:b/>
      <w:bCs/>
      <w:sz w:val="26"/>
      <w:szCs w:val="26"/>
    </w:rPr>
  </w:style>
  <w:style w:type="character" w:customStyle="1" w:styleId="Heading4Char">
    <w:name w:val="Heading 4 Char"/>
    <w:semiHidden/>
    <w:rPr>
      <w:rFonts w:ascii="Calibri" w:hAnsi="Calibri" w:cs="Calibri"/>
      <w:b/>
      <w:bCs/>
      <w:sz w:val="28"/>
      <w:szCs w:val="28"/>
    </w:rPr>
  </w:style>
  <w:style w:type="character" w:customStyle="1" w:styleId="Heading5Char">
    <w:name w:val="Heading 5 Char"/>
    <w:semiHidden/>
    <w:rPr>
      <w:rFonts w:ascii="Calibri" w:hAnsi="Calibri" w:cs="Calibri"/>
      <w:b/>
      <w:bCs/>
      <w:i/>
      <w:iCs/>
      <w:sz w:val="26"/>
      <w:szCs w:val="26"/>
    </w:rPr>
  </w:style>
  <w:style w:type="character" w:customStyle="1" w:styleId="Heading6Char">
    <w:name w:val="Heading 6 Char"/>
    <w:semiHidden/>
    <w:rPr>
      <w:rFonts w:ascii="Calibri" w:hAnsi="Calibri" w:cs="Calibri"/>
      <w:b/>
      <w:bCs/>
    </w:rPr>
  </w:style>
  <w:style w:type="character" w:customStyle="1" w:styleId="Heading7Char">
    <w:name w:val="Heading 7 Char"/>
    <w:semiHidden/>
    <w:rPr>
      <w:rFonts w:ascii="Calibri" w:hAnsi="Calibri" w:cs="Calibri"/>
      <w:sz w:val="24"/>
      <w:szCs w:val="24"/>
    </w:rPr>
  </w:style>
  <w:style w:type="character" w:customStyle="1" w:styleId="Heading8Char">
    <w:name w:val="Heading 8 Char"/>
    <w:semiHidden/>
    <w:rPr>
      <w:rFonts w:ascii="Calibri" w:hAnsi="Calibri" w:cs="Calibri"/>
      <w:i/>
      <w:iCs/>
      <w:sz w:val="24"/>
      <w:szCs w:val="24"/>
    </w:rPr>
  </w:style>
  <w:style w:type="paragraph" w:styleId="BodyTextIndent">
    <w:name w:val="Body Text Indent"/>
    <w:basedOn w:val="Normal"/>
    <w:pPr>
      <w:jc w:val="both"/>
    </w:pPr>
    <w:rPr>
      <w:color w:val="000000"/>
      <w:sz w:val="20"/>
      <w:szCs w:val="20"/>
    </w:rPr>
  </w:style>
  <w:style w:type="character" w:customStyle="1" w:styleId="BodyText2Char">
    <w:name w:val="Body Text 2 Char"/>
    <w:semiHidden/>
    <w:rPr>
      <w:rFonts w:cs="Times New Roman"/>
      <w:sz w:val="24"/>
      <w:szCs w:val="24"/>
    </w:rPr>
  </w:style>
  <w:style w:type="paragraph" w:styleId="Title">
    <w:name w:val="Title"/>
    <w:basedOn w:val="Normal"/>
    <w:qFormat/>
    <w:pPr>
      <w:jc w:val="center"/>
    </w:pPr>
    <w:rPr>
      <w:rFonts w:ascii="Arial" w:hAnsi="Arial" w:cs="Arial"/>
      <w:b/>
      <w:bCs/>
      <w:sz w:val="22"/>
      <w:szCs w:val="22"/>
    </w:rPr>
  </w:style>
  <w:style w:type="character" w:customStyle="1" w:styleId="TitleChar">
    <w:name w:val="Title Char"/>
    <w:rPr>
      <w:rFonts w:ascii="Cambria" w:hAnsi="Cambria" w:cs="Cambria"/>
      <w:b/>
      <w:bCs/>
      <w:kern w:val="28"/>
      <w:sz w:val="32"/>
      <w:szCs w:val="32"/>
    </w:rPr>
  </w:style>
  <w:style w:type="paragraph" w:styleId="BodyTextIndent2">
    <w:name w:val="Body Text Indent 2"/>
    <w:basedOn w:val="Normal"/>
    <w:pPr>
      <w:autoSpaceDE w:val="0"/>
      <w:autoSpaceDN w:val="0"/>
      <w:adjustRightInd w:val="0"/>
      <w:ind w:left="1260"/>
    </w:pPr>
    <w:rPr>
      <w:rFonts w:ascii="Arial" w:hAnsi="Arial" w:cs="Arial"/>
      <w:sz w:val="22"/>
      <w:szCs w:val="22"/>
    </w:rPr>
  </w:style>
  <w:style w:type="character" w:customStyle="1" w:styleId="BodyTextIndent2Char">
    <w:name w:val="Body Text Indent 2 Char"/>
    <w:rPr>
      <w:rFonts w:cs="Times New Roman"/>
      <w:sz w:val="24"/>
      <w:szCs w:val="24"/>
    </w:rPr>
  </w:style>
  <w:style w:type="paragraph" w:styleId="BodyTextIndent3">
    <w:name w:val="Body Text Indent 3"/>
    <w:basedOn w:val="Normal"/>
    <w:pPr>
      <w:ind w:left="1260"/>
    </w:pPr>
  </w:style>
  <w:style w:type="character" w:customStyle="1" w:styleId="BodyTextIndent3Char">
    <w:name w:val="Body Text Indent 3 Char"/>
    <w:semiHidden/>
    <w:rPr>
      <w:rFonts w:cs="Times New Roman"/>
      <w:sz w:val="16"/>
      <w:szCs w:val="16"/>
    </w:rPr>
  </w:style>
  <w:style w:type="paragraph" w:styleId="Footer">
    <w:name w:val="footer"/>
    <w:basedOn w:val="Normal"/>
    <w:pPr>
      <w:tabs>
        <w:tab w:val="center" w:pos="4320"/>
        <w:tab w:val="right" w:pos="8640"/>
      </w:tabs>
    </w:pPr>
  </w:style>
  <w:style w:type="character" w:customStyle="1" w:styleId="FooterChar">
    <w:name w:val="Footer Char"/>
    <w:semiHidden/>
    <w:rPr>
      <w:rFonts w:cs="Times New Roman"/>
      <w:sz w:val="24"/>
      <w:szCs w:val="24"/>
    </w:rPr>
  </w:style>
  <w:style w:type="character" w:styleId="PageNumber">
    <w:name w:val="page number"/>
    <w:rPr>
      <w:rFonts w:cs="Times New Roman"/>
    </w:rPr>
  </w:style>
  <w:style w:type="character" w:styleId="Hyperlink">
    <w:name w:val="Hyperlink"/>
    <w:uiPriority w:val="99"/>
    <w:rPr>
      <w:rFonts w:cs="Times New Roman"/>
      <w:color w:val="0000FF"/>
      <w:u w:val="single"/>
    </w:rPr>
  </w:style>
  <w:style w:type="paragraph" w:styleId="BodyText">
    <w:name w:val="Body Text"/>
    <w:basedOn w:val="Normal"/>
    <w:rPr>
      <w:rFonts w:ascii="Arial" w:hAnsi="Arial" w:cs="Arial"/>
      <w:sz w:val="22"/>
      <w:szCs w:val="22"/>
    </w:rPr>
  </w:style>
  <w:style w:type="character" w:customStyle="1" w:styleId="BodyTextChar">
    <w:name w:val="Body Text Char"/>
    <w:semiHidden/>
    <w:rPr>
      <w:rFonts w:cs="Times New Roman"/>
      <w:sz w:val="24"/>
      <w:szCs w:val="24"/>
    </w:rPr>
  </w:style>
  <w:style w:type="paragraph" w:styleId="FootnoteText">
    <w:name w:val="footnote text"/>
    <w:basedOn w:val="Normal"/>
    <w:semiHidden/>
    <w:rPr>
      <w:sz w:val="20"/>
      <w:szCs w:val="20"/>
    </w:rPr>
  </w:style>
  <w:style w:type="character" w:customStyle="1" w:styleId="FootnoteTextChar">
    <w:name w:val="Footnote Text Char"/>
    <w:semiHidden/>
    <w:rPr>
      <w:rFonts w:cs="Times New Roman"/>
      <w:sz w:val="20"/>
      <w:szCs w:val="20"/>
    </w:rPr>
  </w:style>
  <w:style w:type="character" w:styleId="FootnoteReference">
    <w:name w:val="footnote reference"/>
    <w:semiHidden/>
    <w:rPr>
      <w:rFonts w:cs="Times New Roman"/>
      <w:vertAlign w:val="superscript"/>
    </w:rPr>
  </w:style>
  <w:style w:type="character" w:styleId="FollowedHyperlink">
    <w:name w:val="FollowedHyperlink"/>
    <w:rPr>
      <w:rFonts w:cs="Times New Roman"/>
      <w:color w:val="800080"/>
      <w:u w:val="single"/>
    </w:rPr>
  </w:style>
  <w:style w:type="paragraph" w:styleId="Header">
    <w:name w:val="header"/>
    <w:basedOn w:val="Normal"/>
    <w:pPr>
      <w:tabs>
        <w:tab w:val="center" w:pos="4320"/>
        <w:tab w:val="right" w:pos="8640"/>
      </w:tabs>
    </w:pPr>
  </w:style>
  <w:style w:type="character" w:customStyle="1" w:styleId="HeaderChar">
    <w:name w:val="Header Char"/>
    <w:semiHidden/>
    <w:rPr>
      <w:rFonts w:cs="Times New Roman"/>
      <w:sz w:val="24"/>
      <w:szCs w:val="24"/>
    </w:rPr>
  </w:style>
  <w:style w:type="paragraph" w:styleId="BodyText3">
    <w:name w:val="Body Text 3"/>
    <w:basedOn w:val="Normal"/>
    <w:rPr>
      <w:rFonts w:ascii="Arial" w:hAnsi="Arial" w:cs="Arial"/>
      <w:sz w:val="20"/>
      <w:szCs w:val="20"/>
    </w:rPr>
  </w:style>
  <w:style w:type="character" w:customStyle="1" w:styleId="BodyText3Char">
    <w:name w:val="Body Text 3 Char"/>
    <w:semiHidden/>
    <w:rPr>
      <w:rFonts w:cs="Times New Roman"/>
      <w:sz w:val="16"/>
      <w:szCs w:val="16"/>
    </w:rPr>
  </w:style>
  <w:style w:type="paragraph" w:customStyle="1" w:styleId="Default">
    <w:name w:val="Default"/>
    <w:pPr>
      <w:autoSpaceDE w:val="0"/>
      <w:autoSpaceDN w:val="0"/>
      <w:adjustRightInd w:val="0"/>
    </w:pPr>
    <w:rPr>
      <w:rFonts w:ascii="TimesNewRoman,Bold" w:hAnsi="TimesNewRoman,Bold" w:cs="TimesNewRoman,Bold"/>
    </w:rPr>
  </w:style>
  <w:style w:type="paragraph" w:styleId="PlainText">
    <w:name w:val="Plain Text"/>
    <w:basedOn w:val="Normal"/>
    <w:rPr>
      <w:rFonts w:ascii="Courier New" w:hAnsi="Courier New" w:cs="Courier New"/>
    </w:rPr>
  </w:style>
  <w:style w:type="character" w:customStyle="1" w:styleId="PlainTextChar">
    <w:name w:val="Plain Text Char"/>
    <w:rPr>
      <w:rFonts w:ascii="Courier New" w:hAnsi="Courier New" w:cs="Courier New"/>
      <w:sz w:val="24"/>
      <w:szCs w:val="24"/>
      <w:lang w:val="en-US" w:eastAsia="en-US"/>
    </w:r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basedOn w:val="Normal"/>
    <w:uiPriority w:val="34"/>
    <w:qFormat/>
    <w:pPr>
      <w:spacing w:after="200" w:line="276" w:lineRule="auto"/>
      <w:ind w:left="720"/>
      <w:contextualSpacing/>
    </w:pPr>
    <w:rPr>
      <w:rFonts w:ascii="Arial" w:hAnsi="Arial" w:cs="Arial"/>
      <w:sz w:val="20"/>
      <w:szCs w:val="20"/>
    </w:rPr>
  </w:style>
  <w:style w:type="paragraph" w:styleId="NoSpacing">
    <w:name w:val="No Spacing"/>
    <w:uiPriority w:val="1"/>
    <w:qFormat/>
    <w:rPr>
      <w:rFonts w:ascii="Arial" w:eastAsia="Calibri" w:hAnsi="Arial" w:cs="Arial"/>
      <w:szCs w:val="24"/>
    </w:rPr>
  </w:style>
  <w:style w:type="character" w:customStyle="1" w:styleId="NoSpacingChar">
    <w:name w:val="No Spacing Char"/>
    <w:uiPriority w:val="1"/>
    <w:rPr>
      <w:rFonts w:ascii="Arial" w:eastAsia="Calibri" w:hAnsi="Arial" w:cs="Arial"/>
      <w:szCs w:val="24"/>
      <w:lang w:val="en-US" w:eastAsia="en-US" w:bidi="ar-SA"/>
    </w:rPr>
  </w:style>
  <w:style w:type="paragraph" w:styleId="BalloonText">
    <w:name w:val="Balloon Text"/>
    <w:basedOn w:val="Normal"/>
    <w:semiHidden/>
    <w:rsid w:val="00920C9C"/>
    <w:rPr>
      <w:rFonts w:ascii="Tahoma" w:hAnsi="Tahoma" w:cs="Tahoma"/>
      <w:sz w:val="16"/>
      <w:szCs w:val="16"/>
    </w:rPr>
  </w:style>
  <w:style w:type="paragraph" w:styleId="NormalWeb">
    <w:name w:val="Normal (Web)"/>
    <w:basedOn w:val="Normal"/>
    <w:uiPriority w:val="99"/>
    <w:unhideWhenUsed/>
    <w:rsid w:val="00CE388E"/>
    <w:pPr>
      <w:spacing w:before="100" w:beforeAutospacing="1" w:after="100" w:afterAutospacing="1"/>
    </w:pPr>
    <w:rPr>
      <w:rFonts w:eastAsiaTheme="minorHAnsi"/>
    </w:rPr>
  </w:style>
  <w:style w:type="table" w:styleId="TableGrid">
    <w:name w:val="Table Grid"/>
    <w:basedOn w:val="TableNormal"/>
    <w:uiPriority w:val="59"/>
    <w:rsid w:val="00A525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9143">
      <w:bodyDiv w:val="1"/>
      <w:marLeft w:val="0"/>
      <w:marRight w:val="0"/>
      <w:marTop w:val="0"/>
      <w:marBottom w:val="0"/>
      <w:divBdr>
        <w:top w:val="none" w:sz="0" w:space="0" w:color="auto"/>
        <w:left w:val="none" w:sz="0" w:space="0" w:color="auto"/>
        <w:bottom w:val="none" w:sz="0" w:space="0" w:color="auto"/>
        <w:right w:val="none" w:sz="0" w:space="0" w:color="auto"/>
      </w:divBdr>
    </w:div>
    <w:div w:id="353918787">
      <w:bodyDiv w:val="1"/>
      <w:marLeft w:val="0"/>
      <w:marRight w:val="0"/>
      <w:marTop w:val="0"/>
      <w:marBottom w:val="0"/>
      <w:divBdr>
        <w:top w:val="none" w:sz="0" w:space="0" w:color="auto"/>
        <w:left w:val="none" w:sz="0" w:space="0" w:color="auto"/>
        <w:bottom w:val="none" w:sz="0" w:space="0" w:color="auto"/>
        <w:right w:val="none" w:sz="0" w:space="0" w:color="auto"/>
      </w:divBdr>
    </w:div>
    <w:div w:id="413286200">
      <w:bodyDiv w:val="1"/>
      <w:marLeft w:val="0"/>
      <w:marRight w:val="0"/>
      <w:marTop w:val="0"/>
      <w:marBottom w:val="0"/>
      <w:divBdr>
        <w:top w:val="none" w:sz="0" w:space="0" w:color="auto"/>
        <w:left w:val="none" w:sz="0" w:space="0" w:color="auto"/>
        <w:bottom w:val="none" w:sz="0" w:space="0" w:color="auto"/>
        <w:right w:val="none" w:sz="0" w:space="0" w:color="auto"/>
      </w:divBdr>
    </w:div>
    <w:div w:id="447238740">
      <w:bodyDiv w:val="1"/>
      <w:marLeft w:val="0"/>
      <w:marRight w:val="0"/>
      <w:marTop w:val="0"/>
      <w:marBottom w:val="0"/>
      <w:divBdr>
        <w:top w:val="none" w:sz="0" w:space="0" w:color="auto"/>
        <w:left w:val="none" w:sz="0" w:space="0" w:color="auto"/>
        <w:bottom w:val="none" w:sz="0" w:space="0" w:color="auto"/>
        <w:right w:val="none" w:sz="0" w:space="0" w:color="auto"/>
      </w:divBdr>
    </w:div>
    <w:div w:id="579682069">
      <w:bodyDiv w:val="1"/>
      <w:marLeft w:val="0"/>
      <w:marRight w:val="0"/>
      <w:marTop w:val="0"/>
      <w:marBottom w:val="0"/>
      <w:divBdr>
        <w:top w:val="none" w:sz="0" w:space="0" w:color="auto"/>
        <w:left w:val="none" w:sz="0" w:space="0" w:color="auto"/>
        <w:bottom w:val="none" w:sz="0" w:space="0" w:color="auto"/>
        <w:right w:val="none" w:sz="0" w:space="0" w:color="auto"/>
      </w:divBdr>
    </w:div>
    <w:div w:id="1064988387">
      <w:bodyDiv w:val="1"/>
      <w:marLeft w:val="0"/>
      <w:marRight w:val="0"/>
      <w:marTop w:val="0"/>
      <w:marBottom w:val="0"/>
      <w:divBdr>
        <w:top w:val="none" w:sz="0" w:space="0" w:color="auto"/>
        <w:left w:val="none" w:sz="0" w:space="0" w:color="auto"/>
        <w:bottom w:val="none" w:sz="0" w:space="0" w:color="auto"/>
        <w:right w:val="none" w:sz="0" w:space="0" w:color="auto"/>
      </w:divBdr>
    </w:div>
    <w:div w:id="1326471849">
      <w:bodyDiv w:val="1"/>
      <w:marLeft w:val="0"/>
      <w:marRight w:val="0"/>
      <w:marTop w:val="0"/>
      <w:marBottom w:val="0"/>
      <w:divBdr>
        <w:top w:val="none" w:sz="0" w:space="0" w:color="auto"/>
        <w:left w:val="none" w:sz="0" w:space="0" w:color="auto"/>
        <w:bottom w:val="none" w:sz="0" w:space="0" w:color="auto"/>
        <w:right w:val="none" w:sz="0" w:space="0" w:color="auto"/>
      </w:divBdr>
    </w:div>
    <w:div w:id="1462305194">
      <w:bodyDiv w:val="1"/>
      <w:marLeft w:val="0"/>
      <w:marRight w:val="0"/>
      <w:marTop w:val="0"/>
      <w:marBottom w:val="0"/>
      <w:divBdr>
        <w:top w:val="none" w:sz="0" w:space="0" w:color="auto"/>
        <w:left w:val="none" w:sz="0" w:space="0" w:color="auto"/>
        <w:bottom w:val="none" w:sz="0" w:space="0" w:color="auto"/>
        <w:right w:val="none" w:sz="0" w:space="0" w:color="auto"/>
      </w:divBdr>
    </w:div>
    <w:div w:id="1548300368">
      <w:bodyDiv w:val="1"/>
      <w:marLeft w:val="0"/>
      <w:marRight w:val="0"/>
      <w:marTop w:val="0"/>
      <w:marBottom w:val="0"/>
      <w:divBdr>
        <w:top w:val="none" w:sz="0" w:space="0" w:color="auto"/>
        <w:left w:val="none" w:sz="0" w:space="0" w:color="auto"/>
        <w:bottom w:val="none" w:sz="0" w:space="0" w:color="auto"/>
        <w:right w:val="none" w:sz="0" w:space="0" w:color="auto"/>
      </w:divBdr>
    </w:div>
    <w:div w:id="1663505865">
      <w:bodyDiv w:val="1"/>
      <w:marLeft w:val="0"/>
      <w:marRight w:val="0"/>
      <w:marTop w:val="0"/>
      <w:marBottom w:val="0"/>
      <w:divBdr>
        <w:top w:val="none" w:sz="0" w:space="0" w:color="auto"/>
        <w:left w:val="none" w:sz="0" w:space="0" w:color="auto"/>
        <w:bottom w:val="none" w:sz="0" w:space="0" w:color="auto"/>
        <w:right w:val="none" w:sz="0" w:space="0" w:color="auto"/>
      </w:divBdr>
    </w:div>
    <w:div w:id="1850556750">
      <w:bodyDiv w:val="1"/>
      <w:marLeft w:val="0"/>
      <w:marRight w:val="0"/>
      <w:marTop w:val="0"/>
      <w:marBottom w:val="0"/>
      <w:divBdr>
        <w:top w:val="none" w:sz="0" w:space="0" w:color="auto"/>
        <w:left w:val="none" w:sz="0" w:space="0" w:color="auto"/>
        <w:bottom w:val="none" w:sz="0" w:space="0" w:color="auto"/>
        <w:right w:val="none" w:sz="0" w:space="0" w:color="auto"/>
      </w:divBdr>
    </w:div>
    <w:div w:id="2046976949">
      <w:bodyDiv w:val="1"/>
      <w:marLeft w:val="0"/>
      <w:marRight w:val="0"/>
      <w:marTop w:val="0"/>
      <w:marBottom w:val="0"/>
      <w:divBdr>
        <w:top w:val="none" w:sz="0" w:space="0" w:color="auto"/>
        <w:left w:val="none" w:sz="0" w:space="0" w:color="auto"/>
        <w:bottom w:val="none" w:sz="0" w:space="0" w:color="auto"/>
        <w:right w:val="none" w:sz="0" w:space="0" w:color="auto"/>
      </w:divBdr>
    </w:div>
    <w:div w:id="207195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Talent.org" TargetMode="External"/><Relationship Id="rId4" Type="http://schemas.openxmlformats.org/officeDocument/2006/relationships/settings" Target="settings.xml"/><Relationship Id="rId9" Type="http://schemas.openxmlformats.org/officeDocument/2006/relationships/hyperlink" Target="http://www.mitalent.org/prosperity-region-talent-map/"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HCS084VSNBPF004\DLEG4\ADULTED\HOME\akujobic\Final%20Report\2014\Enrollment%20Trend%20Dat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Enrollment Trend Data</a:t>
            </a:r>
          </a:p>
        </c:rich>
      </c:tx>
      <c:layout/>
      <c:overlay val="0"/>
    </c:title>
    <c:autoTitleDeleted val="0"/>
    <c:plotArea>
      <c:layout/>
      <c:lineChart>
        <c:grouping val="standard"/>
        <c:varyColors val="0"/>
        <c:ser>
          <c:idx val="0"/>
          <c:order val="0"/>
          <c:tx>
            <c:strRef>
              <c:f>Sheet1!$B$4</c:f>
              <c:strCache>
                <c:ptCount val="1"/>
                <c:pt idx="0">
                  <c:v>Enrollment</c:v>
                </c:pt>
              </c:strCache>
            </c:strRef>
          </c:tx>
          <c:marker>
            <c:symbol val="none"/>
          </c:marker>
          <c:cat>
            <c:strRef>
              <c:f>Sheet1!$A$5:$A$19</c:f>
              <c:strCache>
                <c:ptCount val="15"/>
                <c:pt idx="0">
                  <c:v>1999/2000</c:v>
                </c:pt>
                <c:pt idx="1">
                  <c:v>2000/2001</c:v>
                </c:pt>
                <c:pt idx="2">
                  <c:v>2001/2002</c:v>
                </c:pt>
                <c:pt idx="3">
                  <c:v>2002/2003</c:v>
                </c:pt>
                <c:pt idx="4">
                  <c:v>2003/2004</c:v>
                </c:pt>
                <c:pt idx="5">
                  <c:v>2004/2005</c:v>
                </c:pt>
                <c:pt idx="6">
                  <c:v>2005/2006</c:v>
                </c:pt>
                <c:pt idx="7">
                  <c:v>2006/2007</c:v>
                </c:pt>
                <c:pt idx="8">
                  <c:v>2007-2008</c:v>
                </c:pt>
                <c:pt idx="9">
                  <c:v>2008-2009</c:v>
                </c:pt>
                <c:pt idx="10">
                  <c:v>2009-2010</c:v>
                </c:pt>
                <c:pt idx="11">
                  <c:v>2010-2011</c:v>
                </c:pt>
                <c:pt idx="12">
                  <c:v>2011-2012</c:v>
                </c:pt>
                <c:pt idx="13">
                  <c:v>2012-2013</c:v>
                </c:pt>
                <c:pt idx="14">
                  <c:v>2013-2014</c:v>
                </c:pt>
              </c:strCache>
            </c:strRef>
          </c:cat>
          <c:val>
            <c:numRef>
              <c:f>Sheet1!$B$5:$B$19</c:f>
              <c:numCache>
                <c:formatCode>#,##0</c:formatCode>
                <c:ptCount val="15"/>
                <c:pt idx="0">
                  <c:v>86218</c:v>
                </c:pt>
                <c:pt idx="1">
                  <c:v>56096</c:v>
                </c:pt>
                <c:pt idx="2">
                  <c:v>75988</c:v>
                </c:pt>
                <c:pt idx="3">
                  <c:v>70893</c:v>
                </c:pt>
                <c:pt idx="4">
                  <c:v>48237</c:v>
                </c:pt>
                <c:pt idx="5">
                  <c:v>34768</c:v>
                </c:pt>
                <c:pt idx="6">
                  <c:v>32024</c:v>
                </c:pt>
                <c:pt idx="7">
                  <c:v>32856</c:v>
                </c:pt>
                <c:pt idx="8">
                  <c:v>30571</c:v>
                </c:pt>
                <c:pt idx="9">
                  <c:v>28243</c:v>
                </c:pt>
                <c:pt idx="10">
                  <c:v>31106</c:v>
                </c:pt>
                <c:pt idx="11">
                  <c:v>32840</c:v>
                </c:pt>
                <c:pt idx="12">
                  <c:v>34220</c:v>
                </c:pt>
                <c:pt idx="13">
                  <c:v>29533</c:v>
                </c:pt>
                <c:pt idx="14">
                  <c:v>28625</c:v>
                </c:pt>
              </c:numCache>
            </c:numRef>
          </c:val>
          <c:smooth val="0"/>
        </c:ser>
        <c:dLbls>
          <c:showLegendKey val="0"/>
          <c:showVal val="0"/>
          <c:showCatName val="0"/>
          <c:showSerName val="0"/>
          <c:showPercent val="0"/>
          <c:showBubbleSize val="0"/>
        </c:dLbls>
        <c:marker val="1"/>
        <c:smooth val="0"/>
        <c:axId val="52949760"/>
        <c:axId val="52951296"/>
      </c:lineChart>
      <c:catAx>
        <c:axId val="52949760"/>
        <c:scaling>
          <c:orientation val="minMax"/>
        </c:scaling>
        <c:delete val="0"/>
        <c:axPos val="b"/>
        <c:numFmt formatCode="General" sourceLinked="1"/>
        <c:majorTickMark val="out"/>
        <c:minorTickMark val="none"/>
        <c:tickLblPos val="nextTo"/>
        <c:crossAx val="52951296"/>
        <c:crosses val="autoZero"/>
        <c:auto val="1"/>
        <c:lblAlgn val="ctr"/>
        <c:lblOffset val="100"/>
        <c:noMultiLvlLbl val="0"/>
      </c:catAx>
      <c:valAx>
        <c:axId val="52951296"/>
        <c:scaling>
          <c:orientation val="minMax"/>
        </c:scaling>
        <c:delete val="0"/>
        <c:axPos val="l"/>
        <c:majorGridlines/>
        <c:numFmt formatCode="#,##0" sourceLinked="1"/>
        <c:majorTickMark val="out"/>
        <c:minorTickMark val="none"/>
        <c:tickLblPos val="nextTo"/>
        <c:crossAx val="5294976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10</Pages>
  <Words>4566</Words>
  <Characters>26032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MICHIGAN DEPARTMENT OF CAREER DEVELOPMENT</vt:lpstr>
    </vt:vector>
  </TitlesOfParts>
  <Company>Michigan Dept of Education</Company>
  <LinksUpToDate>false</LinksUpToDate>
  <CharactersWithSpaces>30537</CharactersWithSpaces>
  <SharedDoc>false</SharedDoc>
  <HLinks>
    <vt:vector size="24" baseType="variant">
      <vt:variant>
        <vt:i4>6160464</vt:i4>
      </vt:variant>
      <vt:variant>
        <vt:i4>9</vt:i4>
      </vt:variant>
      <vt:variant>
        <vt:i4>0</vt:i4>
      </vt:variant>
      <vt:variant>
        <vt:i4>5</vt:i4>
      </vt:variant>
      <vt:variant>
        <vt:lpwstr>http://www.michigan.org/</vt:lpwstr>
      </vt:variant>
      <vt:variant>
        <vt:lpwstr/>
      </vt:variant>
      <vt:variant>
        <vt:i4>524369</vt:i4>
      </vt:variant>
      <vt:variant>
        <vt:i4>6</vt:i4>
      </vt:variant>
      <vt:variant>
        <vt:i4>0</vt:i4>
      </vt:variant>
      <vt:variant>
        <vt:i4>5</vt:i4>
      </vt:variant>
      <vt:variant>
        <vt:lpwstr>https://sites.google.com/globalmichigan/homw</vt:lpwstr>
      </vt:variant>
      <vt:variant>
        <vt:lpwstr/>
      </vt:variant>
      <vt:variant>
        <vt:i4>5767178</vt:i4>
      </vt:variant>
      <vt:variant>
        <vt:i4>3</vt:i4>
      </vt:variant>
      <vt:variant>
        <vt:i4>0</vt:i4>
      </vt:variant>
      <vt:variant>
        <vt:i4>5</vt:i4>
      </vt:variant>
      <vt:variant>
        <vt:lpwstr>http://www.talentfreeway.org/</vt:lpwstr>
      </vt:variant>
      <vt:variant>
        <vt:lpwstr/>
      </vt:variant>
      <vt:variant>
        <vt:i4>589854</vt:i4>
      </vt:variant>
      <vt:variant>
        <vt:i4>0</vt:i4>
      </vt:variant>
      <vt:variant>
        <vt:i4>0</vt:i4>
      </vt:variant>
      <vt:variant>
        <vt:i4>5</vt:i4>
      </vt:variant>
      <vt:variant>
        <vt:lpwstr>http://www.maepd.org/lib-careerpathways.html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DEPARTMENT OF CAREER DEVELOPMENT</dc:title>
  <dc:creator>Rhonda Mitchell</dc:creator>
  <cp:lastModifiedBy>Akujobi, Clifford (WDA)</cp:lastModifiedBy>
  <cp:revision>30</cp:revision>
  <cp:lastPrinted>2014-12-16T19:40:00Z</cp:lastPrinted>
  <dcterms:created xsi:type="dcterms:W3CDTF">2015-01-12T15:40:00Z</dcterms:created>
  <dcterms:modified xsi:type="dcterms:W3CDTF">2015-01-12T17:21:00Z</dcterms:modified>
</cp:coreProperties>
</file>