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6D" w:rsidRDefault="0022316D" w:rsidP="00FD2F3E">
      <w:pPr>
        <w:pStyle w:val="Title"/>
        <w:jc w:val="center"/>
        <w:rPr>
          <w:sz w:val="36"/>
          <w:szCs w:val="36"/>
        </w:rPr>
      </w:pPr>
      <w:r w:rsidRPr="00FD2F3E">
        <w:rPr>
          <w:sz w:val="36"/>
          <w:szCs w:val="36"/>
        </w:rPr>
        <w:t>Alabama Narrative Report 2013-2014</w:t>
      </w:r>
    </w:p>
    <w:p w:rsidR="00FD2F3E" w:rsidRPr="00FD2F3E" w:rsidRDefault="00FD2F3E" w:rsidP="00FD2F3E"/>
    <w:p w:rsidR="00AD52B0" w:rsidRPr="00FD2F3E" w:rsidRDefault="0022316D" w:rsidP="00FD2F3E">
      <w:pPr>
        <w:jc w:val="both"/>
        <w:rPr>
          <w:b/>
          <w:sz w:val="24"/>
          <w:szCs w:val="24"/>
        </w:rPr>
      </w:pPr>
      <w:r w:rsidRPr="00FD2F3E">
        <w:rPr>
          <w:b/>
          <w:sz w:val="24"/>
          <w:szCs w:val="24"/>
        </w:rPr>
        <w:t>State Leadership Fund:</w:t>
      </w:r>
      <w:r w:rsidR="00FD2F3E" w:rsidRPr="00FD2F3E">
        <w:rPr>
          <w:b/>
          <w:sz w:val="24"/>
          <w:szCs w:val="24"/>
        </w:rPr>
        <w:t xml:space="preserve">  </w:t>
      </w:r>
      <w:r w:rsidRPr="00FD2F3E">
        <w:rPr>
          <w:b/>
          <w:sz w:val="24"/>
          <w:szCs w:val="24"/>
        </w:rPr>
        <w:t>Describe the major activities supported with State Leadership funding during the reporting period and the extent to which these activities helped you in implementing the goals of the State plan.  Specifically describe activities related to the implementation of career pathways.</w:t>
      </w:r>
    </w:p>
    <w:p w:rsidR="00AD52B0" w:rsidRPr="00FD2F3E" w:rsidRDefault="006318DB" w:rsidP="00642483">
      <w:pPr>
        <w:jc w:val="both"/>
        <w:rPr>
          <w:sz w:val="24"/>
          <w:szCs w:val="24"/>
        </w:rPr>
      </w:pPr>
      <w:r w:rsidRPr="00FD2F3E">
        <w:rPr>
          <w:sz w:val="24"/>
          <w:szCs w:val="24"/>
        </w:rPr>
        <w:t>In P</w:t>
      </w:r>
      <w:r w:rsidR="00E8202C" w:rsidRPr="00FD2F3E">
        <w:rPr>
          <w:sz w:val="24"/>
          <w:szCs w:val="24"/>
        </w:rPr>
        <w:t xml:space="preserve">Y </w:t>
      </w:r>
      <w:r w:rsidR="00E76404" w:rsidRPr="00FD2F3E">
        <w:rPr>
          <w:sz w:val="24"/>
          <w:szCs w:val="24"/>
        </w:rPr>
        <w:t>2013-</w:t>
      </w:r>
      <w:r w:rsidR="00E8202C" w:rsidRPr="00FD2F3E">
        <w:rPr>
          <w:sz w:val="24"/>
          <w:szCs w:val="24"/>
        </w:rPr>
        <w:t xml:space="preserve">2014 the Adult Education and Family Literacy Act (AEFLA) </w:t>
      </w:r>
      <w:r w:rsidR="00893BF4" w:rsidRPr="00FD2F3E">
        <w:rPr>
          <w:sz w:val="24"/>
          <w:szCs w:val="24"/>
        </w:rPr>
        <w:t xml:space="preserve">State Leadership funds </w:t>
      </w:r>
      <w:r w:rsidR="006162E9" w:rsidRPr="00FD2F3E">
        <w:rPr>
          <w:sz w:val="24"/>
          <w:szCs w:val="24"/>
        </w:rPr>
        <w:t xml:space="preserve">supported several </w:t>
      </w:r>
      <w:r w:rsidR="00893BF4" w:rsidRPr="00FD2F3E">
        <w:rPr>
          <w:sz w:val="24"/>
          <w:szCs w:val="24"/>
        </w:rPr>
        <w:t>major activit</w:t>
      </w:r>
      <w:r w:rsidR="00E8202C" w:rsidRPr="00FD2F3E">
        <w:rPr>
          <w:sz w:val="24"/>
          <w:szCs w:val="24"/>
        </w:rPr>
        <w:t>ies in Alabama</w:t>
      </w:r>
      <w:r w:rsidR="003721BE" w:rsidRPr="00FD2F3E">
        <w:rPr>
          <w:sz w:val="24"/>
          <w:szCs w:val="24"/>
        </w:rPr>
        <w:t xml:space="preserve"> designed to support the implementation of the goals set forth in the state plan</w:t>
      </w:r>
      <w:r w:rsidR="000022A8" w:rsidRPr="00FD2F3E">
        <w:rPr>
          <w:sz w:val="24"/>
          <w:szCs w:val="24"/>
        </w:rPr>
        <w:t xml:space="preserve"> particularly in the area of </w:t>
      </w:r>
      <w:r w:rsidR="001F74C5" w:rsidRPr="00FD2F3E">
        <w:rPr>
          <w:sz w:val="24"/>
          <w:szCs w:val="24"/>
        </w:rPr>
        <w:t>s</w:t>
      </w:r>
      <w:r w:rsidR="000022A8" w:rsidRPr="00FD2F3E">
        <w:rPr>
          <w:sz w:val="24"/>
          <w:szCs w:val="24"/>
        </w:rPr>
        <w:t>ystem support, performance, and monitoring</w:t>
      </w:r>
      <w:r w:rsidR="00E8202C" w:rsidRPr="00FD2F3E">
        <w:rPr>
          <w:sz w:val="24"/>
          <w:szCs w:val="24"/>
        </w:rPr>
        <w:t xml:space="preserve">.  </w:t>
      </w:r>
      <w:r w:rsidR="000022A8" w:rsidRPr="00FD2F3E">
        <w:rPr>
          <w:sz w:val="24"/>
          <w:szCs w:val="24"/>
        </w:rPr>
        <w:t>The specific activi</w:t>
      </w:r>
      <w:r w:rsidR="00F26293" w:rsidRPr="00FD2F3E">
        <w:rPr>
          <w:sz w:val="24"/>
          <w:szCs w:val="24"/>
        </w:rPr>
        <w:t>ties</w:t>
      </w:r>
      <w:r w:rsidR="001F74C5" w:rsidRPr="00FD2F3E">
        <w:rPr>
          <w:sz w:val="24"/>
          <w:szCs w:val="24"/>
        </w:rPr>
        <w:t xml:space="preserve"> involved the</w:t>
      </w:r>
      <w:r w:rsidR="00D36588" w:rsidRPr="00FD2F3E">
        <w:rPr>
          <w:sz w:val="24"/>
          <w:szCs w:val="24"/>
        </w:rPr>
        <w:t xml:space="preserve"> enhancement of the </w:t>
      </w:r>
      <w:r w:rsidR="00745468" w:rsidRPr="00FD2F3E">
        <w:rPr>
          <w:sz w:val="24"/>
          <w:szCs w:val="24"/>
        </w:rPr>
        <w:t xml:space="preserve">state’s data collection and reporting </w:t>
      </w:r>
      <w:r w:rsidR="00D36588" w:rsidRPr="00FD2F3E">
        <w:rPr>
          <w:sz w:val="24"/>
          <w:szCs w:val="24"/>
        </w:rPr>
        <w:t>system</w:t>
      </w:r>
      <w:r w:rsidR="00893BF4" w:rsidRPr="00FD2F3E">
        <w:rPr>
          <w:sz w:val="24"/>
          <w:szCs w:val="24"/>
        </w:rPr>
        <w:t xml:space="preserve">, </w:t>
      </w:r>
      <w:r w:rsidR="00F26293" w:rsidRPr="00FD2F3E">
        <w:rPr>
          <w:sz w:val="24"/>
          <w:szCs w:val="24"/>
        </w:rPr>
        <w:t xml:space="preserve">a statewide purchase of the </w:t>
      </w:r>
      <w:r w:rsidR="004167DA" w:rsidRPr="00FD2F3E">
        <w:rPr>
          <w:sz w:val="24"/>
          <w:szCs w:val="24"/>
        </w:rPr>
        <w:t xml:space="preserve">on-line </w:t>
      </w:r>
      <w:r w:rsidR="00F26293" w:rsidRPr="00FD2F3E">
        <w:rPr>
          <w:sz w:val="24"/>
          <w:szCs w:val="24"/>
        </w:rPr>
        <w:t>Test for Adult Basic Education (TABE</w:t>
      </w:r>
      <w:r w:rsidR="004A2A7C" w:rsidRPr="00FD2F3E">
        <w:rPr>
          <w:sz w:val="24"/>
          <w:szCs w:val="24"/>
        </w:rPr>
        <w:t>®</w:t>
      </w:r>
      <w:r w:rsidR="00F26293" w:rsidRPr="00FD2F3E">
        <w:rPr>
          <w:sz w:val="24"/>
          <w:szCs w:val="24"/>
        </w:rPr>
        <w:t xml:space="preserve">) </w:t>
      </w:r>
      <w:r w:rsidR="00E71D3D" w:rsidRPr="00FD2F3E">
        <w:rPr>
          <w:sz w:val="24"/>
          <w:szCs w:val="24"/>
        </w:rPr>
        <w:t>assessment</w:t>
      </w:r>
      <w:r w:rsidR="00EE6619" w:rsidRPr="00FD2F3E">
        <w:rPr>
          <w:sz w:val="24"/>
          <w:szCs w:val="24"/>
        </w:rPr>
        <w:t>, and professional development.</w:t>
      </w:r>
    </w:p>
    <w:p w:rsidR="00AD52B0" w:rsidRPr="00FD2F3E" w:rsidRDefault="00A50619" w:rsidP="006318DB">
      <w:pPr>
        <w:jc w:val="both"/>
        <w:rPr>
          <w:sz w:val="24"/>
          <w:szCs w:val="24"/>
        </w:rPr>
      </w:pPr>
      <w:r w:rsidRPr="00FD2F3E">
        <w:rPr>
          <w:sz w:val="24"/>
          <w:szCs w:val="24"/>
        </w:rPr>
        <w:t>T</w:t>
      </w:r>
      <w:r w:rsidR="00745468" w:rsidRPr="00FD2F3E">
        <w:rPr>
          <w:sz w:val="24"/>
          <w:szCs w:val="24"/>
        </w:rPr>
        <w:t xml:space="preserve">he </w:t>
      </w:r>
      <w:r w:rsidR="00893BF4" w:rsidRPr="00FD2F3E">
        <w:rPr>
          <w:sz w:val="24"/>
          <w:szCs w:val="24"/>
        </w:rPr>
        <w:t xml:space="preserve">Alabama Adult Education System of Accountability </w:t>
      </w:r>
      <w:r w:rsidR="00745468" w:rsidRPr="00FD2F3E">
        <w:rPr>
          <w:sz w:val="24"/>
          <w:szCs w:val="24"/>
        </w:rPr>
        <w:t xml:space="preserve">and Performance (AAESAP) </w:t>
      </w:r>
      <w:r w:rsidR="00893BF4" w:rsidRPr="00FD2F3E">
        <w:rPr>
          <w:sz w:val="24"/>
          <w:szCs w:val="24"/>
        </w:rPr>
        <w:t xml:space="preserve">is the data collection and reporting system for </w:t>
      </w:r>
      <w:r w:rsidR="00F07E18" w:rsidRPr="00FD2F3E">
        <w:rPr>
          <w:sz w:val="24"/>
          <w:szCs w:val="24"/>
        </w:rPr>
        <w:t xml:space="preserve">all </w:t>
      </w:r>
      <w:r w:rsidR="006C0478" w:rsidRPr="00FD2F3E">
        <w:rPr>
          <w:sz w:val="24"/>
          <w:szCs w:val="24"/>
        </w:rPr>
        <w:t xml:space="preserve">the adult education </w:t>
      </w:r>
      <w:r w:rsidR="00F07E18" w:rsidRPr="00FD2F3E">
        <w:rPr>
          <w:sz w:val="24"/>
          <w:szCs w:val="24"/>
        </w:rPr>
        <w:t xml:space="preserve">services </w:t>
      </w:r>
      <w:r w:rsidR="006C0478" w:rsidRPr="00FD2F3E">
        <w:rPr>
          <w:sz w:val="24"/>
          <w:szCs w:val="24"/>
        </w:rPr>
        <w:t>the state provides</w:t>
      </w:r>
      <w:r w:rsidR="00F07E18" w:rsidRPr="00FD2F3E">
        <w:rPr>
          <w:sz w:val="24"/>
          <w:szCs w:val="24"/>
        </w:rPr>
        <w:t xml:space="preserve"> under the Title II Adult Education and Family Literacy Act, in</w:t>
      </w:r>
      <w:r w:rsidR="006C0478" w:rsidRPr="00FD2F3E">
        <w:rPr>
          <w:sz w:val="24"/>
          <w:szCs w:val="24"/>
        </w:rPr>
        <w:t xml:space="preserve"> compliance with </w:t>
      </w:r>
      <w:r w:rsidR="00893BF4" w:rsidRPr="00FD2F3E">
        <w:rPr>
          <w:sz w:val="24"/>
          <w:szCs w:val="24"/>
        </w:rPr>
        <w:t>the Nati</w:t>
      </w:r>
      <w:r w:rsidR="006C0478" w:rsidRPr="00FD2F3E">
        <w:rPr>
          <w:sz w:val="24"/>
          <w:szCs w:val="24"/>
        </w:rPr>
        <w:t>onal Reporting System (NRS) guidelines</w:t>
      </w:r>
      <w:r w:rsidR="004167DA" w:rsidRPr="00FD2F3E">
        <w:rPr>
          <w:sz w:val="24"/>
          <w:szCs w:val="24"/>
        </w:rPr>
        <w:t xml:space="preserve">.  AAESAP </w:t>
      </w:r>
      <w:r w:rsidR="006162E9" w:rsidRPr="00FD2F3E">
        <w:rPr>
          <w:sz w:val="24"/>
          <w:szCs w:val="24"/>
        </w:rPr>
        <w:t xml:space="preserve">is the source from which </w:t>
      </w:r>
      <w:r w:rsidR="00893BF4" w:rsidRPr="00FD2F3E">
        <w:rPr>
          <w:sz w:val="24"/>
          <w:szCs w:val="24"/>
        </w:rPr>
        <w:t xml:space="preserve">administrative and instructional </w:t>
      </w:r>
      <w:r w:rsidR="006162E9" w:rsidRPr="00FD2F3E">
        <w:rPr>
          <w:sz w:val="24"/>
          <w:szCs w:val="24"/>
        </w:rPr>
        <w:t xml:space="preserve">data driven decisions </w:t>
      </w:r>
      <w:r w:rsidR="00893BF4" w:rsidRPr="00FD2F3E">
        <w:rPr>
          <w:sz w:val="24"/>
          <w:szCs w:val="24"/>
        </w:rPr>
        <w:t xml:space="preserve">are made on a state and local level.  </w:t>
      </w:r>
      <w:r w:rsidR="006162E9" w:rsidRPr="00FD2F3E">
        <w:rPr>
          <w:sz w:val="24"/>
          <w:szCs w:val="24"/>
        </w:rPr>
        <w:t xml:space="preserve">Enhancing the features and capabilities </w:t>
      </w:r>
      <w:r w:rsidR="004167DA" w:rsidRPr="00FD2F3E">
        <w:rPr>
          <w:sz w:val="24"/>
          <w:szCs w:val="24"/>
        </w:rPr>
        <w:t xml:space="preserve">of the system </w:t>
      </w:r>
      <w:r w:rsidR="00D36588" w:rsidRPr="00FD2F3E">
        <w:rPr>
          <w:sz w:val="24"/>
          <w:szCs w:val="24"/>
        </w:rPr>
        <w:t>is criti</w:t>
      </w:r>
      <w:r w:rsidR="006C0478" w:rsidRPr="00FD2F3E">
        <w:rPr>
          <w:sz w:val="24"/>
          <w:szCs w:val="24"/>
        </w:rPr>
        <w:t>cal to ensure</w:t>
      </w:r>
      <w:r w:rsidR="00D36588" w:rsidRPr="00FD2F3E">
        <w:rPr>
          <w:sz w:val="24"/>
          <w:szCs w:val="24"/>
        </w:rPr>
        <w:t xml:space="preserve"> reliable, accurate</w:t>
      </w:r>
      <w:r w:rsidR="006C0478" w:rsidRPr="00FD2F3E">
        <w:rPr>
          <w:sz w:val="24"/>
          <w:szCs w:val="24"/>
        </w:rPr>
        <w:t>,</w:t>
      </w:r>
      <w:r w:rsidR="00D36588" w:rsidRPr="00FD2F3E">
        <w:rPr>
          <w:sz w:val="24"/>
          <w:szCs w:val="24"/>
        </w:rPr>
        <w:t xml:space="preserve"> </w:t>
      </w:r>
      <w:r w:rsidR="006C0478" w:rsidRPr="00FD2F3E">
        <w:rPr>
          <w:sz w:val="24"/>
          <w:szCs w:val="24"/>
        </w:rPr>
        <w:t>data</w:t>
      </w:r>
      <w:r w:rsidR="00D36588" w:rsidRPr="00FD2F3E">
        <w:rPr>
          <w:sz w:val="24"/>
          <w:szCs w:val="24"/>
        </w:rPr>
        <w:t>.  An ar</w:t>
      </w:r>
      <w:r w:rsidR="006C0478" w:rsidRPr="00FD2F3E">
        <w:rPr>
          <w:sz w:val="24"/>
          <w:szCs w:val="24"/>
        </w:rPr>
        <w:t xml:space="preserve">ea of focus during PY </w:t>
      </w:r>
      <w:r w:rsidR="00E76404" w:rsidRPr="00FD2F3E">
        <w:rPr>
          <w:sz w:val="24"/>
          <w:szCs w:val="24"/>
        </w:rPr>
        <w:t>2013-</w:t>
      </w:r>
      <w:r w:rsidR="006C0478" w:rsidRPr="00FD2F3E">
        <w:rPr>
          <w:sz w:val="24"/>
          <w:szCs w:val="24"/>
        </w:rPr>
        <w:t>14</w:t>
      </w:r>
      <w:r w:rsidR="00D36588" w:rsidRPr="00FD2F3E">
        <w:rPr>
          <w:sz w:val="24"/>
          <w:szCs w:val="24"/>
        </w:rPr>
        <w:t xml:space="preserve"> was to create an on-line, financial invoicing and budgeting module within AAESAP</w:t>
      </w:r>
      <w:r w:rsidR="006C0478" w:rsidRPr="00FD2F3E">
        <w:rPr>
          <w:sz w:val="24"/>
          <w:szCs w:val="24"/>
        </w:rPr>
        <w:t xml:space="preserve"> for the locals to submit</w:t>
      </w:r>
      <w:r w:rsidR="00E6353A" w:rsidRPr="00FD2F3E">
        <w:rPr>
          <w:sz w:val="24"/>
          <w:szCs w:val="24"/>
        </w:rPr>
        <w:t xml:space="preserve"> </w:t>
      </w:r>
      <w:r w:rsidR="006C0478" w:rsidRPr="00FD2F3E">
        <w:rPr>
          <w:sz w:val="24"/>
          <w:szCs w:val="24"/>
        </w:rPr>
        <w:t>their financials</w:t>
      </w:r>
      <w:r w:rsidR="00E6353A" w:rsidRPr="00FD2F3E">
        <w:rPr>
          <w:sz w:val="24"/>
          <w:szCs w:val="24"/>
        </w:rPr>
        <w:t xml:space="preserve"> in “real-time”</w:t>
      </w:r>
      <w:r w:rsidR="00642483" w:rsidRPr="00FD2F3E">
        <w:rPr>
          <w:sz w:val="24"/>
          <w:szCs w:val="24"/>
        </w:rPr>
        <w:t xml:space="preserve">.  </w:t>
      </w:r>
      <w:r w:rsidR="00E6353A" w:rsidRPr="00FD2F3E">
        <w:rPr>
          <w:sz w:val="24"/>
          <w:szCs w:val="24"/>
        </w:rPr>
        <w:t xml:space="preserve">After many months of creation and pilot testing the on-line financial administrative process was </w:t>
      </w:r>
      <w:r w:rsidR="00D66AFE" w:rsidRPr="00FD2F3E">
        <w:rPr>
          <w:sz w:val="24"/>
          <w:szCs w:val="24"/>
        </w:rPr>
        <w:t>unveiled to the field</w:t>
      </w:r>
      <w:r w:rsidR="006162E9" w:rsidRPr="00FD2F3E">
        <w:rPr>
          <w:sz w:val="24"/>
          <w:szCs w:val="24"/>
        </w:rPr>
        <w:t xml:space="preserve"> in the summer</w:t>
      </w:r>
      <w:r w:rsidR="00E6353A" w:rsidRPr="00FD2F3E">
        <w:rPr>
          <w:sz w:val="24"/>
          <w:szCs w:val="24"/>
        </w:rPr>
        <w:t xml:space="preserve"> for implementation in PY 2014-15</w:t>
      </w:r>
      <w:r w:rsidR="00976911" w:rsidRPr="00FD2F3E">
        <w:rPr>
          <w:sz w:val="24"/>
          <w:szCs w:val="24"/>
        </w:rPr>
        <w:t xml:space="preserve">.  </w:t>
      </w:r>
      <w:r w:rsidRPr="00FD2F3E">
        <w:rPr>
          <w:sz w:val="24"/>
          <w:szCs w:val="24"/>
        </w:rPr>
        <w:t xml:space="preserve">By integrating the financial process into the system it has streamlined invoicing, budget requests, and amendments.  </w:t>
      </w:r>
      <w:r w:rsidR="00D66AFE" w:rsidRPr="00FD2F3E">
        <w:rPr>
          <w:sz w:val="24"/>
          <w:szCs w:val="24"/>
        </w:rPr>
        <w:t xml:space="preserve">In order for the program staff to use </w:t>
      </w:r>
      <w:r w:rsidRPr="00FD2F3E">
        <w:rPr>
          <w:sz w:val="24"/>
          <w:szCs w:val="24"/>
        </w:rPr>
        <w:t xml:space="preserve">and understand the new process, </w:t>
      </w:r>
      <w:r w:rsidR="00D66AFE" w:rsidRPr="00FD2F3E">
        <w:rPr>
          <w:sz w:val="24"/>
          <w:szCs w:val="24"/>
        </w:rPr>
        <w:t xml:space="preserve">a 2 day face to face training was conducted </w:t>
      </w:r>
      <w:r w:rsidR="00BA07B7" w:rsidRPr="00FD2F3E">
        <w:rPr>
          <w:sz w:val="24"/>
          <w:szCs w:val="24"/>
        </w:rPr>
        <w:t xml:space="preserve">with all directors, financial staff, and select instructors.  An </w:t>
      </w:r>
      <w:r w:rsidR="00D66AFE" w:rsidRPr="00FD2F3E">
        <w:rPr>
          <w:sz w:val="24"/>
          <w:szCs w:val="24"/>
        </w:rPr>
        <w:t xml:space="preserve">electronic </w:t>
      </w:r>
      <w:r w:rsidR="00BA07B7" w:rsidRPr="00FD2F3E">
        <w:rPr>
          <w:sz w:val="24"/>
          <w:szCs w:val="24"/>
        </w:rPr>
        <w:t xml:space="preserve">user </w:t>
      </w:r>
      <w:r w:rsidR="00D66AFE" w:rsidRPr="00FD2F3E">
        <w:rPr>
          <w:sz w:val="24"/>
          <w:szCs w:val="24"/>
        </w:rPr>
        <w:t>manual</w:t>
      </w:r>
      <w:r w:rsidR="00BA07B7" w:rsidRPr="00FD2F3E">
        <w:rPr>
          <w:sz w:val="24"/>
          <w:szCs w:val="24"/>
        </w:rPr>
        <w:t xml:space="preserve"> was created as a resource</w:t>
      </w:r>
      <w:r w:rsidR="00E6353A" w:rsidRPr="00FD2F3E">
        <w:rPr>
          <w:sz w:val="24"/>
          <w:szCs w:val="24"/>
        </w:rPr>
        <w:t xml:space="preserve"> and placed into the electronic “drop box” for easy access</w:t>
      </w:r>
      <w:r w:rsidR="00BA07B7" w:rsidRPr="00FD2F3E">
        <w:rPr>
          <w:sz w:val="24"/>
          <w:szCs w:val="24"/>
        </w:rPr>
        <w:t xml:space="preserve">.  </w:t>
      </w:r>
      <w:r w:rsidR="00682712" w:rsidRPr="00FD2F3E">
        <w:rPr>
          <w:sz w:val="24"/>
          <w:szCs w:val="24"/>
        </w:rPr>
        <w:t xml:space="preserve">The </w:t>
      </w:r>
      <w:r w:rsidR="00AD52B0" w:rsidRPr="00FD2F3E">
        <w:rPr>
          <w:sz w:val="24"/>
          <w:szCs w:val="24"/>
        </w:rPr>
        <w:t xml:space="preserve">AAESAP training provided </w:t>
      </w:r>
      <w:r w:rsidR="00682712" w:rsidRPr="00FD2F3E">
        <w:rPr>
          <w:sz w:val="24"/>
          <w:szCs w:val="24"/>
        </w:rPr>
        <w:t xml:space="preserve">the understanding and guidance to ensure the transition from paper to electronic submission.  </w:t>
      </w:r>
      <w:r w:rsidR="00F633F4" w:rsidRPr="00FD2F3E">
        <w:rPr>
          <w:sz w:val="24"/>
          <w:szCs w:val="24"/>
        </w:rPr>
        <w:t xml:space="preserve">The </w:t>
      </w:r>
      <w:r w:rsidRPr="00FD2F3E">
        <w:rPr>
          <w:sz w:val="24"/>
          <w:szCs w:val="24"/>
        </w:rPr>
        <w:t xml:space="preserve">AAESAP </w:t>
      </w:r>
      <w:r w:rsidR="00F07E18" w:rsidRPr="00FD2F3E">
        <w:rPr>
          <w:sz w:val="24"/>
          <w:szCs w:val="24"/>
        </w:rPr>
        <w:t xml:space="preserve">system </w:t>
      </w:r>
      <w:r w:rsidR="00F633F4" w:rsidRPr="00FD2F3E">
        <w:rPr>
          <w:sz w:val="24"/>
          <w:szCs w:val="24"/>
        </w:rPr>
        <w:t xml:space="preserve">also </w:t>
      </w:r>
      <w:r w:rsidR="00F07E18" w:rsidRPr="00FD2F3E">
        <w:rPr>
          <w:sz w:val="24"/>
          <w:szCs w:val="24"/>
        </w:rPr>
        <w:t xml:space="preserve">underwent </w:t>
      </w:r>
      <w:r w:rsidRPr="00FD2F3E">
        <w:rPr>
          <w:sz w:val="24"/>
          <w:szCs w:val="24"/>
        </w:rPr>
        <w:t xml:space="preserve">normal maintenance </w:t>
      </w:r>
      <w:r w:rsidR="00F633F4" w:rsidRPr="00FD2F3E">
        <w:rPr>
          <w:sz w:val="24"/>
          <w:szCs w:val="24"/>
        </w:rPr>
        <w:t>upgrade</w:t>
      </w:r>
      <w:r w:rsidR="00F07E18" w:rsidRPr="00FD2F3E">
        <w:rPr>
          <w:sz w:val="24"/>
          <w:szCs w:val="24"/>
        </w:rPr>
        <w:t>s</w:t>
      </w:r>
      <w:r w:rsidR="00F633F4" w:rsidRPr="00FD2F3E">
        <w:rPr>
          <w:sz w:val="24"/>
          <w:szCs w:val="24"/>
        </w:rPr>
        <w:t xml:space="preserve"> to ensure proper identification and tracking of the NRS performance cohorts.</w:t>
      </w:r>
      <w:r w:rsidR="00F26293" w:rsidRPr="00FD2F3E">
        <w:rPr>
          <w:sz w:val="24"/>
          <w:szCs w:val="24"/>
        </w:rPr>
        <w:t xml:space="preserve">  </w:t>
      </w:r>
      <w:r w:rsidR="00F07E18" w:rsidRPr="00FD2F3E">
        <w:rPr>
          <w:sz w:val="24"/>
          <w:szCs w:val="24"/>
        </w:rPr>
        <w:t xml:space="preserve">Data collection and reporting are critical to telling the story of adult education.  </w:t>
      </w:r>
      <w:r w:rsidR="00471D12" w:rsidRPr="00FD2F3E">
        <w:rPr>
          <w:sz w:val="24"/>
          <w:szCs w:val="24"/>
        </w:rPr>
        <w:t xml:space="preserve">There are </w:t>
      </w:r>
      <w:r w:rsidR="00F26293" w:rsidRPr="00FD2F3E">
        <w:rPr>
          <w:sz w:val="24"/>
          <w:szCs w:val="24"/>
        </w:rPr>
        <w:t xml:space="preserve">plans </w:t>
      </w:r>
      <w:r w:rsidR="004F172B" w:rsidRPr="00FD2F3E">
        <w:rPr>
          <w:sz w:val="24"/>
          <w:szCs w:val="24"/>
        </w:rPr>
        <w:t xml:space="preserve">to enhance the dynamic reporting capabilities of the system, especially on a local program level.  </w:t>
      </w:r>
      <w:r w:rsidR="00F07E18" w:rsidRPr="00FD2F3E">
        <w:rPr>
          <w:sz w:val="24"/>
          <w:szCs w:val="24"/>
        </w:rPr>
        <w:t xml:space="preserve">Examples include, but </w:t>
      </w:r>
      <w:r w:rsidR="00590988" w:rsidRPr="00FD2F3E">
        <w:rPr>
          <w:sz w:val="24"/>
          <w:szCs w:val="24"/>
        </w:rPr>
        <w:t>are not limited to:</w:t>
      </w:r>
      <w:r w:rsidR="00F07E18" w:rsidRPr="00FD2F3E">
        <w:rPr>
          <w:sz w:val="24"/>
          <w:szCs w:val="24"/>
        </w:rPr>
        <w:t xml:space="preserve"> </w:t>
      </w:r>
      <w:r w:rsidR="004F172B" w:rsidRPr="00FD2F3E">
        <w:rPr>
          <w:sz w:val="24"/>
          <w:szCs w:val="24"/>
        </w:rPr>
        <w:t>“</w:t>
      </w:r>
      <w:r w:rsidR="004F172B" w:rsidRPr="00FD2F3E">
        <w:rPr>
          <w:i/>
          <w:sz w:val="24"/>
          <w:szCs w:val="24"/>
        </w:rPr>
        <w:t>data dashboards</w:t>
      </w:r>
      <w:r w:rsidR="004F172B" w:rsidRPr="00FD2F3E">
        <w:rPr>
          <w:sz w:val="24"/>
          <w:szCs w:val="24"/>
        </w:rPr>
        <w:t xml:space="preserve">” </w:t>
      </w:r>
      <w:r w:rsidR="00590988" w:rsidRPr="00FD2F3E">
        <w:rPr>
          <w:sz w:val="24"/>
          <w:szCs w:val="24"/>
        </w:rPr>
        <w:t>at the state, local</w:t>
      </w:r>
      <w:r w:rsidR="004F172B" w:rsidRPr="00FD2F3E">
        <w:rPr>
          <w:sz w:val="24"/>
          <w:szCs w:val="24"/>
        </w:rPr>
        <w:t xml:space="preserve"> and individual class</w:t>
      </w:r>
      <w:r w:rsidR="00590988" w:rsidRPr="00FD2F3E">
        <w:rPr>
          <w:sz w:val="24"/>
          <w:szCs w:val="24"/>
        </w:rPr>
        <w:t xml:space="preserve"> level, </w:t>
      </w:r>
      <w:r w:rsidR="00471D12" w:rsidRPr="00FD2F3E">
        <w:rPr>
          <w:sz w:val="24"/>
          <w:szCs w:val="24"/>
        </w:rPr>
        <w:t xml:space="preserve"> attendance tracking devices that </w:t>
      </w:r>
      <w:r w:rsidR="00590988" w:rsidRPr="00FD2F3E">
        <w:rPr>
          <w:sz w:val="24"/>
          <w:szCs w:val="24"/>
        </w:rPr>
        <w:t xml:space="preserve">automate the attendance process </w:t>
      </w:r>
      <w:r w:rsidR="00471D12" w:rsidRPr="00FD2F3E">
        <w:rPr>
          <w:sz w:val="24"/>
          <w:szCs w:val="24"/>
        </w:rPr>
        <w:t xml:space="preserve"> and a student portal where students can view their own data dashboard reflecting attendance patterns and performance data</w:t>
      </w:r>
      <w:r w:rsidR="00622FC4" w:rsidRPr="00FD2F3E">
        <w:rPr>
          <w:sz w:val="24"/>
          <w:szCs w:val="24"/>
        </w:rPr>
        <w:t>.</w:t>
      </w:r>
    </w:p>
    <w:p w:rsidR="00EE6619" w:rsidRPr="00FD2F3E" w:rsidRDefault="00EE6619" w:rsidP="00EE6619">
      <w:pPr>
        <w:jc w:val="both"/>
        <w:rPr>
          <w:sz w:val="24"/>
          <w:szCs w:val="24"/>
        </w:rPr>
      </w:pPr>
      <w:r w:rsidRPr="00FD2F3E">
        <w:rPr>
          <w:sz w:val="24"/>
          <w:szCs w:val="24"/>
        </w:rPr>
        <w:t>A statewide purchase of the CTB McGraw-Hill On-line Test of Adult Basic Education (TABE</w:t>
      </w:r>
      <w:r w:rsidR="00642483" w:rsidRPr="00FD2F3E">
        <w:rPr>
          <w:sz w:val="24"/>
          <w:szCs w:val="24"/>
        </w:rPr>
        <w:t>®</w:t>
      </w:r>
      <w:r w:rsidRPr="00FD2F3E">
        <w:rPr>
          <w:sz w:val="24"/>
          <w:szCs w:val="24"/>
        </w:rPr>
        <w:t>) was made during P</w:t>
      </w:r>
      <w:r w:rsidR="00E76404" w:rsidRPr="00FD2F3E">
        <w:rPr>
          <w:sz w:val="24"/>
          <w:szCs w:val="24"/>
        </w:rPr>
        <w:t>Y 2013-14</w:t>
      </w:r>
      <w:r w:rsidRPr="00FD2F3E">
        <w:rPr>
          <w:sz w:val="24"/>
          <w:szCs w:val="24"/>
        </w:rPr>
        <w:t xml:space="preserve"> with the use of state leadership funds.  The use of </w:t>
      </w:r>
      <w:r w:rsidR="00622FC4" w:rsidRPr="00FD2F3E">
        <w:rPr>
          <w:sz w:val="24"/>
          <w:szCs w:val="24"/>
        </w:rPr>
        <w:t xml:space="preserve">an </w:t>
      </w:r>
      <w:r w:rsidRPr="00FD2F3E">
        <w:rPr>
          <w:sz w:val="24"/>
          <w:szCs w:val="24"/>
        </w:rPr>
        <w:t>on-line testing format at all levels of education will begin to bring uniformity into the assessment arena.  It will also assist in adherence to t</w:t>
      </w:r>
      <w:r w:rsidR="00622FC4" w:rsidRPr="00FD2F3E">
        <w:rPr>
          <w:sz w:val="24"/>
          <w:szCs w:val="24"/>
        </w:rPr>
        <w:t xml:space="preserve">he test publisher’s guidelines.  </w:t>
      </w:r>
      <w:r w:rsidRPr="00FD2F3E">
        <w:rPr>
          <w:sz w:val="24"/>
          <w:szCs w:val="24"/>
        </w:rPr>
        <w:t xml:space="preserve">The efficiency and effectiveness that </w:t>
      </w:r>
      <w:r w:rsidRPr="00FD2F3E">
        <w:rPr>
          <w:sz w:val="24"/>
          <w:szCs w:val="24"/>
        </w:rPr>
        <w:lastRenderedPageBreak/>
        <w:t>is gained from on-line testing has enormous value from a system perspective.  The capability of automatic proctoring, instant sco</w:t>
      </w:r>
      <w:r w:rsidR="00590988" w:rsidRPr="00FD2F3E">
        <w:rPr>
          <w:sz w:val="24"/>
          <w:szCs w:val="24"/>
        </w:rPr>
        <w:t>ring, and downloadable student education plans</w:t>
      </w:r>
      <w:r w:rsidRPr="00FD2F3E">
        <w:rPr>
          <w:sz w:val="24"/>
          <w:szCs w:val="24"/>
        </w:rPr>
        <w:t xml:space="preserve"> and the future integration of the data into the AAESAP system and student portal is an </w:t>
      </w:r>
      <w:r w:rsidR="00590988" w:rsidRPr="00FD2F3E">
        <w:rPr>
          <w:sz w:val="24"/>
          <w:szCs w:val="24"/>
        </w:rPr>
        <w:t>exciting endeavor.  Historically, the</w:t>
      </w:r>
      <w:r w:rsidR="00FD2F3E" w:rsidRPr="00FD2F3E">
        <w:rPr>
          <w:sz w:val="24"/>
          <w:szCs w:val="24"/>
        </w:rPr>
        <w:t xml:space="preserve"> </w:t>
      </w:r>
      <w:r w:rsidRPr="00FD2F3E">
        <w:rPr>
          <w:sz w:val="24"/>
          <w:szCs w:val="24"/>
        </w:rPr>
        <w:t>process for assessing one’s educat</w:t>
      </w:r>
      <w:r w:rsidR="00590988" w:rsidRPr="00FD2F3E">
        <w:rPr>
          <w:sz w:val="24"/>
          <w:szCs w:val="24"/>
        </w:rPr>
        <w:t>ional functioning level was</w:t>
      </w:r>
      <w:r w:rsidRPr="00FD2F3E">
        <w:rPr>
          <w:sz w:val="24"/>
          <w:szCs w:val="24"/>
        </w:rPr>
        <w:t xml:space="preserve"> through a traditional paper-based </w:t>
      </w:r>
      <w:r w:rsidR="002B56C0" w:rsidRPr="00FD2F3E">
        <w:rPr>
          <w:sz w:val="24"/>
          <w:szCs w:val="24"/>
        </w:rPr>
        <w:t xml:space="preserve">TABE administration </w:t>
      </w:r>
      <w:r w:rsidR="00590988" w:rsidRPr="00FD2F3E">
        <w:rPr>
          <w:sz w:val="24"/>
          <w:szCs w:val="24"/>
        </w:rPr>
        <w:t>that was</w:t>
      </w:r>
      <w:r w:rsidRPr="00FD2F3E">
        <w:rPr>
          <w:sz w:val="24"/>
          <w:szCs w:val="24"/>
        </w:rPr>
        <w:t xml:space="preserve"> proctored and timed by the staff and either scored by hand or through a </w:t>
      </w:r>
      <w:proofErr w:type="spellStart"/>
      <w:r w:rsidRPr="00FD2F3E">
        <w:rPr>
          <w:sz w:val="24"/>
          <w:szCs w:val="24"/>
        </w:rPr>
        <w:t>ScanTron</w:t>
      </w:r>
      <w:proofErr w:type="spellEnd"/>
      <w:r w:rsidRPr="00FD2F3E">
        <w:rPr>
          <w:sz w:val="24"/>
          <w:szCs w:val="24"/>
        </w:rPr>
        <w:t xml:space="preserve">® scoring process.  </w:t>
      </w:r>
      <w:r w:rsidR="00590988" w:rsidRPr="00FD2F3E">
        <w:rPr>
          <w:sz w:val="24"/>
          <w:szCs w:val="24"/>
        </w:rPr>
        <w:t xml:space="preserve">The number of programs that still utilize the paper-based assessment has greatly declined.  </w:t>
      </w:r>
      <w:r w:rsidRPr="00FD2F3E">
        <w:rPr>
          <w:sz w:val="24"/>
          <w:szCs w:val="24"/>
        </w:rPr>
        <w:t xml:space="preserve">The online TABE reduces the need for paper-based assessments and expedites the proctoring, </w:t>
      </w:r>
      <w:r w:rsidR="006439AB" w:rsidRPr="00FD2F3E">
        <w:rPr>
          <w:sz w:val="24"/>
          <w:szCs w:val="24"/>
        </w:rPr>
        <w:t>scoring, and student diagnostic</w:t>
      </w:r>
      <w:r w:rsidRPr="00FD2F3E">
        <w:rPr>
          <w:sz w:val="24"/>
          <w:szCs w:val="24"/>
        </w:rPr>
        <w:t xml:space="preserve"> </w:t>
      </w:r>
      <w:r w:rsidR="006439AB" w:rsidRPr="00FD2F3E">
        <w:rPr>
          <w:sz w:val="24"/>
          <w:szCs w:val="24"/>
        </w:rPr>
        <w:t xml:space="preserve">profile </w:t>
      </w:r>
      <w:r w:rsidRPr="00FD2F3E">
        <w:rPr>
          <w:sz w:val="24"/>
          <w:szCs w:val="24"/>
        </w:rPr>
        <w:t xml:space="preserve">plan.  It also eliminates the need for costly scanners.    </w:t>
      </w:r>
    </w:p>
    <w:p w:rsidR="00FA4D9F" w:rsidRPr="00FD2F3E" w:rsidRDefault="00F26293" w:rsidP="00F454B1">
      <w:pPr>
        <w:jc w:val="both"/>
        <w:rPr>
          <w:sz w:val="24"/>
          <w:szCs w:val="24"/>
        </w:rPr>
      </w:pPr>
      <w:r w:rsidRPr="00FD2F3E">
        <w:rPr>
          <w:sz w:val="24"/>
          <w:szCs w:val="24"/>
        </w:rPr>
        <w:t>Professional Development for the adult education system</w:t>
      </w:r>
      <w:r w:rsidR="00EE6619" w:rsidRPr="00FD2F3E">
        <w:rPr>
          <w:sz w:val="24"/>
          <w:szCs w:val="24"/>
        </w:rPr>
        <w:t xml:space="preserve"> is a typical</w:t>
      </w:r>
      <w:r w:rsidRPr="00FD2F3E">
        <w:rPr>
          <w:sz w:val="24"/>
          <w:szCs w:val="24"/>
        </w:rPr>
        <w:t xml:space="preserve"> use of state leadership funds.  </w:t>
      </w:r>
      <w:r w:rsidR="002B56C0" w:rsidRPr="00FD2F3E">
        <w:rPr>
          <w:sz w:val="24"/>
          <w:szCs w:val="24"/>
        </w:rPr>
        <w:t xml:space="preserve">A mixture of state approved face to face and on-line professional development occurred locally that supported fulltime and </w:t>
      </w:r>
      <w:r w:rsidR="00C32AAD" w:rsidRPr="00FD2F3E">
        <w:rPr>
          <w:sz w:val="24"/>
          <w:szCs w:val="24"/>
        </w:rPr>
        <w:t>part-time</w:t>
      </w:r>
      <w:r w:rsidR="002B56C0" w:rsidRPr="00FD2F3E">
        <w:rPr>
          <w:sz w:val="24"/>
          <w:szCs w:val="24"/>
        </w:rPr>
        <w:t xml:space="preserve"> teachers in improving instructional strategies and approaches </w:t>
      </w:r>
      <w:r w:rsidR="00C32AAD" w:rsidRPr="00FD2F3E">
        <w:rPr>
          <w:sz w:val="24"/>
          <w:szCs w:val="24"/>
        </w:rPr>
        <w:t xml:space="preserve">for increased student success for the 2014 GED®.  </w:t>
      </w:r>
      <w:r w:rsidR="00463725" w:rsidRPr="00FD2F3E">
        <w:rPr>
          <w:sz w:val="24"/>
          <w:szCs w:val="24"/>
        </w:rPr>
        <w:t xml:space="preserve">Programs submitted training agendas to the state for approval on the topics that were covered.   </w:t>
      </w:r>
      <w:r w:rsidR="00C32AAD" w:rsidRPr="00FD2F3E">
        <w:rPr>
          <w:sz w:val="24"/>
          <w:szCs w:val="24"/>
        </w:rPr>
        <w:t xml:space="preserve">Particular emphasis was placed on teaching to the higher level concepts of Webb’s Depth of Knowledge and to identify tasks related to each level.   </w:t>
      </w:r>
      <w:r w:rsidR="00463725" w:rsidRPr="00FD2F3E">
        <w:rPr>
          <w:sz w:val="24"/>
          <w:szCs w:val="24"/>
        </w:rPr>
        <w:t xml:space="preserve"> </w:t>
      </w:r>
    </w:p>
    <w:p w:rsidR="00D645DE" w:rsidRPr="00FD2F3E" w:rsidRDefault="00AD52B0" w:rsidP="00F454B1">
      <w:pPr>
        <w:jc w:val="both"/>
        <w:rPr>
          <w:sz w:val="24"/>
          <w:szCs w:val="24"/>
        </w:rPr>
      </w:pPr>
      <w:r w:rsidRPr="00FD2F3E">
        <w:rPr>
          <w:sz w:val="24"/>
          <w:szCs w:val="24"/>
        </w:rPr>
        <w:t xml:space="preserve">The </w:t>
      </w:r>
      <w:r w:rsidR="00F454B1" w:rsidRPr="00FD2F3E">
        <w:rPr>
          <w:sz w:val="24"/>
          <w:szCs w:val="24"/>
        </w:rPr>
        <w:t xml:space="preserve">premier professional development opportunity in </w:t>
      </w:r>
      <w:r w:rsidRPr="00FD2F3E">
        <w:rPr>
          <w:sz w:val="24"/>
          <w:szCs w:val="24"/>
        </w:rPr>
        <w:t xml:space="preserve">2014 </w:t>
      </w:r>
      <w:r w:rsidR="00F454B1" w:rsidRPr="00FD2F3E">
        <w:rPr>
          <w:sz w:val="24"/>
          <w:szCs w:val="24"/>
        </w:rPr>
        <w:t xml:space="preserve">was the </w:t>
      </w:r>
      <w:r w:rsidR="00FA4D9F" w:rsidRPr="00FD2F3E">
        <w:rPr>
          <w:sz w:val="24"/>
          <w:szCs w:val="24"/>
        </w:rPr>
        <w:t xml:space="preserve">Alabama </w:t>
      </w:r>
      <w:r w:rsidRPr="00FD2F3E">
        <w:rPr>
          <w:sz w:val="24"/>
          <w:szCs w:val="24"/>
        </w:rPr>
        <w:t xml:space="preserve">Adult </w:t>
      </w:r>
      <w:r w:rsidR="00F454B1" w:rsidRPr="00FD2F3E">
        <w:rPr>
          <w:sz w:val="24"/>
          <w:szCs w:val="24"/>
        </w:rPr>
        <w:t>Education Summer Conference,</w:t>
      </w:r>
      <w:r w:rsidRPr="00FD2F3E">
        <w:rPr>
          <w:sz w:val="24"/>
          <w:szCs w:val="24"/>
        </w:rPr>
        <w:t xml:space="preserve"> provided jointly by the Alabama Department of Postsecondary Education and the Alabama Association for Public and Continuing Adult Education (ALAPCAE). </w:t>
      </w:r>
      <w:r w:rsidR="00F454B1" w:rsidRPr="00FD2F3E">
        <w:rPr>
          <w:sz w:val="24"/>
          <w:szCs w:val="24"/>
        </w:rPr>
        <w:t xml:space="preserve"> National and state level presenters </w:t>
      </w:r>
      <w:r w:rsidR="00BF0C51" w:rsidRPr="00FD2F3E">
        <w:rPr>
          <w:sz w:val="24"/>
          <w:szCs w:val="24"/>
        </w:rPr>
        <w:t>and trainers covered topics that spanned from instructional strategies in literacy and numeracy to learning disabilities, college and career readiness, 2014 GED®</w:t>
      </w:r>
      <w:r w:rsidR="00FA4D9F" w:rsidRPr="00FD2F3E">
        <w:rPr>
          <w:sz w:val="24"/>
          <w:szCs w:val="24"/>
        </w:rPr>
        <w:t xml:space="preserve"> exam</w:t>
      </w:r>
      <w:r w:rsidR="00BF0C51" w:rsidRPr="00FD2F3E">
        <w:rPr>
          <w:sz w:val="24"/>
          <w:szCs w:val="24"/>
        </w:rPr>
        <w:t xml:space="preserve">, </w:t>
      </w:r>
      <w:r w:rsidR="00BC28DB" w:rsidRPr="00FD2F3E">
        <w:rPr>
          <w:sz w:val="24"/>
          <w:szCs w:val="24"/>
        </w:rPr>
        <w:t xml:space="preserve">digital literacy, </w:t>
      </w:r>
      <w:r w:rsidR="00D645DE" w:rsidRPr="00FD2F3E">
        <w:rPr>
          <w:sz w:val="24"/>
          <w:szCs w:val="24"/>
        </w:rPr>
        <w:t>English as a Second Language (ESL),</w:t>
      </w:r>
      <w:r w:rsidR="00BC28DB" w:rsidRPr="00FD2F3E">
        <w:rPr>
          <w:sz w:val="24"/>
          <w:szCs w:val="24"/>
        </w:rPr>
        <w:t xml:space="preserve"> and c</w:t>
      </w:r>
      <w:r w:rsidR="00D645DE" w:rsidRPr="00FD2F3E">
        <w:rPr>
          <w:sz w:val="24"/>
          <w:szCs w:val="24"/>
        </w:rPr>
        <w:t>orrections education.</w:t>
      </w:r>
      <w:r w:rsidR="0020250A" w:rsidRPr="00FD2F3E">
        <w:rPr>
          <w:sz w:val="24"/>
          <w:szCs w:val="24"/>
        </w:rPr>
        <w:t xml:space="preserve"> </w:t>
      </w:r>
      <w:r w:rsidR="00FA4D9F" w:rsidRPr="00FD2F3E">
        <w:rPr>
          <w:sz w:val="24"/>
          <w:szCs w:val="24"/>
        </w:rPr>
        <w:t>Keynote speakers concentrated their message on the intensity, duration, and quality of services for success on the 2014 GED® test and beyond.</w:t>
      </w:r>
      <w:r w:rsidR="007F7659" w:rsidRPr="00FD2F3E">
        <w:rPr>
          <w:sz w:val="24"/>
          <w:szCs w:val="24"/>
        </w:rPr>
        <w:t xml:space="preserve">  </w:t>
      </w:r>
      <w:r w:rsidR="00FA4D9F" w:rsidRPr="00FD2F3E">
        <w:rPr>
          <w:sz w:val="24"/>
          <w:szCs w:val="24"/>
        </w:rPr>
        <w:t xml:space="preserve">Sessions were conducted on the framework for college and career readiness standards, discussing what standards are and are not, and how to determine the current gaps in the curriculum that is being used and will need to be used. </w:t>
      </w:r>
      <w:r w:rsidR="00BC28DB" w:rsidRPr="00FD2F3E">
        <w:rPr>
          <w:sz w:val="24"/>
          <w:szCs w:val="24"/>
        </w:rPr>
        <w:t>All conference activities were designed to strengthen instruction through innovative approaches.</w:t>
      </w:r>
    </w:p>
    <w:p w:rsidR="002C10D3" w:rsidRDefault="00D645DE" w:rsidP="00FD2F3E">
      <w:pPr>
        <w:jc w:val="both"/>
        <w:rPr>
          <w:sz w:val="24"/>
          <w:szCs w:val="24"/>
        </w:rPr>
      </w:pPr>
      <w:r w:rsidRPr="00FD2F3E">
        <w:rPr>
          <w:sz w:val="24"/>
          <w:szCs w:val="24"/>
        </w:rPr>
        <w:t>In addition to the state conference</w:t>
      </w:r>
      <w:r w:rsidR="007F7659" w:rsidRPr="00FD2F3E">
        <w:rPr>
          <w:sz w:val="24"/>
          <w:szCs w:val="24"/>
        </w:rPr>
        <w:t>,</w:t>
      </w:r>
      <w:r w:rsidRPr="00FD2F3E">
        <w:rPr>
          <w:sz w:val="24"/>
          <w:szCs w:val="24"/>
        </w:rPr>
        <w:t xml:space="preserve"> all program directors and select instructors had an opportunity to attend the </w:t>
      </w:r>
      <w:r w:rsidR="00F454B1" w:rsidRPr="00FD2F3E">
        <w:rPr>
          <w:sz w:val="24"/>
          <w:szCs w:val="24"/>
        </w:rPr>
        <w:t xml:space="preserve">National Center for Family Learning (NCFL) </w:t>
      </w:r>
      <w:r w:rsidRPr="00FD2F3E">
        <w:rPr>
          <w:sz w:val="24"/>
          <w:szCs w:val="24"/>
        </w:rPr>
        <w:t>conference</w:t>
      </w:r>
      <w:r w:rsidR="00BC28DB" w:rsidRPr="00FD2F3E">
        <w:rPr>
          <w:sz w:val="24"/>
          <w:szCs w:val="24"/>
        </w:rPr>
        <w:t>.  The directors attended a specialized track that was developed by NCFL and the National Adult Education Professional Development Consortium (NAEPDC) on</w:t>
      </w:r>
      <w:r w:rsidR="00F454B1" w:rsidRPr="00FD2F3E">
        <w:rPr>
          <w:sz w:val="24"/>
          <w:szCs w:val="24"/>
        </w:rPr>
        <w:t xml:space="preserve"> C</w:t>
      </w:r>
      <w:r w:rsidR="00BC28DB" w:rsidRPr="00FD2F3E">
        <w:rPr>
          <w:sz w:val="24"/>
          <w:szCs w:val="24"/>
        </w:rPr>
        <w:t xml:space="preserve">ollege and </w:t>
      </w:r>
      <w:r w:rsidR="00F454B1" w:rsidRPr="00FD2F3E">
        <w:rPr>
          <w:sz w:val="24"/>
          <w:szCs w:val="24"/>
        </w:rPr>
        <w:t>C</w:t>
      </w:r>
      <w:r w:rsidR="00BC28DB" w:rsidRPr="00FD2F3E">
        <w:rPr>
          <w:sz w:val="24"/>
          <w:szCs w:val="24"/>
        </w:rPr>
        <w:t xml:space="preserve">areer </w:t>
      </w:r>
      <w:r w:rsidR="00F454B1" w:rsidRPr="00FD2F3E">
        <w:rPr>
          <w:sz w:val="24"/>
          <w:szCs w:val="24"/>
        </w:rPr>
        <w:t>R</w:t>
      </w:r>
      <w:r w:rsidR="00BC28DB" w:rsidRPr="00FD2F3E">
        <w:rPr>
          <w:sz w:val="24"/>
          <w:szCs w:val="24"/>
        </w:rPr>
        <w:t>eadiness (CCR)</w:t>
      </w:r>
      <w:r w:rsidR="00F454B1" w:rsidRPr="00FD2F3E">
        <w:rPr>
          <w:sz w:val="24"/>
          <w:szCs w:val="24"/>
        </w:rPr>
        <w:t xml:space="preserve"> standards</w:t>
      </w:r>
      <w:r w:rsidR="00BC28DB" w:rsidRPr="00FD2F3E">
        <w:rPr>
          <w:sz w:val="24"/>
          <w:szCs w:val="24"/>
        </w:rPr>
        <w:t>.</w:t>
      </w:r>
      <w:r w:rsidR="00F454B1" w:rsidRPr="00FD2F3E">
        <w:rPr>
          <w:sz w:val="24"/>
          <w:szCs w:val="24"/>
        </w:rPr>
        <w:t xml:space="preserve"> </w:t>
      </w:r>
      <w:r w:rsidR="00BC28DB" w:rsidRPr="00FD2F3E">
        <w:rPr>
          <w:sz w:val="24"/>
          <w:szCs w:val="24"/>
        </w:rPr>
        <w:t xml:space="preserve"> The participants learned how standards are being used and implemented in other states.  </w:t>
      </w:r>
      <w:r w:rsidR="006439AB" w:rsidRPr="00FD2F3E">
        <w:rPr>
          <w:sz w:val="24"/>
          <w:szCs w:val="24"/>
        </w:rPr>
        <w:t xml:space="preserve">They also heard the </w:t>
      </w:r>
      <w:r w:rsidR="00FA4D9F" w:rsidRPr="00FD2F3E">
        <w:rPr>
          <w:sz w:val="24"/>
          <w:szCs w:val="24"/>
        </w:rPr>
        <w:t>message of how CCR standards are cr</w:t>
      </w:r>
      <w:r w:rsidR="006439AB" w:rsidRPr="00FD2F3E">
        <w:rPr>
          <w:sz w:val="24"/>
          <w:szCs w:val="24"/>
        </w:rPr>
        <w:t>ucial</w:t>
      </w:r>
      <w:r w:rsidR="00FA4D9F" w:rsidRPr="00FD2F3E">
        <w:rPr>
          <w:sz w:val="24"/>
          <w:szCs w:val="24"/>
        </w:rPr>
        <w:t xml:space="preserve"> to the success of our adult students in the 21</w:t>
      </w:r>
      <w:r w:rsidR="00FA4D9F" w:rsidRPr="00FD2F3E">
        <w:rPr>
          <w:sz w:val="24"/>
          <w:szCs w:val="24"/>
          <w:vertAlign w:val="superscript"/>
        </w:rPr>
        <w:t>st</w:t>
      </w:r>
      <w:r w:rsidR="00FA4D9F" w:rsidRPr="00FD2F3E">
        <w:rPr>
          <w:sz w:val="24"/>
          <w:szCs w:val="24"/>
        </w:rPr>
        <w:t xml:space="preserve"> century economy.</w:t>
      </w:r>
      <w:r w:rsidR="00BC28DB" w:rsidRPr="00FD2F3E">
        <w:rPr>
          <w:sz w:val="24"/>
          <w:szCs w:val="24"/>
        </w:rPr>
        <w:t xml:space="preserve"> </w:t>
      </w:r>
      <w:r w:rsidR="00F454B1" w:rsidRPr="00FD2F3E">
        <w:rPr>
          <w:sz w:val="24"/>
          <w:szCs w:val="24"/>
        </w:rPr>
        <w:t xml:space="preserve">More training will occur to build on what has been done up </w:t>
      </w:r>
      <w:r w:rsidR="00BC28DB" w:rsidRPr="00FD2F3E">
        <w:rPr>
          <w:sz w:val="24"/>
          <w:szCs w:val="24"/>
        </w:rPr>
        <w:t>to this point because a</w:t>
      </w:r>
      <w:r w:rsidR="00F454B1" w:rsidRPr="00FD2F3E">
        <w:rPr>
          <w:sz w:val="24"/>
          <w:szCs w:val="24"/>
        </w:rPr>
        <w:t xml:space="preserve"> major emphasis will be placed on the standards and how to use them to guide the instructional process.  Aligning instruction to college and career readiness standards will be critical as a WIOA partner endorsing the implementation of an Integrated Education and Training (IET) model designed to meet the needs of our adult population and stakeholders.</w:t>
      </w:r>
    </w:p>
    <w:p w:rsidR="0022316D" w:rsidRPr="00FD2F3E" w:rsidRDefault="0022316D" w:rsidP="00FD2F3E">
      <w:pPr>
        <w:jc w:val="both"/>
        <w:rPr>
          <w:sz w:val="24"/>
          <w:szCs w:val="24"/>
        </w:rPr>
      </w:pPr>
      <w:r w:rsidRPr="00FD2F3E">
        <w:rPr>
          <w:b/>
          <w:sz w:val="24"/>
          <w:szCs w:val="24"/>
        </w:rPr>
        <w:lastRenderedPageBreak/>
        <w:t>Performance Data Analysis:</w:t>
      </w:r>
      <w:r w:rsidR="00FD2F3E" w:rsidRPr="00FD2F3E">
        <w:rPr>
          <w:b/>
          <w:sz w:val="24"/>
          <w:szCs w:val="24"/>
        </w:rPr>
        <w:t xml:space="preserve">  </w:t>
      </w:r>
      <w:r w:rsidRPr="00FD2F3E">
        <w:rPr>
          <w:b/>
          <w:sz w:val="24"/>
          <w:szCs w:val="24"/>
        </w:rPr>
        <w:t>Describe any significant findings from the evaluation of your performance data for the reporting period and efforts to improve outcomes for the core indicators of performance.</w:t>
      </w:r>
    </w:p>
    <w:p w:rsidR="00E76404" w:rsidRPr="00FD2F3E" w:rsidRDefault="00266CA3" w:rsidP="00EC6675">
      <w:pPr>
        <w:jc w:val="both"/>
        <w:rPr>
          <w:sz w:val="24"/>
          <w:szCs w:val="24"/>
        </w:rPr>
      </w:pPr>
      <w:r w:rsidRPr="00FD2F3E">
        <w:rPr>
          <w:sz w:val="24"/>
          <w:szCs w:val="24"/>
        </w:rPr>
        <w:t xml:space="preserve">Unfortunately, </w:t>
      </w:r>
      <w:r w:rsidR="00962D09" w:rsidRPr="00FD2F3E">
        <w:rPr>
          <w:sz w:val="24"/>
          <w:szCs w:val="24"/>
        </w:rPr>
        <w:t>like many other states, Alabama</w:t>
      </w:r>
      <w:r w:rsidR="0047561B" w:rsidRPr="00FD2F3E">
        <w:rPr>
          <w:sz w:val="24"/>
          <w:szCs w:val="24"/>
        </w:rPr>
        <w:t xml:space="preserve"> was not </w:t>
      </w:r>
      <w:r w:rsidR="00341729" w:rsidRPr="00FD2F3E">
        <w:rPr>
          <w:sz w:val="24"/>
          <w:szCs w:val="24"/>
        </w:rPr>
        <w:t>able to achieve the negotiated</w:t>
      </w:r>
      <w:r w:rsidR="001E3BCC" w:rsidRPr="00FD2F3E">
        <w:rPr>
          <w:sz w:val="24"/>
          <w:szCs w:val="24"/>
        </w:rPr>
        <w:t xml:space="preserve"> performance measure goals for P</w:t>
      </w:r>
      <w:r w:rsidR="00341729" w:rsidRPr="00FD2F3E">
        <w:rPr>
          <w:sz w:val="24"/>
          <w:szCs w:val="24"/>
        </w:rPr>
        <w:t>Y</w:t>
      </w:r>
      <w:r w:rsidR="001B4A02" w:rsidRPr="00FD2F3E">
        <w:rPr>
          <w:sz w:val="24"/>
          <w:szCs w:val="24"/>
        </w:rPr>
        <w:t xml:space="preserve"> 2013-14</w:t>
      </w:r>
      <w:r w:rsidRPr="00FD2F3E">
        <w:rPr>
          <w:sz w:val="24"/>
          <w:szCs w:val="24"/>
        </w:rPr>
        <w:t>.  Many</w:t>
      </w:r>
      <w:r w:rsidR="00962D09" w:rsidRPr="00FD2F3E">
        <w:rPr>
          <w:sz w:val="24"/>
          <w:szCs w:val="24"/>
        </w:rPr>
        <w:t xml:space="preserve"> different factors played a part</w:t>
      </w:r>
      <w:r w:rsidRPr="00FD2F3E">
        <w:rPr>
          <w:sz w:val="24"/>
          <w:szCs w:val="24"/>
        </w:rPr>
        <w:t xml:space="preserve"> in the </w:t>
      </w:r>
      <w:r w:rsidR="00962D09" w:rsidRPr="00FD2F3E">
        <w:rPr>
          <w:sz w:val="24"/>
          <w:szCs w:val="24"/>
        </w:rPr>
        <w:t>national trend of und</w:t>
      </w:r>
      <w:r w:rsidR="006D39D8" w:rsidRPr="00FD2F3E">
        <w:rPr>
          <w:sz w:val="24"/>
          <w:szCs w:val="24"/>
        </w:rPr>
        <w:t>er</w:t>
      </w:r>
      <w:r w:rsidR="005C0370" w:rsidRPr="00FD2F3E">
        <w:rPr>
          <w:sz w:val="24"/>
          <w:szCs w:val="24"/>
        </w:rPr>
        <w:t xml:space="preserve"> </w:t>
      </w:r>
      <w:r w:rsidR="00242C57" w:rsidRPr="00FD2F3E">
        <w:rPr>
          <w:sz w:val="24"/>
          <w:szCs w:val="24"/>
        </w:rPr>
        <w:t>achievement</w:t>
      </w:r>
      <w:r w:rsidR="00962D09" w:rsidRPr="00FD2F3E">
        <w:rPr>
          <w:sz w:val="24"/>
          <w:szCs w:val="24"/>
        </w:rPr>
        <w:t>.</w:t>
      </w:r>
      <w:r w:rsidR="0047561B" w:rsidRPr="00FD2F3E">
        <w:rPr>
          <w:sz w:val="24"/>
          <w:szCs w:val="24"/>
        </w:rPr>
        <w:t xml:space="preserve"> </w:t>
      </w:r>
      <w:r w:rsidR="0072206D" w:rsidRPr="00FD2F3E">
        <w:rPr>
          <w:sz w:val="24"/>
          <w:szCs w:val="24"/>
        </w:rPr>
        <w:t xml:space="preserve"> </w:t>
      </w:r>
      <w:r w:rsidR="00962D09" w:rsidRPr="00FD2F3E">
        <w:rPr>
          <w:sz w:val="24"/>
          <w:szCs w:val="24"/>
        </w:rPr>
        <w:t xml:space="preserve">The </w:t>
      </w:r>
      <w:r w:rsidR="0072206D" w:rsidRPr="00FD2F3E">
        <w:rPr>
          <w:sz w:val="24"/>
          <w:szCs w:val="24"/>
        </w:rPr>
        <w:t>January release of the 2014 GED</w:t>
      </w:r>
      <w:r w:rsidR="0036681E" w:rsidRPr="00FD2F3E">
        <w:rPr>
          <w:sz w:val="24"/>
          <w:szCs w:val="24"/>
        </w:rPr>
        <w:t>®</w:t>
      </w:r>
      <w:r w:rsidR="0072206D" w:rsidRPr="00FD2F3E">
        <w:rPr>
          <w:sz w:val="24"/>
          <w:szCs w:val="24"/>
        </w:rPr>
        <w:t xml:space="preserve"> test created a mid-year transitional nightmare of converting from the old test to the new.  Many students were trying to finish and</w:t>
      </w:r>
      <w:r w:rsidR="00642483" w:rsidRPr="00FD2F3E">
        <w:rPr>
          <w:sz w:val="24"/>
          <w:szCs w:val="24"/>
        </w:rPr>
        <w:t>/or prepare for the 2002 series</w:t>
      </w:r>
      <w:r w:rsidR="0072206D" w:rsidRPr="00FD2F3E">
        <w:rPr>
          <w:sz w:val="24"/>
          <w:szCs w:val="24"/>
        </w:rPr>
        <w:t>, while teachers we</w:t>
      </w:r>
      <w:r w:rsidR="0047302E" w:rsidRPr="00FD2F3E">
        <w:rPr>
          <w:sz w:val="24"/>
          <w:szCs w:val="24"/>
        </w:rPr>
        <w:t>re frantically trying to get ready</w:t>
      </w:r>
      <w:r w:rsidR="0072206D" w:rsidRPr="00FD2F3E">
        <w:rPr>
          <w:sz w:val="24"/>
          <w:szCs w:val="24"/>
        </w:rPr>
        <w:t xml:space="preserve"> for the new </w:t>
      </w:r>
      <w:r w:rsidR="00642483" w:rsidRPr="00FD2F3E">
        <w:rPr>
          <w:sz w:val="24"/>
          <w:szCs w:val="24"/>
        </w:rPr>
        <w:t>test</w:t>
      </w:r>
      <w:r w:rsidR="0072206D" w:rsidRPr="00FD2F3E">
        <w:rPr>
          <w:sz w:val="24"/>
          <w:szCs w:val="24"/>
        </w:rPr>
        <w:t xml:space="preserve">.  The </w:t>
      </w:r>
      <w:r w:rsidR="00962D09" w:rsidRPr="00FD2F3E">
        <w:rPr>
          <w:sz w:val="24"/>
          <w:szCs w:val="24"/>
        </w:rPr>
        <w:t>significant</w:t>
      </w:r>
      <w:r w:rsidR="0072206D" w:rsidRPr="00FD2F3E">
        <w:rPr>
          <w:sz w:val="24"/>
          <w:szCs w:val="24"/>
        </w:rPr>
        <w:t xml:space="preserve"> changes in the design</w:t>
      </w:r>
      <w:r w:rsidR="00962D09" w:rsidRPr="00FD2F3E">
        <w:rPr>
          <w:sz w:val="24"/>
          <w:szCs w:val="24"/>
        </w:rPr>
        <w:t xml:space="preserve">, </w:t>
      </w:r>
      <w:r w:rsidR="0072206D" w:rsidRPr="00FD2F3E">
        <w:rPr>
          <w:sz w:val="24"/>
          <w:szCs w:val="24"/>
        </w:rPr>
        <w:t>depth of academic knowledge assessed</w:t>
      </w:r>
      <w:r w:rsidR="00962D09" w:rsidRPr="00FD2F3E">
        <w:rPr>
          <w:sz w:val="24"/>
          <w:szCs w:val="24"/>
        </w:rPr>
        <w:t xml:space="preserve">, </w:t>
      </w:r>
      <w:r w:rsidR="0072206D" w:rsidRPr="00FD2F3E">
        <w:rPr>
          <w:sz w:val="24"/>
          <w:szCs w:val="24"/>
        </w:rPr>
        <w:t xml:space="preserve">and delivery format </w:t>
      </w:r>
      <w:r w:rsidR="00962D09" w:rsidRPr="00FD2F3E">
        <w:rPr>
          <w:sz w:val="24"/>
          <w:szCs w:val="24"/>
        </w:rPr>
        <w:t>of the 2014 GED</w:t>
      </w:r>
      <w:r w:rsidR="00642483" w:rsidRPr="00FD2F3E">
        <w:rPr>
          <w:sz w:val="24"/>
          <w:szCs w:val="24"/>
        </w:rPr>
        <w:t>®</w:t>
      </w:r>
      <w:r w:rsidR="00962D09" w:rsidRPr="00FD2F3E">
        <w:rPr>
          <w:sz w:val="24"/>
          <w:szCs w:val="24"/>
        </w:rPr>
        <w:t xml:space="preserve"> </w:t>
      </w:r>
      <w:r w:rsidR="0072206D" w:rsidRPr="00FD2F3E">
        <w:rPr>
          <w:sz w:val="24"/>
          <w:szCs w:val="24"/>
        </w:rPr>
        <w:t>test</w:t>
      </w:r>
      <w:r w:rsidR="00962D09" w:rsidRPr="00FD2F3E">
        <w:rPr>
          <w:sz w:val="24"/>
          <w:szCs w:val="24"/>
        </w:rPr>
        <w:t xml:space="preserve">, </w:t>
      </w:r>
      <w:r w:rsidR="0036681E" w:rsidRPr="00FD2F3E">
        <w:rPr>
          <w:sz w:val="24"/>
          <w:szCs w:val="24"/>
        </w:rPr>
        <w:t>caused anxiety with</w:t>
      </w:r>
      <w:r w:rsidR="0047302E" w:rsidRPr="00FD2F3E">
        <w:rPr>
          <w:sz w:val="24"/>
          <w:szCs w:val="24"/>
        </w:rPr>
        <w:t xml:space="preserve"> teachers </w:t>
      </w:r>
      <w:r w:rsidR="001E3BCC" w:rsidRPr="00FD2F3E">
        <w:rPr>
          <w:sz w:val="24"/>
          <w:szCs w:val="24"/>
        </w:rPr>
        <w:t xml:space="preserve">and </w:t>
      </w:r>
      <w:r w:rsidR="0036681E" w:rsidRPr="00FD2F3E">
        <w:rPr>
          <w:sz w:val="24"/>
          <w:szCs w:val="24"/>
        </w:rPr>
        <w:t>students alike.  The result</w:t>
      </w:r>
      <w:r w:rsidR="001E3BCC" w:rsidRPr="00FD2F3E">
        <w:rPr>
          <w:sz w:val="24"/>
          <w:szCs w:val="24"/>
        </w:rPr>
        <w:t xml:space="preserve"> is </w:t>
      </w:r>
      <w:r w:rsidR="0047302E" w:rsidRPr="00FD2F3E">
        <w:rPr>
          <w:sz w:val="24"/>
          <w:szCs w:val="24"/>
        </w:rPr>
        <w:t>a decrease in enrollment, academic performance, GED</w:t>
      </w:r>
      <w:r w:rsidR="0036681E" w:rsidRPr="00FD2F3E">
        <w:rPr>
          <w:sz w:val="24"/>
          <w:szCs w:val="24"/>
        </w:rPr>
        <w:t>®</w:t>
      </w:r>
      <w:r w:rsidR="0047302E" w:rsidRPr="00FD2F3E">
        <w:rPr>
          <w:sz w:val="24"/>
          <w:szCs w:val="24"/>
        </w:rPr>
        <w:t xml:space="preserve"> attainment, and the additional </w:t>
      </w:r>
      <w:r w:rsidR="0036681E" w:rsidRPr="00FD2F3E">
        <w:rPr>
          <w:sz w:val="24"/>
          <w:szCs w:val="24"/>
        </w:rPr>
        <w:t xml:space="preserve">performance </w:t>
      </w:r>
      <w:r w:rsidR="0047302E" w:rsidRPr="00FD2F3E">
        <w:rPr>
          <w:sz w:val="24"/>
          <w:szCs w:val="24"/>
        </w:rPr>
        <w:t>measures</w:t>
      </w:r>
      <w:r w:rsidR="0036681E" w:rsidRPr="00FD2F3E">
        <w:rPr>
          <w:sz w:val="24"/>
          <w:szCs w:val="24"/>
        </w:rPr>
        <w:t>,</w:t>
      </w:r>
      <w:r w:rsidR="0047302E" w:rsidRPr="00FD2F3E">
        <w:rPr>
          <w:sz w:val="24"/>
          <w:szCs w:val="24"/>
        </w:rPr>
        <w:t xml:space="preserve"> excluding retained employm</w:t>
      </w:r>
      <w:r w:rsidR="00EE216A" w:rsidRPr="00FD2F3E">
        <w:rPr>
          <w:sz w:val="24"/>
          <w:szCs w:val="24"/>
        </w:rPr>
        <w:t xml:space="preserve">ent.  Taking it a step further, </w:t>
      </w:r>
      <w:r w:rsidR="0047302E" w:rsidRPr="00FD2F3E">
        <w:rPr>
          <w:sz w:val="24"/>
          <w:szCs w:val="24"/>
        </w:rPr>
        <w:t>59%</w:t>
      </w:r>
      <w:r w:rsidR="00EE216A" w:rsidRPr="00FD2F3E">
        <w:rPr>
          <w:sz w:val="24"/>
          <w:szCs w:val="24"/>
        </w:rPr>
        <w:t xml:space="preserve"> (12,904)</w:t>
      </w:r>
      <w:r w:rsidR="0047302E" w:rsidRPr="00FD2F3E">
        <w:rPr>
          <w:sz w:val="24"/>
          <w:szCs w:val="24"/>
        </w:rPr>
        <w:t xml:space="preserve"> of</w:t>
      </w:r>
      <w:r w:rsidR="0047561B" w:rsidRPr="00FD2F3E">
        <w:rPr>
          <w:sz w:val="24"/>
          <w:szCs w:val="24"/>
        </w:rPr>
        <w:t xml:space="preserve"> </w:t>
      </w:r>
      <w:r w:rsidR="00EE216A" w:rsidRPr="00FD2F3E">
        <w:rPr>
          <w:sz w:val="24"/>
          <w:szCs w:val="24"/>
        </w:rPr>
        <w:t xml:space="preserve">the 22,016 </w:t>
      </w:r>
      <w:r w:rsidR="0047561B" w:rsidRPr="00FD2F3E">
        <w:rPr>
          <w:sz w:val="24"/>
          <w:szCs w:val="24"/>
        </w:rPr>
        <w:t>enrolled student</w:t>
      </w:r>
      <w:r w:rsidR="001E3BCC" w:rsidRPr="00FD2F3E">
        <w:rPr>
          <w:sz w:val="24"/>
          <w:szCs w:val="24"/>
        </w:rPr>
        <w:t xml:space="preserve">s in PY </w:t>
      </w:r>
      <w:r w:rsidR="00E76404" w:rsidRPr="00FD2F3E">
        <w:rPr>
          <w:sz w:val="24"/>
          <w:szCs w:val="24"/>
        </w:rPr>
        <w:t>2013-14</w:t>
      </w:r>
      <w:r w:rsidR="001E3BCC" w:rsidRPr="00FD2F3E">
        <w:rPr>
          <w:sz w:val="24"/>
          <w:szCs w:val="24"/>
        </w:rPr>
        <w:t xml:space="preserve"> </w:t>
      </w:r>
      <w:r w:rsidR="0047561B" w:rsidRPr="00FD2F3E">
        <w:rPr>
          <w:sz w:val="24"/>
          <w:szCs w:val="24"/>
        </w:rPr>
        <w:t>separate</w:t>
      </w:r>
      <w:r w:rsidR="001E3BCC" w:rsidRPr="00FD2F3E">
        <w:rPr>
          <w:sz w:val="24"/>
          <w:szCs w:val="24"/>
        </w:rPr>
        <w:t>d prior to completing an educational functioning</w:t>
      </w:r>
      <w:r w:rsidR="0047561B" w:rsidRPr="00FD2F3E">
        <w:rPr>
          <w:sz w:val="24"/>
          <w:szCs w:val="24"/>
        </w:rPr>
        <w:t xml:space="preserve"> level</w:t>
      </w:r>
      <w:r w:rsidR="004F4DAB" w:rsidRPr="00FD2F3E">
        <w:rPr>
          <w:sz w:val="24"/>
          <w:szCs w:val="24"/>
        </w:rPr>
        <w:t xml:space="preserve"> (EFL)</w:t>
      </w:r>
      <w:r w:rsidR="0047561B" w:rsidRPr="00FD2F3E">
        <w:rPr>
          <w:sz w:val="24"/>
          <w:szCs w:val="24"/>
        </w:rPr>
        <w:t>.</w:t>
      </w:r>
      <w:r w:rsidR="004F4DAB" w:rsidRPr="00FD2F3E">
        <w:rPr>
          <w:sz w:val="24"/>
          <w:szCs w:val="24"/>
        </w:rPr>
        <w:t xml:space="preserve">  </w:t>
      </w:r>
    </w:p>
    <w:p w:rsidR="00EF4537" w:rsidRPr="002C10D3" w:rsidRDefault="001200DE" w:rsidP="00EC6675">
      <w:pPr>
        <w:jc w:val="both"/>
        <w:rPr>
          <w:sz w:val="24"/>
          <w:szCs w:val="24"/>
        </w:rPr>
      </w:pPr>
      <w:r w:rsidRPr="00FD2F3E">
        <w:rPr>
          <w:sz w:val="24"/>
          <w:szCs w:val="24"/>
        </w:rPr>
        <w:t>Comparing the hard numbers of individuals that are in the entered employment coho</w:t>
      </w:r>
      <w:r w:rsidR="0034676C" w:rsidRPr="00FD2F3E">
        <w:rPr>
          <w:sz w:val="24"/>
          <w:szCs w:val="24"/>
        </w:rPr>
        <w:t>rt for 2012-13 (2,668) to those</w:t>
      </w:r>
      <w:r w:rsidRPr="00FD2F3E">
        <w:rPr>
          <w:sz w:val="24"/>
          <w:szCs w:val="24"/>
        </w:rPr>
        <w:t xml:space="preserve"> of 2013-14 (4,732)</w:t>
      </w:r>
      <w:r w:rsidR="0034676C" w:rsidRPr="00FD2F3E">
        <w:rPr>
          <w:sz w:val="24"/>
          <w:szCs w:val="24"/>
        </w:rPr>
        <w:t>,</w:t>
      </w:r>
      <w:r w:rsidRPr="00FD2F3E">
        <w:rPr>
          <w:sz w:val="24"/>
          <w:szCs w:val="24"/>
        </w:rPr>
        <w:t xml:space="preserve"> we see an increase of </w:t>
      </w:r>
      <w:r w:rsidR="000F7A7B" w:rsidRPr="00FD2F3E">
        <w:rPr>
          <w:sz w:val="24"/>
          <w:szCs w:val="24"/>
        </w:rPr>
        <w:t>2,064.  Then</w:t>
      </w:r>
      <w:r w:rsidR="00A11BC1" w:rsidRPr="00FD2F3E">
        <w:rPr>
          <w:sz w:val="24"/>
          <w:szCs w:val="24"/>
        </w:rPr>
        <w:t>,</w:t>
      </w:r>
      <w:r w:rsidR="000F7A7B" w:rsidRPr="00FD2F3E">
        <w:rPr>
          <w:sz w:val="24"/>
          <w:szCs w:val="24"/>
        </w:rPr>
        <w:t xml:space="preserve"> if you take the number in the cohort for 2012-13 (1,604) compared to 2013-14 (4,622) the increase of 3,018 is even more significant than that of entered employment.  These figures tell the story that programs have improved their effectiveness in transitioning more students into employment or assisting them in retaining employment then in previous years.  </w:t>
      </w:r>
      <w:r w:rsidR="00A11BC1" w:rsidRPr="00FD2F3E">
        <w:rPr>
          <w:sz w:val="24"/>
          <w:szCs w:val="24"/>
        </w:rPr>
        <w:t xml:space="preserve">This could also explain why so many students left before completing an EFL.  </w:t>
      </w:r>
      <w:r w:rsidR="000F7A7B" w:rsidRPr="00FD2F3E">
        <w:rPr>
          <w:sz w:val="24"/>
          <w:szCs w:val="24"/>
        </w:rPr>
        <w:t xml:space="preserve">Negotiated percentages are not indicative of the true picture of what adult education is providing for the economy of the state in </w:t>
      </w:r>
      <w:r w:rsidR="008F1FE4" w:rsidRPr="00FD2F3E">
        <w:rPr>
          <w:sz w:val="24"/>
          <w:szCs w:val="24"/>
        </w:rPr>
        <w:t xml:space="preserve">potential earnings and continued earnings.  </w:t>
      </w:r>
      <w:r w:rsidR="000F7A7B" w:rsidRPr="00FD2F3E">
        <w:rPr>
          <w:sz w:val="24"/>
          <w:szCs w:val="24"/>
        </w:rPr>
        <w:t xml:space="preserve">   </w:t>
      </w:r>
      <w:r w:rsidR="00EE216A" w:rsidRPr="00FD2F3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762"/>
        <w:gridCol w:w="1762"/>
        <w:gridCol w:w="1802"/>
        <w:gridCol w:w="1802"/>
      </w:tblGrid>
      <w:tr w:rsidR="002C10D3" w:rsidRPr="00786A80" w:rsidTr="006A43F9">
        <w:trPr>
          <w:trHeight w:val="20"/>
        </w:trPr>
        <w:tc>
          <w:tcPr>
            <w:tcW w:w="1278" w:type="pct"/>
            <w:shd w:val="clear" w:color="auto" w:fill="auto"/>
            <w:vAlign w:val="bottom"/>
          </w:tcPr>
          <w:p w:rsidR="002C10D3" w:rsidRPr="00786A80" w:rsidRDefault="002C10D3" w:rsidP="006A43F9">
            <w:pPr>
              <w:rPr>
                <w:rFonts w:cs="Arial"/>
                <w:b/>
                <w:sz w:val="20"/>
                <w:szCs w:val="20"/>
              </w:rPr>
            </w:pPr>
            <w:r w:rsidRPr="00786A80">
              <w:rPr>
                <w:rFonts w:cs="Arial"/>
                <w:b/>
                <w:sz w:val="20"/>
                <w:szCs w:val="20"/>
              </w:rPr>
              <w:t>Alabama</w:t>
            </w:r>
            <w:r>
              <w:rPr>
                <w:rFonts w:cs="Arial"/>
                <w:b/>
                <w:sz w:val="20"/>
                <w:szCs w:val="20"/>
              </w:rPr>
              <w:t xml:space="preserve"> </w:t>
            </w:r>
            <w:r w:rsidRPr="00786A80">
              <w:rPr>
                <w:rFonts w:cs="Arial"/>
                <w:b/>
                <w:sz w:val="20"/>
                <w:szCs w:val="20"/>
              </w:rPr>
              <w:t>Adult Education</w:t>
            </w:r>
          </w:p>
          <w:p w:rsidR="002C10D3" w:rsidRPr="00786A80" w:rsidRDefault="002C10D3" w:rsidP="006A43F9">
            <w:pPr>
              <w:rPr>
                <w:rFonts w:cs="Arial"/>
                <w:b/>
                <w:sz w:val="20"/>
                <w:szCs w:val="20"/>
              </w:rPr>
            </w:pPr>
          </w:p>
        </w:tc>
        <w:tc>
          <w:tcPr>
            <w:tcW w:w="920" w:type="pct"/>
            <w:shd w:val="clear" w:color="auto" w:fill="FFF2CC" w:themeFill="accent4" w:themeFillTint="33"/>
          </w:tcPr>
          <w:p w:rsidR="002C10D3" w:rsidRPr="00786A80" w:rsidRDefault="002C10D3" w:rsidP="006A43F9">
            <w:pPr>
              <w:spacing w:line="240" w:lineRule="auto"/>
              <w:rPr>
                <w:rFonts w:cs="Arial"/>
                <w:b/>
                <w:sz w:val="20"/>
                <w:szCs w:val="20"/>
              </w:rPr>
            </w:pPr>
            <w:r w:rsidRPr="00786A80">
              <w:rPr>
                <w:rFonts w:cs="Arial"/>
                <w:b/>
                <w:sz w:val="20"/>
                <w:szCs w:val="20"/>
              </w:rPr>
              <w:t>Performance Achievement</w:t>
            </w:r>
          </w:p>
          <w:p w:rsidR="002C10D3" w:rsidRPr="00786A80" w:rsidRDefault="002C10D3" w:rsidP="006A43F9">
            <w:pPr>
              <w:spacing w:line="240" w:lineRule="auto"/>
              <w:rPr>
                <w:rFonts w:cs="Arial"/>
                <w:b/>
                <w:sz w:val="20"/>
                <w:szCs w:val="20"/>
              </w:rPr>
            </w:pPr>
            <w:r w:rsidRPr="00786A80">
              <w:rPr>
                <w:rFonts w:cs="Arial"/>
                <w:b/>
                <w:sz w:val="20"/>
                <w:szCs w:val="20"/>
              </w:rPr>
              <w:t>2012-13</w:t>
            </w:r>
          </w:p>
        </w:tc>
        <w:tc>
          <w:tcPr>
            <w:tcW w:w="920" w:type="pct"/>
            <w:shd w:val="clear" w:color="auto" w:fill="DBE5F1"/>
          </w:tcPr>
          <w:p w:rsidR="002C10D3" w:rsidRPr="00786A80" w:rsidRDefault="002C10D3" w:rsidP="006A43F9">
            <w:pPr>
              <w:rPr>
                <w:rFonts w:cs="Arial"/>
                <w:b/>
                <w:sz w:val="20"/>
                <w:szCs w:val="20"/>
              </w:rPr>
            </w:pPr>
            <w:r w:rsidRPr="00786A80">
              <w:rPr>
                <w:rFonts w:cs="Arial"/>
                <w:b/>
                <w:sz w:val="20"/>
                <w:szCs w:val="20"/>
              </w:rPr>
              <w:t>Performance Achievement</w:t>
            </w:r>
          </w:p>
          <w:p w:rsidR="002C10D3" w:rsidRPr="00786A80" w:rsidRDefault="002C10D3" w:rsidP="006A43F9">
            <w:pPr>
              <w:rPr>
                <w:rFonts w:cs="Arial"/>
                <w:b/>
                <w:sz w:val="20"/>
                <w:szCs w:val="20"/>
              </w:rPr>
            </w:pPr>
            <w:r w:rsidRPr="00786A80">
              <w:rPr>
                <w:rFonts w:cs="Arial"/>
                <w:b/>
                <w:sz w:val="20"/>
                <w:szCs w:val="20"/>
              </w:rPr>
              <w:t>2013-14</w:t>
            </w:r>
          </w:p>
        </w:tc>
        <w:tc>
          <w:tcPr>
            <w:tcW w:w="941" w:type="pct"/>
            <w:shd w:val="clear" w:color="auto" w:fill="DBE5F1"/>
          </w:tcPr>
          <w:p w:rsidR="002C10D3" w:rsidRPr="00786A80" w:rsidRDefault="002C10D3" w:rsidP="006A43F9">
            <w:pPr>
              <w:rPr>
                <w:rFonts w:cs="Arial"/>
                <w:b/>
                <w:sz w:val="20"/>
                <w:szCs w:val="20"/>
              </w:rPr>
            </w:pPr>
            <w:r w:rsidRPr="00786A80">
              <w:rPr>
                <w:rFonts w:cs="Arial"/>
                <w:b/>
                <w:sz w:val="20"/>
                <w:szCs w:val="20"/>
              </w:rPr>
              <w:t>Performance Measure Goals</w:t>
            </w:r>
          </w:p>
          <w:p w:rsidR="002C10D3" w:rsidRPr="00786A80" w:rsidRDefault="002C10D3" w:rsidP="006A43F9">
            <w:pPr>
              <w:rPr>
                <w:rFonts w:cs="Arial"/>
                <w:b/>
                <w:sz w:val="20"/>
                <w:szCs w:val="20"/>
              </w:rPr>
            </w:pPr>
            <w:r w:rsidRPr="00786A80">
              <w:rPr>
                <w:rFonts w:cs="Arial"/>
                <w:b/>
                <w:sz w:val="20"/>
                <w:szCs w:val="20"/>
              </w:rPr>
              <w:t>2013-14</w:t>
            </w:r>
          </w:p>
        </w:tc>
        <w:tc>
          <w:tcPr>
            <w:tcW w:w="941" w:type="pct"/>
            <w:shd w:val="clear" w:color="auto" w:fill="E2EFD9" w:themeFill="accent6" w:themeFillTint="33"/>
          </w:tcPr>
          <w:p w:rsidR="002C10D3" w:rsidRPr="00786A80" w:rsidRDefault="002C10D3" w:rsidP="006A43F9">
            <w:pPr>
              <w:rPr>
                <w:rFonts w:cs="Arial"/>
                <w:b/>
                <w:sz w:val="20"/>
                <w:szCs w:val="20"/>
              </w:rPr>
            </w:pPr>
            <w:r w:rsidRPr="00786A80">
              <w:rPr>
                <w:rFonts w:cs="Arial"/>
                <w:b/>
                <w:sz w:val="20"/>
                <w:szCs w:val="20"/>
              </w:rPr>
              <w:t>Performance Measure Goals</w:t>
            </w:r>
          </w:p>
          <w:p w:rsidR="002C10D3" w:rsidRPr="00786A80" w:rsidRDefault="002C10D3" w:rsidP="006A43F9">
            <w:pPr>
              <w:rPr>
                <w:rFonts w:cs="Arial"/>
                <w:b/>
                <w:sz w:val="20"/>
                <w:szCs w:val="20"/>
              </w:rPr>
            </w:pPr>
            <w:r w:rsidRPr="00786A80">
              <w:rPr>
                <w:rFonts w:cs="Arial"/>
                <w:b/>
                <w:sz w:val="20"/>
                <w:szCs w:val="20"/>
              </w:rPr>
              <w:t>2014-15</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ABE Beg.  Literacy</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46%</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41%</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70%</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47%</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ABE Beginning</w:t>
            </w:r>
          </w:p>
        </w:tc>
        <w:tc>
          <w:tcPr>
            <w:tcW w:w="920" w:type="pct"/>
            <w:shd w:val="clear" w:color="auto" w:fill="FFF2CC" w:themeFill="accent4" w:themeFillTint="33"/>
            <w:vAlign w:val="center"/>
          </w:tcPr>
          <w:p w:rsidR="002C10D3" w:rsidRPr="00786A80" w:rsidRDefault="002C10D3" w:rsidP="006A43F9">
            <w:pPr>
              <w:tabs>
                <w:tab w:val="right" w:pos="6429"/>
              </w:tabs>
              <w:rPr>
                <w:rFonts w:cs="Arial"/>
                <w:sz w:val="20"/>
                <w:szCs w:val="20"/>
              </w:rPr>
            </w:pPr>
            <w:r w:rsidRPr="00786A80">
              <w:rPr>
                <w:rFonts w:cs="Arial"/>
                <w:sz w:val="20"/>
                <w:szCs w:val="20"/>
              </w:rPr>
              <w:t>42%</w:t>
            </w:r>
          </w:p>
        </w:tc>
        <w:tc>
          <w:tcPr>
            <w:tcW w:w="920" w:type="pct"/>
            <w:shd w:val="clear" w:color="auto" w:fill="DBE5F1"/>
            <w:vAlign w:val="center"/>
          </w:tcPr>
          <w:p w:rsidR="002C10D3" w:rsidRPr="00786A80" w:rsidRDefault="002C10D3" w:rsidP="006A43F9">
            <w:pPr>
              <w:tabs>
                <w:tab w:val="right" w:pos="6429"/>
              </w:tabs>
              <w:rPr>
                <w:rFonts w:cs="Arial"/>
                <w:sz w:val="20"/>
                <w:szCs w:val="20"/>
              </w:rPr>
            </w:pPr>
            <w:r w:rsidRPr="00786A80">
              <w:rPr>
                <w:rFonts w:cs="Arial"/>
                <w:sz w:val="20"/>
                <w:szCs w:val="20"/>
              </w:rPr>
              <w:t>38%</w:t>
            </w:r>
          </w:p>
        </w:tc>
        <w:tc>
          <w:tcPr>
            <w:tcW w:w="941" w:type="pct"/>
            <w:shd w:val="clear" w:color="auto" w:fill="DBE5F1"/>
            <w:vAlign w:val="center"/>
          </w:tcPr>
          <w:p w:rsidR="002C10D3" w:rsidRPr="00786A80" w:rsidRDefault="002C10D3" w:rsidP="006A43F9">
            <w:pPr>
              <w:tabs>
                <w:tab w:val="right" w:pos="6429"/>
              </w:tabs>
              <w:rPr>
                <w:rFonts w:cs="Arial"/>
                <w:sz w:val="20"/>
                <w:szCs w:val="20"/>
              </w:rPr>
            </w:pPr>
            <w:r w:rsidRPr="00786A80">
              <w:rPr>
                <w:rFonts w:cs="Arial"/>
                <w:sz w:val="20"/>
                <w:szCs w:val="20"/>
              </w:rPr>
              <w:t>66%</w:t>
            </w:r>
          </w:p>
        </w:tc>
        <w:tc>
          <w:tcPr>
            <w:tcW w:w="941" w:type="pct"/>
            <w:shd w:val="clear" w:color="auto" w:fill="E2EFD9" w:themeFill="accent6" w:themeFillTint="33"/>
            <w:vAlign w:val="center"/>
          </w:tcPr>
          <w:p w:rsidR="002C10D3" w:rsidRPr="00786A80" w:rsidRDefault="002C10D3" w:rsidP="006A43F9">
            <w:pPr>
              <w:tabs>
                <w:tab w:val="right" w:pos="6429"/>
              </w:tabs>
              <w:rPr>
                <w:rFonts w:cs="Arial"/>
                <w:sz w:val="20"/>
                <w:szCs w:val="20"/>
              </w:rPr>
            </w:pPr>
            <w:r w:rsidRPr="00786A80">
              <w:rPr>
                <w:rFonts w:cs="Arial"/>
                <w:sz w:val="20"/>
                <w:szCs w:val="20"/>
              </w:rPr>
              <w:t>43%</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ABE Low Inter.</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41%</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36%</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67%</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46%</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ABE High Inter.</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37%</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31%</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61%</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38%</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ASE Low</w:t>
            </w:r>
          </w:p>
        </w:tc>
        <w:tc>
          <w:tcPr>
            <w:tcW w:w="920" w:type="pct"/>
            <w:tcBorders>
              <w:top w:val="single" w:sz="4" w:space="0" w:color="auto"/>
            </w:tcBorders>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41%</w:t>
            </w:r>
          </w:p>
        </w:tc>
        <w:tc>
          <w:tcPr>
            <w:tcW w:w="920" w:type="pct"/>
            <w:tcBorders>
              <w:top w:val="single" w:sz="4" w:space="0" w:color="auto"/>
            </w:tcBorders>
            <w:shd w:val="clear" w:color="auto" w:fill="DBE5F1"/>
            <w:vAlign w:val="center"/>
          </w:tcPr>
          <w:p w:rsidR="002C10D3" w:rsidRPr="00786A80" w:rsidRDefault="002C10D3" w:rsidP="006A43F9">
            <w:pPr>
              <w:rPr>
                <w:rFonts w:cs="Arial"/>
                <w:sz w:val="20"/>
                <w:szCs w:val="20"/>
              </w:rPr>
            </w:pPr>
            <w:r w:rsidRPr="00786A80">
              <w:rPr>
                <w:rFonts w:cs="Arial"/>
                <w:sz w:val="20"/>
                <w:szCs w:val="20"/>
              </w:rPr>
              <w:t>34%</w:t>
            </w:r>
          </w:p>
        </w:tc>
        <w:tc>
          <w:tcPr>
            <w:tcW w:w="941" w:type="pct"/>
            <w:tcBorders>
              <w:top w:val="single" w:sz="4" w:space="0" w:color="auto"/>
            </w:tcBorders>
            <w:shd w:val="clear" w:color="auto" w:fill="DBE5F1"/>
            <w:vAlign w:val="center"/>
          </w:tcPr>
          <w:p w:rsidR="002C10D3" w:rsidRPr="00786A80" w:rsidRDefault="002C10D3" w:rsidP="006A43F9">
            <w:pPr>
              <w:rPr>
                <w:rFonts w:cs="Arial"/>
                <w:sz w:val="20"/>
                <w:szCs w:val="20"/>
              </w:rPr>
            </w:pPr>
            <w:r w:rsidRPr="00786A80">
              <w:rPr>
                <w:rFonts w:cs="Arial"/>
                <w:sz w:val="20"/>
                <w:szCs w:val="20"/>
              </w:rPr>
              <w:t>63%</w:t>
            </w:r>
          </w:p>
        </w:tc>
        <w:tc>
          <w:tcPr>
            <w:tcW w:w="941" w:type="pct"/>
            <w:tcBorders>
              <w:top w:val="single" w:sz="4" w:space="0" w:color="auto"/>
            </w:tcBorders>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42%</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lastRenderedPageBreak/>
              <w:t>Beg. ESL Literacy</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35%</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29%</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68%</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43%</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Low Beg.  ESL</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54%</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42%</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81%</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55%</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High Beg.  ESL</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41%</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44%</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73%</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48%</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Low Inter. ESL</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42%</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40%</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75%</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48%</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High Int. ESL</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34%</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37%</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74%</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43%</w:t>
            </w:r>
          </w:p>
        </w:tc>
      </w:tr>
      <w:tr w:rsidR="002C10D3" w:rsidRPr="00786A80" w:rsidTr="006A43F9">
        <w:trPr>
          <w:trHeight w:val="720"/>
        </w:trPr>
        <w:tc>
          <w:tcPr>
            <w:tcW w:w="1278" w:type="pct"/>
            <w:tcBorders>
              <w:bottom w:val="thinThickSmallGap" w:sz="24" w:space="0" w:color="auto"/>
            </w:tcBorders>
            <w:shd w:val="clear" w:color="auto" w:fill="auto"/>
            <w:vAlign w:val="center"/>
          </w:tcPr>
          <w:p w:rsidR="002C10D3" w:rsidRPr="00786A80" w:rsidRDefault="002C10D3" w:rsidP="006A43F9">
            <w:pPr>
              <w:rPr>
                <w:rFonts w:cs="Arial"/>
                <w:sz w:val="20"/>
                <w:szCs w:val="20"/>
              </w:rPr>
            </w:pPr>
            <w:r w:rsidRPr="00786A80">
              <w:rPr>
                <w:rFonts w:cs="Arial"/>
                <w:sz w:val="20"/>
                <w:szCs w:val="20"/>
              </w:rPr>
              <w:t>Advanced ESL</w:t>
            </w:r>
          </w:p>
        </w:tc>
        <w:tc>
          <w:tcPr>
            <w:tcW w:w="920" w:type="pct"/>
            <w:tcBorders>
              <w:bottom w:val="thinThickSmallGap" w:sz="24" w:space="0" w:color="auto"/>
            </w:tcBorders>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23%</w:t>
            </w:r>
          </w:p>
        </w:tc>
        <w:tc>
          <w:tcPr>
            <w:tcW w:w="920" w:type="pct"/>
            <w:tcBorders>
              <w:bottom w:val="thinThickSmallGap" w:sz="24" w:space="0" w:color="auto"/>
            </w:tcBorders>
            <w:shd w:val="clear" w:color="auto" w:fill="DBE5F1"/>
            <w:vAlign w:val="center"/>
          </w:tcPr>
          <w:p w:rsidR="002C10D3" w:rsidRPr="00786A80" w:rsidRDefault="002C10D3" w:rsidP="006A43F9">
            <w:pPr>
              <w:rPr>
                <w:rFonts w:cs="Arial"/>
                <w:sz w:val="20"/>
                <w:szCs w:val="20"/>
              </w:rPr>
            </w:pPr>
            <w:r w:rsidRPr="00786A80">
              <w:rPr>
                <w:rFonts w:cs="Arial"/>
                <w:sz w:val="20"/>
                <w:szCs w:val="20"/>
              </w:rPr>
              <w:t>31%</w:t>
            </w:r>
          </w:p>
        </w:tc>
        <w:tc>
          <w:tcPr>
            <w:tcW w:w="941" w:type="pct"/>
            <w:tcBorders>
              <w:bottom w:val="thinThickSmallGap" w:sz="24" w:space="0" w:color="auto"/>
            </w:tcBorders>
            <w:shd w:val="clear" w:color="auto" w:fill="DBE5F1"/>
            <w:vAlign w:val="center"/>
          </w:tcPr>
          <w:p w:rsidR="002C10D3" w:rsidRPr="00786A80" w:rsidRDefault="002C10D3" w:rsidP="006A43F9">
            <w:pPr>
              <w:rPr>
                <w:rFonts w:cs="Arial"/>
                <w:sz w:val="20"/>
                <w:szCs w:val="20"/>
              </w:rPr>
            </w:pPr>
            <w:r w:rsidRPr="00786A80">
              <w:rPr>
                <w:rFonts w:cs="Arial"/>
                <w:sz w:val="20"/>
                <w:szCs w:val="20"/>
              </w:rPr>
              <w:t>50%</w:t>
            </w:r>
          </w:p>
        </w:tc>
        <w:tc>
          <w:tcPr>
            <w:tcW w:w="941" w:type="pct"/>
            <w:tcBorders>
              <w:bottom w:val="thinThickSmallGap" w:sz="24" w:space="0" w:color="auto"/>
            </w:tcBorders>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24%</w:t>
            </w:r>
          </w:p>
        </w:tc>
      </w:tr>
      <w:tr w:rsidR="002C10D3" w:rsidRPr="00786A80" w:rsidTr="006A43F9">
        <w:trPr>
          <w:trHeight w:val="720"/>
        </w:trPr>
        <w:tc>
          <w:tcPr>
            <w:tcW w:w="1278" w:type="pct"/>
            <w:tcBorders>
              <w:top w:val="thinThickSmallGap" w:sz="24" w:space="0" w:color="auto"/>
            </w:tcBorders>
            <w:shd w:val="clear" w:color="auto" w:fill="auto"/>
            <w:vAlign w:val="center"/>
          </w:tcPr>
          <w:p w:rsidR="002C10D3" w:rsidRPr="00786A80" w:rsidRDefault="002C10D3" w:rsidP="006A43F9">
            <w:pPr>
              <w:rPr>
                <w:rFonts w:cs="Arial"/>
                <w:sz w:val="20"/>
                <w:szCs w:val="20"/>
              </w:rPr>
            </w:pPr>
            <w:r w:rsidRPr="00786A80">
              <w:rPr>
                <w:rFonts w:cs="Arial"/>
                <w:sz w:val="20"/>
                <w:szCs w:val="20"/>
              </w:rPr>
              <w:t>Enter Employment</w:t>
            </w:r>
          </w:p>
        </w:tc>
        <w:tc>
          <w:tcPr>
            <w:tcW w:w="920" w:type="pct"/>
            <w:tcBorders>
              <w:top w:val="thinThickSmallGap" w:sz="24" w:space="0" w:color="auto"/>
            </w:tcBorders>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43%</w:t>
            </w:r>
          </w:p>
        </w:tc>
        <w:tc>
          <w:tcPr>
            <w:tcW w:w="920" w:type="pct"/>
            <w:tcBorders>
              <w:top w:val="thinThickSmallGap" w:sz="24" w:space="0" w:color="auto"/>
            </w:tcBorders>
            <w:shd w:val="clear" w:color="auto" w:fill="DBE5F1"/>
            <w:vAlign w:val="center"/>
          </w:tcPr>
          <w:p w:rsidR="002C10D3" w:rsidRPr="00786A80" w:rsidRDefault="002C10D3" w:rsidP="006A43F9">
            <w:pPr>
              <w:rPr>
                <w:rFonts w:cs="Arial"/>
                <w:sz w:val="20"/>
                <w:szCs w:val="20"/>
              </w:rPr>
            </w:pPr>
            <w:r w:rsidRPr="00786A80">
              <w:rPr>
                <w:rFonts w:cs="Arial"/>
                <w:sz w:val="20"/>
                <w:szCs w:val="20"/>
              </w:rPr>
              <w:t>41%</w:t>
            </w:r>
          </w:p>
        </w:tc>
        <w:tc>
          <w:tcPr>
            <w:tcW w:w="941" w:type="pct"/>
            <w:tcBorders>
              <w:top w:val="thinThickSmallGap" w:sz="24" w:space="0" w:color="auto"/>
            </w:tcBorders>
            <w:shd w:val="clear" w:color="auto" w:fill="DBE5F1"/>
            <w:vAlign w:val="center"/>
          </w:tcPr>
          <w:p w:rsidR="002C10D3" w:rsidRPr="00786A80" w:rsidRDefault="002C10D3" w:rsidP="006A43F9">
            <w:pPr>
              <w:rPr>
                <w:rFonts w:cs="Arial"/>
                <w:sz w:val="20"/>
                <w:szCs w:val="20"/>
              </w:rPr>
            </w:pPr>
            <w:r w:rsidRPr="00786A80">
              <w:rPr>
                <w:rFonts w:cs="Arial"/>
                <w:sz w:val="20"/>
                <w:szCs w:val="20"/>
              </w:rPr>
              <w:t>53%</w:t>
            </w:r>
          </w:p>
        </w:tc>
        <w:tc>
          <w:tcPr>
            <w:tcW w:w="941" w:type="pct"/>
            <w:tcBorders>
              <w:top w:val="thinThickSmallGap" w:sz="24" w:space="0" w:color="auto"/>
            </w:tcBorders>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45%</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Retain Employment</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40%</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46%</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37%</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48%</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sidRPr="00786A80">
              <w:rPr>
                <w:rFonts w:cs="Arial"/>
                <w:sz w:val="20"/>
                <w:szCs w:val="20"/>
              </w:rPr>
              <w:t>GED®/ HS Diploma</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71%</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61%</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78%</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72%</w:t>
            </w:r>
          </w:p>
        </w:tc>
      </w:tr>
      <w:tr w:rsidR="002C10D3" w:rsidRPr="00786A80" w:rsidTr="006A43F9">
        <w:trPr>
          <w:trHeight w:val="720"/>
        </w:trPr>
        <w:tc>
          <w:tcPr>
            <w:tcW w:w="1278" w:type="pct"/>
            <w:shd w:val="clear" w:color="auto" w:fill="auto"/>
            <w:vAlign w:val="center"/>
          </w:tcPr>
          <w:p w:rsidR="002C10D3" w:rsidRPr="00786A80" w:rsidRDefault="002C10D3" w:rsidP="006A43F9">
            <w:pPr>
              <w:rPr>
                <w:rFonts w:cs="Arial"/>
                <w:sz w:val="20"/>
                <w:szCs w:val="20"/>
              </w:rPr>
            </w:pPr>
            <w:r>
              <w:rPr>
                <w:rFonts w:cs="Arial"/>
                <w:sz w:val="20"/>
                <w:szCs w:val="20"/>
              </w:rPr>
              <w:t xml:space="preserve">Enter </w:t>
            </w:r>
            <w:r w:rsidRPr="00786A80">
              <w:rPr>
                <w:rFonts w:cs="Arial"/>
                <w:sz w:val="20"/>
                <w:szCs w:val="20"/>
              </w:rPr>
              <w:t>Postsecondary Education/Training</w:t>
            </w:r>
          </w:p>
        </w:tc>
        <w:tc>
          <w:tcPr>
            <w:tcW w:w="920" w:type="pct"/>
            <w:shd w:val="clear" w:color="auto" w:fill="FFF2CC" w:themeFill="accent4" w:themeFillTint="33"/>
            <w:vAlign w:val="center"/>
          </w:tcPr>
          <w:p w:rsidR="002C10D3" w:rsidRPr="00786A80" w:rsidRDefault="002C10D3" w:rsidP="006A43F9">
            <w:pPr>
              <w:rPr>
                <w:rFonts w:cs="Arial"/>
                <w:sz w:val="20"/>
                <w:szCs w:val="20"/>
              </w:rPr>
            </w:pPr>
            <w:r w:rsidRPr="00786A80">
              <w:rPr>
                <w:rFonts w:cs="Arial"/>
                <w:sz w:val="20"/>
                <w:szCs w:val="20"/>
              </w:rPr>
              <w:t>28%</w:t>
            </w:r>
          </w:p>
        </w:tc>
        <w:tc>
          <w:tcPr>
            <w:tcW w:w="920" w:type="pct"/>
            <w:shd w:val="clear" w:color="auto" w:fill="DBE5F1"/>
            <w:vAlign w:val="center"/>
          </w:tcPr>
          <w:p w:rsidR="002C10D3" w:rsidRPr="00786A80" w:rsidRDefault="002C10D3" w:rsidP="006A43F9">
            <w:pPr>
              <w:rPr>
                <w:rFonts w:cs="Arial"/>
                <w:sz w:val="20"/>
                <w:szCs w:val="20"/>
              </w:rPr>
            </w:pPr>
            <w:r w:rsidRPr="00786A80">
              <w:rPr>
                <w:rFonts w:cs="Arial"/>
                <w:sz w:val="20"/>
                <w:szCs w:val="20"/>
              </w:rPr>
              <w:t>26%</w:t>
            </w:r>
          </w:p>
        </w:tc>
        <w:tc>
          <w:tcPr>
            <w:tcW w:w="941" w:type="pct"/>
            <w:shd w:val="clear" w:color="auto" w:fill="DBE5F1"/>
            <w:vAlign w:val="center"/>
          </w:tcPr>
          <w:p w:rsidR="002C10D3" w:rsidRPr="00786A80" w:rsidRDefault="002C10D3" w:rsidP="006A43F9">
            <w:pPr>
              <w:rPr>
                <w:rFonts w:cs="Arial"/>
                <w:sz w:val="20"/>
                <w:szCs w:val="20"/>
              </w:rPr>
            </w:pPr>
            <w:r w:rsidRPr="00786A80">
              <w:rPr>
                <w:rFonts w:cs="Arial"/>
                <w:sz w:val="20"/>
                <w:szCs w:val="20"/>
              </w:rPr>
              <w:t>38%</w:t>
            </w:r>
          </w:p>
        </w:tc>
        <w:tc>
          <w:tcPr>
            <w:tcW w:w="941" w:type="pct"/>
            <w:shd w:val="clear" w:color="auto" w:fill="E2EFD9" w:themeFill="accent6" w:themeFillTint="33"/>
            <w:vAlign w:val="center"/>
          </w:tcPr>
          <w:p w:rsidR="002C10D3" w:rsidRPr="00786A80" w:rsidRDefault="002C10D3" w:rsidP="006A43F9">
            <w:pPr>
              <w:rPr>
                <w:rFonts w:cs="Arial"/>
                <w:sz w:val="20"/>
                <w:szCs w:val="20"/>
              </w:rPr>
            </w:pPr>
            <w:r w:rsidRPr="00786A80">
              <w:rPr>
                <w:rFonts w:cs="Arial"/>
                <w:sz w:val="20"/>
                <w:szCs w:val="20"/>
              </w:rPr>
              <w:t>31%</w:t>
            </w:r>
          </w:p>
        </w:tc>
      </w:tr>
    </w:tbl>
    <w:p w:rsidR="002C10D3" w:rsidRDefault="002C10D3" w:rsidP="00A11BC1">
      <w:pPr>
        <w:jc w:val="both"/>
        <w:rPr>
          <w:sz w:val="24"/>
          <w:szCs w:val="24"/>
        </w:rPr>
      </w:pPr>
    </w:p>
    <w:p w:rsidR="005C0370" w:rsidRPr="00FD2F3E" w:rsidRDefault="00EE216A" w:rsidP="00A11BC1">
      <w:pPr>
        <w:jc w:val="both"/>
        <w:rPr>
          <w:sz w:val="24"/>
          <w:szCs w:val="24"/>
        </w:rPr>
      </w:pPr>
      <w:r w:rsidRPr="00FD2F3E">
        <w:rPr>
          <w:sz w:val="24"/>
          <w:szCs w:val="24"/>
        </w:rPr>
        <w:t xml:space="preserve">In July, 2014 new leadership was established for Alabama adult education and a high priority was placed on targeted professional development.  One of the first areas of focus was on program performance </w:t>
      </w:r>
      <w:r w:rsidR="00A11BC1" w:rsidRPr="00FD2F3E">
        <w:rPr>
          <w:sz w:val="24"/>
          <w:szCs w:val="24"/>
        </w:rPr>
        <w:t>and student</w:t>
      </w:r>
      <w:r w:rsidRPr="00FD2F3E">
        <w:rPr>
          <w:sz w:val="24"/>
          <w:szCs w:val="24"/>
        </w:rPr>
        <w:t xml:space="preserve"> persistence. The state immediately partnered with NAEPDC (Dr. Lennox McLendon) to create targeted training for improvement in enrollment, performance outcomes, and persistence.  The program improvement initiative is called </w:t>
      </w:r>
      <w:r w:rsidR="00642483" w:rsidRPr="00FD2F3E">
        <w:rPr>
          <w:sz w:val="24"/>
          <w:szCs w:val="24"/>
        </w:rPr>
        <w:t>Alabama Program Improvement Initiative:  “Getting Better Every Year at Serving Adult Learners”</w:t>
      </w:r>
      <w:r w:rsidRPr="00FD2F3E">
        <w:rPr>
          <w:sz w:val="24"/>
          <w:szCs w:val="24"/>
        </w:rPr>
        <w:t xml:space="preserve"> and focuses on cultivating the administrative and instructional leadership of the state’s 28 adult education directors.  </w:t>
      </w:r>
      <w:r w:rsidR="007F7659" w:rsidRPr="00FD2F3E">
        <w:rPr>
          <w:sz w:val="24"/>
          <w:szCs w:val="24"/>
        </w:rPr>
        <w:t xml:space="preserve">There were three </w:t>
      </w:r>
      <w:r w:rsidRPr="00FD2F3E">
        <w:rPr>
          <w:sz w:val="24"/>
          <w:szCs w:val="24"/>
        </w:rPr>
        <w:t>days of training which included targeted discussions on data analysis, program self-evaluation, program improvement strategies, and student persistence strategies.  Program directors and a key instructional staff were required to participate and work together in teams to analyze their data, target areas for improvement, and implement strategies using the “Red Flag Chart” (</w:t>
      </w:r>
      <w:r w:rsidRPr="00FD2F3E">
        <w:rPr>
          <w:i/>
          <w:sz w:val="24"/>
          <w:szCs w:val="24"/>
        </w:rPr>
        <w:t>a tool that was created by McLendon and Associates</w:t>
      </w:r>
      <w:r w:rsidRPr="00FD2F3E">
        <w:rPr>
          <w:sz w:val="24"/>
          <w:szCs w:val="24"/>
        </w:rPr>
        <w:t>).  Each program brought in aggregate student data broken out into</w:t>
      </w:r>
      <w:r w:rsidR="0034676C" w:rsidRPr="00FD2F3E">
        <w:rPr>
          <w:sz w:val="24"/>
          <w:szCs w:val="24"/>
        </w:rPr>
        <w:t>:</w:t>
      </w:r>
      <w:r w:rsidRPr="00FD2F3E">
        <w:rPr>
          <w:sz w:val="24"/>
          <w:szCs w:val="24"/>
        </w:rPr>
        <w:t xml:space="preserve"> less than 12 hours, 12 to 19</w:t>
      </w:r>
      <w:r w:rsidR="0034676C" w:rsidRPr="00FD2F3E">
        <w:rPr>
          <w:sz w:val="24"/>
          <w:szCs w:val="24"/>
        </w:rPr>
        <w:t xml:space="preserve"> hours</w:t>
      </w:r>
      <w:r w:rsidRPr="00FD2F3E">
        <w:rPr>
          <w:sz w:val="24"/>
          <w:szCs w:val="24"/>
        </w:rPr>
        <w:t>, 20 to 29</w:t>
      </w:r>
      <w:r w:rsidR="0034676C" w:rsidRPr="00FD2F3E">
        <w:rPr>
          <w:sz w:val="24"/>
          <w:szCs w:val="24"/>
        </w:rPr>
        <w:t xml:space="preserve"> hours</w:t>
      </w:r>
      <w:r w:rsidRPr="00FD2F3E">
        <w:rPr>
          <w:sz w:val="24"/>
          <w:szCs w:val="24"/>
        </w:rPr>
        <w:t>, 30 to 39</w:t>
      </w:r>
      <w:r w:rsidR="0034676C" w:rsidRPr="00FD2F3E">
        <w:rPr>
          <w:sz w:val="24"/>
          <w:szCs w:val="24"/>
        </w:rPr>
        <w:t xml:space="preserve"> hours</w:t>
      </w:r>
      <w:r w:rsidRPr="00FD2F3E">
        <w:rPr>
          <w:sz w:val="24"/>
          <w:szCs w:val="24"/>
        </w:rPr>
        <w:t xml:space="preserve"> and 40</w:t>
      </w:r>
      <w:r w:rsidR="0034676C" w:rsidRPr="00FD2F3E">
        <w:rPr>
          <w:sz w:val="24"/>
          <w:szCs w:val="24"/>
        </w:rPr>
        <w:t xml:space="preserve"> hours</w:t>
      </w:r>
      <w:r w:rsidRPr="00FD2F3E">
        <w:rPr>
          <w:sz w:val="24"/>
          <w:szCs w:val="24"/>
        </w:rPr>
        <w:t xml:space="preserve"> and above.   The training included individual program analysis for weaknesses, exploring possible reasons, exploring possible alternatives, and pilot testing alternative solutions.  </w:t>
      </w:r>
      <w:r w:rsidR="00AF67A4" w:rsidRPr="00FD2F3E">
        <w:rPr>
          <w:sz w:val="24"/>
          <w:szCs w:val="24"/>
        </w:rPr>
        <w:t xml:space="preserve">By increasing student persistence </w:t>
      </w:r>
      <w:r w:rsidR="00AF67A4" w:rsidRPr="00FD2F3E">
        <w:rPr>
          <w:sz w:val="24"/>
          <w:szCs w:val="24"/>
        </w:rPr>
        <w:lastRenderedPageBreak/>
        <w:t xml:space="preserve">programs shall see an increase in academic gains and core measure improvements.  </w:t>
      </w:r>
      <w:r w:rsidR="00642483" w:rsidRPr="00FD2F3E">
        <w:rPr>
          <w:sz w:val="24"/>
          <w:szCs w:val="24"/>
        </w:rPr>
        <w:t>The</w:t>
      </w:r>
      <w:r w:rsidR="007F7659" w:rsidRPr="00FD2F3E">
        <w:rPr>
          <w:sz w:val="24"/>
          <w:szCs w:val="24"/>
        </w:rPr>
        <w:t xml:space="preserve"> expectation is for programs to take the strategies to “scale”.  As a result, t</w:t>
      </w:r>
      <w:r w:rsidR="00AF67A4" w:rsidRPr="00FD2F3E">
        <w:rPr>
          <w:sz w:val="24"/>
          <w:szCs w:val="24"/>
        </w:rPr>
        <w:t xml:space="preserve">he state has received implementation plans from local programs on how they are incorporating the persistence strategies into their program design.  Continued emphasis will be placed on </w:t>
      </w:r>
      <w:r w:rsidR="00A11BC1" w:rsidRPr="00FD2F3E">
        <w:rPr>
          <w:sz w:val="24"/>
          <w:szCs w:val="24"/>
        </w:rPr>
        <w:t xml:space="preserve">assisting programs to use their data for promoting programmatic change for student success. </w:t>
      </w:r>
      <w:r w:rsidR="00CE00B4" w:rsidRPr="00FD2F3E">
        <w:rPr>
          <w:sz w:val="24"/>
          <w:szCs w:val="24"/>
        </w:rPr>
        <w:t xml:space="preserve">  State follow-up through desk monitoring, technical assistance visits, and additional professional development will assist in sustaining the program’s efforts in continuous improvement</w:t>
      </w:r>
      <w:r w:rsidR="007F7659" w:rsidRPr="00FD2F3E">
        <w:rPr>
          <w:sz w:val="24"/>
          <w:szCs w:val="24"/>
        </w:rPr>
        <w:t xml:space="preserve"> and “going to scale”</w:t>
      </w:r>
      <w:r w:rsidR="00CE00B4" w:rsidRPr="00FD2F3E">
        <w:rPr>
          <w:sz w:val="24"/>
          <w:szCs w:val="24"/>
        </w:rPr>
        <w:t>.</w:t>
      </w:r>
    </w:p>
    <w:p w:rsidR="002C10D3" w:rsidRDefault="002C10D3" w:rsidP="00EC6675">
      <w:pPr>
        <w:jc w:val="both"/>
        <w:rPr>
          <w:b/>
          <w:sz w:val="24"/>
          <w:szCs w:val="24"/>
        </w:rPr>
      </w:pPr>
    </w:p>
    <w:p w:rsidR="00001810" w:rsidRPr="00FD2F3E" w:rsidRDefault="0022316D" w:rsidP="00EC6675">
      <w:pPr>
        <w:jc w:val="both"/>
        <w:rPr>
          <w:b/>
          <w:sz w:val="24"/>
          <w:szCs w:val="24"/>
        </w:rPr>
      </w:pPr>
      <w:r w:rsidRPr="00FD2F3E">
        <w:rPr>
          <w:b/>
          <w:sz w:val="24"/>
          <w:szCs w:val="24"/>
        </w:rPr>
        <w:t>Integration with other Programs:</w:t>
      </w:r>
      <w:r w:rsidR="00FD2F3E" w:rsidRPr="00FD2F3E">
        <w:rPr>
          <w:b/>
          <w:sz w:val="24"/>
          <w:szCs w:val="24"/>
        </w:rPr>
        <w:t xml:space="preserve"> </w:t>
      </w:r>
      <w:r w:rsidRPr="00FD2F3E">
        <w:rPr>
          <w:b/>
          <w:sz w:val="24"/>
          <w:szCs w:val="24"/>
        </w:rPr>
        <w:t xml:space="preserve">Describe how you have integrated activities funded under the Adult Education and Family Literacy Act (AEFLA) with other adult education, career development, and employment and training activities.  Describe your efforts to develop or advance career pathway systems that include career and technical education, postsecondary education, employers, and economic and workforce development.  Include a description of how your agency is being represented on the State and Local Workforce Investment Boards, the provision of core and other services through </w:t>
      </w:r>
      <w:r w:rsidR="00A95E87" w:rsidRPr="00FD2F3E">
        <w:rPr>
          <w:b/>
          <w:sz w:val="24"/>
          <w:szCs w:val="24"/>
        </w:rPr>
        <w:t>t</w:t>
      </w:r>
      <w:r w:rsidRPr="00FD2F3E">
        <w:rPr>
          <w:b/>
          <w:sz w:val="24"/>
          <w:szCs w:val="24"/>
        </w:rPr>
        <w:t>he One-St</w:t>
      </w:r>
      <w:r w:rsidR="00CA5652" w:rsidRPr="00FD2F3E">
        <w:rPr>
          <w:b/>
          <w:sz w:val="24"/>
          <w:szCs w:val="24"/>
        </w:rPr>
        <w:t>op system and estimate the AEFLA</w:t>
      </w:r>
      <w:r w:rsidRPr="00FD2F3E">
        <w:rPr>
          <w:b/>
          <w:sz w:val="24"/>
          <w:szCs w:val="24"/>
        </w:rPr>
        <w:t xml:space="preserve"> funds being used to support activities and services through the One-Stop system.</w:t>
      </w:r>
    </w:p>
    <w:p w:rsidR="0081705B" w:rsidRPr="00FD2F3E" w:rsidRDefault="00001810" w:rsidP="0081705B">
      <w:pPr>
        <w:jc w:val="both"/>
        <w:rPr>
          <w:sz w:val="24"/>
          <w:szCs w:val="24"/>
        </w:rPr>
      </w:pPr>
      <w:r w:rsidRPr="00FD2F3E">
        <w:rPr>
          <w:sz w:val="24"/>
          <w:szCs w:val="24"/>
        </w:rPr>
        <w:t>The Workforce Innovation and</w:t>
      </w:r>
      <w:r w:rsidR="00E02AEF" w:rsidRPr="00FD2F3E">
        <w:rPr>
          <w:sz w:val="24"/>
          <w:szCs w:val="24"/>
        </w:rPr>
        <w:t xml:space="preserve"> Opportunity Act (WIOA) places emphasis on the effectiveness and efficiencies of preparing adults for the workforce</w:t>
      </w:r>
      <w:r w:rsidR="00180C1E" w:rsidRPr="00FD2F3E">
        <w:rPr>
          <w:sz w:val="24"/>
          <w:szCs w:val="24"/>
        </w:rPr>
        <w:t xml:space="preserve"> through a collaborative targeted approach to </w:t>
      </w:r>
      <w:r w:rsidR="00E02AEF" w:rsidRPr="00FD2F3E">
        <w:rPr>
          <w:sz w:val="24"/>
          <w:szCs w:val="24"/>
        </w:rPr>
        <w:t xml:space="preserve">education and training services.  </w:t>
      </w:r>
      <w:r w:rsidR="0081705B" w:rsidRPr="00FD2F3E">
        <w:rPr>
          <w:sz w:val="24"/>
          <w:szCs w:val="24"/>
        </w:rPr>
        <w:t>Alabama Adult Education coordinates and collaborates with regional and local economic development, education</w:t>
      </w:r>
      <w:r w:rsidR="003912CC" w:rsidRPr="00FD2F3E">
        <w:rPr>
          <w:sz w:val="24"/>
          <w:szCs w:val="24"/>
        </w:rPr>
        <w:t>,</w:t>
      </w:r>
      <w:r w:rsidR="0081705B" w:rsidRPr="00FD2F3E">
        <w:rPr>
          <w:sz w:val="24"/>
          <w:szCs w:val="24"/>
        </w:rPr>
        <w:t xml:space="preserve"> and training providers to facilitate job seeker access to hig</w:t>
      </w:r>
      <w:r w:rsidR="00E14B26" w:rsidRPr="00FD2F3E">
        <w:rPr>
          <w:sz w:val="24"/>
          <w:szCs w:val="24"/>
        </w:rPr>
        <w:t>h-demand, high growth jobs by requiring all adult e</w:t>
      </w:r>
      <w:r w:rsidR="0081705B" w:rsidRPr="00FD2F3E">
        <w:rPr>
          <w:sz w:val="24"/>
          <w:szCs w:val="24"/>
        </w:rPr>
        <w:t xml:space="preserve">ducation grantees </w:t>
      </w:r>
      <w:r w:rsidR="00E14B26" w:rsidRPr="00FD2F3E">
        <w:rPr>
          <w:sz w:val="24"/>
          <w:szCs w:val="24"/>
        </w:rPr>
        <w:t xml:space="preserve">to </w:t>
      </w:r>
      <w:r w:rsidR="0081705B" w:rsidRPr="00FD2F3E">
        <w:rPr>
          <w:sz w:val="24"/>
          <w:szCs w:val="24"/>
        </w:rPr>
        <w:t>have a relationship</w:t>
      </w:r>
      <w:r w:rsidR="00E14B26" w:rsidRPr="00FD2F3E">
        <w:rPr>
          <w:sz w:val="24"/>
          <w:szCs w:val="24"/>
        </w:rPr>
        <w:t xml:space="preserve"> and presence</w:t>
      </w:r>
      <w:r w:rsidR="0081705B" w:rsidRPr="00FD2F3E">
        <w:rPr>
          <w:sz w:val="24"/>
          <w:szCs w:val="24"/>
        </w:rPr>
        <w:t xml:space="preserve"> with the</w:t>
      </w:r>
      <w:r w:rsidR="003912CC" w:rsidRPr="00FD2F3E">
        <w:rPr>
          <w:sz w:val="24"/>
          <w:szCs w:val="24"/>
        </w:rPr>
        <w:t xml:space="preserve"> local </w:t>
      </w:r>
      <w:r w:rsidR="006A6577" w:rsidRPr="00FD2F3E">
        <w:rPr>
          <w:sz w:val="24"/>
          <w:szCs w:val="24"/>
        </w:rPr>
        <w:t xml:space="preserve">One </w:t>
      </w:r>
      <w:r w:rsidR="0081705B" w:rsidRPr="00FD2F3E">
        <w:rPr>
          <w:sz w:val="24"/>
          <w:szCs w:val="24"/>
        </w:rPr>
        <w:t xml:space="preserve">Stop </w:t>
      </w:r>
      <w:r w:rsidR="003912CC" w:rsidRPr="00FD2F3E">
        <w:rPr>
          <w:sz w:val="24"/>
          <w:szCs w:val="24"/>
        </w:rPr>
        <w:t xml:space="preserve">Career </w:t>
      </w:r>
      <w:r w:rsidR="0081705B" w:rsidRPr="00FD2F3E">
        <w:rPr>
          <w:sz w:val="24"/>
          <w:szCs w:val="24"/>
        </w:rPr>
        <w:t>Center</w:t>
      </w:r>
      <w:r w:rsidR="003912CC" w:rsidRPr="00FD2F3E">
        <w:rPr>
          <w:sz w:val="24"/>
          <w:szCs w:val="24"/>
        </w:rPr>
        <w:t>s</w:t>
      </w:r>
      <w:r w:rsidR="0081705B" w:rsidRPr="00FD2F3E">
        <w:rPr>
          <w:sz w:val="24"/>
          <w:szCs w:val="24"/>
        </w:rPr>
        <w:t xml:space="preserve">.  Comprehensive Adult Education services are provided to 92% of the </w:t>
      </w:r>
      <w:r w:rsidR="006A6577" w:rsidRPr="00FD2F3E">
        <w:rPr>
          <w:sz w:val="24"/>
          <w:szCs w:val="24"/>
        </w:rPr>
        <w:t xml:space="preserve">One Stop </w:t>
      </w:r>
      <w:r w:rsidR="0081705B" w:rsidRPr="00FD2F3E">
        <w:rPr>
          <w:sz w:val="24"/>
          <w:szCs w:val="24"/>
        </w:rPr>
        <w:t xml:space="preserve">centers throughout the state either by on site classes or satellite classes. </w:t>
      </w:r>
      <w:r w:rsidR="003912CC" w:rsidRPr="00FD2F3E">
        <w:rPr>
          <w:sz w:val="24"/>
          <w:szCs w:val="24"/>
        </w:rPr>
        <w:t>Adult Education also provides</w:t>
      </w:r>
      <w:r w:rsidR="0081705B" w:rsidRPr="00FD2F3E">
        <w:rPr>
          <w:sz w:val="24"/>
          <w:szCs w:val="24"/>
        </w:rPr>
        <w:t xml:space="preserve"> </w:t>
      </w:r>
      <w:r w:rsidR="003912CC" w:rsidRPr="00FD2F3E">
        <w:rPr>
          <w:sz w:val="24"/>
          <w:szCs w:val="24"/>
        </w:rPr>
        <w:t>t</w:t>
      </w:r>
      <w:r w:rsidR="00E14B26" w:rsidRPr="00FD2F3E">
        <w:rPr>
          <w:sz w:val="24"/>
          <w:szCs w:val="24"/>
        </w:rPr>
        <w:t xml:space="preserve">he Alabama </w:t>
      </w:r>
      <w:r w:rsidR="00BE4065" w:rsidRPr="00FD2F3E">
        <w:rPr>
          <w:sz w:val="24"/>
          <w:szCs w:val="24"/>
        </w:rPr>
        <w:t>Career Readiness Certificate</w:t>
      </w:r>
      <w:r w:rsidR="00E14B26" w:rsidRPr="00FD2F3E">
        <w:rPr>
          <w:sz w:val="24"/>
          <w:szCs w:val="24"/>
        </w:rPr>
        <w:t>, based on the ACT Work Keys assessment (</w:t>
      </w:r>
      <w:r w:rsidR="00E14B26" w:rsidRPr="00FD2F3E">
        <w:rPr>
          <w:i/>
          <w:sz w:val="24"/>
          <w:szCs w:val="24"/>
        </w:rPr>
        <w:t>Locating Information, Reading for Information, and Applied Mathematics</w:t>
      </w:r>
      <w:r w:rsidR="00E14B26" w:rsidRPr="00FD2F3E">
        <w:rPr>
          <w:sz w:val="24"/>
          <w:szCs w:val="24"/>
        </w:rPr>
        <w:t>)</w:t>
      </w:r>
      <w:r w:rsidR="003912CC" w:rsidRPr="00FD2F3E">
        <w:rPr>
          <w:sz w:val="24"/>
          <w:szCs w:val="24"/>
        </w:rPr>
        <w:t xml:space="preserve"> </w:t>
      </w:r>
      <w:r w:rsidR="00E14B26" w:rsidRPr="00FD2F3E">
        <w:rPr>
          <w:sz w:val="24"/>
          <w:szCs w:val="24"/>
        </w:rPr>
        <w:t>to adult education students at no cost</w:t>
      </w:r>
      <w:r w:rsidR="003912CC" w:rsidRPr="00FD2F3E">
        <w:rPr>
          <w:sz w:val="24"/>
          <w:szCs w:val="24"/>
        </w:rPr>
        <w:t>.  This credential, coupled with a high school equivalency, provides proof of the accompli</w:t>
      </w:r>
      <w:r w:rsidR="00B202B7" w:rsidRPr="00FD2F3E">
        <w:rPr>
          <w:sz w:val="24"/>
          <w:szCs w:val="24"/>
        </w:rPr>
        <w:t>shed skills that can lead to additional postsecondary training or employment opportunities.</w:t>
      </w:r>
    </w:p>
    <w:p w:rsidR="001D0D62" w:rsidRPr="00FD2F3E" w:rsidRDefault="001D0D62" w:rsidP="001D0D62">
      <w:pPr>
        <w:jc w:val="both"/>
        <w:rPr>
          <w:sz w:val="24"/>
          <w:szCs w:val="24"/>
        </w:rPr>
      </w:pPr>
      <w:r w:rsidRPr="00FD2F3E">
        <w:rPr>
          <w:sz w:val="24"/>
          <w:szCs w:val="24"/>
        </w:rPr>
        <w:t xml:space="preserve">In relation to the Alabama Community College System, </w:t>
      </w:r>
      <w:r w:rsidR="00BE4065" w:rsidRPr="00FD2F3E">
        <w:rPr>
          <w:sz w:val="24"/>
          <w:szCs w:val="24"/>
        </w:rPr>
        <w:t>adult e</w:t>
      </w:r>
      <w:r w:rsidRPr="00FD2F3E">
        <w:rPr>
          <w:sz w:val="24"/>
          <w:szCs w:val="24"/>
        </w:rPr>
        <w:t>ducation has been established as a s</w:t>
      </w:r>
      <w:r w:rsidR="00642483" w:rsidRPr="00FD2F3E">
        <w:rPr>
          <w:sz w:val="24"/>
          <w:szCs w:val="24"/>
        </w:rPr>
        <w:t>tarting point for a student c</w:t>
      </w:r>
      <w:r w:rsidRPr="00FD2F3E">
        <w:rPr>
          <w:sz w:val="24"/>
          <w:szCs w:val="24"/>
        </w:rPr>
        <w:t xml:space="preserve">areer pathway system. Adult Education students have the opportunity to attend seminars </w:t>
      </w:r>
      <w:r w:rsidR="001E01C1" w:rsidRPr="00FD2F3E">
        <w:rPr>
          <w:sz w:val="24"/>
          <w:szCs w:val="24"/>
        </w:rPr>
        <w:t xml:space="preserve">and campus tours </w:t>
      </w:r>
      <w:r w:rsidRPr="00FD2F3E">
        <w:rPr>
          <w:sz w:val="24"/>
          <w:szCs w:val="24"/>
        </w:rPr>
        <w:t xml:space="preserve">presented by the college admissions and financial aid offices.  </w:t>
      </w:r>
      <w:r w:rsidR="001E01C1" w:rsidRPr="00FD2F3E">
        <w:rPr>
          <w:sz w:val="24"/>
          <w:szCs w:val="24"/>
        </w:rPr>
        <w:t>A</w:t>
      </w:r>
      <w:r w:rsidRPr="00FD2F3E">
        <w:rPr>
          <w:sz w:val="24"/>
          <w:szCs w:val="24"/>
        </w:rPr>
        <w:t xml:space="preserve"> completion of a GED</w:t>
      </w:r>
      <w:r w:rsidR="00BE4065" w:rsidRPr="00FD2F3E">
        <w:rPr>
          <w:sz w:val="24"/>
          <w:szCs w:val="24"/>
        </w:rPr>
        <w:t>®</w:t>
      </w:r>
      <w:r w:rsidRPr="00FD2F3E">
        <w:rPr>
          <w:sz w:val="24"/>
          <w:szCs w:val="24"/>
        </w:rPr>
        <w:t xml:space="preserve"> can lead to </w:t>
      </w:r>
      <w:r w:rsidR="001E01C1" w:rsidRPr="00FD2F3E">
        <w:rPr>
          <w:sz w:val="24"/>
          <w:szCs w:val="24"/>
        </w:rPr>
        <w:t xml:space="preserve">academic scholarships and </w:t>
      </w:r>
      <w:r w:rsidRPr="00FD2F3E">
        <w:rPr>
          <w:sz w:val="24"/>
          <w:szCs w:val="24"/>
        </w:rPr>
        <w:t xml:space="preserve">skills training courses such as </w:t>
      </w:r>
      <w:r w:rsidRPr="00FD2F3E">
        <w:rPr>
          <w:i/>
          <w:sz w:val="24"/>
          <w:szCs w:val="24"/>
        </w:rPr>
        <w:t>Ready to Work</w:t>
      </w:r>
      <w:r w:rsidRPr="00FD2F3E">
        <w:rPr>
          <w:sz w:val="24"/>
          <w:szCs w:val="24"/>
        </w:rPr>
        <w:t xml:space="preserve">.  </w:t>
      </w:r>
      <w:r w:rsidR="00BE4065" w:rsidRPr="00FD2F3E">
        <w:rPr>
          <w:sz w:val="24"/>
          <w:szCs w:val="24"/>
        </w:rPr>
        <w:t xml:space="preserve">Adult Education programs located in the college system is already partnering with the College’s </w:t>
      </w:r>
      <w:proofErr w:type="gramStart"/>
      <w:r w:rsidR="00BE4065" w:rsidRPr="00FD2F3E">
        <w:rPr>
          <w:i/>
          <w:sz w:val="24"/>
          <w:szCs w:val="24"/>
        </w:rPr>
        <w:t>Ready</w:t>
      </w:r>
      <w:proofErr w:type="gramEnd"/>
      <w:r w:rsidR="00BE4065" w:rsidRPr="00FD2F3E">
        <w:rPr>
          <w:i/>
          <w:sz w:val="24"/>
          <w:szCs w:val="24"/>
        </w:rPr>
        <w:t xml:space="preserve"> to Work</w:t>
      </w:r>
      <w:r w:rsidR="00BE4065" w:rsidRPr="00FD2F3E">
        <w:rPr>
          <w:sz w:val="24"/>
          <w:szCs w:val="24"/>
        </w:rPr>
        <w:t xml:space="preserve"> program where students can be enrolled in </w:t>
      </w:r>
      <w:r w:rsidR="00BE4065" w:rsidRPr="00FD2F3E">
        <w:rPr>
          <w:i/>
          <w:sz w:val="24"/>
          <w:szCs w:val="24"/>
        </w:rPr>
        <w:t>Ready to Work</w:t>
      </w:r>
      <w:r w:rsidR="00BE4065" w:rsidRPr="00FD2F3E">
        <w:rPr>
          <w:sz w:val="24"/>
          <w:szCs w:val="24"/>
        </w:rPr>
        <w:t xml:space="preserve"> and adult education simultaneously.  This has allowed for adult education and </w:t>
      </w:r>
      <w:r w:rsidR="00BE4065" w:rsidRPr="00FD2F3E">
        <w:rPr>
          <w:i/>
          <w:sz w:val="24"/>
          <w:szCs w:val="24"/>
        </w:rPr>
        <w:t>Ready to Work</w:t>
      </w:r>
      <w:r w:rsidR="00BE4065" w:rsidRPr="00FD2F3E">
        <w:rPr>
          <w:sz w:val="24"/>
          <w:szCs w:val="24"/>
        </w:rPr>
        <w:t xml:space="preserve"> to be co-located</w:t>
      </w:r>
      <w:r w:rsidR="001E01C1" w:rsidRPr="00FD2F3E">
        <w:rPr>
          <w:sz w:val="24"/>
          <w:szCs w:val="24"/>
        </w:rPr>
        <w:t xml:space="preserve"> not only on college campuses but</w:t>
      </w:r>
      <w:r w:rsidR="00BE4065" w:rsidRPr="00FD2F3E">
        <w:rPr>
          <w:sz w:val="24"/>
          <w:szCs w:val="24"/>
        </w:rPr>
        <w:t xml:space="preserve"> at several business sites.  Each college program has a </w:t>
      </w:r>
      <w:r w:rsidR="00BE4065" w:rsidRPr="00FD2F3E">
        <w:rPr>
          <w:i/>
          <w:sz w:val="24"/>
          <w:szCs w:val="24"/>
        </w:rPr>
        <w:t>Transitional Specialist</w:t>
      </w:r>
      <w:r w:rsidR="00BE4065" w:rsidRPr="00FD2F3E">
        <w:rPr>
          <w:sz w:val="24"/>
          <w:szCs w:val="24"/>
        </w:rPr>
        <w:t xml:space="preserve"> in place to counsel students as they progres</w:t>
      </w:r>
      <w:r w:rsidR="001E01C1" w:rsidRPr="00FD2F3E">
        <w:rPr>
          <w:sz w:val="24"/>
          <w:szCs w:val="24"/>
        </w:rPr>
        <w:t>s</w:t>
      </w:r>
      <w:r w:rsidR="00BE4065" w:rsidRPr="00FD2F3E">
        <w:rPr>
          <w:sz w:val="24"/>
          <w:szCs w:val="24"/>
        </w:rPr>
        <w:t xml:space="preserve">.  Employers assist by conducting mock interviews and offering industry and </w:t>
      </w:r>
      <w:r w:rsidR="00BE4065" w:rsidRPr="00FD2F3E">
        <w:rPr>
          <w:sz w:val="24"/>
          <w:szCs w:val="24"/>
        </w:rPr>
        <w:lastRenderedPageBreak/>
        <w:t xml:space="preserve">plant tours that demonstrate the skills needed to become employed at their site.  </w:t>
      </w:r>
      <w:r w:rsidR="001E01C1" w:rsidRPr="00FD2F3E">
        <w:rPr>
          <w:sz w:val="24"/>
          <w:szCs w:val="24"/>
        </w:rPr>
        <w:t xml:space="preserve">Successful completers of </w:t>
      </w:r>
      <w:r w:rsidR="001E01C1" w:rsidRPr="00FD2F3E">
        <w:rPr>
          <w:i/>
          <w:sz w:val="24"/>
          <w:szCs w:val="24"/>
        </w:rPr>
        <w:t>Ready to Work</w:t>
      </w:r>
      <w:r w:rsidR="001E01C1" w:rsidRPr="00FD2F3E">
        <w:rPr>
          <w:sz w:val="24"/>
          <w:szCs w:val="24"/>
        </w:rPr>
        <w:t xml:space="preserve"> can earn an </w:t>
      </w:r>
      <w:r w:rsidRPr="00FD2F3E">
        <w:rPr>
          <w:sz w:val="24"/>
          <w:szCs w:val="24"/>
        </w:rPr>
        <w:t>Alabama Certified Worker</w:t>
      </w:r>
      <w:r w:rsidR="001E01C1" w:rsidRPr="00FD2F3E">
        <w:rPr>
          <w:sz w:val="24"/>
          <w:szCs w:val="24"/>
        </w:rPr>
        <w:t xml:space="preserve"> (ACW) certificate</w:t>
      </w:r>
      <w:r w:rsidRPr="00FD2F3E">
        <w:rPr>
          <w:sz w:val="24"/>
          <w:szCs w:val="24"/>
        </w:rPr>
        <w:t xml:space="preserve">.  </w:t>
      </w:r>
    </w:p>
    <w:p w:rsidR="0010346A" w:rsidRPr="00FD2F3E" w:rsidRDefault="0010346A" w:rsidP="00EC6675">
      <w:pPr>
        <w:jc w:val="both"/>
        <w:rPr>
          <w:sz w:val="24"/>
          <w:szCs w:val="24"/>
        </w:rPr>
      </w:pPr>
      <w:r w:rsidRPr="00FD2F3E">
        <w:rPr>
          <w:sz w:val="24"/>
          <w:szCs w:val="24"/>
        </w:rPr>
        <w:t>The Alabama Depart</w:t>
      </w:r>
      <w:r w:rsidR="0034676C" w:rsidRPr="00FD2F3E">
        <w:rPr>
          <w:sz w:val="24"/>
          <w:szCs w:val="24"/>
        </w:rPr>
        <w:t>ment of Postsecondary Education’s</w:t>
      </w:r>
      <w:r w:rsidRPr="00FD2F3E">
        <w:rPr>
          <w:sz w:val="24"/>
          <w:szCs w:val="24"/>
        </w:rPr>
        <w:t xml:space="preserve"> Vice Chancellor for Alabama Adult Education is an appointed member of the Alabama State Workforce Investment Board.  There are three local area workforce investment boards that are under the State Workforce Investment board.  A member of the state adult education office will represent adult education on each of the three local boards.</w:t>
      </w:r>
      <w:r w:rsidR="001E01C1" w:rsidRPr="00FD2F3E">
        <w:rPr>
          <w:sz w:val="24"/>
          <w:szCs w:val="24"/>
        </w:rPr>
        <w:t xml:space="preserve">  The State Workforce Investment Board is responsible for coordinating the WIOA efforts in the state.</w:t>
      </w:r>
      <w:r w:rsidRPr="00FD2F3E">
        <w:rPr>
          <w:sz w:val="24"/>
          <w:szCs w:val="24"/>
        </w:rPr>
        <w:t xml:space="preserve">  </w:t>
      </w:r>
    </w:p>
    <w:p w:rsidR="00601B5E" w:rsidRPr="00FD2F3E" w:rsidRDefault="00642483" w:rsidP="00601B5E">
      <w:pPr>
        <w:jc w:val="both"/>
        <w:rPr>
          <w:sz w:val="24"/>
          <w:szCs w:val="24"/>
        </w:rPr>
      </w:pPr>
      <w:r w:rsidRPr="00FD2F3E">
        <w:rPr>
          <w:sz w:val="24"/>
          <w:szCs w:val="24"/>
        </w:rPr>
        <w:t>The One Stop Career C</w:t>
      </w:r>
      <w:r w:rsidR="00601B5E" w:rsidRPr="00FD2F3E">
        <w:rPr>
          <w:sz w:val="24"/>
          <w:szCs w:val="24"/>
        </w:rPr>
        <w:t xml:space="preserve">enters are located on the college campuses where the college also serves as the provider for adult education services.  This allows for ease of providing the educational and training services that are requested.  Adult Education has been and will continue to play a supportive and important role in the one stop system.  Currently, adult education provides assessment and instruction leading toward a high school equivalency (GED®), </w:t>
      </w:r>
      <w:proofErr w:type="spellStart"/>
      <w:r w:rsidR="00601B5E" w:rsidRPr="00FD2F3E">
        <w:rPr>
          <w:sz w:val="24"/>
          <w:szCs w:val="24"/>
        </w:rPr>
        <w:t>Workkeys</w:t>
      </w:r>
      <w:proofErr w:type="spellEnd"/>
      <w:r w:rsidR="00601B5E" w:rsidRPr="00FD2F3E">
        <w:rPr>
          <w:sz w:val="24"/>
          <w:szCs w:val="24"/>
        </w:rPr>
        <w:t xml:space="preserve"> instruction leading to an Alabama Career Readiness Certificate and an integrated approach to soft skills.  Adult Education also partners with the Alabama Department of Human Resources in a short term Job Readiness Activity program for teaching employability soft skills.  This program is in addition to the </w:t>
      </w:r>
      <w:r w:rsidR="00601B5E" w:rsidRPr="00FD2F3E">
        <w:rPr>
          <w:i/>
          <w:sz w:val="24"/>
          <w:szCs w:val="24"/>
        </w:rPr>
        <w:t>Ready to Work</w:t>
      </w:r>
      <w:r w:rsidR="00601B5E" w:rsidRPr="00FD2F3E">
        <w:rPr>
          <w:sz w:val="24"/>
          <w:szCs w:val="24"/>
        </w:rPr>
        <w:t xml:space="preserve"> program through the college system that was described earlier. </w:t>
      </w:r>
    </w:p>
    <w:p w:rsidR="003408F3" w:rsidRPr="00FD2F3E" w:rsidRDefault="00133888" w:rsidP="00EC6675">
      <w:pPr>
        <w:jc w:val="both"/>
        <w:rPr>
          <w:sz w:val="24"/>
          <w:szCs w:val="24"/>
        </w:rPr>
      </w:pPr>
      <w:r w:rsidRPr="00FD2F3E">
        <w:rPr>
          <w:sz w:val="24"/>
          <w:szCs w:val="24"/>
        </w:rPr>
        <w:t xml:space="preserve">A current estimate of the AEFLA funds used last year to support instructional </w:t>
      </w:r>
      <w:r w:rsidR="00A75EE0" w:rsidRPr="00FD2F3E">
        <w:rPr>
          <w:sz w:val="24"/>
          <w:szCs w:val="24"/>
        </w:rPr>
        <w:t>and other related costs in the One S</w:t>
      </w:r>
      <w:r w:rsidRPr="00FD2F3E">
        <w:rPr>
          <w:sz w:val="24"/>
          <w:szCs w:val="24"/>
        </w:rPr>
        <w:t xml:space="preserve">top system would be in the range of $720,000.   This amount does not include the state funding that is used by the Department of Labor to pay infrastructure costs for adult education.  </w:t>
      </w:r>
    </w:p>
    <w:p w:rsidR="002C10D3" w:rsidRDefault="002C10D3" w:rsidP="00EC6675">
      <w:pPr>
        <w:jc w:val="both"/>
        <w:rPr>
          <w:b/>
          <w:sz w:val="24"/>
          <w:szCs w:val="24"/>
        </w:rPr>
      </w:pPr>
    </w:p>
    <w:p w:rsidR="00A95E87" w:rsidRPr="00FD2F3E" w:rsidRDefault="00A95E87" w:rsidP="00EC6675">
      <w:pPr>
        <w:jc w:val="both"/>
        <w:rPr>
          <w:b/>
          <w:sz w:val="24"/>
          <w:szCs w:val="24"/>
        </w:rPr>
      </w:pPr>
      <w:r w:rsidRPr="00FD2F3E">
        <w:rPr>
          <w:b/>
          <w:sz w:val="24"/>
          <w:szCs w:val="24"/>
        </w:rPr>
        <w:t>English Literacy/Civics Program:</w:t>
      </w:r>
      <w:r w:rsidR="00FD2F3E" w:rsidRPr="00FD2F3E">
        <w:rPr>
          <w:b/>
          <w:sz w:val="24"/>
          <w:szCs w:val="24"/>
        </w:rPr>
        <w:t xml:space="preserve">  </w:t>
      </w:r>
      <w:r w:rsidRPr="00FD2F3E">
        <w:rPr>
          <w:b/>
          <w:sz w:val="24"/>
          <w:szCs w:val="24"/>
        </w:rPr>
        <w:t xml:space="preserve">Describe the activities and services supported with EL/C funds, including the </w:t>
      </w:r>
      <w:r w:rsidR="00133888" w:rsidRPr="00FD2F3E">
        <w:rPr>
          <w:b/>
          <w:sz w:val="24"/>
          <w:szCs w:val="24"/>
        </w:rPr>
        <w:t>number of programs receiving EL</w:t>
      </w:r>
      <w:r w:rsidRPr="00FD2F3E">
        <w:rPr>
          <w:b/>
          <w:sz w:val="24"/>
          <w:szCs w:val="24"/>
        </w:rPr>
        <w:t>/C</w:t>
      </w:r>
      <w:r w:rsidR="00133888" w:rsidRPr="00FD2F3E">
        <w:rPr>
          <w:b/>
          <w:sz w:val="24"/>
          <w:szCs w:val="24"/>
        </w:rPr>
        <w:t>ivics</w:t>
      </w:r>
      <w:r w:rsidRPr="00FD2F3E">
        <w:rPr>
          <w:b/>
          <w:sz w:val="24"/>
          <w:szCs w:val="24"/>
        </w:rPr>
        <w:t xml:space="preserve"> grants and an estimate of the number of adult learners served.</w:t>
      </w:r>
    </w:p>
    <w:p w:rsidR="00133888" w:rsidRPr="00FD2F3E" w:rsidRDefault="00650E8D" w:rsidP="00EC6675">
      <w:pPr>
        <w:jc w:val="both"/>
        <w:rPr>
          <w:sz w:val="24"/>
          <w:szCs w:val="24"/>
        </w:rPr>
      </w:pPr>
      <w:r w:rsidRPr="00FD2F3E">
        <w:rPr>
          <w:sz w:val="24"/>
          <w:szCs w:val="24"/>
        </w:rPr>
        <w:t>C</w:t>
      </w:r>
      <w:r w:rsidR="00133888" w:rsidRPr="00FD2F3E">
        <w:rPr>
          <w:sz w:val="24"/>
          <w:szCs w:val="24"/>
        </w:rPr>
        <w:t xml:space="preserve">ivics </w:t>
      </w:r>
      <w:r w:rsidRPr="00FD2F3E">
        <w:rPr>
          <w:sz w:val="24"/>
          <w:szCs w:val="24"/>
        </w:rPr>
        <w:t>education is an integral part of the English as a Second Language</w:t>
      </w:r>
      <w:r w:rsidR="00253F04" w:rsidRPr="00FD2F3E">
        <w:rPr>
          <w:sz w:val="24"/>
          <w:szCs w:val="24"/>
        </w:rPr>
        <w:t xml:space="preserve"> (ESL)</w:t>
      </w:r>
      <w:r w:rsidRPr="00FD2F3E">
        <w:rPr>
          <w:sz w:val="24"/>
          <w:szCs w:val="24"/>
        </w:rPr>
        <w:t xml:space="preserve"> services in Alabama.  An emphasis is placed on t</w:t>
      </w:r>
      <w:r w:rsidR="00A84BF0" w:rsidRPr="00FD2F3E">
        <w:rPr>
          <w:sz w:val="24"/>
          <w:szCs w:val="24"/>
        </w:rPr>
        <w:t>he contextualized instruction on</w:t>
      </w:r>
      <w:r w:rsidR="00133888" w:rsidRPr="00FD2F3E">
        <w:rPr>
          <w:sz w:val="24"/>
          <w:szCs w:val="24"/>
        </w:rPr>
        <w:t xml:space="preserve"> the rights and responsibilities of citizenship, naturalization procedures, civic participation, and U.S. history and government to help students acquire the skills and knowledge they will need to become active and informed parents, workers, and community members. English literacy and civics education classes introduce students to civics-related content and provide them with opportunities to apply that knowledge in their daily lives while building their English language and literacy skills. </w:t>
      </w:r>
      <w:r w:rsidR="000E1807" w:rsidRPr="00FD2F3E">
        <w:rPr>
          <w:sz w:val="24"/>
          <w:szCs w:val="24"/>
        </w:rPr>
        <w:t xml:space="preserve">  The skills learned</w:t>
      </w:r>
      <w:r w:rsidR="0034676C" w:rsidRPr="00FD2F3E">
        <w:rPr>
          <w:sz w:val="24"/>
          <w:szCs w:val="24"/>
        </w:rPr>
        <w:t xml:space="preserve"> in these classes </w:t>
      </w:r>
      <w:r w:rsidR="00DF7B44" w:rsidRPr="00FD2F3E">
        <w:rPr>
          <w:sz w:val="24"/>
          <w:szCs w:val="24"/>
        </w:rPr>
        <w:t xml:space="preserve">strengthen the </w:t>
      </w:r>
      <w:r w:rsidR="00A84BF0" w:rsidRPr="00FD2F3E">
        <w:rPr>
          <w:sz w:val="24"/>
          <w:szCs w:val="24"/>
        </w:rPr>
        <w:t>ESL adult</w:t>
      </w:r>
      <w:r w:rsidR="00DF7B44" w:rsidRPr="00FD2F3E">
        <w:rPr>
          <w:sz w:val="24"/>
          <w:szCs w:val="24"/>
        </w:rPr>
        <w:t>’s ability</w:t>
      </w:r>
      <w:r w:rsidR="00A84BF0" w:rsidRPr="00FD2F3E">
        <w:rPr>
          <w:sz w:val="24"/>
          <w:szCs w:val="24"/>
        </w:rPr>
        <w:t xml:space="preserve"> to actively contribute to the </w:t>
      </w:r>
      <w:r w:rsidR="000E1807" w:rsidRPr="00FD2F3E">
        <w:rPr>
          <w:sz w:val="24"/>
          <w:szCs w:val="24"/>
        </w:rPr>
        <w:t>community and economy.</w:t>
      </w:r>
    </w:p>
    <w:p w:rsidR="00EF4537" w:rsidRPr="00FD2F3E" w:rsidRDefault="00133888" w:rsidP="00EC6675">
      <w:pPr>
        <w:jc w:val="both"/>
        <w:rPr>
          <w:sz w:val="24"/>
          <w:szCs w:val="24"/>
        </w:rPr>
      </w:pPr>
      <w:r w:rsidRPr="00FD2F3E">
        <w:rPr>
          <w:sz w:val="24"/>
          <w:szCs w:val="24"/>
        </w:rPr>
        <w:t>The state provides grants to local programs</w:t>
      </w:r>
      <w:r w:rsidR="00650E8D" w:rsidRPr="00FD2F3E">
        <w:rPr>
          <w:sz w:val="24"/>
          <w:szCs w:val="24"/>
        </w:rPr>
        <w:t xml:space="preserve"> for the English Literacy Civics</w:t>
      </w:r>
      <w:r w:rsidR="000E1807" w:rsidRPr="00FD2F3E">
        <w:rPr>
          <w:sz w:val="24"/>
          <w:szCs w:val="24"/>
        </w:rPr>
        <w:t xml:space="preserve"> (EL/Civics)</w:t>
      </w:r>
      <w:r w:rsidR="00650E8D" w:rsidRPr="00FD2F3E">
        <w:rPr>
          <w:sz w:val="24"/>
          <w:szCs w:val="24"/>
        </w:rPr>
        <w:t xml:space="preserve"> component in a competitive </w:t>
      </w:r>
      <w:r w:rsidR="000E1807" w:rsidRPr="00FD2F3E">
        <w:rPr>
          <w:sz w:val="24"/>
          <w:szCs w:val="24"/>
        </w:rPr>
        <w:t>process</w:t>
      </w:r>
      <w:r w:rsidR="00650E8D" w:rsidRPr="00FD2F3E">
        <w:rPr>
          <w:sz w:val="24"/>
          <w:szCs w:val="24"/>
        </w:rPr>
        <w:t xml:space="preserve">.  </w:t>
      </w:r>
      <w:r w:rsidR="00DF7B44" w:rsidRPr="00FD2F3E">
        <w:rPr>
          <w:sz w:val="24"/>
          <w:szCs w:val="24"/>
        </w:rPr>
        <w:t>Last fiscal year</w:t>
      </w:r>
      <w:r w:rsidR="000E1807" w:rsidRPr="00FD2F3E">
        <w:rPr>
          <w:sz w:val="24"/>
          <w:szCs w:val="24"/>
        </w:rPr>
        <w:t xml:space="preserve"> t</w:t>
      </w:r>
      <w:r w:rsidR="00DF7B44" w:rsidRPr="00FD2F3E">
        <w:rPr>
          <w:sz w:val="24"/>
          <w:szCs w:val="24"/>
        </w:rPr>
        <w:t>here were</w:t>
      </w:r>
      <w:r w:rsidR="0089569F" w:rsidRPr="00FD2F3E">
        <w:rPr>
          <w:sz w:val="24"/>
          <w:szCs w:val="24"/>
        </w:rPr>
        <w:t xml:space="preserve"> 10 programs </w:t>
      </w:r>
      <w:r w:rsidR="007B03A1" w:rsidRPr="00FD2F3E">
        <w:rPr>
          <w:sz w:val="24"/>
          <w:szCs w:val="24"/>
        </w:rPr>
        <w:t xml:space="preserve">that received </w:t>
      </w:r>
      <w:r w:rsidR="0089569F" w:rsidRPr="00FD2F3E">
        <w:rPr>
          <w:sz w:val="24"/>
          <w:szCs w:val="24"/>
        </w:rPr>
        <w:t xml:space="preserve">an </w:t>
      </w:r>
      <w:r w:rsidR="000E1807" w:rsidRPr="00FD2F3E">
        <w:rPr>
          <w:sz w:val="24"/>
          <w:szCs w:val="24"/>
        </w:rPr>
        <w:t>EL/</w:t>
      </w:r>
      <w:r w:rsidR="0089569F" w:rsidRPr="00FD2F3E">
        <w:rPr>
          <w:sz w:val="24"/>
          <w:szCs w:val="24"/>
        </w:rPr>
        <w:t xml:space="preserve">Civics </w:t>
      </w:r>
      <w:r w:rsidR="0089569F" w:rsidRPr="00FD2F3E">
        <w:rPr>
          <w:sz w:val="24"/>
          <w:szCs w:val="24"/>
        </w:rPr>
        <w:lastRenderedPageBreak/>
        <w:t>grant.   Of the 10</w:t>
      </w:r>
      <w:r w:rsidR="007B03A1" w:rsidRPr="00FD2F3E">
        <w:rPr>
          <w:sz w:val="24"/>
          <w:szCs w:val="24"/>
        </w:rPr>
        <w:t xml:space="preserve"> programs</w:t>
      </w:r>
      <w:r w:rsidR="0089569F" w:rsidRPr="00FD2F3E">
        <w:rPr>
          <w:sz w:val="24"/>
          <w:szCs w:val="24"/>
        </w:rPr>
        <w:t xml:space="preserve">, </w:t>
      </w:r>
      <w:r w:rsidR="00DF7B44" w:rsidRPr="00FD2F3E">
        <w:rPr>
          <w:sz w:val="24"/>
          <w:szCs w:val="24"/>
        </w:rPr>
        <w:t>there were</w:t>
      </w:r>
      <w:r w:rsidR="00650E8D" w:rsidRPr="00FD2F3E">
        <w:rPr>
          <w:sz w:val="24"/>
          <w:szCs w:val="24"/>
        </w:rPr>
        <w:t xml:space="preserve"> </w:t>
      </w:r>
      <w:r w:rsidR="0089569F" w:rsidRPr="00FD2F3E">
        <w:rPr>
          <w:sz w:val="24"/>
          <w:szCs w:val="24"/>
        </w:rPr>
        <w:t xml:space="preserve">9 </w:t>
      </w:r>
      <w:r w:rsidR="007B03A1" w:rsidRPr="00FD2F3E">
        <w:rPr>
          <w:sz w:val="24"/>
          <w:szCs w:val="24"/>
        </w:rPr>
        <w:t>in</w:t>
      </w:r>
      <w:r w:rsidR="00650E8D" w:rsidRPr="00FD2F3E">
        <w:rPr>
          <w:sz w:val="24"/>
          <w:szCs w:val="24"/>
        </w:rPr>
        <w:t xml:space="preserve"> a</w:t>
      </w:r>
      <w:r w:rsidR="0089569F" w:rsidRPr="00FD2F3E">
        <w:rPr>
          <w:sz w:val="24"/>
          <w:szCs w:val="24"/>
        </w:rPr>
        <w:t xml:space="preserve"> community coll</w:t>
      </w:r>
      <w:r w:rsidR="00650E8D" w:rsidRPr="00FD2F3E">
        <w:rPr>
          <w:sz w:val="24"/>
          <w:szCs w:val="24"/>
        </w:rPr>
        <w:t>ege</w:t>
      </w:r>
      <w:r w:rsidR="007B03A1" w:rsidRPr="00FD2F3E">
        <w:rPr>
          <w:sz w:val="24"/>
          <w:szCs w:val="24"/>
        </w:rPr>
        <w:t xml:space="preserve"> and </w:t>
      </w:r>
      <w:r w:rsidR="00650E8D" w:rsidRPr="00FD2F3E">
        <w:rPr>
          <w:sz w:val="24"/>
          <w:szCs w:val="24"/>
        </w:rPr>
        <w:t xml:space="preserve">1 </w:t>
      </w:r>
      <w:r w:rsidR="007B03A1" w:rsidRPr="00FD2F3E">
        <w:rPr>
          <w:sz w:val="24"/>
          <w:szCs w:val="24"/>
        </w:rPr>
        <w:t xml:space="preserve">in </w:t>
      </w:r>
      <w:r w:rsidR="0089569F" w:rsidRPr="00FD2F3E">
        <w:rPr>
          <w:sz w:val="24"/>
          <w:szCs w:val="24"/>
        </w:rPr>
        <w:t xml:space="preserve">a community based organization.  A total of 1,413 </w:t>
      </w:r>
      <w:r w:rsidR="00650E8D" w:rsidRPr="00FD2F3E">
        <w:rPr>
          <w:sz w:val="24"/>
          <w:szCs w:val="24"/>
        </w:rPr>
        <w:t xml:space="preserve">participants </w:t>
      </w:r>
      <w:r w:rsidR="0089569F" w:rsidRPr="00FD2F3E">
        <w:rPr>
          <w:sz w:val="24"/>
          <w:szCs w:val="24"/>
        </w:rPr>
        <w:t xml:space="preserve">were </w:t>
      </w:r>
      <w:r w:rsidR="000E1807" w:rsidRPr="00FD2F3E">
        <w:rPr>
          <w:sz w:val="24"/>
          <w:szCs w:val="24"/>
        </w:rPr>
        <w:t>served through EL/</w:t>
      </w:r>
      <w:r w:rsidR="0089569F" w:rsidRPr="00FD2F3E">
        <w:rPr>
          <w:sz w:val="24"/>
          <w:szCs w:val="24"/>
        </w:rPr>
        <w:t>Civics</w:t>
      </w:r>
      <w:r w:rsidR="00B52FC1" w:rsidRPr="00FD2F3E">
        <w:rPr>
          <w:sz w:val="24"/>
          <w:szCs w:val="24"/>
        </w:rPr>
        <w:t xml:space="preserve">, however, </w:t>
      </w:r>
      <w:r w:rsidR="00650E8D" w:rsidRPr="00FD2F3E">
        <w:rPr>
          <w:sz w:val="24"/>
          <w:szCs w:val="24"/>
        </w:rPr>
        <w:t xml:space="preserve">the impact </w:t>
      </w:r>
      <w:r w:rsidR="000E1807" w:rsidRPr="00FD2F3E">
        <w:rPr>
          <w:sz w:val="24"/>
          <w:szCs w:val="24"/>
        </w:rPr>
        <w:t xml:space="preserve">and benefit to </w:t>
      </w:r>
      <w:r w:rsidR="00650E8D" w:rsidRPr="00FD2F3E">
        <w:rPr>
          <w:sz w:val="24"/>
          <w:szCs w:val="24"/>
        </w:rPr>
        <w:t xml:space="preserve">the economy and families of Alabama is </w:t>
      </w:r>
      <w:r w:rsidR="000E1807" w:rsidRPr="00FD2F3E">
        <w:rPr>
          <w:sz w:val="24"/>
          <w:szCs w:val="24"/>
        </w:rPr>
        <w:t xml:space="preserve">far </w:t>
      </w:r>
      <w:r w:rsidR="00650E8D" w:rsidRPr="00FD2F3E">
        <w:rPr>
          <w:sz w:val="24"/>
          <w:szCs w:val="24"/>
        </w:rPr>
        <w:t xml:space="preserve">beyond just these numbers.  </w:t>
      </w:r>
      <w:r w:rsidR="00DF7B44" w:rsidRPr="00FD2F3E">
        <w:rPr>
          <w:sz w:val="24"/>
          <w:szCs w:val="24"/>
        </w:rPr>
        <w:t xml:space="preserve">The state is currently funding the same number of programs for PY 2014-15. </w:t>
      </w:r>
    </w:p>
    <w:p w:rsidR="009557DC" w:rsidRPr="00FD2F3E" w:rsidRDefault="00253F04" w:rsidP="009557DC">
      <w:pPr>
        <w:jc w:val="both"/>
        <w:rPr>
          <w:sz w:val="24"/>
          <w:szCs w:val="24"/>
        </w:rPr>
      </w:pPr>
      <w:r w:rsidRPr="00FD2F3E">
        <w:rPr>
          <w:sz w:val="24"/>
          <w:szCs w:val="24"/>
        </w:rPr>
        <w:t>An increase</w:t>
      </w:r>
      <w:r w:rsidR="00B52FC1" w:rsidRPr="00FD2F3E">
        <w:rPr>
          <w:sz w:val="24"/>
          <w:szCs w:val="24"/>
        </w:rPr>
        <w:t>d</w:t>
      </w:r>
      <w:r w:rsidRPr="00FD2F3E">
        <w:rPr>
          <w:sz w:val="24"/>
          <w:szCs w:val="24"/>
        </w:rPr>
        <w:t xml:space="preserve"> emphasis on college and career readiness will be extended to the ESL and EL Civics programs.  </w:t>
      </w:r>
      <w:r w:rsidR="007B03A1" w:rsidRPr="00FD2F3E">
        <w:rPr>
          <w:sz w:val="24"/>
          <w:szCs w:val="24"/>
        </w:rPr>
        <w:t>Integrated Education and T</w:t>
      </w:r>
      <w:r w:rsidR="008B4A9A" w:rsidRPr="00FD2F3E">
        <w:rPr>
          <w:sz w:val="24"/>
          <w:szCs w:val="24"/>
        </w:rPr>
        <w:t>raining</w:t>
      </w:r>
      <w:r w:rsidR="007B03A1" w:rsidRPr="00FD2F3E">
        <w:rPr>
          <w:sz w:val="24"/>
          <w:szCs w:val="24"/>
        </w:rPr>
        <w:t xml:space="preserve"> (IET)</w:t>
      </w:r>
      <w:r w:rsidR="008B4A9A" w:rsidRPr="00FD2F3E">
        <w:rPr>
          <w:sz w:val="24"/>
          <w:szCs w:val="24"/>
        </w:rPr>
        <w:t xml:space="preserve"> activit</w:t>
      </w:r>
      <w:r w:rsidR="007B03A1" w:rsidRPr="00FD2F3E">
        <w:rPr>
          <w:sz w:val="24"/>
          <w:szCs w:val="24"/>
        </w:rPr>
        <w:t>ies will focus</w:t>
      </w:r>
      <w:r w:rsidR="008B4A9A" w:rsidRPr="00FD2F3E">
        <w:rPr>
          <w:sz w:val="24"/>
          <w:szCs w:val="24"/>
        </w:rPr>
        <w:t xml:space="preserve"> on preparing </w:t>
      </w:r>
      <w:r w:rsidR="009557DC" w:rsidRPr="00FD2F3E">
        <w:rPr>
          <w:sz w:val="24"/>
          <w:szCs w:val="24"/>
        </w:rPr>
        <w:t xml:space="preserve">all </w:t>
      </w:r>
      <w:r w:rsidR="008B4A9A" w:rsidRPr="00FD2F3E">
        <w:rPr>
          <w:sz w:val="24"/>
          <w:szCs w:val="24"/>
        </w:rPr>
        <w:t>adults</w:t>
      </w:r>
      <w:r w:rsidR="009557DC" w:rsidRPr="00FD2F3E">
        <w:rPr>
          <w:sz w:val="24"/>
          <w:szCs w:val="24"/>
        </w:rPr>
        <w:t xml:space="preserve"> (including ESL/EL Civics)</w:t>
      </w:r>
      <w:r w:rsidR="008B4A9A" w:rsidRPr="00FD2F3E">
        <w:rPr>
          <w:sz w:val="24"/>
          <w:szCs w:val="24"/>
        </w:rPr>
        <w:t xml:space="preserve"> for employment opportunities in t</w:t>
      </w:r>
      <w:r w:rsidR="009557DC" w:rsidRPr="00FD2F3E">
        <w:rPr>
          <w:sz w:val="24"/>
          <w:szCs w:val="24"/>
        </w:rPr>
        <w:t xml:space="preserve">he </w:t>
      </w:r>
      <w:r w:rsidR="008B4A9A" w:rsidRPr="00FD2F3E">
        <w:rPr>
          <w:sz w:val="24"/>
          <w:szCs w:val="24"/>
        </w:rPr>
        <w:t xml:space="preserve">demand industries and with full coordination with the local workforce system. </w:t>
      </w:r>
      <w:r w:rsidR="009557DC" w:rsidRPr="00FD2F3E">
        <w:rPr>
          <w:sz w:val="24"/>
          <w:szCs w:val="24"/>
        </w:rPr>
        <w:t>Providing t</w:t>
      </w:r>
      <w:r w:rsidR="007B03A1" w:rsidRPr="00FD2F3E">
        <w:rPr>
          <w:sz w:val="24"/>
          <w:szCs w:val="24"/>
        </w:rPr>
        <w:t xml:space="preserve">argeted IET </w:t>
      </w:r>
      <w:r w:rsidR="009557DC" w:rsidRPr="00FD2F3E">
        <w:rPr>
          <w:sz w:val="24"/>
          <w:szCs w:val="24"/>
        </w:rPr>
        <w:t xml:space="preserve">professional development to the ESL/EL Civics </w:t>
      </w:r>
      <w:r w:rsidRPr="00FD2F3E">
        <w:rPr>
          <w:sz w:val="24"/>
          <w:szCs w:val="24"/>
        </w:rPr>
        <w:t>instructors will be crucial in</w:t>
      </w:r>
      <w:r w:rsidR="000E1807" w:rsidRPr="00FD2F3E">
        <w:rPr>
          <w:sz w:val="24"/>
          <w:szCs w:val="24"/>
        </w:rPr>
        <w:t xml:space="preserve"> </w:t>
      </w:r>
      <w:r w:rsidRPr="00FD2F3E">
        <w:rPr>
          <w:sz w:val="24"/>
          <w:szCs w:val="24"/>
        </w:rPr>
        <w:t xml:space="preserve">preparing the ESL population to be an active participant in </w:t>
      </w:r>
      <w:r w:rsidR="00B52FC1" w:rsidRPr="00FD2F3E">
        <w:rPr>
          <w:sz w:val="24"/>
          <w:szCs w:val="24"/>
        </w:rPr>
        <w:t xml:space="preserve">the </w:t>
      </w:r>
      <w:r w:rsidRPr="00FD2F3E">
        <w:rPr>
          <w:sz w:val="24"/>
          <w:szCs w:val="24"/>
        </w:rPr>
        <w:t>college and career</w:t>
      </w:r>
      <w:r w:rsidR="00B52FC1" w:rsidRPr="00FD2F3E">
        <w:rPr>
          <w:sz w:val="24"/>
          <w:szCs w:val="24"/>
        </w:rPr>
        <w:t xml:space="preserve"> readiness initiatives of the state.</w:t>
      </w:r>
      <w:r w:rsidR="00A84BF0" w:rsidRPr="00FD2F3E">
        <w:rPr>
          <w:sz w:val="24"/>
          <w:szCs w:val="24"/>
        </w:rPr>
        <w:t xml:space="preserve">  </w:t>
      </w:r>
    </w:p>
    <w:p w:rsidR="002C10D3" w:rsidRDefault="002C10D3" w:rsidP="00EC6675">
      <w:pPr>
        <w:jc w:val="both"/>
        <w:rPr>
          <w:b/>
          <w:sz w:val="24"/>
          <w:szCs w:val="24"/>
        </w:rPr>
      </w:pPr>
    </w:p>
    <w:p w:rsidR="00A95E87" w:rsidRPr="00FD2F3E" w:rsidRDefault="00A95E87" w:rsidP="00EC6675">
      <w:pPr>
        <w:jc w:val="both"/>
        <w:rPr>
          <w:b/>
          <w:sz w:val="24"/>
          <w:szCs w:val="24"/>
        </w:rPr>
      </w:pPr>
      <w:r w:rsidRPr="00FD2F3E">
        <w:rPr>
          <w:b/>
          <w:sz w:val="24"/>
          <w:szCs w:val="24"/>
        </w:rPr>
        <w:t>Secondary School Credential and Equivalencies:</w:t>
      </w:r>
      <w:r w:rsidR="00FD2F3E" w:rsidRPr="00FD2F3E">
        <w:rPr>
          <w:b/>
          <w:sz w:val="24"/>
          <w:szCs w:val="24"/>
        </w:rPr>
        <w:t xml:space="preserve">  </w:t>
      </w:r>
      <w:r w:rsidRPr="00FD2F3E">
        <w:rPr>
          <w:b/>
          <w:sz w:val="24"/>
          <w:szCs w:val="24"/>
        </w:rPr>
        <w:t>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 or credit-based methods.</w:t>
      </w:r>
    </w:p>
    <w:p w:rsidR="001F1A78" w:rsidRPr="00FD2F3E" w:rsidRDefault="001F1A78" w:rsidP="00EC6675">
      <w:pPr>
        <w:jc w:val="both"/>
        <w:rPr>
          <w:sz w:val="24"/>
          <w:szCs w:val="24"/>
        </w:rPr>
      </w:pPr>
      <w:r w:rsidRPr="00FD2F3E">
        <w:rPr>
          <w:sz w:val="24"/>
          <w:szCs w:val="24"/>
        </w:rPr>
        <w:t>The Alabama State Board of Education</w:t>
      </w:r>
      <w:r w:rsidR="00E71D3D" w:rsidRPr="00FD2F3E">
        <w:rPr>
          <w:sz w:val="24"/>
          <w:szCs w:val="24"/>
        </w:rPr>
        <w:t>, the governing board for the primary, secondary, and postsecondary</w:t>
      </w:r>
      <w:r w:rsidR="00601B5E" w:rsidRPr="00FD2F3E">
        <w:rPr>
          <w:sz w:val="24"/>
          <w:szCs w:val="24"/>
        </w:rPr>
        <w:t xml:space="preserve"> (2 year)</w:t>
      </w:r>
      <w:r w:rsidR="00E71D3D" w:rsidRPr="00FD2F3E">
        <w:rPr>
          <w:sz w:val="24"/>
          <w:szCs w:val="24"/>
        </w:rPr>
        <w:t xml:space="preserve"> public education systems,</w:t>
      </w:r>
      <w:r w:rsidR="009557DC" w:rsidRPr="00FD2F3E">
        <w:rPr>
          <w:sz w:val="24"/>
          <w:szCs w:val="24"/>
        </w:rPr>
        <w:t xml:space="preserve"> has the </w:t>
      </w:r>
      <w:r w:rsidR="000749C4" w:rsidRPr="00FD2F3E">
        <w:rPr>
          <w:sz w:val="24"/>
          <w:szCs w:val="24"/>
        </w:rPr>
        <w:t>responsibility</w:t>
      </w:r>
      <w:r w:rsidR="009557DC" w:rsidRPr="00FD2F3E">
        <w:rPr>
          <w:sz w:val="24"/>
          <w:szCs w:val="24"/>
        </w:rPr>
        <w:t xml:space="preserve"> to provide to </w:t>
      </w:r>
      <w:r w:rsidRPr="00FD2F3E">
        <w:rPr>
          <w:sz w:val="24"/>
          <w:szCs w:val="24"/>
        </w:rPr>
        <w:t>individuals who are no longer en</w:t>
      </w:r>
      <w:r w:rsidR="00B52FC1" w:rsidRPr="00FD2F3E">
        <w:rPr>
          <w:sz w:val="24"/>
          <w:szCs w:val="24"/>
        </w:rPr>
        <w:t xml:space="preserve">rolled </w:t>
      </w:r>
      <w:r w:rsidR="009557DC" w:rsidRPr="00FD2F3E">
        <w:rPr>
          <w:sz w:val="24"/>
          <w:szCs w:val="24"/>
        </w:rPr>
        <w:t xml:space="preserve">or required to be enrolled </w:t>
      </w:r>
      <w:r w:rsidR="00B52FC1" w:rsidRPr="00FD2F3E">
        <w:rPr>
          <w:sz w:val="24"/>
          <w:szCs w:val="24"/>
        </w:rPr>
        <w:t>in secondary school and</w:t>
      </w:r>
      <w:r w:rsidRPr="00FD2F3E">
        <w:rPr>
          <w:sz w:val="24"/>
          <w:szCs w:val="24"/>
        </w:rPr>
        <w:t xml:space="preserve"> unable to successfully complete the necessary</w:t>
      </w:r>
      <w:r w:rsidR="009858D5" w:rsidRPr="00FD2F3E">
        <w:rPr>
          <w:sz w:val="24"/>
          <w:szCs w:val="24"/>
        </w:rPr>
        <w:t xml:space="preserve"> requirements</w:t>
      </w:r>
      <w:r w:rsidRPr="00FD2F3E">
        <w:rPr>
          <w:sz w:val="24"/>
          <w:szCs w:val="24"/>
        </w:rPr>
        <w:t xml:space="preserve"> to earn a high school diploma, the opportunity to earn the State of Alabama High School Equivalency Diploma through the administration of the </w:t>
      </w:r>
      <w:r w:rsidRPr="00FD2F3E">
        <w:rPr>
          <w:rStyle w:val="Strong"/>
          <w:b w:val="0"/>
          <w:bCs w:val="0"/>
          <w:color w:val="000000"/>
          <w:sz w:val="24"/>
          <w:szCs w:val="24"/>
          <w:shd w:val="clear" w:color="auto" w:fill="FFFFFF"/>
        </w:rPr>
        <w:t>GED</w:t>
      </w:r>
      <w:r w:rsidRPr="00FD2F3E">
        <w:rPr>
          <w:rStyle w:val="Strong"/>
          <w:b w:val="0"/>
          <w:bCs w:val="0"/>
          <w:color w:val="000000"/>
          <w:sz w:val="24"/>
          <w:szCs w:val="24"/>
          <w:shd w:val="clear" w:color="auto" w:fill="FFFFFF"/>
          <w:vertAlign w:val="superscript"/>
        </w:rPr>
        <w:t>®</w:t>
      </w:r>
      <w:r w:rsidRPr="00FD2F3E">
        <w:rPr>
          <w:rStyle w:val="Strong"/>
          <w:b w:val="0"/>
          <w:bCs w:val="0"/>
          <w:color w:val="000000"/>
          <w:sz w:val="24"/>
          <w:szCs w:val="24"/>
          <w:shd w:val="clear" w:color="auto" w:fill="FFFFFF"/>
        </w:rPr>
        <w:t xml:space="preserve"> (General Educational Development) Test</w:t>
      </w:r>
      <w:r w:rsidRPr="00FD2F3E">
        <w:rPr>
          <w:rStyle w:val="Strong"/>
          <w:color w:val="000000"/>
          <w:sz w:val="24"/>
          <w:szCs w:val="24"/>
          <w:shd w:val="clear" w:color="auto" w:fill="FFFFFF"/>
        </w:rPr>
        <w:t>.</w:t>
      </w:r>
      <w:r w:rsidRPr="00FD2F3E">
        <w:rPr>
          <w:rStyle w:val="Strong"/>
          <w:rFonts w:ascii="Arial" w:hAnsi="Arial" w:cs="Arial"/>
          <w:color w:val="000000"/>
          <w:sz w:val="24"/>
          <w:szCs w:val="24"/>
          <w:shd w:val="clear" w:color="auto" w:fill="FFFFFF"/>
        </w:rPr>
        <w:t xml:space="preserve">  </w:t>
      </w:r>
      <w:r w:rsidRPr="00FD2F3E">
        <w:rPr>
          <w:sz w:val="24"/>
          <w:szCs w:val="24"/>
        </w:rPr>
        <w:t> The GED</w:t>
      </w:r>
      <w:r w:rsidR="009D43E8" w:rsidRPr="00FD2F3E">
        <w:rPr>
          <w:sz w:val="24"/>
          <w:szCs w:val="24"/>
        </w:rPr>
        <w:t>®</w:t>
      </w:r>
      <w:r w:rsidRPr="00FD2F3E">
        <w:rPr>
          <w:sz w:val="24"/>
          <w:szCs w:val="24"/>
        </w:rPr>
        <w:t xml:space="preserve"> Test is currently the only test </w:t>
      </w:r>
      <w:r w:rsidR="000718AF" w:rsidRPr="00FD2F3E">
        <w:rPr>
          <w:sz w:val="24"/>
          <w:szCs w:val="24"/>
        </w:rPr>
        <w:t xml:space="preserve">or method </w:t>
      </w:r>
      <w:r w:rsidRPr="00FD2F3E">
        <w:rPr>
          <w:sz w:val="24"/>
          <w:szCs w:val="24"/>
        </w:rPr>
        <w:t xml:space="preserve">that is </w:t>
      </w:r>
      <w:r w:rsidR="000718AF" w:rsidRPr="00FD2F3E">
        <w:rPr>
          <w:sz w:val="24"/>
          <w:szCs w:val="24"/>
        </w:rPr>
        <w:t xml:space="preserve">used and </w:t>
      </w:r>
      <w:r w:rsidRPr="00FD2F3E">
        <w:rPr>
          <w:sz w:val="24"/>
          <w:szCs w:val="24"/>
        </w:rPr>
        <w:t>reco</w:t>
      </w:r>
      <w:r w:rsidR="009858D5" w:rsidRPr="00FD2F3E">
        <w:rPr>
          <w:sz w:val="24"/>
          <w:szCs w:val="24"/>
        </w:rPr>
        <w:t xml:space="preserve">gnized by the </w:t>
      </w:r>
      <w:r w:rsidR="009D43E8" w:rsidRPr="00FD2F3E">
        <w:rPr>
          <w:sz w:val="24"/>
          <w:szCs w:val="24"/>
        </w:rPr>
        <w:t>state to award a high school</w:t>
      </w:r>
      <w:r w:rsidRPr="00FD2F3E">
        <w:rPr>
          <w:sz w:val="24"/>
          <w:szCs w:val="24"/>
        </w:rPr>
        <w:t xml:space="preserve"> equivalency diploma.  </w:t>
      </w:r>
    </w:p>
    <w:p w:rsidR="009557DC" w:rsidRPr="00FD2F3E" w:rsidRDefault="007037F9" w:rsidP="009160F4">
      <w:pPr>
        <w:jc w:val="both"/>
        <w:rPr>
          <w:rFonts w:ascii="Calibri" w:hAnsi="Calibri"/>
          <w:sz w:val="24"/>
          <w:szCs w:val="24"/>
        </w:rPr>
      </w:pPr>
      <w:r w:rsidRPr="00FD2F3E">
        <w:rPr>
          <w:rFonts w:ascii="Calibri" w:hAnsi="Calibri"/>
          <w:sz w:val="24"/>
          <w:szCs w:val="24"/>
        </w:rPr>
        <w:t>On behalf of the State Board of Education, t</w:t>
      </w:r>
      <w:r w:rsidR="001F1A78" w:rsidRPr="00FD2F3E">
        <w:rPr>
          <w:rFonts w:ascii="Calibri" w:hAnsi="Calibri"/>
          <w:sz w:val="24"/>
          <w:szCs w:val="24"/>
        </w:rPr>
        <w:t>he Chancellor of the Alaba</w:t>
      </w:r>
      <w:r w:rsidRPr="00FD2F3E">
        <w:rPr>
          <w:rFonts w:ascii="Calibri" w:hAnsi="Calibri"/>
          <w:sz w:val="24"/>
          <w:szCs w:val="24"/>
        </w:rPr>
        <w:t>ma Department of Postsecondary E</w:t>
      </w:r>
      <w:r w:rsidR="001F1A78" w:rsidRPr="00FD2F3E">
        <w:rPr>
          <w:rFonts w:ascii="Calibri" w:hAnsi="Calibri"/>
          <w:sz w:val="24"/>
          <w:szCs w:val="24"/>
        </w:rPr>
        <w:t xml:space="preserve">ducation awards a State of Alabama </w:t>
      </w:r>
      <w:r w:rsidRPr="00FD2F3E">
        <w:rPr>
          <w:rFonts w:ascii="Calibri" w:hAnsi="Calibri"/>
          <w:sz w:val="24"/>
          <w:szCs w:val="24"/>
        </w:rPr>
        <w:t xml:space="preserve">High School Equivalency diploma </w:t>
      </w:r>
      <w:r w:rsidR="001F1A78" w:rsidRPr="00FD2F3E">
        <w:rPr>
          <w:rFonts w:ascii="Calibri" w:hAnsi="Calibri"/>
          <w:sz w:val="24"/>
          <w:szCs w:val="24"/>
        </w:rPr>
        <w:t>to candidates that meet the eligibility requirements of both GED</w:t>
      </w:r>
      <w:r w:rsidR="009858D5" w:rsidRPr="00FD2F3E">
        <w:rPr>
          <w:rFonts w:ascii="Calibri" w:hAnsi="Calibri"/>
          <w:sz w:val="24"/>
          <w:szCs w:val="24"/>
        </w:rPr>
        <w:t>®</w:t>
      </w:r>
      <w:r w:rsidR="001F1A78" w:rsidRPr="00FD2F3E">
        <w:rPr>
          <w:rFonts w:ascii="Calibri" w:hAnsi="Calibri"/>
          <w:sz w:val="24"/>
          <w:szCs w:val="24"/>
        </w:rPr>
        <w:t xml:space="preserve"> Testing Service and the state of Alabama and who have attained a standard score of not less than one hundred fifty (150) </w:t>
      </w:r>
      <w:r w:rsidRPr="00FD2F3E">
        <w:rPr>
          <w:rFonts w:ascii="Calibri" w:hAnsi="Calibri"/>
          <w:sz w:val="24"/>
          <w:szCs w:val="24"/>
        </w:rPr>
        <w:t xml:space="preserve">on each of the four (4) subject </w:t>
      </w:r>
      <w:r w:rsidR="001F1A78" w:rsidRPr="00FD2F3E">
        <w:rPr>
          <w:rFonts w:ascii="Calibri" w:hAnsi="Calibri"/>
          <w:sz w:val="24"/>
          <w:szCs w:val="24"/>
        </w:rPr>
        <w:t>area tests comprising the GED</w:t>
      </w:r>
      <w:r w:rsidR="001F1A78" w:rsidRPr="00FD2F3E">
        <w:rPr>
          <w:rFonts w:ascii="Calibri" w:hAnsi="Calibri"/>
          <w:sz w:val="24"/>
          <w:szCs w:val="24"/>
          <w:vertAlign w:val="superscript"/>
        </w:rPr>
        <w:t>®</w:t>
      </w:r>
      <w:r w:rsidR="001F1A78" w:rsidRPr="00FD2F3E">
        <w:rPr>
          <w:rFonts w:ascii="Calibri" w:hAnsi="Calibri"/>
          <w:sz w:val="24"/>
          <w:szCs w:val="24"/>
          <w:vertAlign w:val="subscript"/>
        </w:rPr>
        <w:t xml:space="preserve"> </w:t>
      </w:r>
      <w:r w:rsidR="001F1A78" w:rsidRPr="00FD2F3E">
        <w:rPr>
          <w:rFonts w:ascii="Calibri" w:hAnsi="Calibri"/>
          <w:sz w:val="24"/>
          <w:szCs w:val="24"/>
        </w:rPr>
        <w:t>Test</w:t>
      </w:r>
      <w:r w:rsidR="000C5271" w:rsidRPr="00FD2F3E">
        <w:rPr>
          <w:rFonts w:ascii="Calibri" w:hAnsi="Calibri"/>
          <w:sz w:val="24"/>
          <w:szCs w:val="24"/>
        </w:rPr>
        <w:t>. </w:t>
      </w:r>
      <w:r w:rsidR="001F1A78" w:rsidRPr="00FD2F3E">
        <w:rPr>
          <w:rFonts w:ascii="Calibri" w:hAnsi="Calibri"/>
          <w:sz w:val="24"/>
          <w:szCs w:val="24"/>
        </w:rPr>
        <w:t xml:space="preserve">The equivalency diploma includes the signatures of </w:t>
      </w:r>
      <w:r w:rsidR="009858D5" w:rsidRPr="00FD2F3E">
        <w:rPr>
          <w:rFonts w:ascii="Calibri" w:hAnsi="Calibri"/>
          <w:sz w:val="24"/>
          <w:szCs w:val="24"/>
        </w:rPr>
        <w:t xml:space="preserve">the Alabama Governor and the Chancellor of the </w:t>
      </w:r>
      <w:r w:rsidR="001F1A78" w:rsidRPr="00FD2F3E">
        <w:rPr>
          <w:rFonts w:ascii="Calibri" w:hAnsi="Calibri"/>
          <w:sz w:val="24"/>
          <w:szCs w:val="24"/>
        </w:rPr>
        <w:t>Department of Postsecondary Education. The</w:t>
      </w:r>
      <w:r w:rsidR="009D43E8" w:rsidRPr="00FD2F3E">
        <w:rPr>
          <w:rFonts w:ascii="Calibri" w:hAnsi="Calibri"/>
          <w:sz w:val="24"/>
          <w:szCs w:val="24"/>
        </w:rPr>
        <w:t xml:space="preserve"> diplomas are printed with the </w:t>
      </w:r>
      <w:r w:rsidR="009D43E8" w:rsidRPr="00FD2F3E">
        <w:rPr>
          <w:rFonts w:ascii="Calibri" w:hAnsi="Calibri"/>
          <w:i/>
          <w:sz w:val="24"/>
          <w:szCs w:val="24"/>
        </w:rPr>
        <w:t>S</w:t>
      </w:r>
      <w:r w:rsidR="001F1A78" w:rsidRPr="00FD2F3E">
        <w:rPr>
          <w:rFonts w:ascii="Calibri" w:hAnsi="Calibri"/>
          <w:i/>
          <w:sz w:val="24"/>
          <w:szCs w:val="24"/>
        </w:rPr>
        <w:t>eal of the State Board of Education</w:t>
      </w:r>
      <w:r w:rsidR="001F1A78" w:rsidRPr="00FD2F3E">
        <w:rPr>
          <w:rFonts w:ascii="Calibri" w:hAnsi="Calibri"/>
          <w:sz w:val="24"/>
          <w:szCs w:val="24"/>
        </w:rPr>
        <w:t xml:space="preserve"> and the </w:t>
      </w:r>
      <w:r w:rsidR="001F1A78" w:rsidRPr="00FD2F3E">
        <w:rPr>
          <w:rFonts w:ascii="Calibri" w:hAnsi="Calibri"/>
          <w:i/>
          <w:sz w:val="24"/>
          <w:szCs w:val="24"/>
        </w:rPr>
        <w:t>Alabama Great Seal</w:t>
      </w:r>
      <w:r w:rsidR="001F1A78" w:rsidRPr="00FD2F3E">
        <w:rPr>
          <w:rFonts w:ascii="Calibri" w:hAnsi="Calibri"/>
          <w:sz w:val="24"/>
          <w:szCs w:val="24"/>
        </w:rPr>
        <w:t xml:space="preserve">. </w:t>
      </w:r>
      <w:r w:rsidR="009D43E8" w:rsidRPr="00FD2F3E">
        <w:rPr>
          <w:rFonts w:ascii="Calibri" w:hAnsi="Calibri"/>
          <w:sz w:val="24"/>
          <w:szCs w:val="24"/>
        </w:rPr>
        <w:t xml:space="preserve">  </w:t>
      </w:r>
    </w:p>
    <w:p w:rsidR="00BC55E1" w:rsidRDefault="009D43E8" w:rsidP="002C10D3">
      <w:pPr>
        <w:jc w:val="both"/>
        <w:rPr>
          <w:sz w:val="24"/>
          <w:szCs w:val="24"/>
        </w:rPr>
      </w:pPr>
      <w:r w:rsidRPr="00FD2F3E">
        <w:rPr>
          <w:sz w:val="24"/>
          <w:szCs w:val="24"/>
        </w:rPr>
        <w:t>The GED® is a well-d</w:t>
      </w:r>
      <w:r w:rsidR="009858D5" w:rsidRPr="00FD2F3E">
        <w:rPr>
          <w:sz w:val="24"/>
          <w:szCs w:val="24"/>
        </w:rPr>
        <w:t xml:space="preserve">esigned assessment which allows adults to validate skills and abilities </w:t>
      </w:r>
      <w:r w:rsidR="00DF7B44" w:rsidRPr="00FD2F3E">
        <w:rPr>
          <w:sz w:val="24"/>
          <w:szCs w:val="24"/>
        </w:rPr>
        <w:t xml:space="preserve">equivalent </w:t>
      </w:r>
      <w:r w:rsidR="009858D5" w:rsidRPr="00FD2F3E">
        <w:rPr>
          <w:sz w:val="24"/>
          <w:szCs w:val="24"/>
        </w:rPr>
        <w:t xml:space="preserve">to </w:t>
      </w:r>
      <w:r w:rsidR="000C384A" w:rsidRPr="00FD2F3E">
        <w:rPr>
          <w:sz w:val="24"/>
          <w:szCs w:val="24"/>
        </w:rPr>
        <w:t xml:space="preserve">a current high </w:t>
      </w:r>
      <w:r w:rsidR="00DF7B44" w:rsidRPr="00FD2F3E">
        <w:rPr>
          <w:sz w:val="24"/>
          <w:szCs w:val="24"/>
        </w:rPr>
        <w:t>school graduate, in addition to</w:t>
      </w:r>
      <w:r w:rsidR="000C384A" w:rsidRPr="00FD2F3E">
        <w:rPr>
          <w:sz w:val="24"/>
          <w:szCs w:val="24"/>
        </w:rPr>
        <w:t xml:space="preserve"> </w:t>
      </w:r>
      <w:r w:rsidR="009858D5" w:rsidRPr="00FD2F3E">
        <w:rPr>
          <w:sz w:val="24"/>
          <w:szCs w:val="24"/>
        </w:rPr>
        <w:t>the skills considered to be college and career r</w:t>
      </w:r>
      <w:r w:rsidR="007037F9" w:rsidRPr="00FD2F3E">
        <w:rPr>
          <w:sz w:val="24"/>
          <w:szCs w:val="24"/>
        </w:rPr>
        <w:t xml:space="preserve">eady when testing </w:t>
      </w:r>
      <w:r w:rsidR="00642992" w:rsidRPr="00FD2F3E">
        <w:rPr>
          <w:sz w:val="24"/>
          <w:szCs w:val="24"/>
        </w:rPr>
        <w:t xml:space="preserve">in a subject </w:t>
      </w:r>
      <w:r w:rsidR="007037F9" w:rsidRPr="00FD2F3E">
        <w:rPr>
          <w:sz w:val="24"/>
          <w:szCs w:val="24"/>
        </w:rPr>
        <w:t>at or above a score of one hundred seventy (170)</w:t>
      </w:r>
      <w:r w:rsidR="009858D5" w:rsidRPr="00FD2F3E">
        <w:rPr>
          <w:sz w:val="24"/>
          <w:szCs w:val="24"/>
        </w:rPr>
        <w:t>.</w:t>
      </w:r>
      <w:r w:rsidR="007037F9" w:rsidRPr="00FD2F3E">
        <w:rPr>
          <w:sz w:val="24"/>
          <w:szCs w:val="24"/>
        </w:rPr>
        <w:t xml:space="preserve">  The </w:t>
      </w:r>
      <w:r w:rsidR="00D01BC9" w:rsidRPr="00FD2F3E">
        <w:rPr>
          <w:sz w:val="24"/>
          <w:szCs w:val="24"/>
        </w:rPr>
        <w:t xml:space="preserve">2014 </w:t>
      </w:r>
      <w:r w:rsidR="007037F9" w:rsidRPr="00FD2F3E">
        <w:rPr>
          <w:sz w:val="24"/>
          <w:szCs w:val="24"/>
        </w:rPr>
        <w:t>GED</w:t>
      </w:r>
      <w:r w:rsidR="000C5271" w:rsidRPr="00FD2F3E">
        <w:rPr>
          <w:sz w:val="24"/>
          <w:szCs w:val="24"/>
        </w:rPr>
        <w:t>®</w:t>
      </w:r>
      <w:r w:rsidR="007037F9" w:rsidRPr="00FD2F3E">
        <w:rPr>
          <w:sz w:val="24"/>
          <w:szCs w:val="24"/>
        </w:rPr>
        <w:t xml:space="preserve"> </w:t>
      </w:r>
      <w:r w:rsidR="00D01BC9" w:rsidRPr="00FD2F3E">
        <w:rPr>
          <w:sz w:val="24"/>
          <w:szCs w:val="24"/>
        </w:rPr>
        <w:t>was created on Webb’s Depth of Knowledge (DOK)</w:t>
      </w:r>
      <w:r w:rsidR="008D5542" w:rsidRPr="00FD2F3E">
        <w:rPr>
          <w:sz w:val="24"/>
          <w:szCs w:val="24"/>
        </w:rPr>
        <w:t>,</w:t>
      </w:r>
      <w:r w:rsidR="00D01BC9" w:rsidRPr="00FD2F3E">
        <w:rPr>
          <w:sz w:val="24"/>
          <w:szCs w:val="24"/>
        </w:rPr>
        <w:t xml:space="preserve"> </w:t>
      </w:r>
      <w:r w:rsidR="008D5542" w:rsidRPr="00FD2F3E">
        <w:rPr>
          <w:sz w:val="24"/>
          <w:szCs w:val="24"/>
        </w:rPr>
        <w:t xml:space="preserve">which </w:t>
      </w:r>
      <w:r w:rsidR="000C384A" w:rsidRPr="00FD2F3E">
        <w:rPr>
          <w:sz w:val="24"/>
          <w:szCs w:val="24"/>
        </w:rPr>
        <w:t xml:space="preserve">allows for a systematic alignment between standards, instructional design, and standardized assessments.  </w:t>
      </w:r>
      <w:r w:rsidR="000C384A" w:rsidRPr="00FD2F3E">
        <w:rPr>
          <w:sz w:val="24"/>
          <w:szCs w:val="24"/>
        </w:rPr>
        <w:lastRenderedPageBreak/>
        <w:t xml:space="preserve">It </w:t>
      </w:r>
      <w:r w:rsidR="008D5542" w:rsidRPr="00FD2F3E">
        <w:rPr>
          <w:sz w:val="24"/>
          <w:szCs w:val="24"/>
        </w:rPr>
        <w:t>reflect</w:t>
      </w:r>
      <w:r w:rsidR="009557DC" w:rsidRPr="00FD2F3E">
        <w:rPr>
          <w:sz w:val="24"/>
          <w:szCs w:val="24"/>
        </w:rPr>
        <w:t xml:space="preserve">s the complexity of </w:t>
      </w:r>
      <w:r w:rsidR="008D5542" w:rsidRPr="00FD2F3E">
        <w:rPr>
          <w:sz w:val="24"/>
          <w:szCs w:val="24"/>
        </w:rPr>
        <w:t>the cognitive processes demanded by a task outlined by the objective rather than</w:t>
      </w:r>
      <w:r w:rsidR="000C384A" w:rsidRPr="00FD2F3E">
        <w:rPr>
          <w:sz w:val="24"/>
          <w:szCs w:val="24"/>
        </w:rPr>
        <w:t xml:space="preserve"> its difficulty.  </w:t>
      </w:r>
    </w:p>
    <w:p w:rsidR="002C10D3" w:rsidRPr="002C10D3" w:rsidRDefault="002C10D3" w:rsidP="002C10D3">
      <w:pPr>
        <w:jc w:val="both"/>
        <w:rPr>
          <w:sz w:val="24"/>
          <w:szCs w:val="24"/>
        </w:rPr>
      </w:pPr>
      <w:bookmarkStart w:id="0" w:name="_GoBack"/>
      <w:bookmarkEnd w:id="0"/>
    </w:p>
    <w:p w:rsidR="00E91AE9" w:rsidRPr="00FD2F3E" w:rsidRDefault="00A95E87" w:rsidP="00EC6675">
      <w:pPr>
        <w:jc w:val="both"/>
        <w:rPr>
          <w:b/>
          <w:sz w:val="24"/>
          <w:szCs w:val="24"/>
        </w:rPr>
      </w:pPr>
      <w:r w:rsidRPr="00FD2F3E">
        <w:rPr>
          <w:b/>
          <w:sz w:val="24"/>
          <w:szCs w:val="24"/>
        </w:rPr>
        <w:t>Adult Education Standards:</w:t>
      </w:r>
      <w:r w:rsidR="00FD2F3E" w:rsidRPr="00FD2F3E">
        <w:rPr>
          <w:b/>
          <w:sz w:val="24"/>
          <w:szCs w:val="24"/>
        </w:rPr>
        <w:t xml:space="preserve"> </w:t>
      </w:r>
      <w:r w:rsidRPr="00FD2F3E">
        <w:rPr>
          <w:b/>
          <w:sz w:val="24"/>
          <w:szCs w:val="24"/>
        </w:rPr>
        <w:t xml:space="preserve">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timelines by which such standards will be or have been implemented by all local programs.  Describe how the state is supporting the use of standards by local programs and State Leadership funds that are being </w:t>
      </w:r>
      <w:r w:rsidR="00FE7B6B" w:rsidRPr="00FD2F3E">
        <w:rPr>
          <w:b/>
          <w:sz w:val="24"/>
          <w:szCs w:val="24"/>
        </w:rPr>
        <w:t>used to support implementation.</w:t>
      </w:r>
    </w:p>
    <w:p w:rsidR="00B6126C" w:rsidRPr="00FD2F3E" w:rsidRDefault="00886C5D" w:rsidP="00B6126C">
      <w:pPr>
        <w:jc w:val="both"/>
        <w:rPr>
          <w:sz w:val="24"/>
          <w:szCs w:val="24"/>
        </w:rPr>
      </w:pPr>
      <w:r w:rsidRPr="00FD2F3E">
        <w:rPr>
          <w:sz w:val="24"/>
          <w:szCs w:val="24"/>
        </w:rPr>
        <w:t>In o</w:t>
      </w:r>
      <w:r w:rsidR="00190679" w:rsidRPr="00FD2F3E">
        <w:rPr>
          <w:sz w:val="24"/>
          <w:szCs w:val="24"/>
        </w:rPr>
        <w:t>rder to be globally competitive</w:t>
      </w:r>
      <w:r w:rsidR="00B6126C" w:rsidRPr="00FD2F3E">
        <w:rPr>
          <w:sz w:val="24"/>
          <w:szCs w:val="24"/>
        </w:rPr>
        <w:t xml:space="preserve">, the state must set </w:t>
      </w:r>
      <w:r w:rsidR="00A91CCD" w:rsidRPr="00FD2F3E">
        <w:rPr>
          <w:sz w:val="24"/>
          <w:szCs w:val="24"/>
        </w:rPr>
        <w:t>high expectatio</w:t>
      </w:r>
      <w:r w:rsidR="00B6126C" w:rsidRPr="00FD2F3E">
        <w:rPr>
          <w:sz w:val="24"/>
          <w:szCs w:val="24"/>
        </w:rPr>
        <w:t>ns aligned to</w:t>
      </w:r>
      <w:r w:rsidR="00A84BF0" w:rsidRPr="00FD2F3E">
        <w:rPr>
          <w:sz w:val="24"/>
          <w:szCs w:val="24"/>
        </w:rPr>
        <w:t xml:space="preserve"> college and/or</w:t>
      </w:r>
      <w:r w:rsidR="00A91CCD" w:rsidRPr="00FD2F3E">
        <w:rPr>
          <w:sz w:val="24"/>
          <w:szCs w:val="24"/>
        </w:rPr>
        <w:t xml:space="preserve"> career </w:t>
      </w:r>
      <w:r w:rsidR="00A84BF0" w:rsidRPr="00FD2F3E">
        <w:rPr>
          <w:sz w:val="24"/>
          <w:szCs w:val="24"/>
        </w:rPr>
        <w:t>readiness</w:t>
      </w:r>
      <w:r w:rsidR="00A91CCD" w:rsidRPr="00FD2F3E">
        <w:rPr>
          <w:sz w:val="24"/>
          <w:szCs w:val="24"/>
        </w:rPr>
        <w:t xml:space="preserve">.  </w:t>
      </w:r>
      <w:r w:rsidR="00B6126C" w:rsidRPr="00FD2F3E">
        <w:rPr>
          <w:sz w:val="24"/>
          <w:szCs w:val="24"/>
        </w:rPr>
        <w:t>It is the intent of the Alabama State Board, the governing board of the Alabama Department of Education and Alabama Department of Postsecondary Education, chaired by the Governor of Alabama, to ensure that secondary students and non-secondary adults are college and career ready.  Therefore, the goal for every Alabamian entering postsecondary education and/or training will be to enter directly into core</w:t>
      </w:r>
      <w:r w:rsidR="000749C4" w:rsidRPr="00FD2F3E">
        <w:rPr>
          <w:sz w:val="24"/>
          <w:szCs w:val="24"/>
        </w:rPr>
        <w:t xml:space="preserve"> competency classes without the need for </w:t>
      </w:r>
      <w:r w:rsidR="00B6126C" w:rsidRPr="00FD2F3E">
        <w:rPr>
          <w:sz w:val="24"/>
          <w:szCs w:val="24"/>
        </w:rPr>
        <w:t xml:space="preserve">developmental education instruction. </w:t>
      </w:r>
    </w:p>
    <w:p w:rsidR="007346BC" w:rsidRPr="00FD2F3E" w:rsidRDefault="00B6126C" w:rsidP="00EC6675">
      <w:pPr>
        <w:jc w:val="both"/>
        <w:rPr>
          <w:sz w:val="24"/>
          <w:szCs w:val="24"/>
        </w:rPr>
      </w:pPr>
      <w:r w:rsidRPr="00FD2F3E">
        <w:rPr>
          <w:sz w:val="24"/>
          <w:szCs w:val="24"/>
        </w:rPr>
        <w:t>Alabama Adult Educati</w:t>
      </w:r>
      <w:r w:rsidR="000749C4" w:rsidRPr="00FD2F3E">
        <w:rPr>
          <w:sz w:val="24"/>
          <w:szCs w:val="24"/>
        </w:rPr>
        <w:t xml:space="preserve">on is committed to </w:t>
      </w:r>
      <w:r w:rsidR="00E45CD9" w:rsidRPr="00FD2F3E">
        <w:rPr>
          <w:sz w:val="24"/>
          <w:szCs w:val="24"/>
        </w:rPr>
        <w:t>prepare</w:t>
      </w:r>
      <w:r w:rsidR="000749C4" w:rsidRPr="00FD2F3E">
        <w:rPr>
          <w:sz w:val="24"/>
          <w:szCs w:val="24"/>
        </w:rPr>
        <w:t xml:space="preserve"> the adult </w:t>
      </w:r>
      <w:r w:rsidR="00E45CD9" w:rsidRPr="00FD2F3E">
        <w:rPr>
          <w:sz w:val="24"/>
          <w:szCs w:val="24"/>
        </w:rPr>
        <w:t>education target population with the educational skills</w:t>
      </w:r>
      <w:r w:rsidR="000749C4" w:rsidRPr="00FD2F3E">
        <w:rPr>
          <w:sz w:val="24"/>
          <w:szCs w:val="24"/>
        </w:rPr>
        <w:t xml:space="preserve"> </w:t>
      </w:r>
      <w:r w:rsidR="00E45CD9" w:rsidRPr="00FD2F3E">
        <w:rPr>
          <w:sz w:val="24"/>
          <w:szCs w:val="24"/>
        </w:rPr>
        <w:t>required to</w:t>
      </w:r>
      <w:r w:rsidRPr="00FD2F3E">
        <w:rPr>
          <w:sz w:val="24"/>
          <w:szCs w:val="24"/>
        </w:rPr>
        <w:t xml:space="preserve"> go beyond just passing the GED® exam. </w:t>
      </w:r>
      <w:r w:rsidR="00E45CD9" w:rsidRPr="00FD2F3E">
        <w:rPr>
          <w:sz w:val="24"/>
          <w:szCs w:val="24"/>
        </w:rPr>
        <w:t>The</w:t>
      </w:r>
      <w:r w:rsidRPr="00FD2F3E">
        <w:rPr>
          <w:sz w:val="24"/>
          <w:szCs w:val="24"/>
        </w:rPr>
        <w:t xml:space="preserve"> </w:t>
      </w:r>
      <w:r w:rsidR="00D80924" w:rsidRPr="00FD2F3E">
        <w:rPr>
          <w:sz w:val="24"/>
          <w:szCs w:val="24"/>
        </w:rPr>
        <w:t xml:space="preserve">Alabama </w:t>
      </w:r>
      <w:r w:rsidR="00E45CD9" w:rsidRPr="00FD2F3E">
        <w:rPr>
          <w:sz w:val="24"/>
          <w:szCs w:val="24"/>
        </w:rPr>
        <w:t xml:space="preserve">State Board has not formally adopted College and Career Readiness </w:t>
      </w:r>
      <w:r w:rsidR="00DF7B44" w:rsidRPr="00FD2F3E">
        <w:rPr>
          <w:sz w:val="24"/>
          <w:szCs w:val="24"/>
        </w:rPr>
        <w:t>standards;</w:t>
      </w:r>
      <w:r w:rsidR="00E45CD9" w:rsidRPr="00FD2F3E">
        <w:rPr>
          <w:sz w:val="24"/>
          <w:szCs w:val="24"/>
        </w:rPr>
        <w:t xml:space="preserve"> h</w:t>
      </w:r>
      <w:r w:rsidR="000C5271" w:rsidRPr="00FD2F3E">
        <w:rPr>
          <w:sz w:val="24"/>
          <w:szCs w:val="24"/>
        </w:rPr>
        <w:t>owever, the State B</w:t>
      </w:r>
      <w:r w:rsidR="0063243C" w:rsidRPr="00FD2F3E">
        <w:rPr>
          <w:sz w:val="24"/>
          <w:szCs w:val="24"/>
        </w:rPr>
        <w:t xml:space="preserve">oard has made a strong demand on </w:t>
      </w:r>
      <w:r w:rsidR="00C43670" w:rsidRPr="00FD2F3E">
        <w:rPr>
          <w:sz w:val="24"/>
          <w:szCs w:val="24"/>
        </w:rPr>
        <w:t xml:space="preserve">the </w:t>
      </w:r>
      <w:r w:rsidR="00E45CD9" w:rsidRPr="00FD2F3E">
        <w:rPr>
          <w:sz w:val="24"/>
          <w:szCs w:val="24"/>
        </w:rPr>
        <w:t>Alabama Department of Education</w:t>
      </w:r>
      <w:r w:rsidR="00DF7B44" w:rsidRPr="00FD2F3E">
        <w:rPr>
          <w:sz w:val="24"/>
          <w:szCs w:val="24"/>
        </w:rPr>
        <w:t xml:space="preserve"> to ensure secondary students are adequately prepared for postsecondary education</w:t>
      </w:r>
      <w:r w:rsidR="00E45CD9" w:rsidRPr="00FD2F3E">
        <w:rPr>
          <w:sz w:val="24"/>
          <w:szCs w:val="24"/>
        </w:rPr>
        <w:t>.</w:t>
      </w:r>
      <w:r w:rsidR="00DF7B44" w:rsidRPr="00FD2F3E">
        <w:rPr>
          <w:sz w:val="24"/>
          <w:szCs w:val="24"/>
        </w:rPr>
        <w:t xml:space="preserve">  </w:t>
      </w:r>
      <w:r w:rsidR="00E45CD9" w:rsidRPr="00FD2F3E">
        <w:rPr>
          <w:sz w:val="24"/>
          <w:szCs w:val="24"/>
        </w:rPr>
        <w:t xml:space="preserve">A </w:t>
      </w:r>
      <w:r w:rsidR="00D14325" w:rsidRPr="00FD2F3E">
        <w:rPr>
          <w:sz w:val="24"/>
          <w:szCs w:val="24"/>
        </w:rPr>
        <w:t xml:space="preserve">formal adoption of standard parameters should be articulated in Spring/Summer of 2015.  </w:t>
      </w:r>
      <w:r w:rsidR="000C384A" w:rsidRPr="00FD2F3E">
        <w:rPr>
          <w:sz w:val="24"/>
          <w:szCs w:val="24"/>
        </w:rPr>
        <w:t xml:space="preserve">The current standards </w:t>
      </w:r>
      <w:r w:rsidR="00D14325" w:rsidRPr="00FD2F3E">
        <w:rPr>
          <w:sz w:val="24"/>
          <w:szCs w:val="24"/>
        </w:rPr>
        <w:t xml:space="preserve">being modeled </w:t>
      </w:r>
      <w:r w:rsidR="00D5764B" w:rsidRPr="00FD2F3E">
        <w:rPr>
          <w:sz w:val="24"/>
          <w:szCs w:val="24"/>
        </w:rPr>
        <w:t xml:space="preserve">are the </w:t>
      </w:r>
      <w:r w:rsidR="00D14325" w:rsidRPr="00FD2F3E">
        <w:rPr>
          <w:sz w:val="24"/>
          <w:szCs w:val="24"/>
        </w:rPr>
        <w:t>College and Career Readiness</w:t>
      </w:r>
      <w:r w:rsidR="001E4282" w:rsidRPr="00FD2F3E">
        <w:rPr>
          <w:sz w:val="24"/>
          <w:szCs w:val="24"/>
        </w:rPr>
        <w:t xml:space="preserve"> (CCR)</w:t>
      </w:r>
      <w:r w:rsidR="00D14325" w:rsidRPr="00FD2F3E">
        <w:rPr>
          <w:sz w:val="24"/>
          <w:szCs w:val="24"/>
        </w:rPr>
        <w:t xml:space="preserve"> s</w:t>
      </w:r>
      <w:r w:rsidR="00AD52B0" w:rsidRPr="00FD2F3E">
        <w:rPr>
          <w:sz w:val="24"/>
          <w:szCs w:val="24"/>
        </w:rPr>
        <w:t xml:space="preserve">tandards </w:t>
      </w:r>
      <w:r w:rsidR="0063243C" w:rsidRPr="00FD2F3E">
        <w:rPr>
          <w:sz w:val="24"/>
          <w:szCs w:val="24"/>
        </w:rPr>
        <w:t xml:space="preserve">which </w:t>
      </w:r>
      <w:r w:rsidR="00AD52B0" w:rsidRPr="00FD2F3E">
        <w:rPr>
          <w:sz w:val="24"/>
          <w:szCs w:val="24"/>
        </w:rPr>
        <w:t>are fundamental to the preparation of students for pos</w:t>
      </w:r>
      <w:r w:rsidR="00A91CCD" w:rsidRPr="00FD2F3E">
        <w:rPr>
          <w:sz w:val="24"/>
          <w:szCs w:val="24"/>
        </w:rPr>
        <w:t xml:space="preserve">tsecondary education and employment opportunities.  Integration of these standards will provide the educational support to achieve a high school equivalency and be ready for postsecondary training without the need of remediation. </w:t>
      </w:r>
    </w:p>
    <w:p w:rsidR="005E47BA" w:rsidRPr="00FD2F3E" w:rsidRDefault="001E4282" w:rsidP="00EC6675">
      <w:pPr>
        <w:jc w:val="both"/>
        <w:rPr>
          <w:sz w:val="24"/>
          <w:szCs w:val="24"/>
        </w:rPr>
      </w:pPr>
      <w:r w:rsidRPr="00FD2F3E">
        <w:rPr>
          <w:sz w:val="24"/>
          <w:szCs w:val="24"/>
        </w:rPr>
        <w:t>In PY 2013-14</w:t>
      </w:r>
      <w:r w:rsidR="00757256" w:rsidRPr="00FD2F3E">
        <w:rPr>
          <w:sz w:val="24"/>
          <w:szCs w:val="24"/>
        </w:rPr>
        <w:t>,</w:t>
      </w:r>
      <w:r w:rsidRPr="00FD2F3E">
        <w:rPr>
          <w:sz w:val="24"/>
          <w:szCs w:val="24"/>
        </w:rPr>
        <w:t xml:space="preserve"> the professional development trainings</w:t>
      </w:r>
      <w:r w:rsidR="009F6309" w:rsidRPr="00FD2F3E">
        <w:rPr>
          <w:sz w:val="24"/>
          <w:szCs w:val="24"/>
        </w:rPr>
        <w:t xml:space="preserve"> supporting </w:t>
      </w:r>
      <w:r w:rsidRPr="00FD2F3E">
        <w:rPr>
          <w:sz w:val="24"/>
          <w:szCs w:val="24"/>
        </w:rPr>
        <w:t xml:space="preserve">CCR standards were </w:t>
      </w:r>
      <w:r w:rsidR="009F6309" w:rsidRPr="00FD2F3E">
        <w:rPr>
          <w:sz w:val="24"/>
          <w:szCs w:val="24"/>
        </w:rPr>
        <w:t>not systematic</w:t>
      </w:r>
      <w:r w:rsidRPr="00FD2F3E">
        <w:rPr>
          <w:sz w:val="24"/>
          <w:szCs w:val="24"/>
        </w:rPr>
        <w:t xml:space="preserve"> in their delivery</w:t>
      </w:r>
      <w:r w:rsidR="009F6309" w:rsidRPr="00FD2F3E">
        <w:rPr>
          <w:sz w:val="24"/>
          <w:szCs w:val="24"/>
        </w:rPr>
        <w:t xml:space="preserve"> </w:t>
      </w:r>
      <w:r w:rsidR="00757256" w:rsidRPr="00FD2F3E">
        <w:rPr>
          <w:sz w:val="24"/>
          <w:szCs w:val="24"/>
        </w:rPr>
        <w:t xml:space="preserve">nor were they </w:t>
      </w:r>
      <w:r w:rsidR="009F6309" w:rsidRPr="00FD2F3E">
        <w:rPr>
          <w:sz w:val="24"/>
          <w:szCs w:val="24"/>
        </w:rPr>
        <w:t>strategically lead at the state level</w:t>
      </w:r>
      <w:r w:rsidRPr="00FD2F3E">
        <w:rPr>
          <w:sz w:val="24"/>
          <w:szCs w:val="24"/>
        </w:rPr>
        <w:t xml:space="preserve">. </w:t>
      </w:r>
      <w:r w:rsidR="009F6309" w:rsidRPr="00FD2F3E">
        <w:rPr>
          <w:sz w:val="24"/>
          <w:szCs w:val="24"/>
        </w:rPr>
        <w:t>There were examples of standards training on a local, regio</w:t>
      </w:r>
      <w:r w:rsidR="00502296" w:rsidRPr="00FD2F3E">
        <w:rPr>
          <w:sz w:val="24"/>
          <w:szCs w:val="24"/>
        </w:rPr>
        <w:t xml:space="preserve">nal, and state level but not significant enough to </w:t>
      </w:r>
      <w:r w:rsidR="009F6309" w:rsidRPr="00FD2F3E">
        <w:rPr>
          <w:sz w:val="24"/>
          <w:szCs w:val="24"/>
        </w:rPr>
        <w:t xml:space="preserve">bring about systemic change.  </w:t>
      </w:r>
      <w:r w:rsidR="00A91CCD" w:rsidRPr="00FD2F3E">
        <w:rPr>
          <w:sz w:val="24"/>
          <w:szCs w:val="24"/>
        </w:rPr>
        <w:t xml:space="preserve">Alabama </w:t>
      </w:r>
      <w:r w:rsidRPr="00FD2F3E">
        <w:rPr>
          <w:sz w:val="24"/>
          <w:szCs w:val="24"/>
        </w:rPr>
        <w:t xml:space="preserve">Adult Education </w:t>
      </w:r>
      <w:r w:rsidR="009F6309" w:rsidRPr="00FD2F3E">
        <w:rPr>
          <w:sz w:val="24"/>
          <w:szCs w:val="24"/>
        </w:rPr>
        <w:t xml:space="preserve">is in the process of creating </w:t>
      </w:r>
      <w:r w:rsidR="00502296" w:rsidRPr="00FD2F3E">
        <w:rPr>
          <w:sz w:val="24"/>
          <w:szCs w:val="24"/>
        </w:rPr>
        <w:t xml:space="preserve">a system wide </w:t>
      </w:r>
      <w:r w:rsidR="009F6309" w:rsidRPr="00FD2F3E">
        <w:rPr>
          <w:sz w:val="24"/>
          <w:szCs w:val="24"/>
        </w:rPr>
        <w:t>standards based</w:t>
      </w:r>
      <w:r w:rsidR="00A91CCD" w:rsidRPr="00FD2F3E">
        <w:rPr>
          <w:sz w:val="24"/>
          <w:szCs w:val="24"/>
        </w:rPr>
        <w:t xml:space="preserve"> professio</w:t>
      </w:r>
      <w:r w:rsidR="009F6309" w:rsidRPr="00FD2F3E">
        <w:rPr>
          <w:sz w:val="24"/>
          <w:szCs w:val="24"/>
        </w:rPr>
        <w:t xml:space="preserve">nal development training </w:t>
      </w:r>
      <w:r w:rsidR="00A91CCD" w:rsidRPr="00FD2F3E">
        <w:rPr>
          <w:sz w:val="24"/>
          <w:szCs w:val="24"/>
        </w:rPr>
        <w:t xml:space="preserve">to </w:t>
      </w:r>
      <w:r w:rsidR="009F6309" w:rsidRPr="00FD2F3E">
        <w:rPr>
          <w:sz w:val="24"/>
          <w:szCs w:val="24"/>
        </w:rPr>
        <w:t xml:space="preserve">ensure all teachers understand the College and Career Readiness standards and </w:t>
      </w:r>
      <w:r w:rsidR="00502296" w:rsidRPr="00FD2F3E">
        <w:rPr>
          <w:sz w:val="24"/>
          <w:szCs w:val="24"/>
        </w:rPr>
        <w:t xml:space="preserve">the innovative instructional approaches for </w:t>
      </w:r>
      <w:r w:rsidR="00A91CCD" w:rsidRPr="00FD2F3E">
        <w:rPr>
          <w:sz w:val="24"/>
          <w:szCs w:val="24"/>
        </w:rPr>
        <w:t>t</w:t>
      </w:r>
      <w:r w:rsidR="00347539" w:rsidRPr="00FD2F3E">
        <w:rPr>
          <w:sz w:val="24"/>
          <w:szCs w:val="24"/>
        </w:rPr>
        <w:t>eac</w:t>
      </w:r>
      <w:r w:rsidR="00502296" w:rsidRPr="00FD2F3E">
        <w:rPr>
          <w:sz w:val="24"/>
          <w:szCs w:val="24"/>
        </w:rPr>
        <w:t>hing</w:t>
      </w:r>
      <w:r w:rsidR="00280567" w:rsidRPr="00FD2F3E">
        <w:rPr>
          <w:sz w:val="24"/>
          <w:szCs w:val="24"/>
        </w:rPr>
        <w:t xml:space="preserve"> to the standards.  Alabama Adult Education</w:t>
      </w:r>
      <w:r w:rsidR="009F6309" w:rsidRPr="00FD2F3E">
        <w:rPr>
          <w:sz w:val="24"/>
          <w:szCs w:val="24"/>
        </w:rPr>
        <w:t xml:space="preserve"> is in discussions with the National Center for Family Learning (NCFL) concerning the</w:t>
      </w:r>
      <w:r w:rsidR="00BE4276" w:rsidRPr="00FD2F3E">
        <w:rPr>
          <w:sz w:val="24"/>
          <w:szCs w:val="24"/>
        </w:rPr>
        <w:t>ir</w:t>
      </w:r>
      <w:r w:rsidR="009F6309" w:rsidRPr="00FD2F3E">
        <w:rPr>
          <w:sz w:val="24"/>
          <w:szCs w:val="24"/>
        </w:rPr>
        <w:t xml:space="preserve"> facilitated online standards courses </w:t>
      </w:r>
      <w:r w:rsidR="00BE4276" w:rsidRPr="00FD2F3E">
        <w:rPr>
          <w:sz w:val="24"/>
          <w:szCs w:val="24"/>
        </w:rPr>
        <w:t xml:space="preserve">and their experience with the CCR standards.  The courses that have been </w:t>
      </w:r>
      <w:r w:rsidR="009F6309" w:rsidRPr="00FD2F3E">
        <w:rPr>
          <w:sz w:val="24"/>
          <w:szCs w:val="24"/>
        </w:rPr>
        <w:t xml:space="preserve">developed and administered </w:t>
      </w:r>
      <w:r w:rsidR="00347539" w:rsidRPr="00FD2F3E">
        <w:rPr>
          <w:sz w:val="24"/>
          <w:szCs w:val="24"/>
        </w:rPr>
        <w:t xml:space="preserve">initially </w:t>
      </w:r>
      <w:r w:rsidR="00BE4276" w:rsidRPr="00FD2F3E">
        <w:rPr>
          <w:sz w:val="24"/>
          <w:szCs w:val="24"/>
        </w:rPr>
        <w:t>to</w:t>
      </w:r>
      <w:r w:rsidR="009F6309" w:rsidRPr="00FD2F3E">
        <w:rPr>
          <w:sz w:val="24"/>
          <w:szCs w:val="24"/>
        </w:rPr>
        <w:t xml:space="preserve"> </w:t>
      </w:r>
      <w:r w:rsidR="00280567" w:rsidRPr="00FD2F3E">
        <w:rPr>
          <w:sz w:val="24"/>
          <w:szCs w:val="24"/>
        </w:rPr>
        <w:t xml:space="preserve">teachers in the </w:t>
      </w:r>
      <w:r w:rsidR="00347539" w:rsidRPr="00FD2F3E">
        <w:rPr>
          <w:sz w:val="24"/>
          <w:szCs w:val="24"/>
        </w:rPr>
        <w:t>state of Kentucky</w:t>
      </w:r>
      <w:r w:rsidR="00BE4276" w:rsidRPr="00FD2F3E">
        <w:rPr>
          <w:sz w:val="24"/>
          <w:szCs w:val="24"/>
        </w:rPr>
        <w:t xml:space="preserve"> can easily be a</w:t>
      </w:r>
      <w:r w:rsidR="005C0370" w:rsidRPr="00FD2F3E">
        <w:rPr>
          <w:sz w:val="24"/>
          <w:szCs w:val="24"/>
        </w:rPr>
        <w:t xml:space="preserve">dapted for use in other states. </w:t>
      </w:r>
      <w:r w:rsidR="0073404A" w:rsidRPr="00FD2F3E">
        <w:rPr>
          <w:sz w:val="24"/>
          <w:szCs w:val="24"/>
        </w:rPr>
        <w:t xml:space="preserve">Accessing professional development and </w:t>
      </w:r>
      <w:r w:rsidR="00A8799C" w:rsidRPr="00FD2F3E">
        <w:rPr>
          <w:sz w:val="24"/>
          <w:szCs w:val="24"/>
        </w:rPr>
        <w:t>resources from</w:t>
      </w:r>
      <w:r w:rsidR="009F6309" w:rsidRPr="00FD2F3E">
        <w:rPr>
          <w:sz w:val="24"/>
          <w:szCs w:val="24"/>
        </w:rPr>
        <w:t xml:space="preserve"> the</w:t>
      </w:r>
      <w:r w:rsidR="00A8799C" w:rsidRPr="00FD2F3E">
        <w:rPr>
          <w:sz w:val="24"/>
          <w:szCs w:val="24"/>
        </w:rPr>
        <w:t xml:space="preserve"> </w:t>
      </w:r>
      <w:r w:rsidR="0073404A" w:rsidRPr="00FD2F3E">
        <w:rPr>
          <w:sz w:val="24"/>
          <w:szCs w:val="24"/>
        </w:rPr>
        <w:t xml:space="preserve">Literacy Information and </w:t>
      </w:r>
      <w:r w:rsidR="0073404A" w:rsidRPr="00FD2F3E">
        <w:rPr>
          <w:sz w:val="24"/>
          <w:szCs w:val="24"/>
        </w:rPr>
        <w:lastRenderedPageBreak/>
        <w:t xml:space="preserve">Communications System (LINCS) is and will continue to be a </w:t>
      </w:r>
      <w:r w:rsidR="00F45A91" w:rsidRPr="00FD2F3E">
        <w:rPr>
          <w:sz w:val="24"/>
          <w:szCs w:val="24"/>
        </w:rPr>
        <w:t>fundamental</w:t>
      </w:r>
      <w:r w:rsidR="00E241E9" w:rsidRPr="00FD2F3E">
        <w:rPr>
          <w:sz w:val="24"/>
          <w:szCs w:val="24"/>
        </w:rPr>
        <w:t xml:space="preserve"> part of </w:t>
      </w:r>
      <w:r w:rsidR="00A8799C" w:rsidRPr="00FD2F3E">
        <w:rPr>
          <w:sz w:val="24"/>
          <w:szCs w:val="24"/>
        </w:rPr>
        <w:t>preparing instructors.</w:t>
      </w:r>
      <w:r w:rsidR="0073404A" w:rsidRPr="00FD2F3E">
        <w:rPr>
          <w:sz w:val="24"/>
          <w:szCs w:val="24"/>
        </w:rPr>
        <w:t xml:space="preserve"> </w:t>
      </w:r>
      <w:r w:rsidR="00A8799C" w:rsidRPr="00FD2F3E">
        <w:rPr>
          <w:sz w:val="24"/>
          <w:szCs w:val="24"/>
        </w:rPr>
        <w:t xml:space="preserve"> Creating a multi-faceted approach to professional development trainings </w:t>
      </w:r>
      <w:r w:rsidR="00BE4276" w:rsidRPr="00FD2F3E">
        <w:rPr>
          <w:sz w:val="24"/>
          <w:szCs w:val="24"/>
        </w:rPr>
        <w:t xml:space="preserve">which would include face to face, </w:t>
      </w:r>
      <w:r w:rsidR="00A8799C" w:rsidRPr="00FD2F3E">
        <w:rPr>
          <w:sz w:val="24"/>
          <w:szCs w:val="24"/>
        </w:rPr>
        <w:t>facilitated on-line professional development</w:t>
      </w:r>
      <w:r w:rsidR="00BE4276" w:rsidRPr="00FD2F3E">
        <w:rPr>
          <w:sz w:val="24"/>
          <w:szCs w:val="24"/>
        </w:rPr>
        <w:t>, and a hybrid model</w:t>
      </w:r>
      <w:r w:rsidR="00A8799C" w:rsidRPr="00FD2F3E">
        <w:rPr>
          <w:sz w:val="24"/>
          <w:szCs w:val="24"/>
        </w:rPr>
        <w:t xml:space="preserve"> will allow the state to meet the needs of part-time and fulltime staff</w:t>
      </w:r>
      <w:r w:rsidR="009160F4" w:rsidRPr="00FD2F3E">
        <w:rPr>
          <w:sz w:val="24"/>
          <w:szCs w:val="24"/>
        </w:rPr>
        <w:t xml:space="preserve"> alike</w:t>
      </w:r>
      <w:r w:rsidR="00A8799C" w:rsidRPr="00FD2F3E">
        <w:rPr>
          <w:sz w:val="24"/>
          <w:szCs w:val="24"/>
        </w:rPr>
        <w:t>.</w:t>
      </w:r>
      <w:r w:rsidR="00502296" w:rsidRPr="00FD2F3E">
        <w:rPr>
          <w:sz w:val="24"/>
          <w:szCs w:val="24"/>
        </w:rPr>
        <w:t xml:space="preserve">  N</w:t>
      </w:r>
      <w:r w:rsidR="005E47BA" w:rsidRPr="00FD2F3E">
        <w:rPr>
          <w:sz w:val="24"/>
          <w:szCs w:val="24"/>
        </w:rPr>
        <w:t xml:space="preserve">ew </w:t>
      </w:r>
      <w:r w:rsidR="00295211" w:rsidRPr="00FD2F3E">
        <w:rPr>
          <w:sz w:val="24"/>
          <w:szCs w:val="24"/>
        </w:rPr>
        <w:t>offerin</w:t>
      </w:r>
      <w:r w:rsidR="005E47BA" w:rsidRPr="00FD2F3E">
        <w:rPr>
          <w:sz w:val="24"/>
          <w:szCs w:val="24"/>
        </w:rPr>
        <w:t xml:space="preserve">gs beginning after January 1, 2015 </w:t>
      </w:r>
      <w:r w:rsidR="00BE4276" w:rsidRPr="00FD2F3E">
        <w:rPr>
          <w:sz w:val="24"/>
          <w:szCs w:val="24"/>
        </w:rPr>
        <w:t xml:space="preserve">will </w:t>
      </w:r>
      <w:r w:rsidR="00502296" w:rsidRPr="00FD2F3E">
        <w:rPr>
          <w:sz w:val="24"/>
          <w:szCs w:val="24"/>
        </w:rPr>
        <w:t xml:space="preserve">enhance </w:t>
      </w:r>
      <w:r w:rsidR="00BE4276" w:rsidRPr="00FD2F3E">
        <w:rPr>
          <w:sz w:val="24"/>
          <w:szCs w:val="24"/>
        </w:rPr>
        <w:t xml:space="preserve">the professional development </w:t>
      </w:r>
      <w:r w:rsidR="00502296" w:rsidRPr="00FD2F3E">
        <w:rPr>
          <w:sz w:val="24"/>
          <w:szCs w:val="24"/>
        </w:rPr>
        <w:t>offerings up to this point</w:t>
      </w:r>
      <w:r w:rsidR="0044718F" w:rsidRPr="00FD2F3E">
        <w:rPr>
          <w:sz w:val="24"/>
          <w:szCs w:val="24"/>
        </w:rPr>
        <w:t xml:space="preserve"> </w:t>
      </w:r>
    </w:p>
    <w:p w:rsidR="00E91AE9" w:rsidRPr="00FD2F3E" w:rsidRDefault="0044718F" w:rsidP="00EC6675">
      <w:pPr>
        <w:jc w:val="both"/>
        <w:rPr>
          <w:sz w:val="24"/>
          <w:szCs w:val="24"/>
        </w:rPr>
      </w:pPr>
      <w:r w:rsidRPr="00FD2F3E">
        <w:rPr>
          <w:sz w:val="24"/>
          <w:szCs w:val="24"/>
        </w:rPr>
        <w:t xml:space="preserve">The </w:t>
      </w:r>
      <w:r w:rsidR="001D224A" w:rsidRPr="00FD2F3E">
        <w:rPr>
          <w:sz w:val="24"/>
          <w:szCs w:val="24"/>
        </w:rPr>
        <w:t xml:space="preserve">Alabama Adult Education </w:t>
      </w:r>
      <w:r w:rsidRPr="00FD2F3E">
        <w:rPr>
          <w:sz w:val="24"/>
          <w:szCs w:val="24"/>
        </w:rPr>
        <w:t>Summer Conference (scheduled in July) will be used to introduce new initiatives for the coming year</w:t>
      </w:r>
      <w:r w:rsidR="00DF7665" w:rsidRPr="00FD2F3E">
        <w:rPr>
          <w:sz w:val="24"/>
          <w:szCs w:val="24"/>
        </w:rPr>
        <w:t xml:space="preserve"> and lay the foundation for continuous improvement in all facets of instruction and administrative requir</w:t>
      </w:r>
      <w:r w:rsidR="005706B4" w:rsidRPr="00FD2F3E">
        <w:rPr>
          <w:sz w:val="24"/>
          <w:szCs w:val="24"/>
        </w:rPr>
        <w:t>e</w:t>
      </w:r>
      <w:r w:rsidR="00DF7665" w:rsidRPr="00FD2F3E">
        <w:rPr>
          <w:sz w:val="24"/>
          <w:szCs w:val="24"/>
        </w:rPr>
        <w:t>ments.</w:t>
      </w:r>
      <w:r w:rsidR="001D224A" w:rsidRPr="00FD2F3E">
        <w:rPr>
          <w:sz w:val="24"/>
          <w:szCs w:val="24"/>
        </w:rPr>
        <w:t xml:space="preserve">  The focus will be on innovative instru</w:t>
      </w:r>
      <w:r w:rsidR="00D14325" w:rsidRPr="00FD2F3E">
        <w:rPr>
          <w:sz w:val="24"/>
          <w:szCs w:val="24"/>
        </w:rPr>
        <w:t>ction</w:t>
      </w:r>
      <w:r w:rsidR="00757256" w:rsidRPr="00FD2F3E">
        <w:rPr>
          <w:sz w:val="24"/>
          <w:szCs w:val="24"/>
        </w:rPr>
        <w:t xml:space="preserve">al practices that teach beyond </w:t>
      </w:r>
      <w:r w:rsidR="00D14325" w:rsidRPr="00FD2F3E">
        <w:rPr>
          <w:sz w:val="24"/>
          <w:szCs w:val="24"/>
        </w:rPr>
        <w:t xml:space="preserve">high school equivalency </w:t>
      </w:r>
      <w:r w:rsidR="00757256" w:rsidRPr="00FD2F3E">
        <w:rPr>
          <w:sz w:val="24"/>
          <w:szCs w:val="24"/>
        </w:rPr>
        <w:t xml:space="preserve">to include </w:t>
      </w:r>
      <w:r w:rsidR="00D14325" w:rsidRPr="00FD2F3E">
        <w:rPr>
          <w:sz w:val="24"/>
          <w:szCs w:val="24"/>
        </w:rPr>
        <w:t>the skills nee</w:t>
      </w:r>
      <w:r w:rsidR="00BE4276" w:rsidRPr="00FD2F3E">
        <w:rPr>
          <w:sz w:val="24"/>
          <w:szCs w:val="24"/>
        </w:rPr>
        <w:t xml:space="preserve">ded to be successful in postsecondary </w:t>
      </w:r>
      <w:r w:rsidR="00D14325" w:rsidRPr="00FD2F3E">
        <w:rPr>
          <w:sz w:val="24"/>
          <w:szCs w:val="24"/>
        </w:rPr>
        <w:t>education, training, and job opportunities.</w:t>
      </w:r>
      <w:r w:rsidR="00FE7B6B" w:rsidRPr="00FD2F3E">
        <w:rPr>
          <w:sz w:val="24"/>
          <w:szCs w:val="24"/>
        </w:rPr>
        <w:t xml:space="preserve">  </w:t>
      </w:r>
    </w:p>
    <w:p w:rsidR="00E86870" w:rsidRPr="00FD2F3E" w:rsidRDefault="00263C28" w:rsidP="00EC6675">
      <w:pPr>
        <w:jc w:val="both"/>
        <w:rPr>
          <w:sz w:val="24"/>
          <w:szCs w:val="24"/>
        </w:rPr>
      </w:pPr>
      <w:r w:rsidRPr="00FD2F3E">
        <w:rPr>
          <w:sz w:val="24"/>
          <w:szCs w:val="24"/>
        </w:rPr>
        <w:t xml:space="preserve">Another exciting initiative that incorporates standards and innovative instructional strategies </w:t>
      </w:r>
      <w:r w:rsidR="00BE4276" w:rsidRPr="00FD2F3E">
        <w:rPr>
          <w:sz w:val="24"/>
          <w:szCs w:val="24"/>
        </w:rPr>
        <w:t xml:space="preserve">is </w:t>
      </w:r>
      <w:r w:rsidRPr="00FD2F3E">
        <w:rPr>
          <w:sz w:val="24"/>
          <w:szCs w:val="24"/>
        </w:rPr>
        <w:t>the Integrated Education and Training</w:t>
      </w:r>
      <w:r w:rsidR="004A2A7C" w:rsidRPr="00FD2F3E">
        <w:rPr>
          <w:sz w:val="24"/>
          <w:szCs w:val="24"/>
        </w:rPr>
        <w:t xml:space="preserve"> (IET) Career Pathway</w:t>
      </w:r>
      <w:r w:rsidRPr="00FD2F3E">
        <w:rPr>
          <w:sz w:val="24"/>
          <w:szCs w:val="24"/>
        </w:rPr>
        <w:t xml:space="preserve"> models</w:t>
      </w:r>
      <w:r w:rsidR="004A2A7C" w:rsidRPr="00FD2F3E">
        <w:rPr>
          <w:sz w:val="24"/>
          <w:szCs w:val="24"/>
        </w:rPr>
        <w:t xml:space="preserve">.  </w:t>
      </w:r>
      <w:r w:rsidR="00E86870" w:rsidRPr="00FD2F3E">
        <w:rPr>
          <w:sz w:val="24"/>
          <w:szCs w:val="24"/>
        </w:rPr>
        <w:t>The state is cur</w:t>
      </w:r>
      <w:r w:rsidRPr="00FD2F3E">
        <w:rPr>
          <w:sz w:val="24"/>
          <w:szCs w:val="24"/>
        </w:rPr>
        <w:t xml:space="preserve">rently examining different </w:t>
      </w:r>
      <w:r w:rsidR="00642992" w:rsidRPr="00FD2F3E">
        <w:rPr>
          <w:sz w:val="24"/>
          <w:szCs w:val="24"/>
        </w:rPr>
        <w:t>approaches to IET</w:t>
      </w:r>
      <w:r w:rsidR="00E86870" w:rsidRPr="00FD2F3E">
        <w:rPr>
          <w:sz w:val="24"/>
          <w:szCs w:val="24"/>
        </w:rPr>
        <w:t xml:space="preserve"> and will be implementing a statewide approach in the near future.  Utilizing an approach which provides adult education and literacy activities concurrently and contextually with workforce preparation activities and workforce training is the effective way to serve the adult population.  The training must be specific to occupations or clusters that assist adults in attaining or advancing in a career and the educational supports must be there to ensure achievement.  Criteria must be established so that </w:t>
      </w:r>
      <w:r w:rsidR="006F37F5" w:rsidRPr="00FD2F3E">
        <w:rPr>
          <w:sz w:val="24"/>
          <w:szCs w:val="24"/>
        </w:rPr>
        <w:t xml:space="preserve">basic </w:t>
      </w:r>
      <w:r w:rsidR="005E47BA" w:rsidRPr="00FD2F3E">
        <w:rPr>
          <w:sz w:val="24"/>
          <w:szCs w:val="24"/>
        </w:rPr>
        <w:t xml:space="preserve">academic </w:t>
      </w:r>
      <w:r w:rsidR="006F37F5" w:rsidRPr="00FD2F3E">
        <w:rPr>
          <w:sz w:val="24"/>
          <w:szCs w:val="24"/>
        </w:rPr>
        <w:t>skills instruction is sufficiently addressed within the IET model.</w:t>
      </w:r>
      <w:r w:rsidR="005E47BA" w:rsidRPr="00FD2F3E">
        <w:rPr>
          <w:sz w:val="24"/>
          <w:szCs w:val="24"/>
        </w:rPr>
        <w:t xml:space="preserve">  The academic basic skills piece must be fully integrated and contextualized into the curriculum</w:t>
      </w:r>
      <w:r w:rsidR="004A2A7C" w:rsidRPr="00FD2F3E">
        <w:rPr>
          <w:sz w:val="24"/>
          <w:szCs w:val="24"/>
        </w:rPr>
        <w:t xml:space="preserve"> so that it is embedded in</w:t>
      </w:r>
      <w:r w:rsidR="005E47BA" w:rsidRPr="00FD2F3E">
        <w:rPr>
          <w:sz w:val="24"/>
          <w:szCs w:val="24"/>
        </w:rPr>
        <w:t xml:space="preserve"> the workforce preparation and skills training.</w:t>
      </w:r>
      <w:r w:rsidR="006F37F5" w:rsidRPr="00FD2F3E">
        <w:rPr>
          <w:sz w:val="24"/>
          <w:szCs w:val="24"/>
        </w:rPr>
        <w:t xml:space="preserve">  </w:t>
      </w:r>
    </w:p>
    <w:p w:rsidR="001E4282" w:rsidRPr="00FD2F3E" w:rsidRDefault="009F6309" w:rsidP="00EC6675">
      <w:pPr>
        <w:jc w:val="both"/>
        <w:rPr>
          <w:sz w:val="24"/>
          <w:szCs w:val="24"/>
        </w:rPr>
      </w:pPr>
      <w:r w:rsidRPr="00FD2F3E">
        <w:rPr>
          <w:sz w:val="24"/>
          <w:szCs w:val="24"/>
        </w:rPr>
        <w:t xml:space="preserve"> </w:t>
      </w:r>
      <w:r w:rsidR="00757256" w:rsidRPr="00FD2F3E">
        <w:rPr>
          <w:sz w:val="24"/>
          <w:szCs w:val="24"/>
        </w:rPr>
        <w:t>Training on the 2014 GED® was provided at the</w:t>
      </w:r>
      <w:r w:rsidRPr="00FD2F3E">
        <w:rPr>
          <w:sz w:val="24"/>
          <w:szCs w:val="24"/>
        </w:rPr>
        <w:t xml:space="preserve"> local, regional, and statewide </w:t>
      </w:r>
      <w:r w:rsidR="00757256" w:rsidRPr="00FD2F3E">
        <w:rPr>
          <w:sz w:val="24"/>
          <w:szCs w:val="24"/>
        </w:rPr>
        <w:t>levels</w:t>
      </w:r>
      <w:r w:rsidRPr="00FD2F3E">
        <w:rPr>
          <w:sz w:val="24"/>
          <w:szCs w:val="24"/>
        </w:rPr>
        <w:t xml:space="preserve"> for</w:t>
      </w:r>
      <w:r w:rsidR="00757256" w:rsidRPr="00FD2F3E">
        <w:rPr>
          <w:sz w:val="24"/>
          <w:szCs w:val="24"/>
        </w:rPr>
        <w:t xml:space="preserve"> all adult education teachers</w:t>
      </w:r>
      <w:r w:rsidRPr="00FD2F3E">
        <w:rPr>
          <w:sz w:val="24"/>
          <w:szCs w:val="24"/>
        </w:rPr>
        <w:t xml:space="preserve"> and administrators.  Also, a curriculum committee composed of adult education directors and staff was established to review instructional software and textbooks that are aligned with CCR standards.</w:t>
      </w:r>
      <w:r w:rsidR="00757256" w:rsidRPr="00FD2F3E">
        <w:rPr>
          <w:sz w:val="24"/>
          <w:szCs w:val="24"/>
        </w:rPr>
        <w:t xml:space="preserve">  Programs are selecting online software and text curriculum that is aligned to the 2014 GED® test and beyond. </w:t>
      </w:r>
      <w:r w:rsidRPr="00FD2F3E">
        <w:rPr>
          <w:sz w:val="24"/>
          <w:szCs w:val="24"/>
        </w:rPr>
        <w:t xml:space="preserve">  </w:t>
      </w:r>
      <w:r w:rsidR="001E4282" w:rsidRPr="00FD2F3E">
        <w:rPr>
          <w:sz w:val="24"/>
          <w:szCs w:val="24"/>
        </w:rPr>
        <w:t xml:space="preserve">  </w:t>
      </w:r>
    </w:p>
    <w:p w:rsidR="00E71D3D" w:rsidRPr="00FD2F3E" w:rsidRDefault="00E71D3D" w:rsidP="00EC6675">
      <w:pPr>
        <w:jc w:val="both"/>
        <w:rPr>
          <w:sz w:val="24"/>
          <w:szCs w:val="24"/>
        </w:rPr>
      </w:pPr>
      <w:r w:rsidRPr="00FD2F3E">
        <w:rPr>
          <w:sz w:val="24"/>
          <w:szCs w:val="24"/>
        </w:rPr>
        <w:t xml:space="preserve">State leadership funds will be used in the development, coordination, and dissemination of </w:t>
      </w:r>
      <w:r w:rsidR="007346BC" w:rsidRPr="00FD2F3E">
        <w:rPr>
          <w:sz w:val="24"/>
          <w:szCs w:val="24"/>
        </w:rPr>
        <w:t xml:space="preserve">training and </w:t>
      </w:r>
      <w:r w:rsidRPr="00FD2F3E">
        <w:rPr>
          <w:sz w:val="24"/>
          <w:szCs w:val="24"/>
        </w:rPr>
        <w:t>resources for implementation of college and</w:t>
      </w:r>
      <w:r w:rsidR="007346BC" w:rsidRPr="00FD2F3E">
        <w:rPr>
          <w:sz w:val="24"/>
          <w:szCs w:val="24"/>
        </w:rPr>
        <w:t xml:space="preserve"> career readiness standards within </w:t>
      </w:r>
      <w:r w:rsidRPr="00FD2F3E">
        <w:rPr>
          <w:sz w:val="24"/>
          <w:szCs w:val="24"/>
        </w:rPr>
        <w:t xml:space="preserve">innovative </w:t>
      </w:r>
      <w:r w:rsidR="007346BC" w:rsidRPr="00FD2F3E">
        <w:rPr>
          <w:sz w:val="24"/>
          <w:szCs w:val="24"/>
        </w:rPr>
        <w:t>educational approaches</w:t>
      </w:r>
      <w:r w:rsidR="00FE7B6B" w:rsidRPr="00FD2F3E">
        <w:rPr>
          <w:sz w:val="24"/>
          <w:szCs w:val="24"/>
        </w:rPr>
        <w:t xml:space="preserve"> as described above</w:t>
      </w:r>
      <w:r w:rsidR="007346BC" w:rsidRPr="00FD2F3E">
        <w:rPr>
          <w:sz w:val="24"/>
          <w:szCs w:val="24"/>
        </w:rPr>
        <w:t xml:space="preserve">.   </w:t>
      </w:r>
      <w:r w:rsidRPr="00FD2F3E">
        <w:rPr>
          <w:sz w:val="24"/>
          <w:szCs w:val="24"/>
        </w:rPr>
        <w:t xml:space="preserve"> </w:t>
      </w:r>
    </w:p>
    <w:sectPr w:rsidR="00E71D3D" w:rsidRPr="00FD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0470A"/>
    <w:multiLevelType w:val="hybridMultilevel"/>
    <w:tmpl w:val="26E483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E25BA8"/>
    <w:multiLevelType w:val="hybridMultilevel"/>
    <w:tmpl w:val="16A05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C65F66"/>
    <w:multiLevelType w:val="hybridMultilevel"/>
    <w:tmpl w:val="10EA1E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D0239"/>
    <w:multiLevelType w:val="hybridMultilevel"/>
    <w:tmpl w:val="7CBA505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F24C81"/>
    <w:multiLevelType w:val="hybridMultilevel"/>
    <w:tmpl w:val="7D5487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844328"/>
    <w:multiLevelType w:val="hybridMultilevel"/>
    <w:tmpl w:val="EB42D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E69A4"/>
    <w:multiLevelType w:val="hybridMultilevel"/>
    <w:tmpl w:val="25EC3A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944B19"/>
    <w:multiLevelType w:val="hybridMultilevel"/>
    <w:tmpl w:val="0A107FA2"/>
    <w:lvl w:ilvl="0" w:tplc="856883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720F64"/>
    <w:multiLevelType w:val="hybridMultilevel"/>
    <w:tmpl w:val="EC5C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60FEE"/>
    <w:multiLevelType w:val="hybridMultilevel"/>
    <w:tmpl w:val="7E5296BA"/>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
  </w:num>
  <w:num w:numId="4">
    <w:abstractNumId w:val="4"/>
  </w:num>
  <w:num w:numId="5">
    <w:abstractNumId w:val="0"/>
  </w:num>
  <w:num w:numId="6">
    <w:abstractNumId w:val="6"/>
  </w:num>
  <w:num w:numId="7">
    <w:abstractNumId w:val="3"/>
  </w:num>
  <w:num w:numId="8">
    <w:abstractNumId w:val="5"/>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6D"/>
    <w:rsid w:val="00001810"/>
    <w:rsid w:val="000022A8"/>
    <w:rsid w:val="00025C5C"/>
    <w:rsid w:val="00057E7B"/>
    <w:rsid w:val="00070C8A"/>
    <w:rsid w:val="000718AF"/>
    <w:rsid w:val="000749C4"/>
    <w:rsid w:val="000C384A"/>
    <w:rsid w:val="000C5271"/>
    <w:rsid w:val="000E1807"/>
    <w:rsid w:val="000E6A72"/>
    <w:rsid w:val="000F7A7B"/>
    <w:rsid w:val="0010346A"/>
    <w:rsid w:val="001200DE"/>
    <w:rsid w:val="00133888"/>
    <w:rsid w:val="00153DFA"/>
    <w:rsid w:val="00180C1E"/>
    <w:rsid w:val="00185CE2"/>
    <w:rsid w:val="00190679"/>
    <w:rsid w:val="00197E95"/>
    <w:rsid w:val="001A5812"/>
    <w:rsid w:val="001A6D20"/>
    <w:rsid w:val="001B4A02"/>
    <w:rsid w:val="001D0D62"/>
    <w:rsid w:val="001D224A"/>
    <w:rsid w:val="001E01C1"/>
    <w:rsid w:val="001E3BCC"/>
    <w:rsid w:val="001E4282"/>
    <w:rsid w:val="001F1A78"/>
    <w:rsid w:val="001F74C5"/>
    <w:rsid w:val="0020250A"/>
    <w:rsid w:val="00214714"/>
    <w:rsid w:val="0022316D"/>
    <w:rsid w:val="00242C57"/>
    <w:rsid w:val="00253F04"/>
    <w:rsid w:val="00263C28"/>
    <w:rsid w:val="00266CA3"/>
    <w:rsid w:val="00280567"/>
    <w:rsid w:val="00295211"/>
    <w:rsid w:val="002B44E2"/>
    <w:rsid w:val="002B52D1"/>
    <w:rsid w:val="002B56C0"/>
    <w:rsid w:val="002C10D3"/>
    <w:rsid w:val="0033143E"/>
    <w:rsid w:val="003408F3"/>
    <w:rsid w:val="00341729"/>
    <w:rsid w:val="0034676C"/>
    <w:rsid w:val="00347539"/>
    <w:rsid w:val="0036681E"/>
    <w:rsid w:val="003721BE"/>
    <w:rsid w:val="003912CC"/>
    <w:rsid w:val="004167DA"/>
    <w:rsid w:val="0044718F"/>
    <w:rsid w:val="00463725"/>
    <w:rsid w:val="00471D12"/>
    <w:rsid w:val="0047302E"/>
    <w:rsid w:val="0047561B"/>
    <w:rsid w:val="00475BBE"/>
    <w:rsid w:val="004A2A7C"/>
    <w:rsid w:val="004A44ED"/>
    <w:rsid w:val="004C7144"/>
    <w:rsid w:val="004F158A"/>
    <w:rsid w:val="004F172B"/>
    <w:rsid w:val="004F4DAB"/>
    <w:rsid w:val="00502296"/>
    <w:rsid w:val="005232F2"/>
    <w:rsid w:val="0053728E"/>
    <w:rsid w:val="005706B4"/>
    <w:rsid w:val="00590988"/>
    <w:rsid w:val="005B6E44"/>
    <w:rsid w:val="005C0370"/>
    <w:rsid w:val="005E47BA"/>
    <w:rsid w:val="005E62F1"/>
    <w:rsid w:val="005E7361"/>
    <w:rsid w:val="00601B5E"/>
    <w:rsid w:val="00614A7B"/>
    <w:rsid w:val="006162E9"/>
    <w:rsid w:val="00621C02"/>
    <w:rsid w:val="00622FC4"/>
    <w:rsid w:val="006318DB"/>
    <w:rsid w:val="0063243C"/>
    <w:rsid w:val="00642483"/>
    <w:rsid w:val="00642992"/>
    <w:rsid w:val="006439AB"/>
    <w:rsid w:val="00650E8D"/>
    <w:rsid w:val="00653D32"/>
    <w:rsid w:val="00667D08"/>
    <w:rsid w:val="00682712"/>
    <w:rsid w:val="006A6577"/>
    <w:rsid w:val="006C0478"/>
    <w:rsid w:val="006C0A10"/>
    <w:rsid w:val="006D39D8"/>
    <w:rsid w:val="006F37F5"/>
    <w:rsid w:val="007037F9"/>
    <w:rsid w:val="0072206D"/>
    <w:rsid w:val="0073404A"/>
    <w:rsid w:val="007346BC"/>
    <w:rsid w:val="00745468"/>
    <w:rsid w:val="00757256"/>
    <w:rsid w:val="00775A52"/>
    <w:rsid w:val="007B03A1"/>
    <w:rsid w:val="007D207B"/>
    <w:rsid w:val="007D6D59"/>
    <w:rsid w:val="007E3461"/>
    <w:rsid w:val="007F7659"/>
    <w:rsid w:val="00804F02"/>
    <w:rsid w:val="0081705B"/>
    <w:rsid w:val="008259F8"/>
    <w:rsid w:val="00841C4D"/>
    <w:rsid w:val="00844024"/>
    <w:rsid w:val="00855B28"/>
    <w:rsid w:val="008633A4"/>
    <w:rsid w:val="00886C5D"/>
    <w:rsid w:val="00893BF4"/>
    <w:rsid w:val="0089569F"/>
    <w:rsid w:val="00897FD7"/>
    <w:rsid w:val="008B4A9A"/>
    <w:rsid w:val="008D5542"/>
    <w:rsid w:val="008F1FE4"/>
    <w:rsid w:val="009160F4"/>
    <w:rsid w:val="009557DC"/>
    <w:rsid w:val="00962D09"/>
    <w:rsid w:val="00965157"/>
    <w:rsid w:val="00976911"/>
    <w:rsid w:val="009858D5"/>
    <w:rsid w:val="009D43E8"/>
    <w:rsid w:val="009E6962"/>
    <w:rsid w:val="009F6309"/>
    <w:rsid w:val="00A11BC1"/>
    <w:rsid w:val="00A43021"/>
    <w:rsid w:val="00A50619"/>
    <w:rsid w:val="00A75EE0"/>
    <w:rsid w:val="00A776CD"/>
    <w:rsid w:val="00A84BF0"/>
    <w:rsid w:val="00A8799C"/>
    <w:rsid w:val="00A91CCD"/>
    <w:rsid w:val="00A94A95"/>
    <w:rsid w:val="00A95E87"/>
    <w:rsid w:val="00AC4162"/>
    <w:rsid w:val="00AD52B0"/>
    <w:rsid w:val="00AF67A4"/>
    <w:rsid w:val="00AF7C98"/>
    <w:rsid w:val="00B06AF9"/>
    <w:rsid w:val="00B202B7"/>
    <w:rsid w:val="00B42655"/>
    <w:rsid w:val="00B52FC1"/>
    <w:rsid w:val="00B6126C"/>
    <w:rsid w:val="00B62472"/>
    <w:rsid w:val="00BA07B7"/>
    <w:rsid w:val="00BC28DB"/>
    <w:rsid w:val="00BC55E1"/>
    <w:rsid w:val="00BE4065"/>
    <w:rsid w:val="00BE4276"/>
    <w:rsid w:val="00BF0C51"/>
    <w:rsid w:val="00C118D2"/>
    <w:rsid w:val="00C32AAD"/>
    <w:rsid w:val="00C43670"/>
    <w:rsid w:val="00C50A86"/>
    <w:rsid w:val="00C558E0"/>
    <w:rsid w:val="00C55B6B"/>
    <w:rsid w:val="00CA5652"/>
    <w:rsid w:val="00CA7E10"/>
    <w:rsid w:val="00CC14E8"/>
    <w:rsid w:val="00CC3A15"/>
    <w:rsid w:val="00CE00B4"/>
    <w:rsid w:val="00CF2B57"/>
    <w:rsid w:val="00D01BC9"/>
    <w:rsid w:val="00D14325"/>
    <w:rsid w:val="00D36588"/>
    <w:rsid w:val="00D5764B"/>
    <w:rsid w:val="00D645DE"/>
    <w:rsid w:val="00D66AFE"/>
    <w:rsid w:val="00D80924"/>
    <w:rsid w:val="00DB241F"/>
    <w:rsid w:val="00DB4AFD"/>
    <w:rsid w:val="00DF7665"/>
    <w:rsid w:val="00DF7B44"/>
    <w:rsid w:val="00E00FCB"/>
    <w:rsid w:val="00E02AEF"/>
    <w:rsid w:val="00E14B26"/>
    <w:rsid w:val="00E2257C"/>
    <w:rsid w:val="00E241E9"/>
    <w:rsid w:val="00E45CD9"/>
    <w:rsid w:val="00E53212"/>
    <w:rsid w:val="00E6353A"/>
    <w:rsid w:val="00E71D3D"/>
    <w:rsid w:val="00E71D73"/>
    <w:rsid w:val="00E76404"/>
    <w:rsid w:val="00E8202C"/>
    <w:rsid w:val="00E86870"/>
    <w:rsid w:val="00E91AE9"/>
    <w:rsid w:val="00E9218A"/>
    <w:rsid w:val="00EB1797"/>
    <w:rsid w:val="00EC6675"/>
    <w:rsid w:val="00EE216A"/>
    <w:rsid w:val="00EE3118"/>
    <w:rsid w:val="00EE3255"/>
    <w:rsid w:val="00EE6619"/>
    <w:rsid w:val="00EF4537"/>
    <w:rsid w:val="00F05223"/>
    <w:rsid w:val="00F07E18"/>
    <w:rsid w:val="00F26293"/>
    <w:rsid w:val="00F31E80"/>
    <w:rsid w:val="00F34DB9"/>
    <w:rsid w:val="00F454B1"/>
    <w:rsid w:val="00F45A91"/>
    <w:rsid w:val="00F633F4"/>
    <w:rsid w:val="00FA1D54"/>
    <w:rsid w:val="00FA4D9F"/>
    <w:rsid w:val="00FB4D31"/>
    <w:rsid w:val="00FD2F3E"/>
    <w:rsid w:val="00FE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69F06-973C-4F1C-9E4F-AE38433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2F2"/>
    <w:pPr>
      <w:ind w:left="720"/>
      <w:contextualSpacing/>
    </w:pPr>
  </w:style>
  <w:style w:type="paragraph" w:customStyle="1" w:styleId="Default">
    <w:name w:val="Default"/>
    <w:basedOn w:val="Normal"/>
    <w:rsid w:val="001F1A78"/>
    <w:pPr>
      <w:autoSpaceDE w:val="0"/>
      <w:autoSpaceDN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F1A78"/>
    <w:rPr>
      <w:b/>
      <w:bCs/>
    </w:rPr>
  </w:style>
  <w:style w:type="paragraph" w:styleId="BalloonText">
    <w:name w:val="Balloon Text"/>
    <w:basedOn w:val="Normal"/>
    <w:link w:val="BalloonTextChar"/>
    <w:uiPriority w:val="99"/>
    <w:semiHidden/>
    <w:unhideWhenUsed/>
    <w:rsid w:val="00667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08"/>
    <w:rPr>
      <w:rFonts w:ascii="Segoe UI" w:hAnsi="Segoe UI" w:cs="Segoe UI"/>
      <w:sz w:val="18"/>
      <w:szCs w:val="18"/>
    </w:rPr>
  </w:style>
  <w:style w:type="paragraph" w:styleId="Title">
    <w:name w:val="Title"/>
    <w:basedOn w:val="Normal"/>
    <w:next w:val="Normal"/>
    <w:link w:val="TitleChar"/>
    <w:uiPriority w:val="10"/>
    <w:qFormat/>
    <w:rsid w:val="00FD2F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F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2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David Walters</cp:lastModifiedBy>
  <cp:revision>2</cp:revision>
  <cp:lastPrinted>2014-12-30T21:49:00Z</cp:lastPrinted>
  <dcterms:created xsi:type="dcterms:W3CDTF">2014-12-31T15:27:00Z</dcterms:created>
  <dcterms:modified xsi:type="dcterms:W3CDTF">2014-12-31T15:27:00Z</dcterms:modified>
</cp:coreProperties>
</file>