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99A33A" w14:textId="25A4888A" w:rsidR="00A86B81" w:rsidRPr="001E53B7" w:rsidRDefault="001E53B7" w:rsidP="001E53B7">
      <w:pPr>
        <w:jc w:val="center"/>
        <w:rPr>
          <w:b/>
          <w:bCs/>
          <w:sz w:val="24"/>
          <w:szCs w:val="24"/>
        </w:rPr>
      </w:pPr>
      <w:r w:rsidRPr="001E53B7">
        <w:rPr>
          <w:b/>
          <w:bCs/>
          <w:sz w:val="24"/>
          <w:szCs w:val="24"/>
        </w:rPr>
        <w:t>Wisconsin AEFLA Narrative Report 2019-20</w:t>
      </w:r>
    </w:p>
    <w:p w14:paraId="0956296D" w14:textId="71F5401E" w:rsidR="001E53B7" w:rsidRPr="00A816C3" w:rsidRDefault="001E53B7" w:rsidP="009525DE">
      <w:pPr>
        <w:pStyle w:val="CM41"/>
        <w:rPr>
          <w:rFonts w:asciiTheme="minorHAnsi" w:hAnsiTheme="minorHAnsi" w:cstheme="minorHAnsi"/>
          <w:sz w:val="22"/>
          <w:szCs w:val="22"/>
        </w:rPr>
      </w:pPr>
      <w:r w:rsidRPr="00A816C3">
        <w:rPr>
          <w:rFonts w:asciiTheme="minorHAnsi" w:hAnsiTheme="minorHAnsi" w:cstheme="minorHAnsi"/>
          <w:b/>
          <w:bCs/>
          <w:color w:val="000000"/>
          <w:sz w:val="22"/>
          <w:szCs w:val="22"/>
        </w:rPr>
        <w:t xml:space="preserve">1.State Leadership Funds </w:t>
      </w:r>
      <w:r w:rsidRPr="00A816C3">
        <w:rPr>
          <w:rFonts w:asciiTheme="minorHAnsi" w:hAnsiTheme="minorHAnsi" w:cstheme="minorHAnsi"/>
          <w:color w:val="000000"/>
          <w:sz w:val="22"/>
          <w:szCs w:val="22"/>
        </w:rPr>
        <w:t>(AEFLA Section 223)</w:t>
      </w:r>
      <w:r w:rsidR="009525DE">
        <w:rPr>
          <w:rFonts w:asciiTheme="minorHAnsi" w:hAnsiTheme="minorHAnsi" w:cstheme="minorHAnsi"/>
          <w:color w:val="000000"/>
          <w:sz w:val="22"/>
          <w:szCs w:val="22"/>
        </w:rPr>
        <w:t xml:space="preserve"> </w:t>
      </w:r>
      <w:r w:rsidRPr="00A816C3">
        <w:rPr>
          <w:rFonts w:asciiTheme="minorHAnsi" w:hAnsiTheme="minorHAnsi" w:cstheme="minorHAnsi"/>
          <w:sz w:val="22"/>
          <w:szCs w:val="22"/>
        </w:rPr>
        <w:t xml:space="preserve">Describe how the State has used funds made available under section 223 (State Leadership activities) for each the following required activities: </w:t>
      </w:r>
    </w:p>
    <w:p w14:paraId="1D839CF9" w14:textId="195913B8" w:rsidR="001E53B7" w:rsidRPr="00A816C3" w:rsidRDefault="001E53B7" w:rsidP="001E53B7">
      <w:pPr>
        <w:pStyle w:val="Default"/>
        <w:numPr>
          <w:ilvl w:val="0"/>
          <w:numId w:val="5"/>
        </w:numPr>
        <w:rPr>
          <w:rFonts w:asciiTheme="minorHAnsi" w:hAnsiTheme="minorHAnsi" w:cstheme="minorHAnsi"/>
          <w:sz w:val="22"/>
          <w:szCs w:val="22"/>
        </w:rPr>
      </w:pPr>
      <w:r w:rsidRPr="00A816C3">
        <w:rPr>
          <w:rFonts w:asciiTheme="minorHAnsi" w:hAnsiTheme="minorHAnsi" w:cstheme="minorHAnsi"/>
          <w:sz w:val="22"/>
          <w:szCs w:val="22"/>
        </w:rPr>
        <w:t>Alignment of adult education and literacy activities with other one-stop required partners to implement the strategies in the Unified or Combined State Plan as described in section223(1)(a).</w:t>
      </w:r>
    </w:p>
    <w:p w14:paraId="5D29C7E9" w14:textId="20E29C7C" w:rsidR="001E53B7" w:rsidRPr="00A816C3" w:rsidRDefault="001E53B7" w:rsidP="001E53B7">
      <w:pPr>
        <w:pStyle w:val="Default"/>
        <w:numPr>
          <w:ilvl w:val="0"/>
          <w:numId w:val="5"/>
        </w:numPr>
        <w:rPr>
          <w:rFonts w:asciiTheme="minorHAnsi" w:hAnsiTheme="minorHAnsi" w:cstheme="minorHAnsi"/>
          <w:sz w:val="22"/>
          <w:szCs w:val="22"/>
        </w:rPr>
      </w:pPr>
      <w:r w:rsidRPr="00A816C3">
        <w:rPr>
          <w:rFonts w:asciiTheme="minorHAnsi" w:hAnsiTheme="minorHAnsi" w:cstheme="minorHAnsi"/>
          <w:sz w:val="22"/>
          <w:szCs w:val="22"/>
        </w:rPr>
        <w:t>Establishment or operation of a high-quality professional development programs as described in section 223(1)(b).</w:t>
      </w:r>
    </w:p>
    <w:p w14:paraId="26E7231E" w14:textId="77777777" w:rsidR="001E53B7" w:rsidRPr="00A816C3" w:rsidRDefault="001E53B7" w:rsidP="001E53B7">
      <w:pPr>
        <w:pStyle w:val="Default"/>
        <w:numPr>
          <w:ilvl w:val="0"/>
          <w:numId w:val="5"/>
        </w:numPr>
        <w:rPr>
          <w:rFonts w:asciiTheme="minorHAnsi" w:hAnsiTheme="minorHAnsi" w:cstheme="minorHAnsi"/>
          <w:sz w:val="22"/>
          <w:szCs w:val="22"/>
        </w:rPr>
      </w:pPr>
      <w:r w:rsidRPr="00A816C3">
        <w:rPr>
          <w:rFonts w:asciiTheme="minorHAnsi" w:hAnsiTheme="minorHAnsi" w:cstheme="minorHAnsi"/>
          <w:sz w:val="22"/>
          <w:szCs w:val="22"/>
        </w:rPr>
        <w:t>Provision of technical assistance to funded eligible providers as described in section223(1)(c).</w:t>
      </w:r>
    </w:p>
    <w:p w14:paraId="0C3AF7D7" w14:textId="175741F0" w:rsidR="001E53B7" w:rsidRPr="00A816C3" w:rsidRDefault="001E53B7" w:rsidP="002B4288">
      <w:pPr>
        <w:pStyle w:val="Default"/>
        <w:numPr>
          <w:ilvl w:val="0"/>
          <w:numId w:val="5"/>
        </w:numPr>
        <w:spacing w:after="120"/>
        <w:rPr>
          <w:rFonts w:asciiTheme="minorHAnsi" w:hAnsiTheme="minorHAnsi" w:cstheme="minorHAnsi"/>
          <w:sz w:val="22"/>
          <w:szCs w:val="22"/>
        </w:rPr>
      </w:pPr>
      <w:r w:rsidRPr="00A816C3">
        <w:rPr>
          <w:rFonts w:asciiTheme="minorHAnsi" w:hAnsiTheme="minorHAnsi" w:cstheme="minorHAnsi"/>
          <w:sz w:val="22"/>
          <w:szCs w:val="22"/>
        </w:rPr>
        <w:t>Monitoring and evaluation of the quality and improvement of adult education activities as described in section 223(1)(d).</w:t>
      </w:r>
    </w:p>
    <w:p w14:paraId="00DF647D" w14:textId="109B3830" w:rsidR="52977318" w:rsidRDefault="52977318" w:rsidP="0030370B">
      <w:pPr>
        <w:spacing w:after="120"/>
      </w:pPr>
      <w:r w:rsidRPr="5ADD1D8E">
        <w:rPr>
          <w:rFonts w:ascii="Calibri" w:eastAsia="Calibri" w:hAnsi="Calibri" w:cs="Calibri"/>
        </w:rPr>
        <w:t xml:space="preserve">The Workforce Innovation and Opportunity Act (WIOA) challenges </w:t>
      </w:r>
      <w:r w:rsidR="7B9E0BCA" w:rsidRPr="5ADD1D8E">
        <w:rPr>
          <w:rFonts w:ascii="Calibri" w:eastAsia="Calibri" w:hAnsi="Calibri" w:cs="Calibri"/>
        </w:rPr>
        <w:t xml:space="preserve">states </w:t>
      </w:r>
      <w:r w:rsidRPr="5ADD1D8E">
        <w:rPr>
          <w:rFonts w:ascii="Calibri" w:eastAsia="Calibri" w:hAnsi="Calibri" w:cs="Calibri"/>
        </w:rPr>
        <w:t xml:space="preserve">to combine resources and create partnerships and to look to labor market data and industry research to determine which skills the workforce needs and to focus on the creation of a workforce that can meet the expectations of the future economy.  Wisconsin's Department of Workforce Development (DWD) and the Wisconsin Technical College System (WTCS) have a strong tradition of utilizing partnerships to support and grow Wisconsin's workforce; this creates a solid foundation for WIOA implementation. </w:t>
      </w:r>
      <w:r w:rsidR="3B19716F" w:rsidRPr="5ADD1D8E">
        <w:rPr>
          <w:rFonts w:ascii="Calibri" w:eastAsia="Calibri" w:hAnsi="Calibri" w:cs="Calibri"/>
        </w:rPr>
        <w:t xml:space="preserve"> </w:t>
      </w:r>
      <w:r w:rsidRPr="5ADD1D8E">
        <w:rPr>
          <w:rFonts w:ascii="Calibri" w:eastAsia="Calibri" w:hAnsi="Calibri" w:cs="Calibri"/>
        </w:rPr>
        <w:t xml:space="preserve">Three new partners have joined the Program Year 2020-2023 Combined State Plan – the Departments of Children and Families, Health Services, and Corrections. </w:t>
      </w:r>
    </w:p>
    <w:p w14:paraId="109D8E42" w14:textId="5EF274D7" w:rsidR="52977318" w:rsidRDefault="52977318" w:rsidP="0030370B">
      <w:pPr>
        <w:spacing w:after="120"/>
      </w:pPr>
      <w:r w:rsidRPr="2509BE9A">
        <w:rPr>
          <w:rFonts w:ascii="Calibri" w:eastAsia="Calibri" w:hAnsi="Calibri" w:cs="Calibri"/>
        </w:rPr>
        <w:t>Th</w:t>
      </w:r>
      <w:r w:rsidR="30F6EAE5" w:rsidRPr="2509BE9A">
        <w:rPr>
          <w:rFonts w:ascii="Calibri" w:eastAsia="Calibri" w:hAnsi="Calibri" w:cs="Calibri"/>
        </w:rPr>
        <w:t>e 2020-2023</w:t>
      </w:r>
      <w:r w:rsidRPr="2509BE9A">
        <w:rPr>
          <w:rFonts w:ascii="Calibri" w:eastAsia="Calibri" w:hAnsi="Calibri" w:cs="Calibri"/>
        </w:rPr>
        <w:t xml:space="preserve"> WIOA Combined State Plan was jointly developed by one state team, guided by the WIOA Leadership Team.  The WIOA Leadership Team is comprised of executive level leadership from all of Wisconsin's Combined State Plan programs.  The strategic and operational planning elements were written with input from and approval by the WIOA Leadership Team, while program-specific requirements were written by each program and shared for vetting with the WIOA Leadership Team.</w:t>
      </w:r>
      <w:r w:rsidR="46CB7A36" w:rsidRPr="2509BE9A">
        <w:rPr>
          <w:rFonts w:ascii="Calibri" w:eastAsia="Calibri" w:hAnsi="Calibri" w:cs="Calibri"/>
        </w:rPr>
        <w:t xml:space="preserve"> </w:t>
      </w:r>
      <w:r w:rsidR="394B9B60" w:rsidRPr="2509BE9A">
        <w:t xml:space="preserve"> The WIOA Leadership Team has continuously met throughout the implementation of WIOA </w:t>
      </w:r>
      <w:r w:rsidR="0C6BDB1A" w:rsidRPr="2509BE9A">
        <w:t xml:space="preserve">(including through the onset of the pandemic) </w:t>
      </w:r>
      <w:r w:rsidR="394B9B60" w:rsidRPr="2509BE9A">
        <w:t>to c</w:t>
      </w:r>
      <w:r w:rsidR="5D7E95CF" w:rsidRPr="2509BE9A">
        <w:t>oordinate the work of specific WIOA sub-committees and to c</w:t>
      </w:r>
      <w:r w:rsidR="394B9B60" w:rsidRPr="2509BE9A">
        <w:t xml:space="preserve">oordinate the transition to WIOA reporting standards.  </w:t>
      </w:r>
      <w:r w:rsidR="3173ECA9" w:rsidRPr="2509BE9A">
        <w:t>Wisconsin’s Adult Education and Family Literacy Act (AEFLA) is an integral part of this work and is under the direction of the State Director of Adult Education.</w:t>
      </w:r>
    </w:p>
    <w:p w14:paraId="6EFD10A0" w14:textId="77777777" w:rsidR="00B8107A" w:rsidRDefault="00B8107A" w:rsidP="00B8107A">
      <w:r w:rsidRPr="2C58B53A">
        <w:t xml:space="preserve">During the 2019-2020 program year the WTCS continued to utilize AEFLA resources to provide various supports and training to help eligible adult education and workforce providers perform their duties as one-stop partners, including: </w:t>
      </w:r>
    </w:p>
    <w:p w14:paraId="7D73B126" w14:textId="77777777" w:rsidR="00B8107A" w:rsidRDefault="00B8107A" w:rsidP="00B8107A">
      <w:pPr>
        <w:pStyle w:val="ListParagraph"/>
        <w:numPr>
          <w:ilvl w:val="0"/>
          <w:numId w:val="19"/>
        </w:numPr>
        <w:rPr>
          <w:rFonts w:eastAsiaTheme="minorEastAsia"/>
        </w:rPr>
      </w:pPr>
      <w:r w:rsidRPr="2C58B53A">
        <w:t>Systemwide face-to-face and virtual meetings and numerous webinars/teleconferences for all AEFLA grantees for the purpose of discussing a variety of topics, including promising practices for transitioning adult education learners into the workforce and/or into postsecondary occupational instruction, as well as to respond to emerging needs caused by the effects of the pandemic.</w:t>
      </w:r>
    </w:p>
    <w:p w14:paraId="5A5FF5B7" w14:textId="77777777" w:rsidR="00B8107A" w:rsidRDefault="00B8107A" w:rsidP="00B8107A">
      <w:pPr>
        <w:pStyle w:val="ListParagraph"/>
        <w:numPr>
          <w:ilvl w:val="0"/>
          <w:numId w:val="19"/>
        </w:numPr>
        <w:rPr>
          <w:rFonts w:eastAsiaTheme="minorEastAsia"/>
        </w:rPr>
      </w:pPr>
      <w:r w:rsidRPr="2C58B53A">
        <w:t>Face-to-face and virtual professional development for all Title II funded programs to discuss WIOA- and AE-related topics, as well as state-level co-title sponsorship of professional development for WIOA core and partner programs.</w:t>
      </w:r>
    </w:p>
    <w:p w14:paraId="2E625183" w14:textId="77777777" w:rsidR="00B8107A" w:rsidRDefault="00B8107A" w:rsidP="00B8107A">
      <w:pPr>
        <w:pStyle w:val="ListParagraph"/>
        <w:numPr>
          <w:ilvl w:val="0"/>
          <w:numId w:val="18"/>
        </w:numPr>
        <w:rPr>
          <w:rFonts w:eastAsiaTheme="minorEastAsia"/>
        </w:rPr>
      </w:pPr>
      <w:r w:rsidRPr="2C58B53A">
        <w:t>Face-to-face and virtual technical assistance for Title II programs to identify policies, practices and training that would increase their success with meeting Title II targets and serving adult education and workforce customers.</w:t>
      </w:r>
    </w:p>
    <w:p w14:paraId="0CDDD4E0" w14:textId="77777777" w:rsidR="00B8107A" w:rsidRDefault="00B8107A" w:rsidP="00B8107A">
      <w:r w:rsidRPr="2B95833E">
        <w:t xml:space="preserve">Provision of high-quality professional learning is a cornerstone of Wisconsin’s AE programs at the state and local levels. During the 2019-2020 year, WTCS used state leadership funds (as well as non-AEFLA resources) in the following ways: </w:t>
      </w:r>
    </w:p>
    <w:p w14:paraId="353C5763" w14:textId="77777777" w:rsidR="00B8107A" w:rsidRDefault="00B8107A" w:rsidP="00B8107A">
      <w:pPr>
        <w:pStyle w:val="ListParagraph"/>
        <w:numPr>
          <w:ilvl w:val="0"/>
          <w:numId w:val="19"/>
        </w:numPr>
        <w:rPr>
          <w:rFonts w:eastAsiaTheme="minorEastAsia"/>
        </w:rPr>
      </w:pPr>
      <w:r w:rsidRPr="2C58B53A">
        <w:t>Extensive AEFLA/WIOA-related content at the large cross-agency</w:t>
      </w:r>
      <w:r w:rsidRPr="2C58B53A">
        <w:rPr>
          <w:i/>
          <w:iCs/>
        </w:rPr>
        <w:t xml:space="preserve"> Common Ground Conference</w:t>
      </w:r>
      <w:r w:rsidRPr="2C58B53A">
        <w:t xml:space="preserve"> in October of 2019 as well as at monthly Title-II grantee webinars/teleconferences  </w:t>
      </w:r>
    </w:p>
    <w:p w14:paraId="66F14BC7" w14:textId="77777777" w:rsidR="00B8107A" w:rsidRDefault="00B8107A" w:rsidP="00B8107A">
      <w:pPr>
        <w:pStyle w:val="ListParagraph"/>
        <w:numPr>
          <w:ilvl w:val="0"/>
          <w:numId w:val="19"/>
        </w:numPr>
        <w:rPr>
          <w:rFonts w:eastAsiaTheme="minorEastAsia"/>
        </w:rPr>
      </w:pPr>
      <w:r w:rsidRPr="2C58B53A">
        <w:t>Half-day and full-day workshops on research-based instructional practices</w:t>
      </w:r>
    </w:p>
    <w:p w14:paraId="51F4F0D3" w14:textId="77777777" w:rsidR="00B8107A" w:rsidRDefault="00B8107A" w:rsidP="00B8107A">
      <w:pPr>
        <w:pStyle w:val="ListParagraph"/>
        <w:numPr>
          <w:ilvl w:val="0"/>
          <w:numId w:val="19"/>
        </w:numPr>
      </w:pPr>
      <w:r w:rsidRPr="2C58B53A">
        <w:t xml:space="preserve">A full-day workshop, five regional convenings, and multiple virtual/teleconference sessions on the topic of developing financial aid resources for adult education students (targeting enhancement of the existing 6-credit Ability-to-Benefit process as well as development of the new Wisconsin state process)  </w:t>
      </w:r>
    </w:p>
    <w:p w14:paraId="3CC7BF32" w14:textId="77777777" w:rsidR="00B8107A" w:rsidRDefault="00B8107A" w:rsidP="00B8107A">
      <w:pPr>
        <w:pStyle w:val="ListParagraph"/>
        <w:numPr>
          <w:ilvl w:val="0"/>
          <w:numId w:val="19"/>
        </w:numPr>
      </w:pPr>
      <w:r w:rsidRPr="2C58B53A">
        <w:t>Full-day workshop on adult education services for incarcerated individuals as well as enhancement of re-entry programming (as well as initial planning for multiple virtual sessions after the onset of the pandemic)</w:t>
      </w:r>
    </w:p>
    <w:p w14:paraId="55FEB442" w14:textId="77777777" w:rsidR="00B8107A" w:rsidRDefault="00B8107A" w:rsidP="00B8107A">
      <w:pPr>
        <w:pStyle w:val="ListParagraph"/>
        <w:numPr>
          <w:ilvl w:val="0"/>
          <w:numId w:val="19"/>
        </w:numPr>
      </w:pPr>
      <w:r w:rsidRPr="2C58B53A">
        <w:t>Two full day workshops on implementation of AE and ELL curriculum standards and instructional materials</w:t>
      </w:r>
    </w:p>
    <w:p w14:paraId="275632AD" w14:textId="77777777" w:rsidR="00B8107A" w:rsidRDefault="00B8107A" w:rsidP="00B8107A">
      <w:pPr>
        <w:pStyle w:val="ListParagraph"/>
        <w:numPr>
          <w:ilvl w:val="0"/>
          <w:numId w:val="19"/>
        </w:numPr>
        <w:rPr>
          <w:rFonts w:eastAsiaTheme="minorEastAsia"/>
        </w:rPr>
      </w:pPr>
      <w:r w:rsidRPr="2C58B53A">
        <w:lastRenderedPageBreak/>
        <w:t>Provision of integrated instruction/IET workshops for AE and postsecondary (as well as planning for virtual opportunities after the onset of the pandemic)</w:t>
      </w:r>
    </w:p>
    <w:p w14:paraId="30E2E380" w14:textId="77777777" w:rsidR="00B8107A" w:rsidRDefault="00B8107A" w:rsidP="00B8107A">
      <w:pPr>
        <w:pStyle w:val="ListParagraph"/>
        <w:numPr>
          <w:ilvl w:val="0"/>
          <w:numId w:val="19"/>
        </w:numPr>
        <w:rPr>
          <w:rFonts w:eastAsiaTheme="minorEastAsia"/>
        </w:rPr>
      </w:pPr>
      <w:r w:rsidRPr="2C58B53A">
        <w:t>Provision of career-pathway related professional development for Community Based Organizations (CBOs) and literacy councils</w:t>
      </w:r>
    </w:p>
    <w:p w14:paraId="0B3E7860" w14:textId="77777777" w:rsidR="00B8107A" w:rsidRDefault="00B8107A" w:rsidP="00B8107A">
      <w:pPr>
        <w:pStyle w:val="ListParagraph"/>
        <w:numPr>
          <w:ilvl w:val="0"/>
          <w:numId w:val="19"/>
        </w:numPr>
        <w:rPr>
          <w:rFonts w:eastAsiaTheme="minorEastAsia"/>
        </w:rPr>
      </w:pPr>
      <w:r w:rsidRPr="2C58B53A">
        <w:t>Provision of technical assistance around infusing rigor across all levels of ELL instruction</w:t>
      </w:r>
    </w:p>
    <w:p w14:paraId="769CAA4D" w14:textId="77777777" w:rsidR="00B8107A" w:rsidRDefault="00B8107A" w:rsidP="00B8107A">
      <w:pPr>
        <w:pStyle w:val="ListParagraph"/>
        <w:numPr>
          <w:ilvl w:val="0"/>
          <w:numId w:val="19"/>
        </w:numPr>
      </w:pPr>
      <w:r w:rsidRPr="2C58B53A">
        <w:t>Professional development on creation of adult education pre-apprenticeship and registered apprenticeship support programs</w:t>
      </w:r>
    </w:p>
    <w:p w14:paraId="733E4B59" w14:textId="77777777" w:rsidR="00B8107A" w:rsidRDefault="00B8107A" w:rsidP="00B8107A">
      <w:pPr>
        <w:pStyle w:val="ListParagraph"/>
        <w:numPr>
          <w:ilvl w:val="0"/>
          <w:numId w:val="19"/>
        </w:numPr>
        <w:rPr>
          <w:rFonts w:eastAsiaTheme="minorEastAsia"/>
        </w:rPr>
      </w:pPr>
      <w:r w:rsidRPr="2C58B53A">
        <w:t>Provision of TABE 11/12 and CASAS informational and training sessions, including extensive work after the onset of the pandemic</w:t>
      </w:r>
    </w:p>
    <w:p w14:paraId="37DD8D71" w14:textId="77777777" w:rsidR="00B8107A" w:rsidRDefault="00B8107A" w:rsidP="00B8107A">
      <w:pPr>
        <w:pStyle w:val="ListParagraph"/>
        <w:numPr>
          <w:ilvl w:val="0"/>
          <w:numId w:val="19"/>
        </w:numPr>
      </w:pPr>
      <w:r w:rsidRPr="2C58B53A">
        <w:t xml:space="preserve">Provision of GED informational and training sessions, including extensive work after the onset of the pandemic </w:t>
      </w:r>
    </w:p>
    <w:p w14:paraId="4988087C" w14:textId="77777777" w:rsidR="00B8107A" w:rsidRDefault="00B8107A" w:rsidP="00B8107A">
      <w:pPr>
        <w:pStyle w:val="ListParagraph"/>
        <w:numPr>
          <w:ilvl w:val="0"/>
          <w:numId w:val="19"/>
        </w:numPr>
        <w:rPr>
          <w:rFonts w:eastAsiaTheme="minorEastAsia"/>
        </w:rPr>
      </w:pPr>
      <w:r w:rsidRPr="2C58B53A">
        <w:t>Development and sharing of the AEFLA Program Monitoring assessment resources and scheduling of the next three years’ monitoring visits</w:t>
      </w:r>
    </w:p>
    <w:p w14:paraId="02BA4E20" w14:textId="77777777" w:rsidR="00B8107A" w:rsidRDefault="00B8107A" w:rsidP="00B8107A">
      <w:pPr>
        <w:pStyle w:val="ListParagraph"/>
        <w:numPr>
          <w:ilvl w:val="0"/>
          <w:numId w:val="19"/>
        </w:numPr>
      </w:pPr>
      <w:r w:rsidRPr="6A1AC293">
        <w:t>Extensive professional development on understanding NRS tables, on understanding data flow and typical reporting problems, and on understanding newly-enhanced AEFLA reports that were sent to each program monthly</w:t>
      </w:r>
    </w:p>
    <w:p w14:paraId="4053C345" w14:textId="77777777" w:rsidR="00B8107A" w:rsidRDefault="00B8107A" w:rsidP="00B8107A">
      <w:pPr>
        <w:pStyle w:val="CM177"/>
        <w:spacing w:line="258" w:lineRule="atLeast"/>
        <w:rPr>
          <w:rFonts w:asciiTheme="minorHAnsi" w:eastAsiaTheme="minorEastAsia" w:hAnsiTheme="minorHAnsi" w:cstheme="minorBidi"/>
          <w:sz w:val="22"/>
          <w:szCs w:val="22"/>
        </w:rPr>
      </w:pPr>
      <w:r w:rsidRPr="2B95833E">
        <w:rPr>
          <w:rFonts w:asciiTheme="minorHAnsi" w:eastAsiaTheme="minorEastAsia" w:hAnsiTheme="minorHAnsi" w:cstheme="minorBidi"/>
          <w:sz w:val="22"/>
          <w:szCs w:val="22"/>
        </w:rPr>
        <w:t xml:space="preserve">In addition to the work listed above, Wisconsin’s Title II </w:t>
      </w:r>
      <w:r w:rsidRPr="2B95833E">
        <w:rPr>
          <w:rFonts w:asciiTheme="minorHAnsi" w:eastAsiaTheme="minorEastAsia" w:hAnsiTheme="minorHAnsi" w:cstheme="minorBidi"/>
          <w:color w:val="000000" w:themeColor="text1"/>
          <w:sz w:val="22"/>
          <w:szCs w:val="22"/>
        </w:rPr>
        <w:t xml:space="preserve">partners participated in a November </w:t>
      </w:r>
      <w:r w:rsidRPr="2B95833E">
        <w:rPr>
          <w:rFonts w:asciiTheme="minorHAnsi" w:eastAsiaTheme="minorEastAsia" w:hAnsiTheme="minorHAnsi" w:cstheme="minorBidi"/>
          <w:sz w:val="22"/>
          <w:szCs w:val="22"/>
        </w:rPr>
        <w:t>statewide WIOA Roundtable conference that included both best WIOA partner practices from around the state as well as facilitated meetings for One-Stop partners for every WDA region in the state.   These discussions and professional development sessions built upon the extensive work that was done during the two previous program years, and some of the highest-rated WIOA Roundtable sessions were either led by local Title II leaders and/or specifically focused on Title I/Title II cooperative programming.  (In addition, some of these sessions were recorded and put on the interagency WIOA website for viewing by a broader number of workforce development staff.)</w:t>
      </w:r>
    </w:p>
    <w:p w14:paraId="6876F6E6" w14:textId="77777777" w:rsidR="00B8107A" w:rsidRDefault="00B8107A" w:rsidP="00B8107A">
      <w:pPr>
        <w:pStyle w:val="Default"/>
      </w:pPr>
    </w:p>
    <w:p w14:paraId="4FF5EECE" w14:textId="5DBD495F" w:rsidR="394B9B60" w:rsidRDefault="009525DE" w:rsidP="0030370B">
      <w:pPr>
        <w:pStyle w:val="CM177"/>
        <w:spacing w:after="120" w:line="258" w:lineRule="atLeast"/>
        <w:rPr>
          <w:rFonts w:ascii="Calibri" w:eastAsia="Calibri" w:hAnsi="Calibri" w:cs="Calibri"/>
          <w:sz w:val="22"/>
          <w:szCs w:val="22"/>
        </w:rPr>
      </w:pPr>
      <w:r w:rsidRPr="00D45A19">
        <w:rPr>
          <w:rFonts w:eastAsia="Times New Roman"/>
          <w:noProof/>
        </w:rPr>
        <mc:AlternateContent>
          <mc:Choice Requires="wps">
            <w:drawing>
              <wp:anchor distT="45720" distB="45720" distL="114300" distR="114300" simplePos="0" relativeHeight="251661315" behindDoc="0" locked="0" layoutInCell="1" allowOverlap="1" wp14:anchorId="3460A89D" wp14:editId="552B0D66">
                <wp:simplePos x="0" y="0"/>
                <wp:positionH relativeFrom="margin">
                  <wp:align>right</wp:align>
                </wp:positionH>
                <wp:positionV relativeFrom="paragraph">
                  <wp:posOffset>480695</wp:posOffset>
                </wp:positionV>
                <wp:extent cx="4114800" cy="336169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361690"/>
                        </a:xfrm>
                        <a:prstGeom prst="rect">
                          <a:avLst/>
                        </a:prstGeom>
                        <a:solidFill>
                          <a:srgbClr val="FFFFFF"/>
                        </a:solidFill>
                        <a:ln w="9525">
                          <a:noFill/>
                          <a:miter lim="800000"/>
                          <a:headEnd/>
                          <a:tailEnd/>
                        </a:ln>
                      </wps:spPr>
                      <wps:txbx>
                        <w:txbxContent>
                          <w:p w14:paraId="6FB6F85E" w14:textId="05D6B8EC" w:rsidR="0008299B" w:rsidRPr="0008299B" w:rsidRDefault="0008299B" w:rsidP="0008299B">
                            <w:pPr>
                              <w:spacing w:after="0" w:line="257" w:lineRule="auto"/>
                              <w:rPr>
                                <w:b/>
                                <w:bCs/>
                              </w:rPr>
                            </w:pPr>
                            <w:r w:rsidRPr="0008299B">
                              <w:rPr>
                                <w:rFonts w:ascii="Calibri" w:eastAsia="Calibri" w:hAnsi="Calibri" w:cs="Calibri"/>
                                <w:b/>
                                <w:bCs/>
                              </w:rPr>
                              <w:t>Figure 1. Wisconsin AEFLA Program Operations</w:t>
                            </w:r>
                            <w:r w:rsidRPr="0008299B">
                              <w:rPr>
                                <w:rFonts w:eastAsia="Times New Roman"/>
                                <w:b/>
                                <w:bCs/>
                              </w:rPr>
                              <w:t>.</w:t>
                            </w:r>
                            <w:r w:rsidRPr="0008299B">
                              <w:rPr>
                                <w:b/>
                                <w:bCs/>
                                <w:noProof/>
                              </w:rPr>
                              <w:t xml:space="preserve"> </w:t>
                            </w:r>
                          </w:p>
                          <w:p w14:paraId="59631C4B" w14:textId="36670086" w:rsidR="0008299B" w:rsidRDefault="0008299B" w:rsidP="0008299B">
                            <w:r>
                              <w:rPr>
                                <w:noProof/>
                              </w:rPr>
                              <w:drawing>
                                <wp:inline distT="0" distB="0" distL="0" distR="0" wp14:anchorId="288BD69E" wp14:editId="17B53F3F">
                                  <wp:extent cx="3922984" cy="309562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3922984" cy="309562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60A89D" id="_x0000_t202" coordsize="21600,21600" o:spt="202" path="m,l,21600r21600,l21600,xe">
                <v:stroke joinstyle="miter"/>
                <v:path gradientshapeok="t" o:connecttype="rect"/>
              </v:shapetype>
              <v:shape id="Text Box 2" o:spid="_x0000_s1026" type="#_x0000_t202" style="position:absolute;margin-left:272.8pt;margin-top:37.85pt;width:324pt;height:264.7pt;z-index:251661315;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" stroked="f">
                <v:textbox>
                  <w:txbxContent>
                    <w:p w14:paraId="6FB6F85E" w14:textId="05D6B8EC" w:rsidR="0008299B" w:rsidRPr="0008299B" w:rsidRDefault="0008299B" w:rsidP="0008299B">
                      <w:pPr>
                        <w:spacing w:after="0" w:line="257" w:lineRule="auto"/>
                        <w:rPr>
                          <w:b/>
                          <w:bCs/>
                        </w:rPr>
                      </w:pPr>
                      <w:r w:rsidRPr="0008299B">
                        <w:rPr>
                          <w:rFonts w:ascii="Calibri" w:eastAsia="Calibri" w:hAnsi="Calibri" w:cs="Calibri"/>
                          <w:b/>
                          <w:bCs/>
                        </w:rPr>
                        <w:t>Figure 1. Wisconsin AEFLA Program Operations</w:t>
                      </w:r>
                      <w:r w:rsidRPr="0008299B">
                        <w:rPr>
                          <w:rFonts w:eastAsia="Times New Roman"/>
                          <w:b/>
                          <w:bCs/>
                        </w:rPr>
                        <w:t>.</w:t>
                      </w:r>
                      <w:r w:rsidRPr="0008299B">
                        <w:rPr>
                          <w:b/>
                          <w:bCs/>
                          <w:noProof/>
                        </w:rPr>
                        <w:t xml:space="preserve"> </w:t>
                      </w:r>
                    </w:p>
                    <w:p w14:paraId="59631C4B" w14:textId="36670086" w:rsidR="0008299B" w:rsidRDefault="0008299B" w:rsidP="0008299B">
                      <w:r>
                        <w:rPr>
                          <w:noProof/>
                        </w:rPr>
                        <w:drawing>
                          <wp:inline distT="0" distB="0" distL="0" distR="0" wp14:anchorId="288BD69E" wp14:editId="17B53F3F">
                            <wp:extent cx="3922984" cy="309562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3922984" cy="3095625"/>
                                    </a:xfrm>
                                    <a:prstGeom prst="rect">
                                      <a:avLst/>
                                    </a:prstGeom>
                                  </pic:spPr>
                                </pic:pic>
                              </a:graphicData>
                            </a:graphic>
                          </wp:inline>
                        </w:drawing>
                      </w:r>
                    </w:p>
                  </w:txbxContent>
                </v:textbox>
                <w10:wrap type="square" anchorx="margin"/>
              </v:shape>
            </w:pict>
          </mc:Fallback>
        </mc:AlternateContent>
      </w:r>
      <w:r w:rsidR="67E66A42" w:rsidRPr="2B95833E">
        <w:rPr>
          <w:rFonts w:ascii="Calibri" w:eastAsia="Calibri" w:hAnsi="Calibri" w:cs="Calibri"/>
          <w:sz w:val="22"/>
          <w:szCs w:val="22"/>
        </w:rPr>
        <w:t>When the pandemic struck our AEFLA program su</w:t>
      </w:r>
      <w:r w:rsidR="5B7915BA" w:rsidRPr="2B95833E">
        <w:rPr>
          <w:rFonts w:ascii="Calibri" w:eastAsia="Calibri" w:hAnsi="Calibri" w:cs="Calibri"/>
          <w:sz w:val="22"/>
          <w:szCs w:val="22"/>
        </w:rPr>
        <w:t xml:space="preserve">pport </w:t>
      </w:r>
      <w:r w:rsidR="67E66A42" w:rsidRPr="2B95833E">
        <w:rPr>
          <w:rFonts w:ascii="Calibri" w:eastAsia="Calibri" w:hAnsi="Calibri" w:cs="Calibri"/>
          <w:sz w:val="22"/>
          <w:szCs w:val="22"/>
        </w:rPr>
        <w:t>efforts took an intensive turn</w:t>
      </w:r>
      <w:r w:rsidR="4A31C032" w:rsidRPr="2B95833E">
        <w:rPr>
          <w:rFonts w:ascii="Calibri" w:eastAsia="Calibri" w:hAnsi="Calibri" w:cs="Calibri"/>
          <w:sz w:val="22"/>
          <w:szCs w:val="22"/>
        </w:rPr>
        <w:t xml:space="preserve">.  Among the first initiatives were to establish a Microsoft TEAMS virtual </w:t>
      </w:r>
      <w:r w:rsidR="4F44D7A1" w:rsidRPr="2B95833E">
        <w:rPr>
          <w:rFonts w:ascii="Calibri" w:eastAsia="Calibri" w:hAnsi="Calibri" w:cs="Calibri"/>
          <w:sz w:val="22"/>
          <w:szCs w:val="22"/>
        </w:rPr>
        <w:t xml:space="preserve">environment </w:t>
      </w:r>
      <w:r w:rsidR="4A31C032" w:rsidRPr="2B95833E">
        <w:rPr>
          <w:rFonts w:ascii="Calibri" w:eastAsia="Calibri" w:hAnsi="Calibri" w:cs="Calibri"/>
          <w:sz w:val="22"/>
          <w:szCs w:val="22"/>
        </w:rPr>
        <w:t xml:space="preserve">that </w:t>
      </w:r>
      <w:r w:rsidR="6CD3F21C" w:rsidRPr="2B95833E">
        <w:rPr>
          <w:rFonts w:ascii="Calibri" w:eastAsia="Calibri" w:hAnsi="Calibri" w:cs="Calibri"/>
          <w:sz w:val="22"/>
          <w:szCs w:val="22"/>
        </w:rPr>
        <w:t xml:space="preserve">facilitated richer and more collaborative connections between the WTCS AEFLA team and local funded programs.  </w:t>
      </w:r>
      <w:r w:rsidR="60E72E49" w:rsidRPr="2B95833E">
        <w:rPr>
          <w:rFonts w:ascii="Calibri" w:eastAsia="Calibri" w:hAnsi="Calibri" w:cs="Calibri"/>
          <w:sz w:val="22"/>
          <w:szCs w:val="22"/>
        </w:rPr>
        <w:t xml:space="preserve">This tool allowed us to meet, chat, collaborate, and call with one common tool.  We immediately began </w:t>
      </w:r>
      <w:r w:rsidR="024C0D93" w:rsidRPr="2B95833E">
        <w:rPr>
          <w:rFonts w:ascii="Calibri" w:eastAsia="Calibri" w:hAnsi="Calibri" w:cs="Calibri"/>
          <w:sz w:val="22"/>
          <w:szCs w:val="22"/>
        </w:rPr>
        <w:t>filing key virtual teaching, AEFLA-related, and valuable third-party resources in this one site.  In addi</w:t>
      </w:r>
      <w:r w:rsidR="630DFCDE" w:rsidRPr="2B95833E">
        <w:rPr>
          <w:rFonts w:ascii="Calibri" w:eastAsia="Calibri" w:hAnsi="Calibri" w:cs="Calibri"/>
          <w:sz w:val="22"/>
          <w:szCs w:val="22"/>
        </w:rPr>
        <w:t xml:space="preserve">tion our </w:t>
      </w:r>
      <w:r w:rsidR="623309EB" w:rsidRPr="2B95833E">
        <w:rPr>
          <w:rFonts w:ascii="Calibri" w:eastAsia="Calibri" w:hAnsi="Calibri" w:cs="Calibri"/>
          <w:sz w:val="22"/>
          <w:szCs w:val="22"/>
        </w:rPr>
        <w:t xml:space="preserve">AEFLA </w:t>
      </w:r>
      <w:r w:rsidR="630DFCDE" w:rsidRPr="2B95833E">
        <w:rPr>
          <w:rFonts w:ascii="Calibri" w:eastAsia="Calibri" w:hAnsi="Calibri" w:cs="Calibri"/>
          <w:sz w:val="22"/>
          <w:szCs w:val="22"/>
        </w:rPr>
        <w:t>programs could gain acc</w:t>
      </w:r>
      <w:r w:rsidR="58CB50DF" w:rsidRPr="2B95833E">
        <w:rPr>
          <w:rFonts w:ascii="Calibri" w:eastAsia="Calibri" w:hAnsi="Calibri" w:cs="Calibri"/>
          <w:sz w:val="22"/>
          <w:szCs w:val="22"/>
        </w:rPr>
        <w:t xml:space="preserve">ess to </w:t>
      </w:r>
      <w:r w:rsidR="2001152F" w:rsidRPr="2B95833E">
        <w:rPr>
          <w:rFonts w:ascii="Calibri" w:eastAsia="Calibri" w:hAnsi="Calibri" w:cs="Calibri"/>
          <w:sz w:val="22"/>
          <w:szCs w:val="22"/>
        </w:rPr>
        <w:t xml:space="preserve">several </w:t>
      </w:r>
      <w:r w:rsidR="58CB50DF" w:rsidRPr="2B95833E">
        <w:rPr>
          <w:rFonts w:ascii="Calibri" w:eastAsia="Calibri" w:hAnsi="Calibri" w:cs="Calibri"/>
          <w:sz w:val="22"/>
          <w:szCs w:val="22"/>
        </w:rPr>
        <w:t>other</w:t>
      </w:r>
      <w:r w:rsidR="57E433CF" w:rsidRPr="2B95833E">
        <w:rPr>
          <w:rFonts w:ascii="Calibri" w:eastAsia="Calibri" w:hAnsi="Calibri" w:cs="Calibri"/>
          <w:sz w:val="22"/>
          <w:szCs w:val="22"/>
        </w:rPr>
        <w:t xml:space="preserve"> WTCS</w:t>
      </w:r>
      <w:r w:rsidR="58CB50DF" w:rsidRPr="2B95833E">
        <w:rPr>
          <w:rFonts w:ascii="Calibri" w:eastAsia="Calibri" w:hAnsi="Calibri" w:cs="Calibri"/>
          <w:sz w:val="22"/>
          <w:szCs w:val="22"/>
        </w:rPr>
        <w:t xml:space="preserve"> “channels” that focused on equity and inclusion, veterans services, Open Educational Resources, etc.  A</w:t>
      </w:r>
      <w:r w:rsidR="7328C1BE" w:rsidRPr="2B95833E">
        <w:rPr>
          <w:rFonts w:ascii="Calibri" w:eastAsia="Calibri" w:hAnsi="Calibri" w:cs="Calibri"/>
          <w:sz w:val="22"/>
          <w:szCs w:val="22"/>
        </w:rPr>
        <w:t>lmost a</w:t>
      </w:r>
      <w:r w:rsidR="58CB50DF" w:rsidRPr="2B95833E">
        <w:rPr>
          <w:rFonts w:ascii="Calibri" w:eastAsia="Calibri" w:hAnsi="Calibri" w:cs="Calibri"/>
          <w:sz w:val="22"/>
          <w:szCs w:val="22"/>
        </w:rPr>
        <w:t>ll of our AEFLA work, including t</w:t>
      </w:r>
      <w:r w:rsidR="3EEF23D7" w:rsidRPr="2B95833E">
        <w:rPr>
          <w:rFonts w:ascii="Calibri" w:eastAsia="Calibri" w:hAnsi="Calibri" w:cs="Calibri"/>
          <w:sz w:val="22"/>
          <w:szCs w:val="22"/>
        </w:rPr>
        <w:t>echnical assistance</w:t>
      </w:r>
      <w:r w:rsidR="680D6AB1" w:rsidRPr="2B95833E">
        <w:rPr>
          <w:rFonts w:ascii="Calibri" w:eastAsia="Calibri" w:hAnsi="Calibri" w:cs="Calibri"/>
          <w:sz w:val="22"/>
          <w:szCs w:val="22"/>
        </w:rPr>
        <w:t xml:space="preserve">, </w:t>
      </w:r>
      <w:r w:rsidR="3EEF23D7" w:rsidRPr="2B95833E">
        <w:rPr>
          <w:rFonts w:ascii="Calibri" w:eastAsia="Calibri" w:hAnsi="Calibri" w:cs="Calibri"/>
          <w:sz w:val="22"/>
          <w:szCs w:val="22"/>
        </w:rPr>
        <w:t xml:space="preserve">program monitoring visits, </w:t>
      </w:r>
      <w:r w:rsidR="263B219D" w:rsidRPr="2B95833E">
        <w:rPr>
          <w:rFonts w:ascii="Calibri" w:eastAsia="Calibri" w:hAnsi="Calibri" w:cs="Calibri"/>
          <w:sz w:val="22"/>
          <w:szCs w:val="22"/>
        </w:rPr>
        <w:t xml:space="preserve">and our monthly program calls and sharing sessions, </w:t>
      </w:r>
      <w:r w:rsidR="1CF96E4A" w:rsidRPr="2B95833E">
        <w:rPr>
          <w:rFonts w:ascii="Calibri" w:eastAsia="Calibri" w:hAnsi="Calibri" w:cs="Calibri"/>
          <w:sz w:val="22"/>
          <w:szCs w:val="22"/>
        </w:rPr>
        <w:t>is</w:t>
      </w:r>
      <w:r w:rsidR="3EEF23D7" w:rsidRPr="2B95833E">
        <w:rPr>
          <w:rFonts w:ascii="Calibri" w:eastAsia="Calibri" w:hAnsi="Calibri" w:cs="Calibri"/>
          <w:sz w:val="22"/>
          <w:szCs w:val="22"/>
        </w:rPr>
        <w:t xml:space="preserve"> done through this virtual channel.</w:t>
      </w:r>
    </w:p>
    <w:p w14:paraId="02063D04" w14:textId="2B1EFA9A" w:rsidR="394B9B60" w:rsidRPr="00EA7478" w:rsidRDefault="3EEF23D7" w:rsidP="00EA7478">
      <w:pPr>
        <w:spacing w:after="120" w:line="257" w:lineRule="auto"/>
        <w:rPr>
          <w:rFonts w:ascii="Calibri" w:eastAsia="Calibri" w:hAnsi="Calibri" w:cs="Calibri"/>
        </w:rPr>
      </w:pPr>
      <w:r w:rsidRPr="2B95833E">
        <w:rPr>
          <w:rFonts w:ascii="Calibri" w:eastAsia="Calibri" w:hAnsi="Calibri" w:cs="Calibri"/>
        </w:rPr>
        <w:t>A second key initiative as the pandemic set in was to immediately survey our programs to find out what their staff, and their students, needed most.  This early April</w:t>
      </w:r>
      <w:r w:rsidR="00F344DF">
        <w:rPr>
          <w:rFonts w:ascii="Calibri" w:eastAsia="Calibri" w:hAnsi="Calibri" w:cs="Calibri"/>
        </w:rPr>
        <w:t xml:space="preserve"> 20</w:t>
      </w:r>
      <w:r w:rsidR="001216BB">
        <w:rPr>
          <w:rFonts w:ascii="Calibri" w:eastAsia="Calibri" w:hAnsi="Calibri" w:cs="Calibri"/>
        </w:rPr>
        <w:t>2</w:t>
      </w:r>
      <w:r w:rsidR="00F344DF">
        <w:rPr>
          <w:rFonts w:ascii="Calibri" w:eastAsia="Calibri" w:hAnsi="Calibri" w:cs="Calibri"/>
        </w:rPr>
        <w:t>0</w:t>
      </w:r>
      <w:r w:rsidRPr="2B95833E">
        <w:rPr>
          <w:rFonts w:ascii="Calibri" w:eastAsia="Calibri" w:hAnsi="Calibri" w:cs="Calibri"/>
        </w:rPr>
        <w:t xml:space="preserve"> survey guided much of the </w:t>
      </w:r>
      <w:r w:rsidR="473B87C0" w:rsidRPr="2B95833E">
        <w:rPr>
          <w:rFonts w:ascii="Calibri" w:eastAsia="Calibri" w:hAnsi="Calibri" w:cs="Calibri"/>
        </w:rPr>
        <w:t xml:space="preserve">intensive work that happened through the end of the 19-20 year (and beyond).  </w:t>
      </w:r>
      <w:r w:rsidR="001216BB">
        <w:rPr>
          <w:rFonts w:ascii="Calibri" w:eastAsia="Calibri" w:hAnsi="Calibri" w:cs="Calibri"/>
        </w:rPr>
        <w:t xml:space="preserve">In addition to receiving feedback </w:t>
      </w:r>
      <w:r w:rsidR="473B87C0" w:rsidRPr="2B95833E">
        <w:rPr>
          <w:rFonts w:ascii="Calibri" w:eastAsia="Calibri" w:hAnsi="Calibri" w:cs="Calibri"/>
        </w:rPr>
        <w:t xml:space="preserve">from all </w:t>
      </w:r>
      <w:r w:rsidR="001216BB">
        <w:rPr>
          <w:rFonts w:ascii="Calibri" w:eastAsia="Calibri" w:hAnsi="Calibri" w:cs="Calibri"/>
        </w:rPr>
        <w:t xml:space="preserve">federally </w:t>
      </w:r>
      <w:r w:rsidR="473B87C0" w:rsidRPr="2B95833E">
        <w:rPr>
          <w:rFonts w:ascii="Calibri" w:eastAsia="Calibri" w:hAnsi="Calibri" w:cs="Calibri"/>
        </w:rPr>
        <w:t xml:space="preserve">funded programs, the survey allowed us to </w:t>
      </w:r>
      <w:r w:rsidR="693D797F" w:rsidRPr="2B95833E">
        <w:rPr>
          <w:rFonts w:ascii="Calibri" w:eastAsia="Calibri" w:hAnsi="Calibri" w:cs="Calibri"/>
        </w:rPr>
        <w:t xml:space="preserve">identify key focus areas for our work.  </w:t>
      </w:r>
      <w:r w:rsidR="005351DC">
        <w:rPr>
          <w:rFonts w:ascii="Calibri" w:eastAsia="Calibri" w:hAnsi="Calibri" w:cs="Calibri"/>
        </w:rPr>
        <w:t>Results</w:t>
      </w:r>
      <w:r w:rsidR="693D797F" w:rsidRPr="2B95833E">
        <w:rPr>
          <w:rFonts w:ascii="Calibri" w:eastAsia="Calibri" w:hAnsi="Calibri" w:cs="Calibri"/>
        </w:rPr>
        <w:t xml:space="preserve"> from that survey are shown </w:t>
      </w:r>
      <w:r w:rsidR="00EA7478">
        <w:rPr>
          <w:rFonts w:ascii="Calibri" w:eastAsia="Calibri" w:hAnsi="Calibri" w:cs="Calibri"/>
        </w:rPr>
        <w:t>in Figure 1 using the following legend: Orange – not at this time – not working on a solution; Green – not at this time – actively working on a solution; Blue – yes.</w:t>
      </w:r>
      <w:r w:rsidR="3E595B04" w:rsidRPr="2B95833E">
        <w:rPr>
          <w:rFonts w:ascii="Calibri" w:eastAsia="Calibri" w:hAnsi="Calibri" w:cs="Calibri"/>
        </w:rPr>
        <w:t xml:space="preserve"> </w:t>
      </w:r>
      <w:r w:rsidR="6CD3F21C" w:rsidRPr="2B95833E">
        <w:rPr>
          <w:rFonts w:ascii="Calibri" w:eastAsia="Calibri" w:hAnsi="Calibri" w:cs="Calibri"/>
        </w:rPr>
        <w:t xml:space="preserve"> </w:t>
      </w:r>
    </w:p>
    <w:p w14:paraId="4CEC60AA" w14:textId="4834131B" w:rsidR="394B9B60" w:rsidRDefault="396812AC" w:rsidP="0030370B">
      <w:pPr>
        <w:spacing w:after="120" w:line="257" w:lineRule="auto"/>
        <w:jc w:val="both"/>
        <w:rPr>
          <w:rFonts w:ascii="Calibri" w:eastAsia="Calibri" w:hAnsi="Calibri" w:cs="Calibri"/>
        </w:rPr>
      </w:pPr>
      <w:r w:rsidRPr="6A1AC293">
        <w:lastRenderedPageBreak/>
        <w:t>These survey results</w:t>
      </w:r>
      <w:r w:rsidR="005351DC">
        <w:t>,</w:t>
      </w:r>
      <w:r w:rsidRPr="6A1AC293">
        <w:t xml:space="preserve"> </w:t>
      </w:r>
      <w:r w:rsidR="001C422F">
        <w:t xml:space="preserve">along with direct questions </w:t>
      </w:r>
      <w:r w:rsidR="008840B6">
        <w:t xml:space="preserve">and feedback </w:t>
      </w:r>
      <w:r w:rsidR="001C422F">
        <w:t>from the field</w:t>
      </w:r>
      <w:r w:rsidR="008840B6">
        <w:t>,</w:t>
      </w:r>
      <w:r w:rsidR="001C422F">
        <w:t xml:space="preserve"> </w:t>
      </w:r>
      <w:r w:rsidRPr="6A1AC293">
        <w:t>helped inform</w:t>
      </w:r>
      <w:r w:rsidR="008840B6">
        <w:t xml:space="preserve"> ongoing support and</w:t>
      </w:r>
      <w:r w:rsidRPr="6A1AC293">
        <w:t xml:space="preserve"> </w:t>
      </w:r>
      <w:r w:rsidR="7A39E8F2" w:rsidRPr="6A1AC293">
        <w:t>conversations with</w:t>
      </w:r>
      <w:r w:rsidR="009622F3">
        <w:t xml:space="preserve"> our</w:t>
      </w:r>
      <w:r w:rsidR="7A39E8F2" w:rsidRPr="6A1AC293">
        <w:t xml:space="preserve"> Title II programs and </w:t>
      </w:r>
      <w:r w:rsidR="005210CC">
        <w:t xml:space="preserve">related </w:t>
      </w:r>
      <w:r w:rsidRPr="6A1AC293">
        <w:t>professional development</w:t>
      </w:r>
      <w:r w:rsidR="006C1308">
        <w:t xml:space="preserve"> </w:t>
      </w:r>
      <w:r w:rsidR="005210CC">
        <w:t xml:space="preserve">March – June 2020. </w:t>
      </w:r>
      <w:r w:rsidR="00C66B1F">
        <w:t>There is</w:t>
      </w:r>
      <w:r w:rsidRPr="6A1AC293">
        <w:t xml:space="preserve"> e</w:t>
      </w:r>
      <w:r w:rsidR="54A2047B" w:rsidRPr="6A1AC293">
        <w:t>xtensive</w:t>
      </w:r>
      <w:r w:rsidR="00C66B1F">
        <w:t xml:space="preserve"> related</w:t>
      </w:r>
      <w:r w:rsidR="54A2047B" w:rsidRPr="6A1AC293">
        <w:t xml:space="preserve"> work </w:t>
      </w:r>
      <w:r w:rsidR="00C66B1F">
        <w:t xml:space="preserve">and </w:t>
      </w:r>
      <w:r w:rsidR="00946DC0">
        <w:t xml:space="preserve">continued assistance and support </w:t>
      </w:r>
      <w:r w:rsidR="1D69F363" w:rsidRPr="6A1AC293">
        <w:t xml:space="preserve">planned for </w:t>
      </w:r>
      <w:r w:rsidR="00946DC0">
        <w:t>the next</w:t>
      </w:r>
      <w:r w:rsidR="54A2047B" w:rsidRPr="6A1AC293">
        <w:t xml:space="preserve"> </w:t>
      </w:r>
      <w:r w:rsidR="00946DC0">
        <w:t>p</w:t>
      </w:r>
      <w:r w:rsidR="54A2047B" w:rsidRPr="6A1AC293">
        <w:t xml:space="preserve">rogram year.  Among our first </w:t>
      </w:r>
      <w:r w:rsidR="2E65AEEA" w:rsidRPr="6A1AC293">
        <w:t>priorities</w:t>
      </w:r>
      <w:r w:rsidR="54A2047B" w:rsidRPr="6A1AC293">
        <w:t xml:space="preserve"> for 19-20 were connecting programs to good</w:t>
      </w:r>
      <w:r w:rsidR="24024C05" w:rsidRPr="6A1AC293">
        <w:t xml:space="preserve"> </w:t>
      </w:r>
      <w:r w:rsidR="54A2047B" w:rsidRPr="6A1AC293">
        <w:t>virtual instruction resources</w:t>
      </w:r>
      <w:r w:rsidR="6F2548B6" w:rsidRPr="6A1AC293">
        <w:t xml:space="preserve">, developing and deploying a </w:t>
      </w:r>
      <w:r w:rsidR="00946DC0">
        <w:t xml:space="preserve">distance education and </w:t>
      </w:r>
      <w:r w:rsidR="6F2548B6" w:rsidRPr="6A1AC293">
        <w:t>proxy hour policy, arranging for Wisconsin</w:t>
      </w:r>
      <w:r w:rsidR="00946DC0">
        <w:t>-</w:t>
      </w:r>
      <w:r w:rsidR="6F2548B6" w:rsidRPr="6A1AC293">
        <w:t>specific trainings on the progress of virtua</w:t>
      </w:r>
      <w:r w:rsidR="517D0634" w:rsidRPr="6A1AC293">
        <w:t>l te</w:t>
      </w:r>
      <w:r w:rsidR="517D0634" w:rsidRPr="6A1AC293">
        <w:rPr>
          <w:rFonts w:ascii="Calibri" w:eastAsia="Calibri" w:hAnsi="Calibri" w:cs="Calibri"/>
        </w:rPr>
        <w:t>sting and proctoring for both the GED as well as TABE/CASAS pre/post</w:t>
      </w:r>
      <w:r w:rsidR="005F7627">
        <w:rPr>
          <w:rFonts w:ascii="Calibri" w:eastAsia="Calibri" w:hAnsi="Calibri" w:cs="Calibri"/>
        </w:rPr>
        <w:t>-</w:t>
      </w:r>
      <w:r w:rsidR="517D0634" w:rsidRPr="6A1AC293">
        <w:rPr>
          <w:rFonts w:ascii="Calibri" w:eastAsia="Calibri" w:hAnsi="Calibri" w:cs="Calibri"/>
        </w:rPr>
        <w:t xml:space="preserve">tests, and </w:t>
      </w:r>
      <w:r w:rsidR="115BE1AF" w:rsidRPr="6A1AC293">
        <w:rPr>
          <w:rFonts w:ascii="Calibri" w:eastAsia="Calibri" w:hAnsi="Calibri" w:cs="Calibri"/>
        </w:rPr>
        <w:t>vet</w:t>
      </w:r>
      <w:r w:rsidR="005F7627">
        <w:rPr>
          <w:rFonts w:ascii="Calibri" w:eastAsia="Calibri" w:hAnsi="Calibri" w:cs="Calibri"/>
        </w:rPr>
        <w:t xml:space="preserve">ting and promoting </w:t>
      </w:r>
      <w:r w:rsidR="6F5EF486" w:rsidRPr="6A1AC293">
        <w:rPr>
          <w:rFonts w:ascii="Calibri" w:eastAsia="Calibri" w:hAnsi="Calibri" w:cs="Calibri"/>
        </w:rPr>
        <w:t xml:space="preserve">online trainings </w:t>
      </w:r>
      <w:r w:rsidR="7E678D5E" w:rsidRPr="6A1AC293">
        <w:rPr>
          <w:rFonts w:ascii="Calibri" w:eastAsia="Calibri" w:hAnsi="Calibri" w:cs="Calibri"/>
        </w:rPr>
        <w:t>that would be especially valuable to Title II programs (including sessions provided by</w:t>
      </w:r>
      <w:r w:rsidR="00EF4145">
        <w:rPr>
          <w:rFonts w:ascii="Calibri" w:eastAsia="Calibri" w:hAnsi="Calibri" w:cs="Calibri"/>
        </w:rPr>
        <w:t xml:space="preserve"> adult education partners like</w:t>
      </w:r>
      <w:r w:rsidR="7E678D5E" w:rsidRPr="6A1AC293">
        <w:rPr>
          <w:rFonts w:ascii="Calibri" w:eastAsia="Calibri" w:hAnsi="Calibri" w:cs="Calibri"/>
        </w:rPr>
        <w:t xml:space="preserve"> </w:t>
      </w:r>
      <w:proofErr w:type="spellStart"/>
      <w:r w:rsidR="7E678D5E" w:rsidRPr="6A1AC293">
        <w:rPr>
          <w:rFonts w:ascii="Calibri" w:eastAsia="Calibri" w:hAnsi="Calibri" w:cs="Calibri"/>
        </w:rPr>
        <w:t>WorkForce</w:t>
      </w:r>
      <w:proofErr w:type="spellEnd"/>
      <w:r w:rsidR="7E678D5E" w:rsidRPr="6A1AC293">
        <w:rPr>
          <w:rFonts w:ascii="Calibri" w:eastAsia="Calibri" w:hAnsi="Calibri" w:cs="Calibri"/>
        </w:rPr>
        <w:t xml:space="preserve"> GPS, COABE, NASDAE, </w:t>
      </w:r>
      <w:proofErr w:type="spellStart"/>
      <w:r w:rsidR="7E678D5E" w:rsidRPr="6A1AC293">
        <w:rPr>
          <w:rFonts w:ascii="Calibri" w:eastAsia="Calibri" w:hAnsi="Calibri" w:cs="Calibri"/>
        </w:rPr>
        <w:t>etc</w:t>
      </w:r>
      <w:proofErr w:type="spellEnd"/>
      <w:r w:rsidR="7E678D5E" w:rsidRPr="6A1AC293">
        <w:rPr>
          <w:rFonts w:ascii="Calibri" w:eastAsia="Calibri" w:hAnsi="Calibri" w:cs="Calibri"/>
        </w:rPr>
        <w:t>)</w:t>
      </w:r>
      <w:r w:rsidR="1650B39C" w:rsidRPr="6A1AC293">
        <w:rPr>
          <w:rFonts w:ascii="Calibri" w:eastAsia="Calibri" w:hAnsi="Calibri" w:cs="Calibri"/>
        </w:rPr>
        <w:t>.</w:t>
      </w:r>
      <w:r w:rsidR="0FB7DD47" w:rsidRPr="6A1AC293">
        <w:rPr>
          <w:rFonts w:ascii="Calibri" w:eastAsia="Calibri" w:hAnsi="Calibri" w:cs="Calibri"/>
        </w:rPr>
        <w:t xml:space="preserve">  </w:t>
      </w:r>
    </w:p>
    <w:p w14:paraId="3FA396CE" w14:textId="3B1B051A" w:rsidR="394B9B60" w:rsidRDefault="006C1308" w:rsidP="0030370B">
      <w:pPr>
        <w:spacing w:after="120" w:line="257" w:lineRule="auto"/>
        <w:jc w:val="both"/>
        <w:rPr>
          <w:rFonts w:ascii="Calibri" w:eastAsia="Calibri" w:hAnsi="Calibri" w:cs="Calibri"/>
        </w:rPr>
      </w:pPr>
      <w:r>
        <w:rPr>
          <w:rFonts w:ascii="Calibri" w:eastAsia="Calibri" w:hAnsi="Calibri" w:cs="Calibri"/>
        </w:rPr>
        <w:t>With regard to</w:t>
      </w:r>
      <w:r w:rsidR="09B5CC96" w:rsidRPr="2B95833E">
        <w:rPr>
          <w:rFonts w:ascii="Calibri" w:eastAsia="Calibri" w:hAnsi="Calibri" w:cs="Calibri"/>
        </w:rPr>
        <w:t xml:space="preserve"> our work with incarcerated populations, our AEFLA programs have been well-supported by the Wisconsin Technical</w:t>
      </w:r>
      <w:r w:rsidR="006E2D20">
        <w:rPr>
          <w:rFonts w:ascii="Calibri" w:eastAsia="Calibri" w:hAnsi="Calibri" w:cs="Calibri"/>
        </w:rPr>
        <w:t xml:space="preserve"> College</w:t>
      </w:r>
      <w:r w:rsidR="09B5CC96" w:rsidRPr="2B95833E">
        <w:rPr>
          <w:rFonts w:ascii="Calibri" w:eastAsia="Calibri" w:hAnsi="Calibri" w:cs="Calibri"/>
        </w:rPr>
        <w:t xml:space="preserve"> System Office regarding section 223 of the State Leadership Funds of the AEFLA grant by allowing modifications to the </w:t>
      </w:r>
      <w:r w:rsidR="006E2D20">
        <w:rPr>
          <w:rFonts w:ascii="Calibri" w:eastAsia="Calibri" w:hAnsi="Calibri" w:cs="Calibri"/>
        </w:rPr>
        <w:t>providers</w:t>
      </w:r>
      <w:r w:rsidR="003A020F">
        <w:rPr>
          <w:rFonts w:ascii="Calibri" w:eastAsia="Calibri" w:hAnsi="Calibri" w:cs="Calibri"/>
        </w:rPr>
        <w:t>’</w:t>
      </w:r>
      <w:r w:rsidR="006E2D20">
        <w:rPr>
          <w:rFonts w:ascii="Calibri" w:eastAsia="Calibri" w:hAnsi="Calibri" w:cs="Calibri"/>
        </w:rPr>
        <w:t xml:space="preserve"> </w:t>
      </w:r>
      <w:r w:rsidR="003A020F">
        <w:rPr>
          <w:rFonts w:ascii="Calibri" w:eastAsia="Calibri" w:hAnsi="Calibri" w:cs="Calibri"/>
        </w:rPr>
        <w:t xml:space="preserve">grant </w:t>
      </w:r>
      <w:r w:rsidR="09B5CC96" w:rsidRPr="2B95833E">
        <w:rPr>
          <w:rFonts w:ascii="Calibri" w:eastAsia="Calibri" w:hAnsi="Calibri" w:cs="Calibri"/>
        </w:rPr>
        <w:t xml:space="preserve">that would assist this population </w:t>
      </w:r>
      <w:r w:rsidR="003A020F">
        <w:rPr>
          <w:rFonts w:ascii="Calibri" w:eastAsia="Calibri" w:hAnsi="Calibri" w:cs="Calibri"/>
        </w:rPr>
        <w:t>through</w:t>
      </w:r>
      <w:r w:rsidR="09B5CC96" w:rsidRPr="2B95833E">
        <w:rPr>
          <w:rFonts w:ascii="Calibri" w:eastAsia="Calibri" w:hAnsi="Calibri" w:cs="Calibri"/>
        </w:rPr>
        <w:t xml:space="preserve"> use of distance learning. WTCS recognized the challenges that distance learning presented for correctional institutions and began looking for solutions </w:t>
      </w:r>
      <w:r w:rsidR="50716DF5" w:rsidRPr="2B95833E">
        <w:rPr>
          <w:rFonts w:ascii="Calibri" w:eastAsia="Calibri" w:hAnsi="Calibri" w:cs="Calibri"/>
        </w:rPr>
        <w:t xml:space="preserve">for (and </w:t>
      </w:r>
      <w:r w:rsidR="09B5CC96" w:rsidRPr="2B95833E">
        <w:rPr>
          <w:rFonts w:ascii="Calibri" w:eastAsia="Calibri" w:hAnsi="Calibri" w:cs="Calibri"/>
        </w:rPr>
        <w:t>within</w:t>
      </w:r>
      <w:r w:rsidR="7DC40E6A" w:rsidRPr="2B95833E">
        <w:rPr>
          <w:rFonts w:ascii="Calibri" w:eastAsia="Calibri" w:hAnsi="Calibri" w:cs="Calibri"/>
        </w:rPr>
        <w:t>)</w:t>
      </w:r>
      <w:r w:rsidR="09B5CC96" w:rsidRPr="2B95833E">
        <w:rPr>
          <w:rFonts w:ascii="Calibri" w:eastAsia="Calibri" w:hAnsi="Calibri" w:cs="Calibri"/>
        </w:rPr>
        <w:t xml:space="preserve"> </w:t>
      </w:r>
      <w:r w:rsidR="3A1DC1FF" w:rsidRPr="2B95833E">
        <w:rPr>
          <w:rFonts w:ascii="Calibri" w:eastAsia="Calibri" w:hAnsi="Calibri" w:cs="Calibri"/>
        </w:rPr>
        <w:t xml:space="preserve">funded </w:t>
      </w:r>
      <w:r w:rsidR="09B5CC96" w:rsidRPr="2B95833E">
        <w:rPr>
          <w:rFonts w:ascii="Calibri" w:eastAsia="Calibri" w:hAnsi="Calibri" w:cs="Calibri"/>
        </w:rPr>
        <w:t>local county jail</w:t>
      </w:r>
      <w:r w:rsidR="148CA1C8" w:rsidRPr="2B95833E">
        <w:rPr>
          <w:rFonts w:ascii="Calibri" w:eastAsia="Calibri" w:hAnsi="Calibri" w:cs="Calibri"/>
        </w:rPr>
        <w:t xml:space="preserve"> programs</w:t>
      </w:r>
      <w:r w:rsidR="09B5CC96" w:rsidRPr="2B95833E">
        <w:rPr>
          <w:rFonts w:ascii="Calibri" w:eastAsia="Calibri" w:hAnsi="Calibri" w:cs="Calibri"/>
        </w:rPr>
        <w:t xml:space="preserve">. Based on our findings, WTCS </w:t>
      </w:r>
      <w:r w:rsidR="3044D15C" w:rsidRPr="2B95833E">
        <w:rPr>
          <w:rFonts w:ascii="Calibri" w:eastAsia="Calibri" w:hAnsi="Calibri" w:cs="Calibri"/>
        </w:rPr>
        <w:t xml:space="preserve">staff discussed effective practices on our monthly calls as well as planned for </w:t>
      </w:r>
      <w:r w:rsidR="09B5CC96" w:rsidRPr="2B95833E">
        <w:rPr>
          <w:rFonts w:ascii="Calibri" w:eastAsia="Calibri" w:hAnsi="Calibri" w:cs="Calibri"/>
        </w:rPr>
        <w:t xml:space="preserve">trainings </w:t>
      </w:r>
      <w:r w:rsidR="76E2AFA0" w:rsidRPr="2B95833E">
        <w:rPr>
          <w:rFonts w:ascii="Calibri" w:eastAsia="Calibri" w:hAnsi="Calibri" w:cs="Calibri"/>
        </w:rPr>
        <w:t xml:space="preserve">to occur </w:t>
      </w:r>
      <w:r w:rsidR="09B5CC96" w:rsidRPr="2B95833E">
        <w:rPr>
          <w:rFonts w:ascii="Calibri" w:eastAsia="Calibri" w:hAnsi="Calibri" w:cs="Calibri"/>
        </w:rPr>
        <w:t>during our 2020 Common Ground that would provide an overview</w:t>
      </w:r>
      <w:r w:rsidR="00457521">
        <w:rPr>
          <w:rFonts w:ascii="Calibri" w:eastAsia="Calibri" w:hAnsi="Calibri" w:cs="Calibri"/>
        </w:rPr>
        <w:t xml:space="preserve"> on identified practices and successes</w:t>
      </w:r>
      <w:r w:rsidR="09B5CC96" w:rsidRPr="2B95833E">
        <w:rPr>
          <w:rFonts w:ascii="Calibri" w:eastAsia="Calibri" w:hAnsi="Calibri" w:cs="Calibri"/>
        </w:rPr>
        <w:t xml:space="preserve"> for</w:t>
      </w:r>
      <w:r w:rsidR="00063E2F">
        <w:rPr>
          <w:rFonts w:ascii="Calibri" w:eastAsia="Calibri" w:hAnsi="Calibri" w:cs="Calibri"/>
        </w:rPr>
        <w:t xml:space="preserve"> </w:t>
      </w:r>
      <w:r w:rsidR="09B5CC96" w:rsidRPr="2B95833E">
        <w:rPr>
          <w:rFonts w:ascii="Calibri" w:eastAsia="Calibri" w:hAnsi="Calibri" w:cs="Calibri"/>
        </w:rPr>
        <w:t xml:space="preserve">faculty, deans, county jail staff and jail administrators. </w:t>
      </w:r>
      <w:r w:rsidR="5728149D" w:rsidRPr="2B95833E">
        <w:rPr>
          <w:rFonts w:ascii="Calibri" w:eastAsia="Calibri" w:hAnsi="Calibri" w:cs="Calibri"/>
        </w:rPr>
        <w:t>In the 2019-2020 and 2020-2021 years</w:t>
      </w:r>
      <w:r w:rsidR="00063E2F">
        <w:rPr>
          <w:rFonts w:ascii="Calibri" w:eastAsia="Calibri" w:hAnsi="Calibri" w:cs="Calibri"/>
        </w:rPr>
        <w:t>,</w:t>
      </w:r>
      <w:r w:rsidR="5728149D" w:rsidRPr="2B95833E">
        <w:rPr>
          <w:rFonts w:ascii="Calibri" w:eastAsia="Calibri" w:hAnsi="Calibri" w:cs="Calibri"/>
        </w:rPr>
        <w:t xml:space="preserve"> we will </w:t>
      </w:r>
      <w:r w:rsidR="00063E2F">
        <w:rPr>
          <w:rFonts w:ascii="Calibri" w:eastAsia="Calibri" w:hAnsi="Calibri" w:cs="Calibri"/>
        </w:rPr>
        <w:t xml:space="preserve">continue to </w:t>
      </w:r>
      <w:r w:rsidR="5728149D" w:rsidRPr="2B95833E">
        <w:rPr>
          <w:rFonts w:ascii="Calibri" w:eastAsia="Calibri" w:hAnsi="Calibri" w:cs="Calibri"/>
        </w:rPr>
        <w:t xml:space="preserve">emphasize effective </w:t>
      </w:r>
      <w:r w:rsidR="09B5CC96" w:rsidRPr="2B95833E">
        <w:rPr>
          <w:rFonts w:ascii="Calibri" w:eastAsia="Calibri" w:hAnsi="Calibri" w:cs="Calibri"/>
        </w:rPr>
        <w:t>practices regarding virtual instruction, assessment, virtual tools, and testing options that are crucial to serving Justice-Involved populations in the area of Adult Education</w:t>
      </w:r>
      <w:r w:rsidR="69064044" w:rsidRPr="2B95833E">
        <w:rPr>
          <w:rFonts w:ascii="Calibri" w:eastAsia="Calibri" w:hAnsi="Calibri" w:cs="Calibri"/>
        </w:rPr>
        <w:t xml:space="preserve"> </w:t>
      </w:r>
      <w:r w:rsidR="09B5CC96" w:rsidRPr="2B95833E">
        <w:rPr>
          <w:rFonts w:ascii="Calibri" w:eastAsia="Calibri" w:hAnsi="Calibri" w:cs="Calibri"/>
        </w:rPr>
        <w:t>during this time of COVID-19</w:t>
      </w:r>
      <w:r w:rsidR="37146758" w:rsidRPr="2B95833E">
        <w:rPr>
          <w:rFonts w:ascii="Calibri" w:eastAsia="Calibri" w:hAnsi="Calibri" w:cs="Calibri"/>
        </w:rPr>
        <w:t xml:space="preserve">.  </w:t>
      </w:r>
      <w:r w:rsidR="09B5CC96" w:rsidRPr="2B95833E">
        <w:rPr>
          <w:rFonts w:ascii="Calibri" w:eastAsia="Calibri" w:hAnsi="Calibri" w:cs="Calibri"/>
        </w:rPr>
        <w:t xml:space="preserve">The </w:t>
      </w:r>
      <w:r w:rsidR="6F58661A" w:rsidRPr="2B95833E">
        <w:rPr>
          <w:rFonts w:ascii="Calibri" w:eastAsia="Calibri" w:hAnsi="Calibri" w:cs="Calibri"/>
        </w:rPr>
        <w:t>WTCS o</w:t>
      </w:r>
      <w:r w:rsidR="09B5CC96" w:rsidRPr="2B95833E">
        <w:rPr>
          <w:rFonts w:ascii="Calibri" w:eastAsia="Calibri" w:hAnsi="Calibri" w:cs="Calibri"/>
        </w:rPr>
        <w:t xml:space="preserve">ffice also provided training on how WTCS colleges collaborate with the </w:t>
      </w:r>
      <w:r w:rsidR="466DA4C7" w:rsidRPr="2B95833E">
        <w:rPr>
          <w:rFonts w:ascii="Calibri" w:eastAsia="Calibri" w:hAnsi="Calibri" w:cs="Calibri"/>
        </w:rPr>
        <w:t xml:space="preserve">state </w:t>
      </w:r>
      <w:r w:rsidR="09B5CC96" w:rsidRPr="2B95833E">
        <w:rPr>
          <w:rFonts w:ascii="Calibri" w:eastAsia="Calibri" w:hAnsi="Calibri" w:cs="Calibri"/>
        </w:rPr>
        <w:t>D</w:t>
      </w:r>
      <w:r w:rsidR="5E741596" w:rsidRPr="2B95833E">
        <w:rPr>
          <w:rFonts w:ascii="Calibri" w:eastAsia="Calibri" w:hAnsi="Calibri" w:cs="Calibri"/>
        </w:rPr>
        <w:t xml:space="preserve">epartment of Corrections </w:t>
      </w:r>
      <w:r w:rsidR="09B5CC96" w:rsidRPr="2B95833E">
        <w:rPr>
          <w:rFonts w:ascii="Calibri" w:eastAsia="Calibri" w:hAnsi="Calibri" w:cs="Calibri"/>
        </w:rPr>
        <w:t xml:space="preserve">to offer postsecondary general education courses to justice-involved individuals, and what the future of this partnership </w:t>
      </w:r>
      <w:r w:rsidR="00A116AF">
        <w:rPr>
          <w:rFonts w:ascii="Calibri" w:eastAsia="Calibri" w:hAnsi="Calibri" w:cs="Calibri"/>
        </w:rPr>
        <w:t>aspires to be,</w:t>
      </w:r>
      <w:r w:rsidR="09B5CC96" w:rsidRPr="2B95833E">
        <w:rPr>
          <w:rFonts w:ascii="Calibri" w:eastAsia="Calibri" w:hAnsi="Calibri" w:cs="Calibri"/>
        </w:rPr>
        <w:t xml:space="preserve"> given continuous changes to the delivery of general education instruction in </w:t>
      </w:r>
      <w:r w:rsidR="00955321">
        <w:rPr>
          <w:rFonts w:ascii="Calibri" w:eastAsia="Calibri" w:hAnsi="Calibri" w:cs="Calibri"/>
        </w:rPr>
        <w:t xml:space="preserve">the </w:t>
      </w:r>
      <w:r w:rsidR="09B5CC96" w:rsidRPr="2B95833E">
        <w:rPr>
          <w:rFonts w:ascii="Calibri" w:eastAsia="Calibri" w:hAnsi="Calibri" w:cs="Calibri"/>
        </w:rPr>
        <w:t>state correctional facilities.</w:t>
      </w:r>
    </w:p>
    <w:p w14:paraId="380B4246" w14:textId="7547C689" w:rsidR="394B9B60" w:rsidRDefault="00955321" w:rsidP="002F2400">
      <w:pPr>
        <w:spacing w:after="0"/>
        <w:rPr>
          <w:rFonts w:ascii="Calibri" w:eastAsia="Calibri" w:hAnsi="Calibri" w:cs="Calibri"/>
        </w:rPr>
      </w:pPr>
      <w:r>
        <w:rPr>
          <w:rFonts w:ascii="Calibri" w:eastAsia="Calibri" w:hAnsi="Calibri" w:cs="Calibri"/>
        </w:rPr>
        <w:t xml:space="preserve">From March-June 2020, </w:t>
      </w:r>
      <w:r w:rsidR="755139D4" w:rsidRPr="2B95833E">
        <w:rPr>
          <w:rFonts w:ascii="Calibri" w:eastAsia="Calibri" w:hAnsi="Calibri" w:cs="Calibri"/>
        </w:rPr>
        <w:t>special emphas</w:t>
      </w:r>
      <w:r w:rsidR="004929E3">
        <w:rPr>
          <w:rFonts w:ascii="Calibri" w:eastAsia="Calibri" w:hAnsi="Calibri" w:cs="Calibri"/>
        </w:rPr>
        <w:t xml:space="preserve">is </w:t>
      </w:r>
      <w:r w:rsidR="4BD43745" w:rsidRPr="2B95833E">
        <w:rPr>
          <w:rFonts w:ascii="Calibri" w:eastAsia="Calibri" w:hAnsi="Calibri" w:cs="Calibri"/>
        </w:rPr>
        <w:t>on</w:t>
      </w:r>
      <w:r w:rsidR="755139D4" w:rsidRPr="2B95833E">
        <w:rPr>
          <w:rFonts w:ascii="Calibri" w:eastAsia="Calibri" w:hAnsi="Calibri" w:cs="Calibri"/>
        </w:rPr>
        <w:t xml:space="preserve"> </w:t>
      </w:r>
      <w:r w:rsidR="7B307162" w:rsidRPr="2B95833E">
        <w:rPr>
          <w:rFonts w:ascii="Calibri" w:eastAsia="Calibri" w:hAnsi="Calibri" w:cs="Calibri"/>
        </w:rPr>
        <w:t xml:space="preserve">(or development </w:t>
      </w:r>
      <w:r w:rsidR="343FB541" w:rsidRPr="2B95833E">
        <w:rPr>
          <w:rFonts w:ascii="Calibri" w:eastAsia="Calibri" w:hAnsi="Calibri" w:cs="Calibri"/>
        </w:rPr>
        <w:t xml:space="preserve">work </w:t>
      </w:r>
      <w:r w:rsidR="3A8350E5" w:rsidRPr="2B95833E">
        <w:rPr>
          <w:rFonts w:ascii="Calibri" w:eastAsia="Calibri" w:hAnsi="Calibri" w:cs="Calibri"/>
        </w:rPr>
        <w:t>for</w:t>
      </w:r>
      <w:r w:rsidR="7B307162" w:rsidRPr="2B95833E">
        <w:rPr>
          <w:rFonts w:ascii="Calibri" w:eastAsia="Calibri" w:hAnsi="Calibri" w:cs="Calibri"/>
        </w:rPr>
        <w:t xml:space="preserve">) </w:t>
      </w:r>
      <w:r w:rsidR="28BADF79" w:rsidRPr="2B95833E">
        <w:rPr>
          <w:rFonts w:ascii="Calibri" w:eastAsia="Calibri" w:hAnsi="Calibri" w:cs="Calibri"/>
        </w:rPr>
        <w:t xml:space="preserve">technical assistance </w:t>
      </w:r>
      <w:r w:rsidR="27184E24" w:rsidRPr="2B95833E">
        <w:rPr>
          <w:rFonts w:ascii="Calibri" w:eastAsia="Calibri" w:hAnsi="Calibri" w:cs="Calibri"/>
        </w:rPr>
        <w:t xml:space="preserve">topics </w:t>
      </w:r>
      <w:r w:rsidR="374CAAB2" w:rsidRPr="2B95833E">
        <w:rPr>
          <w:rFonts w:ascii="Calibri" w:eastAsia="Calibri" w:hAnsi="Calibri" w:cs="Calibri"/>
        </w:rPr>
        <w:t>that</w:t>
      </w:r>
      <w:r w:rsidR="13FB18DD" w:rsidRPr="2B95833E">
        <w:rPr>
          <w:rFonts w:ascii="Calibri" w:eastAsia="Calibri" w:hAnsi="Calibri" w:cs="Calibri"/>
        </w:rPr>
        <w:t xml:space="preserve"> were key to the operation of quality AEFLA programs.  </w:t>
      </w:r>
      <w:r w:rsidR="70AC993F" w:rsidRPr="2B95833E">
        <w:rPr>
          <w:rFonts w:ascii="Calibri" w:eastAsia="Calibri" w:hAnsi="Calibri" w:cs="Calibri"/>
        </w:rPr>
        <w:t xml:space="preserve">Topics </w:t>
      </w:r>
      <w:r w:rsidR="1AE9F7FD" w:rsidRPr="2B95833E">
        <w:rPr>
          <w:rFonts w:ascii="Calibri" w:eastAsia="Calibri" w:hAnsi="Calibri" w:cs="Calibri"/>
        </w:rPr>
        <w:t>discussed</w:t>
      </w:r>
      <w:r w:rsidR="1C928B45" w:rsidRPr="2B95833E">
        <w:rPr>
          <w:rFonts w:ascii="Calibri" w:eastAsia="Calibri" w:hAnsi="Calibri" w:cs="Calibri"/>
        </w:rPr>
        <w:t xml:space="preserve"> in both state-wide and single program interactions</w:t>
      </w:r>
      <w:r w:rsidR="1AE9F7FD" w:rsidRPr="2B95833E">
        <w:rPr>
          <w:rFonts w:ascii="Calibri" w:eastAsia="Calibri" w:hAnsi="Calibri" w:cs="Calibri"/>
        </w:rPr>
        <w:t xml:space="preserve"> included</w:t>
      </w:r>
      <w:r w:rsidR="70AC993F" w:rsidRPr="2B95833E">
        <w:rPr>
          <w:rFonts w:ascii="Calibri" w:eastAsia="Calibri" w:hAnsi="Calibri" w:cs="Calibri"/>
        </w:rPr>
        <w:t>:</w:t>
      </w:r>
    </w:p>
    <w:p w14:paraId="6541D13A" w14:textId="6B057843" w:rsidR="394B9B60" w:rsidRDefault="779BE102" w:rsidP="0030370B">
      <w:pPr>
        <w:pStyle w:val="ListParagraph"/>
        <w:numPr>
          <w:ilvl w:val="0"/>
          <w:numId w:val="8"/>
        </w:numPr>
        <w:spacing w:after="120"/>
        <w:rPr>
          <w:rFonts w:ascii="Calibri" w:eastAsia="Calibri" w:hAnsi="Calibri" w:cs="Calibri"/>
        </w:rPr>
      </w:pPr>
      <w:r w:rsidRPr="6A1AC293">
        <w:rPr>
          <w:rFonts w:ascii="Calibri" w:eastAsia="Calibri" w:hAnsi="Calibri" w:cs="Calibri"/>
        </w:rPr>
        <w:t xml:space="preserve">Modifying </w:t>
      </w:r>
      <w:r w:rsidR="6FD1CDE7" w:rsidRPr="6A1AC293">
        <w:rPr>
          <w:rFonts w:ascii="Calibri" w:eastAsia="Calibri" w:hAnsi="Calibri" w:cs="Calibri"/>
        </w:rPr>
        <w:t xml:space="preserve">AEFLA </w:t>
      </w:r>
      <w:r w:rsidRPr="6A1AC293">
        <w:rPr>
          <w:rFonts w:ascii="Calibri" w:eastAsia="Calibri" w:hAnsi="Calibri" w:cs="Calibri"/>
        </w:rPr>
        <w:t>grants within WTCS rules and guidelines</w:t>
      </w:r>
      <w:r w:rsidR="6A69E9BC" w:rsidRPr="6A1AC293">
        <w:rPr>
          <w:rFonts w:ascii="Calibri" w:eastAsia="Calibri" w:hAnsi="Calibri" w:cs="Calibri"/>
        </w:rPr>
        <w:t xml:space="preserve"> </w:t>
      </w:r>
      <w:r w:rsidR="43426FF8" w:rsidRPr="6A1AC293">
        <w:rPr>
          <w:rFonts w:ascii="Calibri" w:eastAsia="Calibri" w:hAnsi="Calibri" w:cs="Calibri"/>
        </w:rPr>
        <w:t>to quickly meet the needs of students</w:t>
      </w:r>
    </w:p>
    <w:p w14:paraId="186C3591" w14:textId="68B4D325" w:rsidR="394B9B60" w:rsidRDefault="510BEF59" w:rsidP="0030370B">
      <w:pPr>
        <w:pStyle w:val="ListParagraph"/>
        <w:numPr>
          <w:ilvl w:val="0"/>
          <w:numId w:val="8"/>
        </w:numPr>
        <w:spacing w:after="120"/>
        <w:rPr>
          <w:rFonts w:eastAsiaTheme="minorEastAsia"/>
        </w:rPr>
      </w:pPr>
      <w:r w:rsidRPr="6A1AC293">
        <w:rPr>
          <w:rFonts w:ascii="Calibri" w:eastAsia="Calibri" w:hAnsi="Calibri" w:cs="Calibri"/>
        </w:rPr>
        <w:t>Following the guidance of the OCTAE-approved WTCS Distance Lea</w:t>
      </w:r>
      <w:r w:rsidRPr="6A1AC293">
        <w:t>rning policy</w:t>
      </w:r>
    </w:p>
    <w:p w14:paraId="52610E14" w14:textId="421A9CC2" w:rsidR="394B9B60" w:rsidRDefault="1CE5C141" w:rsidP="0030370B">
      <w:pPr>
        <w:pStyle w:val="ListParagraph"/>
        <w:numPr>
          <w:ilvl w:val="0"/>
          <w:numId w:val="8"/>
        </w:numPr>
        <w:spacing w:after="120"/>
        <w:rPr>
          <w:rFonts w:eastAsiaTheme="minorEastAsia"/>
        </w:rPr>
      </w:pPr>
      <w:r w:rsidRPr="6A1AC293">
        <w:t>Developing (and submitting for approval) a Virtual Assessment Protocol and Process</w:t>
      </w:r>
    </w:p>
    <w:p w14:paraId="191826CC" w14:textId="2264F76B" w:rsidR="394B9B60" w:rsidRDefault="012EA60C" w:rsidP="0030370B">
      <w:pPr>
        <w:pStyle w:val="ListParagraph"/>
        <w:numPr>
          <w:ilvl w:val="0"/>
          <w:numId w:val="8"/>
        </w:numPr>
        <w:spacing w:after="120"/>
        <w:rPr>
          <w:rFonts w:eastAsiaTheme="minorEastAsia"/>
        </w:rPr>
      </w:pPr>
      <w:r w:rsidRPr="6A1AC293">
        <w:rPr>
          <w:rFonts w:ascii="Calibri" w:eastAsia="Calibri" w:hAnsi="Calibri" w:cs="Calibri"/>
        </w:rPr>
        <w:t xml:space="preserve">Understanding and using WTCS-supplied </w:t>
      </w:r>
      <w:r w:rsidR="39F126FB" w:rsidRPr="6A1AC293">
        <w:rPr>
          <w:rFonts w:ascii="Calibri" w:eastAsia="Calibri" w:hAnsi="Calibri" w:cs="Calibri"/>
        </w:rPr>
        <w:t xml:space="preserve">performance </w:t>
      </w:r>
      <w:r w:rsidRPr="6A1AC293">
        <w:rPr>
          <w:rFonts w:ascii="Calibri" w:eastAsia="Calibri" w:hAnsi="Calibri" w:cs="Calibri"/>
        </w:rPr>
        <w:t>data to improve the outcomes of AEFLA grant-funded activities</w:t>
      </w:r>
      <w:r w:rsidR="28AA89C5" w:rsidRPr="6A1AC293">
        <w:rPr>
          <w:rFonts w:ascii="Calibri" w:eastAsia="Calibri" w:hAnsi="Calibri" w:cs="Calibri"/>
        </w:rPr>
        <w:t xml:space="preserve"> (especially as the pandemic </w:t>
      </w:r>
      <w:r w:rsidR="3E0947B0" w:rsidRPr="6A1AC293">
        <w:rPr>
          <w:rFonts w:ascii="Calibri" w:eastAsia="Calibri" w:hAnsi="Calibri" w:cs="Calibri"/>
        </w:rPr>
        <w:t xml:space="preserve">caused challenges at </w:t>
      </w:r>
      <w:r w:rsidR="28AA89C5" w:rsidRPr="6A1AC293">
        <w:rPr>
          <w:rFonts w:ascii="Calibri" w:eastAsia="Calibri" w:hAnsi="Calibri" w:cs="Calibri"/>
        </w:rPr>
        <w:t>some programs)</w:t>
      </w:r>
    </w:p>
    <w:p w14:paraId="2CA8FC66" w14:textId="405266A5" w:rsidR="394B9B60" w:rsidRDefault="1E0672EC" w:rsidP="0030370B">
      <w:pPr>
        <w:pStyle w:val="ListParagraph"/>
        <w:numPr>
          <w:ilvl w:val="0"/>
          <w:numId w:val="8"/>
        </w:numPr>
        <w:spacing w:after="120"/>
        <w:rPr>
          <w:rFonts w:eastAsiaTheme="minorEastAsia"/>
        </w:rPr>
      </w:pPr>
      <w:r w:rsidRPr="6A1AC293">
        <w:rPr>
          <w:rFonts w:ascii="Calibri" w:eastAsia="Calibri" w:hAnsi="Calibri" w:cs="Calibri"/>
        </w:rPr>
        <w:t>Understanding and using NRS performance data to improve the outcomes of AEFLA grant-funded activities</w:t>
      </w:r>
    </w:p>
    <w:p w14:paraId="55EFFAFB" w14:textId="75FB08FA" w:rsidR="394B9B60" w:rsidRDefault="63AD4749" w:rsidP="0030370B">
      <w:pPr>
        <w:pStyle w:val="ListParagraph"/>
        <w:numPr>
          <w:ilvl w:val="0"/>
          <w:numId w:val="8"/>
        </w:numPr>
        <w:spacing w:after="120"/>
        <w:rPr>
          <w:rFonts w:eastAsiaTheme="minorEastAsia"/>
        </w:rPr>
      </w:pPr>
      <w:r w:rsidRPr="6A1AC293">
        <w:rPr>
          <w:rFonts w:ascii="Calibri" w:eastAsia="Calibri" w:hAnsi="Calibri" w:cs="Calibri"/>
        </w:rPr>
        <w:t>Analyzing l</w:t>
      </w:r>
      <w:r w:rsidR="6BFFAF66" w:rsidRPr="6A1AC293">
        <w:rPr>
          <w:rFonts w:ascii="Calibri" w:eastAsia="Calibri" w:hAnsi="Calibri" w:cs="Calibri"/>
        </w:rPr>
        <w:t xml:space="preserve">ocal </w:t>
      </w:r>
      <w:r w:rsidR="012EA60C" w:rsidRPr="6A1AC293">
        <w:rPr>
          <w:rFonts w:ascii="Calibri" w:eastAsia="Calibri" w:hAnsi="Calibri" w:cs="Calibri"/>
        </w:rPr>
        <w:t xml:space="preserve">data flow and </w:t>
      </w:r>
      <w:r w:rsidR="08BBC7C2" w:rsidRPr="6A1AC293">
        <w:rPr>
          <w:rFonts w:ascii="Calibri" w:eastAsia="Calibri" w:hAnsi="Calibri" w:cs="Calibri"/>
        </w:rPr>
        <w:t xml:space="preserve">thus </w:t>
      </w:r>
      <w:r w:rsidR="012EA60C" w:rsidRPr="6A1AC293">
        <w:rPr>
          <w:rFonts w:ascii="Calibri" w:eastAsia="Calibri" w:hAnsi="Calibri" w:cs="Calibri"/>
        </w:rPr>
        <w:t>identifying areas for</w:t>
      </w:r>
      <w:r w:rsidR="76CBC89F" w:rsidRPr="6A1AC293">
        <w:rPr>
          <w:rFonts w:ascii="Calibri" w:eastAsia="Calibri" w:hAnsi="Calibri" w:cs="Calibri"/>
        </w:rPr>
        <w:t xml:space="preserve"> intervention and subsequent</w:t>
      </w:r>
      <w:r w:rsidR="012EA60C" w:rsidRPr="6A1AC293">
        <w:rPr>
          <w:rFonts w:ascii="Calibri" w:eastAsia="Calibri" w:hAnsi="Calibri" w:cs="Calibri"/>
        </w:rPr>
        <w:t xml:space="preserve"> improv</w:t>
      </w:r>
      <w:r w:rsidR="283490BD" w:rsidRPr="6A1AC293">
        <w:rPr>
          <w:rFonts w:ascii="Calibri" w:eastAsia="Calibri" w:hAnsi="Calibri" w:cs="Calibri"/>
        </w:rPr>
        <w:t xml:space="preserve">ement of </w:t>
      </w:r>
      <w:r w:rsidR="012EA60C" w:rsidRPr="6A1AC293">
        <w:rPr>
          <w:rFonts w:ascii="Calibri" w:eastAsia="Calibri" w:hAnsi="Calibri" w:cs="Calibri"/>
        </w:rPr>
        <w:t xml:space="preserve">reporting. </w:t>
      </w:r>
    </w:p>
    <w:p w14:paraId="094DB4A6" w14:textId="61B2D163" w:rsidR="394B9B60" w:rsidRDefault="00316584" w:rsidP="0030370B">
      <w:pPr>
        <w:pStyle w:val="ListParagraph"/>
        <w:numPr>
          <w:ilvl w:val="0"/>
          <w:numId w:val="8"/>
        </w:numPr>
        <w:spacing w:after="120"/>
        <w:rPr>
          <w:rFonts w:eastAsiaTheme="minorEastAsia"/>
        </w:rPr>
      </w:pPr>
      <w:r w:rsidRPr="2B95833E">
        <w:rPr>
          <w:rFonts w:ascii="Calibri" w:eastAsia="Calibri" w:hAnsi="Calibri" w:cs="Calibri"/>
        </w:rPr>
        <w:t>Understanding the requirements</w:t>
      </w:r>
      <w:r w:rsidR="078CDD1B" w:rsidRPr="2B95833E">
        <w:rPr>
          <w:rFonts w:ascii="Calibri" w:eastAsia="Calibri" w:hAnsi="Calibri" w:cs="Calibri"/>
        </w:rPr>
        <w:t>, processes and resources associated with 1) WTCS</w:t>
      </w:r>
      <w:r w:rsidRPr="2B95833E">
        <w:rPr>
          <w:rFonts w:ascii="Calibri" w:eastAsia="Calibri" w:hAnsi="Calibri" w:cs="Calibri"/>
        </w:rPr>
        <w:t xml:space="preserve"> AEFLA Program Self-Assessment and 2) </w:t>
      </w:r>
      <w:r w:rsidR="00592AE3" w:rsidRPr="2B95833E">
        <w:rPr>
          <w:rFonts w:ascii="Calibri" w:eastAsia="Calibri" w:hAnsi="Calibri" w:cs="Calibri"/>
        </w:rPr>
        <w:t xml:space="preserve">WTCS </w:t>
      </w:r>
      <w:r w:rsidRPr="2B95833E">
        <w:rPr>
          <w:rFonts w:ascii="Calibri" w:eastAsia="Calibri" w:hAnsi="Calibri" w:cs="Calibri"/>
        </w:rPr>
        <w:t xml:space="preserve">AEFLA Program Monitoring.  </w:t>
      </w:r>
      <w:r w:rsidR="0231FBF9" w:rsidRPr="2B95833E">
        <w:rPr>
          <w:rFonts w:ascii="Calibri" w:eastAsia="Calibri" w:hAnsi="Calibri" w:cs="Calibri"/>
        </w:rPr>
        <w:t>(</w:t>
      </w:r>
      <w:r w:rsidR="6EF4C8D2" w:rsidRPr="2B95833E">
        <w:rPr>
          <w:rFonts w:ascii="Calibri" w:eastAsia="Calibri" w:hAnsi="Calibri" w:cs="Calibri"/>
        </w:rPr>
        <w:t>Previously-s</w:t>
      </w:r>
      <w:r w:rsidR="0231FBF9" w:rsidRPr="2B95833E">
        <w:rPr>
          <w:rFonts w:ascii="Calibri" w:eastAsia="Calibri" w:hAnsi="Calibri" w:cs="Calibri"/>
        </w:rPr>
        <w:t xml:space="preserve">cheduled </w:t>
      </w:r>
      <w:r w:rsidR="341C0FD0" w:rsidRPr="2B95833E">
        <w:rPr>
          <w:rFonts w:ascii="Calibri" w:eastAsia="Calibri" w:hAnsi="Calibri" w:cs="Calibri"/>
        </w:rPr>
        <w:t>P</w:t>
      </w:r>
      <w:r w:rsidR="0231FBF9" w:rsidRPr="2B95833E">
        <w:rPr>
          <w:rFonts w:ascii="Calibri" w:eastAsia="Calibri" w:hAnsi="Calibri" w:cs="Calibri"/>
        </w:rPr>
        <w:t xml:space="preserve">rogram </w:t>
      </w:r>
      <w:r w:rsidR="37F846C4" w:rsidRPr="2B95833E">
        <w:rPr>
          <w:rFonts w:ascii="Calibri" w:eastAsia="Calibri" w:hAnsi="Calibri" w:cs="Calibri"/>
        </w:rPr>
        <w:t>M</w:t>
      </w:r>
      <w:r w:rsidR="0231FBF9" w:rsidRPr="2B95833E">
        <w:rPr>
          <w:rFonts w:ascii="Calibri" w:eastAsia="Calibri" w:hAnsi="Calibri" w:cs="Calibri"/>
        </w:rPr>
        <w:t xml:space="preserve">onitoring visits were adjusted to become virtual visits, with extensive support materials </w:t>
      </w:r>
      <w:r w:rsidR="6ABA4694" w:rsidRPr="2B95833E">
        <w:rPr>
          <w:rFonts w:ascii="Calibri" w:eastAsia="Calibri" w:hAnsi="Calibri" w:cs="Calibri"/>
        </w:rPr>
        <w:t xml:space="preserve">developed and virtual interviewing/monitoring </w:t>
      </w:r>
      <w:r w:rsidR="73CDA262" w:rsidRPr="2B95833E">
        <w:rPr>
          <w:rFonts w:ascii="Calibri" w:eastAsia="Calibri" w:hAnsi="Calibri" w:cs="Calibri"/>
        </w:rPr>
        <w:t>processes</w:t>
      </w:r>
      <w:r w:rsidR="6ABA4694" w:rsidRPr="2B95833E">
        <w:rPr>
          <w:rFonts w:ascii="Calibri" w:eastAsia="Calibri" w:hAnsi="Calibri" w:cs="Calibri"/>
        </w:rPr>
        <w:t xml:space="preserve"> planned.)</w:t>
      </w:r>
    </w:p>
    <w:p w14:paraId="7C644B8E" w14:textId="47C4198D" w:rsidR="394B9B60" w:rsidRDefault="14C3206A" w:rsidP="0030370B">
      <w:pPr>
        <w:pStyle w:val="Default"/>
        <w:spacing w:after="120"/>
        <w:rPr>
          <w:rFonts w:asciiTheme="minorHAnsi" w:eastAsiaTheme="minorEastAsia" w:hAnsiTheme="minorHAnsi" w:cstheme="minorBidi"/>
          <w:sz w:val="22"/>
          <w:szCs w:val="22"/>
        </w:rPr>
      </w:pPr>
      <w:r w:rsidRPr="2B95833E">
        <w:rPr>
          <w:rFonts w:asciiTheme="minorHAnsi" w:eastAsiaTheme="minorEastAsia" w:hAnsiTheme="minorHAnsi" w:cstheme="minorBidi"/>
          <w:sz w:val="22"/>
          <w:szCs w:val="22"/>
        </w:rPr>
        <w:t xml:space="preserve">Regarding monitoring and evaluating the quality and improvement of adult education activities as described in section 223(1)(d), </w:t>
      </w:r>
      <w:r w:rsidR="394B9B60" w:rsidRPr="2B95833E">
        <w:rPr>
          <w:rFonts w:asciiTheme="minorHAnsi" w:eastAsiaTheme="minorEastAsia" w:hAnsiTheme="minorHAnsi" w:cstheme="minorBidi"/>
          <w:sz w:val="22"/>
          <w:szCs w:val="22"/>
        </w:rPr>
        <w:t>WTCS AE</w:t>
      </w:r>
      <w:r w:rsidR="17EF4F0F" w:rsidRPr="2B95833E">
        <w:rPr>
          <w:rFonts w:asciiTheme="minorHAnsi" w:eastAsiaTheme="minorEastAsia" w:hAnsiTheme="minorHAnsi" w:cstheme="minorBidi"/>
          <w:sz w:val="22"/>
          <w:szCs w:val="22"/>
        </w:rPr>
        <w:t>FLA-funded</w:t>
      </w:r>
      <w:r w:rsidR="394B9B60" w:rsidRPr="2B95833E">
        <w:rPr>
          <w:rFonts w:asciiTheme="minorHAnsi" w:eastAsiaTheme="minorEastAsia" w:hAnsiTheme="minorHAnsi" w:cstheme="minorBidi"/>
          <w:sz w:val="22"/>
          <w:szCs w:val="22"/>
        </w:rPr>
        <w:t xml:space="preserve"> staff spend significant time monitoring the quality of AEFLA grant-funded activities. All AEFLA programs submit data reports to the WTCS Client Reporting System, which can be reviewed on a consistent basis.  All AEFLA-funded programs submit tri-annual reports monitored by WTCS ABE staff to review goal performance, implementation of programming adjustments to meet goals, fiscal expenditures information, etc.  WTCS staff also participate in a year-end data review in order to reconcile grantee’s reported numbers and intervene with them before the end of the grant year if necessary.  WTCS staff also oversee funded programs’ four-year self-studies</w:t>
      </w:r>
      <w:r w:rsidR="39210E98" w:rsidRPr="2B95833E">
        <w:rPr>
          <w:rFonts w:asciiTheme="minorHAnsi" w:eastAsiaTheme="minorEastAsia" w:hAnsiTheme="minorHAnsi" w:cstheme="minorBidi"/>
          <w:sz w:val="22"/>
          <w:szCs w:val="22"/>
        </w:rPr>
        <w:t xml:space="preserve"> as well as perform the program monitoring duties referenced above.  </w:t>
      </w:r>
    </w:p>
    <w:p w14:paraId="07A0F3D4" w14:textId="7EC144AC" w:rsidR="001E53B7" w:rsidRPr="002B4288" w:rsidRDefault="001E53B7" w:rsidP="009525DE">
      <w:pPr>
        <w:pStyle w:val="CM41"/>
        <w:spacing w:after="120"/>
        <w:rPr>
          <w:rFonts w:asciiTheme="minorHAnsi" w:hAnsiTheme="minorHAnsi" w:cstheme="minorHAnsi"/>
          <w:color w:val="000000" w:themeColor="text1"/>
          <w:sz w:val="22"/>
          <w:szCs w:val="22"/>
        </w:rPr>
      </w:pPr>
      <w:r w:rsidRPr="002B4288">
        <w:rPr>
          <w:rFonts w:asciiTheme="minorHAnsi" w:hAnsiTheme="minorHAnsi" w:cstheme="minorHAnsi"/>
          <w:b/>
          <w:bCs/>
          <w:color w:val="000000"/>
          <w:sz w:val="22"/>
          <w:szCs w:val="22"/>
        </w:rPr>
        <w:t>2.Performance Data Analysis</w:t>
      </w:r>
      <w:r w:rsidR="009525DE">
        <w:rPr>
          <w:rFonts w:asciiTheme="minorHAnsi" w:hAnsiTheme="minorHAnsi" w:cstheme="minorHAnsi"/>
          <w:b/>
          <w:bCs/>
          <w:color w:val="000000"/>
          <w:sz w:val="22"/>
          <w:szCs w:val="22"/>
        </w:rPr>
        <w:t xml:space="preserve"> </w:t>
      </w:r>
      <w:r w:rsidRPr="002B4288">
        <w:rPr>
          <w:rFonts w:asciiTheme="minorHAnsi" w:hAnsiTheme="minorHAnsi" w:cstheme="minorHAnsi"/>
          <w:color w:val="000000" w:themeColor="text1"/>
          <w:sz w:val="22"/>
          <w:szCs w:val="22"/>
        </w:rPr>
        <w:t>Describe how the adult education program performed in the overall assessment of core programs based on the core indicators of performance. Discuss how the assessment was used to improve quality and effectiveness of the funded eligible providers and any plans to further increase performance in future reporting years.</w:t>
      </w:r>
    </w:p>
    <w:p w14:paraId="6A203FD0" w14:textId="510E1005" w:rsidR="00160B55" w:rsidRDefault="00796DF2" w:rsidP="00160B55">
      <w:pPr>
        <w:spacing w:after="120"/>
      </w:pPr>
      <w:r>
        <w:t xml:space="preserve">The COVID-19 pandemic had significant impacts on Wisconsin AEFLA operations and services. At the onset of the national public health crisis, Wisconsin providers quickly moved curriculum into a distance education format and trained staff on distance education technology to support ongoing instructional delivery. These efforts resulted in a large proportion of AEFLA programming being delivered through distance education at the onset of COVID-19 (see Figure </w:t>
      </w:r>
      <w:r w:rsidR="0091631A">
        <w:t>1</w:t>
      </w:r>
      <w:r>
        <w:t>).</w:t>
      </w:r>
      <w:r w:rsidR="005520B3">
        <w:t xml:space="preserve"> All </w:t>
      </w:r>
      <w:r>
        <w:t xml:space="preserve">of Wisconsin’s AEFLA providers offered </w:t>
      </w:r>
      <w:r w:rsidR="005520B3">
        <w:t xml:space="preserve">at least </w:t>
      </w:r>
      <w:r>
        <w:t xml:space="preserve">20 percent or more of their AEFLA programming in a distance </w:t>
      </w:r>
      <w:r>
        <w:lastRenderedPageBreak/>
        <w:t>education format in spring 2020</w:t>
      </w:r>
      <w:r w:rsidR="005520B3">
        <w:t>, with</w:t>
      </w:r>
      <w:r>
        <w:t xml:space="preserve"> 50 percent of Wisconsin providers offer</w:t>
      </w:r>
      <w:r w:rsidR="005520B3">
        <w:t>ing</w:t>
      </w:r>
      <w:r>
        <w:t xml:space="preserve"> 60 percent or more of their programing in a distance education format</w:t>
      </w:r>
      <w:r w:rsidR="005520B3">
        <w:t xml:space="preserve">. </w:t>
      </w:r>
      <w:r w:rsidR="005D7D4C">
        <w:t>The WTCS</w:t>
      </w:r>
      <w:r w:rsidR="59C449A6">
        <w:t xml:space="preserve"> </w:t>
      </w:r>
      <w:r w:rsidR="0DC07226">
        <w:t xml:space="preserve">Office coordinated state-wide technical assistance </w:t>
      </w:r>
      <w:r w:rsidR="5C25C1F7">
        <w:t>at the onset of the pandemic that included</w:t>
      </w:r>
      <w:r w:rsidR="096319BC">
        <w:t xml:space="preserve"> </w:t>
      </w:r>
      <w:r w:rsidR="10868419">
        <w:t>a</w:t>
      </w:r>
      <w:r w:rsidR="0071411D">
        <w:t xml:space="preserve">n expedited completion and rollout </w:t>
      </w:r>
      <w:r w:rsidR="096319BC">
        <w:t>of</w:t>
      </w:r>
      <w:r w:rsidR="0DC07226">
        <w:t xml:space="preserve"> the state</w:t>
      </w:r>
      <w:r w:rsidR="0071411D">
        <w:t>’s</w:t>
      </w:r>
      <w:r w:rsidR="0DC07226">
        <w:t xml:space="preserve"> distance education policy</w:t>
      </w:r>
      <w:r w:rsidR="57D8B1E2">
        <w:t>,</w:t>
      </w:r>
      <w:r w:rsidR="0DC07226">
        <w:t xml:space="preserve"> </w:t>
      </w:r>
      <w:r w:rsidR="65FE22DC">
        <w:t xml:space="preserve">identifying </w:t>
      </w:r>
      <w:r w:rsidR="051E8DAA">
        <w:t xml:space="preserve">instructional </w:t>
      </w:r>
      <w:r w:rsidR="0DC07226">
        <w:t>activities that qualify as distance education</w:t>
      </w:r>
      <w:r w:rsidR="04D81ED3">
        <w:t>, a review of</w:t>
      </w:r>
      <w:r w:rsidR="0DC07226">
        <w:t xml:space="preserve"> </w:t>
      </w:r>
      <w:r w:rsidR="65D0ADDA">
        <w:t>the three methods to verifying distance learning</w:t>
      </w:r>
      <w:r w:rsidR="0071411D">
        <w:t xml:space="preserve"> via “proxy” hours</w:t>
      </w:r>
      <w:r w:rsidR="55D3D6B5">
        <w:t>,</w:t>
      </w:r>
      <w:r w:rsidR="65D0ADDA">
        <w:t xml:space="preserve"> </w:t>
      </w:r>
      <w:r w:rsidR="7063B1C5">
        <w:t xml:space="preserve">identifying </w:t>
      </w:r>
      <w:r w:rsidR="35565391">
        <w:t xml:space="preserve">state </w:t>
      </w:r>
      <w:r w:rsidR="0DC07226">
        <w:t>repor</w:t>
      </w:r>
      <w:r w:rsidR="13A0CE99">
        <w:t>ting</w:t>
      </w:r>
      <w:r w:rsidR="3B38B7D3">
        <w:t xml:space="preserve"> requirements for</w:t>
      </w:r>
      <w:r w:rsidR="13A0CE99">
        <w:t xml:space="preserve"> proxy hours</w:t>
      </w:r>
      <w:r w:rsidR="6DB15119">
        <w:t>,</w:t>
      </w:r>
      <w:r w:rsidR="45232073">
        <w:t xml:space="preserve"> and </w:t>
      </w:r>
      <w:r w:rsidR="4B39317C">
        <w:t xml:space="preserve">an </w:t>
      </w:r>
      <w:r w:rsidR="59E7664D">
        <w:t>overview of distance education NRS Tables</w:t>
      </w:r>
      <w:r w:rsidR="45232073">
        <w:t xml:space="preserve">. </w:t>
      </w:r>
      <w:r w:rsidR="0071411D">
        <w:t>T</w:t>
      </w:r>
      <w:r w:rsidR="45232073">
        <w:t xml:space="preserve">hree </w:t>
      </w:r>
      <w:r w:rsidR="007379EC">
        <w:t xml:space="preserve">virtual </w:t>
      </w:r>
      <w:r w:rsidR="45232073">
        <w:t xml:space="preserve">sessions </w:t>
      </w:r>
      <w:r w:rsidR="00A8063F">
        <w:t xml:space="preserve">on distance education </w:t>
      </w:r>
      <w:r w:rsidR="45232073">
        <w:t>were coordinated</w:t>
      </w:r>
      <w:r w:rsidR="00A8063F">
        <w:t xml:space="preserve"> with </w:t>
      </w:r>
      <w:r w:rsidR="45232073">
        <w:t>all AEFLA provider</w:t>
      </w:r>
      <w:r w:rsidR="00A8063F">
        <w:t xml:space="preserve">s attending a </w:t>
      </w:r>
      <w:r w:rsidR="45232073">
        <w:t>session.</w:t>
      </w:r>
      <w:r w:rsidR="13A0CE99">
        <w:t xml:space="preserve"> </w:t>
      </w:r>
    </w:p>
    <w:p w14:paraId="723CFC2E" w14:textId="5F64C578" w:rsidR="00160B55" w:rsidRPr="00A37DB0" w:rsidRDefault="00160B55" w:rsidP="00160B55">
      <w:pPr>
        <w:spacing w:before="120" w:after="0"/>
        <w:rPr>
          <w:rFonts w:eastAsia="Times New Roman"/>
        </w:rPr>
      </w:pPr>
      <w:r>
        <w:rPr>
          <w:rFonts w:eastAsia="Times New Roman"/>
          <w:b/>
          <w:bCs/>
        </w:rPr>
        <w:t>Figure</w:t>
      </w:r>
      <w:r w:rsidRPr="000422C6">
        <w:rPr>
          <w:rFonts w:eastAsia="Times New Roman"/>
          <w:b/>
          <w:bCs/>
        </w:rPr>
        <w:t xml:space="preserve"> </w:t>
      </w:r>
      <w:r w:rsidR="0091631A">
        <w:rPr>
          <w:rFonts w:eastAsia="Times New Roman"/>
          <w:b/>
          <w:bCs/>
        </w:rPr>
        <w:t>1</w:t>
      </w:r>
      <w:r w:rsidRPr="000422C6">
        <w:rPr>
          <w:rFonts w:eastAsia="Times New Roman"/>
          <w:b/>
          <w:bCs/>
        </w:rPr>
        <w:t>.</w:t>
      </w:r>
      <w:r>
        <w:rPr>
          <w:rFonts w:eastAsia="Times New Roman"/>
          <w:b/>
          <w:bCs/>
        </w:rPr>
        <w:t xml:space="preserve"> Percent of AEFLA programming offered as distance education in spring 2020.</w:t>
      </w:r>
    </w:p>
    <w:p w14:paraId="28A366F3" w14:textId="77777777" w:rsidR="00160B55" w:rsidRDefault="00160B55" w:rsidP="00160B55">
      <w:pPr>
        <w:spacing w:after="120"/>
      </w:pPr>
      <w:r>
        <w:rPr>
          <w:noProof/>
        </w:rPr>
        <w:drawing>
          <wp:inline distT="0" distB="0" distL="0" distR="0" wp14:anchorId="407ED9FA" wp14:editId="71E8110F">
            <wp:extent cx="5372654" cy="375397"/>
            <wp:effectExtent l="19050" t="19050" r="19050" b="2476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8848" cy="400984"/>
                    </a:xfrm>
                    <a:prstGeom prst="rect">
                      <a:avLst/>
                    </a:prstGeom>
                    <a:ln>
                      <a:solidFill>
                        <a:schemeClr val="tx1"/>
                      </a:solidFill>
                    </a:ln>
                  </pic:spPr>
                </pic:pic>
              </a:graphicData>
            </a:graphic>
          </wp:inline>
        </w:drawing>
      </w:r>
    </w:p>
    <w:p w14:paraId="585EA68E" w14:textId="0C638D5C" w:rsidR="001F14CA" w:rsidRDefault="001F14CA" w:rsidP="001F14CA">
      <w:pPr>
        <w:spacing w:before="60" w:after="120"/>
      </w:pPr>
      <w:r>
        <w:t>Wisconsin AEFLA providers also coordinated non-instructional services to ensure students were holistically supported during the uncertainty of the pandemic. Services included expanded referrals to other community programs to support food and housing resources, implementing new approaches</w:t>
      </w:r>
      <w:r w:rsidR="000957E3">
        <w:t xml:space="preserve"> (e.g. social media)</w:t>
      </w:r>
      <w:r>
        <w:t xml:space="preserve"> to remain in contact with students, training students on navigating distance education technology, and providing students </w:t>
      </w:r>
      <w:r w:rsidR="000957E3">
        <w:t xml:space="preserve">with </w:t>
      </w:r>
      <w:r>
        <w:t xml:space="preserve">access to technology including laptops and internet hot spots. While Wisconsin quickly transitioned AEFLA programming to a distance education format, COVID-19 still had a substantial impact on </w:t>
      </w:r>
      <w:r w:rsidR="00210815">
        <w:t xml:space="preserve">current students and new </w:t>
      </w:r>
      <w:r>
        <w:t xml:space="preserve">participant engagement in </w:t>
      </w:r>
      <w:r w:rsidR="00E56F1E">
        <w:t xml:space="preserve">adult education </w:t>
      </w:r>
      <w:r>
        <w:t>services.</w:t>
      </w:r>
    </w:p>
    <w:p w14:paraId="422884C8" w14:textId="5F3AAE58" w:rsidR="001F14CA" w:rsidRDefault="001F14CA" w:rsidP="001F14CA">
      <w:pPr>
        <w:spacing w:before="120" w:after="120"/>
      </w:pPr>
      <w:r>
        <w:t xml:space="preserve">Of the 11,280 participants served in the Wisconsin AEFLA program during the 2019-20 program year, nearly 30 percent exited the program prior to </w:t>
      </w:r>
      <w:r w:rsidR="00E56F1E">
        <w:t xml:space="preserve">or at </w:t>
      </w:r>
      <w:r>
        <w:t xml:space="preserve">the onset of COVID-19 in March 2020. This means that more than 70 percent of participants in the AEFLA program either had an interruption of services or began services during the COVID-19 crisis. Of the participants that continued in their program beyond March 2020, more than 52 percent transitioned to emergency remote instruction delivered through distance education. </w:t>
      </w:r>
    </w:p>
    <w:p w14:paraId="277AB56A" w14:textId="2CA394C4" w:rsidR="001F14CA" w:rsidRDefault="001F14CA" w:rsidP="001F14CA">
      <w:pPr>
        <w:spacing w:before="120" w:after="120"/>
      </w:pPr>
      <w:r>
        <w:t>Discussions with Wisconsin providers reveal</w:t>
      </w:r>
      <w:r w:rsidR="0001440B">
        <w:t>ed</w:t>
      </w:r>
      <w:r>
        <w:t xml:space="preserve"> that many AEFLA participants were unable to maintain engagement in the program due to the pandemic’s impact on their family. Most notably, caring for school aged and young childre</w:t>
      </w:r>
      <w:r w:rsidR="00EC6331">
        <w:t xml:space="preserve">n, many of whom were also engaged in </w:t>
      </w:r>
      <w:r w:rsidR="005018EE">
        <w:t>distance education learning for the first time</w:t>
      </w:r>
      <w:r>
        <w:t xml:space="preserve">. These provider comments are further substantiated by pivotal Wisconsin events related to COVID-19. On March 13, 2020 Wisconsin Governor Tony Evers announced the emergency mandate to close all K-12 public schools. Additionally, 39 percent of Wisconsin’s 4,500 childcare providers reported to the Department of Children and Families that they had closed due to the pandemic as of May 19, 2020. </w:t>
      </w:r>
    </w:p>
    <w:p w14:paraId="64D5FECE" w14:textId="4495B162" w:rsidR="002C57C6" w:rsidRDefault="00101C80" w:rsidP="00160B55">
      <w:pPr>
        <w:spacing w:before="120" w:after="120"/>
      </w:pPr>
      <w:r w:rsidRPr="00D45A19">
        <w:rPr>
          <w:rFonts w:eastAsia="Times New Roman"/>
          <w:noProof/>
        </w:rPr>
        <mc:AlternateContent>
          <mc:Choice Requires="wps">
            <w:drawing>
              <wp:anchor distT="45720" distB="45720" distL="114300" distR="114300" simplePos="0" relativeHeight="251663363" behindDoc="0" locked="0" layoutInCell="1" allowOverlap="1" wp14:anchorId="7EF1C973" wp14:editId="3E71FE1A">
                <wp:simplePos x="0" y="0"/>
                <wp:positionH relativeFrom="page">
                  <wp:align>right</wp:align>
                </wp:positionH>
                <wp:positionV relativeFrom="paragraph">
                  <wp:posOffset>219075</wp:posOffset>
                </wp:positionV>
                <wp:extent cx="5521960" cy="2100580"/>
                <wp:effectExtent l="0" t="0" r="254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1960" cy="2100580"/>
                        </a:xfrm>
                        <a:prstGeom prst="rect">
                          <a:avLst/>
                        </a:prstGeom>
                        <a:solidFill>
                          <a:srgbClr val="FFFFFF"/>
                        </a:solidFill>
                        <a:ln w="9525">
                          <a:noFill/>
                          <a:miter lim="800000"/>
                          <a:headEnd/>
                          <a:tailEnd/>
                        </a:ln>
                      </wps:spPr>
                      <wps:txbx>
                        <w:txbxContent>
                          <w:p w14:paraId="53CC9A27" w14:textId="4B8A9522" w:rsidR="002F2400" w:rsidRPr="000422C6" w:rsidRDefault="002F2400" w:rsidP="002F2400">
                            <w:pPr>
                              <w:spacing w:after="0"/>
                              <w:rPr>
                                <w:rFonts w:eastAsia="Times New Roman"/>
                                <w:b/>
                                <w:bCs/>
                              </w:rPr>
                            </w:pPr>
                            <w:r w:rsidRPr="000422C6">
                              <w:rPr>
                                <w:rFonts w:eastAsia="Times New Roman"/>
                                <w:b/>
                                <w:bCs/>
                              </w:rPr>
                              <w:t xml:space="preserve">Table </w:t>
                            </w:r>
                            <w:r w:rsidR="00E93259">
                              <w:rPr>
                                <w:rFonts w:eastAsia="Times New Roman"/>
                                <w:b/>
                                <w:bCs/>
                              </w:rPr>
                              <w:t>1</w:t>
                            </w:r>
                            <w:r w:rsidRPr="000422C6">
                              <w:rPr>
                                <w:rFonts w:eastAsia="Times New Roman"/>
                                <w:b/>
                                <w:bCs/>
                              </w:rPr>
                              <w:t xml:space="preserve">. </w:t>
                            </w:r>
                            <w:r>
                              <w:rPr>
                                <w:rFonts w:eastAsia="Times New Roman"/>
                                <w:b/>
                                <w:bCs/>
                              </w:rPr>
                              <w:t>Differences in Measurable Skill Gain pre-pandemic and during pandemic (2019-20)</w:t>
                            </w:r>
                            <w:r w:rsidRPr="000422C6">
                              <w:rPr>
                                <w:rFonts w:eastAsia="Times New Roman"/>
                                <w:b/>
                                <w:bCs/>
                              </w:rPr>
                              <w:t>.</w:t>
                            </w:r>
                          </w:p>
                          <w:tbl>
                            <w:tblPr>
                              <w:tblW w:w="0" w:type="auto"/>
                              <w:tblLook w:val="04A0" w:firstRow="1" w:lastRow="0" w:firstColumn="1" w:lastColumn="0" w:noHBand="0" w:noVBand="1"/>
                            </w:tblPr>
                            <w:tblGrid>
                              <w:gridCol w:w="3034"/>
                              <w:gridCol w:w="1814"/>
                              <w:gridCol w:w="2075"/>
                              <w:gridCol w:w="1082"/>
                            </w:tblGrid>
                            <w:tr w:rsidR="002F2400" w:rsidRPr="00691FBB" w14:paraId="44CE6452" w14:textId="77777777" w:rsidTr="00F870A9">
                              <w:trPr>
                                <w:trHeight w:val="50"/>
                              </w:trPr>
                              <w:tc>
                                <w:tcPr>
                                  <w:tcW w:w="0" w:type="auto"/>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6B42A5A7" w14:textId="77777777" w:rsidR="002F2400" w:rsidRPr="00691FBB" w:rsidRDefault="002F2400" w:rsidP="002F2400">
                                  <w:pPr>
                                    <w:spacing w:after="0" w:line="240" w:lineRule="auto"/>
                                    <w:rPr>
                                      <w:rFonts w:eastAsia="Times New Roman" w:cstheme="minorHAnsi"/>
                                      <w:b/>
                                      <w:bCs/>
                                      <w:color w:val="000000"/>
                                      <w:sz w:val="20"/>
                                      <w:szCs w:val="20"/>
                                    </w:rPr>
                                  </w:pPr>
                                  <w:r w:rsidRPr="00691FBB">
                                    <w:rPr>
                                      <w:rFonts w:eastAsia="Times New Roman" w:cstheme="minorHAnsi"/>
                                      <w:b/>
                                      <w:bCs/>
                                      <w:color w:val="000000"/>
                                      <w:sz w:val="20"/>
                                      <w:szCs w:val="20"/>
                                    </w:rPr>
                                    <w:t> </w:t>
                                  </w:r>
                                </w:p>
                              </w:tc>
                              <w:tc>
                                <w:tcPr>
                                  <w:tcW w:w="0" w:type="auto"/>
                                  <w:tcBorders>
                                    <w:top w:val="single" w:sz="4" w:space="0" w:color="auto"/>
                                    <w:left w:val="nil"/>
                                    <w:bottom w:val="single" w:sz="4" w:space="0" w:color="auto"/>
                                    <w:right w:val="single" w:sz="4" w:space="0" w:color="auto"/>
                                  </w:tcBorders>
                                  <w:shd w:val="clear" w:color="000000" w:fill="E2EFDA"/>
                                  <w:noWrap/>
                                  <w:vAlign w:val="bottom"/>
                                  <w:hideMark/>
                                </w:tcPr>
                                <w:p w14:paraId="76D9EF8D" w14:textId="77777777" w:rsidR="002F2400" w:rsidRPr="00691FBB" w:rsidRDefault="002F2400" w:rsidP="002F2400">
                                  <w:pPr>
                                    <w:spacing w:after="0" w:line="240" w:lineRule="auto"/>
                                    <w:jc w:val="center"/>
                                    <w:rPr>
                                      <w:rFonts w:eastAsia="Times New Roman" w:cstheme="minorHAnsi"/>
                                      <w:b/>
                                      <w:bCs/>
                                      <w:color w:val="000000"/>
                                      <w:sz w:val="20"/>
                                      <w:szCs w:val="20"/>
                                    </w:rPr>
                                  </w:pPr>
                                  <w:r w:rsidRPr="00691FBB">
                                    <w:rPr>
                                      <w:rFonts w:eastAsia="Times New Roman" w:cstheme="minorHAnsi"/>
                                      <w:b/>
                                      <w:bCs/>
                                      <w:color w:val="000000"/>
                                      <w:sz w:val="20"/>
                                      <w:szCs w:val="20"/>
                                    </w:rPr>
                                    <w:t>MSG Pre-Pandemic</w:t>
                                  </w:r>
                                </w:p>
                              </w:tc>
                              <w:tc>
                                <w:tcPr>
                                  <w:tcW w:w="0" w:type="auto"/>
                                  <w:tcBorders>
                                    <w:top w:val="single" w:sz="4" w:space="0" w:color="auto"/>
                                    <w:left w:val="nil"/>
                                    <w:bottom w:val="single" w:sz="4" w:space="0" w:color="auto"/>
                                    <w:right w:val="single" w:sz="4" w:space="0" w:color="auto"/>
                                  </w:tcBorders>
                                  <w:shd w:val="clear" w:color="000000" w:fill="E2EFDA"/>
                                  <w:noWrap/>
                                  <w:vAlign w:val="bottom"/>
                                  <w:hideMark/>
                                </w:tcPr>
                                <w:p w14:paraId="21C7E60A" w14:textId="77777777" w:rsidR="002F2400" w:rsidRPr="00691FBB" w:rsidRDefault="002F2400" w:rsidP="002F2400">
                                  <w:pPr>
                                    <w:spacing w:after="0" w:line="240" w:lineRule="auto"/>
                                    <w:jc w:val="center"/>
                                    <w:rPr>
                                      <w:rFonts w:eastAsia="Times New Roman" w:cstheme="minorHAnsi"/>
                                      <w:b/>
                                      <w:bCs/>
                                      <w:color w:val="000000"/>
                                      <w:sz w:val="20"/>
                                      <w:szCs w:val="20"/>
                                    </w:rPr>
                                  </w:pPr>
                                  <w:r w:rsidRPr="00691FBB">
                                    <w:rPr>
                                      <w:rFonts w:eastAsia="Times New Roman" w:cstheme="minorHAnsi"/>
                                      <w:b/>
                                      <w:bCs/>
                                      <w:color w:val="000000"/>
                                      <w:sz w:val="20"/>
                                      <w:szCs w:val="20"/>
                                    </w:rPr>
                                    <w:t>MSG During Pandemic</w:t>
                                  </w:r>
                                </w:p>
                              </w:tc>
                              <w:tc>
                                <w:tcPr>
                                  <w:tcW w:w="0" w:type="auto"/>
                                  <w:tcBorders>
                                    <w:top w:val="single" w:sz="4" w:space="0" w:color="auto"/>
                                    <w:left w:val="nil"/>
                                    <w:bottom w:val="single" w:sz="4" w:space="0" w:color="auto"/>
                                    <w:right w:val="single" w:sz="4" w:space="0" w:color="auto"/>
                                  </w:tcBorders>
                                  <w:shd w:val="clear" w:color="000000" w:fill="E2EFDA"/>
                                  <w:noWrap/>
                                  <w:vAlign w:val="bottom"/>
                                  <w:hideMark/>
                                </w:tcPr>
                                <w:p w14:paraId="0CD0E42E" w14:textId="77777777" w:rsidR="002F2400" w:rsidRPr="00691FBB" w:rsidRDefault="002F2400" w:rsidP="002F2400">
                                  <w:pPr>
                                    <w:spacing w:after="0" w:line="240" w:lineRule="auto"/>
                                    <w:jc w:val="center"/>
                                    <w:rPr>
                                      <w:rFonts w:eastAsia="Times New Roman" w:cstheme="minorHAnsi"/>
                                      <w:b/>
                                      <w:bCs/>
                                      <w:color w:val="000000"/>
                                      <w:sz w:val="20"/>
                                      <w:szCs w:val="20"/>
                                    </w:rPr>
                                  </w:pPr>
                                  <w:r w:rsidRPr="00691FBB">
                                    <w:rPr>
                                      <w:rFonts w:eastAsia="Times New Roman" w:cstheme="minorHAnsi"/>
                                      <w:b/>
                                      <w:bCs/>
                                      <w:color w:val="000000"/>
                                      <w:sz w:val="20"/>
                                      <w:szCs w:val="20"/>
                                    </w:rPr>
                                    <w:t>Difference</w:t>
                                  </w:r>
                                </w:p>
                              </w:tc>
                            </w:tr>
                            <w:tr w:rsidR="002F2400" w:rsidRPr="00691FBB" w14:paraId="2E97EC44" w14:textId="77777777" w:rsidTr="00F870A9">
                              <w:trPr>
                                <w:trHeight w:val="5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CEB6CB0" w14:textId="77777777" w:rsidR="002F2400" w:rsidRPr="00691FBB" w:rsidRDefault="002F2400" w:rsidP="002F2400">
                                  <w:pPr>
                                    <w:spacing w:after="0" w:line="240" w:lineRule="auto"/>
                                    <w:rPr>
                                      <w:rFonts w:eastAsia="Times New Roman" w:cstheme="minorHAnsi"/>
                                      <w:i/>
                                      <w:iCs/>
                                      <w:color w:val="000000"/>
                                      <w:sz w:val="20"/>
                                      <w:szCs w:val="20"/>
                                    </w:rPr>
                                  </w:pPr>
                                  <w:r w:rsidRPr="00691FBB">
                                    <w:rPr>
                                      <w:rFonts w:eastAsia="Times New Roman" w:cstheme="minorHAnsi"/>
                                      <w:i/>
                                      <w:iCs/>
                                      <w:color w:val="000000"/>
                                      <w:sz w:val="20"/>
                                      <w:szCs w:val="20"/>
                                    </w:rPr>
                                    <w:t>Overall</w:t>
                                  </w:r>
                                </w:p>
                              </w:tc>
                              <w:tc>
                                <w:tcPr>
                                  <w:tcW w:w="0" w:type="auto"/>
                                  <w:tcBorders>
                                    <w:top w:val="nil"/>
                                    <w:left w:val="nil"/>
                                    <w:bottom w:val="single" w:sz="4" w:space="0" w:color="auto"/>
                                    <w:right w:val="single" w:sz="4" w:space="0" w:color="auto"/>
                                  </w:tcBorders>
                                  <w:shd w:val="clear" w:color="auto" w:fill="auto"/>
                                  <w:noWrap/>
                                  <w:vAlign w:val="bottom"/>
                                  <w:hideMark/>
                                </w:tcPr>
                                <w:p w14:paraId="2EB5800B" w14:textId="77777777" w:rsidR="002F2400" w:rsidRPr="00691FBB" w:rsidRDefault="002F2400" w:rsidP="002F2400">
                                  <w:pPr>
                                    <w:spacing w:after="0" w:line="240" w:lineRule="auto"/>
                                    <w:jc w:val="right"/>
                                    <w:rPr>
                                      <w:rFonts w:eastAsia="Times New Roman" w:cstheme="minorHAnsi"/>
                                      <w:i/>
                                      <w:iCs/>
                                      <w:color w:val="000000"/>
                                      <w:sz w:val="20"/>
                                      <w:szCs w:val="20"/>
                                    </w:rPr>
                                  </w:pPr>
                                  <w:r w:rsidRPr="00691FBB">
                                    <w:rPr>
                                      <w:rFonts w:eastAsia="Times New Roman" w:cstheme="minorHAnsi"/>
                                      <w:i/>
                                      <w:iCs/>
                                      <w:color w:val="000000"/>
                                      <w:sz w:val="20"/>
                                      <w:szCs w:val="20"/>
                                    </w:rPr>
                                    <w:t>52%</w:t>
                                  </w:r>
                                </w:p>
                              </w:tc>
                              <w:tc>
                                <w:tcPr>
                                  <w:tcW w:w="0" w:type="auto"/>
                                  <w:tcBorders>
                                    <w:top w:val="nil"/>
                                    <w:left w:val="nil"/>
                                    <w:bottom w:val="single" w:sz="4" w:space="0" w:color="auto"/>
                                    <w:right w:val="single" w:sz="4" w:space="0" w:color="auto"/>
                                  </w:tcBorders>
                                  <w:shd w:val="clear" w:color="auto" w:fill="auto"/>
                                  <w:noWrap/>
                                  <w:vAlign w:val="bottom"/>
                                  <w:hideMark/>
                                </w:tcPr>
                                <w:p w14:paraId="03FDF340" w14:textId="77777777" w:rsidR="002F2400" w:rsidRPr="00691FBB" w:rsidRDefault="002F2400" w:rsidP="002F2400">
                                  <w:pPr>
                                    <w:spacing w:after="0" w:line="240" w:lineRule="auto"/>
                                    <w:jc w:val="right"/>
                                    <w:rPr>
                                      <w:rFonts w:eastAsia="Times New Roman" w:cstheme="minorHAnsi"/>
                                      <w:i/>
                                      <w:iCs/>
                                      <w:color w:val="000000"/>
                                      <w:sz w:val="20"/>
                                      <w:szCs w:val="20"/>
                                    </w:rPr>
                                  </w:pPr>
                                  <w:r w:rsidRPr="00691FBB">
                                    <w:rPr>
                                      <w:rFonts w:eastAsia="Times New Roman" w:cstheme="minorHAnsi"/>
                                      <w:i/>
                                      <w:iCs/>
                                      <w:color w:val="000000"/>
                                      <w:sz w:val="20"/>
                                      <w:szCs w:val="20"/>
                                    </w:rPr>
                                    <w:t>42%</w:t>
                                  </w:r>
                                </w:p>
                              </w:tc>
                              <w:tc>
                                <w:tcPr>
                                  <w:tcW w:w="0" w:type="auto"/>
                                  <w:tcBorders>
                                    <w:top w:val="nil"/>
                                    <w:left w:val="nil"/>
                                    <w:bottom w:val="single" w:sz="4" w:space="0" w:color="auto"/>
                                    <w:right w:val="single" w:sz="4" w:space="0" w:color="auto"/>
                                  </w:tcBorders>
                                  <w:shd w:val="clear" w:color="auto" w:fill="auto"/>
                                  <w:noWrap/>
                                  <w:vAlign w:val="bottom"/>
                                  <w:hideMark/>
                                </w:tcPr>
                                <w:p w14:paraId="40699C24" w14:textId="77777777" w:rsidR="002F2400" w:rsidRPr="00691FBB" w:rsidRDefault="002F2400" w:rsidP="002F2400">
                                  <w:pPr>
                                    <w:spacing w:after="0" w:line="240" w:lineRule="auto"/>
                                    <w:jc w:val="right"/>
                                    <w:rPr>
                                      <w:rFonts w:eastAsia="Times New Roman" w:cstheme="minorHAnsi"/>
                                      <w:i/>
                                      <w:iCs/>
                                      <w:color w:val="000000"/>
                                      <w:sz w:val="20"/>
                                      <w:szCs w:val="20"/>
                                    </w:rPr>
                                  </w:pPr>
                                  <w:r w:rsidRPr="00691FBB">
                                    <w:rPr>
                                      <w:rFonts w:eastAsia="Times New Roman" w:cstheme="minorHAnsi"/>
                                      <w:i/>
                                      <w:iCs/>
                                      <w:color w:val="000000"/>
                                      <w:sz w:val="20"/>
                                      <w:szCs w:val="20"/>
                                    </w:rPr>
                                    <w:t>-10%</w:t>
                                  </w:r>
                                </w:p>
                              </w:tc>
                            </w:tr>
                            <w:tr w:rsidR="002F2400" w:rsidRPr="00691FBB" w14:paraId="7E6FB8E0" w14:textId="77777777" w:rsidTr="00F870A9">
                              <w:trPr>
                                <w:trHeight w:val="50"/>
                              </w:trPr>
                              <w:tc>
                                <w:tcPr>
                                  <w:tcW w:w="0" w:type="auto"/>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154FC8B8" w14:textId="77777777" w:rsidR="002F2400" w:rsidRPr="00691FBB" w:rsidRDefault="002F2400" w:rsidP="002F2400">
                                  <w:pPr>
                                    <w:spacing w:after="0" w:line="240" w:lineRule="auto"/>
                                    <w:ind w:firstLineChars="100" w:firstLine="200"/>
                                    <w:rPr>
                                      <w:rFonts w:eastAsia="Times New Roman" w:cstheme="minorHAnsi"/>
                                      <w:color w:val="000000"/>
                                      <w:sz w:val="20"/>
                                      <w:szCs w:val="20"/>
                                    </w:rPr>
                                  </w:pPr>
                                  <w:r w:rsidRPr="00691FBB">
                                    <w:rPr>
                                      <w:rFonts w:eastAsia="Times New Roman" w:cstheme="minorHAnsi"/>
                                      <w:color w:val="000000"/>
                                      <w:sz w:val="20"/>
                                      <w:szCs w:val="20"/>
                                    </w:rPr>
                                    <w:t>American Indian/Alaskan Native</w:t>
                                  </w:r>
                                </w:p>
                              </w:tc>
                              <w:tc>
                                <w:tcPr>
                                  <w:tcW w:w="0" w:type="auto"/>
                                  <w:tcBorders>
                                    <w:top w:val="nil"/>
                                    <w:left w:val="nil"/>
                                    <w:bottom w:val="single" w:sz="4" w:space="0" w:color="auto"/>
                                    <w:right w:val="single" w:sz="4" w:space="0" w:color="auto"/>
                                  </w:tcBorders>
                                  <w:shd w:val="clear" w:color="auto" w:fill="F2F2F2" w:themeFill="background1" w:themeFillShade="F2"/>
                                  <w:noWrap/>
                                  <w:vAlign w:val="bottom"/>
                                  <w:hideMark/>
                                </w:tcPr>
                                <w:p w14:paraId="30D3F06B" w14:textId="77777777" w:rsidR="002F2400" w:rsidRPr="00691FBB" w:rsidRDefault="002F2400" w:rsidP="002F2400">
                                  <w:pPr>
                                    <w:spacing w:after="0" w:line="240" w:lineRule="auto"/>
                                    <w:jc w:val="right"/>
                                    <w:rPr>
                                      <w:rFonts w:eastAsia="Times New Roman" w:cstheme="minorHAnsi"/>
                                      <w:color w:val="000000"/>
                                      <w:sz w:val="20"/>
                                      <w:szCs w:val="20"/>
                                    </w:rPr>
                                  </w:pPr>
                                  <w:r w:rsidRPr="00691FBB">
                                    <w:rPr>
                                      <w:rFonts w:eastAsia="Times New Roman" w:cstheme="minorHAnsi"/>
                                      <w:color w:val="000000"/>
                                      <w:sz w:val="20"/>
                                      <w:szCs w:val="20"/>
                                    </w:rPr>
                                    <w:t>36%</w:t>
                                  </w:r>
                                </w:p>
                              </w:tc>
                              <w:tc>
                                <w:tcPr>
                                  <w:tcW w:w="0" w:type="auto"/>
                                  <w:tcBorders>
                                    <w:top w:val="nil"/>
                                    <w:left w:val="nil"/>
                                    <w:bottom w:val="single" w:sz="4" w:space="0" w:color="auto"/>
                                    <w:right w:val="single" w:sz="4" w:space="0" w:color="auto"/>
                                  </w:tcBorders>
                                  <w:shd w:val="clear" w:color="auto" w:fill="F2F2F2" w:themeFill="background1" w:themeFillShade="F2"/>
                                  <w:noWrap/>
                                  <w:vAlign w:val="bottom"/>
                                  <w:hideMark/>
                                </w:tcPr>
                                <w:p w14:paraId="4DBB0DD7" w14:textId="77777777" w:rsidR="002F2400" w:rsidRPr="00691FBB" w:rsidRDefault="002F2400" w:rsidP="002F2400">
                                  <w:pPr>
                                    <w:spacing w:after="0" w:line="240" w:lineRule="auto"/>
                                    <w:jc w:val="right"/>
                                    <w:rPr>
                                      <w:rFonts w:eastAsia="Times New Roman" w:cstheme="minorHAnsi"/>
                                      <w:color w:val="000000"/>
                                      <w:sz w:val="20"/>
                                      <w:szCs w:val="20"/>
                                    </w:rPr>
                                  </w:pPr>
                                  <w:r w:rsidRPr="00691FBB">
                                    <w:rPr>
                                      <w:rFonts w:eastAsia="Times New Roman" w:cstheme="minorHAnsi"/>
                                      <w:color w:val="000000"/>
                                      <w:sz w:val="20"/>
                                      <w:szCs w:val="20"/>
                                    </w:rPr>
                                    <w:t>26%</w:t>
                                  </w:r>
                                </w:p>
                              </w:tc>
                              <w:tc>
                                <w:tcPr>
                                  <w:tcW w:w="0" w:type="auto"/>
                                  <w:tcBorders>
                                    <w:top w:val="nil"/>
                                    <w:left w:val="nil"/>
                                    <w:bottom w:val="single" w:sz="4" w:space="0" w:color="auto"/>
                                    <w:right w:val="single" w:sz="4" w:space="0" w:color="auto"/>
                                  </w:tcBorders>
                                  <w:shd w:val="clear" w:color="auto" w:fill="F2F2F2" w:themeFill="background1" w:themeFillShade="F2"/>
                                  <w:noWrap/>
                                  <w:vAlign w:val="bottom"/>
                                  <w:hideMark/>
                                </w:tcPr>
                                <w:p w14:paraId="1C0ECA33" w14:textId="77777777" w:rsidR="002F2400" w:rsidRPr="00691FBB" w:rsidRDefault="002F2400" w:rsidP="002F2400">
                                  <w:pPr>
                                    <w:spacing w:after="0" w:line="240" w:lineRule="auto"/>
                                    <w:jc w:val="right"/>
                                    <w:rPr>
                                      <w:rFonts w:eastAsia="Times New Roman" w:cstheme="minorHAnsi"/>
                                      <w:color w:val="000000"/>
                                      <w:sz w:val="20"/>
                                      <w:szCs w:val="20"/>
                                    </w:rPr>
                                  </w:pPr>
                                  <w:r w:rsidRPr="00691FBB">
                                    <w:rPr>
                                      <w:rFonts w:eastAsia="Times New Roman" w:cstheme="minorHAnsi"/>
                                      <w:color w:val="000000"/>
                                      <w:sz w:val="20"/>
                                      <w:szCs w:val="20"/>
                                    </w:rPr>
                                    <w:t>-10%</w:t>
                                  </w:r>
                                </w:p>
                              </w:tc>
                            </w:tr>
                            <w:tr w:rsidR="002F2400" w:rsidRPr="00691FBB" w14:paraId="6A660847" w14:textId="77777777" w:rsidTr="00F870A9">
                              <w:trPr>
                                <w:trHeight w:val="5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F146BFA" w14:textId="77777777" w:rsidR="002F2400" w:rsidRPr="00691FBB" w:rsidRDefault="002F2400" w:rsidP="002F2400">
                                  <w:pPr>
                                    <w:spacing w:after="0" w:line="240" w:lineRule="auto"/>
                                    <w:ind w:firstLineChars="100" w:firstLine="200"/>
                                    <w:rPr>
                                      <w:rFonts w:eastAsia="Times New Roman" w:cstheme="minorHAnsi"/>
                                      <w:color w:val="000000"/>
                                      <w:sz w:val="20"/>
                                      <w:szCs w:val="20"/>
                                    </w:rPr>
                                  </w:pPr>
                                  <w:r w:rsidRPr="00691FBB">
                                    <w:rPr>
                                      <w:rFonts w:eastAsia="Times New Roman" w:cstheme="minorHAnsi"/>
                                      <w:color w:val="000000"/>
                                      <w:sz w:val="20"/>
                                      <w:szCs w:val="20"/>
                                    </w:rPr>
                                    <w:t>Asian</w:t>
                                  </w:r>
                                </w:p>
                              </w:tc>
                              <w:tc>
                                <w:tcPr>
                                  <w:tcW w:w="0" w:type="auto"/>
                                  <w:tcBorders>
                                    <w:top w:val="nil"/>
                                    <w:left w:val="nil"/>
                                    <w:bottom w:val="single" w:sz="4" w:space="0" w:color="auto"/>
                                    <w:right w:val="single" w:sz="4" w:space="0" w:color="auto"/>
                                  </w:tcBorders>
                                  <w:shd w:val="clear" w:color="auto" w:fill="auto"/>
                                  <w:noWrap/>
                                  <w:vAlign w:val="bottom"/>
                                  <w:hideMark/>
                                </w:tcPr>
                                <w:p w14:paraId="6D7F205F" w14:textId="77777777" w:rsidR="002F2400" w:rsidRPr="00691FBB" w:rsidRDefault="002F2400" w:rsidP="002F2400">
                                  <w:pPr>
                                    <w:spacing w:after="0" w:line="240" w:lineRule="auto"/>
                                    <w:jc w:val="right"/>
                                    <w:rPr>
                                      <w:rFonts w:eastAsia="Times New Roman" w:cstheme="minorHAnsi"/>
                                      <w:color w:val="000000"/>
                                      <w:sz w:val="20"/>
                                      <w:szCs w:val="20"/>
                                    </w:rPr>
                                  </w:pPr>
                                  <w:r w:rsidRPr="00691FBB">
                                    <w:rPr>
                                      <w:rFonts w:eastAsia="Times New Roman" w:cstheme="minorHAnsi"/>
                                      <w:color w:val="000000"/>
                                      <w:sz w:val="20"/>
                                      <w:szCs w:val="20"/>
                                    </w:rPr>
                                    <w:t>53%</w:t>
                                  </w:r>
                                </w:p>
                              </w:tc>
                              <w:tc>
                                <w:tcPr>
                                  <w:tcW w:w="0" w:type="auto"/>
                                  <w:tcBorders>
                                    <w:top w:val="nil"/>
                                    <w:left w:val="nil"/>
                                    <w:bottom w:val="single" w:sz="4" w:space="0" w:color="auto"/>
                                    <w:right w:val="single" w:sz="4" w:space="0" w:color="auto"/>
                                  </w:tcBorders>
                                  <w:shd w:val="clear" w:color="auto" w:fill="auto"/>
                                  <w:noWrap/>
                                  <w:vAlign w:val="bottom"/>
                                  <w:hideMark/>
                                </w:tcPr>
                                <w:p w14:paraId="4109D273" w14:textId="77777777" w:rsidR="002F2400" w:rsidRPr="00691FBB" w:rsidRDefault="002F2400" w:rsidP="002F2400">
                                  <w:pPr>
                                    <w:spacing w:after="0" w:line="240" w:lineRule="auto"/>
                                    <w:jc w:val="right"/>
                                    <w:rPr>
                                      <w:rFonts w:eastAsia="Times New Roman" w:cstheme="minorHAnsi"/>
                                      <w:color w:val="000000"/>
                                      <w:sz w:val="20"/>
                                      <w:szCs w:val="20"/>
                                    </w:rPr>
                                  </w:pPr>
                                  <w:r w:rsidRPr="00691FBB">
                                    <w:rPr>
                                      <w:rFonts w:eastAsia="Times New Roman" w:cstheme="minorHAnsi"/>
                                      <w:color w:val="000000"/>
                                      <w:sz w:val="20"/>
                                      <w:szCs w:val="20"/>
                                    </w:rPr>
                                    <w:t>43%</w:t>
                                  </w:r>
                                </w:p>
                              </w:tc>
                              <w:tc>
                                <w:tcPr>
                                  <w:tcW w:w="0" w:type="auto"/>
                                  <w:tcBorders>
                                    <w:top w:val="nil"/>
                                    <w:left w:val="nil"/>
                                    <w:bottom w:val="single" w:sz="4" w:space="0" w:color="auto"/>
                                    <w:right w:val="single" w:sz="4" w:space="0" w:color="auto"/>
                                  </w:tcBorders>
                                  <w:shd w:val="clear" w:color="auto" w:fill="auto"/>
                                  <w:noWrap/>
                                  <w:vAlign w:val="bottom"/>
                                  <w:hideMark/>
                                </w:tcPr>
                                <w:p w14:paraId="30DB5C05" w14:textId="77777777" w:rsidR="002F2400" w:rsidRPr="00691FBB" w:rsidRDefault="002F2400" w:rsidP="002F2400">
                                  <w:pPr>
                                    <w:spacing w:after="0" w:line="240" w:lineRule="auto"/>
                                    <w:jc w:val="right"/>
                                    <w:rPr>
                                      <w:rFonts w:eastAsia="Times New Roman" w:cstheme="minorHAnsi"/>
                                      <w:color w:val="000000"/>
                                      <w:sz w:val="20"/>
                                      <w:szCs w:val="20"/>
                                    </w:rPr>
                                  </w:pPr>
                                  <w:r w:rsidRPr="00691FBB">
                                    <w:rPr>
                                      <w:rFonts w:eastAsia="Times New Roman" w:cstheme="minorHAnsi"/>
                                      <w:color w:val="000000"/>
                                      <w:sz w:val="20"/>
                                      <w:szCs w:val="20"/>
                                    </w:rPr>
                                    <w:t>-10%</w:t>
                                  </w:r>
                                </w:p>
                              </w:tc>
                            </w:tr>
                            <w:tr w:rsidR="002F2400" w:rsidRPr="00691FBB" w14:paraId="3021B743" w14:textId="77777777" w:rsidTr="00F870A9">
                              <w:trPr>
                                <w:trHeight w:val="50"/>
                              </w:trPr>
                              <w:tc>
                                <w:tcPr>
                                  <w:tcW w:w="0" w:type="auto"/>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67586B2D" w14:textId="77777777" w:rsidR="002F2400" w:rsidRPr="00691FBB" w:rsidRDefault="002F2400" w:rsidP="002F2400">
                                  <w:pPr>
                                    <w:spacing w:after="0" w:line="240" w:lineRule="auto"/>
                                    <w:ind w:firstLineChars="100" w:firstLine="200"/>
                                    <w:rPr>
                                      <w:rFonts w:eastAsia="Times New Roman" w:cstheme="minorHAnsi"/>
                                      <w:color w:val="000000"/>
                                      <w:sz w:val="20"/>
                                      <w:szCs w:val="20"/>
                                    </w:rPr>
                                  </w:pPr>
                                  <w:r w:rsidRPr="00691FBB">
                                    <w:rPr>
                                      <w:rFonts w:eastAsia="Times New Roman" w:cstheme="minorHAnsi"/>
                                      <w:color w:val="000000"/>
                                      <w:sz w:val="20"/>
                                      <w:szCs w:val="20"/>
                                    </w:rPr>
                                    <w:t>Black/African American</w:t>
                                  </w:r>
                                </w:p>
                              </w:tc>
                              <w:tc>
                                <w:tcPr>
                                  <w:tcW w:w="0" w:type="auto"/>
                                  <w:tcBorders>
                                    <w:top w:val="nil"/>
                                    <w:left w:val="nil"/>
                                    <w:bottom w:val="single" w:sz="4" w:space="0" w:color="auto"/>
                                    <w:right w:val="single" w:sz="4" w:space="0" w:color="auto"/>
                                  </w:tcBorders>
                                  <w:shd w:val="clear" w:color="auto" w:fill="F2F2F2" w:themeFill="background1" w:themeFillShade="F2"/>
                                  <w:noWrap/>
                                  <w:vAlign w:val="bottom"/>
                                  <w:hideMark/>
                                </w:tcPr>
                                <w:p w14:paraId="46147FF4" w14:textId="77777777" w:rsidR="002F2400" w:rsidRPr="00691FBB" w:rsidRDefault="002F2400" w:rsidP="002F2400">
                                  <w:pPr>
                                    <w:spacing w:after="0" w:line="240" w:lineRule="auto"/>
                                    <w:jc w:val="right"/>
                                    <w:rPr>
                                      <w:rFonts w:eastAsia="Times New Roman" w:cstheme="minorHAnsi"/>
                                      <w:color w:val="000000"/>
                                      <w:sz w:val="20"/>
                                      <w:szCs w:val="20"/>
                                    </w:rPr>
                                  </w:pPr>
                                  <w:r w:rsidRPr="00691FBB">
                                    <w:rPr>
                                      <w:rFonts w:eastAsia="Times New Roman" w:cstheme="minorHAnsi"/>
                                      <w:color w:val="000000"/>
                                      <w:sz w:val="20"/>
                                      <w:szCs w:val="20"/>
                                    </w:rPr>
                                    <w:t>47%</w:t>
                                  </w:r>
                                </w:p>
                              </w:tc>
                              <w:tc>
                                <w:tcPr>
                                  <w:tcW w:w="0" w:type="auto"/>
                                  <w:tcBorders>
                                    <w:top w:val="nil"/>
                                    <w:left w:val="nil"/>
                                    <w:bottom w:val="single" w:sz="4" w:space="0" w:color="auto"/>
                                    <w:right w:val="single" w:sz="4" w:space="0" w:color="auto"/>
                                  </w:tcBorders>
                                  <w:shd w:val="clear" w:color="auto" w:fill="F2F2F2" w:themeFill="background1" w:themeFillShade="F2"/>
                                  <w:noWrap/>
                                  <w:vAlign w:val="bottom"/>
                                  <w:hideMark/>
                                </w:tcPr>
                                <w:p w14:paraId="1B7D8EFB" w14:textId="77777777" w:rsidR="002F2400" w:rsidRPr="00691FBB" w:rsidRDefault="002F2400" w:rsidP="002F2400">
                                  <w:pPr>
                                    <w:spacing w:after="0" w:line="240" w:lineRule="auto"/>
                                    <w:jc w:val="right"/>
                                    <w:rPr>
                                      <w:rFonts w:eastAsia="Times New Roman" w:cstheme="minorHAnsi"/>
                                      <w:color w:val="000000"/>
                                      <w:sz w:val="20"/>
                                      <w:szCs w:val="20"/>
                                    </w:rPr>
                                  </w:pPr>
                                  <w:r w:rsidRPr="00691FBB">
                                    <w:rPr>
                                      <w:rFonts w:eastAsia="Times New Roman" w:cstheme="minorHAnsi"/>
                                      <w:color w:val="000000"/>
                                      <w:sz w:val="20"/>
                                      <w:szCs w:val="20"/>
                                    </w:rPr>
                                    <w:t>40%</w:t>
                                  </w:r>
                                </w:p>
                              </w:tc>
                              <w:tc>
                                <w:tcPr>
                                  <w:tcW w:w="0" w:type="auto"/>
                                  <w:tcBorders>
                                    <w:top w:val="nil"/>
                                    <w:left w:val="nil"/>
                                    <w:bottom w:val="single" w:sz="4" w:space="0" w:color="auto"/>
                                    <w:right w:val="single" w:sz="4" w:space="0" w:color="auto"/>
                                  </w:tcBorders>
                                  <w:shd w:val="clear" w:color="auto" w:fill="F2F2F2" w:themeFill="background1" w:themeFillShade="F2"/>
                                  <w:noWrap/>
                                  <w:vAlign w:val="bottom"/>
                                  <w:hideMark/>
                                </w:tcPr>
                                <w:p w14:paraId="3AE2F6C5" w14:textId="77777777" w:rsidR="002F2400" w:rsidRPr="00691FBB" w:rsidRDefault="002F2400" w:rsidP="002F2400">
                                  <w:pPr>
                                    <w:spacing w:after="0" w:line="240" w:lineRule="auto"/>
                                    <w:jc w:val="right"/>
                                    <w:rPr>
                                      <w:rFonts w:eastAsia="Times New Roman" w:cstheme="minorHAnsi"/>
                                      <w:color w:val="000000"/>
                                      <w:sz w:val="20"/>
                                      <w:szCs w:val="20"/>
                                    </w:rPr>
                                  </w:pPr>
                                  <w:r w:rsidRPr="00691FBB">
                                    <w:rPr>
                                      <w:rFonts w:eastAsia="Times New Roman" w:cstheme="minorHAnsi"/>
                                      <w:color w:val="000000"/>
                                      <w:sz w:val="20"/>
                                      <w:szCs w:val="20"/>
                                    </w:rPr>
                                    <w:t>-7%</w:t>
                                  </w:r>
                                </w:p>
                              </w:tc>
                            </w:tr>
                            <w:tr w:rsidR="002F2400" w:rsidRPr="00691FBB" w14:paraId="279F3FF6" w14:textId="77777777" w:rsidTr="00F870A9">
                              <w:trPr>
                                <w:trHeight w:val="5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8805B0F" w14:textId="77777777" w:rsidR="002F2400" w:rsidRPr="00691FBB" w:rsidRDefault="002F2400" w:rsidP="002F2400">
                                  <w:pPr>
                                    <w:spacing w:after="0" w:line="240" w:lineRule="auto"/>
                                    <w:ind w:firstLineChars="100" w:firstLine="200"/>
                                    <w:rPr>
                                      <w:rFonts w:eastAsia="Times New Roman" w:cstheme="minorHAnsi"/>
                                      <w:color w:val="000000"/>
                                      <w:sz w:val="20"/>
                                      <w:szCs w:val="20"/>
                                    </w:rPr>
                                  </w:pPr>
                                  <w:r w:rsidRPr="00691FBB">
                                    <w:rPr>
                                      <w:rFonts w:eastAsia="Times New Roman" w:cstheme="minorHAnsi"/>
                                      <w:color w:val="000000"/>
                                      <w:sz w:val="20"/>
                                      <w:szCs w:val="20"/>
                                    </w:rPr>
                                    <w:t>Hispanic/Latinx</w:t>
                                  </w:r>
                                </w:p>
                              </w:tc>
                              <w:tc>
                                <w:tcPr>
                                  <w:tcW w:w="0" w:type="auto"/>
                                  <w:tcBorders>
                                    <w:top w:val="nil"/>
                                    <w:left w:val="nil"/>
                                    <w:bottom w:val="single" w:sz="4" w:space="0" w:color="auto"/>
                                    <w:right w:val="single" w:sz="4" w:space="0" w:color="auto"/>
                                  </w:tcBorders>
                                  <w:shd w:val="clear" w:color="auto" w:fill="auto"/>
                                  <w:noWrap/>
                                  <w:vAlign w:val="bottom"/>
                                  <w:hideMark/>
                                </w:tcPr>
                                <w:p w14:paraId="0F322080" w14:textId="77777777" w:rsidR="002F2400" w:rsidRPr="00691FBB" w:rsidRDefault="002F2400" w:rsidP="002F2400">
                                  <w:pPr>
                                    <w:spacing w:after="0" w:line="240" w:lineRule="auto"/>
                                    <w:jc w:val="right"/>
                                    <w:rPr>
                                      <w:rFonts w:eastAsia="Times New Roman" w:cstheme="minorHAnsi"/>
                                      <w:color w:val="000000"/>
                                      <w:sz w:val="20"/>
                                      <w:szCs w:val="20"/>
                                    </w:rPr>
                                  </w:pPr>
                                  <w:r w:rsidRPr="00691FBB">
                                    <w:rPr>
                                      <w:rFonts w:eastAsia="Times New Roman" w:cstheme="minorHAnsi"/>
                                      <w:color w:val="000000"/>
                                      <w:sz w:val="20"/>
                                      <w:szCs w:val="20"/>
                                    </w:rPr>
                                    <w:t>49%</w:t>
                                  </w:r>
                                </w:p>
                              </w:tc>
                              <w:tc>
                                <w:tcPr>
                                  <w:tcW w:w="0" w:type="auto"/>
                                  <w:tcBorders>
                                    <w:top w:val="nil"/>
                                    <w:left w:val="nil"/>
                                    <w:bottom w:val="single" w:sz="4" w:space="0" w:color="auto"/>
                                    <w:right w:val="single" w:sz="4" w:space="0" w:color="auto"/>
                                  </w:tcBorders>
                                  <w:shd w:val="clear" w:color="auto" w:fill="auto"/>
                                  <w:noWrap/>
                                  <w:vAlign w:val="bottom"/>
                                  <w:hideMark/>
                                </w:tcPr>
                                <w:p w14:paraId="11157E02" w14:textId="77777777" w:rsidR="002F2400" w:rsidRPr="00691FBB" w:rsidRDefault="002F2400" w:rsidP="002F2400">
                                  <w:pPr>
                                    <w:spacing w:after="0" w:line="240" w:lineRule="auto"/>
                                    <w:jc w:val="right"/>
                                    <w:rPr>
                                      <w:rFonts w:eastAsia="Times New Roman" w:cstheme="minorHAnsi"/>
                                      <w:color w:val="000000"/>
                                      <w:sz w:val="20"/>
                                      <w:szCs w:val="20"/>
                                    </w:rPr>
                                  </w:pPr>
                                  <w:r w:rsidRPr="00691FBB">
                                    <w:rPr>
                                      <w:rFonts w:eastAsia="Times New Roman" w:cstheme="minorHAnsi"/>
                                      <w:color w:val="000000"/>
                                      <w:sz w:val="20"/>
                                      <w:szCs w:val="20"/>
                                    </w:rPr>
                                    <w:t>40%</w:t>
                                  </w:r>
                                </w:p>
                              </w:tc>
                              <w:tc>
                                <w:tcPr>
                                  <w:tcW w:w="0" w:type="auto"/>
                                  <w:tcBorders>
                                    <w:top w:val="nil"/>
                                    <w:left w:val="nil"/>
                                    <w:bottom w:val="single" w:sz="4" w:space="0" w:color="auto"/>
                                    <w:right w:val="single" w:sz="4" w:space="0" w:color="auto"/>
                                  </w:tcBorders>
                                  <w:shd w:val="clear" w:color="auto" w:fill="auto"/>
                                  <w:noWrap/>
                                  <w:vAlign w:val="bottom"/>
                                  <w:hideMark/>
                                </w:tcPr>
                                <w:p w14:paraId="008FCC5A" w14:textId="77777777" w:rsidR="002F2400" w:rsidRPr="00691FBB" w:rsidRDefault="002F2400" w:rsidP="002F2400">
                                  <w:pPr>
                                    <w:spacing w:after="0" w:line="240" w:lineRule="auto"/>
                                    <w:jc w:val="right"/>
                                    <w:rPr>
                                      <w:rFonts w:eastAsia="Times New Roman" w:cstheme="minorHAnsi"/>
                                      <w:color w:val="000000"/>
                                      <w:sz w:val="20"/>
                                      <w:szCs w:val="20"/>
                                    </w:rPr>
                                  </w:pPr>
                                  <w:r w:rsidRPr="00691FBB">
                                    <w:rPr>
                                      <w:rFonts w:eastAsia="Times New Roman" w:cstheme="minorHAnsi"/>
                                      <w:color w:val="000000"/>
                                      <w:sz w:val="20"/>
                                      <w:szCs w:val="20"/>
                                    </w:rPr>
                                    <w:t>-9%</w:t>
                                  </w:r>
                                </w:p>
                              </w:tc>
                            </w:tr>
                            <w:tr w:rsidR="002F2400" w:rsidRPr="00691FBB" w14:paraId="1AD34714" w14:textId="77777777" w:rsidTr="00F870A9">
                              <w:trPr>
                                <w:trHeight w:val="50"/>
                              </w:trPr>
                              <w:tc>
                                <w:tcPr>
                                  <w:tcW w:w="0" w:type="auto"/>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23657ABD" w14:textId="77777777" w:rsidR="002F2400" w:rsidRPr="00691FBB" w:rsidRDefault="002F2400" w:rsidP="002F2400">
                                  <w:pPr>
                                    <w:spacing w:after="0" w:line="240" w:lineRule="auto"/>
                                    <w:ind w:firstLineChars="100" w:firstLine="200"/>
                                    <w:rPr>
                                      <w:rFonts w:eastAsia="Times New Roman" w:cstheme="minorHAnsi"/>
                                      <w:color w:val="000000"/>
                                      <w:sz w:val="20"/>
                                      <w:szCs w:val="20"/>
                                    </w:rPr>
                                  </w:pPr>
                                  <w:r w:rsidRPr="00691FBB">
                                    <w:rPr>
                                      <w:rFonts w:eastAsia="Times New Roman" w:cstheme="minorHAnsi"/>
                                      <w:color w:val="000000"/>
                                      <w:sz w:val="20"/>
                                      <w:szCs w:val="20"/>
                                    </w:rPr>
                                    <w:t>More than one race</w:t>
                                  </w:r>
                                </w:p>
                              </w:tc>
                              <w:tc>
                                <w:tcPr>
                                  <w:tcW w:w="0" w:type="auto"/>
                                  <w:tcBorders>
                                    <w:top w:val="nil"/>
                                    <w:left w:val="nil"/>
                                    <w:bottom w:val="single" w:sz="4" w:space="0" w:color="auto"/>
                                    <w:right w:val="single" w:sz="4" w:space="0" w:color="auto"/>
                                  </w:tcBorders>
                                  <w:shd w:val="clear" w:color="auto" w:fill="F2F2F2" w:themeFill="background1" w:themeFillShade="F2"/>
                                  <w:noWrap/>
                                  <w:vAlign w:val="bottom"/>
                                  <w:hideMark/>
                                </w:tcPr>
                                <w:p w14:paraId="072276BF" w14:textId="77777777" w:rsidR="002F2400" w:rsidRPr="00691FBB" w:rsidRDefault="002F2400" w:rsidP="002F2400">
                                  <w:pPr>
                                    <w:spacing w:after="0" w:line="240" w:lineRule="auto"/>
                                    <w:jc w:val="right"/>
                                    <w:rPr>
                                      <w:rFonts w:eastAsia="Times New Roman" w:cstheme="minorHAnsi"/>
                                      <w:color w:val="000000"/>
                                      <w:sz w:val="20"/>
                                      <w:szCs w:val="20"/>
                                    </w:rPr>
                                  </w:pPr>
                                  <w:r w:rsidRPr="00691FBB">
                                    <w:rPr>
                                      <w:rFonts w:eastAsia="Times New Roman" w:cstheme="minorHAnsi"/>
                                      <w:color w:val="000000"/>
                                      <w:sz w:val="20"/>
                                      <w:szCs w:val="20"/>
                                    </w:rPr>
                                    <w:t>65%</w:t>
                                  </w:r>
                                </w:p>
                              </w:tc>
                              <w:tc>
                                <w:tcPr>
                                  <w:tcW w:w="0" w:type="auto"/>
                                  <w:tcBorders>
                                    <w:top w:val="nil"/>
                                    <w:left w:val="nil"/>
                                    <w:bottom w:val="single" w:sz="4" w:space="0" w:color="auto"/>
                                    <w:right w:val="single" w:sz="4" w:space="0" w:color="auto"/>
                                  </w:tcBorders>
                                  <w:shd w:val="clear" w:color="auto" w:fill="F2F2F2" w:themeFill="background1" w:themeFillShade="F2"/>
                                  <w:noWrap/>
                                  <w:vAlign w:val="bottom"/>
                                  <w:hideMark/>
                                </w:tcPr>
                                <w:p w14:paraId="5032438E" w14:textId="77777777" w:rsidR="002F2400" w:rsidRPr="00691FBB" w:rsidRDefault="002F2400" w:rsidP="002F2400">
                                  <w:pPr>
                                    <w:spacing w:after="0" w:line="240" w:lineRule="auto"/>
                                    <w:jc w:val="right"/>
                                    <w:rPr>
                                      <w:rFonts w:eastAsia="Times New Roman" w:cstheme="minorHAnsi"/>
                                      <w:color w:val="000000"/>
                                      <w:sz w:val="20"/>
                                      <w:szCs w:val="20"/>
                                    </w:rPr>
                                  </w:pPr>
                                  <w:r w:rsidRPr="00691FBB">
                                    <w:rPr>
                                      <w:rFonts w:eastAsia="Times New Roman" w:cstheme="minorHAnsi"/>
                                      <w:color w:val="000000"/>
                                      <w:sz w:val="20"/>
                                      <w:szCs w:val="20"/>
                                    </w:rPr>
                                    <w:t>48%</w:t>
                                  </w:r>
                                </w:p>
                              </w:tc>
                              <w:tc>
                                <w:tcPr>
                                  <w:tcW w:w="0" w:type="auto"/>
                                  <w:tcBorders>
                                    <w:top w:val="nil"/>
                                    <w:left w:val="nil"/>
                                    <w:bottom w:val="single" w:sz="4" w:space="0" w:color="auto"/>
                                    <w:right w:val="single" w:sz="4" w:space="0" w:color="auto"/>
                                  </w:tcBorders>
                                  <w:shd w:val="clear" w:color="auto" w:fill="F2F2F2" w:themeFill="background1" w:themeFillShade="F2"/>
                                  <w:noWrap/>
                                  <w:vAlign w:val="bottom"/>
                                  <w:hideMark/>
                                </w:tcPr>
                                <w:p w14:paraId="33568FB1" w14:textId="77777777" w:rsidR="002F2400" w:rsidRPr="00691FBB" w:rsidRDefault="002F2400" w:rsidP="002F2400">
                                  <w:pPr>
                                    <w:spacing w:after="0" w:line="240" w:lineRule="auto"/>
                                    <w:jc w:val="right"/>
                                    <w:rPr>
                                      <w:rFonts w:eastAsia="Times New Roman" w:cstheme="minorHAnsi"/>
                                      <w:color w:val="000000"/>
                                      <w:sz w:val="20"/>
                                      <w:szCs w:val="20"/>
                                    </w:rPr>
                                  </w:pPr>
                                  <w:r w:rsidRPr="00691FBB">
                                    <w:rPr>
                                      <w:rFonts w:eastAsia="Times New Roman" w:cstheme="minorHAnsi"/>
                                      <w:color w:val="000000"/>
                                      <w:sz w:val="20"/>
                                      <w:szCs w:val="20"/>
                                    </w:rPr>
                                    <w:t>-18%</w:t>
                                  </w:r>
                                </w:p>
                              </w:tc>
                            </w:tr>
                            <w:tr w:rsidR="002F2400" w:rsidRPr="00691FBB" w14:paraId="02364966" w14:textId="77777777" w:rsidTr="00F870A9">
                              <w:trPr>
                                <w:trHeight w:val="5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65A9293" w14:textId="77777777" w:rsidR="002F2400" w:rsidRPr="00691FBB" w:rsidRDefault="002F2400" w:rsidP="002F2400">
                                  <w:pPr>
                                    <w:spacing w:after="0" w:line="240" w:lineRule="auto"/>
                                    <w:ind w:firstLineChars="100" w:firstLine="200"/>
                                    <w:rPr>
                                      <w:rFonts w:eastAsia="Times New Roman" w:cstheme="minorHAnsi"/>
                                      <w:color w:val="000000"/>
                                      <w:sz w:val="20"/>
                                      <w:szCs w:val="20"/>
                                    </w:rPr>
                                  </w:pPr>
                                  <w:r w:rsidRPr="00691FBB">
                                    <w:rPr>
                                      <w:rFonts w:eastAsia="Times New Roman" w:cstheme="minorHAnsi"/>
                                      <w:color w:val="000000"/>
                                      <w:sz w:val="20"/>
                                      <w:szCs w:val="20"/>
                                    </w:rPr>
                                    <w:t>Native Hawaiian/Pacific Islander</w:t>
                                  </w:r>
                                  <w:r>
                                    <w:rPr>
                                      <w:rFonts w:eastAsia="Times New Roman" w:cstheme="minorHAnsi"/>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bottom"/>
                                </w:tcPr>
                                <w:p w14:paraId="4BB5CFBE" w14:textId="77777777" w:rsidR="002F2400" w:rsidRPr="00691FBB" w:rsidRDefault="002F2400" w:rsidP="002F2400">
                                  <w:pPr>
                                    <w:spacing w:after="0" w:line="240" w:lineRule="auto"/>
                                    <w:jc w:val="right"/>
                                    <w:rPr>
                                      <w:rFonts w:eastAsia="Times New Roman" w:cstheme="minorHAnsi"/>
                                      <w:color w:val="000000"/>
                                      <w:sz w:val="20"/>
                                      <w:szCs w:val="20"/>
                                    </w:rPr>
                                  </w:pPr>
                                  <w:r w:rsidRPr="00691FBB">
                                    <w:rPr>
                                      <w:rFonts w:eastAsia="Times New Roman" w:cstheme="minorHAnsi"/>
                                      <w:color w:val="000000"/>
                                      <w:sz w:val="20"/>
                                      <w:szCs w:val="20"/>
                                    </w:rPr>
                                    <w:t>N/A</w:t>
                                  </w:r>
                                  <w:r>
                                    <w:rPr>
                                      <w:rFonts w:eastAsia="Times New Roman" w:cstheme="minorHAnsi"/>
                                      <w:color w:val="000000"/>
                                      <w:sz w:val="20"/>
                                      <w:szCs w:val="20"/>
                                    </w:rPr>
                                    <w:t xml:space="preserve"> – small sample</w:t>
                                  </w:r>
                                </w:p>
                              </w:tc>
                              <w:tc>
                                <w:tcPr>
                                  <w:tcW w:w="0" w:type="auto"/>
                                  <w:tcBorders>
                                    <w:top w:val="nil"/>
                                    <w:left w:val="nil"/>
                                    <w:bottom w:val="single" w:sz="4" w:space="0" w:color="auto"/>
                                    <w:right w:val="single" w:sz="4" w:space="0" w:color="auto"/>
                                  </w:tcBorders>
                                  <w:shd w:val="clear" w:color="auto" w:fill="auto"/>
                                  <w:noWrap/>
                                  <w:vAlign w:val="bottom"/>
                                </w:tcPr>
                                <w:p w14:paraId="18EF8AA9" w14:textId="77777777" w:rsidR="002F2400" w:rsidRPr="00691FBB" w:rsidRDefault="002F2400" w:rsidP="002F2400">
                                  <w:pPr>
                                    <w:spacing w:after="0" w:line="240" w:lineRule="auto"/>
                                    <w:jc w:val="right"/>
                                    <w:rPr>
                                      <w:rFonts w:eastAsia="Times New Roman" w:cstheme="minorHAnsi"/>
                                      <w:color w:val="000000"/>
                                      <w:sz w:val="20"/>
                                      <w:szCs w:val="20"/>
                                    </w:rPr>
                                  </w:pPr>
                                  <w:r w:rsidRPr="00691FBB">
                                    <w:rPr>
                                      <w:rFonts w:eastAsia="Times New Roman" w:cstheme="minorHAnsi"/>
                                      <w:color w:val="000000"/>
                                      <w:sz w:val="20"/>
                                      <w:szCs w:val="20"/>
                                    </w:rPr>
                                    <w:t>N/A</w:t>
                                  </w:r>
                                </w:p>
                              </w:tc>
                              <w:tc>
                                <w:tcPr>
                                  <w:tcW w:w="0" w:type="auto"/>
                                  <w:tcBorders>
                                    <w:top w:val="nil"/>
                                    <w:left w:val="nil"/>
                                    <w:bottom w:val="single" w:sz="4" w:space="0" w:color="auto"/>
                                    <w:right w:val="single" w:sz="4" w:space="0" w:color="auto"/>
                                  </w:tcBorders>
                                  <w:shd w:val="clear" w:color="auto" w:fill="auto"/>
                                  <w:noWrap/>
                                  <w:vAlign w:val="bottom"/>
                                </w:tcPr>
                                <w:p w14:paraId="38A738AE" w14:textId="77777777" w:rsidR="002F2400" w:rsidRPr="00691FBB" w:rsidRDefault="002F2400" w:rsidP="002F2400">
                                  <w:pPr>
                                    <w:spacing w:after="0" w:line="240" w:lineRule="auto"/>
                                    <w:jc w:val="right"/>
                                    <w:rPr>
                                      <w:rFonts w:eastAsia="Times New Roman" w:cstheme="minorHAnsi"/>
                                      <w:color w:val="000000"/>
                                      <w:sz w:val="20"/>
                                      <w:szCs w:val="20"/>
                                    </w:rPr>
                                  </w:pPr>
                                  <w:r w:rsidRPr="00691FBB">
                                    <w:rPr>
                                      <w:rFonts w:eastAsia="Times New Roman" w:cstheme="minorHAnsi"/>
                                      <w:color w:val="000000"/>
                                      <w:sz w:val="20"/>
                                      <w:szCs w:val="20"/>
                                    </w:rPr>
                                    <w:t>N/A</w:t>
                                  </w:r>
                                </w:p>
                              </w:tc>
                            </w:tr>
                            <w:tr w:rsidR="002F2400" w:rsidRPr="00691FBB" w14:paraId="25C1930D" w14:textId="77777777" w:rsidTr="00F870A9">
                              <w:trPr>
                                <w:trHeight w:val="50"/>
                              </w:trPr>
                              <w:tc>
                                <w:tcPr>
                                  <w:tcW w:w="0" w:type="auto"/>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77AA8DE4" w14:textId="77777777" w:rsidR="002F2400" w:rsidRPr="00691FBB" w:rsidRDefault="002F2400" w:rsidP="002F2400">
                                  <w:pPr>
                                    <w:spacing w:after="0" w:line="240" w:lineRule="auto"/>
                                    <w:ind w:firstLineChars="100" w:firstLine="200"/>
                                    <w:rPr>
                                      <w:rFonts w:eastAsia="Times New Roman" w:cstheme="minorHAnsi"/>
                                      <w:color w:val="000000"/>
                                      <w:sz w:val="20"/>
                                      <w:szCs w:val="20"/>
                                    </w:rPr>
                                  </w:pPr>
                                  <w:r w:rsidRPr="00691FBB">
                                    <w:rPr>
                                      <w:rFonts w:eastAsia="Times New Roman" w:cstheme="minorHAnsi"/>
                                      <w:color w:val="000000"/>
                                      <w:sz w:val="20"/>
                                      <w:szCs w:val="20"/>
                                    </w:rPr>
                                    <w:t>White</w:t>
                                  </w:r>
                                </w:p>
                              </w:tc>
                              <w:tc>
                                <w:tcPr>
                                  <w:tcW w:w="0" w:type="auto"/>
                                  <w:tcBorders>
                                    <w:top w:val="nil"/>
                                    <w:left w:val="nil"/>
                                    <w:bottom w:val="single" w:sz="4" w:space="0" w:color="auto"/>
                                    <w:right w:val="single" w:sz="4" w:space="0" w:color="auto"/>
                                  </w:tcBorders>
                                  <w:shd w:val="clear" w:color="auto" w:fill="F2F2F2" w:themeFill="background1" w:themeFillShade="F2"/>
                                  <w:noWrap/>
                                  <w:vAlign w:val="bottom"/>
                                  <w:hideMark/>
                                </w:tcPr>
                                <w:p w14:paraId="65125ABD" w14:textId="77777777" w:rsidR="002F2400" w:rsidRPr="00691FBB" w:rsidRDefault="002F2400" w:rsidP="002F2400">
                                  <w:pPr>
                                    <w:spacing w:after="0" w:line="240" w:lineRule="auto"/>
                                    <w:jc w:val="right"/>
                                    <w:rPr>
                                      <w:rFonts w:eastAsia="Times New Roman" w:cstheme="minorHAnsi"/>
                                      <w:color w:val="000000"/>
                                      <w:sz w:val="20"/>
                                      <w:szCs w:val="20"/>
                                    </w:rPr>
                                  </w:pPr>
                                  <w:r w:rsidRPr="00691FBB">
                                    <w:rPr>
                                      <w:rFonts w:eastAsia="Times New Roman" w:cstheme="minorHAnsi"/>
                                      <w:color w:val="000000"/>
                                      <w:sz w:val="20"/>
                                      <w:szCs w:val="20"/>
                                    </w:rPr>
                                    <w:t>56%</w:t>
                                  </w:r>
                                </w:p>
                              </w:tc>
                              <w:tc>
                                <w:tcPr>
                                  <w:tcW w:w="0" w:type="auto"/>
                                  <w:tcBorders>
                                    <w:top w:val="nil"/>
                                    <w:left w:val="nil"/>
                                    <w:bottom w:val="single" w:sz="4" w:space="0" w:color="auto"/>
                                    <w:right w:val="single" w:sz="4" w:space="0" w:color="auto"/>
                                  </w:tcBorders>
                                  <w:shd w:val="clear" w:color="auto" w:fill="F2F2F2" w:themeFill="background1" w:themeFillShade="F2"/>
                                  <w:noWrap/>
                                  <w:vAlign w:val="bottom"/>
                                  <w:hideMark/>
                                </w:tcPr>
                                <w:p w14:paraId="0C2FFF9F" w14:textId="77777777" w:rsidR="002F2400" w:rsidRPr="00691FBB" w:rsidRDefault="002F2400" w:rsidP="002F2400">
                                  <w:pPr>
                                    <w:spacing w:after="0" w:line="240" w:lineRule="auto"/>
                                    <w:jc w:val="right"/>
                                    <w:rPr>
                                      <w:rFonts w:eastAsia="Times New Roman" w:cstheme="minorHAnsi"/>
                                      <w:color w:val="000000"/>
                                      <w:sz w:val="20"/>
                                      <w:szCs w:val="20"/>
                                    </w:rPr>
                                  </w:pPr>
                                  <w:r w:rsidRPr="00691FBB">
                                    <w:rPr>
                                      <w:rFonts w:eastAsia="Times New Roman" w:cstheme="minorHAnsi"/>
                                      <w:color w:val="000000"/>
                                      <w:sz w:val="20"/>
                                      <w:szCs w:val="20"/>
                                    </w:rPr>
                                    <w:t>49%</w:t>
                                  </w:r>
                                </w:p>
                              </w:tc>
                              <w:tc>
                                <w:tcPr>
                                  <w:tcW w:w="0" w:type="auto"/>
                                  <w:tcBorders>
                                    <w:top w:val="nil"/>
                                    <w:left w:val="nil"/>
                                    <w:bottom w:val="single" w:sz="4" w:space="0" w:color="auto"/>
                                    <w:right w:val="single" w:sz="4" w:space="0" w:color="auto"/>
                                  </w:tcBorders>
                                  <w:shd w:val="clear" w:color="auto" w:fill="F2F2F2" w:themeFill="background1" w:themeFillShade="F2"/>
                                  <w:noWrap/>
                                  <w:vAlign w:val="bottom"/>
                                  <w:hideMark/>
                                </w:tcPr>
                                <w:p w14:paraId="286E2D03" w14:textId="77777777" w:rsidR="002F2400" w:rsidRPr="00691FBB" w:rsidRDefault="002F2400" w:rsidP="002F2400">
                                  <w:pPr>
                                    <w:spacing w:after="0" w:line="240" w:lineRule="auto"/>
                                    <w:jc w:val="right"/>
                                    <w:rPr>
                                      <w:rFonts w:eastAsia="Times New Roman" w:cstheme="minorHAnsi"/>
                                      <w:color w:val="000000"/>
                                      <w:sz w:val="20"/>
                                      <w:szCs w:val="20"/>
                                    </w:rPr>
                                  </w:pPr>
                                  <w:r w:rsidRPr="00691FBB">
                                    <w:rPr>
                                      <w:rFonts w:eastAsia="Times New Roman" w:cstheme="minorHAnsi"/>
                                      <w:color w:val="000000"/>
                                      <w:sz w:val="20"/>
                                      <w:szCs w:val="20"/>
                                    </w:rPr>
                                    <w:t>-7%</w:t>
                                  </w:r>
                                </w:p>
                              </w:tc>
                            </w:tr>
                            <w:tr w:rsidR="002F2400" w:rsidRPr="00691FBB" w14:paraId="78977DEA" w14:textId="77777777" w:rsidTr="00F870A9">
                              <w:trPr>
                                <w:trHeight w:val="5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E330DBA" w14:textId="77777777" w:rsidR="002F2400" w:rsidRPr="00691FBB" w:rsidRDefault="002F2400" w:rsidP="002F2400">
                                  <w:pPr>
                                    <w:spacing w:after="0" w:line="240" w:lineRule="auto"/>
                                    <w:ind w:firstLineChars="100" w:firstLine="200"/>
                                    <w:rPr>
                                      <w:rFonts w:eastAsia="Times New Roman" w:cstheme="minorHAnsi"/>
                                      <w:color w:val="000000"/>
                                      <w:sz w:val="20"/>
                                      <w:szCs w:val="20"/>
                                    </w:rPr>
                                  </w:pPr>
                                  <w:r w:rsidRPr="00691FBB">
                                    <w:rPr>
                                      <w:rFonts w:eastAsia="Times New Roman" w:cstheme="minorHAnsi"/>
                                      <w:color w:val="000000"/>
                                      <w:sz w:val="20"/>
                                      <w:szCs w:val="20"/>
                                    </w:rPr>
                                    <w:t>Low-Income Participants</w:t>
                                  </w:r>
                                </w:p>
                              </w:tc>
                              <w:tc>
                                <w:tcPr>
                                  <w:tcW w:w="0" w:type="auto"/>
                                  <w:tcBorders>
                                    <w:top w:val="nil"/>
                                    <w:left w:val="nil"/>
                                    <w:bottom w:val="single" w:sz="4" w:space="0" w:color="auto"/>
                                    <w:right w:val="single" w:sz="4" w:space="0" w:color="auto"/>
                                  </w:tcBorders>
                                  <w:shd w:val="clear" w:color="auto" w:fill="auto"/>
                                  <w:noWrap/>
                                  <w:vAlign w:val="bottom"/>
                                  <w:hideMark/>
                                </w:tcPr>
                                <w:p w14:paraId="57A24E4B" w14:textId="77777777" w:rsidR="002F2400" w:rsidRPr="00691FBB" w:rsidRDefault="002F2400" w:rsidP="002F2400">
                                  <w:pPr>
                                    <w:spacing w:after="0" w:line="240" w:lineRule="auto"/>
                                    <w:jc w:val="right"/>
                                    <w:rPr>
                                      <w:rFonts w:eastAsia="Times New Roman" w:cstheme="minorHAnsi"/>
                                      <w:color w:val="000000"/>
                                      <w:sz w:val="20"/>
                                      <w:szCs w:val="20"/>
                                    </w:rPr>
                                  </w:pPr>
                                  <w:r w:rsidRPr="00691FBB">
                                    <w:rPr>
                                      <w:rFonts w:eastAsia="Times New Roman" w:cstheme="minorHAnsi"/>
                                      <w:color w:val="000000"/>
                                      <w:sz w:val="20"/>
                                      <w:szCs w:val="20"/>
                                    </w:rPr>
                                    <w:t>44%</w:t>
                                  </w:r>
                                </w:p>
                              </w:tc>
                              <w:tc>
                                <w:tcPr>
                                  <w:tcW w:w="0" w:type="auto"/>
                                  <w:tcBorders>
                                    <w:top w:val="nil"/>
                                    <w:left w:val="nil"/>
                                    <w:bottom w:val="single" w:sz="4" w:space="0" w:color="auto"/>
                                    <w:right w:val="single" w:sz="4" w:space="0" w:color="auto"/>
                                  </w:tcBorders>
                                  <w:shd w:val="clear" w:color="auto" w:fill="auto"/>
                                  <w:noWrap/>
                                  <w:vAlign w:val="bottom"/>
                                  <w:hideMark/>
                                </w:tcPr>
                                <w:p w14:paraId="08A27628" w14:textId="77777777" w:rsidR="002F2400" w:rsidRPr="00691FBB" w:rsidRDefault="002F2400" w:rsidP="002F2400">
                                  <w:pPr>
                                    <w:spacing w:after="0" w:line="240" w:lineRule="auto"/>
                                    <w:jc w:val="right"/>
                                    <w:rPr>
                                      <w:rFonts w:eastAsia="Times New Roman" w:cstheme="minorHAnsi"/>
                                      <w:color w:val="000000"/>
                                      <w:sz w:val="20"/>
                                      <w:szCs w:val="20"/>
                                    </w:rPr>
                                  </w:pPr>
                                  <w:r w:rsidRPr="00691FBB">
                                    <w:rPr>
                                      <w:rFonts w:eastAsia="Times New Roman" w:cstheme="minorHAnsi"/>
                                      <w:color w:val="000000"/>
                                      <w:sz w:val="20"/>
                                      <w:szCs w:val="20"/>
                                    </w:rPr>
                                    <w:t>37%</w:t>
                                  </w:r>
                                </w:p>
                              </w:tc>
                              <w:tc>
                                <w:tcPr>
                                  <w:tcW w:w="0" w:type="auto"/>
                                  <w:tcBorders>
                                    <w:top w:val="nil"/>
                                    <w:left w:val="nil"/>
                                    <w:bottom w:val="single" w:sz="4" w:space="0" w:color="auto"/>
                                    <w:right w:val="single" w:sz="4" w:space="0" w:color="auto"/>
                                  </w:tcBorders>
                                  <w:shd w:val="clear" w:color="auto" w:fill="auto"/>
                                  <w:noWrap/>
                                  <w:vAlign w:val="bottom"/>
                                  <w:hideMark/>
                                </w:tcPr>
                                <w:p w14:paraId="5B9B8704" w14:textId="77777777" w:rsidR="002F2400" w:rsidRPr="00691FBB" w:rsidRDefault="002F2400" w:rsidP="002F2400">
                                  <w:pPr>
                                    <w:spacing w:after="0" w:line="240" w:lineRule="auto"/>
                                    <w:jc w:val="right"/>
                                    <w:rPr>
                                      <w:rFonts w:eastAsia="Times New Roman" w:cstheme="minorHAnsi"/>
                                      <w:color w:val="000000"/>
                                      <w:sz w:val="20"/>
                                      <w:szCs w:val="20"/>
                                    </w:rPr>
                                  </w:pPr>
                                  <w:r w:rsidRPr="00691FBB">
                                    <w:rPr>
                                      <w:rFonts w:eastAsia="Times New Roman" w:cstheme="minorHAnsi"/>
                                      <w:color w:val="000000"/>
                                      <w:sz w:val="20"/>
                                      <w:szCs w:val="20"/>
                                    </w:rPr>
                                    <w:t>-7%</w:t>
                                  </w:r>
                                </w:p>
                              </w:tc>
                            </w:tr>
                            <w:tr w:rsidR="002F2400" w:rsidRPr="00691FBB" w14:paraId="3DA1F61C" w14:textId="77777777" w:rsidTr="00F870A9">
                              <w:trPr>
                                <w:trHeight w:val="50"/>
                              </w:trPr>
                              <w:tc>
                                <w:tcPr>
                                  <w:tcW w:w="0" w:type="auto"/>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66C67590" w14:textId="77777777" w:rsidR="002F2400" w:rsidRPr="00691FBB" w:rsidRDefault="002F2400" w:rsidP="002F2400">
                                  <w:pPr>
                                    <w:spacing w:after="0" w:line="240" w:lineRule="auto"/>
                                    <w:ind w:firstLineChars="100" w:firstLine="200"/>
                                    <w:rPr>
                                      <w:rFonts w:eastAsia="Times New Roman" w:cstheme="minorHAnsi"/>
                                      <w:color w:val="000000"/>
                                      <w:sz w:val="20"/>
                                      <w:szCs w:val="20"/>
                                    </w:rPr>
                                  </w:pPr>
                                  <w:r w:rsidRPr="00691FBB">
                                    <w:rPr>
                                      <w:rFonts w:eastAsia="Times New Roman" w:cstheme="minorHAnsi"/>
                                      <w:color w:val="000000"/>
                                      <w:sz w:val="20"/>
                                      <w:szCs w:val="20"/>
                                    </w:rPr>
                                    <w:t>Single Parents</w:t>
                                  </w:r>
                                </w:p>
                              </w:tc>
                              <w:tc>
                                <w:tcPr>
                                  <w:tcW w:w="0" w:type="auto"/>
                                  <w:tcBorders>
                                    <w:top w:val="nil"/>
                                    <w:left w:val="nil"/>
                                    <w:bottom w:val="single" w:sz="4" w:space="0" w:color="auto"/>
                                    <w:right w:val="single" w:sz="4" w:space="0" w:color="auto"/>
                                  </w:tcBorders>
                                  <w:shd w:val="clear" w:color="auto" w:fill="F2F2F2" w:themeFill="background1" w:themeFillShade="F2"/>
                                  <w:noWrap/>
                                  <w:vAlign w:val="bottom"/>
                                  <w:hideMark/>
                                </w:tcPr>
                                <w:p w14:paraId="66990361" w14:textId="77777777" w:rsidR="002F2400" w:rsidRPr="00691FBB" w:rsidRDefault="002F2400" w:rsidP="002F2400">
                                  <w:pPr>
                                    <w:spacing w:after="0" w:line="240" w:lineRule="auto"/>
                                    <w:jc w:val="right"/>
                                    <w:rPr>
                                      <w:rFonts w:eastAsia="Times New Roman" w:cstheme="minorHAnsi"/>
                                      <w:color w:val="000000"/>
                                      <w:sz w:val="20"/>
                                      <w:szCs w:val="20"/>
                                    </w:rPr>
                                  </w:pPr>
                                  <w:r w:rsidRPr="00691FBB">
                                    <w:rPr>
                                      <w:rFonts w:eastAsia="Times New Roman" w:cstheme="minorHAnsi"/>
                                      <w:color w:val="000000"/>
                                      <w:sz w:val="20"/>
                                      <w:szCs w:val="20"/>
                                    </w:rPr>
                                    <w:t>41%</w:t>
                                  </w:r>
                                </w:p>
                              </w:tc>
                              <w:tc>
                                <w:tcPr>
                                  <w:tcW w:w="0" w:type="auto"/>
                                  <w:tcBorders>
                                    <w:top w:val="nil"/>
                                    <w:left w:val="nil"/>
                                    <w:bottom w:val="single" w:sz="4" w:space="0" w:color="auto"/>
                                    <w:right w:val="single" w:sz="4" w:space="0" w:color="auto"/>
                                  </w:tcBorders>
                                  <w:shd w:val="clear" w:color="auto" w:fill="F2F2F2" w:themeFill="background1" w:themeFillShade="F2"/>
                                  <w:noWrap/>
                                  <w:vAlign w:val="bottom"/>
                                  <w:hideMark/>
                                </w:tcPr>
                                <w:p w14:paraId="172399ED" w14:textId="77777777" w:rsidR="002F2400" w:rsidRPr="00691FBB" w:rsidRDefault="002F2400" w:rsidP="002F2400">
                                  <w:pPr>
                                    <w:spacing w:after="0" w:line="240" w:lineRule="auto"/>
                                    <w:jc w:val="right"/>
                                    <w:rPr>
                                      <w:rFonts w:eastAsia="Times New Roman" w:cstheme="minorHAnsi"/>
                                      <w:color w:val="000000"/>
                                      <w:sz w:val="20"/>
                                      <w:szCs w:val="20"/>
                                    </w:rPr>
                                  </w:pPr>
                                  <w:r w:rsidRPr="00691FBB">
                                    <w:rPr>
                                      <w:rFonts w:eastAsia="Times New Roman" w:cstheme="minorHAnsi"/>
                                      <w:color w:val="000000"/>
                                      <w:sz w:val="20"/>
                                      <w:szCs w:val="20"/>
                                    </w:rPr>
                                    <w:t>38%</w:t>
                                  </w:r>
                                </w:p>
                              </w:tc>
                              <w:tc>
                                <w:tcPr>
                                  <w:tcW w:w="0" w:type="auto"/>
                                  <w:tcBorders>
                                    <w:top w:val="nil"/>
                                    <w:left w:val="nil"/>
                                    <w:bottom w:val="single" w:sz="4" w:space="0" w:color="auto"/>
                                    <w:right w:val="single" w:sz="4" w:space="0" w:color="auto"/>
                                  </w:tcBorders>
                                  <w:shd w:val="clear" w:color="auto" w:fill="F2F2F2" w:themeFill="background1" w:themeFillShade="F2"/>
                                  <w:noWrap/>
                                  <w:vAlign w:val="bottom"/>
                                  <w:hideMark/>
                                </w:tcPr>
                                <w:p w14:paraId="4BD4CBF9" w14:textId="77777777" w:rsidR="002F2400" w:rsidRPr="00691FBB" w:rsidRDefault="002F2400" w:rsidP="002F2400">
                                  <w:pPr>
                                    <w:spacing w:after="0" w:line="240" w:lineRule="auto"/>
                                    <w:jc w:val="right"/>
                                    <w:rPr>
                                      <w:rFonts w:eastAsia="Times New Roman" w:cstheme="minorHAnsi"/>
                                      <w:color w:val="000000"/>
                                      <w:sz w:val="20"/>
                                      <w:szCs w:val="20"/>
                                    </w:rPr>
                                  </w:pPr>
                                  <w:r w:rsidRPr="00691FBB">
                                    <w:rPr>
                                      <w:rFonts w:eastAsia="Times New Roman" w:cstheme="minorHAnsi"/>
                                      <w:color w:val="000000"/>
                                      <w:sz w:val="20"/>
                                      <w:szCs w:val="20"/>
                                    </w:rPr>
                                    <w:t>-3%</w:t>
                                  </w:r>
                                </w:p>
                              </w:tc>
                            </w:tr>
                          </w:tbl>
                          <w:p w14:paraId="4F1C1F28" w14:textId="74FCB3B1" w:rsidR="002F2400" w:rsidRDefault="002F2400" w:rsidP="002F24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F1C973" id="_x0000_s1027" type="#_x0000_t202" style="position:absolute;margin-left:383.6pt;margin-top:17.25pt;width:434.8pt;height:165.4pt;z-index:251663363;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" stroked="f">
                <v:textbox>
                  <w:txbxContent>
                    <w:p w14:paraId="53CC9A27" w14:textId="4B8A9522" w:rsidR="002F2400" w:rsidRPr="000422C6" w:rsidRDefault="002F2400" w:rsidP="002F2400">
                      <w:pPr>
                        <w:spacing w:after="0"/>
                        <w:rPr>
                          <w:rFonts w:eastAsia="Times New Roman"/>
                          <w:b/>
                          <w:bCs/>
                        </w:rPr>
                      </w:pPr>
                      <w:r w:rsidRPr="000422C6">
                        <w:rPr>
                          <w:rFonts w:eastAsia="Times New Roman"/>
                          <w:b/>
                          <w:bCs/>
                        </w:rPr>
                        <w:t xml:space="preserve">Table </w:t>
                      </w:r>
                      <w:r w:rsidR="00E93259">
                        <w:rPr>
                          <w:rFonts w:eastAsia="Times New Roman"/>
                          <w:b/>
                          <w:bCs/>
                        </w:rPr>
                        <w:t>1</w:t>
                      </w:r>
                      <w:r w:rsidRPr="000422C6">
                        <w:rPr>
                          <w:rFonts w:eastAsia="Times New Roman"/>
                          <w:b/>
                          <w:bCs/>
                        </w:rPr>
                        <w:t xml:space="preserve">. </w:t>
                      </w:r>
                      <w:r>
                        <w:rPr>
                          <w:rFonts w:eastAsia="Times New Roman"/>
                          <w:b/>
                          <w:bCs/>
                        </w:rPr>
                        <w:t>Differences in Measurable Skill Gain pre-pandemic and during pandemic (2019-20)</w:t>
                      </w:r>
                      <w:r w:rsidRPr="000422C6">
                        <w:rPr>
                          <w:rFonts w:eastAsia="Times New Roman"/>
                          <w:b/>
                          <w:bCs/>
                        </w:rPr>
                        <w:t>.</w:t>
                      </w:r>
                    </w:p>
                    <w:tbl>
                      <w:tblPr>
                        <w:tblW w:w="0" w:type="auto"/>
                        <w:tblLook w:val="04A0" w:firstRow="1" w:lastRow="0" w:firstColumn="1" w:lastColumn="0" w:noHBand="0" w:noVBand="1"/>
                      </w:tblPr>
                      <w:tblGrid>
                        <w:gridCol w:w="3034"/>
                        <w:gridCol w:w="1814"/>
                        <w:gridCol w:w="2075"/>
                        <w:gridCol w:w="1082"/>
                      </w:tblGrid>
                      <w:tr w:rsidR="002F2400" w:rsidRPr="00691FBB" w14:paraId="44CE6452" w14:textId="77777777" w:rsidTr="00F870A9">
                        <w:trPr>
                          <w:trHeight w:val="50"/>
                        </w:trPr>
                        <w:tc>
                          <w:tcPr>
                            <w:tcW w:w="0" w:type="auto"/>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6B42A5A7" w14:textId="77777777" w:rsidR="002F2400" w:rsidRPr="00691FBB" w:rsidRDefault="002F2400" w:rsidP="002F2400">
                            <w:pPr>
                              <w:spacing w:after="0" w:line="240" w:lineRule="auto"/>
                              <w:rPr>
                                <w:rFonts w:eastAsia="Times New Roman" w:cstheme="minorHAnsi"/>
                                <w:b/>
                                <w:bCs/>
                                <w:color w:val="000000"/>
                                <w:sz w:val="20"/>
                                <w:szCs w:val="20"/>
                              </w:rPr>
                            </w:pPr>
                            <w:r w:rsidRPr="00691FBB">
                              <w:rPr>
                                <w:rFonts w:eastAsia="Times New Roman" w:cstheme="minorHAnsi"/>
                                <w:b/>
                                <w:bCs/>
                                <w:color w:val="000000"/>
                                <w:sz w:val="20"/>
                                <w:szCs w:val="20"/>
                              </w:rPr>
                              <w:t> </w:t>
                            </w:r>
                          </w:p>
                        </w:tc>
                        <w:tc>
                          <w:tcPr>
                            <w:tcW w:w="0" w:type="auto"/>
                            <w:tcBorders>
                              <w:top w:val="single" w:sz="4" w:space="0" w:color="auto"/>
                              <w:left w:val="nil"/>
                              <w:bottom w:val="single" w:sz="4" w:space="0" w:color="auto"/>
                              <w:right w:val="single" w:sz="4" w:space="0" w:color="auto"/>
                            </w:tcBorders>
                            <w:shd w:val="clear" w:color="000000" w:fill="E2EFDA"/>
                            <w:noWrap/>
                            <w:vAlign w:val="bottom"/>
                            <w:hideMark/>
                          </w:tcPr>
                          <w:p w14:paraId="76D9EF8D" w14:textId="77777777" w:rsidR="002F2400" w:rsidRPr="00691FBB" w:rsidRDefault="002F2400" w:rsidP="002F2400">
                            <w:pPr>
                              <w:spacing w:after="0" w:line="240" w:lineRule="auto"/>
                              <w:jc w:val="center"/>
                              <w:rPr>
                                <w:rFonts w:eastAsia="Times New Roman" w:cstheme="minorHAnsi"/>
                                <w:b/>
                                <w:bCs/>
                                <w:color w:val="000000"/>
                                <w:sz w:val="20"/>
                                <w:szCs w:val="20"/>
                              </w:rPr>
                            </w:pPr>
                            <w:r w:rsidRPr="00691FBB">
                              <w:rPr>
                                <w:rFonts w:eastAsia="Times New Roman" w:cstheme="minorHAnsi"/>
                                <w:b/>
                                <w:bCs/>
                                <w:color w:val="000000"/>
                                <w:sz w:val="20"/>
                                <w:szCs w:val="20"/>
                              </w:rPr>
                              <w:t>MSG Pre-Pandemic</w:t>
                            </w:r>
                          </w:p>
                        </w:tc>
                        <w:tc>
                          <w:tcPr>
                            <w:tcW w:w="0" w:type="auto"/>
                            <w:tcBorders>
                              <w:top w:val="single" w:sz="4" w:space="0" w:color="auto"/>
                              <w:left w:val="nil"/>
                              <w:bottom w:val="single" w:sz="4" w:space="0" w:color="auto"/>
                              <w:right w:val="single" w:sz="4" w:space="0" w:color="auto"/>
                            </w:tcBorders>
                            <w:shd w:val="clear" w:color="000000" w:fill="E2EFDA"/>
                            <w:noWrap/>
                            <w:vAlign w:val="bottom"/>
                            <w:hideMark/>
                          </w:tcPr>
                          <w:p w14:paraId="21C7E60A" w14:textId="77777777" w:rsidR="002F2400" w:rsidRPr="00691FBB" w:rsidRDefault="002F2400" w:rsidP="002F2400">
                            <w:pPr>
                              <w:spacing w:after="0" w:line="240" w:lineRule="auto"/>
                              <w:jc w:val="center"/>
                              <w:rPr>
                                <w:rFonts w:eastAsia="Times New Roman" w:cstheme="minorHAnsi"/>
                                <w:b/>
                                <w:bCs/>
                                <w:color w:val="000000"/>
                                <w:sz w:val="20"/>
                                <w:szCs w:val="20"/>
                              </w:rPr>
                            </w:pPr>
                            <w:r w:rsidRPr="00691FBB">
                              <w:rPr>
                                <w:rFonts w:eastAsia="Times New Roman" w:cstheme="minorHAnsi"/>
                                <w:b/>
                                <w:bCs/>
                                <w:color w:val="000000"/>
                                <w:sz w:val="20"/>
                                <w:szCs w:val="20"/>
                              </w:rPr>
                              <w:t>MSG During Pandemic</w:t>
                            </w:r>
                          </w:p>
                        </w:tc>
                        <w:tc>
                          <w:tcPr>
                            <w:tcW w:w="0" w:type="auto"/>
                            <w:tcBorders>
                              <w:top w:val="single" w:sz="4" w:space="0" w:color="auto"/>
                              <w:left w:val="nil"/>
                              <w:bottom w:val="single" w:sz="4" w:space="0" w:color="auto"/>
                              <w:right w:val="single" w:sz="4" w:space="0" w:color="auto"/>
                            </w:tcBorders>
                            <w:shd w:val="clear" w:color="000000" w:fill="E2EFDA"/>
                            <w:noWrap/>
                            <w:vAlign w:val="bottom"/>
                            <w:hideMark/>
                          </w:tcPr>
                          <w:p w14:paraId="0CD0E42E" w14:textId="77777777" w:rsidR="002F2400" w:rsidRPr="00691FBB" w:rsidRDefault="002F2400" w:rsidP="002F2400">
                            <w:pPr>
                              <w:spacing w:after="0" w:line="240" w:lineRule="auto"/>
                              <w:jc w:val="center"/>
                              <w:rPr>
                                <w:rFonts w:eastAsia="Times New Roman" w:cstheme="minorHAnsi"/>
                                <w:b/>
                                <w:bCs/>
                                <w:color w:val="000000"/>
                                <w:sz w:val="20"/>
                                <w:szCs w:val="20"/>
                              </w:rPr>
                            </w:pPr>
                            <w:r w:rsidRPr="00691FBB">
                              <w:rPr>
                                <w:rFonts w:eastAsia="Times New Roman" w:cstheme="minorHAnsi"/>
                                <w:b/>
                                <w:bCs/>
                                <w:color w:val="000000"/>
                                <w:sz w:val="20"/>
                                <w:szCs w:val="20"/>
                              </w:rPr>
                              <w:t>Difference</w:t>
                            </w:r>
                          </w:p>
                        </w:tc>
                      </w:tr>
                      <w:tr w:rsidR="002F2400" w:rsidRPr="00691FBB" w14:paraId="2E97EC44" w14:textId="77777777" w:rsidTr="00F870A9">
                        <w:trPr>
                          <w:trHeight w:val="5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CEB6CB0" w14:textId="77777777" w:rsidR="002F2400" w:rsidRPr="00691FBB" w:rsidRDefault="002F2400" w:rsidP="002F2400">
                            <w:pPr>
                              <w:spacing w:after="0" w:line="240" w:lineRule="auto"/>
                              <w:rPr>
                                <w:rFonts w:eastAsia="Times New Roman" w:cstheme="minorHAnsi"/>
                                <w:i/>
                                <w:iCs/>
                                <w:color w:val="000000"/>
                                <w:sz w:val="20"/>
                                <w:szCs w:val="20"/>
                              </w:rPr>
                            </w:pPr>
                            <w:r w:rsidRPr="00691FBB">
                              <w:rPr>
                                <w:rFonts w:eastAsia="Times New Roman" w:cstheme="minorHAnsi"/>
                                <w:i/>
                                <w:iCs/>
                                <w:color w:val="000000"/>
                                <w:sz w:val="20"/>
                                <w:szCs w:val="20"/>
                              </w:rPr>
                              <w:t>Overall</w:t>
                            </w:r>
                          </w:p>
                        </w:tc>
                        <w:tc>
                          <w:tcPr>
                            <w:tcW w:w="0" w:type="auto"/>
                            <w:tcBorders>
                              <w:top w:val="nil"/>
                              <w:left w:val="nil"/>
                              <w:bottom w:val="single" w:sz="4" w:space="0" w:color="auto"/>
                              <w:right w:val="single" w:sz="4" w:space="0" w:color="auto"/>
                            </w:tcBorders>
                            <w:shd w:val="clear" w:color="auto" w:fill="auto"/>
                            <w:noWrap/>
                            <w:vAlign w:val="bottom"/>
                            <w:hideMark/>
                          </w:tcPr>
                          <w:p w14:paraId="2EB5800B" w14:textId="77777777" w:rsidR="002F2400" w:rsidRPr="00691FBB" w:rsidRDefault="002F2400" w:rsidP="002F2400">
                            <w:pPr>
                              <w:spacing w:after="0" w:line="240" w:lineRule="auto"/>
                              <w:jc w:val="right"/>
                              <w:rPr>
                                <w:rFonts w:eastAsia="Times New Roman" w:cstheme="minorHAnsi"/>
                                <w:i/>
                                <w:iCs/>
                                <w:color w:val="000000"/>
                                <w:sz w:val="20"/>
                                <w:szCs w:val="20"/>
                              </w:rPr>
                            </w:pPr>
                            <w:r w:rsidRPr="00691FBB">
                              <w:rPr>
                                <w:rFonts w:eastAsia="Times New Roman" w:cstheme="minorHAnsi"/>
                                <w:i/>
                                <w:iCs/>
                                <w:color w:val="000000"/>
                                <w:sz w:val="20"/>
                                <w:szCs w:val="20"/>
                              </w:rPr>
                              <w:t>52%</w:t>
                            </w:r>
                          </w:p>
                        </w:tc>
                        <w:tc>
                          <w:tcPr>
                            <w:tcW w:w="0" w:type="auto"/>
                            <w:tcBorders>
                              <w:top w:val="nil"/>
                              <w:left w:val="nil"/>
                              <w:bottom w:val="single" w:sz="4" w:space="0" w:color="auto"/>
                              <w:right w:val="single" w:sz="4" w:space="0" w:color="auto"/>
                            </w:tcBorders>
                            <w:shd w:val="clear" w:color="auto" w:fill="auto"/>
                            <w:noWrap/>
                            <w:vAlign w:val="bottom"/>
                            <w:hideMark/>
                          </w:tcPr>
                          <w:p w14:paraId="03FDF340" w14:textId="77777777" w:rsidR="002F2400" w:rsidRPr="00691FBB" w:rsidRDefault="002F2400" w:rsidP="002F2400">
                            <w:pPr>
                              <w:spacing w:after="0" w:line="240" w:lineRule="auto"/>
                              <w:jc w:val="right"/>
                              <w:rPr>
                                <w:rFonts w:eastAsia="Times New Roman" w:cstheme="minorHAnsi"/>
                                <w:i/>
                                <w:iCs/>
                                <w:color w:val="000000"/>
                                <w:sz w:val="20"/>
                                <w:szCs w:val="20"/>
                              </w:rPr>
                            </w:pPr>
                            <w:r w:rsidRPr="00691FBB">
                              <w:rPr>
                                <w:rFonts w:eastAsia="Times New Roman" w:cstheme="minorHAnsi"/>
                                <w:i/>
                                <w:iCs/>
                                <w:color w:val="000000"/>
                                <w:sz w:val="20"/>
                                <w:szCs w:val="20"/>
                              </w:rPr>
                              <w:t>42%</w:t>
                            </w:r>
                          </w:p>
                        </w:tc>
                        <w:tc>
                          <w:tcPr>
                            <w:tcW w:w="0" w:type="auto"/>
                            <w:tcBorders>
                              <w:top w:val="nil"/>
                              <w:left w:val="nil"/>
                              <w:bottom w:val="single" w:sz="4" w:space="0" w:color="auto"/>
                              <w:right w:val="single" w:sz="4" w:space="0" w:color="auto"/>
                            </w:tcBorders>
                            <w:shd w:val="clear" w:color="auto" w:fill="auto"/>
                            <w:noWrap/>
                            <w:vAlign w:val="bottom"/>
                            <w:hideMark/>
                          </w:tcPr>
                          <w:p w14:paraId="40699C24" w14:textId="77777777" w:rsidR="002F2400" w:rsidRPr="00691FBB" w:rsidRDefault="002F2400" w:rsidP="002F2400">
                            <w:pPr>
                              <w:spacing w:after="0" w:line="240" w:lineRule="auto"/>
                              <w:jc w:val="right"/>
                              <w:rPr>
                                <w:rFonts w:eastAsia="Times New Roman" w:cstheme="minorHAnsi"/>
                                <w:i/>
                                <w:iCs/>
                                <w:color w:val="000000"/>
                                <w:sz w:val="20"/>
                                <w:szCs w:val="20"/>
                              </w:rPr>
                            </w:pPr>
                            <w:r w:rsidRPr="00691FBB">
                              <w:rPr>
                                <w:rFonts w:eastAsia="Times New Roman" w:cstheme="minorHAnsi"/>
                                <w:i/>
                                <w:iCs/>
                                <w:color w:val="000000"/>
                                <w:sz w:val="20"/>
                                <w:szCs w:val="20"/>
                              </w:rPr>
                              <w:t>-10%</w:t>
                            </w:r>
                          </w:p>
                        </w:tc>
                      </w:tr>
                      <w:tr w:rsidR="002F2400" w:rsidRPr="00691FBB" w14:paraId="7E6FB8E0" w14:textId="77777777" w:rsidTr="00F870A9">
                        <w:trPr>
                          <w:trHeight w:val="50"/>
                        </w:trPr>
                        <w:tc>
                          <w:tcPr>
                            <w:tcW w:w="0" w:type="auto"/>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154FC8B8" w14:textId="77777777" w:rsidR="002F2400" w:rsidRPr="00691FBB" w:rsidRDefault="002F2400" w:rsidP="002F2400">
                            <w:pPr>
                              <w:spacing w:after="0" w:line="240" w:lineRule="auto"/>
                              <w:ind w:firstLineChars="100" w:firstLine="200"/>
                              <w:rPr>
                                <w:rFonts w:eastAsia="Times New Roman" w:cstheme="minorHAnsi"/>
                                <w:color w:val="000000"/>
                                <w:sz w:val="20"/>
                                <w:szCs w:val="20"/>
                              </w:rPr>
                            </w:pPr>
                            <w:r w:rsidRPr="00691FBB">
                              <w:rPr>
                                <w:rFonts w:eastAsia="Times New Roman" w:cstheme="minorHAnsi"/>
                                <w:color w:val="000000"/>
                                <w:sz w:val="20"/>
                                <w:szCs w:val="20"/>
                              </w:rPr>
                              <w:t>American Indian/Alaskan Native</w:t>
                            </w:r>
                          </w:p>
                        </w:tc>
                        <w:tc>
                          <w:tcPr>
                            <w:tcW w:w="0" w:type="auto"/>
                            <w:tcBorders>
                              <w:top w:val="nil"/>
                              <w:left w:val="nil"/>
                              <w:bottom w:val="single" w:sz="4" w:space="0" w:color="auto"/>
                              <w:right w:val="single" w:sz="4" w:space="0" w:color="auto"/>
                            </w:tcBorders>
                            <w:shd w:val="clear" w:color="auto" w:fill="F2F2F2" w:themeFill="background1" w:themeFillShade="F2"/>
                            <w:noWrap/>
                            <w:vAlign w:val="bottom"/>
                            <w:hideMark/>
                          </w:tcPr>
                          <w:p w14:paraId="30D3F06B" w14:textId="77777777" w:rsidR="002F2400" w:rsidRPr="00691FBB" w:rsidRDefault="002F2400" w:rsidP="002F2400">
                            <w:pPr>
                              <w:spacing w:after="0" w:line="240" w:lineRule="auto"/>
                              <w:jc w:val="right"/>
                              <w:rPr>
                                <w:rFonts w:eastAsia="Times New Roman" w:cstheme="minorHAnsi"/>
                                <w:color w:val="000000"/>
                                <w:sz w:val="20"/>
                                <w:szCs w:val="20"/>
                              </w:rPr>
                            </w:pPr>
                            <w:r w:rsidRPr="00691FBB">
                              <w:rPr>
                                <w:rFonts w:eastAsia="Times New Roman" w:cstheme="minorHAnsi"/>
                                <w:color w:val="000000"/>
                                <w:sz w:val="20"/>
                                <w:szCs w:val="20"/>
                              </w:rPr>
                              <w:t>36%</w:t>
                            </w:r>
                          </w:p>
                        </w:tc>
                        <w:tc>
                          <w:tcPr>
                            <w:tcW w:w="0" w:type="auto"/>
                            <w:tcBorders>
                              <w:top w:val="nil"/>
                              <w:left w:val="nil"/>
                              <w:bottom w:val="single" w:sz="4" w:space="0" w:color="auto"/>
                              <w:right w:val="single" w:sz="4" w:space="0" w:color="auto"/>
                            </w:tcBorders>
                            <w:shd w:val="clear" w:color="auto" w:fill="F2F2F2" w:themeFill="background1" w:themeFillShade="F2"/>
                            <w:noWrap/>
                            <w:vAlign w:val="bottom"/>
                            <w:hideMark/>
                          </w:tcPr>
                          <w:p w14:paraId="4DBB0DD7" w14:textId="77777777" w:rsidR="002F2400" w:rsidRPr="00691FBB" w:rsidRDefault="002F2400" w:rsidP="002F2400">
                            <w:pPr>
                              <w:spacing w:after="0" w:line="240" w:lineRule="auto"/>
                              <w:jc w:val="right"/>
                              <w:rPr>
                                <w:rFonts w:eastAsia="Times New Roman" w:cstheme="minorHAnsi"/>
                                <w:color w:val="000000"/>
                                <w:sz w:val="20"/>
                                <w:szCs w:val="20"/>
                              </w:rPr>
                            </w:pPr>
                            <w:r w:rsidRPr="00691FBB">
                              <w:rPr>
                                <w:rFonts w:eastAsia="Times New Roman" w:cstheme="minorHAnsi"/>
                                <w:color w:val="000000"/>
                                <w:sz w:val="20"/>
                                <w:szCs w:val="20"/>
                              </w:rPr>
                              <w:t>26%</w:t>
                            </w:r>
                          </w:p>
                        </w:tc>
                        <w:tc>
                          <w:tcPr>
                            <w:tcW w:w="0" w:type="auto"/>
                            <w:tcBorders>
                              <w:top w:val="nil"/>
                              <w:left w:val="nil"/>
                              <w:bottom w:val="single" w:sz="4" w:space="0" w:color="auto"/>
                              <w:right w:val="single" w:sz="4" w:space="0" w:color="auto"/>
                            </w:tcBorders>
                            <w:shd w:val="clear" w:color="auto" w:fill="F2F2F2" w:themeFill="background1" w:themeFillShade="F2"/>
                            <w:noWrap/>
                            <w:vAlign w:val="bottom"/>
                            <w:hideMark/>
                          </w:tcPr>
                          <w:p w14:paraId="1C0ECA33" w14:textId="77777777" w:rsidR="002F2400" w:rsidRPr="00691FBB" w:rsidRDefault="002F2400" w:rsidP="002F2400">
                            <w:pPr>
                              <w:spacing w:after="0" w:line="240" w:lineRule="auto"/>
                              <w:jc w:val="right"/>
                              <w:rPr>
                                <w:rFonts w:eastAsia="Times New Roman" w:cstheme="minorHAnsi"/>
                                <w:color w:val="000000"/>
                                <w:sz w:val="20"/>
                                <w:szCs w:val="20"/>
                              </w:rPr>
                            </w:pPr>
                            <w:r w:rsidRPr="00691FBB">
                              <w:rPr>
                                <w:rFonts w:eastAsia="Times New Roman" w:cstheme="minorHAnsi"/>
                                <w:color w:val="000000"/>
                                <w:sz w:val="20"/>
                                <w:szCs w:val="20"/>
                              </w:rPr>
                              <w:t>-10%</w:t>
                            </w:r>
                          </w:p>
                        </w:tc>
                      </w:tr>
                      <w:tr w:rsidR="002F2400" w:rsidRPr="00691FBB" w14:paraId="6A660847" w14:textId="77777777" w:rsidTr="00F870A9">
                        <w:trPr>
                          <w:trHeight w:val="5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F146BFA" w14:textId="77777777" w:rsidR="002F2400" w:rsidRPr="00691FBB" w:rsidRDefault="002F2400" w:rsidP="002F2400">
                            <w:pPr>
                              <w:spacing w:after="0" w:line="240" w:lineRule="auto"/>
                              <w:ind w:firstLineChars="100" w:firstLine="200"/>
                              <w:rPr>
                                <w:rFonts w:eastAsia="Times New Roman" w:cstheme="minorHAnsi"/>
                                <w:color w:val="000000"/>
                                <w:sz w:val="20"/>
                                <w:szCs w:val="20"/>
                              </w:rPr>
                            </w:pPr>
                            <w:r w:rsidRPr="00691FBB">
                              <w:rPr>
                                <w:rFonts w:eastAsia="Times New Roman" w:cstheme="minorHAnsi"/>
                                <w:color w:val="000000"/>
                                <w:sz w:val="20"/>
                                <w:szCs w:val="20"/>
                              </w:rPr>
                              <w:t>Asian</w:t>
                            </w:r>
                          </w:p>
                        </w:tc>
                        <w:tc>
                          <w:tcPr>
                            <w:tcW w:w="0" w:type="auto"/>
                            <w:tcBorders>
                              <w:top w:val="nil"/>
                              <w:left w:val="nil"/>
                              <w:bottom w:val="single" w:sz="4" w:space="0" w:color="auto"/>
                              <w:right w:val="single" w:sz="4" w:space="0" w:color="auto"/>
                            </w:tcBorders>
                            <w:shd w:val="clear" w:color="auto" w:fill="auto"/>
                            <w:noWrap/>
                            <w:vAlign w:val="bottom"/>
                            <w:hideMark/>
                          </w:tcPr>
                          <w:p w14:paraId="6D7F205F" w14:textId="77777777" w:rsidR="002F2400" w:rsidRPr="00691FBB" w:rsidRDefault="002F2400" w:rsidP="002F2400">
                            <w:pPr>
                              <w:spacing w:after="0" w:line="240" w:lineRule="auto"/>
                              <w:jc w:val="right"/>
                              <w:rPr>
                                <w:rFonts w:eastAsia="Times New Roman" w:cstheme="minorHAnsi"/>
                                <w:color w:val="000000"/>
                                <w:sz w:val="20"/>
                                <w:szCs w:val="20"/>
                              </w:rPr>
                            </w:pPr>
                            <w:r w:rsidRPr="00691FBB">
                              <w:rPr>
                                <w:rFonts w:eastAsia="Times New Roman" w:cstheme="minorHAnsi"/>
                                <w:color w:val="000000"/>
                                <w:sz w:val="20"/>
                                <w:szCs w:val="20"/>
                              </w:rPr>
                              <w:t>53%</w:t>
                            </w:r>
                          </w:p>
                        </w:tc>
                        <w:tc>
                          <w:tcPr>
                            <w:tcW w:w="0" w:type="auto"/>
                            <w:tcBorders>
                              <w:top w:val="nil"/>
                              <w:left w:val="nil"/>
                              <w:bottom w:val="single" w:sz="4" w:space="0" w:color="auto"/>
                              <w:right w:val="single" w:sz="4" w:space="0" w:color="auto"/>
                            </w:tcBorders>
                            <w:shd w:val="clear" w:color="auto" w:fill="auto"/>
                            <w:noWrap/>
                            <w:vAlign w:val="bottom"/>
                            <w:hideMark/>
                          </w:tcPr>
                          <w:p w14:paraId="4109D273" w14:textId="77777777" w:rsidR="002F2400" w:rsidRPr="00691FBB" w:rsidRDefault="002F2400" w:rsidP="002F2400">
                            <w:pPr>
                              <w:spacing w:after="0" w:line="240" w:lineRule="auto"/>
                              <w:jc w:val="right"/>
                              <w:rPr>
                                <w:rFonts w:eastAsia="Times New Roman" w:cstheme="minorHAnsi"/>
                                <w:color w:val="000000"/>
                                <w:sz w:val="20"/>
                                <w:szCs w:val="20"/>
                              </w:rPr>
                            </w:pPr>
                            <w:r w:rsidRPr="00691FBB">
                              <w:rPr>
                                <w:rFonts w:eastAsia="Times New Roman" w:cstheme="minorHAnsi"/>
                                <w:color w:val="000000"/>
                                <w:sz w:val="20"/>
                                <w:szCs w:val="20"/>
                              </w:rPr>
                              <w:t>43%</w:t>
                            </w:r>
                          </w:p>
                        </w:tc>
                        <w:tc>
                          <w:tcPr>
                            <w:tcW w:w="0" w:type="auto"/>
                            <w:tcBorders>
                              <w:top w:val="nil"/>
                              <w:left w:val="nil"/>
                              <w:bottom w:val="single" w:sz="4" w:space="0" w:color="auto"/>
                              <w:right w:val="single" w:sz="4" w:space="0" w:color="auto"/>
                            </w:tcBorders>
                            <w:shd w:val="clear" w:color="auto" w:fill="auto"/>
                            <w:noWrap/>
                            <w:vAlign w:val="bottom"/>
                            <w:hideMark/>
                          </w:tcPr>
                          <w:p w14:paraId="30DB5C05" w14:textId="77777777" w:rsidR="002F2400" w:rsidRPr="00691FBB" w:rsidRDefault="002F2400" w:rsidP="002F2400">
                            <w:pPr>
                              <w:spacing w:after="0" w:line="240" w:lineRule="auto"/>
                              <w:jc w:val="right"/>
                              <w:rPr>
                                <w:rFonts w:eastAsia="Times New Roman" w:cstheme="minorHAnsi"/>
                                <w:color w:val="000000"/>
                                <w:sz w:val="20"/>
                                <w:szCs w:val="20"/>
                              </w:rPr>
                            </w:pPr>
                            <w:r w:rsidRPr="00691FBB">
                              <w:rPr>
                                <w:rFonts w:eastAsia="Times New Roman" w:cstheme="minorHAnsi"/>
                                <w:color w:val="000000"/>
                                <w:sz w:val="20"/>
                                <w:szCs w:val="20"/>
                              </w:rPr>
                              <w:t>-10%</w:t>
                            </w:r>
                          </w:p>
                        </w:tc>
                      </w:tr>
                      <w:tr w:rsidR="002F2400" w:rsidRPr="00691FBB" w14:paraId="3021B743" w14:textId="77777777" w:rsidTr="00F870A9">
                        <w:trPr>
                          <w:trHeight w:val="50"/>
                        </w:trPr>
                        <w:tc>
                          <w:tcPr>
                            <w:tcW w:w="0" w:type="auto"/>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67586B2D" w14:textId="77777777" w:rsidR="002F2400" w:rsidRPr="00691FBB" w:rsidRDefault="002F2400" w:rsidP="002F2400">
                            <w:pPr>
                              <w:spacing w:after="0" w:line="240" w:lineRule="auto"/>
                              <w:ind w:firstLineChars="100" w:firstLine="200"/>
                              <w:rPr>
                                <w:rFonts w:eastAsia="Times New Roman" w:cstheme="minorHAnsi"/>
                                <w:color w:val="000000"/>
                                <w:sz w:val="20"/>
                                <w:szCs w:val="20"/>
                              </w:rPr>
                            </w:pPr>
                            <w:r w:rsidRPr="00691FBB">
                              <w:rPr>
                                <w:rFonts w:eastAsia="Times New Roman" w:cstheme="minorHAnsi"/>
                                <w:color w:val="000000"/>
                                <w:sz w:val="20"/>
                                <w:szCs w:val="20"/>
                              </w:rPr>
                              <w:t>Black/African American</w:t>
                            </w:r>
                          </w:p>
                        </w:tc>
                        <w:tc>
                          <w:tcPr>
                            <w:tcW w:w="0" w:type="auto"/>
                            <w:tcBorders>
                              <w:top w:val="nil"/>
                              <w:left w:val="nil"/>
                              <w:bottom w:val="single" w:sz="4" w:space="0" w:color="auto"/>
                              <w:right w:val="single" w:sz="4" w:space="0" w:color="auto"/>
                            </w:tcBorders>
                            <w:shd w:val="clear" w:color="auto" w:fill="F2F2F2" w:themeFill="background1" w:themeFillShade="F2"/>
                            <w:noWrap/>
                            <w:vAlign w:val="bottom"/>
                            <w:hideMark/>
                          </w:tcPr>
                          <w:p w14:paraId="46147FF4" w14:textId="77777777" w:rsidR="002F2400" w:rsidRPr="00691FBB" w:rsidRDefault="002F2400" w:rsidP="002F2400">
                            <w:pPr>
                              <w:spacing w:after="0" w:line="240" w:lineRule="auto"/>
                              <w:jc w:val="right"/>
                              <w:rPr>
                                <w:rFonts w:eastAsia="Times New Roman" w:cstheme="minorHAnsi"/>
                                <w:color w:val="000000"/>
                                <w:sz w:val="20"/>
                                <w:szCs w:val="20"/>
                              </w:rPr>
                            </w:pPr>
                            <w:r w:rsidRPr="00691FBB">
                              <w:rPr>
                                <w:rFonts w:eastAsia="Times New Roman" w:cstheme="minorHAnsi"/>
                                <w:color w:val="000000"/>
                                <w:sz w:val="20"/>
                                <w:szCs w:val="20"/>
                              </w:rPr>
                              <w:t>47%</w:t>
                            </w:r>
                          </w:p>
                        </w:tc>
                        <w:tc>
                          <w:tcPr>
                            <w:tcW w:w="0" w:type="auto"/>
                            <w:tcBorders>
                              <w:top w:val="nil"/>
                              <w:left w:val="nil"/>
                              <w:bottom w:val="single" w:sz="4" w:space="0" w:color="auto"/>
                              <w:right w:val="single" w:sz="4" w:space="0" w:color="auto"/>
                            </w:tcBorders>
                            <w:shd w:val="clear" w:color="auto" w:fill="F2F2F2" w:themeFill="background1" w:themeFillShade="F2"/>
                            <w:noWrap/>
                            <w:vAlign w:val="bottom"/>
                            <w:hideMark/>
                          </w:tcPr>
                          <w:p w14:paraId="1B7D8EFB" w14:textId="77777777" w:rsidR="002F2400" w:rsidRPr="00691FBB" w:rsidRDefault="002F2400" w:rsidP="002F2400">
                            <w:pPr>
                              <w:spacing w:after="0" w:line="240" w:lineRule="auto"/>
                              <w:jc w:val="right"/>
                              <w:rPr>
                                <w:rFonts w:eastAsia="Times New Roman" w:cstheme="minorHAnsi"/>
                                <w:color w:val="000000"/>
                                <w:sz w:val="20"/>
                                <w:szCs w:val="20"/>
                              </w:rPr>
                            </w:pPr>
                            <w:r w:rsidRPr="00691FBB">
                              <w:rPr>
                                <w:rFonts w:eastAsia="Times New Roman" w:cstheme="minorHAnsi"/>
                                <w:color w:val="000000"/>
                                <w:sz w:val="20"/>
                                <w:szCs w:val="20"/>
                              </w:rPr>
                              <w:t>40%</w:t>
                            </w:r>
                          </w:p>
                        </w:tc>
                        <w:tc>
                          <w:tcPr>
                            <w:tcW w:w="0" w:type="auto"/>
                            <w:tcBorders>
                              <w:top w:val="nil"/>
                              <w:left w:val="nil"/>
                              <w:bottom w:val="single" w:sz="4" w:space="0" w:color="auto"/>
                              <w:right w:val="single" w:sz="4" w:space="0" w:color="auto"/>
                            </w:tcBorders>
                            <w:shd w:val="clear" w:color="auto" w:fill="F2F2F2" w:themeFill="background1" w:themeFillShade="F2"/>
                            <w:noWrap/>
                            <w:vAlign w:val="bottom"/>
                            <w:hideMark/>
                          </w:tcPr>
                          <w:p w14:paraId="3AE2F6C5" w14:textId="77777777" w:rsidR="002F2400" w:rsidRPr="00691FBB" w:rsidRDefault="002F2400" w:rsidP="002F2400">
                            <w:pPr>
                              <w:spacing w:after="0" w:line="240" w:lineRule="auto"/>
                              <w:jc w:val="right"/>
                              <w:rPr>
                                <w:rFonts w:eastAsia="Times New Roman" w:cstheme="minorHAnsi"/>
                                <w:color w:val="000000"/>
                                <w:sz w:val="20"/>
                                <w:szCs w:val="20"/>
                              </w:rPr>
                            </w:pPr>
                            <w:r w:rsidRPr="00691FBB">
                              <w:rPr>
                                <w:rFonts w:eastAsia="Times New Roman" w:cstheme="minorHAnsi"/>
                                <w:color w:val="000000"/>
                                <w:sz w:val="20"/>
                                <w:szCs w:val="20"/>
                              </w:rPr>
                              <w:t>-7%</w:t>
                            </w:r>
                          </w:p>
                        </w:tc>
                      </w:tr>
                      <w:tr w:rsidR="002F2400" w:rsidRPr="00691FBB" w14:paraId="279F3FF6" w14:textId="77777777" w:rsidTr="00F870A9">
                        <w:trPr>
                          <w:trHeight w:val="5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8805B0F" w14:textId="77777777" w:rsidR="002F2400" w:rsidRPr="00691FBB" w:rsidRDefault="002F2400" w:rsidP="002F2400">
                            <w:pPr>
                              <w:spacing w:after="0" w:line="240" w:lineRule="auto"/>
                              <w:ind w:firstLineChars="100" w:firstLine="200"/>
                              <w:rPr>
                                <w:rFonts w:eastAsia="Times New Roman" w:cstheme="minorHAnsi"/>
                                <w:color w:val="000000"/>
                                <w:sz w:val="20"/>
                                <w:szCs w:val="20"/>
                              </w:rPr>
                            </w:pPr>
                            <w:r w:rsidRPr="00691FBB">
                              <w:rPr>
                                <w:rFonts w:eastAsia="Times New Roman" w:cstheme="minorHAnsi"/>
                                <w:color w:val="000000"/>
                                <w:sz w:val="20"/>
                                <w:szCs w:val="20"/>
                              </w:rPr>
                              <w:t>Hispanic/Latinx</w:t>
                            </w:r>
                          </w:p>
                        </w:tc>
                        <w:tc>
                          <w:tcPr>
                            <w:tcW w:w="0" w:type="auto"/>
                            <w:tcBorders>
                              <w:top w:val="nil"/>
                              <w:left w:val="nil"/>
                              <w:bottom w:val="single" w:sz="4" w:space="0" w:color="auto"/>
                              <w:right w:val="single" w:sz="4" w:space="0" w:color="auto"/>
                            </w:tcBorders>
                            <w:shd w:val="clear" w:color="auto" w:fill="auto"/>
                            <w:noWrap/>
                            <w:vAlign w:val="bottom"/>
                            <w:hideMark/>
                          </w:tcPr>
                          <w:p w14:paraId="0F322080" w14:textId="77777777" w:rsidR="002F2400" w:rsidRPr="00691FBB" w:rsidRDefault="002F2400" w:rsidP="002F2400">
                            <w:pPr>
                              <w:spacing w:after="0" w:line="240" w:lineRule="auto"/>
                              <w:jc w:val="right"/>
                              <w:rPr>
                                <w:rFonts w:eastAsia="Times New Roman" w:cstheme="minorHAnsi"/>
                                <w:color w:val="000000"/>
                                <w:sz w:val="20"/>
                                <w:szCs w:val="20"/>
                              </w:rPr>
                            </w:pPr>
                            <w:r w:rsidRPr="00691FBB">
                              <w:rPr>
                                <w:rFonts w:eastAsia="Times New Roman" w:cstheme="minorHAnsi"/>
                                <w:color w:val="000000"/>
                                <w:sz w:val="20"/>
                                <w:szCs w:val="20"/>
                              </w:rPr>
                              <w:t>49%</w:t>
                            </w:r>
                          </w:p>
                        </w:tc>
                        <w:tc>
                          <w:tcPr>
                            <w:tcW w:w="0" w:type="auto"/>
                            <w:tcBorders>
                              <w:top w:val="nil"/>
                              <w:left w:val="nil"/>
                              <w:bottom w:val="single" w:sz="4" w:space="0" w:color="auto"/>
                              <w:right w:val="single" w:sz="4" w:space="0" w:color="auto"/>
                            </w:tcBorders>
                            <w:shd w:val="clear" w:color="auto" w:fill="auto"/>
                            <w:noWrap/>
                            <w:vAlign w:val="bottom"/>
                            <w:hideMark/>
                          </w:tcPr>
                          <w:p w14:paraId="11157E02" w14:textId="77777777" w:rsidR="002F2400" w:rsidRPr="00691FBB" w:rsidRDefault="002F2400" w:rsidP="002F2400">
                            <w:pPr>
                              <w:spacing w:after="0" w:line="240" w:lineRule="auto"/>
                              <w:jc w:val="right"/>
                              <w:rPr>
                                <w:rFonts w:eastAsia="Times New Roman" w:cstheme="minorHAnsi"/>
                                <w:color w:val="000000"/>
                                <w:sz w:val="20"/>
                                <w:szCs w:val="20"/>
                              </w:rPr>
                            </w:pPr>
                            <w:r w:rsidRPr="00691FBB">
                              <w:rPr>
                                <w:rFonts w:eastAsia="Times New Roman" w:cstheme="minorHAnsi"/>
                                <w:color w:val="000000"/>
                                <w:sz w:val="20"/>
                                <w:szCs w:val="20"/>
                              </w:rPr>
                              <w:t>40%</w:t>
                            </w:r>
                          </w:p>
                        </w:tc>
                        <w:tc>
                          <w:tcPr>
                            <w:tcW w:w="0" w:type="auto"/>
                            <w:tcBorders>
                              <w:top w:val="nil"/>
                              <w:left w:val="nil"/>
                              <w:bottom w:val="single" w:sz="4" w:space="0" w:color="auto"/>
                              <w:right w:val="single" w:sz="4" w:space="0" w:color="auto"/>
                            </w:tcBorders>
                            <w:shd w:val="clear" w:color="auto" w:fill="auto"/>
                            <w:noWrap/>
                            <w:vAlign w:val="bottom"/>
                            <w:hideMark/>
                          </w:tcPr>
                          <w:p w14:paraId="008FCC5A" w14:textId="77777777" w:rsidR="002F2400" w:rsidRPr="00691FBB" w:rsidRDefault="002F2400" w:rsidP="002F2400">
                            <w:pPr>
                              <w:spacing w:after="0" w:line="240" w:lineRule="auto"/>
                              <w:jc w:val="right"/>
                              <w:rPr>
                                <w:rFonts w:eastAsia="Times New Roman" w:cstheme="minorHAnsi"/>
                                <w:color w:val="000000"/>
                                <w:sz w:val="20"/>
                                <w:szCs w:val="20"/>
                              </w:rPr>
                            </w:pPr>
                            <w:r w:rsidRPr="00691FBB">
                              <w:rPr>
                                <w:rFonts w:eastAsia="Times New Roman" w:cstheme="minorHAnsi"/>
                                <w:color w:val="000000"/>
                                <w:sz w:val="20"/>
                                <w:szCs w:val="20"/>
                              </w:rPr>
                              <w:t>-9%</w:t>
                            </w:r>
                          </w:p>
                        </w:tc>
                      </w:tr>
                      <w:tr w:rsidR="002F2400" w:rsidRPr="00691FBB" w14:paraId="1AD34714" w14:textId="77777777" w:rsidTr="00F870A9">
                        <w:trPr>
                          <w:trHeight w:val="50"/>
                        </w:trPr>
                        <w:tc>
                          <w:tcPr>
                            <w:tcW w:w="0" w:type="auto"/>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23657ABD" w14:textId="77777777" w:rsidR="002F2400" w:rsidRPr="00691FBB" w:rsidRDefault="002F2400" w:rsidP="002F2400">
                            <w:pPr>
                              <w:spacing w:after="0" w:line="240" w:lineRule="auto"/>
                              <w:ind w:firstLineChars="100" w:firstLine="200"/>
                              <w:rPr>
                                <w:rFonts w:eastAsia="Times New Roman" w:cstheme="minorHAnsi"/>
                                <w:color w:val="000000"/>
                                <w:sz w:val="20"/>
                                <w:szCs w:val="20"/>
                              </w:rPr>
                            </w:pPr>
                            <w:r w:rsidRPr="00691FBB">
                              <w:rPr>
                                <w:rFonts w:eastAsia="Times New Roman" w:cstheme="minorHAnsi"/>
                                <w:color w:val="000000"/>
                                <w:sz w:val="20"/>
                                <w:szCs w:val="20"/>
                              </w:rPr>
                              <w:t>More than one race</w:t>
                            </w:r>
                          </w:p>
                        </w:tc>
                        <w:tc>
                          <w:tcPr>
                            <w:tcW w:w="0" w:type="auto"/>
                            <w:tcBorders>
                              <w:top w:val="nil"/>
                              <w:left w:val="nil"/>
                              <w:bottom w:val="single" w:sz="4" w:space="0" w:color="auto"/>
                              <w:right w:val="single" w:sz="4" w:space="0" w:color="auto"/>
                            </w:tcBorders>
                            <w:shd w:val="clear" w:color="auto" w:fill="F2F2F2" w:themeFill="background1" w:themeFillShade="F2"/>
                            <w:noWrap/>
                            <w:vAlign w:val="bottom"/>
                            <w:hideMark/>
                          </w:tcPr>
                          <w:p w14:paraId="072276BF" w14:textId="77777777" w:rsidR="002F2400" w:rsidRPr="00691FBB" w:rsidRDefault="002F2400" w:rsidP="002F2400">
                            <w:pPr>
                              <w:spacing w:after="0" w:line="240" w:lineRule="auto"/>
                              <w:jc w:val="right"/>
                              <w:rPr>
                                <w:rFonts w:eastAsia="Times New Roman" w:cstheme="minorHAnsi"/>
                                <w:color w:val="000000"/>
                                <w:sz w:val="20"/>
                                <w:szCs w:val="20"/>
                              </w:rPr>
                            </w:pPr>
                            <w:r w:rsidRPr="00691FBB">
                              <w:rPr>
                                <w:rFonts w:eastAsia="Times New Roman" w:cstheme="minorHAnsi"/>
                                <w:color w:val="000000"/>
                                <w:sz w:val="20"/>
                                <w:szCs w:val="20"/>
                              </w:rPr>
                              <w:t>65%</w:t>
                            </w:r>
                          </w:p>
                        </w:tc>
                        <w:tc>
                          <w:tcPr>
                            <w:tcW w:w="0" w:type="auto"/>
                            <w:tcBorders>
                              <w:top w:val="nil"/>
                              <w:left w:val="nil"/>
                              <w:bottom w:val="single" w:sz="4" w:space="0" w:color="auto"/>
                              <w:right w:val="single" w:sz="4" w:space="0" w:color="auto"/>
                            </w:tcBorders>
                            <w:shd w:val="clear" w:color="auto" w:fill="F2F2F2" w:themeFill="background1" w:themeFillShade="F2"/>
                            <w:noWrap/>
                            <w:vAlign w:val="bottom"/>
                            <w:hideMark/>
                          </w:tcPr>
                          <w:p w14:paraId="5032438E" w14:textId="77777777" w:rsidR="002F2400" w:rsidRPr="00691FBB" w:rsidRDefault="002F2400" w:rsidP="002F2400">
                            <w:pPr>
                              <w:spacing w:after="0" w:line="240" w:lineRule="auto"/>
                              <w:jc w:val="right"/>
                              <w:rPr>
                                <w:rFonts w:eastAsia="Times New Roman" w:cstheme="minorHAnsi"/>
                                <w:color w:val="000000"/>
                                <w:sz w:val="20"/>
                                <w:szCs w:val="20"/>
                              </w:rPr>
                            </w:pPr>
                            <w:r w:rsidRPr="00691FBB">
                              <w:rPr>
                                <w:rFonts w:eastAsia="Times New Roman" w:cstheme="minorHAnsi"/>
                                <w:color w:val="000000"/>
                                <w:sz w:val="20"/>
                                <w:szCs w:val="20"/>
                              </w:rPr>
                              <w:t>48%</w:t>
                            </w:r>
                          </w:p>
                        </w:tc>
                        <w:tc>
                          <w:tcPr>
                            <w:tcW w:w="0" w:type="auto"/>
                            <w:tcBorders>
                              <w:top w:val="nil"/>
                              <w:left w:val="nil"/>
                              <w:bottom w:val="single" w:sz="4" w:space="0" w:color="auto"/>
                              <w:right w:val="single" w:sz="4" w:space="0" w:color="auto"/>
                            </w:tcBorders>
                            <w:shd w:val="clear" w:color="auto" w:fill="F2F2F2" w:themeFill="background1" w:themeFillShade="F2"/>
                            <w:noWrap/>
                            <w:vAlign w:val="bottom"/>
                            <w:hideMark/>
                          </w:tcPr>
                          <w:p w14:paraId="33568FB1" w14:textId="77777777" w:rsidR="002F2400" w:rsidRPr="00691FBB" w:rsidRDefault="002F2400" w:rsidP="002F2400">
                            <w:pPr>
                              <w:spacing w:after="0" w:line="240" w:lineRule="auto"/>
                              <w:jc w:val="right"/>
                              <w:rPr>
                                <w:rFonts w:eastAsia="Times New Roman" w:cstheme="minorHAnsi"/>
                                <w:color w:val="000000"/>
                                <w:sz w:val="20"/>
                                <w:szCs w:val="20"/>
                              </w:rPr>
                            </w:pPr>
                            <w:r w:rsidRPr="00691FBB">
                              <w:rPr>
                                <w:rFonts w:eastAsia="Times New Roman" w:cstheme="minorHAnsi"/>
                                <w:color w:val="000000"/>
                                <w:sz w:val="20"/>
                                <w:szCs w:val="20"/>
                              </w:rPr>
                              <w:t>-18%</w:t>
                            </w:r>
                          </w:p>
                        </w:tc>
                      </w:tr>
                      <w:tr w:rsidR="002F2400" w:rsidRPr="00691FBB" w14:paraId="02364966" w14:textId="77777777" w:rsidTr="00F870A9">
                        <w:trPr>
                          <w:trHeight w:val="5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65A9293" w14:textId="77777777" w:rsidR="002F2400" w:rsidRPr="00691FBB" w:rsidRDefault="002F2400" w:rsidP="002F2400">
                            <w:pPr>
                              <w:spacing w:after="0" w:line="240" w:lineRule="auto"/>
                              <w:ind w:firstLineChars="100" w:firstLine="200"/>
                              <w:rPr>
                                <w:rFonts w:eastAsia="Times New Roman" w:cstheme="minorHAnsi"/>
                                <w:color w:val="000000"/>
                                <w:sz w:val="20"/>
                                <w:szCs w:val="20"/>
                              </w:rPr>
                            </w:pPr>
                            <w:r w:rsidRPr="00691FBB">
                              <w:rPr>
                                <w:rFonts w:eastAsia="Times New Roman" w:cstheme="minorHAnsi"/>
                                <w:color w:val="000000"/>
                                <w:sz w:val="20"/>
                                <w:szCs w:val="20"/>
                              </w:rPr>
                              <w:t>Native Hawaiian/Pacific Islander</w:t>
                            </w:r>
                            <w:r>
                              <w:rPr>
                                <w:rFonts w:eastAsia="Times New Roman" w:cstheme="minorHAnsi"/>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bottom"/>
                          </w:tcPr>
                          <w:p w14:paraId="4BB5CFBE" w14:textId="77777777" w:rsidR="002F2400" w:rsidRPr="00691FBB" w:rsidRDefault="002F2400" w:rsidP="002F2400">
                            <w:pPr>
                              <w:spacing w:after="0" w:line="240" w:lineRule="auto"/>
                              <w:jc w:val="right"/>
                              <w:rPr>
                                <w:rFonts w:eastAsia="Times New Roman" w:cstheme="minorHAnsi"/>
                                <w:color w:val="000000"/>
                                <w:sz w:val="20"/>
                                <w:szCs w:val="20"/>
                              </w:rPr>
                            </w:pPr>
                            <w:r w:rsidRPr="00691FBB">
                              <w:rPr>
                                <w:rFonts w:eastAsia="Times New Roman" w:cstheme="minorHAnsi"/>
                                <w:color w:val="000000"/>
                                <w:sz w:val="20"/>
                                <w:szCs w:val="20"/>
                              </w:rPr>
                              <w:t>N/A</w:t>
                            </w:r>
                            <w:r>
                              <w:rPr>
                                <w:rFonts w:eastAsia="Times New Roman" w:cstheme="minorHAnsi"/>
                                <w:color w:val="000000"/>
                                <w:sz w:val="20"/>
                                <w:szCs w:val="20"/>
                              </w:rPr>
                              <w:t xml:space="preserve"> – small sample</w:t>
                            </w:r>
                          </w:p>
                        </w:tc>
                        <w:tc>
                          <w:tcPr>
                            <w:tcW w:w="0" w:type="auto"/>
                            <w:tcBorders>
                              <w:top w:val="nil"/>
                              <w:left w:val="nil"/>
                              <w:bottom w:val="single" w:sz="4" w:space="0" w:color="auto"/>
                              <w:right w:val="single" w:sz="4" w:space="0" w:color="auto"/>
                            </w:tcBorders>
                            <w:shd w:val="clear" w:color="auto" w:fill="auto"/>
                            <w:noWrap/>
                            <w:vAlign w:val="bottom"/>
                          </w:tcPr>
                          <w:p w14:paraId="18EF8AA9" w14:textId="77777777" w:rsidR="002F2400" w:rsidRPr="00691FBB" w:rsidRDefault="002F2400" w:rsidP="002F2400">
                            <w:pPr>
                              <w:spacing w:after="0" w:line="240" w:lineRule="auto"/>
                              <w:jc w:val="right"/>
                              <w:rPr>
                                <w:rFonts w:eastAsia="Times New Roman" w:cstheme="minorHAnsi"/>
                                <w:color w:val="000000"/>
                                <w:sz w:val="20"/>
                                <w:szCs w:val="20"/>
                              </w:rPr>
                            </w:pPr>
                            <w:r w:rsidRPr="00691FBB">
                              <w:rPr>
                                <w:rFonts w:eastAsia="Times New Roman" w:cstheme="minorHAnsi"/>
                                <w:color w:val="000000"/>
                                <w:sz w:val="20"/>
                                <w:szCs w:val="20"/>
                              </w:rPr>
                              <w:t>N/A</w:t>
                            </w:r>
                          </w:p>
                        </w:tc>
                        <w:tc>
                          <w:tcPr>
                            <w:tcW w:w="0" w:type="auto"/>
                            <w:tcBorders>
                              <w:top w:val="nil"/>
                              <w:left w:val="nil"/>
                              <w:bottom w:val="single" w:sz="4" w:space="0" w:color="auto"/>
                              <w:right w:val="single" w:sz="4" w:space="0" w:color="auto"/>
                            </w:tcBorders>
                            <w:shd w:val="clear" w:color="auto" w:fill="auto"/>
                            <w:noWrap/>
                            <w:vAlign w:val="bottom"/>
                          </w:tcPr>
                          <w:p w14:paraId="38A738AE" w14:textId="77777777" w:rsidR="002F2400" w:rsidRPr="00691FBB" w:rsidRDefault="002F2400" w:rsidP="002F2400">
                            <w:pPr>
                              <w:spacing w:after="0" w:line="240" w:lineRule="auto"/>
                              <w:jc w:val="right"/>
                              <w:rPr>
                                <w:rFonts w:eastAsia="Times New Roman" w:cstheme="minorHAnsi"/>
                                <w:color w:val="000000"/>
                                <w:sz w:val="20"/>
                                <w:szCs w:val="20"/>
                              </w:rPr>
                            </w:pPr>
                            <w:r w:rsidRPr="00691FBB">
                              <w:rPr>
                                <w:rFonts w:eastAsia="Times New Roman" w:cstheme="minorHAnsi"/>
                                <w:color w:val="000000"/>
                                <w:sz w:val="20"/>
                                <w:szCs w:val="20"/>
                              </w:rPr>
                              <w:t>N/A</w:t>
                            </w:r>
                          </w:p>
                        </w:tc>
                      </w:tr>
                      <w:tr w:rsidR="002F2400" w:rsidRPr="00691FBB" w14:paraId="25C1930D" w14:textId="77777777" w:rsidTr="00F870A9">
                        <w:trPr>
                          <w:trHeight w:val="50"/>
                        </w:trPr>
                        <w:tc>
                          <w:tcPr>
                            <w:tcW w:w="0" w:type="auto"/>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77AA8DE4" w14:textId="77777777" w:rsidR="002F2400" w:rsidRPr="00691FBB" w:rsidRDefault="002F2400" w:rsidP="002F2400">
                            <w:pPr>
                              <w:spacing w:after="0" w:line="240" w:lineRule="auto"/>
                              <w:ind w:firstLineChars="100" w:firstLine="200"/>
                              <w:rPr>
                                <w:rFonts w:eastAsia="Times New Roman" w:cstheme="minorHAnsi"/>
                                <w:color w:val="000000"/>
                                <w:sz w:val="20"/>
                                <w:szCs w:val="20"/>
                              </w:rPr>
                            </w:pPr>
                            <w:r w:rsidRPr="00691FBB">
                              <w:rPr>
                                <w:rFonts w:eastAsia="Times New Roman" w:cstheme="minorHAnsi"/>
                                <w:color w:val="000000"/>
                                <w:sz w:val="20"/>
                                <w:szCs w:val="20"/>
                              </w:rPr>
                              <w:t>White</w:t>
                            </w:r>
                          </w:p>
                        </w:tc>
                        <w:tc>
                          <w:tcPr>
                            <w:tcW w:w="0" w:type="auto"/>
                            <w:tcBorders>
                              <w:top w:val="nil"/>
                              <w:left w:val="nil"/>
                              <w:bottom w:val="single" w:sz="4" w:space="0" w:color="auto"/>
                              <w:right w:val="single" w:sz="4" w:space="0" w:color="auto"/>
                            </w:tcBorders>
                            <w:shd w:val="clear" w:color="auto" w:fill="F2F2F2" w:themeFill="background1" w:themeFillShade="F2"/>
                            <w:noWrap/>
                            <w:vAlign w:val="bottom"/>
                            <w:hideMark/>
                          </w:tcPr>
                          <w:p w14:paraId="65125ABD" w14:textId="77777777" w:rsidR="002F2400" w:rsidRPr="00691FBB" w:rsidRDefault="002F2400" w:rsidP="002F2400">
                            <w:pPr>
                              <w:spacing w:after="0" w:line="240" w:lineRule="auto"/>
                              <w:jc w:val="right"/>
                              <w:rPr>
                                <w:rFonts w:eastAsia="Times New Roman" w:cstheme="minorHAnsi"/>
                                <w:color w:val="000000"/>
                                <w:sz w:val="20"/>
                                <w:szCs w:val="20"/>
                              </w:rPr>
                            </w:pPr>
                            <w:r w:rsidRPr="00691FBB">
                              <w:rPr>
                                <w:rFonts w:eastAsia="Times New Roman" w:cstheme="minorHAnsi"/>
                                <w:color w:val="000000"/>
                                <w:sz w:val="20"/>
                                <w:szCs w:val="20"/>
                              </w:rPr>
                              <w:t>56%</w:t>
                            </w:r>
                          </w:p>
                        </w:tc>
                        <w:tc>
                          <w:tcPr>
                            <w:tcW w:w="0" w:type="auto"/>
                            <w:tcBorders>
                              <w:top w:val="nil"/>
                              <w:left w:val="nil"/>
                              <w:bottom w:val="single" w:sz="4" w:space="0" w:color="auto"/>
                              <w:right w:val="single" w:sz="4" w:space="0" w:color="auto"/>
                            </w:tcBorders>
                            <w:shd w:val="clear" w:color="auto" w:fill="F2F2F2" w:themeFill="background1" w:themeFillShade="F2"/>
                            <w:noWrap/>
                            <w:vAlign w:val="bottom"/>
                            <w:hideMark/>
                          </w:tcPr>
                          <w:p w14:paraId="0C2FFF9F" w14:textId="77777777" w:rsidR="002F2400" w:rsidRPr="00691FBB" w:rsidRDefault="002F2400" w:rsidP="002F2400">
                            <w:pPr>
                              <w:spacing w:after="0" w:line="240" w:lineRule="auto"/>
                              <w:jc w:val="right"/>
                              <w:rPr>
                                <w:rFonts w:eastAsia="Times New Roman" w:cstheme="minorHAnsi"/>
                                <w:color w:val="000000"/>
                                <w:sz w:val="20"/>
                                <w:szCs w:val="20"/>
                              </w:rPr>
                            </w:pPr>
                            <w:r w:rsidRPr="00691FBB">
                              <w:rPr>
                                <w:rFonts w:eastAsia="Times New Roman" w:cstheme="minorHAnsi"/>
                                <w:color w:val="000000"/>
                                <w:sz w:val="20"/>
                                <w:szCs w:val="20"/>
                              </w:rPr>
                              <w:t>49%</w:t>
                            </w:r>
                          </w:p>
                        </w:tc>
                        <w:tc>
                          <w:tcPr>
                            <w:tcW w:w="0" w:type="auto"/>
                            <w:tcBorders>
                              <w:top w:val="nil"/>
                              <w:left w:val="nil"/>
                              <w:bottom w:val="single" w:sz="4" w:space="0" w:color="auto"/>
                              <w:right w:val="single" w:sz="4" w:space="0" w:color="auto"/>
                            </w:tcBorders>
                            <w:shd w:val="clear" w:color="auto" w:fill="F2F2F2" w:themeFill="background1" w:themeFillShade="F2"/>
                            <w:noWrap/>
                            <w:vAlign w:val="bottom"/>
                            <w:hideMark/>
                          </w:tcPr>
                          <w:p w14:paraId="286E2D03" w14:textId="77777777" w:rsidR="002F2400" w:rsidRPr="00691FBB" w:rsidRDefault="002F2400" w:rsidP="002F2400">
                            <w:pPr>
                              <w:spacing w:after="0" w:line="240" w:lineRule="auto"/>
                              <w:jc w:val="right"/>
                              <w:rPr>
                                <w:rFonts w:eastAsia="Times New Roman" w:cstheme="minorHAnsi"/>
                                <w:color w:val="000000"/>
                                <w:sz w:val="20"/>
                                <w:szCs w:val="20"/>
                              </w:rPr>
                            </w:pPr>
                            <w:r w:rsidRPr="00691FBB">
                              <w:rPr>
                                <w:rFonts w:eastAsia="Times New Roman" w:cstheme="minorHAnsi"/>
                                <w:color w:val="000000"/>
                                <w:sz w:val="20"/>
                                <w:szCs w:val="20"/>
                              </w:rPr>
                              <w:t>-7%</w:t>
                            </w:r>
                          </w:p>
                        </w:tc>
                      </w:tr>
                      <w:tr w:rsidR="002F2400" w:rsidRPr="00691FBB" w14:paraId="78977DEA" w14:textId="77777777" w:rsidTr="00F870A9">
                        <w:trPr>
                          <w:trHeight w:val="5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E330DBA" w14:textId="77777777" w:rsidR="002F2400" w:rsidRPr="00691FBB" w:rsidRDefault="002F2400" w:rsidP="002F2400">
                            <w:pPr>
                              <w:spacing w:after="0" w:line="240" w:lineRule="auto"/>
                              <w:ind w:firstLineChars="100" w:firstLine="200"/>
                              <w:rPr>
                                <w:rFonts w:eastAsia="Times New Roman" w:cstheme="minorHAnsi"/>
                                <w:color w:val="000000"/>
                                <w:sz w:val="20"/>
                                <w:szCs w:val="20"/>
                              </w:rPr>
                            </w:pPr>
                            <w:r w:rsidRPr="00691FBB">
                              <w:rPr>
                                <w:rFonts w:eastAsia="Times New Roman" w:cstheme="minorHAnsi"/>
                                <w:color w:val="000000"/>
                                <w:sz w:val="20"/>
                                <w:szCs w:val="20"/>
                              </w:rPr>
                              <w:t>Low-Income Participants</w:t>
                            </w:r>
                          </w:p>
                        </w:tc>
                        <w:tc>
                          <w:tcPr>
                            <w:tcW w:w="0" w:type="auto"/>
                            <w:tcBorders>
                              <w:top w:val="nil"/>
                              <w:left w:val="nil"/>
                              <w:bottom w:val="single" w:sz="4" w:space="0" w:color="auto"/>
                              <w:right w:val="single" w:sz="4" w:space="0" w:color="auto"/>
                            </w:tcBorders>
                            <w:shd w:val="clear" w:color="auto" w:fill="auto"/>
                            <w:noWrap/>
                            <w:vAlign w:val="bottom"/>
                            <w:hideMark/>
                          </w:tcPr>
                          <w:p w14:paraId="57A24E4B" w14:textId="77777777" w:rsidR="002F2400" w:rsidRPr="00691FBB" w:rsidRDefault="002F2400" w:rsidP="002F2400">
                            <w:pPr>
                              <w:spacing w:after="0" w:line="240" w:lineRule="auto"/>
                              <w:jc w:val="right"/>
                              <w:rPr>
                                <w:rFonts w:eastAsia="Times New Roman" w:cstheme="minorHAnsi"/>
                                <w:color w:val="000000"/>
                                <w:sz w:val="20"/>
                                <w:szCs w:val="20"/>
                              </w:rPr>
                            </w:pPr>
                            <w:r w:rsidRPr="00691FBB">
                              <w:rPr>
                                <w:rFonts w:eastAsia="Times New Roman" w:cstheme="minorHAnsi"/>
                                <w:color w:val="000000"/>
                                <w:sz w:val="20"/>
                                <w:szCs w:val="20"/>
                              </w:rPr>
                              <w:t>44%</w:t>
                            </w:r>
                          </w:p>
                        </w:tc>
                        <w:tc>
                          <w:tcPr>
                            <w:tcW w:w="0" w:type="auto"/>
                            <w:tcBorders>
                              <w:top w:val="nil"/>
                              <w:left w:val="nil"/>
                              <w:bottom w:val="single" w:sz="4" w:space="0" w:color="auto"/>
                              <w:right w:val="single" w:sz="4" w:space="0" w:color="auto"/>
                            </w:tcBorders>
                            <w:shd w:val="clear" w:color="auto" w:fill="auto"/>
                            <w:noWrap/>
                            <w:vAlign w:val="bottom"/>
                            <w:hideMark/>
                          </w:tcPr>
                          <w:p w14:paraId="08A27628" w14:textId="77777777" w:rsidR="002F2400" w:rsidRPr="00691FBB" w:rsidRDefault="002F2400" w:rsidP="002F2400">
                            <w:pPr>
                              <w:spacing w:after="0" w:line="240" w:lineRule="auto"/>
                              <w:jc w:val="right"/>
                              <w:rPr>
                                <w:rFonts w:eastAsia="Times New Roman" w:cstheme="minorHAnsi"/>
                                <w:color w:val="000000"/>
                                <w:sz w:val="20"/>
                                <w:szCs w:val="20"/>
                              </w:rPr>
                            </w:pPr>
                            <w:r w:rsidRPr="00691FBB">
                              <w:rPr>
                                <w:rFonts w:eastAsia="Times New Roman" w:cstheme="minorHAnsi"/>
                                <w:color w:val="000000"/>
                                <w:sz w:val="20"/>
                                <w:szCs w:val="20"/>
                              </w:rPr>
                              <w:t>37%</w:t>
                            </w:r>
                          </w:p>
                        </w:tc>
                        <w:tc>
                          <w:tcPr>
                            <w:tcW w:w="0" w:type="auto"/>
                            <w:tcBorders>
                              <w:top w:val="nil"/>
                              <w:left w:val="nil"/>
                              <w:bottom w:val="single" w:sz="4" w:space="0" w:color="auto"/>
                              <w:right w:val="single" w:sz="4" w:space="0" w:color="auto"/>
                            </w:tcBorders>
                            <w:shd w:val="clear" w:color="auto" w:fill="auto"/>
                            <w:noWrap/>
                            <w:vAlign w:val="bottom"/>
                            <w:hideMark/>
                          </w:tcPr>
                          <w:p w14:paraId="5B9B8704" w14:textId="77777777" w:rsidR="002F2400" w:rsidRPr="00691FBB" w:rsidRDefault="002F2400" w:rsidP="002F2400">
                            <w:pPr>
                              <w:spacing w:after="0" w:line="240" w:lineRule="auto"/>
                              <w:jc w:val="right"/>
                              <w:rPr>
                                <w:rFonts w:eastAsia="Times New Roman" w:cstheme="minorHAnsi"/>
                                <w:color w:val="000000"/>
                                <w:sz w:val="20"/>
                                <w:szCs w:val="20"/>
                              </w:rPr>
                            </w:pPr>
                            <w:r w:rsidRPr="00691FBB">
                              <w:rPr>
                                <w:rFonts w:eastAsia="Times New Roman" w:cstheme="minorHAnsi"/>
                                <w:color w:val="000000"/>
                                <w:sz w:val="20"/>
                                <w:szCs w:val="20"/>
                              </w:rPr>
                              <w:t>-7%</w:t>
                            </w:r>
                          </w:p>
                        </w:tc>
                      </w:tr>
                      <w:tr w:rsidR="002F2400" w:rsidRPr="00691FBB" w14:paraId="3DA1F61C" w14:textId="77777777" w:rsidTr="00F870A9">
                        <w:trPr>
                          <w:trHeight w:val="50"/>
                        </w:trPr>
                        <w:tc>
                          <w:tcPr>
                            <w:tcW w:w="0" w:type="auto"/>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66C67590" w14:textId="77777777" w:rsidR="002F2400" w:rsidRPr="00691FBB" w:rsidRDefault="002F2400" w:rsidP="002F2400">
                            <w:pPr>
                              <w:spacing w:after="0" w:line="240" w:lineRule="auto"/>
                              <w:ind w:firstLineChars="100" w:firstLine="200"/>
                              <w:rPr>
                                <w:rFonts w:eastAsia="Times New Roman" w:cstheme="minorHAnsi"/>
                                <w:color w:val="000000"/>
                                <w:sz w:val="20"/>
                                <w:szCs w:val="20"/>
                              </w:rPr>
                            </w:pPr>
                            <w:r w:rsidRPr="00691FBB">
                              <w:rPr>
                                <w:rFonts w:eastAsia="Times New Roman" w:cstheme="minorHAnsi"/>
                                <w:color w:val="000000"/>
                                <w:sz w:val="20"/>
                                <w:szCs w:val="20"/>
                              </w:rPr>
                              <w:t>Single Parents</w:t>
                            </w:r>
                          </w:p>
                        </w:tc>
                        <w:tc>
                          <w:tcPr>
                            <w:tcW w:w="0" w:type="auto"/>
                            <w:tcBorders>
                              <w:top w:val="nil"/>
                              <w:left w:val="nil"/>
                              <w:bottom w:val="single" w:sz="4" w:space="0" w:color="auto"/>
                              <w:right w:val="single" w:sz="4" w:space="0" w:color="auto"/>
                            </w:tcBorders>
                            <w:shd w:val="clear" w:color="auto" w:fill="F2F2F2" w:themeFill="background1" w:themeFillShade="F2"/>
                            <w:noWrap/>
                            <w:vAlign w:val="bottom"/>
                            <w:hideMark/>
                          </w:tcPr>
                          <w:p w14:paraId="66990361" w14:textId="77777777" w:rsidR="002F2400" w:rsidRPr="00691FBB" w:rsidRDefault="002F2400" w:rsidP="002F2400">
                            <w:pPr>
                              <w:spacing w:after="0" w:line="240" w:lineRule="auto"/>
                              <w:jc w:val="right"/>
                              <w:rPr>
                                <w:rFonts w:eastAsia="Times New Roman" w:cstheme="minorHAnsi"/>
                                <w:color w:val="000000"/>
                                <w:sz w:val="20"/>
                                <w:szCs w:val="20"/>
                              </w:rPr>
                            </w:pPr>
                            <w:r w:rsidRPr="00691FBB">
                              <w:rPr>
                                <w:rFonts w:eastAsia="Times New Roman" w:cstheme="minorHAnsi"/>
                                <w:color w:val="000000"/>
                                <w:sz w:val="20"/>
                                <w:szCs w:val="20"/>
                              </w:rPr>
                              <w:t>41%</w:t>
                            </w:r>
                          </w:p>
                        </w:tc>
                        <w:tc>
                          <w:tcPr>
                            <w:tcW w:w="0" w:type="auto"/>
                            <w:tcBorders>
                              <w:top w:val="nil"/>
                              <w:left w:val="nil"/>
                              <w:bottom w:val="single" w:sz="4" w:space="0" w:color="auto"/>
                              <w:right w:val="single" w:sz="4" w:space="0" w:color="auto"/>
                            </w:tcBorders>
                            <w:shd w:val="clear" w:color="auto" w:fill="F2F2F2" w:themeFill="background1" w:themeFillShade="F2"/>
                            <w:noWrap/>
                            <w:vAlign w:val="bottom"/>
                            <w:hideMark/>
                          </w:tcPr>
                          <w:p w14:paraId="172399ED" w14:textId="77777777" w:rsidR="002F2400" w:rsidRPr="00691FBB" w:rsidRDefault="002F2400" w:rsidP="002F2400">
                            <w:pPr>
                              <w:spacing w:after="0" w:line="240" w:lineRule="auto"/>
                              <w:jc w:val="right"/>
                              <w:rPr>
                                <w:rFonts w:eastAsia="Times New Roman" w:cstheme="minorHAnsi"/>
                                <w:color w:val="000000"/>
                                <w:sz w:val="20"/>
                                <w:szCs w:val="20"/>
                              </w:rPr>
                            </w:pPr>
                            <w:r w:rsidRPr="00691FBB">
                              <w:rPr>
                                <w:rFonts w:eastAsia="Times New Roman" w:cstheme="minorHAnsi"/>
                                <w:color w:val="000000"/>
                                <w:sz w:val="20"/>
                                <w:szCs w:val="20"/>
                              </w:rPr>
                              <w:t>38%</w:t>
                            </w:r>
                          </w:p>
                        </w:tc>
                        <w:tc>
                          <w:tcPr>
                            <w:tcW w:w="0" w:type="auto"/>
                            <w:tcBorders>
                              <w:top w:val="nil"/>
                              <w:left w:val="nil"/>
                              <w:bottom w:val="single" w:sz="4" w:space="0" w:color="auto"/>
                              <w:right w:val="single" w:sz="4" w:space="0" w:color="auto"/>
                            </w:tcBorders>
                            <w:shd w:val="clear" w:color="auto" w:fill="F2F2F2" w:themeFill="background1" w:themeFillShade="F2"/>
                            <w:noWrap/>
                            <w:vAlign w:val="bottom"/>
                            <w:hideMark/>
                          </w:tcPr>
                          <w:p w14:paraId="4BD4CBF9" w14:textId="77777777" w:rsidR="002F2400" w:rsidRPr="00691FBB" w:rsidRDefault="002F2400" w:rsidP="002F2400">
                            <w:pPr>
                              <w:spacing w:after="0" w:line="240" w:lineRule="auto"/>
                              <w:jc w:val="right"/>
                              <w:rPr>
                                <w:rFonts w:eastAsia="Times New Roman" w:cstheme="minorHAnsi"/>
                                <w:color w:val="000000"/>
                                <w:sz w:val="20"/>
                                <w:szCs w:val="20"/>
                              </w:rPr>
                            </w:pPr>
                            <w:r w:rsidRPr="00691FBB">
                              <w:rPr>
                                <w:rFonts w:eastAsia="Times New Roman" w:cstheme="minorHAnsi"/>
                                <w:color w:val="000000"/>
                                <w:sz w:val="20"/>
                                <w:szCs w:val="20"/>
                              </w:rPr>
                              <w:t>-3%</w:t>
                            </w:r>
                          </w:p>
                        </w:tc>
                      </w:tr>
                    </w:tbl>
                    <w:p w14:paraId="4F1C1F28" w14:textId="74FCB3B1" w:rsidR="002F2400" w:rsidRDefault="002F2400" w:rsidP="002F2400"/>
                  </w:txbxContent>
                </v:textbox>
                <w10:wrap type="square" anchorx="page"/>
              </v:shape>
            </w:pict>
          </mc:Fallback>
        </mc:AlternateContent>
      </w:r>
      <w:r w:rsidR="00160B55">
        <w:t>COVID-19 also had a considerable impact on AEFLA outcomes, such as Measurable Skill Gains. The 2019-20 Measurable Skill Gain rate prior to the pandemic (before March 1, 2020) was 52 percent while the Measurable Skill Gain rate among participants who continued services or began services during the pandemic was 42 percent. Difference</w:t>
      </w:r>
      <w:r w:rsidR="00B47ECE">
        <w:t>s</w:t>
      </w:r>
      <w:r w:rsidR="00160B55">
        <w:t xml:space="preserve"> between the Measurable Skill Gain rate pre-pandemic and during the pandemic were sizable across student groups (see Table </w:t>
      </w:r>
      <w:r w:rsidR="00E93259">
        <w:t>1</w:t>
      </w:r>
      <w:r w:rsidR="00160B55">
        <w:t xml:space="preserve">). </w:t>
      </w:r>
      <w:r w:rsidR="009525DE">
        <w:t>T</w:t>
      </w:r>
      <w:r w:rsidR="00160B55">
        <w:t xml:space="preserve">he impact of COVID-19 on Measurable Skill Gain achievement is further compounded by the existence of equity gaps in outcomes across student groups. For example, the overall Measurable Skill Gain rate pre-pandemic was 52 percent, while the rate among low-income participants was 44 percent. The COVID-19 pandemic demonstrated a significant reduction in Measurable Skill Gain among low-income participants, resulting in a rate of 37 percent. </w:t>
      </w:r>
    </w:p>
    <w:p w14:paraId="717B61DC" w14:textId="7602C638" w:rsidR="00160B55" w:rsidRDefault="009525DE" w:rsidP="00160B55">
      <w:pPr>
        <w:spacing w:before="120" w:after="120"/>
      </w:pPr>
      <w:r w:rsidRPr="00D45A19">
        <w:rPr>
          <w:rFonts w:eastAsia="Times New Roman"/>
          <w:noProof/>
        </w:rPr>
        <w:lastRenderedPageBreak/>
        <mc:AlternateContent>
          <mc:Choice Requires="wps">
            <w:drawing>
              <wp:anchor distT="45720" distB="45720" distL="114300" distR="114300" simplePos="0" relativeHeight="251665411" behindDoc="0" locked="0" layoutInCell="1" allowOverlap="1" wp14:anchorId="4EA92F47" wp14:editId="7C8662A8">
                <wp:simplePos x="0" y="0"/>
                <wp:positionH relativeFrom="margin">
                  <wp:posOffset>2321299</wp:posOffset>
                </wp:positionH>
                <wp:positionV relativeFrom="paragraph">
                  <wp:posOffset>-252730</wp:posOffset>
                </wp:positionV>
                <wp:extent cx="4681220" cy="2100580"/>
                <wp:effectExtent l="0" t="0" r="508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1220" cy="2100580"/>
                        </a:xfrm>
                        <a:prstGeom prst="rect">
                          <a:avLst/>
                        </a:prstGeom>
                        <a:solidFill>
                          <a:srgbClr val="FFFFFF"/>
                        </a:solidFill>
                        <a:ln w="9525">
                          <a:noFill/>
                          <a:miter lim="800000"/>
                          <a:headEnd/>
                          <a:tailEnd/>
                        </a:ln>
                      </wps:spPr>
                      <wps:txbx>
                        <w:txbxContent>
                          <w:p w14:paraId="7C441029" w14:textId="67DEB33E" w:rsidR="009525DE" w:rsidRDefault="009525DE" w:rsidP="009525DE">
                            <w:pPr>
                              <w:spacing w:after="0"/>
                              <w:rPr>
                                <w:rFonts w:eastAsia="Times New Roman"/>
                              </w:rPr>
                            </w:pPr>
                            <w:r>
                              <w:rPr>
                                <w:rFonts w:eastAsia="Times New Roman"/>
                                <w:b/>
                                <w:bCs/>
                              </w:rPr>
                              <w:t>Figure</w:t>
                            </w:r>
                            <w:r w:rsidRPr="000422C6">
                              <w:rPr>
                                <w:rFonts w:eastAsia="Times New Roman"/>
                                <w:b/>
                                <w:bCs/>
                              </w:rPr>
                              <w:t xml:space="preserve"> </w:t>
                            </w:r>
                            <w:r w:rsidR="00E93259">
                              <w:rPr>
                                <w:rFonts w:eastAsia="Times New Roman"/>
                                <w:b/>
                                <w:bCs/>
                              </w:rPr>
                              <w:t>2</w:t>
                            </w:r>
                            <w:r w:rsidRPr="000422C6">
                              <w:rPr>
                                <w:rFonts w:eastAsia="Times New Roman"/>
                                <w:b/>
                                <w:bCs/>
                              </w:rPr>
                              <w:t xml:space="preserve">. </w:t>
                            </w:r>
                            <w:r>
                              <w:rPr>
                                <w:rFonts w:eastAsia="Times New Roman"/>
                                <w:b/>
                                <w:bCs/>
                              </w:rPr>
                              <w:t>Wisconsin AEFLA Measurable Skill Gain rate (2017-18 to 2019-20).</w:t>
                            </w:r>
                          </w:p>
                          <w:p w14:paraId="5A2CE7D5" w14:textId="77777777" w:rsidR="009525DE" w:rsidRDefault="009525DE" w:rsidP="009525DE">
                            <w:r>
                              <w:rPr>
                                <w:noProof/>
                              </w:rPr>
                              <w:drawing>
                                <wp:inline distT="0" distB="0" distL="0" distR="0" wp14:anchorId="07C6C8CC" wp14:editId="7011FB98">
                                  <wp:extent cx="4519887" cy="1799863"/>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549208" cy="181153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A92F47" id="_x0000_s1028" type="#_x0000_t202" style="position:absolute;margin-left:182.8pt;margin-top:-19.9pt;width:368.6pt;height:165.4pt;z-index:25166541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" stroked="f">
                <v:textbox>
                  <w:txbxContent>
                    <w:p w14:paraId="7C441029" w14:textId="67DEB33E" w:rsidR="009525DE" w:rsidRDefault="009525DE" w:rsidP="009525DE">
                      <w:pPr>
                        <w:spacing w:after="0"/>
                        <w:rPr>
                          <w:rFonts w:eastAsia="Times New Roman"/>
                        </w:rPr>
                      </w:pPr>
                      <w:r>
                        <w:rPr>
                          <w:rFonts w:eastAsia="Times New Roman"/>
                          <w:b/>
                          <w:bCs/>
                        </w:rPr>
                        <w:t>Figure</w:t>
                      </w:r>
                      <w:r w:rsidRPr="000422C6">
                        <w:rPr>
                          <w:rFonts w:eastAsia="Times New Roman"/>
                          <w:b/>
                          <w:bCs/>
                        </w:rPr>
                        <w:t xml:space="preserve"> </w:t>
                      </w:r>
                      <w:r w:rsidR="00E93259">
                        <w:rPr>
                          <w:rFonts w:eastAsia="Times New Roman"/>
                          <w:b/>
                          <w:bCs/>
                        </w:rPr>
                        <w:t>2</w:t>
                      </w:r>
                      <w:r w:rsidRPr="000422C6">
                        <w:rPr>
                          <w:rFonts w:eastAsia="Times New Roman"/>
                          <w:b/>
                          <w:bCs/>
                        </w:rPr>
                        <w:t xml:space="preserve">. </w:t>
                      </w:r>
                      <w:r>
                        <w:rPr>
                          <w:rFonts w:eastAsia="Times New Roman"/>
                          <w:b/>
                          <w:bCs/>
                        </w:rPr>
                        <w:t>Wisconsin AEFLA Measurable Skill Gain rate (2017-18 to 2019-20).</w:t>
                      </w:r>
                    </w:p>
                    <w:p w14:paraId="5A2CE7D5" w14:textId="77777777" w:rsidR="009525DE" w:rsidRDefault="009525DE" w:rsidP="009525DE">
                      <w:r>
                        <w:rPr>
                          <w:noProof/>
                        </w:rPr>
                        <w:drawing>
                          <wp:inline distT="0" distB="0" distL="0" distR="0" wp14:anchorId="07C6C8CC" wp14:editId="7011FB98">
                            <wp:extent cx="4519887" cy="1799863"/>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549208" cy="1811539"/>
                                    </a:xfrm>
                                    <a:prstGeom prst="rect">
                                      <a:avLst/>
                                    </a:prstGeom>
                                  </pic:spPr>
                                </pic:pic>
                              </a:graphicData>
                            </a:graphic>
                          </wp:inline>
                        </w:drawing>
                      </w:r>
                    </w:p>
                  </w:txbxContent>
                </v:textbox>
                <w10:wrap type="square" anchorx="margin"/>
              </v:shape>
            </w:pict>
          </mc:Fallback>
        </mc:AlternateContent>
      </w:r>
      <w:r w:rsidR="00160B55">
        <w:t xml:space="preserve">COVID-19 had a more sizeable impact on English Language Learning services compared to participants receiving Adult Education services. Prior to the pandemic, both the Adult Education and English Language Learning programs were experiencing increases in Measurable Skill Gain rates (see Figure </w:t>
      </w:r>
      <w:r w:rsidR="00E93259">
        <w:t>2</w:t>
      </w:r>
      <w:r w:rsidR="00160B55">
        <w:t>). Both programs demonstrated a decrease in Measurable Skill Gain rates from the 2018-19 to 2019-20 program year, but the decrease was more pronounced in the English Language Learning program resulting in a 14-percentage point decrease.</w:t>
      </w:r>
    </w:p>
    <w:p w14:paraId="5E0DD2FD" w14:textId="381ED8C4" w:rsidR="00160B55" w:rsidRDefault="009525DE" w:rsidP="00160B55">
      <w:pPr>
        <w:spacing w:before="120" w:after="120"/>
      </w:pPr>
      <w:r w:rsidRPr="00D45A19">
        <w:rPr>
          <w:rFonts w:eastAsia="Times New Roman"/>
          <w:noProof/>
        </w:rPr>
        <mc:AlternateContent>
          <mc:Choice Requires="wps">
            <w:drawing>
              <wp:anchor distT="45720" distB="45720" distL="114300" distR="114300" simplePos="0" relativeHeight="251658243" behindDoc="0" locked="0" layoutInCell="1" allowOverlap="1" wp14:anchorId="50207634" wp14:editId="472F8F82">
                <wp:simplePos x="0" y="0"/>
                <wp:positionH relativeFrom="margin">
                  <wp:posOffset>2437130</wp:posOffset>
                </wp:positionH>
                <wp:positionV relativeFrom="paragraph">
                  <wp:posOffset>1347470</wp:posOffset>
                </wp:positionV>
                <wp:extent cx="4721860" cy="2279650"/>
                <wp:effectExtent l="0" t="0" r="2540" b="63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860" cy="2279650"/>
                        </a:xfrm>
                        <a:prstGeom prst="rect">
                          <a:avLst/>
                        </a:prstGeom>
                        <a:solidFill>
                          <a:srgbClr val="FFFFFF"/>
                        </a:solidFill>
                        <a:ln w="9525">
                          <a:noFill/>
                          <a:miter lim="800000"/>
                          <a:headEnd/>
                          <a:tailEnd/>
                        </a:ln>
                      </wps:spPr>
                      <wps:txbx>
                        <w:txbxContent>
                          <w:p w14:paraId="4BBD1E60" w14:textId="3582A8FF" w:rsidR="00160B55" w:rsidRDefault="00160B55" w:rsidP="00160B55">
                            <w:pPr>
                              <w:spacing w:after="0"/>
                              <w:rPr>
                                <w:noProof/>
                              </w:rPr>
                            </w:pPr>
                            <w:r>
                              <w:rPr>
                                <w:rFonts w:eastAsia="Times New Roman"/>
                                <w:b/>
                                <w:bCs/>
                              </w:rPr>
                              <w:t>Figure</w:t>
                            </w:r>
                            <w:r w:rsidRPr="000422C6">
                              <w:rPr>
                                <w:rFonts w:eastAsia="Times New Roman"/>
                                <w:b/>
                                <w:bCs/>
                              </w:rPr>
                              <w:t xml:space="preserve"> </w:t>
                            </w:r>
                            <w:r w:rsidR="00E93259">
                              <w:rPr>
                                <w:rFonts w:eastAsia="Times New Roman"/>
                                <w:b/>
                                <w:bCs/>
                              </w:rPr>
                              <w:t>3</w:t>
                            </w:r>
                            <w:r w:rsidRPr="000422C6">
                              <w:rPr>
                                <w:rFonts w:eastAsia="Times New Roman"/>
                                <w:b/>
                                <w:bCs/>
                              </w:rPr>
                              <w:t xml:space="preserve">. </w:t>
                            </w:r>
                            <w:r>
                              <w:rPr>
                                <w:rFonts w:eastAsia="Times New Roman"/>
                                <w:b/>
                                <w:bCs/>
                              </w:rPr>
                              <w:t>Wisconsin AEFLA pre-/post-test rate (2017-18 to 2019-20).</w:t>
                            </w:r>
                            <w:r>
                              <w:t xml:space="preserve"> </w:t>
                            </w:r>
                          </w:p>
                          <w:p w14:paraId="31432989" w14:textId="77777777" w:rsidR="00160B55" w:rsidRDefault="00160B55" w:rsidP="00160B55">
                            <w:pPr>
                              <w:spacing w:after="0"/>
                            </w:pPr>
                            <w:r>
                              <w:rPr>
                                <w:noProof/>
                              </w:rPr>
                              <w:drawing>
                                <wp:inline distT="0" distB="0" distL="0" distR="0" wp14:anchorId="1C9163A1" wp14:editId="10A7D5AF">
                                  <wp:extent cx="4554638" cy="1845212"/>
                                  <wp:effectExtent l="0" t="0" r="0"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580472" cy="1855678"/>
                                          </a:xfrm>
                                          <a:prstGeom prst="rect">
                                            <a:avLst/>
                                          </a:prstGeom>
                                        </pic:spPr>
                                      </pic:pic>
                                    </a:graphicData>
                                  </a:graphic>
                                </wp:inline>
                              </w:drawing>
                            </w:r>
                          </w:p>
                          <w:p w14:paraId="789D2C61" w14:textId="77777777" w:rsidR="00160B55" w:rsidRDefault="00160B55" w:rsidP="00160B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207634" id="_x0000_s1029" type="#_x0000_t202" style="position:absolute;margin-left:191.9pt;margin-top:106.1pt;width:371.8pt;height:179.5pt;z-index:25165824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" stroked="f">
                <v:textbox>
                  <w:txbxContent>
                    <w:p w14:paraId="4BBD1E60" w14:textId="3582A8FF" w:rsidR="00160B55" w:rsidRDefault="00160B55" w:rsidP="00160B55">
                      <w:pPr>
                        <w:spacing w:after="0"/>
                        <w:rPr>
                          <w:noProof/>
                        </w:rPr>
                      </w:pPr>
                      <w:r>
                        <w:rPr>
                          <w:rFonts w:eastAsia="Times New Roman"/>
                          <w:b/>
                          <w:bCs/>
                        </w:rPr>
                        <w:t>Figure</w:t>
                      </w:r>
                      <w:r w:rsidRPr="000422C6">
                        <w:rPr>
                          <w:rFonts w:eastAsia="Times New Roman"/>
                          <w:b/>
                          <w:bCs/>
                        </w:rPr>
                        <w:t xml:space="preserve"> </w:t>
                      </w:r>
                      <w:r w:rsidR="00E93259">
                        <w:rPr>
                          <w:rFonts w:eastAsia="Times New Roman"/>
                          <w:b/>
                          <w:bCs/>
                        </w:rPr>
                        <w:t>3</w:t>
                      </w:r>
                      <w:r w:rsidRPr="000422C6">
                        <w:rPr>
                          <w:rFonts w:eastAsia="Times New Roman"/>
                          <w:b/>
                          <w:bCs/>
                        </w:rPr>
                        <w:t xml:space="preserve">. </w:t>
                      </w:r>
                      <w:r>
                        <w:rPr>
                          <w:rFonts w:eastAsia="Times New Roman"/>
                          <w:b/>
                          <w:bCs/>
                        </w:rPr>
                        <w:t>Wisconsin AEFLA pre-/post-test rate (2017-18 to 2019-20).</w:t>
                      </w:r>
                      <w:r>
                        <w:t xml:space="preserve"> </w:t>
                      </w:r>
                    </w:p>
                    <w:p w14:paraId="31432989" w14:textId="77777777" w:rsidR="00160B55" w:rsidRDefault="00160B55" w:rsidP="00160B55">
                      <w:pPr>
                        <w:spacing w:after="0"/>
                      </w:pPr>
                      <w:r>
                        <w:rPr>
                          <w:noProof/>
                        </w:rPr>
                        <w:drawing>
                          <wp:inline distT="0" distB="0" distL="0" distR="0" wp14:anchorId="1C9163A1" wp14:editId="10A7D5AF">
                            <wp:extent cx="4554638" cy="1845212"/>
                            <wp:effectExtent l="0" t="0" r="0"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580472" cy="1855678"/>
                                    </a:xfrm>
                                    <a:prstGeom prst="rect">
                                      <a:avLst/>
                                    </a:prstGeom>
                                  </pic:spPr>
                                </pic:pic>
                              </a:graphicData>
                            </a:graphic>
                          </wp:inline>
                        </w:drawing>
                      </w:r>
                    </w:p>
                    <w:p w14:paraId="789D2C61" w14:textId="77777777" w:rsidR="00160B55" w:rsidRDefault="00160B55" w:rsidP="00160B55"/>
                  </w:txbxContent>
                </v:textbox>
                <w10:wrap type="square" anchorx="margin"/>
              </v:shape>
            </w:pict>
          </mc:Fallback>
        </mc:AlternateContent>
      </w:r>
      <w:r w:rsidR="00160B55">
        <w:t>One contributing factor to the reduction of the Measurable Skill Gain rate was the ability for participants to engage in testing during the COVID-19 pandemic. Historically, 72 percent of participants who complete a post-test are reported as achieving a Measurable Skill Gain, while 25 percent of participants who do not post-test are reported as achieving a Measurable Skill Gain. During the 2019-20 program year, over 2,000 fewer AEFLA participants were able to complete a post-test compared to the year prior. It is important to note that the number of AEFLA participants across the two years was relatively consistent; 11,123 participants were served in 2018-19 and 11,280 participants were served in 2019-20.</w:t>
      </w:r>
      <w:r w:rsidR="007B2261">
        <w:t xml:space="preserve"> </w:t>
      </w:r>
      <w:r w:rsidR="00160B55">
        <w:t xml:space="preserve">The ability to complete a post-test is especially impactful on the English Langue Learning program. Prior to the COVID-19 pandemic, 50 percent of all English Language Learning participants achieved a Measurable Skill Gain through the pre/post-test method. During the 2019-20 program year, the rate dropped to 35 percent. While </w:t>
      </w:r>
      <w:r w:rsidR="00672780">
        <w:t xml:space="preserve">many </w:t>
      </w:r>
      <w:r w:rsidR="00160B55">
        <w:t xml:space="preserve">AEFLA programs transitioned to virtual test proctoring in spring 2020, the overall pre-/post-test rate in Wisconsin decreased significantly (see Figure 3). Further, </w:t>
      </w:r>
      <w:r w:rsidR="00160B55">
        <w:rPr>
          <w:rFonts w:eastAsia="Times New Roman"/>
        </w:rPr>
        <w:t>only 9 percent of Wisconsin AEFLA providers achieved the state pre-/post-test goal of 67%.</w:t>
      </w:r>
    </w:p>
    <w:p w14:paraId="5364293F" w14:textId="533963C6" w:rsidR="00160B55" w:rsidRDefault="007B2261" w:rsidP="00160B55">
      <w:pPr>
        <w:spacing w:before="120" w:after="120"/>
        <w:rPr>
          <w:rFonts w:eastAsia="Times New Roman"/>
        </w:rPr>
      </w:pPr>
      <w:r w:rsidRPr="00D45A19">
        <w:rPr>
          <w:rFonts w:eastAsia="Times New Roman"/>
          <w:noProof/>
        </w:rPr>
        <mc:AlternateContent>
          <mc:Choice Requires="wps">
            <w:drawing>
              <wp:anchor distT="45720" distB="45720" distL="114300" distR="114300" simplePos="0" relativeHeight="251658241" behindDoc="0" locked="0" layoutInCell="1" allowOverlap="1" wp14:anchorId="6FAEAE2B" wp14:editId="5BB58AEE">
                <wp:simplePos x="0" y="0"/>
                <wp:positionH relativeFrom="margin">
                  <wp:align>right</wp:align>
                </wp:positionH>
                <wp:positionV relativeFrom="paragraph">
                  <wp:posOffset>612775</wp:posOffset>
                </wp:positionV>
                <wp:extent cx="4039235" cy="205740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9235" cy="2057400"/>
                        </a:xfrm>
                        <a:prstGeom prst="rect">
                          <a:avLst/>
                        </a:prstGeom>
                        <a:solidFill>
                          <a:srgbClr val="FFFFFF"/>
                        </a:solidFill>
                        <a:ln w="9525">
                          <a:noFill/>
                          <a:miter lim="800000"/>
                          <a:headEnd/>
                          <a:tailEnd/>
                        </a:ln>
                      </wps:spPr>
                      <wps:txbx>
                        <w:txbxContent>
                          <w:p w14:paraId="11BD44E9" w14:textId="77777777" w:rsidR="00160B55" w:rsidRDefault="00160B55" w:rsidP="00160B55">
                            <w:pPr>
                              <w:spacing w:after="0"/>
                              <w:rPr>
                                <w:rFonts w:eastAsia="Times New Roman"/>
                              </w:rPr>
                            </w:pPr>
                            <w:r w:rsidRPr="000422C6">
                              <w:rPr>
                                <w:rFonts w:eastAsia="Times New Roman"/>
                                <w:b/>
                                <w:bCs/>
                              </w:rPr>
                              <w:t xml:space="preserve">Table </w:t>
                            </w:r>
                            <w:r>
                              <w:rPr>
                                <w:rFonts w:eastAsia="Times New Roman"/>
                                <w:b/>
                                <w:bCs/>
                              </w:rPr>
                              <w:t>2</w:t>
                            </w:r>
                            <w:r w:rsidRPr="000422C6">
                              <w:rPr>
                                <w:rFonts w:eastAsia="Times New Roman"/>
                                <w:b/>
                                <w:bCs/>
                              </w:rPr>
                              <w:t xml:space="preserve">. </w:t>
                            </w:r>
                            <w:r>
                              <w:rPr>
                                <w:rFonts w:eastAsia="Times New Roman"/>
                                <w:b/>
                                <w:bCs/>
                              </w:rPr>
                              <w:t>Percent of AEFLA providers achieving AEFLA goals in the 2019-20 program year</w:t>
                            </w:r>
                            <w:r w:rsidRPr="000422C6">
                              <w:rPr>
                                <w:rFonts w:eastAsia="Times New Roman"/>
                                <w:b/>
                                <w:bCs/>
                              </w:rPr>
                              <w:t>.</w:t>
                            </w:r>
                          </w:p>
                          <w:tbl>
                            <w:tblPr>
                              <w:tblW w:w="6025" w:type="dxa"/>
                              <w:tblLook w:val="04A0" w:firstRow="1" w:lastRow="0" w:firstColumn="1" w:lastColumn="0" w:noHBand="0" w:noVBand="1"/>
                            </w:tblPr>
                            <w:tblGrid>
                              <w:gridCol w:w="4225"/>
                              <w:gridCol w:w="1800"/>
                            </w:tblGrid>
                            <w:tr w:rsidR="00160B55" w:rsidRPr="0028618A" w14:paraId="7232B11D" w14:textId="77777777" w:rsidTr="004569BD">
                              <w:trPr>
                                <w:trHeight w:val="290"/>
                              </w:trPr>
                              <w:tc>
                                <w:tcPr>
                                  <w:tcW w:w="4225"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25096A2D" w14:textId="77777777" w:rsidR="00160B55" w:rsidRPr="0028618A" w:rsidRDefault="00160B55" w:rsidP="004569BD">
                                  <w:pPr>
                                    <w:spacing w:after="0" w:line="240" w:lineRule="auto"/>
                                    <w:rPr>
                                      <w:rFonts w:ascii="Calibri" w:eastAsia="Times New Roman" w:hAnsi="Calibri" w:cs="Calibri"/>
                                      <w:b/>
                                      <w:bCs/>
                                      <w:color w:val="000000"/>
                                      <w:sz w:val="18"/>
                                      <w:szCs w:val="18"/>
                                    </w:rPr>
                                  </w:pPr>
                                  <w:r w:rsidRPr="0028618A">
                                    <w:rPr>
                                      <w:rFonts w:ascii="Calibri" w:eastAsia="Times New Roman" w:hAnsi="Calibri" w:cs="Calibri"/>
                                      <w:b/>
                                      <w:bCs/>
                                      <w:color w:val="000000"/>
                                      <w:sz w:val="18"/>
                                      <w:szCs w:val="18"/>
                                    </w:rPr>
                                    <w:t>Indicator</w:t>
                                  </w:r>
                                </w:p>
                              </w:tc>
                              <w:tc>
                                <w:tcPr>
                                  <w:tcW w:w="1800" w:type="dxa"/>
                                  <w:tcBorders>
                                    <w:top w:val="single" w:sz="4" w:space="0" w:color="auto"/>
                                    <w:left w:val="nil"/>
                                    <w:bottom w:val="single" w:sz="4" w:space="0" w:color="auto"/>
                                    <w:right w:val="single" w:sz="4" w:space="0" w:color="auto"/>
                                  </w:tcBorders>
                                  <w:shd w:val="clear" w:color="000000" w:fill="F2F2F2"/>
                                  <w:noWrap/>
                                  <w:vAlign w:val="center"/>
                                  <w:hideMark/>
                                </w:tcPr>
                                <w:p w14:paraId="753AF76B" w14:textId="77777777" w:rsidR="00160B55" w:rsidRPr="0028618A" w:rsidRDefault="00160B55" w:rsidP="004569BD">
                                  <w:pPr>
                                    <w:spacing w:after="0" w:line="240" w:lineRule="auto"/>
                                    <w:jc w:val="center"/>
                                    <w:rPr>
                                      <w:rFonts w:ascii="Calibri" w:eastAsia="Times New Roman" w:hAnsi="Calibri" w:cs="Calibri"/>
                                      <w:b/>
                                      <w:bCs/>
                                      <w:color w:val="000000"/>
                                      <w:sz w:val="18"/>
                                      <w:szCs w:val="18"/>
                                    </w:rPr>
                                  </w:pPr>
                                  <w:r w:rsidRPr="0028618A">
                                    <w:rPr>
                                      <w:rFonts w:ascii="Calibri" w:eastAsia="Times New Roman" w:hAnsi="Calibri" w:cs="Calibri"/>
                                      <w:b/>
                                      <w:bCs/>
                                      <w:color w:val="000000"/>
                                      <w:sz w:val="18"/>
                                      <w:szCs w:val="18"/>
                                    </w:rPr>
                                    <w:t>% of AEFLA Providers Achieving Goal</w:t>
                                  </w:r>
                                </w:p>
                              </w:tc>
                            </w:tr>
                            <w:tr w:rsidR="00160B55" w:rsidRPr="0028618A" w14:paraId="54275853" w14:textId="77777777" w:rsidTr="004569BD">
                              <w:trPr>
                                <w:trHeight w:val="290"/>
                              </w:trPr>
                              <w:tc>
                                <w:tcPr>
                                  <w:tcW w:w="4225" w:type="dxa"/>
                                  <w:tcBorders>
                                    <w:top w:val="nil"/>
                                    <w:left w:val="single" w:sz="4" w:space="0" w:color="auto"/>
                                    <w:bottom w:val="single" w:sz="4" w:space="0" w:color="auto"/>
                                    <w:right w:val="single" w:sz="4" w:space="0" w:color="auto"/>
                                  </w:tcBorders>
                                  <w:shd w:val="clear" w:color="000000" w:fill="E2EFD9"/>
                                  <w:vAlign w:val="center"/>
                                  <w:hideMark/>
                                </w:tcPr>
                                <w:p w14:paraId="1DC19F72" w14:textId="77777777" w:rsidR="00160B55" w:rsidRPr="0028618A" w:rsidRDefault="00160B55" w:rsidP="004569BD">
                                  <w:pPr>
                                    <w:spacing w:after="0" w:line="240" w:lineRule="auto"/>
                                    <w:rPr>
                                      <w:rFonts w:ascii="Calibri" w:eastAsia="Times New Roman" w:hAnsi="Calibri" w:cs="Calibri"/>
                                      <w:color w:val="000000"/>
                                      <w:sz w:val="18"/>
                                      <w:szCs w:val="18"/>
                                    </w:rPr>
                                  </w:pPr>
                                  <w:r w:rsidRPr="0028618A">
                                    <w:rPr>
                                      <w:rFonts w:ascii="Calibri" w:eastAsia="Times New Roman" w:hAnsi="Calibri" w:cs="Calibri"/>
                                      <w:color w:val="000000"/>
                                      <w:sz w:val="18"/>
                                      <w:szCs w:val="18"/>
                                    </w:rPr>
                                    <w:t>1) Achieve AEFLA Students Served Goal</w:t>
                                  </w:r>
                                </w:p>
                              </w:tc>
                              <w:tc>
                                <w:tcPr>
                                  <w:tcW w:w="1800" w:type="dxa"/>
                                  <w:tcBorders>
                                    <w:top w:val="nil"/>
                                    <w:left w:val="nil"/>
                                    <w:bottom w:val="single" w:sz="4" w:space="0" w:color="auto"/>
                                    <w:right w:val="single" w:sz="4" w:space="0" w:color="auto"/>
                                  </w:tcBorders>
                                  <w:shd w:val="clear" w:color="000000" w:fill="E2EFD9"/>
                                  <w:vAlign w:val="center"/>
                                  <w:hideMark/>
                                </w:tcPr>
                                <w:p w14:paraId="280EA046" w14:textId="77777777" w:rsidR="00160B55" w:rsidRPr="0028618A" w:rsidRDefault="00160B55" w:rsidP="004569BD">
                                  <w:pPr>
                                    <w:spacing w:after="0" w:line="240" w:lineRule="auto"/>
                                    <w:jc w:val="center"/>
                                    <w:rPr>
                                      <w:rFonts w:ascii="Calibri" w:eastAsia="Times New Roman" w:hAnsi="Calibri" w:cs="Calibri"/>
                                      <w:color w:val="000000"/>
                                      <w:sz w:val="18"/>
                                      <w:szCs w:val="18"/>
                                    </w:rPr>
                                  </w:pPr>
                                  <w:r w:rsidRPr="0028618A">
                                    <w:rPr>
                                      <w:rFonts w:ascii="Calibri" w:eastAsia="Times New Roman" w:hAnsi="Calibri" w:cs="Calibri"/>
                                      <w:color w:val="000000"/>
                                      <w:sz w:val="18"/>
                                      <w:szCs w:val="18"/>
                                    </w:rPr>
                                    <w:t>50%</w:t>
                                  </w:r>
                                </w:p>
                              </w:tc>
                            </w:tr>
                            <w:tr w:rsidR="00160B55" w:rsidRPr="0028618A" w14:paraId="07E21436" w14:textId="77777777" w:rsidTr="004569BD">
                              <w:trPr>
                                <w:trHeight w:val="296"/>
                              </w:trPr>
                              <w:tc>
                                <w:tcPr>
                                  <w:tcW w:w="4225" w:type="dxa"/>
                                  <w:tcBorders>
                                    <w:top w:val="nil"/>
                                    <w:left w:val="single" w:sz="4" w:space="0" w:color="auto"/>
                                    <w:bottom w:val="single" w:sz="4" w:space="0" w:color="auto"/>
                                    <w:right w:val="single" w:sz="4" w:space="0" w:color="auto"/>
                                  </w:tcBorders>
                                  <w:shd w:val="clear" w:color="auto" w:fill="auto"/>
                                  <w:vAlign w:val="center"/>
                                  <w:hideMark/>
                                </w:tcPr>
                                <w:p w14:paraId="04743927" w14:textId="77777777" w:rsidR="00160B55" w:rsidRPr="0028618A" w:rsidRDefault="00160B55" w:rsidP="004569BD">
                                  <w:pPr>
                                    <w:spacing w:after="0" w:line="240" w:lineRule="auto"/>
                                    <w:rPr>
                                      <w:rFonts w:ascii="Calibri" w:eastAsia="Times New Roman" w:hAnsi="Calibri" w:cs="Calibri"/>
                                      <w:color w:val="000000"/>
                                      <w:sz w:val="18"/>
                                      <w:szCs w:val="18"/>
                                    </w:rPr>
                                  </w:pPr>
                                  <w:r w:rsidRPr="0028618A">
                                    <w:rPr>
                                      <w:rFonts w:ascii="Calibri" w:eastAsia="Times New Roman" w:hAnsi="Calibri" w:cs="Calibri"/>
                                      <w:color w:val="000000"/>
                                      <w:sz w:val="18"/>
                                      <w:szCs w:val="18"/>
                                    </w:rPr>
                                    <w:t>2) Achieve WTCS Pre-Post-Test Rate Goal</w:t>
                                  </w:r>
                                  <w:r>
                                    <w:rPr>
                                      <w:rFonts w:ascii="Calibri" w:eastAsia="Times New Roman" w:hAnsi="Calibri" w:cs="Calibri"/>
                                      <w:color w:val="000000"/>
                                      <w:sz w:val="18"/>
                                      <w:szCs w:val="18"/>
                                    </w:rPr>
                                    <w:t xml:space="preserve"> of 67%</w:t>
                                  </w:r>
                                </w:p>
                              </w:tc>
                              <w:tc>
                                <w:tcPr>
                                  <w:tcW w:w="1800" w:type="dxa"/>
                                  <w:tcBorders>
                                    <w:top w:val="nil"/>
                                    <w:left w:val="nil"/>
                                    <w:bottom w:val="single" w:sz="4" w:space="0" w:color="auto"/>
                                    <w:right w:val="single" w:sz="4" w:space="0" w:color="auto"/>
                                  </w:tcBorders>
                                  <w:shd w:val="clear" w:color="auto" w:fill="auto"/>
                                  <w:vAlign w:val="center"/>
                                  <w:hideMark/>
                                </w:tcPr>
                                <w:p w14:paraId="79C14E34" w14:textId="77777777" w:rsidR="00160B55" w:rsidRPr="0028618A" w:rsidRDefault="00160B55" w:rsidP="004569BD">
                                  <w:pPr>
                                    <w:spacing w:after="0" w:line="240" w:lineRule="auto"/>
                                    <w:jc w:val="center"/>
                                    <w:rPr>
                                      <w:rFonts w:ascii="Calibri" w:eastAsia="Times New Roman" w:hAnsi="Calibri" w:cs="Calibri"/>
                                      <w:color w:val="000000"/>
                                      <w:sz w:val="18"/>
                                      <w:szCs w:val="18"/>
                                    </w:rPr>
                                  </w:pPr>
                                  <w:r w:rsidRPr="0028618A">
                                    <w:rPr>
                                      <w:rFonts w:ascii="Calibri" w:eastAsia="Times New Roman" w:hAnsi="Calibri" w:cs="Calibri"/>
                                      <w:color w:val="000000"/>
                                      <w:sz w:val="18"/>
                                      <w:szCs w:val="18"/>
                                    </w:rPr>
                                    <w:t>9%</w:t>
                                  </w:r>
                                </w:p>
                              </w:tc>
                            </w:tr>
                            <w:tr w:rsidR="00160B55" w:rsidRPr="0028618A" w14:paraId="453B2815" w14:textId="77777777" w:rsidTr="004569BD">
                              <w:trPr>
                                <w:trHeight w:val="530"/>
                              </w:trPr>
                              <w:tc>
                                <w:tcPr>
                                  <w:tcW w:w="4225" w:type="dxa"/>
                                  <w:tcBorders>
                                    <w:top w:val="nil"/>
                                    <w:left w:val="single" w:sz="4" w:space="0" w:color="auto"/>
                                    <w:bottom w:val="single" w:sz="4" w:space="0" w:color="auto"/>
                                    <w:right w:val="single" w:sz="4" w:space="0" w:color="auto"/>
                                  </w:tcBorders>
                                  <w:shd w:val="clear" w:color="000000" w:fill="E2EFD9"/>
                                  <w:vAlign w:val="center"/>
                                  <w:hideMark/>
                                </w:tcPr>
                                <w:p w14:paraId="072DFDB7" w14:textId="77777777" w:rsidR="00160B55" w:rsidRPr="0028618A" w:rsidRDefault="00160B55" w:rsidP="004569BD">
                                  <w:pPr>
                                    <w:spacing w:after="0" w:line="240" w:lineRule="auto"/>
                                    <w:rPr>
                                      <w:rFonts w:ascii="Calibri" w:eastAsia="Times New Roman" w:hAnsi="Calibri" w:cs="Calibri"/>
                                      <w:color w:val="000000"/>
                                      <w:sz w:val="18"/>
                                      <w:szCs w:val="18"/>
                                    </w:rPr>
                                  </w:pPr>
                                  <w:r w:rsidRPr="0028618A">
                                    <w:rPr>
                                      <w:rFonts w:ascii="Calibri" w:eastAsia="Times New Roman" w:hAnsi="Calibri" w:cs="Calibri"/>
                                      <w:color w:val="000000"/>
                                      <w:sz w:val="18"/>
                                      <w:szCs w:val="18"/>
                                    </w:rPr>
                                    <w:t>3) Achieve 90% of Measurable Skill Gain Expected Level of Performance Target (Provider Specific Target)</w:t>
                                  </w:r>
                                </w:p>
                              </w:tc>
                              <w:tc>
                                <w:tcPr>
                                  <w:tcW w:w="1800" w:type="dxa"/>
                                  <w:tcBorders>
                                    <w:top w:val="nil"/>
                                    <w:left w:val="nil"/>
                                    <w:bottom w:val="single" w:sz="4" w:space="0" w:color="auto"/>
                                    <w:right w:val="single" w:sz="4" w:space="0" w:color="auto"/>
                                  </w:tcBorders>
                                  <w:shd w:val="clear" w:color="000000" w:fill="E2EFD9"/>
                                  <w:vAlign w:val="center"/>
                                  <w:hideMark/>
                                </w:tcPr>
                                <w:p w14:paraId="0A6AFB66" w14:textId="77777777" w:rsidR="00160B55" w:rsidRPr="0028618A" w:rsidRDefault="00160B55" w:rsidP="004569BD">
                                  <w:pPr>
                                    <w:spacing w:after="0" w:line="240" w:lineRule="auto"/>
                                    <w:jc w:val="center"/>
                                    <w:rPr>
                                      <w:rFonts w:ascii="Calibri" w:eastAsia="Times New Roman" w:hAnsi="Calibri" w:cs="Calibri"/>
                                      <w:color w:val="000000"/>
                                      <w:sz w:val="18"/>
                                      <w:szCs w:val="18"/>
                                    </w:rPr>
                                  </w:pPr>
                                  <w:r w:rsidRPr="0028618A">
                                    <w:rPr>
                                      <w:rFonts w:ascii="Calibri" w:eastAsia="Times New Roman" w:hAnsi="Calibri" w:cs="Calibri"/>
                                      <w:color w:val="000000"/>
                                      <w:sz w:val="18"/>
                                      <w:szCs w:val="18"/>
                                    </w:rPr>
                                    <w:t>50%</w:t>
                                  </w:r>
                                </w:p>
                              </w:tc>
                            </w:tr>
                            <w:tr w:rsidR="00160B55" w:rsidRPr="0028618A" w14:paraId="13B8EBEF" w14:textId="77777777" w:rsidTr="004569BD">
                              <w:trPr>
                                <w:trHeight w:val="480"/>
                              </w:trPr>
                              <w:tc>
                                <w:tcPr>
                                  <w:tcW w:w="4225" w:type="dxa"/>
                                  <w:tcBorders>
                                    <w:top w:val="nil"/>
                                    <w:left w:val="single" w:sz="4" w:space="0" w:color="auto"/>
                                    <w:bottom w:val="single" w:sz="4" w:space="0" w:color="auto"/>
                                    <w:right w:val="single" w:sz="4" w:space="0" w:color="auto"/>
                                  </w:tcBorders>
                                  <w:shd w:val="clear" w:color="000000" w:fill="FFFFFF"/>
                                  <w:vAlign w:val="center"/>
                                  <w:hideMark/>
                                </w:tcPr>
                                <w:p w14:paraId="097D9808" w14:textId="77777777" w:rsidR="00160B55" w:rsidRPr="0028618A" w:rsidRDefault="00160B55" w:rsidP="004569BD">
                                  <w:pPr>
                                    <w:spacing w:after="0" w:line="240" w:lineRule="auto"/>
                                    <w:rPr>
                                      <w:rFonts w:ascii="Calibri" w:eastAsia="Times New Roman" w:hAnsi="Calibri" w:cs="Calibri"/>
                                      <w:color w:val="000000"/>
                                      <w:sz w:val="18"/>
                                      <w:szCs w:val="18"/>
                                    </w:rPr>
                                  </w:pPr>
                                  <w:r w:rsidRPr="0028618A">
                                    <w:rPr>
                                      <w:rFonts w:ascii="Calibri" w:eastAsia="Times New Roman" w:hAnsi="Calibri" w:cs="Calibri"/>
                                      <w:color w:val="000000"/>
                                      <w:sz w:val="18"/>
                                      <w:szCs w:val="18"/>
                                    </w:rPr>
                                    <w:t xml:space="preserve">4) </w:t>
                                  </w:r>
                                  <w:r w:rsidRPr="009764BF">
                                    <w:rPr>
                                      <w:rFonts w:ascii="Calibri" w:eastAsia="Times New Roman" w:hAnsi="Calibri" w:cs="Calibri"/>
                                      <w:color w:val="000000"/>
                                      <w:sz w:val="18"/>
                                      <w:szCs w:val="18"/>
                                    </w:rPr>
                                    <w:t>Achieve 90% of Measurable Skill Gain WTCS</w:t>
                                  </w:r>
                                  <w:r>
                                    <w:rPr>
                                      <w:rFonts w:ascii="Calibri" w:eastAsia="Times New Roman" w:hAnsi="Calibri" w:cs="Calibri"/>
                                      <w:color w:val="000000"/>
                                      <w:sz w:val="18"/>
                                      <w:szCs w:val="18"/>
                                    </w:rPr>
                                    <w:t xml:space="preserve"> Negotiated Level of Performance (State Target)</w:t>
                                  </w:r>
                                </w:p>
                              </w:tc>
                              <w:tc>
                                <w:tcPr>
                                  <w:tcW w:w="1800" w:type="dxa"/>
                                  <w:tcBorders>
                                    <w:top w:val="nil"/>
                                    <w:left w:val="nil"/>
                                    <w:bottom w:val="single" w:sz="4" w:space="0" w:color="auto"/>
                                    <w:right w:val="single" w:sz="4" w:space="0" w:color="auto"/>
                                  </w:tcBorders>
                                  <w:shd w:val="clear" w:color="000000" w:fill="FFFFFF"/>
                                  <w:vAlign w:val="center"/>
                                  <w:hideMark/>
                                </w:tcPr>
                                <w:p w14:paraId="323E1BB0" w14:textId="77777777" w:rsidR="00160B55" w:rsidRPr="0028618A" w:rsidRDefault="00160B55" w:rsidP="004569BD">
                                  <w:pPr>
                                    <w:spacing w:after="0" w:line="240" w:lineRule="auto"/>
                                    <w:jc w:val="center"/>
                                    <w:rPr>
                                      <w:rFonts w:ascii="Calibri" w:eastAsia="Times New Roman" w:hAnsi="Calibri" w:cs="Calibri"/>
                                      <w:color w:val="000000"/>
                                      <w:sz w:val="18"/>
                                      <w:szCs w:val="18"/>
                                    </w:rPr>
                                  </w:pPr>
                                  <w:r w:rsidRPr="0028618A">
                                    <w:rPr>
                                      <w:rFonts w:ascii="Calibri" w:eastAsia="Times New Roman" w:hAnsi="Calibri" w:cs="Calibri"/>
                                      <w:color w:val="000000"/>
                                      <w:sz w:val="18"/>
                                      <w:szCs w:val="18"/>
                                    </w:rPr>
                                    <w:t>32%</w:t>
                                  </w:r>
                                </w:p>
                              </w:tc>
                            </w:tr>
                            <w:tr w:rsidR="00160B55" w:rsidRPr="0028618A" w14:paraId="03EF22C3" w14:textId="77777777" w:rsidTr="004569BD">
                              <w:trPr>
                                <w:trHeight w:val="290"/>
                              </w:trPr>
                              <w:tc>
                                <w:tcPr>
                                  <w:tcW w:w="4225" w:type="dxa"/>
                                  <w:tcBorders>
                                    <w:top w:val="nil"/>
                                    <w:left w:val="single" w:sz="4" w:space="0" w:color="auto"/>
                                    <w:bottom w:val="single" w:sz="4" w:space="0" w:color="auto"/>
                                    <w:right w:val="single" w:sz="4" w:space="0" w:color="auto"/>
                                  </w:tcBorders>
                                  <w:shd w:val="clear" w:color="000000" w:fill="E2EFD9"/>
                                  <w:vAlign w:val="center"/>
                                  <w:hideMark/>
                                </w:tcPr>
                                <w:p w14:paraId="71C03F55" w14:textId="6AF0AB8B" w:rsidR="00160B55" w:rsidRPr="0028618A" w:rsidRDefault="00BA0863" w:rsidP="004569BD">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5</w:t>
                                  </w:r>
                                  <w:r w:rsidR="00160B55" w:rsidRPr="0028618A">
                                    <w:rPr>
                                      <w:rFonts w:ascii="Calibri" w:eastAsia="Times New Roman" w:hAnsi="Calibri" w:cs="Calibri"/>
                                      <w:color w:val="000000"/>
                                      <w:sz w:val="18"/>
                                      <w:szCs w:val="18"/>
                                    </w:rPr>
                                    <w:t xml:space="preserve">) AEFLA </w:t>
                                  </w:r>
                                  <w:r w:rsidR="00160B55">
                                    <w:rPr>
                                      <w:rFonts w:ascii="Calibri" w:eastAsia="Times New Roman" w:hAnsi="Calibri" w:cs="Calibri"/>
                                      <w:color w:val="000000"/>
                                      <w:sz w:val="18"/>
                                      <w:szCs w:val="18"/>
                                    </w:rPr>
                                    <w:t>Provider</w:t>
                                  </w:r>
                                  <w:r w:rsidR="00160B55" w:rsidRPr="0028618A">
                                    <w:rPr>
                                      <w:rFonts w:ascii="Calibri" w:eastAsia="Times New Roman" w:hAnsi="Calibri" w:cs="Calibri"/>
                                      <w:color w:val="000000"/>
                                      <w:sz w:val="18"/>
                                      <w:szCs w:val="18"/>
                                    </w:rPr>
                                    <w:t xml:space="preserve"> is Reporting IET</w:t>
                                  </w:r>
                                </w:p>
                              </w:tc>
                              <w:tc>
                                <w:tcPr>
                                  <w:tcW w:w="1800" w:type="dxa"/>
                                  <w:tcBorders>
                                    <w:top w:val="nil"/>
                                    <w:left w:val="nil"/>
                                    <w:bottom w:val="single" w:sz="4" w:space="0" w:color="auto"/>
                                    <w:right w:val="single" w:sz="4" w:space="0" w:color="auto"/>
                                  </w:tcBorders>
                                  <w:shd w:val="clear" w:color="000000" w:fill="E2EFD9"/>
                                  <w:vAlign w:val="center"/>
                                  <w:hideMark/>
                                </w:tcPr>
                                <w:p w14:paraId="774A997C" w14:textId="77777777" w:rsidR="00160B55" w:rsidRPr="0028618A" w:rsidRDefault="00160B55" w:rsidP="004569BD">
                                  <w:pPr>
                                    <w:spacing w:after="0" w:line="240" w:lineRule="auto"/>
                                    <w:jc w:val="center"/>
                                    <w:rPr>
                                      <w:rFonts w:ascii="Calibri" w:eastAsia="Times New Roman" w:hAnsi="Calibri" w:cs="Calibri"/>
                                      <w:color w:val="000000"/>
                                      <w:sz w:val="18"/>
                                      <w:szCs w:val="18"/>
                                    </w:rPr>
                                  </w:pPr>
                                  <w:r w:rsidRPr="0028618A">
                                    <w:rPr>
                                      <w:rFonts w:ascii="Calibri" w:eastAsia="Times New Roman" w:hAnsi="Calibri" w:cs="Calibri"/>
                                      <w:color w:val="000000"/>
                                      <w:sz w:val="18"/>
                                      <w:szCs w:val="18"/>
                                    </w:rPr>
                                    <w:t>77%</w:t>
                                  </w:r>
                                </w:p>
                              </w:tc>
                            </w:tr>
                          </w:tbl>
                          <w:p w14:paraId="081537EF" w14:textId="77777777" w:rsidR="00160B55" w:rsidRDefault="00160B55" w:rsidP="00160B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AEAE2B" id="_x0000_s1030" type="#_x0000_t202" style="position:absolute;margin-left:266.85pt;margin-top:48.25pt;width:318.05pt;height:162pt;z-index:251658241;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" stroked="f">
                <v:textbox>
                  <w:txbxContent>
                    <w:p w14:paraId="11BD44E9" w14:textId="77777777" w:rsidR="00160B55" w:rsidRDefault="00160B55" w:rsidP="00160B55">
                      <w:pPr>
                        <w:spacing w:after="0"/>
                        <w:rPr>
                          <w:rFonts w:eastAsia="Times New Roman"/>
                        </w:rPr>
                      </w:pPr>
                      <w:r w:rsidRPr="000422C6">
                        <w:rPr>
                          <w:rFonts w:eastAsia="Times New Roman"/>
                          <w:b/>
                          <w:bCs/>
                        </w:rPr>
                        <w:t xml:space="preserve">Table </w:t>
                      </w:r>
                      <w:r>
                        <w:rPr>
                          <w:rFonts w:eastAsia="Times New Roman"/>
                          <w:b/>
                          <w:bCs/>
                        </w:rPr>
                        <w:t>2</w:t>
                      </w:r>
                      <w:r w:rsidRPr="000422C6">
                        <w:rPr>
                          <w:rFonts w:eastAsia="Times New Roman"/>
                          <w:b/>
                          <w:bCs/>
                        </w:rPr>
                        <w:t xml:space="preserve">. </w:t>
                      </w:r>
                      <w:r>
                        <w:rPr>
                          <w:rFonts w:eastAsia="Times New Roman"/>
                          <w:b/>
                          <w:bCs/>
                        </w:rPr>
                        <w:t>Percent of AEFLA providers achieving AEFLA goals in the 2019-20 program year</w:t>
                      </w:r>
                      <w:r w:rsidRPr="000422C6">
                        <w:rPr>
                          <w:rFonts w:eastAsia="Times New Roman"/>
                          <w:b/>
                          <w:bCs/>
                        </w:rPr>
                        <w:t>.</w:t>
                      </w:r>
                    </w:p>
                    <w:tbl>
                      <w:tblPr>
                        <w:tblW w:w="6025" w:type="dxa"/>
                        <w:tblLook w:val="04A0" w:firstRow="1" w:lastRow="0" w:firstColumn="1" w:lastColumn="0" w:noHBand="0" w:noVBand="1"/>
                      </w:tblPr>
                      <w:tblGrid>
                        <w:gridCol w:w="4225"/>
                        <w:gridCol w:w="1800"/>
                      </w:tblGrid>
                      <w:tr w:rsidR="00160B55" w:rsidRPr="0028618A" w14:paraId="7232B11D" w14:textId="77777777" w:rsidTr="004569BD">
                        <w:trPr>
                          <w:trHeight w:val="290"/>
                        </w:trPr>
                        <w:tc>
                          <w:tcPr>
                            <w:tcW w:w="4225"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25096A2D" w14:textId="77777777" w:rsidR="00160B55" w:rsidRPr="0028618A" w:rsidRDefault="00160B55" w:rsidP="004569BD">
                            <w:pPr>
                              <w:spacing w:after="0" w:line="240" w:lineRule="auto"/>
                              <w:rPr>
                                <w:rFonts w:ascii="Calibri" w:eastAsia="Times New Roman" w:hAnsi="Calibri" w:cs="Calibri"/>
                                <w:b/>
                                <w:bCs/>
                                <w:color w:val="000000"/>
                                <w:sz w:val="18"/>
                                <w:szCs w:val="18"/>
                              </w:rPr>
                            </w:pPr>
                            <w:r w:rsidRPr="0028618A">
                              <w:rPr>
                                <w:rFonts w:ascii="Calibri" w:eastAsia="Times New Roman" w:hAnsi="Calibri" w:cs="Calibri"/>
                                <w:b/>
                                <w:bCs/>
                                <w:color w:val="000000"/>
                                <w:sz w:val="18"/>
                                <w:szCs w:val="18"/>
                              </w:rPr>
                              <w:t>Indicator</w:t>
                            </w:r>
                          </w:p>
                        </w:tc>
                        <w:tc>
                          <w:tcPr>
                            <w:tcW w:w="1800" w:type="dxa"/>
                            <w:tcBorders>
                              <w:top w:val="single" w:sz="4" w:space="0" w:color="auto"/>
                              <w:left w:val="nil"/>
                              <w:bottom w:val="single" w:sz="4" w:space="0" w:color="auto"/>
                              <w:right w:val="single" w:sz="4" w:space="0" w:color="auto"/>
                            </w:tcBorders>
                            <w:shd w:val="clear" w:color="000000" w:fill="F2F2F2"/>
                            <w:noWrap/>
                            <w:vAlign w:val="center"/>
                            <w:hideMark/>
                          </w:tcPr>
                          <w:p w14:paraId="753AF76B" w14:textId="77777777" w:rsidR="00160B55" w:rsidRPr="0028618A" w:rsidRDefault="00160B55" w:rsidP="004569BD">
                            <w:pPr>
                              <w:spacing w:after="0" w:line="240" w:lineRule="auto"/>
                              <w:jc w:val="center"/>
                              <w:rPr>
                                <w:rFonts w:ascii="Calibri" w:eastAsia="Times New Roman" w:hAnsi="Calibri" w:cs="Calibri"/>
                                <w:b/>
                                <w:bCs/>
                                <w:color w:val="000000"/>
                                <w:sz w:val="18"/>
                                <w:szCs w:val="18"/>
                              </w:rPr>
                            </w:pPr>
                            <w:r w:rsidRPr="0028618A">
                              <w:rPr>
                                <w:rFonts w:ascii="Calibri" w:eastAsia="Times New Roman" w:hAnsi="Calibri" w:cs="Calibri"/>
                                <w:b/>
                                <w:bCs/>
                                <w:color w:val="000000"/>
                                <w:sz w:val="18"/>
                                <w:szCs w:val="18"/>
                              </w:rPr>
                              <w:t>% of AEFLA Providers Achieving Goal</w:t>
                            </w:r>
                          </w:p>
                        </w:tc>
                      </w:tr>
                      <w:tr w:rsidR="00160B55" w:rsidRPr="0028618A" w14:paraId="54275853" w14:textId="77777777" w:rsidTr="004569BD">
                        <w:trPr>
                          <w:trHeight w:val="290"/>
                        </w:trPr>
                        <w:tc>
                          <w:tcPr>
                            <w:tcW w:w="4225" w:type="dxa"/>
                            <w:tcBorders>
                              <w:top w:val="nil"/>
                              <w:left w:val="single" w:sz="4" w:space="0" w:color="auto"/>
                              <w:bottom w:val="single" w:sz="4" w:space="0" w:color="auto"/>
                              <w:right w:val="single" w:sz="4" w:space="0" w:color="auto"/>
                            </w:tcBorders>
                            <w:shd w:val="clear" w:color="000000" w:fill="E2EFD9"/>
                            <w:vAlign w:val="center"/>
                            <w:hideMark/>
                          </w:tcPr>
                          <w:p w14:paraId="1DC19F72" w14:textId="77777777" w:rsidR="00160B55" w:rsidRPr="0028618A" w:rsidRDefault="00160B55" w:rsidP="004569BD">
                            <w:pPr>
                              <w:spacing w:after="0" w:line="240" w:lineRule="auto"/>
                              <w:rPr>
                                <w:rFonts w:ascii="Calibri" w:eastAsia="Times New Roman" w:hAnsi="Calibri" w:cs="Calibri"/>
                                <w:color w:val="000000"/>
                                <w:sz w:val="18"/>
                                <w:szCs w:val="18"/>
                              </w:rPr>
                            </w:pPr>
                            <w:r w:rsidRPr="0028618A">
                              <w:rPr>
                                <w:rFonts w:ascii="Calibri" w:eastAsia="Times New Roman" w:hAnsi="Calibri" w:cs="Calibri"/>
                                <w:color w:val="000000"/>
                                <w:sz w:val="18"/>
                                <w:szCs w:val="18"/>
                              </w:rPr>
                              <w:t>1) Achieve AEFLA Students Served Goal</w:t>
                            </w:r>
                          </w:p>
                        </w:tc>
                        <w:tc>
                          <w:tcPr>
                            <w:tcW w:w="1800" w:type="dxa"/>
                            <w:tcBorders>
                              <w:top w:val="nil"/>
                              <w:left w:val="nil"/>
                              <w:bottom w:val="single" w:sz="4" w:space="0" w:color="auto"/>
                              <w:right w:val="single" w:sz="4" w:space="0" w:color="auto"/>
                            </w:tcBorders>
                            <w:shd w:val="clear" w:color="000000" w:fill="E2EFD9"/>
                            <w:vAlign w:val="center"/>
                            <w:hideMark/>
                          </w:tcPr>
                          <w:p w14:paraId="280EA046" w14:textId="77777777" w:rsidR="00160B55" w:rsidRPr="0028618A" w:rsidRDefault="00160B55" w:rsidP="004569BD">
                            <w:pPr>
                              <w:spacing w:after="0" w:line="240" w:lineRule="auto"/>
                              <w:jc w:val="center"/>
                              <w:rPr>
                                <w:rFonts w:ascii="Calibri" w:eastAsia="Times New Roman" w:hAnsi="Calibri" w:cs="Calibri"/>
                                <w:color w:val="000000"/>
                                <w:sz w:val="18"/>
                                <w:szCs w:val="18"/>
                              </w:rPr>
                            </w:pPr>
                            <w:r w:rsidRPr="0028618A">
                              <w:rPr>
                                <w:rFonts w:ascii="Calibri" w:eastAsia="Times New Roman" w:hAnsi="Calibri" w:cs="Calibri"/>
                                <w:color w:val="000000"/>
                                <w:sz w:val="18"/>
                                <w:szCs w:val="18"/>
                              </w:rPr>
                              <w:t>50%</w:t>
                            </w:r>
                          </w:p>
                        </w:tc>
                      </w:tr>
                      <w:tr w:rsidR="00160B55" w:rsidRPr="0028618A" w14:paraId="07E21436" w14:textId="77777777" w:rsidTr="004569BD">
                        <w:trPr>
                          <w:trHeight w:val="296"/>
                        </w:trPr>
                        <w:tc>
                          <w:tcPr>
                            <w:tcW w:w="4225" w:type="dxa"/>
                            <w:tcBorders>
                              <w:top w:val="nil"/>
                              <w:left w:val="single" w:sz="4" w:space="0" w:color="auto"/>
                              <w:bottom w:val="single" w:sz="4" w:space="0" w:color="auto"/>
                              <w:right w:val="single" w:sz="4" w:space="0" w:color="auto"/>
                            </w:tcBorders>
                            <w:shd w:val="clear" w:color="auto" w:fill="auto"/>
                            <w:vAlign w:val="center"/>
                            <w:hideMark/>
                          </w:tcPr>
                          <w:p w14:paraId="04743927" w14:textId="77777777" w:rsidR="00160B55" w:rsidRPr="0028618A" w:rsidRDefault="00160B55" w:rsidP="004569BD">
                            <w:pPr>
                              <w:spacing w:after="0" w:line="240" w:lineRule="auto"/>
                              <w:rPr>
                                <w:rFonts w:ascii="Calibri" w:eastAsia="Times New Roman" w:hAnsi="Calibri" w:cs="Calibri"/>
                                <w:color w:val="000000"/>
                                <w:sz w:val="18"/>
                                <w:szCs w:val="18"/>
                              </w:rPr>
                            </w:pPr>
                            <w:r w:rsidRPr="0028618A">
                              <w:rPr>
                                <w:rFonts w:ascii="Calibri" w:eastAsia="Times New Roman" w:hAnsi="Calibri" w:cs="Calibri"/>
                                <w:color w:val="000000"/>
                                <w:sz w:val="18"/>
                                <w:szCs w:val="18"/>
                              </w:rPr>
                              <w:t>2) Achieve WTCS Pre-Post-Test Rate Goal</w:t>
                            </w:r>
                            <w:r>
                              <w:rPr>
                                <w:rFonts w:ascii="Calibri" w:eastAsia="Times New Roman" w:hAnsi="Calibri" w:cs="Calibri"/>
                                <w:color w:val="000000"/>
                                <w:sz w:val="18"/>
                                <w:szCs w:val="18"/>
                              </w:rPr>
                              <w:t xml:space="preserve"> of 67%</w:t>
                            </w:r>
                          </w:p>
                        </w:tc>
                        <w:tc>
                          <w:tcPr>
                            <w:tcW w:w="1800" w:type="dxa"/>
                            <w:tcBorders>
                              <w:top w:val="nil"/>
                              <w:left w:val="nil"/>
                              <w:bottom w:val="single" w:sz="4" w:space="0" w:color="auto"/>
                              <w:right w:val="single" w:sz="4" w:space="0" w:color="auto"/>
                            </w:tcBorders>
                            <w:shd w:val="clear" w:color="auto" w:fill="auto"/>
                            <w:vAlign w:val="center"/>
                            <w:hideMark/>
                          </w:tcPr>
                          <w:p w14:paraId="79C14E34" w14:textId="77777777" w:rsidR="00160B55" w:rsidRPr="0028618A" w:rsidRDefault="00160B55" w:rsidP="004569BD">
                            <w:pPr>
                              <w:spacing w:after="0" w:line="240" w:lineRule="auto"/>
                              <w:jc w:val="center"/>
                              <w:rPr>
                                <w:rFonts w:ascii="Calibri" w:eastAsia="Times New Roman" w:hAnsi="Calibri" w:cs="Calibri"/>
                                <w:color w:val="000000"/>
                                <w:sz w:val="18"/>
                                <w:szCs w:val="18"/>
                              </w:rPr>
                            </w:pPr>
                            <w:r w:rsidRPr="0028618A">
                              <w:rPr>
                                <w:rFonts w:ascii="Calibri" w:eastAsia="Times New Roman" w:hAnsi="Calibri" w:cs="Calibri"/>
                                <w:color w:val="000000"/>
                                <w:sz w:val="18"/>
                                <w:szCs w:val="18"/>
                              </w:rPr>
                              <w:t>9%</w:t>
                            </w:r>
                          </w:p>
                        </w:tc>
                      </w:tr>
                      <w:tr w:rsidR="00160B55" w:rsidRPr="0028618A" w14:paraId="453B2815" w14:textId="77777777" w:rsidTr="004569BD">
                        <w:trPr>
                          <w:trHeight w:val="530"/>
                        </w:trPr>
                        <w:tc>
                          <w:tcPr>
                            <w:tcW w:w="4225" w:type="dxa"/>
                            <w:tcBorders>
                              <w:top w:val="nil"/>
                              <w:left w:val="single" w:sz="4" w:space="0" w:color="auto"/>
                              <w:bottom w:val="single" w:sz="4" w:space="0" w:color="auto"/>
                              <w:right w:val="single" w:sz="4" w:space="0" w:color="auto"/>
                            </w:tcBorders>
                            <w:shd w:val="clear" w:color="000000" w:fill="E2EFD9"/>
                            <w:vAlign w:val="center"/>
                            <w:hideMark/>
                          </w:tcPr>
                          <w:p w14:paraId="072DFDB7" w14:textId="77777777" w:rsidR="00160B55" w:rsidRPr="0028618A" w:rsidRDefault="00160B55" w:rsidP="004569BD">
                            <w:pPr>
                              <w:spacing w:after="0" w:line="240" w:lineRule="auto"/>
                              <w:rPr>
                                <w:rFonts w:ascii="Calibri" w:eastAsia="Times New Roman" w:hAnsi="Calibri" w:cs="Calibri"/>
                                <w:color w:val="000000"/>
                                <w:sz w:val="18"/>
                                <w:szCs w:val="18"/>
                              </w:rPr>
                            </w:pPr>
                            <w:r w:rsidRPr="0028618A">
                              <w:rPr>
                                <w:rFonts w:ascii="Calibri" w:eastAsia="Times New Roman" w:hAnsi="Calibri" w:cs="Calibri"/>
                                <w:color w:val="000000"/>
                                <w:sz w:val="18"/>
                                <w:szCs w:val="18"/>
                              </w:rPr>
                              <w:t>3) Achieve 90% of Measurable Skill Gain Expected Level of Performance Target (Provider Specific Target)</w:t>
                            </w:r>
                          </w:p>
                        </w:tc>
                        <w:tc>
                          <w:tcPr>
                            <w:tcW w:w="1800" w:type="dxa"/>
                            <w:tcBorders>
                              <w:top w:val="nil"/>
                              <w:left w:val="nil"/>
                              <w:bottom w:val="single" w:sz="4" w:space="0" w:color="auto"/>
                              <w:right w:val="single" w:sz="4" w:space="0" w:color="auto"/>
                            </w:tcBorders>
                            <w:shd w:val="clear" w:color="000000" w:fill="E2EFD9"/>
                            <w:vAlign w:val="center"/>
                            <w:hideMark/>
                          </w:tcPr>
                          <w:p w14:paraId="0A6AFB66" w14:textId="77777777" w:rsidR="00160B55" w:rsidRPr="0028618A" w:rsidRDefault="00160B55" w:rsidP="004569BD">
                            <w:pPr>
                              <w:spacing w:after="0" w:line="240" w:lineRule="auto"/>
                              <w:jc w:val="center"/>
                              <w:rPr>
                                <w:rFonts w:ascii="Calibri" w:eastAsia="Times New Roman" w:hAnsi="Calibri" w:cs="Calibri"/>
                                <w:color w:val="000000"/>
                                <w:sz w:val="18"/>
                                <w:szCs w:val="18"/>
                              </w:rPr>
                            </w:pPr>
                            <w:r w:rsidRPr="0028618A">
                              <w:rPr>
                                <w:rFonts w:ascii="Calibri" w:eastAsia="Times New Roman" w:hAnsi="Calibri" w:cs="Calibri"/>
                                <w:color w:val="000000"/>
                                <w:sz w:val="18"/>
                                <w:szCs w:val="18"/>
                              </w:rPr>
                              <w:t>50%</w:t>
                            </w:r>
                          </w:p>
                        </w:tc>
                      </w:tr>
                      <w:tr w:rsidR="00160B55" w:rsidRPr="0028618A" w14:paraId="13B8EBEF" w14:textId="77777777" w:rsidTr="004569BD">
                        <w:trPr>
                          <w:trHeight w:val="480"/>
                        </w:trPr>
                        <w:tc>
                          <w:tcPr>
                            <w:tcW w:w="4225" w:type="dxa"/>
                            <w:tcBorders>
                              <w:top w:val="nil"/>
                              <w:left w:val="single" w:sz="4" w:space="0" w:color="auto"/>
                              <w:bottom w:val="single" w:sz="4" w:space="0" w:color="auto"/>
                              <w:right w:val="single" w:sz="4" w:space="0" w:color="auto"/>
                            </w:tcBorders>
                            <w:shd w:val="clear" w:color="000000" w:fill="FFFFFF"/>
                            <w:vAlign w:val="center"/>
                            <w:hideMark/>
                          </w:tcPr>
                          <w:p w14:paraId="097D9808" w14:textId="77777777" w:rsidR="00160B55" w:rsidRPr="0028618A" w:rsidRDefault="00160B55" w:rsidP="004569BD">
                            <w:pPr>
                              <w:spacing w:after="0" w:line="240" w:lineRule="auto"/>
                              <w:rPr>
                                <w:rFonts w:ascii="Calibri" w:eastAsia="Times New Roman" w:hAnsi="Calibri" w:cs="Calibri"/>
                                <w:color w:val="000000"/>
                                <w:sz w:val="18"/>
                                <w:szCs w:val="18"/>
                              </w:rPr>
                            </w:pPr>
                            <w:r w:rsidRPr="0028618A">
                              <w:rPr>
                                <w:rFonts w:ascii="Calibri" w:eastAsia="Times New Roman" w:hAnsi="Calibri" w:cs="Calibri"/>
                                <w:color w:val="000000"/>
                                <w:sz w:val="18"/>
                                <w:szCs w:val="18"/>
                              </w:rPr>
                              <w:t xml:space="preserve">4) </w:t>
                            </w:r>
                            <w:r w:rsidRPr="009764BF">
                              <w:rPr>
                                <w:rFonts w:ascii="Calibri" w:eastAsia="Times New Roman" w:hAnsi="Calibri" w:cs="Calibri"/>
                                <w:color w:val="000000"/>
                                <w:sz w:val="18"/>
                                <w:szCs w:val="18"/>
                              </w:rPr>
                              <w:t>Achieve 90% of Measurable Skill Gain WTCS</w:t>
                            </w:r>
                            <w:r>
                              <w:rPr>
                                <w:rFonts w:ascii="Calibri" w:eastAsia="Times New Roman" w:hAnsi="Calibri" w:cs="Calibri"/>
                                <w:color w:val="000000"/>
                                <w:sz w:val="18"/>
                                <w:szCs w:val="18"/>
                              </w:rPr>
                              <w:t xml:space="preserve"> Negotiated Level of Performance (State Target)</w:t>
                            </w:r>
                          </w:p>
                        </w:tc>
                        <w:tc>
                          <w:tcPr>
                            <w:tcW w:w="1800" w:type="dxa"/>
                            <w:tcBorders>
                              <w:top w:val="nil"/>
                              <w:left w:val="nil"/>
                              <w:bottom w:val="single" w:sz="4" w:space="0" w:color="auto"/>
                              <w:right w:val="single" w:sz="4" w:space="0" w:color="auto"/>
                            </w:tcBorders>
                            <w:shd w:val="clear" w:color="000000" w:fill="FFFFFF"/>
                            <w:vAlign w:val="center"/>
                            <w:hideMark/>
                          </w:tcPr>
                          <w:p w14:paraId="323E1BB0" w14:textId="77777777" w:rsidR="00160B55" w:rsidRPr="0028618A" w:rsidRDefault="00160B55" w:rsidP="004569BD">
                            <w:pPr>
                              <w:spacing w:after="0" w:line="240" w:lineRule="auto"/>
                              <w:jc w:val="center"/>
                              <w:rPr>
                                <w:rFonts w:ascii="Calibri" w:eastAsia="Times New Roman" w:hAnsi="Calibri" w:cs="Calibri"/>
                                <w:color w:val="000000"/>
                                <w:sz w:val="18"/>
                                <w:szCs w:val="18"/>
                              </w:rPr>
                            </w:pPr>
                            <w:r w:rsidRPr="0028618A">
                              <w:rPr>
                                <w:rFonts w:ascii="Calibri" w:eastAsia="Times New Roman" w:hAnsi="Calibri" w:cs="Calibri"/>
                                <w:color w:val="000000"/>
                                <w:sz w:val="18"/>
                                <w:szCs w:val="18"/>
                              </w:rPr>
                              <w:t>32%</w:t>
                            </w:r>
                          </w:p>
                        </w:tc>
                      </w:tr>
                      <w:tr w:rsidR="00160B55" w:rsidRPr="0028618A" w14:paraId="03EF22C3" w14:textId="77777777" w:rsidTr="004569BD">
                        <w:trPr>
                          <w:trHeight w:val="290"/>
                        </w:trPr>
                        <w:tc>
                          <w:tcPr>
                            <w:tcW w:w="4225" w:type="dxa"/>
                            <w:tcBorders>
                              <w:top w:val="nil"/>
                              <w:left w:val="single" w:sz="4" w:space="0" w:color="auto"/>
                              <w:bottom w:val="single" w:sz="4" w:space="0" w:color="auto"/>
                              <w:right w:val="single" w:sz="4" w:space="0" w:color="auto"/>
                            </w:tcBorders>
                            <w:shd w:val="clear" w:color="000000" w:fill="E2EFD9"/>
                            <w:vAlign w:val="center"/>
                            <w:hideMark/>
                          </w:tcPr>
                          <w:p w14:paraId="71C03F55" w14:textId="6AF0AB8B" w:rsidR="00160B55" w:rsidRPr="0028618A" w:rsidRDefault="00BA0863" w:rsidP="004569BD">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5</w:t>
                            </w:r>
                            <w:r w:rsidR="00160B55" w:rsidRPr="0028618A">
                              <w:rPr>
                                <w:rFonts w:ascii="Calibri" w:eastAsia="Times New Roman" w:hAnsi="Calibri" w:cs="Calibri"/>
                                <w:color w:val="000000"/>
                                <w:sz w:val="18"/>
                                <w:szCs w:val="18"/>
                              </w:rPr>
                              <w:t xml:space="preserve">) AEFLA </w:t>
                            </w:r>
                            <w:r w:rsidR="00160B55">
                              <w:rPr>
                                <w:rFonts w:ascii="Calibri" w:eastAsia="Times New Roman" w:hAnsi="Calibri" w:cs="Calibri"/>
                                <w:color w:val="000000"/>
                                <w:sz w:val="18"/>
                                <w:szCs w:val="18"/>
                              </w:rPr>
                              <w:t>Provider</w:t>
                            </w:r>
                            <w:r w:rsidR="00160B55" w:rsidRPr="0028618A">
                              <w:rPr>
                                <w:rFonts w:ascii="Calibri" w:eastAsia="Times New Roman" w:hAnsi="Calibri" w:cs="Calibri"/>
                                <w:color w:val="000000"/>
                                <w:sz w:val="18"/>
                                <w:szCs w:val="18"/>
                              </w:rPr>
                              <w:t xml:space="preserve"> is Reporting IET</w:t>
                            </w:r>
                          </w:p>
                        </w:tc>
                        <w:tc>
                          <w:tcPr>
                            <w:tcW w:w="1800" w:type="dxa"/>
                            <w:tcBorders>
                              <w:top w:val="nil"/>
                              <w:left w:val="nil"/>
                              <w:bottom w:val="single" w:sz="4" w:space="0" w:color="auto"/>
                              <w:right w:val="single" w:sz="4" w:space="0" w:color="auto"/>
                            </w:tcBorders>
                            <w:shd w:val="clear" w:color="000000" w:fill="E2EFD9"/>
                            <w:vAlign w:val="center"/>
                            <w:hideMark/>
                          </w:tcPr>
                          <w:p w14:paraId="774A997C" w14:textId="77777777" w:rsidR="00160B55" w:rsidRPr="0028618A" w:rsidRDefault="00160B55" w:rsidP="004569BD">
                            <w:pPr>
                              <w:spacing w:after="0" w:line="240" w:lineRule="auto"/>
                              <w:jc w:val="center"/>
                              <w:rPr>
                                <w:rFonts w:ascii="Calibri" w:eastAsia="Times New Roman" w:hAnsi="Calibri" w:cs="Calibri"/>
                                <w:color w:val="000000"/>
                                <w:sz w:val="18"/>
                                <w:szCs w:val="18"/>
                              </w:rPr>
                            </w:pPr>
                            <w:r w:rsidRPr="0028618A">
                              <w:rPr>
                                <w:rFonts w:ascii="Calibri" w:eastAsia="Times New Roman" w:hAnsi="Calibri" w:cs="Calibri"/>
                                <w:color w:val="000000"/>
                                <w:sz w:val="18"/>
                                <w:szCs w:val="18"/>
                              </w:rPr>
                              <w:t>77%</w:t>
                            </w:r>
                          </w:p>
                        </w:tc>
                      </w:tr>
                    </w:tbl>
                    <w:p w14:paraId="081537EF" w14:textId="77777777" w:rsidR="00160B55" w:rsidRDefault="00160B55" w:rsidP="00160B55"/>
                  </w:txbxContent>
                </v:textbox>
                <w10:wrap type="square" anchorx="margin"/>
              </v:shape>
            </w:pict>
          </mc:Fallback>
        </mc:AlternateContent>
      </w:r>
      <w:r w:rsidR="00160B55">
        <w:t>At the conclusion of the 2019-20 program year, the WTCS Office coordinated the annual AEFLA risk assessment process. The 2019-20 risk assessment process focused solely on AEFLA data reporting and performance. Each Wisconsin provider was assessed across a series of indicators and assigned a risk score from 0 to 100</w:t>
      </w:r>
      <w:r w:rsidR="00160B55" w:rsidRPr="009764BF">
        <w:t xml:space="preserve">. </w:t>
      </w:r>
      <w:r w:rsidR="00160B55" w:rsidRPr="009764BF">
        <w:rPr>
          <w:rFonts w:eastAsia="Times New Roman"/>
        </w:rPr>
        <w:t xml:space="preserve">A higher score </w:t>
      </w:r>
      <w:r w:rsidR="00160B55">
        <w:rPr>
          <w:rFonts w:eastAsia="Times New Roman"/>
        </w:rPr>
        <w:t>represents</w:t>
      </w:r>
      <w:r w:rsidR="00160B55" w:rsidRPr="009764BF">
        <w:rPr>
          <w:rFonts w:eastAsia="Times New Roman"/>
        </w:rPr>
        <w:t xml:space="preserve"> a higher “risk” of not achieving AEFLA goal</w:t>
      </w:r>
      <w:r w:rsidR="00160B55">
        <w:rPr>
          <w:rFonts w:eastAsia="Times New Roman"/>
        </w:rPr>
        <w:t>s</w:t>
      </w:r>
      <w:r w:rsidR="00160B55" w:rsidRPr="009764BF">
        <w:rPr>
          <w:rFonts w:eastAsia="Times New Roman"/>
        </w:rPr>
        <w:t>.</w:t>
      </w:r>
      <w:r w:rsidR="00160B55">
        <w:rPr>
          <w:rFonts w:eastAsia="Times New Roman"/>
        </w:rPr>
        <w:t xml:space="preserve"> </w:t>
      </w:r>
    </w:p>
    <w:p w14:paraId="243EC7A1" w14:textId="77777777" w:rsidR="0086635D" w:rsidRDefault="00160B55" w:rsidP="00160B55">
      <w:pPr>
        <w:spacing w:before="120" w:after="120"/>
        <w:rPr>
          <w:rFonts w:eastAsia="Times New Roman"/>
        </w:rPr>
      </w:pPr>
      <w:r>
        <w:rPr>
          <w:rFonts w:eastAsia="Times New Roman"/>
        </w:rPr>
        <w:t xml:space="preserve">From November to the conclusion of each program year, AEFLA providers are emailed a monthly point-in-time report presenting their program’s progress in achieving goals across each of the risk assessment indicators. Results are reviewed by WTCS Office staff and used to inform targeted conversations with AEFLA providers during the program year. Discussions with providers in late winter and spring of 2020 </w:t>
      </w:r>
      <w:r>
        <w:rPr>
          <w:rFonts w:eastAsia="Times New Roman"/>
        </w:rPr>
        <w:lastRenderedPageBreak/>
        <w:t xml:space="preserve">made it clear that the COVID-19 pandemic had a profound impact on AEFLA goal achievement. As demonstrated in Table 2, the 2019-20 end-of-year risk assessment model results reveal varied success in </w:t>
      </w:r>
      <w:r w:rsidR="4A942FD5">
        <w:rPr>
          <w:rFonts w:eastAsia="Times New Roman"/>
        </w:rPr>
        <w:t>achi</w:t>
      </w:r>
      <w:r w:rsidR="15BF112F">
        <w:rPr>
          <w:rFonts w:eastAsia="Times New Roman"/>
        </w:rPr>
        <w:t>evi</w:t>
      </w:r>
      <w:r w:rsidR="4A942FD5">
        <w:rPr>
          <w:rFonts w:eastAsia="Times New Roman"/>
        </w:rPr>
        <w:t>ng</w:t>
      </w:r>
      <w:r>
        <w:rPr>
          <w:rFonts w:eastAsia="Times New Roman"/>
        </w:rPr>
        <w:t xml:space="preserve"> AEFLA goals. Most notably, 50 percent of all Wisconsin providers achieved their students served goal and 50 percent achieved 90 percent of their local Measurable Skill Gain rate goal.</w:t>
      </w:r>
    </w:p>
    <w:p w14:paraId="46BBE67F" w14:textId="5477CB88" w:rsidR="00160B55" w:rsidRDefault="00160B55" w:rsidP="00160B55">
      <w:pPr>
        <w:spacing w:before="120" w:after="120"/>
        <w:rPr>
          <w:rFonts w:eastAsia="Times New Roman"/>
        </w:rPr>
      </w:pPr>
      <w:r>
        <w:rPr>
          <w:rFonts w:eastAsia="Times New Roman"/>
        </w:rPr>
        <w:t xml:space="preserve">The cumulative risk score assigned to Wisconsin providers also varied. This finding suggests that providers likely had varied approaches and successes in navigating the COVID-19 pandemic. To better understand the impact of COVID-19 on AEFLA goal achievement and provider strategies to navigating the pandemic, a sequential mixed methods research approach was used. This research approach included the analysis of provider risk assessment scores which then informed the selection of AEFLA providers to participate in semi-structured interviews. Providers with the lowest risk scores were invited to participate in semi-structured interviews to understand </w:t>
      </w:r>
      <w:r w:rsidR="007215A9">
        <w:rPr>
          <w:rFonts w:eastAsia="Times New Roman"/>
        </w:rPr>
        <w:t xml:space="preserve">best </w:t>
      </w:r>
      <w:r>
        <w:rPr>
          <w:rFonts w:eastAsia="Times New Roman"/>
        </w:rPr>
        <w:t>practices</w:t>
      </w:r>
      <w:r w:rsidR="007215A9">
        <w:rPr>
          <w:rFonts w:eastAsia="Times New Roman"/>
        </w:rPr>
        <w:t xml:space="preserve"> used</w:t>
      </w:r>
      <w:r>
        <w:rPr>
          <w:rFonts w:eastAsia="Times New Roman"/>
        </w:rPr>
        <w:t>. Additionally, providers with the highest risk scores were contacted to</w:t>
      </w:r>
      <w:r w:rsidR="007215A9">
        <w:rPr>
          <w:rFonts w:eastAsia="Times New Roman"/>
        </w:rPr>
        <w:t xml:space="preserve"> better</w:t>
      </w:r>
      <w:r>
        <w:rPr>
          <w:rFonts w:eastAsia="Times New Roman"/>
        </w:rPr>
        <w:t xml:space="preserve"> understand </w:t>
      </w:r>
      <w:r w:rsidR="007215A9">
        <w:rPr>
          <w:rFonts w:eastAsia="Times New Roman"/>
        </w:rPr>
        <w:t xml:space="preserve">program </w:t>
      </w:r>
      <w:r>
        <w:rPr>
          <w:rFonts w:eastAsia="Times New Roman"/>
        </w:rPr>
        <w:t>challenges and to understand professional development</w:t>
      </w:r>
      <w:r w:rsidR="005A5EEF">
        <w:rPr>
          <w:rFonts w:eastAsia="Times New Roman"/>
        </w:rPr>
        <w:t>/technical assistance</w:t>
      </w:r>
      <w:r>
        <w:rPr>
          <w:rFonts w:eastAsia="Times New Roman"/>
        </w:rPr>
        <w:t xml:space="preserve"> needs.  </w:t>
      </w:r>
    </w:p>
    <w:p w14:paraId="31867AC4" w14:textId="716807D7" w:rsidR="00160B55" w:rsidRDefault="00160B55" w:rsidP="00160B55">
      <w:pPr>
        <w:spacing w:before="120" w:after="120"/>
        <w:rPr>
          <w:rFonts w:eastAsia="Times New Roman"/>
        </w:rPr>
      </w:pPr>
      <w:r>
        <w:rPr>
          <w:rFonts w:eastAsia="Times New Roman"/>
        </w:rPr>
        <w:t>Analysis of semi-structured interview data revealed a series of emerging themes. A total of four themes were identified from the interview data and illustrate strategies t</w:t>
      </w:r>
      <w:r w:rsidR="004B57BA">
        <w:rPr>
          <w:rFonts w:eastAsia="Times New Roman"/>
        </w:rPr>
        <w:t>hat allowed the program successful navigation through</w:t>
      </w:r>
      <w:r>
        <w:rPr>
          <w:rFonts w:eastAsia="Times New Roman"/>
        </w:rPr>
        <w:t xml:space="preserve"> the COVID-19 pandemic</w:t>
      </w:r>
      <w:r w:rsidR="5A5C0DDB" w:rsidRPr="7AD2B3B4">
        <w:rPr>
          <w:rFonts w:eastAsia="Times New Roman"/>
        </w:rPr>
        <w:t xml:space="preserve"> (see below)</w:t>
      </w:r>
      <w:r w:rsidR="6F58868D" w:rsidRPr="7AD2B3B4">
        <w:rPr>
          <w:rFonts w:eastAsia="Times New Roman"/>
        </w:rPr>
        <w:t>.</w:t>
      </w:r>
      <w:r>
        <w:rPr>
          <w:rFonts w:eastAsia="Times New Roman"/>
        </w:rPr>
        <w:t xml:space="preserve"> To support AEFLA provider success, the following four themes will be </w:t>
      </w:r>
      <w:r w:rsidR="607D7281" w:rsidRPr="7AD2B3B4">
        <w:rPr>
          <w:rFonts w:eastAsia="Times New Roman"/>
        </w:rPr>
        <w:t>discussed during</w:t>
      </w:r>
      <w:r>
        <w:rPr>
          <w:rFonts w:eastAsia="Times New Roman"/>
        </w:rPr>
        <w:t xml:space="preserve"> the 2020-21 monthly </w:t>
      </w:r>
      <w:r w:rsidR="136BD180" w:rsidRPr="7AD2B3B4">
        <w:rPr>
          <w:rFonts w:eastAsia="Times New Roman"/>
        </w:rPr>
        <w:t>AEFLA</w:t>
      </w:r>
      <w:r>
        <w:rPr>
          <w:rFonts w:eastAsia="Times New Roman"/>
        </w:rPr>
        <w:t xml:space="preserve"> Community of Practice meetings. Additionally, providers will be invited to share activities that strengthened their program’s AEFLA outcomes</w:t>
      </w:r>
      <w:r w:rsidR="2504BBF5" w:rsidRPr="7AD2B3B4">
        <w:rPr>
          <w:rFonts w:eastAsia="Times New Roman"/>
        </w:rPr>
        <w:t xml:space="preserve"> during the ongoing COVID-19 pandemic</w:t>
      </w:r>
      <w:r>
        <w:rPr>
          <w:rFonts w:eastAsia="Times New Roman"/>
        </w:rPr>
        <w:t>.</w:t>
      </w:r>
    </w:p>
    <w:p w14:paraId="0F2088DF" w14:textId="5B560F34" w:rsidR="00160B55" w:rsidRPr="00DA0F72" w:rsidRDefault="00160B55" w:rsidP="00160B55">
      <w:pPr>
        <w:pStyle w:val="ListParagraph"/>
        <w:numPr>
          <w:ilvl w:val="0"/>
          <w:numId w:val="7"/>
        </w:numPr>
        <w:spacing w:before="120" w:after="120"/>
        <w:rPr>
          <w:rFonts w:eastAsia="Times New Roman"/>
        </w:rPr>
      </w:pPr>
      <w:r w:rsidRPr="00DA0F72">
        <w:rPr>
          <w:rFonts w:eastAsia="Times New Roman"/>
        </w:rPr>
        <w:t xml:space="preserve">Organization </w:t>
      </w:r>
      <w:r w:rsidR="4D9F3CCC" w:rsidRPr="39CBB6CD">
        <w:rPr>
          <w:rFonts w:eastAsia="Times New Roman"/>
        </w:rPr>
        <w:t>l</w:t>
      </w:r>
      <w:r w:rsidR="6F58868D" w:rsidRPr="39CBB6CD">
        <w:rPr>
          <w:rFonts w:eastAsia="Times New Roman"/>
        </w:rPr>
        <w:t xml:space="preserve">eadership </w:t>
      </w:r>
      <w:r w:rsidR="30A330CD" w:rsidRPr="39CBB6CD">
        <w:rPr>
          <w:rFonts w:eastAsia="Times New Roman"/>
        </w:rPr>
        <w:t>u</w:t>
      </w:r>
      <w:r w:rsidR="6F58868D" w:rsidRPr="39CBB6CD">
        <w:rPr>
          <w:rFonts w:eastAsia="Times New Roman"/>
        </w:rPr>
        <w:t>nderstand</w:t>
      </w:r>
      <w:r w:rsidRPr="00DA0F72">
        <w:rPr>
          <w:rFonts w:eastAsia="Times New Roman"/>
        </w:rPr>
        <w:t xml:space="preserve"> and </w:t>
      </w:r>
      <w:r w:rsidR="0C017CCA" w:rsidRPr="39CBB6CD">
        <w:rPr>
          <w:rFonts w:eastAsia="Times New Roman"/>
        </w:rPr>
        <w:t>s</w:t>
      </w:r>
      <w:r w:rsidR="6F58868D" w:rsidRPr="39CBB6CD">
        <w:rPr>
          <w:rFonts w:eastAsia="Times New Roman"/>
        </w:rPr>
        <w:t>upport</w:t>
      </w:r>
      <w:r w:rsidRPr="00DA0F72">
        <w:rPr>
          <w:rFonts w:eastAsia="Times New Roman"/>
        </w:rPr>
        <w:t xml:space="preserve"> Adult Education as a </w:t>
      </w:r>
      <w:r w:rsidR="139B23F7" w:rsidRPr="39CBB6CD">
        <w:rPr>
          <w:rFonts w:eastAsia="Times New Roman"/>
        </w:rPr>
        <w:t>pip</w:t>
      </w:r>
      <w:r w:rsidR="6F58868D" w:rsidRPr="39CBB6CD">
        <w:rPr>
          <w:rFonts w:eastAsia="Times New Roman"/>
        </w:rPr>
        <w:t>eline</w:t>
      </w:r>
      <w:r w:rsidRPr="00DA0F72">
        <w:rPr>
          <w:rFonts w:eastAsia="Times New Roman"/>
        </w:rPr>
        <w:t xml:space="preserve"> to </w:t>
      </w:r>
      <w:r w:rsidR="44D4E68D" w:rsidRPr="39CBB6CD">
        <w:rPr>
          <w:rFonts w:eastAsia="Times New Roman"/>
        </w:rPr>
        <w:t>c</w:t>
      </w:r>
      <w:r w:rsidR="6F58868D" w:rsidRPr="39CBB6CD">
        <w:rPr>
          <w:rFonts w:eastAsia="Times New Roman"/>
        </w:rPr>
        <w:t xml:space="preserve">areer </w:t>
      </w:r>
      <w:r w:rsidR="154892CF" w:rsidRPr="39CBB6CD">
        <w:rPr>
          <w:rFonts w:eastAsia="Times New Roman"/>
        </w:rPr>
        <w:t>p</w:t>
      </w:r>
      <w:r w:rsidR="6F58868D" w:rsidRPr="39CBB6CD">
        <w:rPr>
          <w:rFonts w:eastAsia="Times New Roman"/>
        </w:rPr>
        <w:t>athways</w:t>
      </w:r>
    </w:p>
    <w:p w14:paraId="6E2F9A6A" w14:textId="530BAEA7" w:rsidR="00160B55" w:rsidRPr="00DA0F72" w:rsidRDefault="6F58868D" w:rsidP="00160B55">
      <w:pPr>
        <w:pStyle w:val="ListParagraph"/>
        <w:numPr>
          <w:ilvl w:val="0"/>
          <w:numId w:val="7"/>
        </w:numPr>
        <w:spacing w:before="120" w:after="120"/>
        <w:rPr>
          <w:rFonts w:eastAsia="Times New Roman"/>
        </w:rPr>
      </w:pPr>
      <w:r w:rsidRPr="39CBB6CD">
        <w:rPr>
          <w:rFonts w:eastAsia="Times New Roman"/>
        </w:rPr>
        <w:t xml:space="preserve">Innovation in </w:t>
      </w:r>
      <w:r w:rsidR="2C3B3650" w:rsidRPr="39CBB6CD">
        <w:rPr>
          <w:rFonts w:eastAsia="Times New Roman"/>
        </w:rPr>
        <w:t>i</w:t>
      </w:r>
      <w:r w:rsidRPr="39CBB6CD">
        <w:rPr>
          <w:rFonts w:eastAsia="Times New Roman"/>
        </w:rPr>
        <w:t xml:space="preserve">nstructional </w:t>
      </w:r>
      <w:r w:rsidR="20C70E86" w:rsidRPr="39CBB6CD">
        <w:rPr>
          <w:rFonts w:eastAsia="Times New Roman"/>
        </w:rPr>
        <w:t>d</w:t>
      </w:r>
      <w:r w:rsidRPr="39CBB6CD">
        <w:rPr>
          <w:rFonts w:eastAsia="Times New Roman"/>
        </w:rPr>
        <w:t xml:space="preserve">elivery </w:t>
      </w:r>
      <w:r w:rsidR="213B6DF0" w:rsidRPr="39CBB6CD">
        <w:rPr>
          <w:rFonts w:eastAsia="Times New Roman"/>
        </w:rPr>
        <w:t>t</w:t>
      </w:r>
      <w:r w:rsidRPr="39CBB6CD">
        <w:rPr>
          <w:rFonts w:eastAsia="Times New Roman"/>
        </w:rPr>
        <w:t xml:space="preserve">hrough </w:t>
      </w:r>
      <w:r w:rsidR="2F429666" w:rsidRPr="39CBB6CD">
        <w:rPr>
          <w:rFonts w:eastAsia="Times New Roman"/>
        </w:rPr>
        <w:t>d</w:t>
      </w:r>
      <w:r w:rsidRPr="39CBB6CD">
        <w:rPr>
          <w:rFonts w:eastAsia="Times New Roman"/>
        </w:rPr>
        <w:t xml:space="preserve">istance </w:t>
      </w:r>
      <w:r w:rsidR="41B78F48" w:rsidRPr="39CBB6CD">
        <w:rPr>
          <w:rFonts w:eastAsia="Times New Roman"/>
        </w:rPr>
        <w:t>l</w:t>
      </w:r>
      <w:r w:rsidRPr="39CBB6CD">
        <w:rPr>
          <w:rFonts w:eastAsia="Times New Roman"/>
        </w:rPr>
        <w:t>earning</w:t>
      </w:r>
    </w:p>
    <w:p w14:paraId="3343D8AF" w14:textId="4798D13A" w:rsidR="00160B55" w:rsidRPr="00DA0F72" w:rsidRDefault="6F58868D" w:rsidP="00160B55">
      <w:pPr>
        <w:pStyle w:val="ListParagraph"/>
        <w:numPr>
          <w:ilvl w:val="0"/>
          <w:numId w:val="7"/>
        </w:numPr>
        <w:spacing w:before="120" w:after="120"/>
        <w:rPr>
          <w:rFonts w:eastAsia="Times New Roman"/>
        </w:rPr>
      </w:pPr>
      <w:r w:rsidRPr="39CBB6CD">
        <w:rPr>
          <w:rFonts w:eastAsia="Times New Roman"/>
        </w:rPr>
        <w:t xml:space="preserve">Success in </w:t>
      </w:r>
      <w:r w:rsidR="601C6EEE" w:rsidRPr="39CBB6CD">
        <w:rPr>
          <w:rFonts w:eastAsia="Times New Roman"/>
        </w:rPr>
        <w:t>m</w:t>
      </w:r>
      <w:r w:rsidRPr="39CBB6CD">
        <w:rPr>
          <w:rFonts w:eastAsia="Times New Roman"/>
        </w:rPr>
        <w:t xml:space="preserve">aintaining </w:t>
      </w:r>
      <w:r w:rsidR="7D15A686" w:rsidRPr="39CBB6CD">
        <w:rPr>
          <w:rFonts w:eastAsia="Times New Roman"/>
        </w:rPr>
        <w:t>r</w:t>
      </w:r>
      <w:r w:rsidRPr="39CBB6CD">
        <w:rPr>
          <w:rFonts w:eastAsia="Times New Roman"/>
        </w:rPr>
        <w:t xml:space="preserve">elationships with </w:t>
      </w:r>
      <w:r w:rsidR="18740C23" w:rsidRPr="39CBB6CD">
        <w:rPr>
          <w:rFonts w:eastAsia="Times New Roman"/>
        </w:rPr>
        <w:t>s</w:t>
      </w:r>
      <w:r w:rsidRPr="39CBB6CD">
        <w:rPr>
          <w:rFonts w:eastAsia="Times New Roman"/>
        </w:rPr>
        <w:t xml:space="preserve">tudents in a </w:t>
      </w:r>
      <w:r w:rsidR="308A8415" w:rsidRPr="39CBB6CD">
        <w:rPr>
          <w:rFonts w:eastAsia="Times New Roman"/>
        </w:rPr>
        <w:t>v</w:t>
      </w:r>
      <w:r w:rsidRPr="39CBB6CD">
        <w:rPr>
          <w:rFonts w:eastAsia="Times New Roman"/>
        </w:rPr>
        <w:t xml:space="preserve">irtual </w:t>
      </w:r>
      <w:r w:rsidR="42D87E5E" w:rsidRPr="39CBB6CD">
        <w:rPr>
          <w:rFonts w:eastAsia="Times New Roman"/>
        </w:rPr>
        <w:t>e</w:t>
      </w:r>
      <w:r w:rsidRPr="39CBB6CD">
        <w:rPr>
          <w:rFonts w:eastAsia="Times New Roman"/>
        </w:rPr>
        <w:t>nvironment</w:t>
      </w:r>
    </w:p>
    <w:p w14:paraId="4CDC74EF" w14:textId="7E496EF2" w:rsidR="00160B55" w:rsidRPr="00DA0F72" w:rsidRDefault="6F58868D" w:rsidP="00160B55">
      <w:pPr>
        <w:pStyle w:val="ListParagraph"/>
        <w:numPr>
          <w:ilvl w:val="0"/>
          <w:numId w:val="7"/>
        </w:numPr>
        <w:spacing w:before="120" w:after="120"/>
        <w:rPr>
          <w:rFonts w:eastAsia="Times New Roman"/>
        </w:rPr>
      </w:pPr>
      <w:r w:rsidRPr="39CBB6CD">
        <w:rPr>
          <w:rFonts w:eastAsia="Times New Roman"/>
        </w:rPr>
        <w:t xml:space="preserve">Leveraging </w:t>
      </w:r>
      <w:r w:rsidR="264DB2B5" w:rsidRPr="39CBB6CD">
        <w:rPr>
          <w:rFonts w:eastAsia="Times New Roman"/>
        </w:rPr>
        <w:t>d</w:t>
      </w:r>
      <w:r w:rsidRPr="39CBB6CD">
        <w:rPr>
          <w:rFonts w:eastAsia="Times New Roman"/>
        </w:rPr>
        <w:t xml:space="preserve">ata to </w:t>
      </w:r>
      <w:r w:rsidR="3337113F" w:rsidRPr="39CBB6CD">
        <w:rPr>
          <w:rFonts w:eastAsia="Times New Roman"/>
        </w:rPr>
        <w:t>in</w:t>
      </w:r>
      <w:r w:rsidRPr="39CBB6CD">
        <w:rPr>
          <w:rFonts w:eastAsia="Times New Roman"/>
        </w:rPr>
        <w:t xml:space="preserve">form and </w:t>
      </w:r>
      <w:r w:rsidR="47F13412" w:rsidRPr="39CBB6CD">
        <w:rPr>
          <w:rFonts w:eastAsia="Times New Roman"/>
        </w:rPr>
        <w:t>s</w:t>
      </w:r>
      <w:r w:rsidRPr="39CBB6CD">
        <w:rPr>
          <w:rFonts w:eastAsia="Times New Roman"/>
        </w:rPr>
        <w:t xml:space="preserve">upport </w:t>
      </w:r>
      <w:r w:rsidR="231FCC87" w:rsidRPr="39CBB6CD">
        <w:rPr>
          <w:rFonts w:eastAsia="Times New Roman"/>
        </w:rPr>
        <w:t>p</w:t>
      </w:r>
      <w:r w:rsidRPr="39CBB6CD">
        <w:rPr>
          <w:rFonts w:eastAsia="Times New Roman"/>
        </w:rPr>
        <w:t xml:space="preserve">rogram </w:t>
      </w:r>
      <w:r w:rsidR="08CE5E3E" w:rsidRPr="39CBB6CD">
        <w:rPr>
          <w:rFonts w:eastAsia="Times New Roman"/>
        </w:rPr>
        <w:t>o</w:t>
      </w:r>
      <w:r w:rsidRPr="39CBB6CD">
        <w:rPr>
          <w:rFonts w:eastAsia="Times New Roman"/>
        </w:rPr>
        <w:t>perations</w:t>
      </w:r>
    </w:p>
    <w:p w14:paraId="49D979DB" w14:textId="5CA8D523" w:rsidR="001E53B7" w:rsidRPr="007B2261" w:rsidRDefault="001E53B7" w:rsidP="009525DE">
      <w:pPr>
        <w:pStyle w:val="CM41"/>
        <w:spacing w:after="120"/>
        <w:rPr>
          <w:rFonts w:asciiTheme="minorHAnsi" w:hAnsiTheme="minorHAnsi" w:cstheme="minorHAnsi"/>
          <w:color w:val="000000" w:themeColor="text1"/>
          <w:sz w:val="22"/>
          <w:szCs w:val="22"/>
        </w:rPr>
      </w:pPr>
      <w:r w:rsidRPr="007B2261">
        <w:rPr>
          <w:rFonts w:asciiTheme="minorHAnsi" w:hAnsiTheme="minorHAnsi" w:cstheme="minorHAnsi"/>
          <w:b/>
          <w:bCs/>
          <w:color w:val="000000"/>
          <w:sz w:val="22"/>
          <w:szCs w:val="22"/>
        </w:rPr>
        <w:t>3.Integration with One-stop Partners</w:t>
      </w:r>
      <w:r w:rsidR="009525DE">
        <w:rPr>
          <w:rFonts w:asciiTheme="minorHAnsi" w:hAnsiTheme="minorHAnsi" w:cstheme="minorHAnsi"/>
          <w:b/>
          <w:bCs/>
          <w:color w:val="000000"/>
          <w:sz w:val="22"/>
          <w:szCs w:val="22"/>
        </w:rPr>
        <w:t xml:space="preserve"> </w:t>
      </w:r>
      <w:r w:rsidRPr="007B2261">
        <w:rPr>
          <w:rFonts w:asciiTheme="minorHAnsi" w:hAnsiTheme="minorHAnsi" w:cstheme="minorHAnsi"/>
          <w:color w:val="000000" w:themeColor="text1"/>
          <w:sz w:val="22"/>
          <w:szCs w:val="22"/>
        </w:rPr>
        <w:t>Describe how the State eligible agency, as the entity responsible for meeting one-stop requirements under 34 CFR part 463, subpart J, carries out or delegates its required one-stop roles to eligible providers. Describe the applicable career services that are provided in the one-stop system. Describe how infrastructure costs are supported through State and local options.</w:t>
      </w:r>
    </w:p>
    <w:p w14:paraId="259813F0" w14:textId="6856DCDF" w:rsidR="0D95BAF4" w:rsidRDefault="1680A627" w:rsidP="0030370B">
      <w:pPr>
        <w:pStyle w:val="CM177"/>
        <w:spacing w:after="120" w:line="258" w:lineRule="atLeast"/>
        <w:rPr>
          <w:rFonts w:ascii="Calibri" w:eastAsia="Calibri" w:hAnsi="Calibri" w:cs="Calibri"/>
          <w:sz w:val="22"/>
          <w:szCs w:val="22"/>
        </w:rPr>
      </w:pPr>
      <w:r w:rsidRPr="2B95833E">
        <w:rPr>
          <w:rFonts w:ascii="Calibri" w:eastAsia="Calibri" w:hAnsi="Calibri" w:cs="Calibri"/>
          <w:sz w:val="22"/>
          <w:szCs w:val="22"/>
        </w:rPr>
        <w:t>During the 2019-2020 year, a</w:t>
      </w:r>
      <w:r w:rsidR="0D95BAF4" w:rsidRPr="2B95833E">
        <w:rPr>
          <w:rFonts w:ascii="Calibri" w:eastAsia="Calibri" w:hAnsi="Calibri" w:cs="Calibri"/>
          <w:sz w:val="22"/>
          <w:szCs w:val="22"/>
        </w:rPr>
        <w:t xml:space="preserve">ll Title II-funded partners </w:t>
      </w:r>
      <w:r w:rsidR="0E650E0C" w:rsidRPr="2B95833E">
        <w:rPr>
          <w:rFonts w:ascii="Calibri" w:eastAsia="Calibri" w:hAnsi="Calibri" w:cs="Calibri"/>
          <w:sz w:val="22"/>
          <w:szCs w:val="22"/>
        </w:rPr>
        <w:t xml:space="preserve">were bound by their signed </w:t>
      </w:r>
      <w:r w:rsidR="0D95BAF4" w:rsidRPr="2B95833E">
        <w:rPr>
          <w:rFonts w:ascii="Calibri" w:eastAsia="Calibri" w:hAnsi="Calibri" w:cs="Calibri"/>
          <w:sz w:val="22"/>
          <w:szCs w:val="22"/>
        </w:rPr>
        <w:t>assurances re</w:t>
      </w:r>
      <w:r w:rsidR="007A4FA1">
        <w:rPr>
          <w:rFonts w:ascii="Calibri" w:eastAsia="Calibri" w:hAnsi="Calibri" w:cs="Calibri"/>
          <w:sz w:val="22"/>
          <w:szCs w:val="22"/>
        </w:rPr>
        <w:t>garding</w:t>
      </w:r>
      <w:r w:rsidR="0D95BAF4" w:rsidRPr="2B95833E">
        <w:rPr>
          <w:rFonts w:ascii="Calibri" w:eastAsia="Calibri" w:hAnsi="Calibri" w:cs="Calibri"/>
          <w:sz w:val="22"/>
          <w:szCs w:val="22"/>
        </w:rPr>
        <w:t xml:space="preserve"> implementing the roles and responsibilities as a required partner in the one-stop delivery system as specified in 34 CFR § 463 415(b). Grantees also </w:t>
      </w:r>
      <w:r w:rsidR="6A643F88" w:rsidRPr="2B95833E">
        <w:rPr>
          <w:rFonts w:ascii="Calibri" w:eastAsia="Calibri" w:hAnsi="Calibri" w:cs="Calibri"/>
          <w:sz w:val="22"/>
          <w:szCs w:val="22"/>
        </w:rPr>
        <w:t>were</w:t>
      </w:r>
      <w:r w:rsidR="0D95BAF4" w:rsidRPr="2B95833E">
        <w:rPr>
          <w:rFonts w:ascii="Calibri" w:eastAsia="Calibri" w:hAnsi="Calibri" w:cs="Calibri"/>
          <w:sz w:val="22"/>
          <w:szCs w:val="22"/>
        </w:rPr>
        <w:t xml:space="preserve"> commi</w:t>
      </w:r>
      <w:r w:rsidR="18DD81B4" w:rsidRPr="2B95833E">
        <w:rPr>
          <w:rFonts w:ascii="Calibri" w:eastAsia="Calibri" w:hAnsi="Calibri" w:cs="Calibri"/>
          <w:sz w:val="22"/>
          <w:szCs w:val="22"/>
        </w:rPr>
        <w:t>t</w:t>
      </w:r>
      <w:r w:rsidR="0D95BAF4" w:rsidRPr="2B95833E">
        <w:rPr>
          <w:rFonts w:ascii="Calibri" w:eastAsia="Calibri" w:hAnsi="Calibri" w:cs="Calibri"/>
          <w:sz w:val="22"/>
          <w:szCs w:val="22"/>
        </w:rPr>
        <w:t>t</w:t>
      </w:r>
      <w:r w:rsidR="19089F31" w:rsidRPr="2B95833E">
        <w:rPr>
          <w:rFonts w:ascii="Calibri" w:eastAsia="Calibri" w:hAnsi="Calibri" w:cs="Calibri"/>
          <w:sz w:val="22"/>
          <w:szCs w:val="22"/>
        </w:rPr>
        <w:t>ed</w:t>
      </w:r>
      <w:r w:rsidR="0D95BAF4" w:rsidRPr="2B95833E">
        <w:rPr>
          <w:rFonts w:ascii="Calibri" w:eastAsia="Calibri" w:hAnsi="Calibri" w:cs="Calibri"/>
          <w:sz w:val="22"/>
          <w:szCs w:val="22"/>
        </w:rPr>
        <w:t xml:space="preserve"> to complying with the requirements and expectations set forth in Wisconsin’s</w:t>
      </w:r>
      <w:r w:rsidR="36DB1CEF" w:rsidRPr="2B95833E">
        <w:rPr>
          <w:rFonts w:ascii="Calibri" w:eastAsia="Calibri" w:hAnsi="Calibri" w:cs="Calibri"/>
          <w:sz w:val="22"/>
          <w:szCs w:val="22"/>
        </w:rPr>
        <w:t xml:space="preserve"> </w:t>
      </w:r>
      <w:r w:rsidR="007A4FA1">
        <w:rPr>
          <w:rFonts w:ascii="Calibri" w:eastAsia="Calibri" w:hAnsi="Calibri" w:cs="Calibri"/>
          <w:sz w:val="22"/>
          <w:szCs w:val="22"/>
        </w:rPr>
        <w:t xml:space="preserve">WIOA </w:t>
      </w:r>
      <w:r w:rsidR="0D95BAF4" w:rsidRPr="2B95833E">
        <w:rPr>
          <w:rFonts w:ascii="Calibri" w:eastAsia="Calibri" w:hAnsi="Calibri" w:cs="Calibri"/>
          <w:sz w:val="22"/>
          <w:szCs w:val="22"/>
        </w:rPr>
        <w:t xml:space="preserve">State Plan.  </w:t>
      </w:r>
      <w:r w:rsidR="101A0FC3" w:rsidRPr="2B95833E">
        <w:rPr>
          <w:rFonts w:ascii="Calibri" w:eastAsia="Calibri" w:hAnsi="Calibri" w:cs="Calibri"/>
          <w:sz w:val="22"/>
          <w:szCs w:val="22"/>
        </w:rPr>
        <w:t>During the program year</w:t>
      </w:r>
      <w:r w:rsidR="007A4FA1">
        <w:rPr>
          <w:rFonts w:ascii="Calibri" w:eastAsia="Calibri" w:hAnsi="Calibri" w:cs="Calibri"/>
          <w:sz w:val="22"/>
          <w:szCs w:val="22"/>
        </w:rPr>
        <w:t>,</w:t>
      </w:r>
      <w:r w:rsidR="101A0FC3" w:rsidRPr="2B95833E">
        <w:rPr>
          <w:rFonts w:ascii="Calibri" w:eastAsia="Calibri" w:hAnsi="Calibri" w:cs="Calibri"/>
          <w:sz w:val="22"/>
          <w:szCs w:val="22"/>
        </w:rPr>
        <w:t xml:space="preserve"> </w:t>
      </w:r>
      <w:r w:rsidR="71E348E1" w:rsidRPr="2B95833E">
        <w:rPr>
          <w:rFonts w:ascii="Calibri" w:eastAsia="Calibri" w:hAnsi="Calibri" w:cs="Calibri"/>
          <w:sz w:val="22"/>
          <w:szCs w:val="22"/>
        </w:rPr>
        <w:t xml:space="preserve">Title II programs </w:t>
      </w:r>
      <w:r w:rsidR="64E42160" w:rsidRPr="2B95833E">
        <w:rPr>
          <w:rFonts w:ascii="Calibri" w:eastAsia="Calibri" w:hAnsi="Calibri" w:cs="Calibri"/>
          <w:sz w:val="22"/>
          <w:szCs w:val="22"/>
        </w:rPr>
        <w:t>were routinely involved in discussions, planning and operations with their One</w:t>
      </w:r>
      <w:r w:rsidR="007A4FA1">
        <w:rPr>
          <w:rFonts w:ascii="Calibri" w:eastAsia="Calibri" w:hAnsi="Calibri" w:cs="Calibri"/>
          <w:sz w:val="22"/>
          <w:szCs w:val="22"/>
        </w:rPr>
        <w:t>-</w:t>
      </w:r>
      <w:r w:rsidR="64E42160" w:rsidRPr="2B95833E">
        <w:rPr>
          <w:rFonts w:ascii="Calibri" w:eastAsia="Calibri" w:hAnsi="Calibri" w:cs="Calibri"/>
          <w:sz w:val="22"/>
          <w:szCs w:val="22"/>
        </w:rPr>
        <w:t>Stop partners,</w:t>
      </w:r>
      <w:r w:rsidR="04E77DB1" w:rsidRPr="2B95833E">
        <w:rPr>
          <w:rFonts w:ascii="Calibri" w:eastAsia="Calibri" w:hAnsi="Calibri" w:cs="Calibri"/>
          <w:sz w:val="22"/>
          <w:szCs w:val="22"/>
        </w:rPr>
        <w:t xml:space="preserve"> and follow</w:t>
      </w:r>
      <w:r w:rsidR="00F10707">
        <w:rPr>
          <w:rFonts w:ascii="Calibri" w:eastAsia="Calibri" w:hAnsi="Calibri" w:cs="Calibri"/>
          <w:sz w:val="22"/>
          <w:szCs w:val="22"/>
        </w:rPr>
        <w:t>ed</w:t>
      </w:r>
      <w:r w:rsidR="04E77DB1" w:rsidRPr="2B95833E">
        <w:rPr>
          <w:rFonts w:ascii="Calibri" w:eastAsia="Calibri" w:hAnsi="Calibri" w:cs="Calibri"/>
          <w:sz w:val="22"/>
          <w:szCs w:val="22"/>
        </w:rPr>
        <w:t xml:space="preserve"> the Wisconsin Jo</w:t>
      </w:r>
      <w:r w:rsidR="04E77DB1" w:rsidRPr="2B95833E">
        <w:rPr>
          <w:rFonts w:ascii="Calibri" w:eastAsia="Calibri" w:hAnsi="Calibri" w:cs="Calibri"/>
          <w:color w:val="000000" w:themeColor="text1"/>
          <w:sz w:val="22"/>
          <w:szCs w:val="22"/>
        </w:rPr>
        <w:t xml:space="preserve">b Center Guidance (released by Wisconsin’s Department of Workforce Development in February 2017).  WIOA partners also participated in a </w:t>
      </w:r>
      <w:r w:rsidR="04E77DB1" w:rsidRPr="2B95833E">
        <w:rPr>
          <w:rFonts w:ascii="Calibri" w:eastAsia="Calibri" w:hAnsi="Calibri" w:cs="Calibri"/>
          <w:sz w:val="22"/>
          <w:szCs w:val="22"/>
        </w:rPr>
        <w:t>statewide WIOA Roundtable conference</w:t>
      </w:r>
      <w:r w:rsidR="00F10707">
        <w:rPr>
          <w:rFonts w:ascii="Calibri" w:eastAsia="Calibri" w:hAnsi="Calibri" w:cs="Calibri"/>
          <w:sz w:val="22"/>
          <w:szCs w:val="22"/>
        </w:rPr>
        <w:t xml:space="preserve"> in November 2019</w:t>
      </w:r>
      <w:r w:rsidR="04E77DB1" w:rsidRPr="2B95833E">
        <w:rPr>
          <w:rFonts w:ascii="Calibri" w:eastAsia="Calibri" w:hAnsi="Calibri" w:cs="Calibri"/>
          <w:sz w:val="22"/>
          <w:szCs w:val="22"/>
        </w:rPr>
        <w:t xml:space="preserve"> that included best WIOA partner practices from around the state </w:t>
      </w:r>
      <w:r w:rsidR="00F10707">
        <w:rPr>
          <w:rFonts w:ascii="Calibri" w:eastAsia="Calibri" w:hAnsi="Calibri" w:cs="Calibri"/>
          <w:sz w:val="22"/>
          <w:szCs w:val="22"/>
        </w:rPr>
        <w:t>and</w:t>
      </w:r>
      <w:r w:rsidR="04E77DB1" w:rsidRPr="2B95833E">
        <w:rPr>
          <w:rFonts w:ascii="Calibri" w:eastAsia="Calibri" w:hAnsi="Calibri" w:cs="Calibri"/>
          <w:sz w:val="22"/>
          <w:szCs w:val="22"/>
        </w:rPr>
        <w:t xml:space="preserve"> facilitated meetings for One-Stop partners for every WDA region in the state. These discussions and professional development sessions </w:t>
      </w:r>
      <w:r w:rsidR="007554E5">
        <w:rPr>
          <w:rFonts w:ascii="Calibri" w:eastAsia="Calibri" w:hAnsi="Calibri" w:cs="Calibri"/>
          <w:sz w:val="22"/>
          <w:szCs w:val="22"/>
        </w:rPr>
        <w:t xml:space="preserve">were </w:t>
      </w:r>
      <w:r w:rsidR="04E77DB1" w:rsidRPr="2B95833E">
        <w:rPr>
          <w:rFonts w:ascii="Calibri" w:eastAsia="Calibri" w:hAnsi="Calibri" w:cs="Calibri"/>
          <w:sz w:val="22"/>
          <w:szCs w:val="22"/>
        </w:rPr>
        <w:t>some of the highest-rated sessions</w:t>
      </w:r>
      <w:r w:rsidR="0046505D">
        <w:rPr>
          <w:rFonts w:ascii="Calibri" w:eastAsia="Calibri" w:hAnsi="Calibri" w:cs="Calibri"/>
          <w:sz w:val="22"/>
          <w:szCs w:val="22"/>
        </w:rPr>
        <w:t xml:space="preserve"> and</w:t>
      </w:r>
      <w:r w:rsidR="04E77DB1" w:rsidRPr="2B95833E">
        <w:rPr>
          <w:rFonts w:ascii="Calibri" w:eastAsia="Calibri" w:hAnsi="Calibri" w:cs="Calibri"/>
          <w:sz w:val="22"/>
          <w:szCs w:val="22"/>
        </w:rPr>
        <w:t xml:space="preserve"> were either led by local Title II leaders and/or specifically focused on Title I/Title II cooperative programming.  </w:t>
      </w:r>
    </w:p>
    <w:p w14:paraId="4B0C32EA" w14:textId="596A9EE5" w:rsidR="0D95BAF4" w:rsidRDefault="00AC1247" w:rsidP="0030370B">
      <w:pPr>
        <w:pStyle w:val="CM177"/>
        <w:spacing w:after="120" w:line="258" w:lineRule="atLeast"/>
        <w:rPr>
          <w:rFonts w:ascii="Calibri" w:eastAsia="Calibri" w:hAnsi="Calibri" w:cs="Calibri"/>
          <w:sz w:val="22"/>
          <w:szCs w:val="22"/>
        </w:rPr>
      </w:pPr>
      <w:r w:rsidRPr="00AC1247">
        <w:rPr>
          <w:rFonts w:ascii="Calibri" w:eastAsia="Calibri" w:hAnsi="Calibri" w:cs="Calibri"/>
          <w:sz w:val="22"/>
          <w:szCs w:val="22"/>
        </w:rPr>
        <w:t>Due to COVID-19, Wisconsin’s job centers and most Title II programming went totally virtual, which this led to some early discussion on how this might affect infrastructure contributions (including the ratio of in-kind to cash support). There were limited changes made in 2019-2020, with many to be captured in the 2020-2021 program year.</w:t>
      </w:r>
      <w:r w:rsidR="002510C2">
        <w:rPr>
          <w:rFonts w:ascii="Calibri" w:eastAsia="Calibri" w:hAnsi="Calibri" w:cs="Calibri"/>
          <w:sz w:val="22"/>
          <w:szCs w:val="22"/>
        </w:rPr>
        <w:t xml:space="preserve"> T</w:t>
      </w:r>
      <w:r w:rsidR="38A3C62E" w:rsidRPr="2B95833E">
        <w:rPr>
          <w:rFonts w:ascii="Calibri" w:eastAsia="Calibri" w:hAnsi="Calibri" w:cs="Calibri"/>
          <w:sz w:val="22"/>
          <w:szCs w:val="22"/>
        </w:rPr>
        <w:t xml:space="preserve">hese partners </w:t>
      </w:r>
      <w:r w:rsidR="388E1755" w:rsidRPr="2B95833E">
        <w:rPr>
          <w:rFonts w:ascii="Calibri" w:eastAsia="Calibri" w:hAnsi="Calibri" w:cs="Calibri"/>
          <w:sz w:val="22"/>
          <w:szCs w:val="22"/>
        </w:rPr>
        <w:t xml:space="preserve">also </w:t>
      </w:r>
      <w:r w:rsidR="64E42160" w:rsidRPr="2B95833E">
        <w:rPr>
          <w:rFonts w:ascii="Calibri" w:eastAsia="Calibri" w:hAnsi="Calibri" w:cs="Calibri"/>
          <w:sz w:val="22"/>
          <w:szCs w:val="22"/>
        </w:rPr>
        <w:t>participated in</w:t>
      </w:r>
      <w:r w:rsidR="502F1926" w:rsidRPr="2B95833E">
        <w:rPr>
          <w:rFonts w:ascii="Calibri" w:eastAsia="Calibri" w:hAnsi="Calibri" w:cs="Calibri"/>
          <w:sz w:val="22"/>
          <w:szCs w:val="22"/>
        </w:rPr>
        <w:t xml:space="preserve"> WTCS-led discussions </w:t>
      </w:r>
      <w:r w:rsidR="003D4BC5">
        <w:rPr>
          <w:rFonts w:ascii="Calibri" w:eastAsia="Calibri" w:hAnsi="Calibri" w:cs="Calibri"/>
          <w:sz w:val="22"/>
          <w:szCs w:val="22"/>
        </w:rPr>
        <w:t>with</w:t>
      </w:r>
      <w:r w:rsidR="502F1926" w:rsidRPr="2B95833E">
        <w:rPr>
          <w:rFonts w:ascii="Calibri" w:eastAsia="Calibri" w:hAnsi="Calibri" w:cs="Calibri"/>
          <w:sz w:val="22"/>
          <w:szCs w:val="22"/>
        </w:rPr>
        <w:t xml:space="preserve"> topics </w:t>
      </w:r>
      <w:r w:rsidR="4FD949CB" w:rsidRPr="2B95833E">
        <w:rPr>
          <w:rFonts w:ascii="Calibri" w:eastAsia="Calibri" w:hAnsi="Calibri" w:cs="Calibri"/>
          <w:sz w:val="22"/>
          <w:szCs w:val="22"/>
        </w:rPr>
        <w:t>including</w:t>
      </w:r>
      <w:r w:rsidR="003D4BC5">
        <w:rPr>
          <w:rFonts w:ascii="Calibri" w:eastAsia="Calibri" w:hAnsi="Calibri" w:cs="Calibri"/>
          <w:sz w:val="22"/>
          <w:szCs w:val="22"/>
        </w:rPr>
        <w:t xml:space="preserve"> </w:t>
      </w:r>
      <w:r w:rsidR="4FD949CB" w:rsidRPr="2B95833E">
        <w:rPr>
          <w:rFonts w:ascii="Calibri" w:eastAsia="Calibri" w:hAnsi="Calibri" w:cs="Calibri"/>
          <w:sz w:val="22"/>
          <w:szCs w:val="22"/>
        </w:rPr>
        <w:t>the</w:t>
      </w:r>
      <w:r w:rsidR="502F1926" w:rsidRPr="2B95833E">
        <w:rPr>
          <w:rFonts w:ascii="Calibri" w:eastAsia="Calibri" w:hAnsi="Calibri" w:cs="Calibri"/>
          <w:sz w:val="22"/>
          <w:szCs w:val="22"/>
        </w:rPr>
        <w:t xml:space="preserve"> provision of distance education</w:t>
      </w:r>
      <w:r w:rsidR="27AEF097" w:rsidRPr="2B95833E">
        <w:rPr>
          <w:rFonts w:ascii="Calibri" w:eastAsia="Calibri" w:hAnsi="Calibri" w:cs="Calibri"/>
          <w:sz w:val="22"/>
          <w:szCs w:val="22"/>
        </w:rPr>
        <w:t xml:space="preserve"> to support workforce/education clients</w:t>
      </w:r>
      <w:r w:rsidR="502F1926" w:rsidRPr="2B95833E">
        <w:rPr>
          <w:rFonts w:ascii="Calibri" w:eastAsia="Calibri" w:hAnsi="Calibri" w:cs="Calibri"/>
          <w:sz w:val="22"/>
          <w:szCs w:val="22"/>
        </w:rPr>
        <w:t xml:space="preserve">, the options for capturing measurable skill gain, </w:t>
      </w:r>
      <w:r w:rsidR="00100C42">
        <w:rPr>
          <w:rFonts w:ascii="Calibri" w:eastAsia="Calibri" w:hAnsi="Calibri" w:cs="Calibri"/>
          <w:sz w:val="22"/>
          <w:szCs w:val="22"/>
        </w:rPr>
        <w:t xml:space="preserve">options </w:t>
      </w:r>
      <w:r w:rsidR="3E80BC02" w:rsidRPr="2B95833E">
        <w:rPr>
          <w:rFonts w:ascii="Calibri" w:eastAsia="Calibri" w:hAnsi="Calibri" w:cs="Calibri"/>
          <w:sz w:val="22"/>
          <w:szCs w:val="22"/>
        </w:rPr>
        <w:t xml:space="preserve">for helping education/workforce clients access </w:t>
      </w:r>
      <w:r w:rsidR="00100C42">
        <w:rPr>
          <w:rFonts w:ascii="Calibri" w:eastAsia="Calibri" w:hAnsi="Calibri" w:cs="Calibri"/>
          <w:sz w:val="22"/>
          <w:szCs w:val="22"/>
        </w:rPr>
        <w:t>free/</w:t>
      </w:r>
      <w:r w:rsidR="3E80BC02" w:rsidRPr="2B95833E">
        <w:rPr>
          <w:rFonts w:ascii="Calibri" w:eastAsia="Calibri" w:hAnsi="Calibri" w:cs="Calibri"/>
          <w:sz w:val="22"/>
          <w:szCs w:val="22"/>
        </w:rPr>
        <w:t xml:space="preserve">low-cost wireless and </w:t>
      </w:r>
      <w:r w:rsidR="00100C42">
        <w:rPr>
          <w:rFonts w:ascii="Calibri" w:eastAsia="Calibri" w:hAnsi="Calibri" w:cs="Calibri"/>
          <w:sz w:val="22"/>
          <w:szCs w:val="22"/>
        </w:rPr>
        <w:t>free/</w:t>
      </w:r>
      <w:r w:rsidR="3E80BC02" w:rsidRPr="2B95833E">
        <w:rPr>
          <w:rFonts w:ascii="Calibri" w:eastAsia="Calibri" w:hAnsi="Calibri" w:cs="Calibri"/>
          <w:sz w:val="22"/>
          <w:szCs w:val="22"/>
        </w:rPr>
        <w:t xml:space="preserve">low-cost </w:t>
      </w:r>
      <w:r w:rsidR="00100C42">
        <w:rPr>
          <w:rFonts w:ascii="Calibri" w:eastAsia="Calibri" w:hAnsi="Calibri" w:cs="Calibri"/>
          <w:sz w:val="22"/>
          <w:szCs w:val="22"/>
        </w:rPr>
        <w:t>technology</w:t>
      </w:r>
      <w:r w:rsidR="3E80BC02" w:rsidRPr="2B95833E">
        <w:rPr>
          <w:rFonts w:ascii="Calibri" w:eastAsia="Calibri" w:hAnsi="Calibri" w:cs="Calibri"/>
          <w:sz w:val="22"/>
          <w:szCs w:val="22"/>
        </w:rPr>
        <w:t xml:space="preserve">, </w:t>
      </w:r>
      <w:r w:rsidR="502F1926" w:rsidRPr="2B95833E">
        <w:rPr>
          <w:rFonts w:ascii="Calibri" w:eastAsia="Calibri" w:hAnsi="Calibri" w:cs="Calibri"/>
          <w:sz w:val="22"/>
          <w:szCs w:val="22"/>
        </w:rPr>
        <w:t xml:space="preserve">and </w:t>
      </w:r>
      <w:r w:rsidR="1CE033CF" w:rsidRPr="2B95833E">
        <w:rPr>
          <w:rFonts w:ascii="Calibri" w:eastAsia="Calibri" w:hAnsi="Calibri" w:cs="Calibri"/>
          <w:sz w:val="22"/>
          <w:szCs w:val="22"/>
        </w:rPr>
        <w:t xml:space="preserve">supporting occupational instruction </w:t>
      </w:r>
      <w:r w:rsidR="73241380" w:rsidRPr="2B95833E">
        <w:rPr>
          <w:rFonts w:ascii="Calibri" w:eastAsia="Calibri" w:hAnsi="Calibri" w:cs="Calibri"/>
          <w:sz w:val="22"/>
          <w:szCs w:val="22"/>
        </w:rPr>
        <w:t xml:space="preserve">and credentialling </w:t>
      </w:r>
      <w:r w:rsidR="1CE033CF" w:rsidRPr="2B95833E">
        <w:rPr>
          <w:rFonts w:ascii="Calibri" w:eastAsia="Calibri" w:hAnsi="Calibri" w:cs="Calibri"/>
          <w:sz w:val="22"/>
          <w:szCs w:val="22"/>
        </w:rPr>
        <w:t>through virtual adult ed</w:t>
      </w:r>
      <w:r w:rsidR="00100C42">
        <w:rPr>
          <w:rFonts w:ascii="Calibri" w:eastAsia="Calibri" w:hAnsi="Calibri" w:cs="Calibri"/>
          <w:sz w:val="22"/>
          <w:szCs w:val="22"/>
        </w:rPr>
        <w:t>ucation</w:t>
      </w:r>
      <w:r w:rsidR="1CE033CF" w:rsidRPr="2B95833E">
        <w:rPr>
          <w:rFonts w:ascii="Calibri" w:eastAsia="Calibri" w:hAnsi="Calibri" w:cs="Calibri"/>
          <w:sz w:val="22"/>
          <w:szCs w:val="22"/>
        </w:rPr>
        <w:t xml:space="preserve"> and ELL</w:t>
      </w:r>
      <w:r w:rsidR="00100C42">
        <w:rPr>
          <w:rFonts w:ascii="Calibri" w:eastAsia="Calibri" w:hAnsi="Calibri" w:cs="Calibri"/>
          <w:sz w:val="22"/>
          <w:szCs w:val="22"/>
        </w:rPr>
        <w:t xml:space="preserve">, including </w:t>
      </w:r>
      <w:r w:rsidR="502F1926" w:rsidRPr="2B95833E">
        <w:rPr>
          <w:rFonts w:ascii="Calibri" w:eastAsia="Calibri" w:hAnsi="Calibri" w:cs="Calibri"/>
          <w:sz w:val="22"/>
          <w:szCs w:val="22"/>
        </w:rPr>
        <w:t>IET</w:t>
      </w:r>
      <w:r w:rsidR="115F0D6A" w:rsidRPr="2B95833E">
        <w:rPr>
          <w:rFonts w:ascii="Calibri" w:eastAsia="Calibri" w:hAnsi="Calibri" w:cs="Calibri"/>
          <w:sz w:val="22"/>
          <w:szCs w:val="22"/>
        </w:rPr>
        <w:t xml:space="preserve"> </w:t>
      </w:r>
      <w:r w:rsidR="00100C42">
        <w:rPr>
          <w:rFonts w:ascii="Calibri" w:eastAsia="Calibri" w:hAnsi="Calibri" w:cs="Calibri"/>
          <w:sz w:val="22"/>
          <w:szCs w:val="22"/>
        </w:rPr>
        <w:t xml:space="preserve">and IELCE </w:t>
      </w:r>
      <w:r w:rsidR="115F0D6A" w:rsidRPr="2B95833E">
        <w:rPr>
          <w:rFonts w:ascii="Calibri" w:eastAsia="Calibri" w:hAnsi="Calibri" w:cs="Calibri"/>
          <w:sz w:val="22"/>
          <w:szCs w:val="22"/>
        </w:rPr>
        <w:t xml:space="preserve">programs. </w:t>
      </w:r>
      <w:r w:rsidR="7EEFE4C0" w:rsidRPr="2B95833E">
        <w:rPr>
          <w:rFonts w:ascii="Calibri" w:eastAsia="Calibri" w:hAnsi="Calibri" w:cs="Calibri"/>
          <w:sz w:val="22"/>
          <w:szCs w:val="22"/>
        </w:rPr>
        <w:t xml:space="preserve"> There was </w:t>
      </w:r>
      <w:r w:rsidR="00B94C40">
        <w:rPr>
          <w:rFonts w:ascii="Calibri" w:eastAsia="Calibri" w:hAnsi="Calibri" w:cs="Calibri"/>
          <w:sz w:val="22"/>
          <w:szCs w:val="22"/>
        </w:rPr>
        <w:t xml:space="preserve">ongoing </w:t>
      </w:r>
      <w:r w:rsidR="7EEFE4C0" w:rsidRPr="2B95833E">
        <w:rPr>
          <w:rFonts w:ascii="Calibri" w:eastAsia="Calibri" w:hAnsi="Calibri" w:cs="Calibri"/>
          <w:sz w:val="22"/>
          <w:szCs w:val="22"/>
        </w:rPr>
        <w:t xml:space="preserve">discussion </w:t>
      </w:r>
      <w:r w:rsidR="00B94C40">
        <w:rPr>
          <w:rFonts w:ascii="Calibri" w:eastAsia="Calibri" w:hAnsi="Calibri" w:cs="Calibri"/>
          <w:sz w:val="22"/>
          <w:szCs w:val="22"/>
        </w:rPr>
        <w:t>regarding</w:t>
      </w:r>
      <w:r w:rsidR="7EEFE4C0" w:rsidRPr="2B95833E">
        <w:rPr>
          <w:rFonts w:ascii="Calibri" w:eastAsia="Calibri" w:hAnsi="Calibri" w:cs="Calibri"/>
          <w:sz w:val="22"/>
          <w:szCs w:val="22"/>
        </w:rPr>
        <w:t xml:space="preserve"> how to</w:t>
      </w:r>
      <w:r w:rsidR="00B94C40">
        <w:rPr>
          <w:rFonts w:ascii="Calibri" w:eastAsia="Calibri" w:hAnsi="Calibri" w:cs="Calibri"/>
          <w:sz w:val="22"/>
          <w:szCs w:val="22"/>
        </w:rPr>
        <w:t xml:space="preserve"> </w:t>
      </w:r>
      <w:r w:rsidR="2D5BFF6E" w:rsidRPr="2B95833E">
        <w:rPr>
          <w:rFonts w:ascii="Calibri" w:eastAsia="Calibri" w:hAnsi="Calibri" w:cs="Calibri"/>
          <w:sz w:val="22"/>
          <w:szCs w:val="22"/>
        </w:rPr>
        <w:t xml:space="preserve">further adapt </w:t>
      </w:r>
      <w:r w:rsidR="7EEFE4C0" w:rsidRPr="2B95833E">
        <w:rPr>
          <w:rFonts w:ascii="Calibri" w:eastAsia="Calibri" w:hAnsi="Calibri" w:cs="Calibri"/>
          <w:sz w:val="22"/>
          <w:szCs w:val="22"/>
        </w:rPr>
        <w:t xml:space="preserve">programming and services </w:t>
      </w:r>
      <w:r w:rsidR="01BB4F0C" w:rsidRPr="2B95833E">
        <w:rPr>
          <w:rFonts w:ascii="Calibri" w:eastAsia="Calibri" w:hAnsi="Calibri" w:cs="Calibri"/>
          <w:sz w:val="22"/>
          <w:szCs w:val="22"/>
        </w:rPr>
        <w:t>for</w:t>
      </w:r>
      <w:r w:rsidR="7EEFE4C0" w:rsidRPr="2B95833E">
        <w:rPr>
          <w:rFonts w:ascii="Calibri" w:eastAsia="Calibri" w:hAnsi="Calibri" w:cs="Calibri"/>
          <w:sz w:val="22"/>
          <w:szCs w:val="22"/>
        </w:rPr>
        <w:t xml:space="preserve"> the upcoming instructional terms.</w:t>
      </w:r>
      <w:r w:rsidR="40DD3601" w:rsidRPr="2B95833E">
        <w:rPr>
          <w:rFonts w:ascii="Calibri" w:eastAsia="Calibri" w:hAnsi="Calibri" w:cs="Calibri"/>
          <w:sz w:val="22"/>
          <w:szCs w:val="22"/>
        </w:rPr>
        <w:t xml:space="preserve">  </w:t>
      </w:r>
    </w:p>
    <w:p w14:paraId="4628AC2A" w14:textId="0DC158BB" w:rsidR="74C8E388" w:rsidRDefault="089EE734" w:rsidP="0030370B">
      <w:pPr>
        <w:spacing w:after="120"/>
        <w:rPr>
          <w:rFonts w:ascii="Calibri" w:eastAsia="Calibri" w:hAnsi="Calibri" w:cs="Calibri"/>
        </w:rPr>
      </w:pPr>
      <w:r w:rsidRPr="2B95833E">
        <w:rPr>
          <w:rFonts w:ascii="Calibri" w:eastAsia="Calibri" w:hAnsi="Calibri" w:cs="Calibri"/>
        </w:rPr>
        <w:t xml:space="preserve">Regarding provision of Career/Training Services, </w:t>
      </w:r>
      <w:r w:rsidR="0D95BAF4" w:rsidRPr="2B95833E">
        <w:rPr>
          <w:rFonts w:ascii="Calibri" w:eastAsia="Calibri" w:hAnsi="Calibri" w:cs="Calibri"/>
        </w:rPr>
        <w:t xml:space="preserve">Wisconsin’s </w:t>
      </w:r>
      <w:r w:rsidR="002510C2">
        <w:rPr>
          <w:rFonts w:ascii="Calibri" w:eastAsia="Calibri" w:hAnsi="Calibri" w:cs="Calibri"/>
        </w:rPr>
        <w:t>funded</w:t>
      </w:r>
      <w:r w:rsidR="0D95BAF4" w:rsidRPr="2B95833E">
        <w:rPr>
          <w:rFonts w:ascii="Calibri" w:eastAsia="Calibri" w:hAnsi="Calibri" w:cs="Calibri"/>
        </w:rPr>
        <w:t xml:space="preserve"> Title II providers </w:t>
      </w:r>
      <w:r w:rsidR="58AB2AFB" w:rsidRPr="2B95833E">
        <w:rPr>
          <w:rFonts w:ascii="Calibri" w:eastAsia="Calibri" w:hAnsi="Calibri" w:cs="Calibri"/>
        </w:rPr>
        <w:t xml:space="preserve">continued </w:t>
      </w:r>
      <w:r w:rsidR="0D95BAF4" w:rsidRPr="2B95833E">
        <w:rPr>
          <w:rFonts w:ascii="Calibri" w:eastAsia="Calibri" w:hAnsi="Calibri" w:cs="Calibri"/>
        </w:rPr>
        <w:t xml:space="preserve">providing referral </w:t>
      </w:r>
      <w:r w:rsidR="00D52B57">
        <w:rPr>
          <w:rFonts w:ascii="Calibri" w:eastAsia="Calibri" w:hAnsi="Calibri" w:cs="Calibri"/>
        </w:rPr>
        <w:t>and options to participants</w:t>
      </w:r>
      <w:r w:rsidR="0D95BAF4" w:rsidRPr="2B95833E">
        <w:rPr>
          <w:rFonts w:ascii="Calibri" w:eastAsia="Calibri" w:hAnsi="Calibri" w:cs="Calibri"/>
        </w:rPr>
        <w:t xml:space="preserve">, </w:t>
      </w:r>
      <w:r w:rsidR="00D52B57">
        <w:rPr>
          <w:rFonts w:ascii="Calibri" w:eastAsia="Calibri" w:hAnsi="Calibri" w:cs="Calibri"/>
        </w:rPr>
        <w:t xml:space="preserve">a </w:t>
      </w:r>
      <w:r w:rsidR="0D95BAF4" w:rsidRPr="2B95833E">
        <w:rPr>
          <w:rFonts w:ascii="Calibri" w:eastAsia="Calibri" w:hAnsi="Calibri" w:cs="Calibri"/>
        </w:rPr>
        <w:t xml:space="preserve">public listing of program cost and outcome information, service referrals, and the AE/ELL portion of integrated career pathway bridge programming. </w:t>
      </w:r>
      <w:r w:rsidR="00D04724">
        <w:rPr>
          <w:rFonts w:ascii="Calibri" w:eastAsia="Calibri" w:hAnsi="Calibri" w:cs="Calibri"/>
        </w:rPr>
        <w:t>Throughout the pandemic local partn</w:t>
      </w:r>
      <w:r w:rsidR="6BCA5AAE" w:rsidRPr="2B95833E">
        <w:rPr>
          <w:rFonts w:ascii="Calibri" w:eastAsia="Calibri" w:hAnsi="Calibri" w:cs="Calibri"/>
        </w:rPr>
        <w:t>er</w:t>
      </w:r>
      <w:r w:rsidR="00EF4CD4">
        <w:rPr>
          <w:rFonts w:ascii="Calibri" w:eastAsia="Calibri" w:hAnsi="Calibri" w:cs="Calibri"/>
        </w:rPr>
        <w:t xml:space="preserve"> response included </w:t>
      </w:r>
      <w:r w:rsidR="2D778A55" w:rsidRPr="2B95833E">
        <w:rPr>
          <w:rFonts w:ascii="Calibri" w:eastAsia="Calibri" w:hAnsi="Calibri" w:cs="Calibri"/>
        </w:rPr>
        <w:t>AE/ELL coursewor</w:t>
      </w:r>
      <w:r w:rsidR="00C04539">
        <w:rPr>
          <w:rFonts w:ascii="Calibri" w:eastAsia="Calibri" w:hAnsi="Calibri" w:cs="Calibri"/>
        </w:rPr>
        <w:t>k in</w:t>
      </w:r>
      <w:r w:rsidR="2D778A55" w:rsidRPr="2B95833E">
        <w:rPr>
          <w:rFonts w:ascii="Calibri" w:eastAsia="Calibri" w:hAnsi="Calibri" w:cs="Calibri"/>
        </w:rPr>
        <w:t xml:space="preserve"> online delivery platforms, </w:t>
      </w:r>
      <w:r w:rsidR="125A4C58" w:rsidRPr="2B95833E">
        <w:rPr>
          <w:rFonts w:ascii="Calibri" w:eastAsia="Calibri" w:hAnsi="Calibri" w:cs="Calibri"/>
        </w:rPr>
        <w:t>participating in Rapid Response efforts</w:t>
      </w:r>
      <w:r w:rsidR="00C04539">
        <w:rPr>
          <w:rFonts w:ascii="Calibri" w:eastAsia="Calibri" w:hAnsi="Calibri" w:cs="Calibri"/>
        </w:rPr>
        <w:t xml:space="preserve"> due to employer </w:t>
      </w:r>
      <w:r w:rsidR="00C04539">
        <w:rPr>
          <w:rFonts w:ascii="Calibri" w:eastAsia="Calibri" w:hAnsi="Calibri" w:cs="Calibri"/>
        </w:rPr>
        <w:lastRenderedPageBreak/>
        <w:t xml:space="preserve">layoff/downsizing with </w:t>
      </w:r>
      <w:r w:rsidR="125A4C58" w:rsidRPr="2B95833E">
        <w:rPr>
          <w:rFonts w:ascii="Calibri" w:eastAsia="Calibri" w:hAnsi="Calibri" w:cs="Calibri"/>
        </w:rPr>
        <w:t xml:space="preserve">their </w:t>
      </w:r>
      <w:r w:rsidR="00C04539">
        <w:rPr>
          <w:rFonts w:ascii="Calibri" w:eastAsia="Calibri" w:hAnsi="Calibri" w:cs="Calibri"/>
        </w:rPr>
        <w:t xml:space="preserve">job centers, </w:t>
      </w:r>
      <w:r w:rsidR="125A4C58" w:rsidRPr="2B95833E">
        <w:rPr>
          <w:rFonts w:ascii="Calibri" w:eastAsia="Calibri" w:hAnsi="Calibri" w:cs="Calibri"/>
        </w:rPr>
        <w:t>colleges and in the</w:t>
      </w:r>
      <w:r w:rsidR="00C04539">
        <w:rPr>
          <w:rFonts w:ascii="Calibri" w:eastAsia="Calibri" w:hAnsi="Calibri" w:cs="Calibri"/>
        </w:rPr>
        <w:t xml:space="preserve"> impacted</w:t>
      </w:r>
      <w:r w:rsidR="01302156" w:rsidRPr="2B95833E">
        <w:rPr>
          <w:rFonts w:ascii="Calibri" w:eastAsia="Calibri" w:hAnsi="Calibri" w:cs="Calibri"/>
        </w:rPr>
        <w:t xml:space="preserve"> communities, adjusting marketing and recruitment efforts to address</w:t>
      </w:r>
      <w:r w:rsidR="69A65B83" w:rsidRPr="2B95833E">
        <w:rPr>
          <w:rFonts w:ascii="Calibri" w:eastAsia="Calibri" w:hAnsi="Calibri" w:cs="Calibri"/>
        </w:rPr>
        <w:t xml:space="preserve"> </w:t>
      </w:r>
      <w:r w:rsidR="01302156" w:rsidRPr="2B95833E">
        <w:rPr>
          <w:rFonts w:ascii="Calibri" w:eastAsia="Calibri" w:hAnsi="Calibri" w:cs="Calibri"/>
        </w:rPr>
        <w:t>dramatic change</w:t>
      </w:r>
      <w:r w:rsidR="0E8EA988" w:rsidRPr="2B95833E">
        <w:rPr>
          <w:rFonts w:ascii="Calibri" w:eastAsia="Calibri" w:hAnsi="Calibri" w:cs="Calibri"/>
        </w:rPr>
        <w:t>s in the local</w:t>
      </w:r>
      <w:r w:rsidR="01302156" w:rsidRPr="2B95833E">
        <w:rPr>
          <w:rFonts w:ascii="Calibri" w:eastAsia="Calibri" w:hAnsi="Calibri" w:cs="Calibri"/>
        </w:rPr>
        <w:t xml:space="preserve"> </w:t>
      </w:r>
      <w:r w:rsidR="65E0C60E" w:rsidRPr="2B95833E">
        <w:rPr>
          <w:rFonts w:ascii="Calibri" w:eastAsia="Calibri" w:hAnsi="Calibri" w:cs="Calibri"/>
        </w:rPr>
        <w:t xml:space="preserve">workforce situation, </w:t>
      </w:r>
      <w:r w:rsidR="00C04539">
        <w:rPr>
          <w:rFonts w:ascii="Calibri" w:eastAsia="Calibri" w:hAnsi="Calibri" w:cs="Calibri"/>
        </w:rPr>
        <w:t xml:space="preserve">and </w:t>
      </w:r>
      <w:r w:rsidR="1391B496" w:rsidRPr="2B95833E">
        <w:rPr>
          <w:rFonts w:ascii="Calibri" w:eastAsia="Calibri" w:hAnsi="Calibri" w:cs="Calibri"/>
        </w:rPr>
        <w:t>expanding</w:t>
      </w:r>
      <w:r w:rsidR="00C04539">
        <w:rPr>
          <w:rFonts w:ascii="Calibri" w:eastAsia="Calibri" w:hAnsi="Calibri" w:cs="Calibri"/>
        </w:rPr>
        <w:t xml:space="preserve"> </w:t>
      </w:r>
      <w:r w:rsidR="1391B496" w:rsidRPr="2B95833E">
        <w:rPr>
          <w:rFonts w:ascii="Calibri" w:eastAsia="Calibri" w:hAnsi="Calibri" w:cs="Calibri"/>
        </w:rPr>
        <w:t>digital literacy training</w:t>
      </w:r>
      <w:r w:rsidR="00C04539">
        <w:rPr>
          <w:rFonts w:ascii="Calibri" w:eastAsia="Calibri" w:hAnsi="Calibri" w:cs="Calibri"/>
        </w:rPr>
        <w:t>.</w:t>
      </w:r>
    </w:p>
    <w:p w14:paraId="30D82438" w14:textId="171CAF98" w:rsidR="0D95BAF4" w:rsidRDefault="008A6A11" w:rsidP="0030370B">
      <w:pPr>
        <w:spacing w:after="120"/>
        <w:rPr>
          <w:rFonts w:ascii="Calibri" w:eastAsia="Calibri" w:hAnsi="Calibri" w:cs="Calibri"/>
        </w:rPr>
      </w:pPr>
      <w:r>
        <w:rPr>
          <w:rFonts w:ascii="Calibri" w:eastAsia="Calibri" w:hAnsi="Calibri" w:cs="Calibri"/>
        </w:rPr>
        <w:t xml:space="preserve">In addition to the critical response at the local level due to pandemic, </w:t>
      </w:r>
      <w:r w:rsidR="0D95BAF4" w:rsidRPr="2B95833E">
        <w:rPr>
          <w:rFonts w:ascii="Calibri" w:eastAsia="Calibri" w:hAnsi="Calibri" w:cs="Calibri"/>
        </w:rPr>
        <w:t xml:space="preserve">DWD and WTCS </w:t>
      </w:r>
      <w:r w:rsidR="65F92903" w:rsidRPr="2B95833E">
        <w:rPr>
          <w:rFonts w:ascii="Calibri" w:eastAsia="Calibri" w:hAnsi="Calibri" w:cs="Calibri"/>
        </w:rPr>
        <w:t xml:space="preserve">continued </w:t>
      </w:r>
      <w:r w:rsidR="00F914DD">
        <w:rPr>
          <w:rFonts w:ascii="Calibri" w:eastAsia="Calibri" w:hAnsi="Calibri" w:cs="Calibri"/>
        </w:rPr>
        <w:t xml:space="preserve">regular meetings and calls </w:t>
      </w:r>
      <w:r w:rsidR="65F92903" w:rsidRPr="2B95833E">
        <w:rPr>
          <w:rFonts w:ascii="Calibri" w:eastAsia="Calibri" w:hAnsi="Calibri" w:cs="Calibri"/>
        </w:rPr>
        <w:t xml:space="preserve">to </w:t>
      </w:r>
      <w:r w:rsidR="0D95BAF4" w:rsidRPr="2B95833E">
        <w:rPr>
          <w:rFonts w:ascii="Calibri" w:eastAsia="Calibri" w:hAnsi="Calibri" w:cs="Calibri"/>
        </w:rPr>
        <w:t>discuss key issues in interagency</w:t>
      </w:r>
      <w:r w:rsidR="00F914DD">
        <w:rPr>
          <w:rFonts w:ascii="Calibri" w:eastAsia="Calibri" w:hAnsi="Calibri" w:cs="Calibri"/>
        </w:rPr>
        <w:t xml:space="preserve"> collaboration. This includes </w:t>
      </w:r>
      <w:r w:rsidR="00634834">
        <w:rPr>
          <w:rFonts w:ascii="Calibri" w:eastAsia="Calibri" w:hAnsi="Calibri" w:cs="Calibri"/>
        </w:rPr>
        <w:t xml:space="preserve">ongoing </w:t>
      </w:r>
      <w:r w:rsidR="0D95BAF4" w:rsidRPr="2B95833E">
        <w:rPr>
          <w:rFonts w:ascii="Calibri" w:eastAsia="Calibri" w:hAnsi="Calibri" w:cs="Calibri"/>
        </w:rPr>
        <w:t xml:space="preserve">WIOA </w:t>
      </w:r>
      <w:r w:rsidR="6BBF56AE" w:rsidRPr="2B95833E">
        <w:rPr>
          <w:rFonts w:ascii="Calibri" w:eastAsia="Calibri" w:hAnsi="Calibri" w:cs="Calibri"/>
        </w:rPr>
        <w:t xml:space="preserve">policy </w:t>
      </w:r>
      <w:r w:rsidR="73DAEEC9" w:rsidRPr="2B95833E">
        <w:rPr>
          <w:rFonts w:ascii="Calibri" w:eastAsia="Calibri" w:hAnsi="Calibri" w:cs="Calibri"/>
        </w:rPr>
        <w:t>development</w:t>
      </w:r>
      <w:r w:rsidR="0D95BAF4" w:rsidRPr="2B95833E">
        <w:rPr>
          <w:rFonts w:ascii="Calibri" w:eastAsia="Calibri" w:hAnsi="Calibri" w:cs="Calibri"/>
        </w:rPr>
        <w:t xml:space="preserve">, updating the state’s Eligible Training Provider </w:t>
      </w:r>
      <w:r w:rsidR="00634834">
        <w:rPr>
          <w:rFonts w:ascii="Calibri" w:eastAsia="Calibri" w:hAnsi="Calibri" w:cs="Calibri"/>
        </w:rPr>
        <w:t xml:space="preserve">List, </w:t>
      </w:r>
      <w:r w:rsidR="0D95BAF4" w:rsidRPr="2B95833E">
        <w:rPr>
          <w:rFonts w:ascii="Calibri" w:eastAsia="Calibri" w:hAnsi="Calibri" w:cs="Calibri"/>
        </w:rPr>
        <w:t xml:space="preserve">provision of coordinated professional development, </w:t>
      </w:r>
      <w:r w:rsidR="00634834">
        <w:rPr>
          <w:rFonts w:ascii="Calibri" w:eastAsia="Calibri" w:hAnsi="Calibri" w:cs="Calibri"/>
        </w:rPr>
        <w:t xml:space="preserve">and the </w:t>
      </w:r>
      <w:r w:rsidR="0D95BAF4" w:rsidRPr="2B95833E">
        <w:rPr>
          <w:rFonts w:ascii="Calibri" w:eastAsia="Calibri" w:hAnsi="Calibri" w:cs="Calibri"/>
        </w:rPr>
        <w:t xml:space="preserve">creation of shared messaging/training efforts.  </w:t>
      </w:r>
    </w:p>
    <w:p w14:paraId="41F5AB29" w14:textId="351376DD" w:rsidR="0030370B" w:rsidRPr="00101C80" w:rsidRDefault="001E53B7" w:rsidP="009525DE">
      <w:pPr>
        <w:pStyle w:val="Default"/>
        <w:spacing w:after="120"/>
        <w:rPr>
          <w:rFonts w:asciiTheme="minorHAnsi" w:hAnsiTheme="minorHAnsi" w:cstheme="minorHAnsi"/>
          <w:color w:val="000000" w:themeColor="text1"/>
          <w:sz w:val="22"/>
          <w:szCs w:val="22"/>
        </w:rPr>
      </w:pPr>
      <w:r w:rsidRPr="00101C80">
        <w:rPr>
          <w:rFonts w:asciiTheme="minorHAnsi" w:hAnsiTheme="minorHAnsi" w:cstheme="minorHAnsi"/>
          <w:b/>
          <w:bCs/>
          <w:sz w:val="22"/>
          <w:szCs w:val="22"/>
        </w:rPr>
        <w:t xml:space="preserve">4.Integrated English Literacy and Civics Education (IELCE) Program </w:t>
      </w:r>
      <w:r w:rsidRPr="00101C80">
        <w:rPr>
          <w:rFonts w:asciiTheme="minorHAnsi" w:hAnsiTheme="minorHAnsi" w:cstheme="minorHAnsi"/>
          <w:color w:val="000000" w:themeColor="text1"/>
          <w:sz w:val="22"/>
          <w:szCs w:val="22"/>
        </w:rPr>
        <w:t>(AEFLA Section 243) Describe how the state is using funds under Section 243 to support the following activities under the IELCE program:</w:t>
      </w:r>
    </w:p>
    <w:p w14:paraId="04F5A64B" w14:textId="18036B64" w:rsidR="0EF4D431" w:rsidRPr="0030370B" w:rsidRDefault="0EF4D431" w:rsidP="0030370B">
      <w:pPr>
        <w:pStyle w:val="CM138"/>
        <w:spacing w:after="120" w:line="263" w:lineRule="atLeast"/>
        <w:ind w:right="105"/>
        <w:rPr>
          <w:rFonts w:asciiTheme="minorHAnsi" w:hAnsiTheme="minorHAnsi" w:cstheme="minorHAnsi"/>
          <w:sz w:val="22"/>
          <w:szCs w:val="22"/>
        </w:rPr>
      </w:pPr>
      <w:r w:rsidRPr="0030370B">
        <w:rPr>
          <w:rFonts w:asciiTheme="minorHAnsi" w:eastAsia="Calibri" w:hAnsiTheme="minorHAnsi" w:cstheme="minorHAnsi"/>
          <w:sz w:val="22"/>
          <w:szCs w:val="22"/>
        </w:rPr>
        <w:t xml:space="preserve">The WTCS, in cooperation with eligible providers across the state, offers integrated English language instruction and civics education under Section 243 of WIOA, for English language adult learners, including immigrant professionals with degrees and credentials from their native countries. </w:t>
      </w:r>
      <w:r w:rsidR="00904105">
        <w:rPr>
          <w:rFonts w:asciiTheme="minorHAnsi" w:eastAsia="Calibri" w:hAnsiTheme="minorHAnsi" w:cstheme="minorHAnsi"/>
          <w:sz w:val="22"/>
          <w:szCs w:val="22"/>
        </w:rPr>
        <w:t>T</w:t>
      </w:r>
      <w:r w:rsidRPr="0030370B">
        <w:rPr>
          <w:rFonts w:asciiTheme="minorHAnsi" w:eastAsia="Calibri" w:hAnsiTheme="minorHAnsi" w:cstheme="minorHAnsi"/>
          <w:sz w:val="22"/>
          <w:szCs w:val="22"/>
        </w:rPr>
        <w:t xml:space="preserve">welve AEFLA providers who received funds for these purposes provided instructional services and civics education concurrently and contextualized across the state to meet the need of these adult learners. As part of the IELCE programming, providers used funds under Section 243 to:  </w:t>
      </w:r>
    </w:p>
    <w:p w14:paraId="4834EA35" w14:textId="530396D1" w:rsidR="0EF4D431" w:rsidRPr="0030370B" w:rsidRDefault="0EF4D431" w:rsidP="0030370B">
      <w:pPr>
        <w:pStyle w:val="ListParagraph"/>
        <w:numPr>
          <w:ilvl w:val="0"/>
          <w:numId w:val="16"/>
        </w:numPr>
        <w:spacing w:after="120"/>
        <w:rPr>
          <w:rFonts w:eastAsiaTheme="minorEastAsia" w:cstheme="minorHAnsi"/>
        </w:rPr>
      </w:pPr>
      <w:r w:rsidRPr="0030370B">
        <w:rPr>
          <w:rFonts w:eastAsia="Times New Roman" w:cstheme="minorHAnsi"/>
        </w:rPr>
        <w:t xml:space="preserve">Prepare adults with limited English proficiency across the state for placement in unsubsidized employment in high demand industries that leads to economic self-sufficiency. The funds under this section were awarded to providers for the purposes of providing integrated instructional services that targeted occupational skills training that leads to economic self-sufficiency, civics education, digital literacy, workforce preparation, and instruction in English acquisition; and also, </w:t>
      </w:r>
    </w:p>
    <w:p w14:paraId="77EA3427" w14:textId="58F5401F" w:rsidR="0EF4D431" w:rsidRPr="0030370B" w:rsidRDefault="0EF4D431" w:rsidP="0030370B">
      <w:pPr>
        <w:pStyle w:val="ListParagraph"/>
        <w:numPr>
          <w:ilvl w:val="0"/>
          <w:numId w:val="16"/>
        </w:numPr>
        <w:spacing w:after="120"/>
        <w:rPr>
          <w:rFonts w:eastAsiaTheme="minorEastAsia" w:cstheme="minorHAnsi"/>
        </w:rPr>
      </w:pPr>
      <w:r w:rsidRPr="0030370B">
        <w:rPr>
          <w:rFonts w:eastAsia="Times New Roman" w:cstheme="minorHAnsi"/>
        </w:rPr>
        <w:t>Coordinate occupational skills training with the local workforce development system and other local and state providers. In Wisconsin, it is a requirement of all funded AEFLA grantees to work with their local boards and become familiar with their local planned activities to ensure that adult learners are benefitting from occupational training services that are planned and coordinated at the local level</w:t>
      </w:r>
      <w:r w:rsidR="50C5E807" w:rsidRPr="0030370B">
        <w:rPr>
          <w:rFonts w:eastAsia="Times New Roman" w:cstheme="minorHAnsi"/>
        </w:rPr>
        <w:t xml:space="preserve"> learners</w:t>
      </w:r>
      <w:r w:rsidRPr="0030370B">
        <w:rPr>
          <w:rFonts w:eastAsia="Times New Roman" w:cstheme="minorHAnsi"/>
        </w:rPr>
        <w:t xml:space="preserve"> in high-demand areas that lead to economic self-sufficiency and have excellent placement rates.    </w:t>
      </w:r>
    </w:p>
    <w:p w14:paraId="3EB3ACA4" w14:textId="78FFDCC3" w:rsidR="0EF4D431" w:rsidRPr="0030370B" w:rsidRDefault="0EF4D431" w:rsidP="0030370B">
      <w:pPr>
        <w:spacing w:after="120"/>
        <w:rPr>
          <w:rFonts w:cstheme="minorHAnsi"/>
        </w:rPr>
      </w:pPr>
      <w:r w:rsidRPr="0030370B">
        <w:rPr>
          <w:rFonts w:eastAsia="Calibri" w:cstheme="minorHAnsi"/>
        </w:rPr>
        <w:t xml:space="preserve">During Fiscal year 2019-20, AEFLA providers under section 243 were also able to identify integrated education and training opportunities for adult participants within the service delivery area where they resided in the following occupational areas: construction and GED, healthcare, commercial driver licenses, informational technology, welding and manufacturing. For the purposes of integrated English literacy and civics education instructional activities, the WTCS have also funded the providers through AEFLA funding described in Title II, Section 231. The proposed activities and budget under Section 231 are reviewed by WTCS staff to ensure that the activities meet all statutory requirements under WIOA.  </w:t>
      </w:r>
    </w:p>
    <w:p w14:paraId="0C20708C" w14:textId="457907C8" w:rsidR="0EF4D431" w:rsidRPr="0030370B" w:rsidRDefault="0EF4D431" w:rsidP="0030370B">
      <w:pPr>
        <w:spacing w:after="120"/>
        <w:rPr>
          <w:rFonts w:cstheme="minorHAnsi"/>
        </w:rPr>
      </w:pPr>
      <w:r w:rsidRPr="0030370B">
        <w:rPr>
          <w:rFonts w:eastAsia="Calibri" w:cstheme="minorHAnsi"/>
        </w:rPr>
        <w:t xml:space="preserve">To meet all statutory requirements, funds under section 243, were made available through a competitive grant application process. The competitive grant announcement was shared directly with providers through posting on the WTCS website and posting it on the state's Public Notices site. All eligible providers were offered the same information and all applications were evaluated using identical scoring criteria. Applications were scored by multiple readers utilizing the published guidelines for scoring. Grants were awarded on a three-year cycle (2018-21) with updated applications submitted each year (2019-20). The process met all of the requirements specified in Title II of WIOA with every effort made to ensure direct and equitable access.   </w:t>
      </w:r>
    </w:p>
    <w:p w14:paraId="0BBB82D6" w14:textId="64D1679E" w:rsidR="001E53B7" w:rsidRPr="0030370B" w:rsidRDefault="001E53B7" w:rsidP="0030370B">
      <w:pPr>
        <w:spacing w:after="120"/>
        <w:rPr>
          <w:rFonts w:cstheme="minorHAnsi"/>
        </w:rPr>
      </w:pPr>
      <w:r w:rsidRPr="0030370B">
        <w:rPr>
          <w:rFonts w:eastAsia="Calibri" w:cstheme="minorHAnsi"/>
          <w:b/>
          <w:color w:val="000000" w:themeColor="text1"/>
        </w:rPr>
        <w:t>Describe when your State held a competition [the latest competition] for IELCE program funds and the number of grants awarded by your State to support IELCE programs.</w:t>
      </w:r>
    </w:p>
    <w:p w14:paraId="5911BF07" w14:textId="1A4BF544" w:rsidR="00654327" w:rsidRDefault="0EF4D431" w:rsidP="0030370B">
      <w:pPr>
        <w:spacing w:after="120"/>
        <w:rPr>
          <w:rFonts w:eastAsia="Calibri" w:cstheme="minorHAnsi"/>
        </w:rPr>
      </w:pPr>
      <w:r w:rsidRPr="0030370B">
        <w:rPr>
          <w:rFonts w:eastAsia="Calibri" w:cstheme="minorHAnsi"/>
        </w:rPr>
        <w:t xml:space="preserve">WTCS held an open competition for providers of adult education under </w:t>
      </w:r>
      <w:r w:rsidR="008D412F">
        <w:rPr>
          <w:rFonts w:eastAsia="Calibri" w:cstheme="minorHAnsi"/>
        </w:rPr>
        <w:t>Titl</w:t>
      </w:r>
      <w:r w:rsidRPr="0030370B">
        <w:rPr>
          <w:rFonts w:eastAsia="Calibri" w:cstheme="minorHAnsi"/>
        </w:rPr>
        <w:t xml:space="preserve">e II of WIOA during fiscal year 2017-18; </w:t>
      </w:r>
      <w:r w:rsidR="006E28D4">
        <w:rPr>
          <w:rFonts w:eastAsia="Calibri" w:cstheme="minorHAnsi"/>
        </w:rPr>
        <w:t xml:space="preserve">programs </w:t>
      </w:r>
      <w:r w:rsidRPr="0030370B">
        <w:rPr>
          <w:rFonts w:eastAsia="Calibri" w:cstheme="minorHAnsi"/>
        </w:rPr>
        <w:t xml:space="preserve">were awarded on a three-year cycle (2018-21) with updated applications submitted each year (2019-20); the funds were made available through the previously mentioned competitive grant application processes, with FY 2020-21 being the last year of the three -year-cycle. </w:t>
      </w:r>
      <w:r w:rsidR="006E28D4">
        <w:rPr>
          <w:rFonts w:eastAsia="Calibri" w:cstheme="minorHAnsi"/>
        </w:rPr>
        <w:t xml:space="preserve">The competition resulted in eight (8) </w:t>
      </w:r>
      <w:r w:rsidR="004306AE">
        <w:rPr>
          <w:rFonts w:eastAsia="Calibri" w:cstheme="minorHAnsi"/>
        </w:rPr>
        <w:t>funded</w:t>
      </w:r>
      <w:r w:rsidR="00587FAA">
        <w:rPr>
          <w:rFonts w:eastAsia="Calibri" w:cstheme="minorHAnsi"/>
        </w:rPr>
        <w:t xml:space="preserve"> </w:t>
      </w:r>
      <w:r w:rsidR="004306AE">
        <w:rPr>
          <w:rFonts w:eastAsia="Calibri" w:cstheme="minorHAnsi"/>
        </w:rPr>
        <w:t>programs</w:t>
      </w:r>
      <w:r w:rsidR="002E4814">
        <w:rPr>
          <w:rFonts w:eastAsia="Calibri" w:cstheme="minorHAnsi"/>
        </w:rPr>
        <w:t xml:space="preserve">, with a wide reach of </w:t>
      </w:r>
      <w:r w:rsidR="000466CC">
        <w:rPr>
          <w:rFonts w:eastAsia="Calibri" w:cstheme="minorHAnsi"/>
        </w:rPr>
        <w:t xml:space="preserve">participants and </w:t>
      </w:r>
      <w:r w:rsidR="002E4814">
        <w:rPr>
          <w:rFonts w:eastAsia="Calibri" w:cstheme="minorHAnsi"/>
        </w:rPr>
        <w:t>regions</w:t>
      </w:r>
      <w:r w:rsidR="00587FAA">
        <w:rPr>
          <w:rFonts w:eastAsia="Calibri" w:cstheme="minorHAnsi"/>
        </w:rPr>
        <w:t xml:space="preserve"> </w:t>
      </w:r>
      <w:r w:rsidR="004306AE">
        <w:rPr>
          <w:rFonts w:eastAsia="Calibri" w:cstheme="minorHAnsi"/>
        </w:rPr>
        <w:t>across the state</w:t>
      </w:r>
      <w:r w:rsidR="00587FAA">
        <w:rPr>
          <w:rFonts w:eastAsia="Calibri" w:cstheme="minorHAnsi"/>
        </w:rPr>
        <w:t>.</w:t>
      </w:r>
    </w:p>
    <w:p w14:paraId="599DD867" w14:textId="1E531E60" w:rsidR="00654327" w:rsidRPr="00654327" w:rsidRDefault="0EF4D431" w:rsidP="0030370B">
      <w:pPr>
        <w:spacing w:after="120"/>
        <w:rPr>
          <w:rFonts w:cstheme="minorHAnsi"/>
        </w:rPr>
      </w:pPr>
      <w:r w:rsidRPr="0030370B">
        <w:rPr>
          <w:rFonts w:eastAsia="Calibri" w:cstheme="minorHAnsi"/>
        </w:rPr>
        <w:t xml:space="preserve">The competitive grant announcement was shared directly with providers through posting on the WTCS website and posting it on the state's Public Notices site. All eligible providers were offered the same information and all applications </w:t>
      </w:r>
      <w:r w:rsidRPr="0030370B">
        <w:rPr>
          <w:rFonts w:eastAsia="Calibri" w:cstheme="minorHAnsi"/>
        </w:rPr>
        <w:lastRenderedPageBreak/>
        <w:t>are evaluated using the identical scoring criteria. Applications were scored by multiple readers utilizing the published guidelines for scoring. Grants were awarded on a three-year cycle with updated applications submitted each year. This process me</w:t>
      </w:r>
      <w:r w:rsidR="004306AE">
        <w:rPr>
          <w:rFonts w:eastAsia="Calibri" w:cstheme="minorHAnsi"/>
        </w:rPr>
        <w:t>e</w:t>
      </w:r>
      <w:r w:rsidRPr="0030370B">
        <w:rPr>
          <w:rFonts w:eastAsia="Calibri" w:cstheme="minorHAnsi"/>
        </w:rPr>
        <w:t>t</w:t>
      </w:r>
      <w:r w:rsidR="004306AE">
        <w:rPr>
          <w:rFonts w:eastAsia="Calibri" w:cstheme="minorHAnsi"/>
        </w:rPr>
        <w:t>s</w:t>
      </w:r>
      <w:r w:rsidRPr="0030370B">
        <w:rPr>
          <w:rFonts w:eastAsia="Calibri" w:cstheme="minorHAnsi"/>
        </w:rPr>
        <w:t xml:space="preserve"> the requirements specified in Title II of WIOA with every effort made to ensure direct and equitable access.  </w:t>
      </w:r>
    </w:p>
    <w:p w14:paraId="523CD7EF" w14:textId="1C2885B3" w:rsidR="0EF4D431" w:rsidRPr="0030370B" w:rsidRDefault="0EF4D431" w:rsidP="0030370B">
      <w:pPr>
        <w:spacing w:after="120"/>
        <w:rPr>
          <w:rFonts w:cstheme="minorHAnsi"/>
        </w:rPr>
      </w:pPr>
      <w:r w:rsidRPr="0030370B">
        <w:rPr>
          <w:rFonts w:eastAsia="Calibri" w:cstheme="minorHAnsi"/>
          <w:b/>
          <w:bCs/>
        </w:rPr>
        <w:t xml:space="preserve">Describe your State efforts in meeting the requirement to provide IELCE services in combination with integrated education and training activities </w:t>
      </w:r>
    </w:p>
    <w:p w14:paraId="352D1139" w14:textId="77777777" w:rsidR="00AC7F8E" w:rsidRDefault="00F01720" w:rsidP="00C338DE">
      <w:pPr>
        <w:spacing w:after="120"/>
        <w:rPr>
          <w:rFonts w:eastAsia="Calibri" w:cstheme="minorHAnsi"/>
          <w:color w:val="000000" w:themeColor="text1"/>
        </w:rPr>
      </w:pPr>
      <w:r>
        <w:rPr>
          <w:rFonts w:eastAsia="Calibri" w:cstheme="minorHAnsi"/>
          <w:color w:val="000000" w:themeColor="text1"/>
        </w:rPr>
        <w:t>WTCS ensures that f</w:t>
      </w:r>
      <w:r w:rsidR="0EF4D431" w:rsidRPr="0030370B">
        <w:rPr>
          <w:rFonts w:eastAsia="Calibri" w:cstheme="minorHAnsi"/>
          <w:color w:val="000000" w:themeColor="text1"/>
        </w:rPr>
        <w:t>unds in th</w:t>
      </w:r>
      <w:r>
        <w:rPr>
          <w:rFonts w:eastAsia="Calibri" w:cstheme="minorHAnsi"/>
          <w:color w:val="000000" w:themeColor="text1"/>
        </w:rPr>
        <w:t>e IELCE</w:t>
      </w:r>
      <w:r w:rsidR="0EF4D431" w:rsidRPr="0030370B">
        <w:rPr>
          <w:rFonts w:eastAsia="Calibri" w:cstheme="minorHAnsi"/>
          <w:color w:val="000000" w:themeColor="text1"/>
        </w:rPr>
        <w:t xml:space="preserve"> category are being used to provide educational programs for adults (including professionals with degrees and credentials in their native countries) that enable adults to achieve competency in English language and acquire the basic and more advanced skills needed to function effectively as parents, </w:t>
      </w:r>
      <w:r w:rsidR="0060679A">
        <w:rPr>
          <w:rFonts w:eastAsia="Calibri" w:cstheme="minorHAnsi"/>
          <w:color w:val="000000" w:themeColor="text1"/>
        </w:rPr>
        <w:t>employee</w:t>
      </w:r>
      <w:r w:rsidR="0EF4D431" w:rsidRPr="0030370B">
        <w:rPr>
          <w:rFonts w:eastAsia="Calibri" w:cstheme="minorHAnsi"/>
          <w:color w:val="000000" w:themeColor="text1"/>
        </w:rPr>
        <w:t>s</w:t>
      </w:r>
      <w:r w:rsidR="009A3C91">
        <w:rPr>
          <w:rFonts w:eastAsia="Calibri" w:cstheme="minorHAnsi"/>
          <w:color w:val="000000" w:themeColor="text1"/>
        </w:rPr>
        <w:t>,</w:t>
      </w:r>
      <w:r w:rsidR="0EF4D431" w:rsidRPr="0030370B">
        <w:rPr>
          <w:rFonts w:eastAsia="Calibri" w:cstheme="minorHAnsi"/>
          <w:color w:val="000000" w:themeColor="text1"/>
        </w:rPr>
        <w:t xml:space="preserve"> and citizens in the United States. </w:t>
      </w:r>
      <w:r w:rsidR="0029104D">
        <w:rPr>
          <w:rFonts w:eastAsia="Calibri" w:cstheme="minorHAnsi"/>
          <w:color w:val="000000" w:themeColor="text1"/>
        </w:rPr>
        <w:t xml:space="preserve">To ensure stronger outcomes in IELCE </w:t>
      </w:r>
      <w:r w:rsidR="009E4898">
        <w:rPr>
          <w:rFonts w:eastAsia="Calibri" w:cstheme="minorHAnsi"/>
          <w:color w:val="000000" w:themeColor="text1"/>
        </w:rPr>
        <w:t>servic</w:t>
      </w:r>
      <w:r w:rsidR="0029104D">
        <w:rPr>
          <w:rFonts w:eastAsia="Calibri" w:cstheme="minorHAnsi"/>
          <w:color w:val="000000" w:themeColor="text1"/>
        </w:rPr>
        <w:t xml:space="preserve">es, </w:t>
      </w:r>
      <w:r w:rsidR="009E4898">
        <w:rPr>
          <w:rFonts w:eastAsia="Calibri" w:cstheme="minorHAnsi"/>
          <w:color w:val="000000" w:themeColor="text1"/>
        </w:rPr>
        <w:t xml:space="preserve">WTCS </w:t>
      </w:r>
      <w:r w:rsidR="00B03276">
        <w:rPr>
          <w:rFonts w:eastAsia="Calibri" w:cstheme="minorHAnsi"/>
          <w:color w:val="000000" w:themeColor="text1"/>
        </w:rPr>
        <w:t xml:space="preserve">held a series of </w:t>
      </w:r>
      <w:r w:rsidR="00CC340B">
        <w:rPr>
          <w:rFonts w:eastAsia="Calibri" w:cstheme="minorHAnsi"/>
          <w:color w:val="000000" w:themeColor="text1"/>
        </w:rPr>
        <w:t xml:space="preserve">discussions in late spring 2020 to discuss and share the newly developed </w:t>
      </w:r>
      <w:r w:rsidR="00CC340B" w:rsidRPr="00CC340B">
        <w:rPr>
          <w:rFonts w:eastAsia="Calibri" w:cstheme="minorHAnsi"/>
          <w:i/>
          <w:iCs/>
          <w:color w:val="000000" w:themeColor="text1"/>
        </w:rPr>
        <w:t>Wisconsin AEFLA Integrated English Literacy and Civics Education IET Planning Tool</w:t>
      </w:r>
      <w:r w:rsidR="00CC340B">
        <w:rPr>
          <w:rFonts w:eastAsia="Calibri" w:cstheme="minorHAnsi"/>
          <w:color w:val="000000" w:themeColor="text1"/>
        </w:rPr>
        <w:t xml:space="preserve">. </w:t>
      </w:r>
    </w:p>
    <w:p w14:paraId="3FD53195" w14:textId="0CFF31FB" w:rsidR="0EF4D431" w:rsidRPr="0030370B" w:rsidRDefault="0EF4D431" w:rsidP="00C338DE">
      <w:pPr>
        <w:spacing w:after="120"/>
        <w:rPr>
          <w:rFonts w:eastAsiaTheme="minorEastAsia" w:cstheme="minorHAnsi"/>
        </w:rPr>
      </w:pPr>
      <w:r w:rsidRPr="0030370B">
        <w:rPr>
          <w:rFonts w:eastAsia="Calibri" w:cstheme="minorHAnsi"/>
          <w:color w:val="000000" w:themeColor="text1"/>
        </w:rPr>
        <w:t>Th</w:t>
      </w:r>
      <w:r w:rsidR="00C8035E">
        <w:rPr>
          <w:rFonts w:eastAsia="Calibri" w:cstheme="minorHAnsi"/>
          <w:color w:val="000000" w:themeColor="text1"/>
        </w:rPr>
        <w:t xml:space="preserve">is new tool </w:t>
      </w:r>
      <w:r w:rsidR="00C338DE">
        <w:rPr>
          <w:rFonts w:eastAsia="Calibri" w:cstheme="minorHAnsi"/>
          <w:color w:val="000000" w:themeColor="text1"/>
        </w:rPr>
        <w:t xml:space="preserve">was designed to ensure that IELCE </w:t>
      </w:r>
      <w:r w:rsidRPr="0030370B">
        <w:rPr>
          <w:rFonts w:eastAsia="Calibri" w:cstheme="minorHAnsi"/>
          <w:color w:val="000000" w:themeColor="text1"/>
        </w:rPr>
        <w:t xml:space="preserve">services </w:t>
      </w:r>
      <w:r w:rsidR="00C338DE">
        <w:rPr>
          <w:rFonts w:eastAsia="Calibri" w:cstheme="minorHAnsi"/>
          <w:color w:val="000000" w:themeColor="text1"/>
        </w:rPr>
        <w:t>and offerings are</w:t>
      </w:r>
      <w:r w:rsidRPr="0030370B">
        <w:rPr>
          <w:rFonts w:eastAsia="Calibri" w:cstheme="minorHAnsi"/>
          <w:color w:val="000000" w:themeColor="text1"/>
        </w:rPr>
        <w:t xml:space="preserve"> integrated with the local workforce development</w:t>
      </w:r>
      <w:r w:rsidR="00C338DE">
        <w:rPr>
          <w:rFonts w:eastAsia="Calibri" w:cstheme="minorHAnsi"/>
          <w:color w:val="000000" w:themeColor="text1"/>
        </w:rPr>
        <w:t xml:space="preserve"> needs. </w:t>
      </w:r>
      <w:r w:rsidRPr="0030370B">
        <w:rPr>
          <w:rFonts w:eastAsia="Calibri" w:cstheme="minorHAnsi"/>
          <w:color w:val="000000" w:themeColor="text1"/>
        </w:rPr>
        <w:t>An eligible provider who receives funds through the IELCE program m</w:t>
      </w:r>
      <w:r w:rsidR="00C338DE">
        <w:rPr>
          <w:rFonts w:eastAsia="Calibri" w:cstheme="minorHAnsi"/>
          <w:color w:val="000000" w:themeColor="text1"/>
        </w:rPr>
        <w:t xml:space="preserve">ust now complete this form and submit it to the WTCS office </w:t>
      </w:r>
      <w:r w:rsidR="00AE2CB8">
        <w:rPr>
          <w:rFonts w:eastAsia="Calibri" w:cstheme="minorHAnsi"/>
          <w:color w:val="000000" w:themeColor="text1"/>
        </w:rPr>
        <w:t xml:space="preserve">where staff will vet the planned activities and also identify new or innovative practices </w:t>
      </w:r>
      <w:r w:rsidR="00C338DE" w:rsidRPr="00C338DE">
        <w:rPr>
          <w:rFonts w:eastAsia="Calibri" w:cstheme="minorHAnsi"/>
          <w:color w:val="000000" w:themeColor="text1"/>
        </w:rPr>
        <w:t xml:space="preserve">for sharing across all AEFLA programs. The </w:t>
      </w:r>
      <w:r w:rsidR="00AC7F8E">
        <w:rPr>
          <w:rFonts w:eastAsia="Calibri" w:cstheme="minorHAnsi"/>
          <w:color w:val="000000" w:themeColor="text1"/>
        </w:rPr>
        <w:t>tool and related forms</w:t>
      </w:r>
      <w:r w:rsidR="00C338DE" w:rsidRPr="00C338DE">
        <w:rPr>
          <w:rFonts w:eastAsia="Calibri" w:cstheme="minorHAnsi"/>
          <w:color w:val="000000" w:themeColor="text1"/>
        </w:rPr>
        <w:t xml:space="preserve"> will also be used to monitor AEFLA supported IELCE in compliance with state and federal guidelines</w:t>
      </w:r>
      <w:r w:rsidR="00AC7F8E">
        <w:rPr>
          <w:rFonts w:eastAsia="Calibri" w:cstheme="minorHAnsi"/>
          <w:color w:val="000000" w:themeColor="text1"/>
        </w:rPr>
        <w:t>, including service in combination with IET</w:t>
      </w:r>
      <w:r w:rsidR="00C338DE" w:rsidRPr="00C338DE">
        <w:rPr>
          <w:rFonts w:eastAsia="Calibri" w:cstheme="minorHAnsi"/>
          <w:color w:val="000000" w:themeColor="text1"/>
        </w:rPr>
        <w:t>.</w:t>
      </w:r>
      <w:r w:rsidR="00C338DE">
        <w:rPr>
          <w:rFonts w:eastAsia="Calibri" w:cstheme="minorHAnsi"/>
          <w:color w:val="000000" w:themeColor="text1"/>
        </w:rPr>
        <w:t xml:space="preserve"> </w:t>
      </w:r>
    </w:p>
    <w:p w14:paraId="61735391" w14:textId="40360206" w:rsidR="0EF4D431" w:rsidRPr="0030370B" w:rsidRDefault="0EF4D431" w:rsidP="0030370B">
      <w:pPr>
        <w:spacing w:after="120"/>
        <w:rPr>
          <w:rFonts w:cstheme="minorHAnsi"/>
        </w:rPr>
      </w:pPr>
      <w:r w:rsidRPr="0030370B">
        <w:rPr>
          <w:rFonts w:eastAsia="Calibri" w:cstheme="minorHAnsi"/>
          <w:b/>
          <w:bCs/>
          <w:color w:val="000000" w:themeColor="text1"/>
        </w:rPr>
        <w:t xml:space="preserve">Describe how the State is progressing towards program goals of preparing and placing IELCE program participants in unsubsidized employment in in-demand industries and occupations that lead to economic self-sufficiency as described in section 243(c)(1) and discuss any performance results, challenges, and lessons learned from implementing those program goals; and </w:t>
      </w:r>
    </w:p>
    <w:p w14:paraId="4BEFA153" w14:textId="338EBCE4" w:rsidR="0EF4D431" w:rsidRPr="0030370B" w:rsidRDefault="0EF4D431" w:rsidP="00373453">
      <w:pPr>
        <w:spacing w:after="120" w:line="242" w:lineRule="auto"/>
        <w:ind w:left="5" w:hanging="5"/>
        <w:rPr>
          <w:rFonts w:eastAsiaTheme="minorEastAsia" w:cstheme="minorHAnsi"/>
        </w:rPr>
      </w:pPr>
      <w:r w:rsidRPr="0030370B">
        <w:rPr>
          <w:rFonts w:eastAsia="Calibri" w:cstheme="minorHAnsi"/>
        </w:rPr>
        <w:t>During FY 2019-20, IELCE programs continued to making progress toward meeting the needs of adult learners in terms of English language acquisition, integrated civics education, digital literacy, workforce preparation and occupational skills training;  IELCE providers increase</w:t>
      </w:r>
      <w:r w:rsidR="00FB4083">
        <w:rPr>
          <w:rFonts w:eastAsia="Calibri" w:cstheme="minorHAnsi"/>
        </w:rPr>
        <w:t>d</w:t>
      </w:r>
      <w:r w:rsidRPr="0030370B">
        <w:rPr>
          <w:rFonts w:eastAsia="Calibri" w:cstheme="minorHAnsi"/>
        </w:rPr>
        <w:t xml:space="preserve"> the number of participants in IET programming, especially for learners in the lower levels of English language learning, and some of the  providers’ goals have focused on preparing adults English language learners for placement in unsubsidized employment in high demand industries that leads to economic self-sufficiency. </w:t>
      </w:r>
    </w:p>
    <w:p w14:paraId="0C1C6B72" w14:textId="12A48488" w:rsidR="0EF4D431" w:rsidRPr="0030370B" w:rsidRDefault="0EF4D431" w:rsidP="0030370B">
      <w:pPr>
        <w:spacing w:after="120"/>
        <w:rPr>
          <w:rFonts w:cstheme="minorHAnsi"/>
        </w:rPr>
      </w:pPr>
      <w:r w:rsidRPr="0030370B">
        <w:rPr>
          <w:rFonts w:eastAsia="Calibri" w:cstheme="minorHAnsi"/>
        </w:rPr>
        <w:t>During FY 2019-20, funds under section 243 were awarded to providers for the purposes of instructional services that targeted occupational training that provides wages that leads to economic self-sufficiency, an</w:t>
      </w:r>
      <w:r w:rsidR="00942C4B">
        <w:rPr>
          <w:rFonts w:eastAsia="Calibri" w:cstheme="minorHAnsi"/>
        </w:rPr>
        <w:t>d</w:t>
      </w:r>
      <w:r w:rsidRPr="0030370B">
        <w:rPr>
          <w:rFonts w:eastAsia="Calibri" w:cstheme="minorHAnsi"/>
        </w:rPr>
        <w:t xml:space="preserve"> to prepare adults in occupational training in high-demand areas that ha</w:t>
      </w:r>
      <w:r w:rsidR="00373453">
        <w:rPr>
          <w:rFonts w:eastAsia="Calibri" w:cstheme="minorHAnsi"/>
        </w:rPr>
        <w:t>d</w:t>
      </w:r>
      <w:r w:rsidRPr="0030370B">
        <w:rPr>
          <w:rFonts w:eastAsia="Calibri" w:cstheme="minorHAnsi"/>
        </w:rPr>
        <w:t xml:space="preserve"> </w:t>
      </w:r>
      <w:r w:rsidR="00942C4B">
        <w:rPr>
          <w:rFonts w:eastAsia="Calibri" w:cstheme="minorHAnsi"/>
        </w:rPr>
        <w:t xml:space="preserve">high </w:t>
      </w:r>
      <w:r w:rsidRPr="0030370B">
        <w:rPr>
          <w:rFonts w:eastAsia="Calibri" w:cstheme="minorHAnsi"/>
        </w:rPr>
        <w:t xml:space="preserve">placement rates and </w:t>
      </w:r>
      <w:r w:rsidR="00942C4B">
        <w:rPr>
          <w:rFonts w:eastAsia="Calibri" w:cstheme="minorHAnsi"/>
        </w:rPr>
        <w:t xml:space="preserve">offer </w:t>
      </w:r>
      <w:r w:rsidRPr="0030370B">
        <w:rPr>
          <w:rFonts w:eastAsia="Calibri" w:cstheme="minorHAnsi"/>
        </w:rPr>
        <w:t xml:space="preserve">opportunities for career mobility. Additionally, we continue to address and work through the challenges of improving access for IELCE and IET offerings, finding ways to continue increasing the number of individuals in this type of programming, for example by </w:t>
      </w:r>
      <w:r w:rsidR="00561DEC">
        <w:rPr>
          <w:rFonts w:eastAsia="Calibri" w:cstheme="minorHAnsi"/>
        </w:rPr>
        <w:t xml:space="preserve">the creation of the IELCE Planning Tool and </w:t>
      </w:r>
      <w:r w:rsidR="00355F6F">
        <w:rPr>
          <w:rFonts w:eastAsia="Calibri" w:cstheme="minorHAnsi"/>
        </w:rPr>
        <w:t xml:space="preserve">through </w:t>
      </w:r>
      <w:r w:rsidRPr="0030370B">
        <w:rPr>
          <w:rFonts w:eastAsia="Calibri" w:cstheme="minorHAnsi"/>
        </w:rPr>
        <w:t>havin</w:t>
      </w:r>
      <w:r w:rsidR="00355F6F">
        <w:rPr>
          <w:rFonts w:eastAsia="Calibri" w:cstheme="minorHAnsi"/>
        </w:rPr>
        <w:t xml:space="preserve">g </w:t>
      </w:r>
      <w:r w:rsidRPr="0030370B">
        <w:rPr>
          <w:rFonts w:eastAsia="Calibri" w:cstheme="minorHAnsi"/>
        </w:rPr>
        <w:t xml:space="preserve">adult learners </w:t>
      </w:r>
      <w:r w:rsidR="00355F6F">
        <w:rPr>
          <w:rFonts w:eastAsia="Calibri" w:cstheme="minorHAnsi"/>
        </w:rPr>
        <w:t xml:space="preserve">utilize </w:t>
      </w:r>
      <w:r w:rsidRPr="0030370B">
        <w:rPr>
          <w:rFonts w:eastAsia="Calibri" w:cstheme="minorHAnsi"/>
        </w:rPr>
        <w:t xml:space="preserve">the </w:t>
      </w:r>
      <w:r w:rsidR="00355F6F">
        <w:rPr>
          <w:rFonts w:eastAsia="Calibri" w:cstheme="minorHAnsi"/>
        </w:rPr>
        <w:t xml:space="preserve">state’s </w:t>
      </w:r>
      <w:r w:rsidRPr="0030370B">
        <w:rPr>
          <w:rFonts w:eastAsia="Calibri" w:cstheme="minorHAnsi"/>
        </w:rPr>
        <w:t xml:space="preserve">Ability to Benefit – State Process and use this string of </w:t>
      </w:r>
      <w:r w:rsidR="00355F6F">
        <w:rPr>
          <w:rFonts w:eastAsia="Calibri" w:cstheme="minorHAnsi"/>
        </w:rPr>
        <w:t xml:space="preserve">Title IV </w:t>
      </w:r>
      <w:r w:rsidRPr="0030370B">
        <w:rPr>
          <w:rFonts w:eastAsia="Calibri" w:cstheme="minorHAnsi"/>
        </w:rPr>
        <w:t>fund</w:t>
      </w:r>
      <w:r w:rsidR="00DA505D">
        <w:rPr>
          <w:rFonts w:eastAsia="Calibri" w:cstheme="minorHAnsi"/>
        </w:rPr>
        <w:t>s</w:t>
      </w:r>
      <w:r w:rsidRPr="0030370B">
        <w:rPr>
          <w:rFonts w:eastAsia="Calibri" w:cstheme="minorHAnsi"/>
        </w:rPr>
        <w:t xml:space="preserve"> to provide more integrated programming in industry areas in high-demand within the state and locality. We </w:t>
      </w:r>
      <w:r w:rsidR="00DA505D">
        <w:rPr>
          <w:rFonts w:eastAsia="Calibri" w:cstheme="minorHAnsi"/>
        </w:rPr>
        <w:t xml:space="preserve">continue to </w:t>
      </w:r>
      <w:r w:rsidRPr="0030370B">
        <w:rPr>
          <w:rFonts w:eastAsia="Calibri" w:cstheme="minorHAnsi"/>
        </w:rPr>
        <w:t xml:space="preserve">address some of the challenges </w:t>
      </w:r>
      <w:r w:rsidR="00DA505D">
        <w:rPr>
          <w:rFonts w:eastAsia="Calibri" w:cstheme="minorHAnsi"/>
        </w:rPr>
        <w:t>at t</w:t>
      </w:r>
      <w:r w:rsidRPr="0030370B">
        <w:rPr>
          <w:rFonts w:eastAsia="Calibri" w:cstheme="minorHAnsi"/>
        </w:rPr>
        <w:t>he local level with the</w:t>
      </w:r>
      <w:r w:rsidR="00DA505D">
        <w:rPr>
          <w:rFonts w:eastAsia="Calibri" w:cstheme="minorHAnsi"/>
        </w:rPr>
        <w:t xml:space="preserve"> collaboration with</w:t>
      </w:r>
      <w:r w:rsidRPr="0030370B">
        <w:rPr>
          <w:rFonts w:eastAsia="Calibri" w:cstheme="minorHAnsi"/>
        </w:rPr>
        <w:t xml:space="preserve"> workforce board</w:t>
      </w:r>
      <w:r w:rsidR="00DA505D">
        <w:rPr>
          <w:rFonts w:eastAsia="Calibri" w:cstheme="minorHAnsi"/>
        </w:rPr>
        <w:t>s</w:t>
      </w:r>
      <w:r w:rsidRPr="0030370B">
        <w:rPr>
          <w:rFonts w:eastAsia="Calibri" w:cstheme="minorHAnsi"/>
        </w:rPr>
        <w:t xml:space="preserve"> to increase the offering of joint I</w:t>
      </w:r>
      <w:r w:rsidR="00A94BB8">
        <w:rPr>
          <w:rFonts w:eastAsia="Calibri" w:cstheme="minorHAnsi"/>
        </w:rPr>
        <w:t>ELCE/I</w:t>
      </w:r>
      <w:r w:rsidRPr="0030370B">
        <w:rPr>
          <w:rFonts w:eastAsia="Calibri" w:cstheme="minorHAnsi"/>
        </w:rPr>
        <w:t>ET programming</w:t>
      </w:r>
      <w:r w:rsidR="00DA505D">
        <w:rPr>
          <w:rFonts w:eastAsia="Calibri" w:cstheme="minorHAnsi"/>
        </w:rPr>
        <w:t>. While p</w:t>
      </w:r>
      <w:r w:rsidRPr="0030370B">
        <w:rPr>
          <w:rFonts w:eastAsia="Calibri" w:cstheme="minorHAnsi"/>
        </w:rPr>
        <w:t>rogress ha</w:t>
      </w:r>
      <w:r w:rsidR="00DA505D">
        <w:rPr>
          <w:rFonts w:eastAsia="Calibri" w:cstheme="minorHAnsi"/>
        </w:rPr>
        <w:t>s</w:t>
      </w:r>
      <w:r w:rsidRPr="0030370B">
        <w:rPr>
          <w:rFonts w:eastAsia="Calibri" w:cstheme="minorHAnsi"/>
        </w:rPr>
        <w:t xml:space="preserve"> be</w:t>
      </w:r>
      <w:r w:rsidR="49A55353" w:rsidRPr="0030370B">
        <w:rPr>
          <w:rFonts w:eastAsia="Calibri" w:cstheme="minorHAnsi"/>
        </w:rPr>
        <w:t>en</w:t>
      </w:r>
      <w:r w:rsidRPr="0030370B">
        <w:rPr>
          <w:rFonts w:eastAsia="Calibri" w:cstheme="minorHAnsi"/>
        </w:rPr>
        <w:t xml:space="preserve"> made with the joint programming</w:t>
      </w:r>
      <w:r w:rsidR="00DA505D">
        <w:rPr>
          <w:rFonts w:eastAsia="Calibri" w:cstheme="minorHAnsi"/>
        </w:rPr>
        <w:t xml:space="preserve"> in some areas of the state (e.g. Milwaukee)</w:t>
      </w:r>
      <w:r w:rsidRPr="0030370B">
        <w:rPr>
          <w:rFonts w:eastAsia="Calibri" w:cstheme="minorHAnsi"/>
        </w:rPr>
        <w:t xml:space="preserve">, </w:t>
      </w:r>
      <w:r w:rsidR="00DA505D">
        <w:rPr>
          <w:rFonts w:eastAsia="Calibri" w:cstheme="minorHAnsi"/>
        </w:rPr>
        <w:t>there is still work to be do</w:t>
      </w:r>
      <w:r w:rsidRPr="0030370B">
        <w:rPr>
          <w:rFonts w:eastAsia="Calibri" w:cstheme="minorHAnsi"/>
        </w:rPr>
        <w:t xml:space="preserve">ne to take to scale </w:t>
      </w:r>
      <w:r w:rsidR="00A94BB8">
        <w:rPr>
          <w:rFonts w:eastAsia="Calibri" w:cstheme="minorHAnsi"/>
        </w:rPr>
        <w:t>efforts</w:t>
      </w:r>
      <w:r w:rsidRPr="0030370B">
        <w:rPr>
          <w:rFonts w:eastAsia="Calibri" w:cstheme="minorHAnsi"/>
        </w:rPr>
        <w:t xml:space="preserve"> statewide. </w:t>
      </w:r>
    </w:p>
    <w:p w14:paraId="36CC400B" w14:textId="29C7F7FE" w:rsidR="0EF4D431" w:rsidRPr="0030370B" w:rsidRDefault="0EF4D431" w:rsidP="0030370B">
      <w:pPr>
        <w:spacing w:after="120"/>
        <w:rPr>
          <w:rFonts w:cstheme="minorHAnsi"/>
        </w:rPr>
      </w:pPr>
      <w:r w:rsidRPr="0030370B">
        <w:rPr>
          <w:rFonts w:eastAsia="Calibri" w:cstheme="minorHAnsi"/>
          <w:b/>
          <w:bCs/>
          <w:color w:val="000000" w:themeColor="text1"/>
        </w:rPr>
        <w:t>Describe how the State is progressing towards program goals of ensuring that IELCE program activities are integrated with the local workforce development system and its functions as described in section 243(c)(2) and discuss any performance results, challenges, and lessons learned from implementing those program goals</w:t>
      </w:r>
      <w:r w:rsidRPr="0030370B">
        <w:rPr>
          <w:rFonts w:eastAsia="Calibri" w:cstheme="minorHAnsi"/>
          <w:color w:val="000000" w:themeColor="text1"/>
        </w:rPr>
        <w:t>.</w:t>
      </w:r>
      <w:r w:rsidRPr="0030370B">
        <w:rPr>
          <w:rFonts w:eastAsia="Times New Roman" w:cstheme="minorHAnsi"/>
          <w:color w:val="000000" w:themeColor="text1"/>
        </w:rPr>
        <w:t xml:space="preserve"> </w:t>
      </w:r>
    </w:p>
    <w:p w14:paraId="29C14B9E" w14:textId="5E37AA2D" w:rsidR="0EF4D431" w:rsidRPr="0030370B" w:rsidRDefault="0EF4D431" w:rsidP="0030370B">
      <w:pPr>
        <w:spacing w:after="120"/>
        <w:rPr>
          <w:rFonts w:cstheme="minorHAnsi"/>
        </w:rPr>
      </w:pPr>
      <w:r w:rsidRPr="0030370B">
        <w:rPr>
          <w:rFonts w:eastAsia="Calibri" w:cstheme="minorHAnsi"/>
        </w:rPr>
        <w:t xml:space="preserve">WTCS has worked with IELCE providers to ensure that the programming for IELCE was aligned with the strategic directions of the local boards. The alignment also assisted IELCE participants for placement in integrated education and training (IET) in occupations in high demand in their respective regions; this approach facilitated achievement of self-sufficiency for participants in these programs. </w:t>
      </w:r>
      <w:r w:rsidRPr="0030370B">
        <w:rPr>
          <w:rFonts w:eastAsia="Calibri" w:cstheme="minorHAnsi"/>
          <w:color w:val="000000" w:themeColor="text1"/>
        </w:rPr>
        <w:t xml:space="preserve">Eligible providers who receive funds through the IELCE program may choose to incorporate IET if they wish by: </w:t>
      </w:r>
    </w:p>
    <w:p w14:paraId="19A36D02" w14:textId="5CFE4057" w:rsidR="0EF4D431" w:rsidRPr="0030370B" w:rsidRDefault="0EF4D431" w:rsidP="0030370B">
      <w:pPr>
        <w:pStyle w:val="ListParagraph"/>
        <w:numPr>
          <w:ilvl w:val="0"/>
          <w:numId w:val="12"/>
        </w:numPr>
        <w:spacing w:after="120" w:line="254" w:lineRule="auto"/>
        <w:rPr>
          <w:rFonts w:eastAsiaTheme="minorEastAsia" w:cstheme="minorHAnsi"/>
        </w:rPr>
      </w:pPr>
      <w:r w:rsidRPr="0030370B">
        <w:rPr>
          <w:rFonts w:eastAsia="Times New Roman" w:cstheme="minorHAnsi"/>
        </w:rPr>
        <w:lastRenderedPageBreak/>
        <w:t xml:space="preserve">Co-enrolling participants in integrated education and training as described in Stat. 463.74, subpart D, that is provided within the local and regional workforce development area from other sources other than section 243; </w:t>
      </w:r>
      <w:r w:rsidRPr="0030370B">
        <w:rPr>
          <w:rFonts w:eastAsia="Times New Roman" w:cstheme="minorHAnsi"/>
          <w:b/>
          <w:bCs/>
        </w:rPr>
        <w:t>or</w:t>
      </w:r>
      <w:r w:rsidRPr="0030370B">
        <w:rPr>
          <w:rFonts w:eastAsia="Times New Roman" w:cstheme="minorHAnsi"/>
        </w:rPr>
        <w:t xml:space="preserve"> </w:t>
      </w:r>
    </w:p>
    <w:p w14:paraId="4633480E" w14:textId="4BF1FB0A" w:rsidR="0EF4D431" w:rsidRPr="00904105" w:rsidRDefault="0EF4D431" w:rsidP="0030370B">
      <w:pPr>
        <w:pStyle w:val="ListParagraph"/>
        <w:numPr>
          <w:ilvl w:val="0"/>
          <w:numId w:val="12"/>
        </w:numPr>
        <w:spacing w:after="120" w:line="254" w:lineRule="auto"/>
        <w:rPr>
          <w:rFonts w:eastAsiaTheme="minorEastAsia" w:cstheme="minorHAnsi"/>
        </w:rPr>
      </w:pPr>
      <w:r w:rsidRPr="0030370B">
        <w:rPr>
          <w:rFonts w:eastAsia="Times New Roman" w:cstheme="minorHAnsi"/>
        </w:rPr>
        <w:t>Using funds under section 243 to support integrated education and training activities as cited in 463.74, subpart D.</w:t>
      </w:r>
    </w:p>
    <w:p w14:paraId="07F27D16" w14:textId="2E6ECD04" w:rsidR="0EF4D431" w:rsidRPr="0030370B" w:rsidRDefault="0EF4D431" w:rsidP="0030370B">
      <w:pPr>
        <w:pStyle w:val="ListParagraph"/>
        <w:numPr>
          <w:ilvl w:val="0"/>
          <w:numId w:val="12"/>
        </w:numPr>
        <w:spacing w:after="120" w:line="254" w:lineRule="auto"/>
        <w:rPr>
          <w:rFonts w:eastAsiaTheme="minorEastAsia" w:cstheme="minorHAnsi"/>
        </w:rPr>
      </w:pPr>
      <w:r w:rsidRPr="0030370B">
        <w:rPr>
          <w:rFonts w:eastAsia="Times New Roman" w:cstheme="minorHAnsi"/>
        </w:rPr>
        <w:t>Starting with FY 20-21, eligible learners and AEFLA have also the opportunity to use funds from the ability to benefit -state process to enroll in PSE/training, as well as, to cover the cost of occupational skills training</w:t>
      </w:r>
    </w:p>
    <w:p w14:paraId="568B7B27" w14:textId="40A751B5" w:rsidR="0EF4D431" w:rsidRPr="0030370B" w:rsidRDefault="0EF4D431" w:rsidP="0030370B">
      <w:pPr>
        <w:spacing w:after="120"/>
        <w:rPr>
          <w:rFonts w:cstheme="minorHAnsi"/>
        </w:rPr>
      </w:pPr>
      <w:r w:rsidRPr="0030370B">
        <w:rPr>
          <w:rFonts w:eastAsia="Calibri" w:cstheme="minorHAnsi"/>
        </w:rPr>
        <w:t xml:space="preserve">Providers are required to coordinate occupational skills training with the local workforce development system and its functions to carry out the activities of the program for the purpose of integrated education and training activities. It was a requirement of all funded AEFLA grantees to work with their local boards and become familiar with their local planned activities to ensure that adult learners are benefitting from occupational training services that are planned and coordinated at the local level in high-demand areas that lead to economic self-sufficiency and have excellent placement rates.    </w:t>
      </w:r>
    </w:p>
    <w:p w14:paraId="0482EDD3" w14:textId="36588614" w:rsidR="0EF4D431" w:rsidRPr="0030370B" w:rsidRDefault="0EF4D431" w:rsidP="0030370B">
      <w:pPr>
        <w:spacing w:after="120"/>
        <w:rPr>
          <w:rFonts w:cstheme="minorHAnsi"/>
        </w:rPr>
      </w:pPr>
      <w:r w:rsidRPr="0030370B">
        <w:rPr>
          <w:rFonts w:eastAsia="Calibri" w:cstheme="minorHAnsi"/>
        </w:rPr>
        <w:t xml:space="preserve">In terms of performance results, challenges and lessons learned, WTCS has ensured throughout the grant extension guidelines that providers of IELCE programs were connected and aligned with services offered by Title I to facilitate the concurrent enrollment and training for all participants of IELCE program as described in section 243(c) (2) of new WIOA Law for Title II (Pub. Law 113-128) -- the mandate that required states to provide an Integrated English Literacy and Civics Education (IELCE) Program. </w:t>
      </w:r>
    </w:p>
    <w:p w14:paraId="75FB531E" w14:textId="11BF48EE" w:rsidR="0EF4D431" w:rsidRPr="0030370B" w:rsidRDefault="0EF4D431" w:rsidP="0030370B">
      <w:pPr>
        <w:spacing w:after="120"/>
        <w:rPr>
          <w:rFonts w:cstheme="minorHAnsi"/>
        </w:rPr>
      </w:pPr>
      <w:r w:rsidRPr="0030370B">
        <w:rPr>
          <w:rFonts w:eastAsia="Calibri" w:cstheme="minorHAnsi"/>
        </w:rPr>
        <w:t xml:space="preserve">We monitored this via tri-annual reports to ensure that instruction in English literacy was meeting the instructional standards to facilitate transition into PSE and/or unsubsidized employment. Additionally, we monitored IELCE providers to make sure that adult learners were receiving instruction in workforce preparation and occupation skills training where appropriate. </w:t>
      </w:r>
    </w:p>
    <w:p w14:paraId="0422428C" w14:textId="646B28BE" w:rsidR="001E53B7" w:rsidRPr="00101C80" w:rsidRDefault="001E53B7" w:rsidP="009525DE">
      <w:pPr>
        <w:autoSpaceDE w:val="0"/>
        <w:autoSpaceDN w:val="0"/>
        <w:adjustRightInd w:val="0"/>
        <w:spacing w:after="120" w:line="266" w:lineRule="atLeast"/>
        <w:rPr>
          <w:rFonts w:cstheme="minorHAnsi"/>
          <w:color w:val="000000" w:themeColor="text1"/>
        </w:rPr>
      </w:pPr>
      <w:r w:rsidRPr="00101C80">
        <w:rPr>
          <w:rFonts w:cstheme="minorHAnsi"/>
          <w:b/>
          <w:bCs/>
          <w:color w:val="000000"/>
        </w:rPr>
        <w:t>5.Adult Education Standards</w:t>
      </w:r>
      <w:r w:rsidR="009525DE">
        <w:rPr>
          <w:rFonts w:cstheme="minorHAnsi"/>
          <w:b/>
          <w:bCs/>
          <w:color w:val="000000"/>
        </w:rPr>
        <w:t xml:space="preserve"> </w:t>
      </w:r>
    </w:p>
    <w:p w14:paraId="6CDF74A0" w14:textId="332012EF" w:rsidR="61C9E33B" w:rsidRDefault="738C3704" w:rsidP="00904105">
      <w:pPr>
        <w:spacing w:after="120"/>
        <w:rPr>
          <w:rFonts w:eastAsiaTheme="minorEastAsia"/>
        </w:rPr>
      </w:pPr>
      <w:r w:rsidRPr="2B95833E">
        <w:rPr>
          <w:rFonts w:eastAsiaTheme="minorEastAsia"/>
        </w:rPr>
        <w:t xml:space="preserve">Wisconsin aligned its Adult Education standards to College and Career Readiness (CCRS) standards in 2013-14, and formally adopted these new standards. The CCRS-aligned WTCS Adult Basic Education standards are aligned with college and work expectations; are clear and consistent; include rigorous content and application of knowledge through high-order skills; build upon strengths and lessons of current state standards; and are evidence-based. The curriculum also features integrated reading and writing instruction contextualized within the three adult literacy themes of 1) Financial Literacy, 2) Civics Literacy, and 3) College Transition. All AEFLA grantees are required to adopt these curriculum standards as a condition of receipt of AEFLA funds. </w:t>
      </w:r>
      <w:r w:rsidR="002009BE">
        <w:rPr>
          <w:rFonts w:eastAsiaTheme="minorEastAsia"/>
        </w:rPr>
        <w:t xml:space="preserve">Additionally, these standards have been shared with non-funded </w:t>
      </w:r>
      <w:r w:rsidR="00A92BD8">
        <w:rPr>
          <w:rFonts w:eastAsiaTheme="minorEastAsia"/>
        </w:rPr>
        <w:t xml:space="preserve">adult education providers </w:t>
      </w:r>
      <w:r w:rsidR="002009BE">
        <w:rPr>
          <w:rFonts w:eastAsiaTheme="minorEastAsia"/>
        </w:rPr>
        <w:t xml:space="preserve">(e.g. </w:t>
      </w:r>
      <w:r w:rsidR="0034009D">
        <w:rPr>
          <w:rFonts w:eastAsiaTheme="minorEastAsia"/>
        </w:rPr>
        <w:t>Wisconsin Department of Corrections</w:t>
      </w:r>
      <w:r w:rsidR="002009BE">
        <w:rPr>
          <w:rFonts w:eastAsiaTheme="minorEastAsia"/>
        </w:rPr>
        <w:t xml:space="preserve">). </w:t>
      </w:r>
    </w:p>
    <w:p w14:paraId="34194C5D" w14:textId="688569F4" w:rsidR="61C9E33B" w:rsidRDefault="738C3704" w:rsidP="00904105">
      <w:pPr>
        <w:spacing w:after="120"/>
        <w:rPr>
          <w:rFonts w:eastAsiaTheme="minorEastAsia"/>
        </w:rPr>
      </w:pPr>
      <w:r w:rsidRPr="2B95833E">
        <w:rPr>
          <w:rFonts w:eastAsiaTheme="minorEastAsia"/>
        </w:rPr>
        <w:t>Professional development on the new standards is ongoing, and in 20</w:t>
      </w:r>
      <w:r w:rsidR="5281675C" w:rsidRPr="2B95833E">
        <w:rPr>
          <w:rFonts w:eastAsiaTheme="minorEastAsia"/>
        </w:rPr>
        <w:t xml:space="preserve">19-2020 </w:t>
      </w:r>
      <w:r w:rsidRPr="2B95833E">
        <w:rPr>
          <w:rFonts w:eastAsiaTheme="minorEastAsia"/>
        </w:rPr>
        <w:t>included providers designing model learning plans, materials, and instructional strategies that were subsequently shared at the October 2019 Common Ground Conference</w:t>
      </w:r>
      <w:r w:rsidR="7553EB80" w:rsidRPr="2B95833E">
        <w:rPr>
          <w:rFonts w:eastAsiaTheme="minorEastAsia"/>
        </w:rPr>
        <w:t xml:space="preserve"> (</w:t>
      </w:r>
      <w:r w:rsidR="00536526">
        <w:rPr>
          <w:rFonts w:eastAsiaTheme="minorEastAsia"/>
        </w:rPr>
        <w:t>WTCS-sponsored</w:t>
      </w:r>
      <w:r w:rsidR="7553EB80" w:rsidRPr="2B95833E">
        <w:rPr>
          <w:rFonts w:eastAsiaTheme="minorEastAsia"/>
        </w:rPr>
        <w:t xml:space="preserve"> Adult Ed/ELL conference</w:t>
      </w:r>
      <w:r w:rsidR="00536526">
        <w:rPr>
          <w:rFonts w:eastAsiaTheme="minorEastAsia"/>
        </w:rPr>
        <w:t xml:space="preserve"> which featured over 500 attendees</w:t>
      </w:r>
      <w:r w:rsidR="7553EB80" w:rsidRPr="2B95833E">
        <w:rPr>
          <w:rFonts w:eastAsiaTheme="minorEastAsia"/>
        </w:rPr>
        <w:t>)</w:t>
      </w:r>
      <w:r w:rsidRPr="2B95833E">
        <w:rPr>
          <w:rFonts w:eastAsiaTheme="minorEastAsia"/>
        </w:rPr>
        <w:t xml:space="preserve">.  </w:t>
      </w:r>
      <w:r w:rsidR="7B1DCEC8" w:rsidRPr="2B95833E">
        <w:rPr>
          <w:rFonts w:eastAsiaTheme="minorEastAsia"/>
        </w:rPr>
        <w:t>This all-day training received positive reviews</w:t>
      </w:r>
      <w:r w:rsidR="000464B8">
        <w:rPr>
          <w:rFonts w:eastAsiaTheme="minorEastAsia"/>
        </w:rPr>
        <w:t xml:space="preserve"> and feedback</w:t>
      </w:r>
      <w:r w:rsidR="00242145">
        <w:rPr>
          <w:rFonts w:eastAsiaTheme="minorEastAsia"/>
        </w:rPr>
        <w:t>.</w:t>
      </w:r>
      <w:r w:rsidR="591344BA" w:rsidRPr="2B95833E">
        <w:rPr>
          <w:rFonts w:eastAsiaTheme="minorEastAsia"/>
        </w:rPr>
        <w:t xml:space="preserve"> </w:t>
      </w:r>
    </w:p>
    <w:p w14:paraId="221AEA31" w14:textId="120B1EAA" w:rsidR="61C9E33B" w:rsidRDefault="738C3704" w:rsidP="00904105">
      <w:pPr>
        <w:spacing w:after="120"/>
        <w:rPr>
          <w:rFonts w:eastAsiaTheme="minorEastAsia"/>
        </w:rPr>
      </w:pPr>
      <w:r w:rsidRPr="2B95833E">
        <w:rPr>
          <w:rFonts w:eastAsiaTheme="minorEastAsia"/>
        </w:rPr>
        <w:t xml:space="preserve">WTCS ELL Curriculum has also being aligned with the College and Career Standards as of April of 2019. </w:t>
      </w:r>
      <w:r w:rsidR="603489B0" w:rsidRPr="2B95833E">
        <w:rPr>
          <w:rFonts w:eastAsiaTheme="minorEastAsia"/>
        </w:rPr>
        <w:t xml:space="preserve"> Similar</w:t>
      </w:r>
      <w:r w:rsidR="00242145">
        <w:rPr>
          <w:rFonts w:eastAsiaTheme="minorEastAsia"/>
        </w:rPr>
        <w:t>ly,</w:t>
      </w:r>
      <w:r w:rsidR="603489B0" w:rsidRPr="2B95833E">
        <w:rPr>
          <w:rFonts w:eastAsiaTheme="minorEastAsia"/>
        </w:rPr>
        <w:t xml:space="preserve"> the ELL curriculum was featured in multiple training sessions at the 2019 Common Ground conference</w:t>
      </w:r>
      <w:r w:rsidR="27D159B5" w:rsidRPr="2B95833E">
        <w:rPr>
          <w:rFonts w:eastAsiaTheme="minorEastAsia"/>
        </w:rPr>
        <w:t xml:space="preserve">, and planning began early during the pandemic to offer some of this training virtually in the fall of 2020.  </w:t>
      </w:r>
      <w:r w:rsidRPr="2B95833E">
        <w:rPr>
          <w:rFonts w:eastAsiaTheme="minorEastAsia"/>
        </w:rPr>
        <w:t xml:space="preserve">WTCS will continue to utilize its ABE/ELL website and its WIDS curriculum repository for storing and making available best practices learning materials in these and other focus areas; the curriculum is available with open access at the following link:  </w:t>
      </w:r>
      <w:hyperlink r:id="rId14">
        <w:r w:rsidRPr="2B95833E">
          <w:rPr>
            <w:rStyle w:val="Hyperlink"/>
            <w:rFonts w:eastAsiaTheme="minorEastAsia"/>
          </w:rPr>
          <w:t>https://wtcsystem.wids.org</w:t>
        </w:r>
      </w:hyperlink>
    </w:p>
    <w:p w14:paraId="7282F3EB" w14:textId="107DF2C3" w:rsidR="001E53B7" w:rsidRPr="00A816C3" w:rsidRDefault="001E53B7" w:rsidP="00281386">
      <w:pPr>
        <w:autoSpaceDE w:val="0"/>
        <w:autoSpaceDN w:val="0"/>
        <w:adjustRightInd w:val="0"/>
        <w:spacing w:after="120" w:line="266" w:lineRule="atLeast"/>
        <w:rPr>
          <w:rFonts w:cstheme="minorHAnsi"/>
        </w:rPr>
      </w:pPr>
      <w:r w:rsidRPr="00A816C3">
        <w:rPr>
          <w:rFonts w:cstheme="minorHAnsi"/>
          <w:b/>
          <w:bCs/>
          <w:color w:val="000000"/>
        </w:rPr>
        <w:t xml:space="preserve">6.Programs for Corrections Education and the Education of Other Institutionalized Individuals </w:t>
      </w:r>
      <w:r w:rsidRPr="00A816C3">
        <w:rPr>
          <w:rFonts w:cstheme="minorHAnsi"/>
          <w:color w:val="000000"/>
        </w:rPr>
        <w:t>(AEFLA Section 225)</w:t>
      </w:r>
      <w:r w:rsidR="00281386" w:rsidRPr="00A816C3">
        <w:rPr>
          <w:rFonts w:cstheme="minorHAnsi"/>
          <w:color w:val="000000"/>
        </w:rPr>
        <w:t xml:space="preserve"> </w:t>
      </w:r>
      <w:r w:rsidRPr="00A816C3">
        <w:rPr>
          <w:rFonts w:cstheme="minorHAnsi"/>
          <w:color w:val="000000" w:themeColor="text1"/>
        </w:rPr>
        <w:t>What was the relative rate of recidivism for criminal offenders served? Please describe the methods and factors used in calculating the rate for this reporting period.</w:t>
      </w:r>
    </w:p>
    <w:p w14:paraId="574AFE4C" w14:textId="77777777" w:rsidR="00A816C3" w:rsidRDefault="142BDB8D" w:rsidP="00904105">
      <w:pPr>
        <w:spacing w:after="120"/>
        <w:rPr>
          <w:rFonts w:ascii="Calibri" w:eastAsia="Calibri" w:hAnsi="Calibri" w:cs="Calibri"/>
        </w:rPr>
      </w:pPr>
      <w:r w:rsidRPr="7E4ADEAC">
        <w:rPr>
          <w:rFonts w:ascii="Calibri" w:eastAsia="Calibri" w:hAnsi="Calibri" w:cs="Calibri"/>
        </w:rPr>
        <w:t xml:space="preserve">Wisconsin has adopted the Wisconsin Department of Corrections (DOC) definition of recidivism for narrative reporting purposes. The Wisconsin DOC defines recidivism as a new offense resulting in a conviction and sentence to the Wisconsin DOC after release. While Wisconsin uses the DOC definition, it is important to note that all students served are in county jails. </w:t>
      </w:r>
    </w:p>
    <w:p w14:paraId="6DAB22BF" w14:textId="09F0005F" w:rsidR="142BDB8D" w:rsidRDefault="142BDB8D" w:rsidP="00904105">
      <w:pPr>
        <w:spacing w:after="120"/>
      </w:pPr>
      <w:r w:rsidRPr="7E4ADEAC">
        <w:rPr>
          <w:rFonts w:ascii="Calibri" w:eastAsia="Calibri" w:hAnsi="Calibri" w:cs="Calibri"/>
        </w:rPr>
        <w:lastRenderedPageBreak/>
        <w:t xml:space="preserve">There are three key components to the Wisconsin recidivism rate calculation: the </w:t>
      </w:r>
      <w:r w:rsidRPr="7E4ADEAC">
        <w:rPr>
          <w:rFonts w:ascii="Calibri" w:eastAsia="Calibri" w:hAnsi="Calibri" w:cs="Calibri"/>
          <w:b/>
          <w:bCs/>
          <w:i/>
          <w:iCs/>
        </w:rPr>
        <w:t>starting point</w:t>
      </w:r>
      <w:r w:rsidRPr="7E4ADEAC">
        <w:rPr>
          <w:rFonts w:ascii="Calibri" w:eastAsia="Calibri" w:hAnsi="Calibri" w:cs="Calibri"/>
        </w:rPr>
        <w:t xml:space="preserve">, the </w:t>
      </w:r>
      <w:r w:rsidRPr="7E4ADEAC">
        <w:rPr>
          <w:rFonts w:ascii="Calibri" w:eastAsia="Calibri" w:hAnsi="Calibri" w:cs="Calibri"/>
          <w:b/>
          <w:bCs/>
          <w:i/>
          <w:iCs/>
        </w:rPr>
        <w:t>follow-up period</w:t>
      </w:r>
      <w:r w:rsidRPr="7E4ADEAC">
        <w:rPr>
          <w:rFonts w:ascii="Calibri" w:eastAsia="Calibri" w:hAnsi="Calibri" w:cs="Calibri"/>
        </w:rPr>
        <w:t xml:space="preserve"> and the </w:t>
      </w:r>
      <w:r w:rsidRPr="7E4ADEAC">
        <w:rPr>
          <w:rFonts w:ascii="Calibri" w:eastAsia="Calibri" w:hAnsi="Calibri" w:cs="Calibri"/>
          <w:b/>
          <w:bCs/>
          <w:i/>
          <w:iCs/>
        </w:rPr>
        <w:t>recidivism event</w:t>
      </w:r>
      <w:r w:rsidRPr="7E4ADEAC">
        <w:rPr>
          <w:rFonts w:ascii="Calibri" w:eastAsia="Calibri" w:hAnsi="Calibri" w:cs="Calibri"/>
        </w:rPr>
        <w:t xml:space="preserve">. The </w:t>
      </w:r>
      <w:r w:rsidRPr="7E4ADEAC">
        <w:rPr>
          <w:rFonts w:ascii="Calibri" w:eastAsia="Calibri" w:hAnsi="Calibri" w:cs="Calibri"/>
          <w:b/>
          <w:bCs/>
          <w:i/>
          <w:iCs/>
        </w:rPr>
        <w:t>starting point</w:t>
      </w:r>
      <w:r w:rsidRPr="7E4ADEAC">
        <w:rPr>
          <w:rFonts w:ascii="Calibri" w:eastAsia="Calibri" w:hAnsi="Calibri" w:cs="Calibri"/>
        </w:rPr>
        <w:t xml:space="preserve"> defines the cohort or group of offenders being examined to assess if they recidivated. For example, offenders released from prison who received services during the 2016-17 program year. Wisconsin has also established that the released individuals must have received 12 hours of service or more in the program year to enter the cohort for tracking. The </w:t>
      </w:r>
      <w:r w:rsidRPr="7E4ADEAC">
        <w:rPr>
          <w:rFonts w:ascii="Calibri" w:eastAsia="Calibri" w:hAnsi="Calibri" w:cs="Calibri"/>
          <w:b/>
          <w:bCs/>
          <w:i/>
          <w:iCs/>
        </w:rPr>
        <w:t>follow-up period</w:t>
      </w:r>
      <w:r w:rsidRPr="7E4ADEAC">
        <w:rPr>
          <w:rFonts w:ascii="Calibri" w:eastAsia="Calibri" w:hAnsi="Calibri" w:cs="Calibri"/>
        </w:rPr>
        <w:t xml:space="preserve"> defines the timeframe in which an offender may recidivate. The Wisconsin DOC has established the length of the follow-up period as being three years. If an individual recidivates during that three-year follow-up period, the date upon which the individual committed the recidivating offense is the date that is used to define the </w:t>
      </w:r>
      <w:r w:rsidRPr="7E4ADEAC">
        <w:rPr>
          <w:rFonts w:ascii="Calibri" w:eastAsia="Calibri" w:hAnsi="Calibri" w:cs="Calibri"/>
          <w:b/>
          <w:bCs/>
          <w:i/>
          <w:iCs/>
        </w:rPr>
        <w:t xml:space="preserve">recidivism event </w:t>
      </w:r>
      <w:r w:rsidRPr="7E4ADEAC">
        <w:rPr>
          <w:rFonts w:ascii="Calibri" w:eastAsia="Calibri" w:hAnsi="Calibri" w:cs="Calibri"/>
        </w:rPr>
        <w:t xml:space="preserve">when reporting. </w:t>
      </w:r>
    </w:p>
    <w:p w14:paraId="207DD229" w14:textId="5A82147C" w:rsidR="142BDB8D" w:rsidRDefault="0083200F" w:rsidP="005D7290">
      <w:pPr>
        <w:spacing w:after="0" w:line="257" w:lineRule="auto"/>
      </w:pPr>
      <w:r>
        <w:rPr>
          <w:rFonts w:ascii="Calibri" w:eastAsia="Calibri" w:hAnsi="Calibri" w:cs="Calibri"/>
        </w:rPr>
        <w:t>B</w:t>
      </w:r>
      <w:r w:rsidR="142BDB8D" w:rsidRPr="7E4ADEAC">
        <w:rPr>
          <w:rFonts w:ascii="Calibri" w:eastAsia="Calibri" w:hAnsi="Calibri" w:cs="Calibri"/>
        </w:rPr>
        <w:t>elow shows the final Wisconsin AEFLA results of the 2015-16 cohort (254 individuals) and the 2016-17 cohort (270 individuals)</w:t>
      </w:r>
      <w:r w:rsidR="6D9BE9E3" w:rsidRPr="7E4ADEAC">
        <w:rPr>
          <w:rFonts w:ascii="Calibri" w:eastAsia="Calibri" w:hAnsi="Calibri" w:cs="Calibri"/>
        </w:rPr>
        <w:t>, and the preliminary results of the</w:t>
      </w:r>
      <w:r w:rsidR="142BDB8D" w:rsidRPr="7E4ADEAC">
        <w:rPr>
          <w:rFonts w:ascii="Calibri" w:eastAsia="Calibri" w:hAnsi="Calibri" w:cs="Calibri"/>
        </w:rPr>
        <w:t xml:space="preserve"> 2017-18 cohort (189 individuals)</w:t>
      </w:r>
      <w:r w:rsidR="76813326" w:rsidRPr="7E4ADEAC">
        <w:rPr>
          <w:rFonts w:ascii="Calibri" w:eastAsia="Calibri" w:hAnsi="Calibri" w:cs="Calibri"/>
        </w:rPr>
        <w:t xml:space="preserve"> and 2018-19 cohort (106 individuals)</w:t>
      </w:r>
      <w:r w:rsidR="142BDB8D" w:rsidRPr="7E4ADEAC">
        <w:rPr>
          <w:rFonts w:ascii="Calibri" w:eastAsia="Calibri" w:hAnsi="Calibri" w:cs="Calibri"/>
        </w:rPr>
        <w:t>.</w:t>
      </w:r>
    </w:p>
    <w:tbl>
      <w:tblPr>
        <w:tblStyle w:val="TableGrid"/>
        <w:tblW w:w="0" w:type="auto"/>
        <w:tblLook w:val="06A0" w:firstRow="1" w:lastRow="0" w:firstColumn="1" w:lastColumn="0" w:noHBand="1" w:noVBand="1"/>
      </w:tblPr>
      <w:tblGrid>
        <w:gridCol w:w="2235"/>
        <w:gridCol w:w="2306"/>
        <w:gridCol w:w="2382"/>
        <w:gridCol w:w="2382"/>
      </w:tblGrid>
      <w:tr w:rsidR="7E4ADEAC" w:rsidRPr="00FA7AC2" w14:paraId="7D951D50" w14:textId="77777777" w:rsidTr="00FA7AC2">
        <w:tc>
          <w:tcPr>
            <w:tcW w:w="0" w:type="auto"/>
            <w:shd w:val="clear" w:color="auto" w:fill="E2EFD9" w:themeFill="accent6" w:themeFillTint="33"/>
          </w:tcPr>
          <w:p w14:paraId="349DD984" w14:textId="23035F04" w:rsidR="7E4ADEAC" w:rsidRPr="00FA7AC2" w:rsidRDefault="7E4ADEAC" w:rsidP="7E4ADEAC">
            <w:pPr>
              <w:rPr>
                <w:rFonts w:ascii="Calibri" w:eastAsia="Calibri" w:hAnsi="Calibri" w:cs="Calibri"/>
                <w:color w:val="000000" w:themeColor="text1"/>
                <w:sz w:val="19"/>
                <w:szCs w:val="19"/>
              </w:rPr>
            </w:pPr>
          </w:p>
        </w:tc>
        <w:tc>
          <w:tcPr>
            <w:tcW w:w="0" w:type="auto"/>
            <w:shd w:val="clear" w:color="auto" w:fill="E2EFD9" w:themeFill="accent6" w:themeFillTint="33"/>
          </w:tcPr>
          <w:p w14:paraId="5011B3BF" w14:textId="1DBDD9F6" w:rsidR="7E4ADEAC" w:rsidRPr="00FA7AC2" w:rsidRDefault="7E4ADEAC">
            <w:pPr>
              <w:rPr>
                <w:sz w:val="19"/>
                <w:szCs w:val="19"/>
              </w:rPr>
            </w:pPr>
            <w:r w:rsidRPr="00FA7AC2">
              <w:rPr>
                <w:rFonts w:ascii="Calibri" w:eastAsia="Calibri" w:hAnsi="Calibri" w:cs="Calibri"/>
                <w:b/>
                <w:bCs/>
                <w:color w:val="000000" w:themeColor="text1"/>
                <w:sz w:val="19"/>
                <w:szCs w:val="19"/>
              </w:rPr>
              <w:t>% Recidivate wi</w:t>
            </w:r>
            <w:r w:rsidR="7462921E" w:rsidRPr="00FA7AC2">
              <w:rPr>
                <w:rFonts w:ascii="Calibri" w:eastAsia="Calibri" w:hAnsi="Calibri" w:cs="Calibri"/>
                <w:b/>
                <w:bCs/>
                <w:color w:val="000000" w:themeColor="text1"/>
                <w:sz w:val="19"/>
                <w:szCs w:val="19"/>
              </w:rPr>
              <w:t xml:space="preserve">thin </w:t>
            </w:r>
            <w:r w:rsidRPr="00FA7AC2">
              <w:rPr>
                <w:rFonts w:ascii="Calibri" w:eastAsia="Calibri" w:hAnsi="Calibri" w:cs="Calibri"/>
                <w:b/>
                <w:bCs/>
                <w:color w:val="000000" w:themeColor="text1"/>
                <w:sz w:val="19"/>
                <w:szCs w:val="19"/>
              </w:rPr>
              <w:t>1 Year</w:t>
            </w:r>
          </w:p>
        </w:tc>
        <w:tc>
          <w:tcPr>
            <w:tcW w:w="0" w:type="auto"/>
            <w:shd w:val="clear" w:color="auto" w:fill="E2EFD9" w:themeFill="accent6" w:themeFillTint="33"/>
          </w:tcPr>
          <w:p w14:paraId="53D71092" w14:textId="2CD2D8A7" w:rsidR="7E4ADEAC" w:rsidRPr="00FA7AC2" w:rsidRDefault="7E4ADEAC">
            <w:pPr>
              <w:rPr>
                <w:sz w:val="19"/>
                <w:szCs w:val="19"/>
              </w:rPr>
            </w:pPr>
            <w:r w:rsidRPr="00FA7AC2">
              <w:rPr>
                <w:rFonts w:ascii="Calibri" w:eastAsia="Calibri" w:hAnsi="Calibri" w:cs="Calibri"/>
                <w:b/>
                <w:bCs/>
                <w:color w:val="000000" w:themeColor="text1"/>
                <w:sz w:val="19"/>
                <w:szCs w:val="19"/>
              </w:rPr>
              <w:t>% Recidivate within 2 Years</w:t>
            </w:r>
          </w:p>
        </w:tc>
        <w:tc>
          <w:tcPr>
            <w:tcW w:w="0" w:type="auto"/>
            <w:shd w:val="clear" w:color="auto" w:fill="E2EFD9" w:themeFill="accent6" w:themeFillTint="33"/>
          </w:tcPr>
          <w:p w14:paraId="61E46040" w14:textId="0263960E" w:rsidR="7E4ADEAC" w:rsidRPr="00FA7AC2" w:rsidRDefault="7E4ADEAC">
            <w:pPr>
              <w:rPr>
                <w:sz w:val="19"/>
                <w:szCs w:val="19"/>
              </w:rPr>
            </w:pPr>
            <w:r w:rsidRPr="00FA7AC2">
              <w:rPr>
                <w:rFonts w:ascii="Calibri" w:eastAsia="Calibri" w:hAnsi="Calibri" w:cs="Calibri"/>
                <w:b/>
                <w:bCs/>
                <w:color w:val="000000" w:themeColor="text1"/>
                <w:sz w:val="19"/>
                <w:szCs w:val="19"/>
              </w:rPr>
              <w:t>% Recidivate within 3 Years</w:t>
            </w:r>
          </w:p>
        </w:tc>
      </w:tr>
      <w:tr w:rsidR="7E4ADEAC" w:rsidRPr="00FA7AC2" w14:paraId="17BE6B55" w14:textId="77777777" w:rsidTr="007E138A">
        <w:tc>
          <w:tcPr>
            <w:tcW w:w="0" w:type="auto"/>
          </w:tcPr>
          <w:p w14:paraId="7BF85172" w14:textId="31806484" w:rsidR="7E4ADEAC" w:rsidRPr="00FA7AC2" w:rsidRDefault="7E4ADEAC">
            <w:pPr>
              <w:rPr>
                <w:sz w:val="19"/>
                <w:szCs w:val="19"/>
              </w:rPr>
            </w:pPr>
            <w:r w:rsidRPr="00FA7AC2">
              <w:rPr>
                <w:rFonts w:ascii="Calibri" w:eastAsia="Calibri" w:hAnsi="Calibri" w:cs="Calibri"/>
                <w:b/>
                <w:bCs/>
                <w:color w:val="000000" w:themeColor="text1"/>
                <w:sz w:val="19"/>
                <w:szCs w:val="19"/>
              </w:rPr>
              <w:t>WI AEFLA 2015-16 Cohort</w:t>
            </w:r>
          </w:p>
        </w:tc>
        <w:tc>
          <w:tcPr>
            <w:tcW w:w="0" w:type="auto"/>
          </w:tcPr>
          <w:p w14:paraId="0A09289D" w14:textId="41DB53A8" w:rsidR="7E4ADEAC" w:rsidRPr="00FA7AC2" w:rsidRDefault="7E4ADEAC" w:rsidP="7E4ADEAC">
            <w:pPr>
              <w:jc w:val="center"/>
              <w:rPr>
                <w:sz w:val="19"/>
                <w:szCs w:val="19"/>
              </w:rPr>
            </w:pPr>
            <w:r w:rsidRPr="00FA7AC2">
              <w:rPr>
                <w:rFonts w:ascii="Calibri" w:eastAsia="Calibri" w:hAnsi="Calibri" w:cs="Calibri"/>
                <w:color w:val="000000" w:themeColor="text1"/>
                <w:sz w:val="19"/>
                <w:szCs w:val="19"/>
              </w:rPr>
              <w:t>20%</w:t>
            </w:r>
          </w:p>
        </w:tc>
        <w:tc>
          <w:tcPr>
            <w:tcW w:w="0" w:type="auto"/>
          </w:tcPr>
          <w:p w14:paraId="0A7FCA36" w14:textId="100CC55F" w:rsidR="7E4ADEAC" w:rsidRPr="00FA7AC2" w:rsidRDefault="7E4ADEAC" w:rsidP="7E4ADEAC">
            <w:pPr>
              <w:jc w:val="center"/>
              <w:rPr>
                <w:sz w:val="19"/>
                <w:szCs w:val="19"/>
              </w:rPr>
            </w:pPr>
            <w:r w:rsidRPr="00FA7AC2">
              <w:rPr>
                <w:rFonts w:ascii="Calibri" w:eastAsia="Calibri" w:hAnsi="Calibri" w:cs="Calibri"/>
                <w:color w:val="000000" w:themeColor="text1"/>
                <w:sz w:val="19"/>
                <w:szCs w:val="19"/>
              </w:rPr>
              <w:t>27%</w:t>
            </w:r>
          </w:p>
        </w:tc>
        <w:tc>
          <w:tcPr>
            <w:tcW w:w="0" w:type="auto"/>
          </w:tcPr>
          <w:p w14:paraId="7AE6991A" w14:textId="17149FFA" w:rsidR="7E4ADEAC" w:rsidRPr="00FA7AC2" w:rsidRDefault="7E4ADEAC" w:rsidP="7E4ADEAC">
            <w:pPr>
              <w:jc w:val="center"/>
              <w:rPr>
                <w:sz w:val="19"/>
                <w:szCs w:val="19"/>
              </w:rPr>
            </w:pPr>
            <w:r w:rsidRPr="00FA7AC2">
              <w:rPr>
                <w:rFonts w:ascii="Calibri" w:eastAsia="Calibri" w:hAnsi="Calibri" w:cs="Calibri"/>
                <w:color w:val="000000" w:themeColor="text1"/>
                <w:sz w:val="19"/>
                <w:szCs w:val="19"/>
              </w:rPr>
              <w:t>29%</w:t>
            </w:r>
          </w:p>
        </w:tc>
      </w:tr>
      <w:tr w:rsidR="7E4ADEAC" w:rsidRPr="00FA7AC2" w14:paraId="3B60F3A3" w14:textId="77777777" w:rsidTr="007E138A">
        <w:tc>
          <w:tcPr>
            <w:tcW w:w="0" w:type="auto"/>
          </w:tcPr>
          <w:p w14:paraId="46AC1B1A" w14:textId="217FAB2B" w:rsidR="7E4ADEAC" w:rsidRPr="00FA7AC2" w:rsidRDefault="7E4ADEAC">
            <w:pPr>
              <w:rPr>
                <w:sz w:val="19"/>
                <w:szCs w:val="19"/>
              </w:rPr>
            </w:pPr>
            <w:r w:rsidRPr="00FA7AC2">
              <w:rPr>
                <w:rFonts w:ascii="Calibri" w:eastAsia="Calibri" w:hAnsi="Calibri" w:cs="Calibri"/>
                <w:b/>
                <w:bCs/>
                <w:color w:val="000000" w:themeColor="text1"/>
                <w:sz w:val="19"/>
                <w:szCs w:val="19"/>
              </w:rPr>
              <w:t>WI AEFLA 2016-17 Cohort</w:t>
            </w:r>
          </w:p>
        </w:tc>
        <w:tc>
          <w:tcPr>
            <w:tcW w:w="0" w:type="auto"/>
          </w:tcPr>
          <w:p w14:paraId="5F78846A" w14:textId="4F2D0809" w:rsidR="7E4ADEAC" w:rsidRPr="00FA7AC2" w:rsidRDefault="7E4ADEAC" w:rsidP="7E4ADEAC">
            <w:pPr>
              <w:jc w:val="center"/>
              <w:rPr>
                <w:sz w:val="19"/>
                <w:szCs w:val="19"/>
              </w:rPr>
            </w:pPr>
            <w:r w:rsidRPr="00FA7AC2">
              <w:rPr>
                <w:rFonts w:ascii="Calibri" w:eastAsia="Calibri" w:hAnsi="Calibri" w:cs="Calibri"/>
                <w:color w:val="000000" w:themeColor="text1"/>
                <w:sz w:val="19"/>
                <w:szCs w:val="19"/>
              </w:rPr>
              <w:t>23%</w:t>
            </w:r>
          </w:p>
        </w:tc>
        <w:tc>
          <w:tcPr>
            <w:tcW w:w="0" w:type="auto"/>
          </w:tcPr>
          <w:p w14:paraId="0548F01E" w14:textId="0BAC65DC" w:rsidR="7E4ADEAC" w:rsidRPr="00FA7AC2" w:rsidRDefault="7E4ADEAC" w:rsidP="7E4ADEAC">
            <w:pPr>
              <w:jc w:val="center"/>
              <w:rPr>
                <w:sz w:val="19"/>
                <w:szCs w:val="19"/>
              </w:rPr>
            </w:pPr>
            <w:r w:rsidRPr="00FA7AC2">
              <w:rPr>
                <w:rFonts w:ascii="Calibri" w:eastAsia="Calibri" w:hAnsi="Calibri" w:cs="Calibri"/>
                <w:color w:val="000000" w:themeColor="text1"/>
                <w:sz w:val="19"/>
                <w:szCs w:val="19"/>
              </w:rPr>
              <w:t>39%</w:t>
            </w:r>
          </w:p>
        </w:tc>
        <w:tc>
          <w:tcPr>
            <w:tcW w:w="0" w:type="auto"/>
          </w:tcPr>
          <w:p w14:paraId="2327B5E2" w14:textId="45A951BB" w:rsidR="22456253" w:rsidRPr="00FA7AC2" w:rsidRDefault="22456253" w:rsidP="7E4ADEAC">
            <w:pPr>
              <w:jc w:val="center"/>
              <w:rPr>
                <w:sz w:val="19"/>
                <w:szCs w:val="19"/>
              </w:rPr>
            </w:pPr>
            <w:r w:rsidRPr="00FA7AC2">
              <w:rPr>
                <w:rFonts w:ascii="Calibri" w:eastAsia="Calibri" w:hAnsi="Calibri" w:cs="Calibri"/>
                <w:color w:val="000000" w:themeColor="text1"/>
                <w:sz w:val="19"/>
                <w:szCs w:val="19"/>
              </w:rPr>
              <w:t>41</w:t>
            </w:r>
            <w:r w:rsidR="7E4ADEAC" w:rsidRPr="00FA7AC2">
              <w:rPr>
                <w:rFonts w:ascii="Calibri" w:eastAsia="Calibri" w:hAnsi="Calibri" w:cs="Calibri"/>
                <w:color w:val="000000" w:themeColor="text1"/>
                <w:sz w:val="19"/>
                <w:szCs w:val="19"/>
              </w:rPr>
              <w:t>%</w:t>
            </w:r>
          </w:p>
        </w:tc>
      </w:tr>
      <w:tr w:rsidR="7E4ADEAC" w:rsidRPr="00FA7AC2" w14:paraId="3C15CC22" w14:textId="77777777" w:rsidTr="007E138A">
        <w:tc>
          <w:tcPr>
            <w:tcW w:w="0" w:type="auto"/>
          </w:tcPr>
          <w:p w14:paraId="3DF1FF53" w14:textId="07BC90BC" w:rsidR="7E4ADEAC" w:rsidRPr="00FA7AC2" w:rsidRDefault="7E4ADEAC">
            <w:pPr>
              <w:rPr>
                <w:sz w:val="19"/>
                <w:szCs w:val="19"/>
              </w:rPr>
            </w:pPr>
            <w:r w:rsidRPr="00FA7AC2">
              <w:rPr>
                <w:rFonts w:ascii="Calibri" w:eastAsia="Calibri" w:hAnsi="Calibri" w:cs="Calibri"/>
                <w:b/>
                <w:bCs/>
                <w:color w:val="000000" w:themeColor="text1"/>
                <w:sz w:val="19"/>
                <w:szCs w:val="19"/>
              </w:rPr>
              <w:t>WI AEFLA 2017-18 Cohort</w:t>
            </w:r>
          </w:p>
        </w:tc>
        <w:tc>
          <w:tcPr>
            <w:tcW w:w="0" w:type="auto"/>
          </w:tcPr>
          <w:p w14:paraId="065A9FCD" w14:textId="53780102" w:rsidR="7E4ADEAC" w:rsidRPr="00FA7AC2" w:rsidRDefault="7E4ADEAC" w:rsidP="7E4ADEAC">
            <w:pPr>
              <w:jc w:val="center"/>
              <w:rPr>
                <w:sz w:val="19"/>
                <w:szCs w:val="19"/>
              </w:rPr>
            </w:pPr>
            <w:r w:rsidRPr="00FA7AC2">
              <w:rPr>
                <w:rFonts w:ascii="Calibri" w:eastAsia="Calibri" w:hAnsi="Calibri" w:cs="Calibri"/>
                <w:color w:val="000000" w:themeColor="text1"/>
                <w:sz w:val="19"/>
                <w:szCs w:val="19"/>
              </w:rPr>
              <w:t>16%</w:t>
            </w:r>
          </w:p>
        </w:tc>
        <w:tc>
          <w:tcPr>
            <w:tcW w:w="0" w:type="auto"/>
          </w:tcPr>
          <w:p w14:paraId="67FB65AD" w14:textId="21BDE4A2" w:rsidR="1A307D43" w:rsidRPr="00FA7AC2" w:rsidRDefault="1A307D43" w:rsidP="7E4ADEAC">
            <w:pPr>
              <w:jc w:val="center"/>
              <w:rPr>
                <w:rFonts w:ascii="Calibri" w:eastAsia="Calibri" w:hAnsi="Calibri" w:cs="Calibri"/>
                <w:color w:val="000000" w:themeColor="text1"/>
                <w:sz w:val="19"/>
                <w:szCs w:val="19"/>
              </w:rPr>
            </w:pPr>
            <w:r w:rsidRPr="00FA7AC2">
              <w:rPr>
                <w:rFonts w:ascii="Calibri" w:eastAsia="Calibri" w:hAnsi="Calibri" w:cs="Calibri"/>
                <w:color w:val="000000" w:themeColor="text1"/>
                <w:sz w:val="19"/>
                <w:szCs w:val="19"/>
              </w:rPr>
              <w:t>19</w:t>
            </w:r>
            <w:r w:rsidR="7E4ADEAC" w:rsidRPr="00FA7AC2">
              <w:rPr>
                <w:rFonts w:ascii="Calibri" w:eastAsia="Calibri" w:hAnsi="Calibri" w:cs="Calibri"/>
                <w:color w:val="000000" w:themeColor="text1"/>
                <w:sz w:val="19"/>
                <w:szCs w:val="19"/>
              </w:rPr>
              <w:t>%</w:t>
            </w:r>
          </w:p>
        </w:tc>
        <w:tc>
          <w:tcPr>
            <w:tcW w:w="0" w:type="auto"/>
          </w:tcPr>
          <w:p w14:paraId="28445EB8" w14:textId="7807F70C" w:rsidR="7E4ADEAC" w:rsidRPr="00FA7AC2" w:rsidRDefault="7E4ADEAC" w:rsidP="7E4ADEAC">
            <w:pPr>
              <w:jc w:val="center"/>
              <w:rPr>
                <w:sz w:val="19"/>
                <w:szCs w:val="19"/>
              </w:rPr>
            </w:pPr>
            <w:r w:rsidRPr="00FA7AC2">
              <w:rPr>
                <w:rFonts w:ascii="Calibri" w:eastAsia="Calibri" w:hAnsi="Calibri" w:cs="Calibri"/>
                <w:color w:val="000000" w:themeColor="text1"/>
                <w:sz w:val="19"/>
                <w:szCs w:val="19"/>
              </w:rPr>
              <w:t>N/A</w:t>
            </w:r>
          </w:p>
        </w:tc>
      </w:tr>
      <w:tr w:rsidR="7E4ADEAC" w:rsidRPr="00FA7AC2" w14:paraId="0D55BA15" w14:textId="77777777" w:rsidTr="007E138A">
        <w:tc>
          <w:tcPr>
            <w:tcW w:w="0" w:type="auto"/>
          </w:tcPr>
          <w:p w14:paraId="061F65A5" w14:textId="6CDC1D28" w:rsidR="7E4ADEAC" w:rsidRPr="00FA7AC2" w:rsidRDefault="7E4ADEAC">
            <w:pPr>
              <w:rPr>
                <w:sz w:val="19"/>
                <w:szCs w:val="19"/>
              </w:rPr>
            </w:pPr>
            <w:r w:rsidRPr="00FA7AC2">
              <w:rPr>
                <w:rFonts w:ascii="Calibri" w:eastAsia="Calibri" w:hAnsi="Calibri" w:cs="Calibri"/>
                <w:b/>
                <w:bCs/>
                <w:color w:val="000000" w:themeColor="text1"/>
                <w:sz w:val="19"/>
                <w:szCs w:val="19"/>
              </w:rPr>
              <w:t>WI AEFLA 2018-19 Cohort</w:t>
            </w:r>
          </w:p>
        </w:tc>
        <w:tc>
          <w:tcPr>
            <w:tcW w:w="0" w:type="auto"/>
          </w:tcPr>
          <w:p w14:paraId="6886F818" w14:textId="0A41EED6" w:rsidR="7E4ADEAC" w:rsidRPr="00FA7AC2" w:rsidRDefault="7E4ADEAC" w:rsidP="7E4ADEAC">
            <w:pPr>
              <w:jc w:val="center"/>
              <w:rPr>
                <w:sz w:val="19"/>
                <w:szCs w:val="19"/>
              </w:rPr>
            </w:pPr>
            <w:r w:rsidRPr="00FA7AC2">
              <w:rPr>
                <w:rFonts w:ascii="Calibri" w:eastAsia="Calibri" w:hAnsi="Calibri" w:cs="Calibri"/>
                <w:color w:val="000000" w:themeColor="text1"/>
                <w:sz w:val="19"/>
                <w:szCs w:val="19"/>
              </w:rPr>
              <w:t>26%</w:t>
            </w:r>
          </w:p>
        </w:tc>
        <w:tc>
          <w:tcPr>
            <w:tcW w:w="0" w:type="auto"/>
          </w:tcPr>
          <w:p w14:paraId="1B179E0B" w14:textId="4CBDEBEB" w:rsidR="7E4ADEAC" w:rsidRPr="00FA7AC2" w:rsidRDefault="7E4ADEAC" w:rsidP="7E4ADEAC">
            <w:pPr>
              <w:jc w:val="center"/>
              <w:rPr>
                <w:sz w:val="19"/>
                <w:szCs w:val="19"/>
              </w:rPr>
            </w:pPr>
            <w:r w:rsidRPr="00FA7AC2">
              <w:rPr>
                <w:rFonts w:ascii="Calibri" w:eastAsia="Calibri" w:hAnsi="Calibri" w:cs="Calibri"/>
                <w:color w:val="000000" w:themeColor="text1"/>
                <w:sz w:val="19"/>
                <w:szCs w:val="19"/>
              </w:rPr>
              <w:t>N/A</w:t>
            </w:r>
          </w:p>
        </w:tc>
        <w:tc>
          <w:tcPr>
            <w:tcW w:w="0" w:type="auto"/>
          </w:tcPr>
          <w:p w14:paraId="4A4677D7" w14:textId="2BA41EE5" w:rsidR="7E4ADEAC" w:rsidRPr="00FA7AC2" w:rsidRDefault="7E4ADEAC" w:rsidP="7E4ADEAC">
            <w:pPr>
              <w:jc w:val="center"/>
              <w:rPr>
                <w:sz w:val="19"/>
                <w:szCs w:val="19"/>
              </w:rPr>
            </w:pPr>
            <w:r w:rsidRPr="00FA7AC2">
              <w:rPr>
                <w:rFonts w:ascii="Calibri" w:eastAsia="Calibri" w:hAnsi="Calibri" w:cs="Calibri"/>
                <w:color w:val="000000" w:themeColor="text1"/>
                <w:sz w:val="19"/>
                <w:szCs w:val="19"/>
              </w:rPr>
              <w:t>N/A</w:t>
            </w:r>
          </w:p>
        </w:tc>
      </w:tr>
      <w:tr w:rsidR="7E4ADEAC" w:rsidRPr="00FA7AC2" w14:paraId="47ECD8ED" w14:textId="77777777" w:rsidTr="00FA7AC2">
        <w:tc>
          <w:tcPr>
            <w:tcW w:w="0" w:type="auto"/>
            <w:shd w:val="clear" w:color="auto" w:fill="FFF2CC" w:themeFill="accent4" w:themeFillTint="33"/>
          </w:tcPr>
          <w:p w14:paraId="17966991" w14:textId="3C72B6D5" w:rsidR="7E4ADEAC" w:rsidRPr="00FA7AC2" w:rsidRDefault="7E4ADEAC">
            <w:pPr>
              <w:rPr>
                <w:sz w:val="19"/>
                <w:szCs w:val="19"/>
              </w:rPr>
            </w:pPr>
            <w:r w:rsidRPr="00FA7AC2">
              <w:rPr>
                <w:rFonts w:ascii="Calibri" w:eastAsia="Calibri" w:hAnsi="Calibri" w:cs="Calibri"/>
                <w:b/>
                <w:bCs/>
                <w:color w:val="000000" w:themeColor="text1"/>
                <w:sz w:val="19"/>
                <w:szCs w:val="19"/>
              </w:rPr>
              <w:t>WI DOC Benchmark</w:t>
            </w:r>
          </w:p>
        </w:tc>
        <w:tc>
          <w:tcPr>
            <w:tcW w:w="0" w:type="auto"/>
            <w:shd w:val="clear" w:color="auto" w:fill="FFF2CC" w:themeFill="accent4" w:themeFillTint="33"/>
          </w:tcPr>
          <w:p w14:paraId="2372A34C" w14:textId="132346B4" w:rsidR="7E4ADEAC" w:rsidRPr="00FA7AC2" w:rsidRDefault="7E4ADEAC" w:rsidP="7E4ADEAC">
            <w:pPr>
              <w:jc w:val="center"/>
              <w:rPr>
                <w:sz w:val="19"/>
                <w:szCs w:val="19"/>
              </w:rPr>
            </w:pPr>
            <w:r w:rsidRPr="00FA7AC2">
              <w:rPr>
                <w:rFonts w:ascii="Calibri" w:eastAsia="Calibri" w:hAnsi="Calibri" w:cs="Calibri"/>
                <w:color w:val="000000" w:themeColor="text1"/>
                <w:sz w:val="19"/>
                <w:szCs w:val="19"/>
              </w:rPr>
              <w:t>15%</w:t>
            </w:r>
          </w:p>
        </w:tc>
        <w:tc>
          <w:tcPr>
            <w:tcW w:w="0" w:type="auto"/>
            <w:shd w:val="clear" w:color="auto" w:fill="FFF2CC" w:themeFill="accent4" w:themeFillTint="33"/>
          </w:tcPr>
          <w:p w14:paraId="561E0C08" w14:textId="7D3FF0BD" w:rsidR="7E4ADEAC" w:rsidRPr="00FA7AC2" w:rsidRDefault="7E4ADEAC" w:rsidP="7E4ADEAC">
            <w:pPr>
              <w:jc w:val="center"/>
              <w:rPr>
                <w:sz w:val="19"/>
                <w:szCs w:val="19"/>
              </w:rPr>
            </w:pPr>
            <w:r w:rsidRPr="00FA7AC2">
              <w:rPr>
                <w:rFonts w:ascii="Calibri" w:eastAsia="Calibri" w:hAnsi="Calibri" w:cs="Calibri"/>
                <w:color w:val="000000" w:themeColor="text1"/>
                <w:sz w:val="19"/>
                <w:szCs w:val="19"/>
              </w:rPr>
              <w:t>26%</w:t>
            </w:r>
          </w:p>
        </w:tc>
        <w:tc>
          <w:tcPr>
            <w:tcW w:w="0" w:type="auto"/>
            <w:shd w:val="clear" w:color="auto" w:fill="FFF2CC" w:themeFill="accent4" w:themeFillTint="33"/>
          </w:tcPr>
          <w:p w14:paraId="48038980" w14:textId="14C31A62" w:rsidR="7E4ADEAC" w:rsidRPr="00FA7AC2" w:rsidRDefault="7E4ADEAC" w:rsidP="7E4ADEAC">
            <w:pPr>
              <w:jc w:val="center"/>
              <w:rPr>
                <w:sz w:val="19"/>
                <w:szCs w:val="19"/>
              </w:rPr>
            </w:pPr>
            <w:r w:rsidRPr="00FA7AC2">
              <w:rPr>
                <w:rFonts w:ascii="Calibri" w:eastAsia="Calibri" w:hAnsi="Calibri" w:cs="Calibri"/>
                <w:color w:val="000000" w:themeColor="text1"/>
                <w:sz w:val="19"/>
                <w:szCs w:val="19"/>
              </w:rPr>
              <w:t>33%</w:t>
            </w:r>
          </w:p>
        </w:tc>
      </w:tr>
    </w:tbl>
    <w:p w14:paraId="505CE03F" w14:textId="14A08027" w:rsidR="7E4ADEAC" w:rsidRDefault="7E4ADEAC" w:rsidP="005D7290">
      <w:pPr>
        <w:rPr>
          <w:rFonts w:ascii="Times New Roman" w:hAnsi="Times New Roman" w:cs="Times New Roman"/>
          <w:color w:val="000000" w:themeColor="text1"/>
          <w:sz w:val="23"/>
          <w:szCs w:val="23"/>
        </w:rPr>
      </w:pPr>
    </w:p>
    <w:sectPr w:rsidR="7E4ADEAC" w:rsidSect="006E47B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8C5C75" w14:textId="77777777" w:rsidR="004A54E0" w:rsidRDefault="004A54E0" w:rsidP="00160B55">
      <w:pPr>
        <w:spacing w:after="0" w:line="240" w:lineRule="auto"/>
      </w:pPr>
      <w:r>
        <w:separator/>
      </w:r>
    </w:p>
  </w:endnote>
  <w:endnote w:type="continuationSeparator" w:id="0">
    <w:p w14:paraId="6BCB4878" w14:textId="77777777" w:rsidR="004A54E0" w:rsidRDefault="004A54E0" w:rsidP="00160B55">
      <w:pPr>
        <w:spacing w:after="0" w:line="240" w:lineRule="auto"/>
      </w:pPr>
      <w:r>
        <w:continuationSeparator/>
      </w:r>
    </w:p>
  </w:endnote>
  <w:endnote w:type="continuationNotice" w:id="1">
    <w:p w14:paraId="7A2659D8" w14:textId="77777777" w:rsidR="004A54E0" w:rsidRDefault="004A54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C8571F" w14:textId="77777777" w:rsidR="004A54E0" w:rsidRDefault="004A54E0" w:rsidP="00160B55">
      <w:pPr>
        <w:spacing w:after="0" w:line="240" w:lineRule="auto"/>
      </w:pPr>
      <w:r>
        <w:separator/>
      </w:r>
    </w:p>
  </w:footnote>
  <w:footnote w:type="continuationSeparator" w:id="0">
    <w:p w14:paraId="467C2A5C" w14:textId="77777777" w:rsidR="004A54E0" w:rsidRDefault="004A54E0" w:rsidP="00160B55">
      <w:pPr>
        <w:spacing w:after="0" w:line="240" w:lineRule="auto"/>
      </w:pPr>
      <w:r>
        <w:continuationSeparator/>
      </w:r>
    </w:p>
  </w:footnote>
  <w:footnote w:type="continuationNotice" w:id="1">
    <w:p w14:paraId="3E9AC25A" w14:textId="77777777" w:rsidR="004A54E0" w:rsidRDefault="004A54E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20824A8"/>
    <w:multiLevelType w:val="hybridMultilevel"/>
    <w:tmpl w:val="37CF0A0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C8DBAA"/>
    <w:multiLevelType w:val="hybridMultilevel"/>
    <w:tmpl w:val="8A487C70"/>
    <w:lvl w:ilvl="0" w:tplc="FFFFFFFF">
      <w:start w:val="1"/>
      <w:numFmt w:val="ideographDigital"/>
      <w:lvlText w:val=""/>
      <w:lvlJc w:val="left"/>
    </w:lvl>
    <w:lvl w:ilvl="1" w:tplc="5F385132">
      <w:start w:val="1"/>
      <w:numFmt w:val="lowerLetter"/>
      <w:lvlText w:val="(%2)"/>
      <w:lvlJc w:val="left"/>
      <w:rPr>
        <w:rFonts w:ascii="Times New Roman" w:eastAsiaTheme="minorHAnsi" w:hAnsi="Times New Roman" w:cs="Times New Roman"/>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9E3615"/>
    <w:multiLevelType w:val="hybridMultilevel"/>
    <w:tmpl w:val="E70E9A66"/>
    <w:lvl w:ilvl="0" w:tplc="C2967920">
      <w:start w:val="1"/>
      <w:numFmt w:val="decimal"/>
      <w:lvlText w:val="%1."/>
      <w:lvlJc w:val="left"/>
      <w:pPr>
        <w:ind w:left="365" w:hanging="360"/>
      </w:pPr>
    </w:lvl>
    <w:lvl w:ilvl="1" w:tplc="33DE5A8C">
      <w:start w:val="1"/>
      <w:numFmt w:val="decimal"/>
      <w:lvlText w:val="%2."/>
      <w:lvlJc w:val="left"/>
      <w:pPr>
        <w:ind w:left="1085" w:hanging="360"/>
      </w:pPr>
    </w:lvl>
    <w:lvl w:ilvl="2" w:tplc="1AA6DAAA">
      <w:start w:val="1"/>
      <w:numFmt w:val="lowerRoman"/>
      <w:lvlText w:val="%3."/>
      <w:lvlJc w:val="right"/>
      <w:pPr>
        <w:ind w:left="1805" w:hanging="180"/>
      </w:pPr>
    </w:lvl>
    <w:lvl w:ilvl="3" w:tplc="4ACA7A12">
      <w:start w:val="1"/>
      <w:numFmt w:val="decimal"/>
      <w:lvlText w:val="%4."/>
      <w:lvlJc w:val="left"/>
      <w:pPr>
        <w:ind w:left="2525" w:hanging="360"/>
      </w:pPr>
    </w:lvl>
    <w:lvl w:ilvl="4" w:tplc="A444733C">
      <w:start w:val="1"/>
      <w:numFmt w:val="lowerLetter"/>
      <w:lvlText w:val="%5."/>
      <w:lvlJc w:val="left"/>
      <w:pPr>
        <w:ind w:left="3245" w:hanging="360"/>
      </w:pPr>
    </w:lvl>
    <w:lvl w:ilvl="5" w:tplc="39F6ED02">
      <w:start w:val="1"/>
      <w:numFmt w:val="lowerRoman"/>
      <w:lvlText w:val="%6."/>
      <w:lvlJc w:val="right"/>
      <w:pPr>
        <w:ind w:left="3965" w:hanging="180"/>
      </w:pPr>
    </w:lvl>
    <w:lvl w:ilvl="6" w:tplc="1CD698B6">
      <w:start w:val="1"/>
      <w:numFmt w:val="decimal"/>
      <w:lvlText w:val="%7."/>
      <w:lvlJc w:val="left"/>
      <w:pPr>
        <w:ind w:left="4685" w:hanging="360"/>
      </w:pPr>
    </w:lvl>
    <w:lvl w:ilvl="7" w:tplc="17C8A888">
      <w:start w:val="1"/>
      <w:numFmt w:val="lowerLetter"/>
      <w:lvlText w:val="%8."/>
      <w:lvlJc w:val="left"/>
      <w:pPr>
        <w:ind w:left="5405" w:hanging="360"/>
      </w:pPr>
    </w:lvl>
    <w:lvl w:ilvl="8" w:tplc="0F9C14F0">
      <w:start w:val="1"/>
      <w:numFmt w:val="lowerRoman"/>
      <w:lvlText w:val="%9."/>
      <w:lvlJc w:val="right"/>
      <w:pPr>
        <w:ind w:left="6125" w:hanging="180"/>
      </w:pPr>
    </w:lvl>
  </w:abstractNum>
  <w:abstractNum w:abstractNumId="3" w15:restartNumberingAfterBreak="0">
    <w:nsid w:val="05C15FE7"/>
    <w:multiLevelType w:val="hybridMultilevel"/>
    <w:tmpl w:val="F68044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C7087C"/>
    <w:multiLevelType w:val="hybridMultilevel"/>
    <w:tmpl w:val="66843C9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D79356E"/>
    <w:multiLevelType w:val="hybridMultilevel"/>
    <w:tmpl w:val="ED0A35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E7D10F5"/>
    <w:multiLevelType w:val="hybridMultilevel"/>
    <w:tmpl w:val="70668C66"/>
    <w:lvl w:ilvl="0" w:tplc="929CCFAA">
      <w:start w:val="1"/>
      <w:numFmt w:val="bullet"/>
      <w:lvlText w:val="·"/>
      <w:lvlJc w:val="left"/>
      <w:pPr>
        <w:ind w:left="720" w:hanging="360"/>
      </w:pPr>
      <w:rPr>
        <w:rFonts w:ascii="Symbol" w:hAnsi="Symbol" w:hint="default"/>
      </w:rPr>
    </w:lvl>
    <w:lvl w:ilvl="1" w:tplc="34CE4CFA">
      <w:start w:val="1"/>
      <w:numFmt w:val="bullet"/>
      <w:lvlText w:val="o"/>
      <w:lvlJc w:val="left"/>
      <w:pPr>
        <w:ind w:left="1440" w:hanging="360"/>
      </w:pPr>
      <w:rPr>
        <w:rFonts w:ascii="Courier New" w:hAnsi="Courier New" w:hint="default"/>
      </w:rPr>
    </w:lvl>
    <w:lvl w:ilvl="2" w:tplc="9FCCBB4C">
      <w:start w:val="1"/>
      <w:numFmt w:val="bullet"/>
      <w:lvlText w:val=""/>
      <w:lvlJc w:val="left"/>
      <w:pPr>
        <w:ind w:left="2160" w:hanging="360"/>
      </w:pPr>
      <w:rPr>
        <w:rFonts w:ascii="Wingdings" w:hAnsi="Wingdings" w:hint="default"/>
      </w:rPr>
    </w:lvl>
    <w:lvl w:ilvl="3" w:tplc="028C1A98">
      <w:start w:val="1"/>
      <w:numFmt w:val="bullet"/>
      <w:lvlText w:val=""/>
      <w:lvlJc w:val="left"/>
      <w:pPr>
        <w:ind w:left="2880" w:hanging="360"/>
      </w:pPr>
      <w:rPr>
        <w:rFonts w:ascii="Symbol" w:hAnsi="Symbol" w:hint="default"/>
      </w:rPr>
    </w:lvl>
    <w:lvl w:ilvl="4" w:tplc="97287524">
      <w:start w:val="1"/>
      <w:numFmt w:val="bullet"/>
      <w:lvlText w:val="o"/>
      <w:lvlJc w:val="left"/>
      <w:pPr>
        <w:ind w:left="3600" w:hanging="360"/>
      </w:pPr>
      <w:rPr>
        <w:rFonts w:ascii="Courier New" w:hAnsi="Courier New" w:hint="default"/>
      </w:rPr>
    </w:lvl>
    <w:lvl w:ilvl="5" w:tplc="74567D6A">
      <w:start w:val="1"/>
      <w:numFmt w:val="bullet"/>
      <w:lvlText w:val=""/>
      <w:lvlJc w:val="left"/>
      <w:pPr>
        <w:ind w:left="4320" w:hanging="360"/>
      </w:pPr>
      <w:rPr>
        <w:rFonts w:ascii="Wingdings" w:hAnsi="Wingdings" w:hint="default"/>
      </w:rPr>
    </w:lvl>
    <w:lvl w:ilvl="6" w:tplc="C7D49E00">
      <w:start w:val="1"/>
      <w:numFmt w:val="bullet"/>
      <w:lvlText w:val=""/>
      <w:lvlJc w:val="left"/>
      <w:pPr>
        <w:ind w:left="5040" w:hanging="360"/>
      </w:pPr>
      <w:rPr>
        <w:rFonts w:ascii="Symbol" w:hAnsi="Symbol" w:hint="default"/>
      </w:rPr>
    </w:lvl>
    <w:lvl w:ilvl="7" w:tplc="E9F4FCBE">
      <w:start w:val="1"/>
      <w:numFmt w:val="bullet"/>
      <w:lvlText w:val="o"/>
      <w:lvlJc w:val="left"/>
      <w:pPr>
        <w:ind w:left="5760" w:hanging="360"/>
      </w:pPr>
      <w:rPr>
        <w:rFonts w:ascii="Courier New" w:hAnsi="Courier New" w:hint="default"/>
      </w:rPr>
    </w:lvl>
    <w:lvl w:ilvl="8" w:tplc="95DA3042">
      <w:start w:val="1"/>
      <w:numFmt w:val="bullet"/>
      <w:lvlText w:val=""/>
      <w:lvlJc w:val="left"/>
      <w:pPr>
        <w:ind w:left="6480" w:hanging="360"/>
      </w:pPr>
      <w:rPr>
        <w:rFonts w:ascii="Wingdings" w:hAnsi="Wingdings" w:hint="default"/>
      </w:rPr>
    </w:lvl>
  </w:abstractNum>
  <w:abstractNum w:abstractNumId="7" w15:restartNumberingAfterBreak="0">
    <w:nsid w:val="49225BD5"/>
    <w:multiLevelType w:val="hybridMultilevel"/>
    <w:tmpl w:val="61E8785C"/>
    <w:lvl w:ilvl="0" w:tplc="CA64FD2C">
      <w:start w:val="1"/>
      <w:numFmt w:val="lowerLetter"/>
      <w:lvlText w:val="%1."/>
      <w:lvlJc w:val="left"/>
      <w:pPr>
        <w:ind w:left="360" w:hanging="360"/>
      </w:pPr>
    </w:lvl>
    <w:lvl w:ilvl="1" w:tplc="4AD8A61C">
      <w:start w:val="1"/>
      <w:numFmt w:val="lowerLetter"/>
      <w:lvlText w:val="%2."/>
      <w:lvlJc w:val="left"/>
      <w:pPr>
        <w:ind w:left="1080" w:hanging="360"/>
      </w:pPr>
    </w:lvl>
    <w:lvl w:ilvl="2" w:tplc="0FF4597E">
      <w:start w:val="1"/>
      <w:numFmt w:val="lowerRoman"/>
      <w:lvlText w:val="%3."/>
      <w:lvlJc w:val="right"/>
      <w:pPr>
        <w:ind w:left="1800" w:hanging="180"/>
      </w:pPr>
    </w:lvl>
    <w:lvl w:ilvl="3" w:tplc="D264D370">
      <w:start w:val="1"/>
      <w:numFmt w:val="decimal"/>
      <w:lvlText w:val="%4."/>
      <w:lvlJc w:val="left"/>
      <w:pPr>
        <w:ind w:left="2520" w:hanging="360"/>
      </w:pPr>
    </w:lvl>
    <w:lvl w:ilvl="4" w:tplc="EE76D344">
      <w:start w:val="1"/>
      <w:numFmt w:val="lowerLetter"/>
      <w:lvlText w:val="%5."/>
      <w:lvlJc w:val="left"/>
      <w:pPr>
        <w:ind w:left="3240" w:hanging="360"/>
      </w:pPr>
    </w:lvl>
    <w:lvl w:ilvl="5" w:tplc="73505682">
      <w:start w:val="1"/>
      <w:numFmt w:val="lowerRoman"/>
      <w:lvlText w:val="%6."/>
      <w:lvlJc w:val="right"/>
      <w:pPr>
        <w:ind w:left="3960" w:hanging="180"/>
      </w:pPr>
    </w:lvl>
    <w:lvl w:ilvl="6" w:tplc="368CFE9A">
      <w:start w:val="1"/>
      <w:numFmt w:val="decimal"/>
      <w:lvlText w:val="%7."/>
      <w:lvlJc w:val="left"/>
      <w:pPr>
        <w:ind w:left="4680" w:hanging="360"/>
      </w:pPr>
    </w:lvl>
    <w:lvl w:ilvl="7" w:tplc="F8F8FF10">
      <w:start w:val="1"/>
      <w:numFmt w:val="lowerLetter"/>
      <w:lvlText w:val="%8."/>
      <w:lvlJc w:val="left"/>
      <w:pPr>
        <w:ind w:left="5400" w:hanging="360"/>
      </w:pPr>
    </w:lvl>
    <w:lvl w:ilvl="8" w:tplc="9BE642CA">
      <w:start w:val="1"/>
      <w:numFmt w:val="lowerRoman"/>
      <w:lvlText w:val="%9."/>
      <w:lvlJc w:val="right"/>
      <w:pPr>
        <w:ind w:left="6120" w:hanging="180"/>
      </w:pPr>
    </w:lvl>
  </w:abstractNum>
  <w:abstractNum w:abstractNumId="8" w15:restartNumberingAfterBreak="0">
    <w:nsid w:val="4C4C4FF8"/>
    <w:multiLevelType w:val="hybridMultilevel"/>
    <w:tmpl w:val="747A54A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52333099"/>
    <w:multiLevelType w:val="hybridMultilevel"/>
    <w:tmpl w:val="380A4B60"/>
    <w:lvl w:ilvl="0" w:tplc="1616AF16">
      <w:start w:val="1"/>
      <w:numFmt w:val="bullet"/>
      <w:lvlText w:val="·"/>
      <w:lvlJc w:val="left"/>
      <w:pPr>
        <w:ind w:left="720" w:hanging="360"/>
      </w:pPr>
      <w:rPr>
        <w:rFonts w:ascii="Symbol" w:hAnsi="Symbol" w:hint="default"/>
      </w:rPr>
    </w:lvl>
    <w:lvl w:ilvl="1" w:tplc="632E7146">
      <w:start w:val="1"/>
      <w:numFmt w:val="bullet"/>
      <w:lvlText w:val="o"/>
      <w:lvlJc w:val="left"/>
      <w:pPr>
        <w:ind w:left="1440" w:hanging="360"/>
      </w:pPr>
      <w:rPr>
        <w:rFonts w:ascii="Courier New" w:hAnsi="Courier New" w:hint="default"/>
      </w:rPr>
    </w:lvl>
    <w:lvl w:ilvl="2" w:tplc="0E90270C">
      <w:start w:val="1"/>
      <w:numFmt w:val="bullet"/>
      <w:lvlText w:val=""/>
      <w:lvlJc w:val="left"/>
      <w:pPr>
        <w:ind w:left="2160" w:hanging="360"/>
      </w:pPr>
      <w:rPr>
        <w:rFonts w:ascii="Wingdings" w:hAnsi="Wingdings" w:hint="default"/>
      </w:rPr>
    </w:lvl>
    <w:lvl w:ilvl="3" w:tplc="4CBC462C">
      <w:start w:val="1"/>
      <w:numFmt w:val="bullet"/>
      <w:lvlText w:val=""/>
      <w:lvlJc w:val="left"/>
      <w:pPr>
        <w:ind w:left="2880" w:hanging="360"/>
      </w:pPr>
      <w:rPr>
        <w:rFonts w:ascii="Symbol" w:hAnsi="Symbol" w:hint="default"/>
      </w:rPr>
    </w:lvl>
    <w:lvl w:ilvl="4" w:tplc="9936465E">
      <w:start w:val="1"/>
      <w:numFmt w:val="bullet"/>
      <w:lvlText w:val="o"/>
      <w:lvlJc w:val="left"/>
      <w:pPr>
        <w:ind w:left="3600" w:hanging="360"/>
      </w:pPr>
      <w:rPr>
        <w:rFonts w:ascii="Courier New" w:hAnsi="Courier New" w:hint="default"/>
      </w:rPr>
    </w:lvl>
    <w:lvl w:ilvl="5" w:tplc="EABA9A3E">
      <w:start w:val="1"/>
      <w:numFmt w:val="bullet"/>
      <w:lvlText w:val=""/>
      <w:lvlJc w:val="left"/>
      <w:pPr>
        <w:ind w:left="4320" w:hanging="360"/>
      </w:pPr>
      <w:rPr>
        <w:rFonts w:ascii="Wingdings" w:hAnsi="Wingdings" w:hint="default"/>
      </w:rPr>
    </w:lvl>
    <w:lvl w:ilvl="6" w:tplc="AC2204BC">
      <w:start w:val="1"/>
      <w:numFmt w:val="bullet"/>
      <w:lvlText w:val=""/>
      <w:lvlJc w:val="left"/>
      <w:pPr>
        <w:ind w:left="5040" w:hanging="360"/>
      </w:pPr>
      <w:rPr>
        <w:rFonts w:ascii="Symbol" w:hAnsi="Symbol" w:hint="default"/>
      </w:rPr>
    </w:lvl>
    <w:lvl w:ilvl="7" w:tplc="0FF4617C">
      <w:start w:val="1"/>
      <w:numFmt w:val="bullet"/>
      <w:lvlText w:val="o"/>
      <w:lvlJc w:val="left"/>
      <w:pPr>
        <w:ind w:left="5760" w:hanging="360"/>
      </w:pPr>
      <w:rPr>
        <w:rFonts w:ascii="Courier New" w:hAnsi="Courier New" w:hint="default"/>
      </w:rPr>
    </w:lvl>
    <w:lvl w:ilvl="8" w:tplc="3336F8D4">
      <w:start w:val="1"/>
      <w:numFmt w:val="bullet"/>
      <w:lvlText w:val=""/>
      <w:lvlJc w:val="left"/>
      <w:pPr>
        <w:ind w:left="6480" w:hanging="360"/>
      </w:pPr>
      <w:rPr>
        <w:rFonts w:ascii="Wingdings" w:hAnsi="Wingdings" w:hint="default"/>
      </w:rPr>
    </w:lvl>
  </w:abstractNum>
  <w:abstractNum w:abstractNumId="10" w15:restartNumberingAfterBreak="0">
    <w:nsid w:val="59DA5514"/>
    <w:multiLevelType w:val="hybridMultilevel"/>
    <w:tmpl w:val="2CE0E2B0"/>
    <w:lvl w:ilvl="0" w:tplc="3C107A10">
      <w:start w:val="1"/>
      <w:numFmt w:val="bullet"/>
      <w:lvlText w:val="·"/>
      <w:lvlJc w:val="left"/>
      <w:pPr>
        <w:ind w:left="720" w:hanging="360"/>
      </w:pPr>
      <w:rPr>
        <w:rFonts w:ascii="Symbol" w:hAnsi="Symbol" w:hint="default"/>
      </w:rPr>
    </w:lvl>
    <w:lvl w:ilvl="1" w:tplc="5C72D560">
      <w:start w:val="1"/>
      <w:numFmt w:val="bullet"/>
      <w:lvlText w:val="o"/>
      <w:lvlJc w:val="left"/>
      <w:pPr>
        <w:ind w:left="1440" w:hanging="360"/>
      </w:pPr>
      <w:rPr>
        <w:rFonts w:ascii="Courier New" w:hAnsi="Courier New" w:hint="default"/>
      </w:rPr>
    </w:lvl>
    <w:lvl w:ilvl="2" w:tplc="41A83962">
      <w:start w:val="1"/>
      <w:numFmt w:val="bullet"/>
      <w:lvlText w:val=""/>
      <w:lvlJc w:val="left"/>
      <w:pPr>
        <w:ind w:left="2160" w:hanging="360"/>
      </w:pPr>
      <w:rPr>
        <w:rFonts w:ascii="Wingdings" w:hAnsi="Wingdings" w:hint="default"/>
      </w:rPr>
    </w:lvl>
    <w:lvl w:ilvl="3" w:tplc="BCAEE264">
      <w:start w:val="1"/>
      <w:numFmt w:val="bullet"/>
      <w:lvlText w:val=""/>
      <w:lvlJc w:val="left"/>
      <w:pPr>
        <w:ind w:left="2880" w:hanging="360"/>
      </w:pPr>
      <w:rPr>
        <w:rFonts w:ascii="Symbol" w:hAnsi="Symbol" w:hint="default"/>
      </w:rPr>
    </w:lvl>
    <w:lvl w:ilvl="4" w:tplc="B7D884B0">
      <w:start w:val="1"/>
      <w:numFmt w:val="bullet"/>
      <w:lvlText w:val="o"/>
      <w:lvlJc w:val="left"/>
      <w:pPr>
        <w:ind w:left="3600" w:hanging="360"/>
      </w:pPr>
      <w:rPr>
        <w:rFonts w:ascii="Courier New" w:hAnsi="Courier New" w:hint="default"/>
      </w:rPr>
    </w:lvl>
    <w:lvl w:ilvl="5" w:tplc="CEA2AD02">
      <w:start w:val="1"/>
      <w:numFmt w:val="bullet"/>
      <w:lvlText w:val=""/>
      <w:lvlJc w:val="left"/>
      <w:pPr>
        <w:ind w:left="4320" w:hanging="360"/>
      </w:pPr>
      <w:rPr>
        <w:rFonts w:ascii="Wingdings" w:hAnsi="Wingdings" w:hint="default"/>
      </w:rPr>
    </w:lvl>
    <w:lvl w:ilvl="6" w:tplc="CCD49F1E">
      <w:start w:val="1"/>
      <w:numFmt w:val="bullet"/>
      <w:lvlText w:val=""/>
      <w:lvlJc w:val="left"/>
      <w:pPr>
        <w:ind w:left="5040" w:hanging="360"/>
      </w:pPr>
      <w:rPr>
        <w:rFonts w:ascii="Symbol" w:hAnsi="Symbol" w:hint="default"/>
      </w:rPr>
    </w:lvl>
    <w:lvl w:ilvl="7" w:tplc="A87E8AEE">
      <w:start w:val="1"/>
      <w:numFmt w:val="bullet"/>
      <w:lvlText w:val="o"/>
      <w:lvlJc w:val="left"/>
      <w:pPr>
        <w:ind w:left="5760" w:hanging="360"/>
      </w:pPr>
      <w:rPr>
        <w:rFonts w:ascii="Courier New" w:hAnsi="Courier New" w:hint="default"/>
      </w:rPr>
    </w:lvl>
    <w:lvl w:ilvl="8" w:tplc="2ECCCF0E">
      <w:start w:val="1"/>
      <w:numFmt w:val="bullet"/>
      <w:lvlText w:val=""/>
      <w:lvlJc w:val="left"/>
      <w:pPr>
        <w:ind w:left="6480" w:hanging="360"/>
      </w:pPr>
      <w:rPr>
        <w:rFonts w:ascii="Wingdings" w:hAnsi="Wingdings" w:hint="default"/>
      </w:rPr>
    </w:lvl>
  </w:abstractNum>
  <w:abstractNum w:abstractNumId="11" w15:restartNumberingAfterBreak="0">
    <w:nsid w:val="5BE2309A"/>
    <w:multiLevelType w:val="hybridMultilevel"/>
    <w:tmpl w:val="A184C35A"/>
    <w:lvl w:ilvl="0" w:tplc="F5BCEF52">
      <w:start w:val="1"/>
      <w:numFmt w:val="lowerLetter"/>
      <w:lvlText w:val="%1."/>
      <w:lvlJc w:val="left"/>
      <w:pPr>
        <w:ind w:left="360" w:hanging="360"/>
      </w:pPr>
    </w:lvl>
    <w:lvl w:ilvl="1" w:tplc="D848014C">
      <w:start w:val="1"/>
      <w:numFmt w:val="lowerLetter"/>
      <w:lvlText w:val="%2."/>
      <w:lvlJc w:val="left"/>
      <w:pPr>
        <w:ind w:left="1080" w:hanging="360"/>
      </w:pPr>
    </w:lvl>
    <w:lvl w:ilvl="2" w:tplc="012C4D24">
      <w:start w:val="1"/>
      <w:numFmt w:val="lowerRoman"/>
      <w:lvlText w:val="%3."/>
      <w:lvlJc w:val="right"/>
      <w:pPr>
        <w:ind w:left="1800" w:hanging="180"/>
      </w:pPr>
    </w:lvl>
    <w:lvl w:ilvl="3" w:tplc="E00CBF78">
      <w:start w:val="1"/>
      <w:numFmt w:val="decimal"/>
      <w:lvlText w:val="%4."/>
      <w:lvlJc w:val="left"/>
      <w:pPr>
        <w:ind w:left="2520" w:hanging="360"/>
      </w:pPr>
    </w:lvl>
    <w:lvl w:ilvl="4" w:tplc="0FA48478">
      <w:start w:val="1"/>
      <w:numFmt w:val="lowerLetter"/>
      <w:lvlText w:val="%5."/>
      <w:lvlJc w:val="left"/>
      <w:pPr>
        <w:ind w:left="3240" w:hanging="360"/>
      </w:pPr>
    </w:lvl>
    <w:lvl w:ilvl="5" w:tplc="5FF80A04">
      <w:start w:val="1"/>
      <w:numFmt w:val="lowerRoman"/>
      <w:lvlText w:val="%6."/>
      <w:lvlJc w:val="right"/>
      <w:pPr>
        <w:ind w:left="3960" w:hanging="180"/>
      </w:pPr>
    </w:lvl>
    <w:lvl w:ilvl="6" w:tplc="74A8E2FA">
      <w:start w:val="1"/>
      <w:numFmt w:val="decimal"/>
      <w:lvlText w:val="%7."/>
      <w:lvlJc w:val="left"/>
      <w:pPr>
        <w:ind w:left="4680" w:hanging="360"/>
      </w:pPr>
    </w:lvl>
    <w:lvl w:ilvl="7" w:tplc="3FDEA7DE">
      <w:start w:val="1"/>
      <w:numFmt w:val="lowerLetter"/>
      <w:lvlText w:val="%8."/>
      <w:lvlJc w:val="left"/>
      <w:pPr>
        <w:ind w:left="5400" w:hanging="360"/>
      </w:pPr>
    </w:lvl>
    <w:lvl w:ilvl="8" w:tplc="64104B78">
      <w:start w:val="1"/>
      <w:numFmt w:val="lowerRoman"/>
      <w:lvlText w:val="%9."/>
      <w:lvlJc w:val="right"/>
      <w:pPr>
        <w:ind w:left="6120" w:hanging="180"/>
      </w:pPr>
    </w:lvl>
  </w:abstractNum>
  <w:abstractNum w:abstractNumId="12" w15:restartNumberingAfterBreak="0">
    <w:nsid w:val="60AF56FC"/>
    <w:multiLevelType w:val="hybridMultilevel"/>
    <w:tmpl w:val="A0B609E0"/>
    <w:lvl w:ilvl="0" w:tplc="26086E10">
      <w:start w:val="1"/>
      <w:numFmt w:val="bullet"/>
      <w:lvlText w:val="·"/>
      <w:lvlJc w:val="left"/>
      <w:pPr>
        <w:ind w:left="360" w:hanging="360"/>
      </w:pPr>
      <w:rPr>
        <w:rFonts w:ascii="Symbol" w:hAnsi="Symbol" w:hint="default"/>
      </w:rPr>
    </w:lvl>
    <w:lvl w:ilvl="1" w:tplc="E00E1050">
      <w:start w:val="1"/>
      <w:numFmt w:val="bullet"/>
      <w:lvlText w:val="o"/>
      <w:lvlJc w:val="left"/>
      <w:pPr>
        <w:ind w:left="1080" w:hanging="360"/>
      </w:pPr>
      <w:rPr>
        <w:rFonts w:ascii="Courier New" w:hAnsi="Courier New" w:hint="default"/>
      </w:rPr>
    </w:lvl>
    <w:lvl w:ilvl="2" w:tplc="0E80C9F2">
      <w:start w:val="1"/>
      <w:numFmt w:val="bullet"/>
      <w:lvlText w:val=""/>
      <w:lvlJc w:val="left"/>
      <w:pPr>
        <w:ind w:left="1800" w:hanging="360"/>
      </w:pPr>
      <w:rPr>
        <w:rFonts w:ascii="Wingdings" w:hAnsi="Wingdings" w:hint="default"/>
      </w:rPr>
    </w:lvl>
    <w:lvl w:ilvl="3" w:tplc="D7E65134">
      <w:start w:val="1"/>
      <w:numFmt w:val="bullet"/>
      <w:lvlText w:val=""/>
      <w:lvlJc w:val="left"/>
      <w:pPr>
        <w:ind w:left="2520" w:hanging="360"/>
      </w:pPr>
      <w:rPr>
        <w:rFonts w:ascii="Symbol" w:hAnsi="Symbol" w:hint="default"/>
      </w:rPr>
    </w:lvl>
    <w:lvl w:ilvl="4" w:tplc="8C18005E">
      <w:start w:val="1"/>
      <w:numFmt w:val="bullet"/>
      <w:lvlText w:val="o"/>
      <w:lvlJc w:val="left"/>
      <w:pPr>
        <w:ind w:left="3240" w:hanging="360"/>
      </w:pPr>
      <w:rPr>
        <w:rFonts w:ascii="Courier New" w:hAnsi="Courier New" w:hint="default"/>
      </w:rPr>
    </w:lvl>
    <w:lvl w:ilvl="5" w:tplc="6D1E8F30">
      <w:start w:val="1"/>
      <w:numFmt w:val="bullet"/>
      <w:lvlText w:val=""/>
      <w:lvlJc w:val="left"/>
      <w:pPr>
        <w:ind w:left="3960" w:hanging="360"/>
      </w:pPr>
      <w:rPr>
        <w:rFonts w:ascii="Wingdings" w:hAnsi="Wingdings" w:hint="default"/>
      </w:rPr>
    </w:lvl>
    <w:lvl w:ilvl="6" w:tplc="8B2EF94E">
      <w:start w:val="1"/>
      <w:numFmt w:val="bullet"/>
      <w:lvlText w:val=""/>
      <w:lvlJc w:val="left"/>
      <w:pPr>
        <w:ind w:left="4680" w:hanging="360"/>
      </w:pPr>
      <w:rPr>
        <w:rFonts w:ascii="Symbol" w:hAnsi="Symbol" w:hint="default"/>
      </w:rPr>
    </w:lvl>
    <w:lvl w:ilvl="7" w:tplc="EE8E6D7A">
      <w:start w:val="1"/>
      <w:numFmt w:val="bullet"/>
      <w:lvlText w:val="o"/>
      <w:lvlJc w:val="left"/>
      <w:pPr>
        <w:ind w:left="5400" w:hanging="360"/>
      </w:pPr>
      <w:rPr>
        <w:rFonts w:ascii="Courier New" w:hAnsi="Courier New" w:hint="default"/>
      </w:rPr>
    </w:lvl>
    <w:lvl w:ilvl="8" w:tplc="5CE42D8A">
      <w:start w:val="1"/>
      <w:numFmt w:val="bullet"/>
      <w:lvlText w:val=""/>
      <w:lvlJc w:val="left"/>
      <w:pPr>
        <w:ind w:left="6120" w:hanging="360"/>
      </w:pPr>
      <w:rPr>
        <w:rFonts w:ascii="Wingdings" w:hAnsi="Wingdings" w:hint="default"/>
      </w:rPr>
    </w:lvl>
  </w:abstractNum>
  <w:abstractNum w:abstractNumId="13" w15:restartNumberingAfterBreak="0">
    <w:nsid w:val="6202376B"/>
    <w:multiLevelType w:val="hybridMultilevel"/>
    <w:tmpl w:val="856C03D0"/>
    <w:lvl w:ilvl="0" w:tplc="B6186C32">
      <w:start w:val="1"/>
      <w:numFmt w:val="decimal"/>
      <w:lvlText w:val="%1."/>
      <w:lvlJc w:val="left"/>
      <w:pPr>
        <w:ind w:left="720" w:hanging="360"/>
      </w:pPr>
    </w:lvl>
    <w:lvl w:ilvl="1" w:tplc="16586B3E">
      <w:start w:val="1"/>
      <w:numFmt w:val="lowerLetter"/>
      <w:lvlText w:val="%2."/>
      <w:lvlJc w:val="left"/>
      <w:pPr>
        <w:ind w:left="1440" w:hanging="360"/>
      </w:pPr>
    </w:lvl>
    <w:lvl w:ilvl="2" w:tplc="8BC20D1C">
      <w:start w:val="1"/>
      <w:numFmt w:val="lowerRoman"/>
      <w:lvlText w:val="%3."/>
      <w:lvlJc w:val="right"/>
      <w:pPr>
        <w:ind w:left="2160" w:hanging="180"/>
      </w:pPr>
    </w:lvl>
    <w:lvl w:ilvl="3" w:tplc="36769848">
      <w:start w:val="1"/>
      <w:numFmt w:val="decimal"/>
      <w:lvlText w:val="%4."/>
      <w:lvlJc w:val="left"/>
      <w:pPr>
        <w:ind w:left="2880" w:hanging="360"/>
      </w:pPr>
    </w:lvl>
    <w:lvl w:ilvl="4" w:tplc="A0846AF0">
      <w:start w:val="1"/>
      <w:numFmt w:val="lowerLetter"/>
      <w:lvlText w:val="%5."/>
      <w:lvlJc w:val="left"/>
      <w:pPr>
        <w:ind w:left="3600" w:hanging="360"/>
      </w:pPr>
    </w:lvl>
    <w:lvl w:ilvl="5" w:tplc="16EA7F8C">
      <w:start w:val="1"/>
      <w:numFmt w:val="lowerRoman"/>
      <w:lvlText w:val="%6."/>
      <w:lvlJc w:val="right"/>
      <w:pPr>
        <w:ind w:left="4320" w:hanging="180"/>
      </w:pPr>
    </w:lvl>
    <w:lvl w:ilvl="6" w:tplc="B9523286">
      <w:start w:val="1"/>
      <w:numFmt w:val="decimal"/>
      <w:lvlText w:val="%7."/>
      <w:lvlJc w:val="left"/>
      <w:pPr>
        <w:ind w:left="5040" w:hanging="360"/>
      </w:pPr>
    </w:lvl>
    <w:lvl w:ilvl="7" w:tplc="C90A2CCA">
      <w:start w:val="1"/>
      <w:numFmt w:val="lowerLetter"/>
      <w:lvlText w:val="%8."/>
      <w:lvlJc w:val="left"/>
      <w:pPr>
        <w:ind w:left="5760" w:hanging="360"/>
      </w:pPr>
    </w:lvl>
    <w:lvl w:ilvl="8" w:tplc="8F764C68">
      <w:start w:val="1"/>
      <w:numFmt w:val="lowerRoman"/>
      <w:lvlText w:val="%9."/>
      <w:lvlJc w:val="right"/>
      <w:pPr>
        <w:ind w:left="6480" w:hanging="180"/>
      </w:pPr>
    </w:lvl>
  </w:abstractNum>
  <w:abstractNum w:abstractNumId="14" w15:restartNumberingAfterBreak="0">
    <w:nsid w:val="63D66025"/>
    <w:multiLevelType w:val="hybridMultilevel"/>
    <w:tmpl w:val="6D826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0F5336"/>
    <w:multiLevelType w:val="hybridMultilevel"/>
    <w:tmpl w:val="FC1AF9C6"/>
    <w:lvl w:ilvl="0" w:tplc="C79EB330">
      <w:start w:val="1"/>
      <w:numFmt w:val="lowerLetter"/>
      <w:lvlText w:val="%1."/>
      <w:lvlJc w:val="left"/>
      <w:pPr>
        <w:ind w:left="365" w:hanging="360"/>
      </w:pPr>
    </w:lvl>
    <w:lvl w:ilvl="1" w:tplc="E6305E64">
      <w:start w:val="1"/>
      <w:numFmt w:val="lowerLetter"/>
      <w:lvlText w:val="%2."/>
      <w:lvlJc w:val="left"/>
      <w:pPr>
        <w:ind w:left="1085" w:hanging="360"/>
      </w:pPr>
    </w:lvl>
    <w:lvl w:ilvl="2" w:tplc="A5FADA2E">
      <w:start w:val="1"/>
      <w:numFmt w:val="lowerRoman"/>
      <w:lvlText w:val="%3."/>
      <w:lvlJc w:val="right"/>
      <w:pPr>
        <w:ind w:left="1805" w:hanging="180"/>
      </w:pPr>
    </w:lvl>
    <w:lvl w:ilvl="3" w:tplc="9BA8F448">
      <w:start w:val="1"/>
      <w:numFmt w:val="decimal"/>
      <w:lvlText w:val="%4."/>
      <w:lvlJc w:val="left"/>
      <w:pPr>
        <w:ind w:left="2525" w:hanging="360"/>
      </w:pPr>
    </w:lvl>
    <w:lvl w:ilvl="4" w:tplc="FAF677FE">
      <w:start w:val="1"/>
      <w:numFmt w:val="lowerLetter"/>
      <w:lvlText w:val="%5."/>
      <w:lvlJc w:val="left"/>
      <w:pPr>
        <w:ind w:left="3245" w:hanging="360"/>
      </w:pPr>
    </w:lvl>
    <w:lvl w:ilvl="5" w:tplc="D56C473C">
      <w:start w:val="1"/>
      <w:numFmt w:val="lowerRoman"/>
      <w:lvlText w:val="%6."/>
      <w:lvlJc w:val="right"/>
      <w:pPr>
        <w:ind w:left="3965" w:hanging="180"/>
      </w:pPr>
    </w:lvl>
    <w:lvl w:ilvl="6" w:tplc="48346D6C">
      <w:start w:val="1"/>
      <w:numFmt w:val="decimal"/>
      <w:lvlText w:val="%7."/>
      <w:lvlJc w:val="left"/>
      <w:pPr>
        <w:ind w:left="4685" w:hanging="360"/>
      </w:pPr>
    </w:lvl>
    <w:lvl w:ilvl="7" w:tplc="62C82786">
      <w:start w:val="1"/>
      <w:numFmt w:val="lowerLetter"/>
      <w:lvlText w:val="%8."/>
      <w:lvlJc w:val="left"/>
      <w:pPr>
        <w:ind w:left="5405" w:hanging="360"/>
      </w:pPr>
    </w:lvl>
    <w:lvl w:ilvl="8" w:tplc="915629AC">
      <w:start w:val="1"/>
      <w:numFmt w:val="lowerRoman"/>
      <w:lvlText w:val="%9."/>
      <w:lvlJc w:val="right"/>
      <w:pPr>
        <w:ind w:left="6125" w:hanging="180"/>
      </w:pPr>
    </w:lvl>
  </w:abstractNum>
  <w:abstractNum w:abstractNumId="16" w15:restartNumberingAfterBreak="0">
    <w:nsid w:val="645F580E"/>
    <w:multiLevelType w:val="hybridMultilevel"/>
    <w:tmpl w:val="B83E9192"/>
    <w:lvl w:ilvl="0" w:tplc="FA3ED82C">
      <w:start w:val="1"/>
      <w:numFmt w:val="bullet"/>
      <w:lvlText w:val=""/>
      <w:lvlJc w:val="left"/>
      <w:pPr>
        <w:ind w:left="360" w:hanging="360"/>
      </w:pPr>
      <w:rPr>
        <w:rFonts w:ascii="Symbol" w:hAnsi="Symbol" w:hint="default"/>
      </w:rPr>
    </w:lvl>
    <w:lvl w:ilvl="1" w:tplc="ACF6DCEC">
      <w:start w:val="1"/>
      <w:numFmt w:val="bullet"/>
      <w:lvlText w:val="o"/>
      <w:lvlJc w:val="left"/>
      <w:pPr>
        <w:ind w:left="1080" w:hanging="360"/>
      </w:pPr>
      <w:rPr>
        <w:rFonts w:ascii="Courier New" w:hAnsi="Courier New" w:hint="default"/>
      </w:rPr>
    </w:lvl>
    <w:lvl w:ilvl="2" w:tplc="C9D2FACC">
      <w:start w:val="1"/>
      <w:numFmt w:val="bullet"/>
      <w:lvlText w:val=""/>
      <w:lvlJc w:val="left"/>
      <w:pPr>
        <w:ind w:left="1800" w:hanging="360"/>
      </w:pPr>
      <w:rPr>
        <w:rFonts w:ascii="Wingdings" w:hAnsi="Wingdings" w:hint="default"/>
      </w:rPr>
    </w:lvl>
    <w:lvl w:ilvl="3" w:tplc="304C3AC2">
      <w:start w:val="1"/>
      <w:numFmt w:val="bullet"/>
      <w:lvlText w:val=""/>
      <w:lvlJc w:val="left"/>
      <w:pPr>
        <w:ind w:left="2520" w:hanging="360"/>
      </w:pPr>
      <w:rPr>
        <w:rFonts w:ascii="Symbol" w:hAnsi="Symbol" w:hint="default"/>
      </w:rPr>
    </w:lvl>
    <w:lvl w:ilvl="4" w:tplc="AA4836F6">
      <w:start w:val="1"/>
      <w:numFmt w:val="bullet"/>
      <w:lvlText w:val="o"/>
      <w:lvlJc w:val="left"/>
      <w:pPr>
        <w:ind w:left="3240" w:hanging="360"/>
      </w:pPr>
      <w:rPr>
        <w:rFonts w:ascii="Courier New" w:hAnsi="Courier New" w:hint="default"/>
      </w:rPr>
    </w:lvl>
    <w:lvl w:ilvl="5" w:tplc="D876AEDE">
      <w:start w:val="1"/>
      <w:numFmt w:val="bullet"/>
      <w:lvlText w:val=""/>
      <w:lvlJc w:val="left"/>
      <w:pPr>
        <w:ind w:left="3960" w:hanging="360"/>
      </w:pPr>
      <w:rPr>
        <w:rFonts w:ascii="Wingdings" w:hAnsi="Wingdings" w:hint="default"/>
      </w:rPr>
    </w:lvl>
    <w:lvl w:ilvl="6" w:tplc="0D061C82">
      <w:start w:val="1"/>
      <w:numFmt w:val="bullet"/>
      <w:lvlText w:val=""/>
      <w:lvlJc w:val="left"/>
      <w:pPr>
        <w:ind w:left="4680" w:hanging="360"/>
      </w:pPr>
      <w:rPr>
        <w:rFonts w:ascii="Symbol" w:hAnsi="Symbol" w:hint="default"/>
      </w:rPr>
    </w:lvl>
    <w:lvl w:ilvl="7" w:tplc="19286F6C">
      <w:start w:val="1"/>
      <w:numFmt w:val="bullet"/>
      <w:lvlText w:val="o"/>
      <w:lvlJc w:val="left"/>
      <w:pPr>
        <w:ind w:left="5400" w:hanging="360"/>
      </w:pPr>
      <w:rPr>
        <w:rFonts w:ascii="Courier New" w:hAnsi="Courier New" w:hint="default"/>
      </w:rPr>
    </w:lvl>
    <w:lvl w:ilvl="8" w:tplc="1F2E86DA">
      <w:start w:val="1"/>
      <w:numFmt w:val="bullet"/>
      <w:lvlText w:val=""/>
      <w:lvlJc w:val="left"/>
      <w:pPr>
        <w:ind w:left="6120" w:hanging="360"/>
      </w:pPr>
      <w:rPr>
        <w:rFonts w:ascii="Wingdings" w:hAnsi="Wingdings" w:hint="default"/>
      </w:rPr>
    </w:lvl>
  </w:abstractNum>
  <w:abstractNum w:abstractNumId="17" w15:restartNumberingAfterBreak="0">
    <w:nsid w:val="78761BE8"/>
    <w:multiLevelType w:val="hybridMultilevel"/>
    <w:tmpl w:val="6FB041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DD65A15"/>
    <w:multiLevelType w:val="hybridMultilevel"/>
    <w:tmpl w:val="53B23280"/>
    <w:lvl w:ilvl="0" w:tplc="9F10C0F2">
      <w:start w:val="1"/>
      <w:numFmt w:val="bullet"/>
      <w:lvlText w:val="·"/>
      <w:lvlJc w:val="left"/>
      <w:pPr>
        <w:ind w:left="720" w:hanging="360"/>
      </w:pPr>
      <w:rPr>
        <w:rFonts w:ascii="Symbol" w:hAnsi="Symbol" w:hint="default"/>
      </w:rPr>
    </w:lvl>
    <w:lvl w:ilvl="1" w:tplc="98CAF220">
      <w:start w:val="1"/>
      <w:numFmt w:val="bullet"/>
      <w:lvlText w:val="o"/>
      <w:lvlJc w:val="left"/>
      <w:pPr>
        <w:ind w:left="1440" w:hanging="360"/>
      </w:pPr>
      <w:rPr>
        <w:rFonts w:ascii="Courier New" w:hAnsi="Courier New" w:hint="default"/>
      </w:rPr>
    </w:lvl>
    <w:lvl w:ilvl="2" w:tplc="57781BFE">
      <w:start w:val="1"/>
      <w:numFmt w:val="bullet"/>
      <w:lvlText w:val=""/>
      <w:lvlJc w:val="left"/>
      <w:pPr>
        <w:ind w:left="2160" w:hanging="360"/>
      </w:pPr>
      <w:rPr>
        <w:rFonts w:ascii="Wingdings" w:hAnsi="Wingdings" w:hint="default"/>
      </w:rPr>
    </w:lvl>
    <w:lvl w:ilvl="3" w:tplc="458A4F84">
      <w:start w:val="1"/>
      <w:numFmt w:val="bullet"/>
      <w:lvlText w:val=""/>
      <w:lvlJc w:val="left"/>
      <w:pPr>
        <w:ind w:left="2880" w:hanging="360"/>
      </w:pPr>
      <w:rPr>
        <w:rFonts w:ascii="Symbol" w:hAnsi="Symbol" w:hint="default"/>
      </w:rPr>
    </w:lvl>
    <w:lvl w:ilvl="4" w:tplc="F99A3C02">
      <w:start w:val="1"/>
      <w:numFmt w:val="bullet"/>
      <w:lvlText w:val="o"/>
      <w:lvlJc w:val="left"/>
      <w:pPr>
        <w:ind w:left="3600" w:hanging="360"/>
      </w:pPr>
      <w:rPr>
        <w:rFonts w:ascii="Courier New" w:hAnsi="Courier New" w:hint="default"/>
      </w:rPr>
    </w:lvl>
    <w:lvl w:ilvl="5" w:tplc="A2007F1C">
      <w:start w:val="1"/>
      <w:numFmt w:val="bullet"/>
      <w:lvlText w:val=""/>
      <w:lvlJc w:val="left"/>
      <w:pPr>
        <w:ind w:left="4320" w:hanging="360"/>
      </w:pPr>
      <w:rPr>
        <w:rFonts w:ascii="Wingdings" w:hAnsi="Wingdings" w:hint="default"/>
      </w:rPr>
    </w:lvl>
    <w:lvl w:ilvl="6" w:tplc="BEA2C924">
      <w:start w:val="1"/>
      <w:numFmt w:val="bullet"/>
      <w:lvlText w:val=""/>
      <w:lvlJc w:val="left"/>
      <w:pPr>
        <w:ind w:left="5040" w:hanging="360"/>
      </w:pPr>
      <w:rPr>
        <w:rFonts w:ascii="Symbol" w:hAnsi="Symbol" w:hint="default"/>
      </w:rPr>
    </w:lvl>
    <w:lvl w:ilvl="7" w:tplc="1A36DE76">
      <w:start w:val="1"/>
      <w:numFmt w:val="bullet"/>
      <w:lvlText w:val="o"/>
      <w:lvlJc w:val="left"/>
      <w:pPr>
        <w:ind w:left="5760" w:hanging="360"/>
      </w:pPr>
      <w:rPr>
        <w:rFonts w:ascii="Courier New" w:hAnsi="Courier New" w:hint="default"/>
      </w:rPr>
    </w:lvl>
    <w:lvl w:ilvl="8" w:tplc="CE0C205E">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8"/>
  </w:num>
  <w:num w:numId="5">
    <w:abstractNumId w:val="5"/>
  </w:num>
  <w:num w:numId="6">
    <w:abstractNumId w:val="14"/>
  </w:num>
  <w:num w:numId="7">
    <w:abstractNumId w:val="3"/>
  </w:num>
  <w:num w:numId="8">
    <w:abstractNumId w:val="16"/>
  </w:num>
  <w:num w:numId="9">
    <w:abstractNumId w:val="13"/>
  </w:num>
  <w:num w:numId="10">
    <w:abstractNumId w:val="9"/>
  </w:num>
  <w:num w:numId="11">
    <w:abstractNumId w:val="6"/>
  </w:num>
  <w:num w:numId="12">
    <w:abstractNumId w:val="11"/>
  </w:num>
  <w:num w:numId="13">
    <w:abstractNumId w:val="15"/>
  </w:num>
  <w:num w:numId="14">
    <w:abstractNumId w:val="2"/>
  </w:num>
  <w:num w:numId="15">
    <w:abstractNumId w:val="7"/>
  </w:num>
  <w:num w:numId="16">
    <w:abstractNumId w:val="12"/>
  </w:num>
  <w:num w:numId="17">
    <w:abstractNumId w:val="17"/>
  </w:num>
  <w:num w:numId="18">
    <w:abstractNumId w:val="10"/>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3B7"/>
    <w:rsid w:val="00002545"/>
    <w:rsid w:val="00004468"/>
    <w:rsid w:val="0001440B"/>
    <w:rsid w:val="000261CE"/>
    <w:rsid w:val="000464B8"/>
    <w:rsid w:val="000466CC"/>
    <w:rsid w:val="00062DAC"/>
    <w:rsid w:val="00063E2F"/>
    <w:rsid w:val="0008299B"/>
    <w:rsid w:val="000957E3"/>
    <w:rsid w:val="00100C42"/>
    <w:rsid w:val="00101C80"/>
    <w:rsid w:val="001040B1"/>
    <w:rsid w:val="001216BB"/>
    <w:rsid w:val="00160B55"/>
    <w:rsid w:val="001C422F"/>
    <w:rsid w:val="001D020A"/>
    <w:rsid w:val="001E53B7"/>
    <w:rsid w:val="001E73BD"/>
    <w:rsid w:val="001F14CA"/>
    <w:rsid w:val="002009BE"/>
    <w:rsid w:val="00210815"/>
    <w:rsid w:val="00215492"/>
    <w:rsid w:val="00242145"/>
    <w:rsid w:val="002510C2"/>
    <w:rsid w:val="00255B1B"/>
    <w:rsid w:val="00281386"/>
    <w:rsid w:val="0029104D"/>
    <w:rsid w:val="002B4288"/>
    <w:rsid w:val="002C57C6"/>
    <w:rsid w:val="002D55C5"/>
    <w:rsid w:val="002E15B2"/>
    <w:rsid w:val="002E4814"/>
    <w:rsid w:val="002F2400"/>
    <w:rsid w:val="002F2E25"/>
    <w:rsid w:val="003005F2"/>
    <w:rsid w:val="0030370B"/>
    <w:rsid w:val="00316584"/>
    <w:rsid w:val="003362B1"/>
    <w:rsid w:val="0034009D"/>
    <w:rsid w:val="003418F4"/>
    <w:rsid w:val="0034B9C1"/>
    <w:rsid w:val="00355F6F"/>
    <w:rsid w:val="00373453"/>
    <w:rsid w:val="003A020F"/>
    <w:rsid w:val="003D4BC5"/>
    <w:rsid w:val="004306AE"/>
    <w:rsid w:val="004569BD"/>
    <w:rsid w:val="00457521"/>
    <w:rsid w:val="0046505D"/>
    <w:rsid w:val="004710B7"/>
    <w:rsid w:val="0048308E"/>
    <w:rsid w:val="004929E3"/>
    <w:rsid w:val="004A54E0"/>
    <w:rsid w:val="004B54A6"/>
    <w:rsid w:val="004B57BA"/>
    <w:rsid w:val="004F6C7C"/>
    <w:rsid w:val="005018EE"/>
    <w:rsid w:val="00512938"/>
    <w:rsid w:val="005210CC"/>
    <w:rsid w:val="00535024"/>
    <w:rsid w:val="005351DC"/>
    <w:rsid w:val="00536526"/>
    <w:rsid w:val="005520B3"/>
    <w:rsid w:val="00561DEC"/>
    <w:rsid w:val="0056682E"/>
    <w:rsid w:val="00587FAA"/>
    <w:rsid w:val="00592AE3"/>
    <w:rsid w:val="0059D8D4"/>
    <w:rsid w:val="005A5EEF"/>
    <w:rsid w:val="005D4D91"/>
    <w:rsid w:val="005D7290"/>
    <w:rsid w:val="005D7D4C"/>
    <w:rsid w:val="005F7627"/>
    <w:rsid w:val="0060679A"/>
    <w:rsid w:val="00612DC9"/>
    <w:rsid w:val="00634834"/>
    <w:rsid w:val="00654327"/>
    <w:rsid w:val="00672780"/>
    <w:rsid w:val="006800A5"/>
    <w:rsid w:val="006C1308"/>
    <w:rsid w:val="006E28D4"/>
    <w:rsid w:val="006E2D20"/>
    <w:rsid w:val="006E47BB"/>
    <w:rsid w:val="00701CFF"/>
    <w:rsid w:val="0071411D"/>
    <w:rsid w:val="007215A9"/>
    <w:rsid w:val="007379EC"/>
    <w:rsid w:val="007554E5"/>
    <w:rsid w:val="00796DF2"/>
    <w:rsid w:val="007A4FA1"/>
    <w:rsid w:val="007B05F5"/>
    <w:rsid w:val="007B2261"/>
    <w:rsid w:val="007D5920"/>
    <w:rsid w:val="007E138A"/>
    <w:rsid w:val="0083200F"/>
    <w:rsid w:val="008557D6"/>
    <w:rsid w:val="0086635D"/>
    <w:rsid w:val="008840B6"/>
    <w:rsid w:val="008A3E0A"/>
    <w:rsid w:val="008A6A11"/>
    <w:rsid w:val="008C5915"/>
    <w:rsid w:val="008D412F"/>
    <w:rsid w:val="00904105"/>
    <w:rsid w:val="0091631A"/>
    <w:rsid w:val="00942C4B"/>
    <w:rsid w:val="00946DC0"/>
    <w:rsid w:val="009525DE"/>
    <w:rsid w:val="00955321"/>
    <w:rsid w:val="009622F3"/>
    <w:rsid w:val="009A3C91"/>
    <w:rsid w:val="009E4898"/>
    <w:rsid w:val="00A06A3B"/>
    <w:rsid w:val="00A116AF"/>
    <w:rsid w:val="00A364D1"/>
    <w:rsid w:val="00A8063F"/>
    <w:rsid w:val="00A816C3"/>
    <w:rsid w:val="00A86B81"/>
    <w:rsid w:val="00A92BD8"/>
    <w:rsid w:val="00A94BB8"/>
    <w:rsid w:val="00AC1247"/>
    <w:rsid w:val="00AC3876"/>
    <w:rsid w:val="00AC7F8E"/>
    <w:rsid w:val="00AE2CB8"/>
    <w:rsid w:val="00B03276"/>
    <w:rsid w:val="00B47C14"/>
    <w:rsid w:val="00B47ECE"/>
    <w:rsid w:val="00B64FF3"/>
    <w:rsid w:val="00B8107A"/>
    <w:rsid w:val="00B94C40"/>
    <w:rsid w:val="00BA0863"/>
    <w:rsid w:val="00C04539"/>
    <w:rsid w:val="00C338DE"/>
    <w:rsid w:val="00C66B1F"/>
    <w:rsid w:val="00C8035E"/>
    <w:rsid w:val="00CC340B"/>
    <w:rsid w:val="00CD15C3"/>
    <w:rsid w:val="00D04724"/>
    <w:rsid w:val="00D52B57"/>
    <w:rsid w:val="00D57AC4"/>
    <w:rsid w:val="00D67D38"/>
    <w:rsid w:val="00DA505D"/>
    <w:rsid w:val="00DB068C"/>
    <w:rsid w:val="00DF4466"/>
    <w:rsid w:val="00E10F82"/>
    <w:rsid w:val="00E27925"/>
    <w:rsid w:val="00E42DC4"/>
    <w:rsid w:val="00E56F1E"/>
    <w:rsid w:val="00E771D1"/>
    <w:rsid w:val="00E93259"/>
    <w:rsid w:val="00EA7478"/>
    <w:rsid w:val="00EC0D73"/>
    <w:rsid w:val="00EC1477"/>
    <w:rsid w:val="00EC6331"/>
    <w:rsid w:val="00EF4145"/>
    <w:rsid w:val="00EF4CD4"/>
    <w:rsid w:val="00F01720"/>
    <w:rsid w:val="00F0E785"/>
    <w:rsid w:val="00F10707"/>
    <w:rsid w:val="00F344DF"/>
    <w:rsid w:val="00F914DD"/>
    <w:rsid w:val="00FA7AC2"/>
    <w:rsid w:val="00FB2B95"/>
    <w:rsid w:val="00FB4083"/>
    <w:rsid w:val="00FF0561"/>
    <w:rsid w:val="0108ADB1"/>
    <w:rsid w:val="01099E64"/>
    <w:rsid w:val="012EA60C"/>
    <w:rsid w:val="01302156"/>
    <w:rsid w:val="0145067F"/>
    <w:rsid w:val="015294BE"/>
    <w:rsid w:val="016987A1"/>
    <w:rsid w:val="016BBD1B"/>
    <w:rsid w:val="01B8AB2D"/>
    <w:rsid w:val="01BB4F0C"/>
    <w:rsid w:val="02165E5C"/>
    <w:rsid w:val="0231FBF9"/>
    <w:rsid w:val="023FBB1A"/>
    <w:rsid w:val="024657B1"/>
    <w:rsid w:val="024C0D93"/>
    <w:rsid w:val="0251E424"/>
    <w:rsid w:val="0275BDAB"/>
    <w:rsid w:val="03080576"/>
    <w:rsid w:val="0370CB46"/>
    <w:rsid w:val="038ACFDC"/>
    <w:rsid w:val="03D3C85F"/>
    <w:rsid w:val="03DE6754"/>
    <w:rsid w:val="03E22812"/>
    <w:rsid w:val="03F8BEF5"/>
    <w:rsid w:val="040EEE70"/>
    <w:rsid w:val="04182B2E"/>
    <w:rsid w:val="04431626"/>
    <w:rsid w:val="0476292D"/>
    <w:rsid w:val="04D0CDB9"/>
    <w:rsid w:val="04D81ED3"/>
    <w:rsid w:val="04E77DB1"/>
    <w:rsid w:val="051E8DAA"/>
    <w:rsid w:val="056A64C2"/>
    <w:rsid w:val="058CFDD0"/>
    <w:rsid w:val="05AAA67E"/>
    <w:rsid w:val="063C9CC4"/>
    <w:rsid w:val="06409743"/>
    <w:rsid w:val="06660D22"/>
    <w:rsid w:val="0685A992"/>
    <w:rsid w:val="06A6B66B"/>
    <w:rsid w:val="078CDD1B"/>
    <w:rsid w:val="07B110C7"/>
    <w:rsid w:val="07B7C431"/>
    <w:rsid w:val="07C1D642"/>
    <w:rsid w:val="07D8C925"/>
    <w:rsid w:val="082963A2"/>
    <w:rsid w:val="084048AD"/>
    <w:rsid w:val="08830C0D"/>
    <w:rsid w:val="089EE734"/>
    <w:rsid w:val="08ADABAF"/>
    <w:rsid w:val="08BBC7C2"/>
    <w:rsid w:val="08C13353"/>
    <w:rsid w:val="08CE5E3E"/>
    <w:rsid w:val="096319BC"/>
    <w:rsid w:val="09A726AE"/>
    <w:rsid w:val="09B5CC96"/>
    <w:rsid w:val="0A217041"/>
    <w:rsid w:val="0A799750"/>
    <w:rsid w:val="0AB05CC8"/>
    <w:rsid w:val="0ABB0B11"/>
    <w:rsid w:val="0AE2DE8F"/>
    <w:rsid w:val="0AF0632D"/>
    <w:rsid w:val="0B305B61"/>
    <w:rsid w:val="0B6CFE43"/>
    <w:rsid w:val="0BABCDA4"/>
    <w:rsid w:val="0BEB047D"/>
    <w:rsid w:val="0C017CCA"/>
    <w:rsid w:val="0C2A3FE5"/>
    <w:rsid w:val="0C327281"/>
    <w:rsid w:val="0C46F42E"/>
    <w:rsid w:val="0C6BDB1A"/>
    <w:rsid w:val="0CA07F93"/>
    <w:rsid w:val="0D05F6E2"/>
    <w:rsid w:val="0D06D666"/>
    <w:rsid w:val="0D8781DA"/>
    <w:rsid w:val="0D95BAF4"/>
    <w:rsid w:val="0DAA0607"/>
    <w:rsid w:val="0DC07226"/>
    <w:rsid w:val="0E51F8B6"/>
    <w:rsid w:val="0E650E0C"/>
    <w:rsid w:val="0E72AA4B"/>
    <w:rsid w:val="0E800065"/>
    <w:rsid w:val="0E8EA988"/>
    <w:rsid w:val="0EF4D431"/>
    <w:rsid w:val="0F12CF65"/>
    <w:rsid w:val="0F2A7F59"/>
    <w:rsid w:val="0F6AFED4"/>
    <w:rsid w:val="0F9FD73C"/>
    <w:rsid w:val="0FA93828"/>
    <w:rsid w:val="0FB7DD47"/>
    <w:rsid w:val="0FFD3FD5"/>
    <w:rsid w:val="100B5288"/>
    <w:rsid w:val="101A0FC3"/>
    <w:rsid w:val="1030BEC1"/>
    <w:rsid w:val="10868419"/>
    <w:rsid w:val="10AD3AC9"/>
    <w:rsid w:val="10D741FD"/>
    <w:rsid w:val="10FDE298"/>
    <w:rsid w:val="111824DF"/>
    <w:rsid w:val="111F48CD"/>
    <w:rsid w:val="112DBD88"/>
    <w:rsid w:val="1135C5F0"/>
    <w:rsid w:val="115BE1AF"/>
    <w:rsid w:val="115F0D6A"/>
    <w:rsid w:val="1163BF91"/>
    <w:rsid w:val="1186E3AB"/>
    <w:rsid w:val="11B1DC93"/>
    <w:rsid w:val="11B23893"/>
    <w:rsid w:val="125A4C58"/>
    <w:rsid w:val="125D1595"/>
    <w:rsid w:val="129C82BC"/>
    <w:rsid w:val="12C0AF73"/>
    <w:rsid w:val="1308CCF9"/>
    <w:rsid w:val="131B7BCC"/>
    <w:rsid w:val="13204519"/>
    <w:rsid w:val="134E08F4"/>
    <w:rsid w:val="13546971"/>
    <w:rsid w:val="136BD180"/>
    <w:rsid w:val="1383EB88"/>
    <w:rsid w:val="1391B496"/>
    <w:rsid w:val="139B23F7"/>
    <w:rsid w:val="13A0CE99"/>
    <w:rsid w:val="13BBD827"/>
    <w:rsid w:val="13FB18DD"/>
    <w:rsid w:val="140986B3"/>
    <w:rsid w:val="140B54C6"/>
    <w:rsid w:val="141B6FB3"/>
    <w:rsid w:val="142BDB8D"/>
    <w:rsid w:val="144EA2AC"/>
    <w:rsid w:val="1454301E"/>
    <w:rsid w:val="14839E0A"/>
    <w:rsid w:val="148CA1C8"/>
    <w:rsid w:val="149CE469"/>
    <w:rsid w:val="14A49D5A"/>
    <w:rsid w:val="14C3206A"/>
    <w:rsid w:val="15073A02"/>
    <w:rsid w:val="154892CF"/>
    <w:rsid w:val="157AF3E0"/>
    <w:rsid w:val="157B0B20"/>
    <w:rsid w:val="159611F3"/>
    <w:rsid w:val="15AFCE12"/>
    <w:rsid w:val="15BF112F"/>
    <w:rsid w:val="15F8F978"/>
    <w:rsid w:val="1611CF6C"/>
    <w:rsid w:val="1650B39C"/>
    <w:rsid w:val="166DE5FD"/>
    <w:rsid w:val="1680A627"/>
    <w:rsid w:val="16841E72"/>
    <w:rsid w:val="16FC2CA1"/>
    <w:rsid w:val="177EEDDB"/>
    <w:rsid w:val="17878F21"/>
    <w:rsid w:val="17BB86AD"/>
    <w:rsid w:val="17EF4F0F"/>
    <w:rsid w:val="180A8734"/>
    <w:rsid w:val="180BBCB2"/>
    <w:rsid w:val="181FEED3"/>
    <w:rsid w:val="18740C23"/>
    <w:rsid w:val="18894284"/>
    <w:rsid w:val="18CDA08C"/>
    <w:rsid w:val="18DD81B4"/>
    <w:rsid w:val="18E55D1B"/>
    <w:rsid w:val="19089F31"/>
    <w:rsid w:val="19542FE3"/>
    <w:rsid w:val="198ABD50"/>
    <w:rsid w:val="19A65795"/>
    <w:rsid w:val="19ABFFBF"/>
    <w:rsid w:val="19C8CD43"/>
    <w:rsid w:val="19EA4728"/>
    <w:rsid w:val="1A307D43"/>
    <w:rsid w:val="1A4C2F89"/>
    <w:rsid w:val="1A4ECBAA"/>
    <w:rsid w:val="1A7B0759"/>
    <w:rsid w:val="1AB3B935"/>
    <w:rsid w:val="1AE9F7FD"/>
    <w:rsid w:val="1AEC545C"/>
    <w:rsid w:val="1B028B54"/>
    <w:rsid w:val="1B2A9B5F"/>
    <w:rsid w:val="1B37EB57"/>
    <w:rsid w:val="1B649FC0"/>
    <w:rsid w:val="1B98A71A"/>
    <w:rsid w:val="1BB998CD"/>
    <w:rsid w:val="1BFB703B"/>
    <w:rsid w:val="1C082B5C"/>
    <w:rsid w:val="1C928B45"/>
    <w:rsid w:val="1CAE424D"/>
    <w:rsid w:val="1CE033CF"/>
    <w:rsid w:val="1CE5C141"/>
    <w:rsid w:val="1CF96E4A"/>
    <w:rsid w:val="1D467526"/>
    <w:rsid w:val="1D605E7E"/>
    <w:rsid w:val="1D69F363"/>
    <w:rsid w:val="1D7827EC"/>
    <w:rsid w:val="1D79ACE9"/>
    <w:rsid w:val="1D8C2CE3"/>
    <w:rsid w:val="1DB41142"/>
    <w:rsid w:val="1DCF41C0"/>
    <w:rsid w:val="1E0672EC"/>
    <w:rsid w:val="1E10BD23"/>
    <w:rsid w:val="1E6CF994"/>
    <w:rsid w:val="1E936CBC"/>
    <w:rsid w:val="1E98FA92"/>
    <w:rsid w:val="1E9D3DCD"/>
    <w:rsid w:val="1EC674D3"/>
    <w:rsid w:val="1ED30ED9"/>
    <w:rsid w:val="1EE7E9B8"/>
    <w:rsid w:val="1F2892A4"/>
    <w:rsid w:val="2001152F"/>
    <w:rsid w:val="20053216"/>
    <w:rsid w:val="2034CAF3"/>
    <w:rsid w:val="208566D3"/>
    <w:rsid w:val="20C70E86"/>
    <w:rsid w:val="20F9069C"/>
    <w:rsid w:val="213B6DF0"/>
    <w:rsid w:val="2147FA34"/>
    <w:rsid w:val="21496467"/>
    <w:rsid w:val="215ECB99"/>
    <w:rsid w:val="21C85C5D"/>
    <w:rsid w:val="21EC13E6"/>
    <w:rsid w:val="22456253"/>
    <w:rsid w:val="225304BB"/>
    <w:rsid w:val="22B5FA74"/>
    <w:rsid w:val="22CCFE27"/>
    <w:rsid w:val="231FCC87"/>
    <w:rsid w:val="2338D7D6"/>
    <w:rsid w:val="233FAB9C"/>
    <w:rsid w:val="238F121A"/>
    <w:rsid w:val="23C55D7B"/>
    <w:rsid w:val="23D2945F"/>
    <w:rsid w:val="23F54749"/>
    <w:rsid w:val="24024C05"/>
    <w:rsid w:val="240E6FA6"/>
    <w:rsid w:val="242AB664"/>
    <w:rsid w:val="242C9AC9"/>
    <w:rsid w:val="248453CE"/>
    <w:rsid w:val="24A0123A"/>
    <w:rsid w:val="24C8E612"/>
    <w:rsid w:val="2504BBF5"/>
    <w:rsid w:val="2509BE9A"/>
    <w:rsid w:val="2518C97C"/>
    <w:rsid w:val="258AA57D"/>
    <w:rsid w:val="259CB664"/>
    <w:rsid w:val="25A1E352"/>
    <w:rsid w:val="261B6B57"/>
    <w:rsid w:val="263B219D"/>
    <w:rsid w:val="264DB2B5"/>
    <w:rsid w:val="268F6271"/>
    <w:rsid w:val="2693DFFA"/>
    <w:rsid w:val="27184E24"/>
    <w:rsid w:val="271B5969"/>
    <w:rsid w:val="2737A15E"/>
    <w:rsid w:val="273A6DB7"/>
    <w:rsid w:val="27AEF097"/>
    <w:rsid w:val="27AF64A1"/>
    <w:rsid w:val="27D159B5"/>
    <w:rsid w:val="2822F6B1"/>
    <w:rsid w:val="28272E10"/>
    <w:rsid w:val="283490BD"/>
    <w:rsid w:val="285818EF"/>
    <w:rsid w:val="28AA89C5"/>
    <w:rsid w:val="28B1BA23"/>
    <w:rsid w:val="28BADF79"/>
    <w:rsid w:val="28BD15BB"/>
    <w:rsid w:val="28D0A5F2"/>
    <w:rsid w:val="28E1E0C9"/>
    <w:rsid w:val="298BEA85"/>
    <w:rsid w:val="29AA4CC3"/>
    <w:rsid w:val="29AEED20"/>
    <w:rsid w:val="29C70333"/>
    <w:rsid w:val="2A098981"/>
    <w:rsid w:val="2A1B10BE"/>
    <w:rsid w:val="2A40D8CE"/>
    <w:rsid w:val="2A73CA9D"/>
    <w:rsid w:val="2A7B7BB0"/>
    <w:rsid w:val="2A8EAB91"/>
    <w:rsid w:val="2AD0EB80"/>
    <w:rsid w:val="2B08E09C"/>
    <w:rsid w:val="2B85AF11"/>
    <w:rsid w:val="2B95833E"/>
    <w:rsid w:val="2B994ABD"/>
    <w:rsid w:val="2BDCA92F"/>
    <w:rsid w:val="2C3B0F2D"/>
    <w:rsid w:val="2C3B3650"/>
    <w:rsid w:val="2C58B53A"/>
    <w:rsid w:val="2CC691BF"/>
    <w:rsid w:val="2CFEA3F5"/>
    <w:rsid w:val="2D05BA66"/>
    <w:rsid w:val="2D0C469B"/>
    <w:rsid w:val="2D5BFF6E"/>
    <w:rsid w:val="2D778A55"/>
    <w:rsid w:val="2D85214A"/>
    <w:rsid w:val="2D9086DE"/>
    <w:rsid w:val="2DA290D2"/>
    <w:rsid w:val="2DF36B87"/>
    <w:rsid w:val="2DFD4843"/>
    <w:rsid w:val="2E267D3C"/>
    <w:rsid w:val="2E65AEEA"/>
    <w:rsid w:val="2E7C7C31"/>
    <w:rsid w:val="2E825E43"/>
    <w:rsid w:val="2E9A7456"/>
    <w:rsid w:val="2EA12759"/>
    <w:rsid w:val="2F0E97B0"/>
    <w:rsid w:val="2F429666"/>
    <w:rsid w:val="2F73EF4F"/>
    <w:rsid w:val="3018BBA4"/>
    <w:rsid w:val="3042AFC6"/>
    <w:rsid w:val="3044D15C"/>
    <w:rsid w:val="30727822"/>
    <w:rsid w:val="308A8415"/>
    <w:rsid w:val="308B08EB"/>
    <w:rsid w:val="30A330CD"/>
    <w:rsid w:val="30C8B698"/>
    <w:rsid w:val="30F6EAE5"/>
    <w:rsid w:val="3104DA3E"/>
    <w:rsid w:val="313AAB09"/>
    <w:rsid w:val="3143FA11"/>
    <w:rsid w:val="31640F43"/>
    <w:rsid w:val="3173ECA9"/>
    <w:rsid w:val="31B41CF3"/>
    <w:rsid w:val="31CFC370"/>
    <w:rsid w:val="321C0A4C"/>
    <w:rsid w:val="322410D0"/>
    <w:rsid w:val="324DC056"/>
    <w:rsid w:val="326F9AB2"/>
    <w:rsid w:val="3278094F"/>
    <w:rsid w:val="327918B8"/>
    <w:rsid w:val="329E671C"/>
    <w:rsid w:val="329FF260"/>
    <w:rsid w:val="32BB5CC5"/>
    <w:rsid w:val="32DC4BE6"/>
    <w:rsid w:val="3337113F"/>
    <w:rsid w:val="3337A19A"/>
    <w:rsid w:val="3354BD1C"/>
    <w:rsid w:val="33678A6D"/>
    <w:rsid w:val="336B30F7"/>
    <w:rsid w:val="3384DB83"/>
    <w:rsid w:val="339FDFAF"/>
    <w:rsid w:val="33BBBE91"/>
    <w:rsid w:val="340204E9"/>
    <w:rsid w:val="34151F2E"/>
    <w:rsid w:val="341C0FD0"/>
    <w:rsid w:val="342A87EA"/>
    <w:rsid w:val="343FB541"/>
    <w:rsid w:val="345DB83D"/>
    <w:rsid w:val="34F19FC7"/>
    <w:rsid w:val="35565391"/>
    <w:rsid w:val="3570BD07"/>
    <w:rsid w:val="35D3249D"/>
    <w:rsid w:val="36523D71"/>
    <w:rsid w:val="36AC393E"/>
    <w:rsid w:val="36B32722"/>
    <w:rsid w:val="36B83A86"/>
    <w:rsid w:val="36DB1CEF"/>
    <w:rsid w:val="37146758"/>
    <w:rsid w:val="374CAAB2"/>
    <w:rsid w:val="375C3432"/>
    <w:rsid w:val="37767BE3"/>
    <w:rsid w:val="3789E6E2"/>
    <w:rsid w:val="37A36017"/>
    <w:rsid w:val="37C06A00"/>
    <w:rsid w:val="37D8CDFD"/>
    <w:rsid w:val="37F846C4"/>
    <w:rsid w:val="384FF725"/>
    <w:rsid w:val="388E1755"/>
    <w:rsid w:val="38A3C62E"/>
    <w:rsid w:val="38D9E2CF"/>
    <w:rsid w:val="38F372EE"/>
    <w:rsid w:val="39210E98"/>
    <w:rsid w:val="392DA048"/>
    <w:rsid w:val="394B9B60"/>
    <w:rsid w:val="396812AC"/>
    <w:rsid w:val="39CBB6CD"/>
    <w:rsid w:val="39CD2099"/>
    <w:rsid w:val="39F126FB"/>
    <w:rsid w:val="3A1DC1FF"/>
    <w:rsid w:val="3A6DF62C"/>
    <w:rsid w:val="3A8350E5"/>
    <w:rsid w:val="3AA0C540"/>
    <w:rsid w:val="3B0C8637"/>
    <w:rsid w:val="3B19716F"/>
    <w:rsid w:val="3B38B7D3"/>
    <w:rsid w:val="3B59FBCB"/>
    <w:rsid w:val="3BBC812B"/>
    <w:rsid w:val="3BDF9ADA"/>
    <w:rsid w:val="3C1FFBE1"/>
    <w:rsid w:val="3C316390"/>
    <w:rsid w:val="3C783D80"/>
    <w:rsid w:val="3CA09B73"/>
    <w:rsid w:val="3D080A71"/>
    <w:rsid w:val="3D4F64EF"/>
    <w:rsid w:val="3D7120A3"/>
    <w:rsid w:val="3D96F46D"/>
    <w:rsid w:val="3DD16A30"/>
    <w:rsid w:val="3E0947B0"/>
    <w:rsid w:val="3E1F84ED"/>
    <w:rsid w:val="3E239679"/>
    <w:rsid w:val="3E42ADC3"/>
    <w:rsid w:val="3E595B04"/>
    <w:rsid w:val="3E80BC02"/>
    <w:rsid w:val="3EE0F020"/>
    <w:rsid w:val="3EEF23D7"/>
    <w:rsid w:val="3EFC6A1E"/>
    <w:rsid w:val="3FE6391E"/>
    <w:rsid w:val="3FE71432"/>
    <w:rsid w:val="3FF02082"/>
    <w:rsid w:val="40DD3601"/>
    <w:rsid w:val="4122334F"/>
    <w:rsid w:val="4179FE31"/>
    <w:rsid w:val="41B78F48"/>
    <w:rsid w:val="41BE1684"/>
    <w:rsid w:val="41DF27FF"/>
    <w:rsid w:val="42980B9D"/>
    <w:rsid w:val="429BA305"/>
    <w:rsid w:val="42A96832"/>
    <w:rsid w:val="42D87E5E"/>
    <w:rsid w:val="42EB1D25"/>
    <w:rsid w:val="43179659"/>
    <w:rsid w:val="43426FF8"/>
    <w:rsid w:val="439987C0"/>
    <w:rsid w:val="43CD4DF1"/>
    <w:rsid w:val="44233171"/>
    <w:rsid w:val="44377366"/>
    <w:rsid w:val="443E724D"/>
    <w:rsid w:val="44453893"/>
    <w:rsid w:val="445FB623"/>
    <w:rsid w:val="44D4E68D"/>
    <w:rsid w:val="451B09DC"/>
    <w:rsid w:val="45232073"/>
    <w:rsid w:val="452BEECA"/>
    <w:rsid w:val="45630A2B"/>
    <w:rsid w:val="4569A247"/>
    <w:rsid w:val="45871DEB"/>
    <w:rsid w:val="45D977B1"/>
    <w:rsid w:val="45DA4501"/>
    <w:rsid w:val="461C8EBC"/>
    <w:rsid w:val="466DA4C7"/>
    <w:rsid w:val="46891725"/>
    <w:rsid w:val="468F05C9"/>
    <w:rsid w:val="469FE75A"/>
    <w:rsid w:val="46CB7A36"/>
    <w:rsid w:val="46CFA69A"/>
    <w:rsid w:val="4712089E"/>
    <w:rsid w:val="473B87C0"/>
    <w:rsid w:val="47661FEB"/>
    <w:rsid w:val="4785F5F5"/>
    <w:rsid w:val="47B10F3A"/>
    <w:rsid w:val="47F13412"/>
    <w:rsid w:val="48274306"/>
    <w:rsid w:val="483F7C59"/>
    <w:rsid w:val="4841DED9"/>
    <w:rsid w:val="484751D9"/>
    <w:rsid w:val="484ABD18"/>
    <w:rsid w:val="4857A34E"/>
    <w:rsid w:val="4901E5E1"/>
    <w:rsid w:val="491B0E3E"/>
    <w:rsid w:val="49A55353"/>
    <w:rsid w:val="49ABD073"/>
    <w:rsid w:val="49C3FF47"/>
    <w:rsid w:val="49EDC5B9"/>
    <w:rsid w:val="4A19C86E"/>
    <w:rsid w:val="4A31C032"/>
    <w:rsid w:val="4A5C4F18"/>
    <w:rsid w:val="4A6BE046"/>
    <w:rsid w:val="4A79235D"/>
    <w:rsid w:val="4A942FD5"/>
    <w:rsid w:val="4AD70C6B"/>
    <w:rsid w:val="4B1B2C1F"/>
    <w:rsid w:val="4B39317C"/>
    <w:rsid w:val="4B5A3020"/>
    <w:rsid w:val="4B60573E"/>
    <w:rsid w:val="4B73587D"/>
    <w:rsid w:val="4B849354"/>
    <w:rsid w:val="4BA68CDB"/>
    <w:rsid w:val="4BBBDBF3"/>
    <w:rsid w:val="4BD43745"/>
    <w:rsid w:val="4BF5BEA4"/>
    <w:rsid w:val="4BFCB2BD"/>
    <w:rsid w:val="4C15C532"/>
    <w:rsid w:val="4CE2C6F1"/>
    <w:rsid w:val="4CE9E548"/>
    <w:rsid w:val="4CFC279F"/>
    <w:rsid w:val="4D261BC1"/>
    <w:rsid w:val="4D93D5E2"/>
    <w:rsid w:val="4D9F3CCC"/>
    <w:rsid w:val="4DB23D55"/>
    <w:rsid w:val="4DD5BAB5"/>
    <w:rsid w:val="4DF85D15"/>
    <w:rsid w:val="4E253A41"/>
    <w:rsid w:val="4E32AB11"/>
    <w:rsid w:val="4E4679A6"/>
    <w:rsid w:val="4EBE7338"/>
    <w:rsid w:val="4F0AA06A"/>
    <w:rsid w:val="4F1707D5"/>
    <w:rsid w:val="4F3011C0"/>
    <w:rsid w:val="4F44D7A1"/>
    <w:rsid w:val="4F8B4BE1"/>
    <w:rsid w:val="4F9C86B8"/>
    <w:rsid w:val="4FAA1A85"/>
    <w:rsid w:val="4FD949CB"/>
    <w:rsid w:val="500A9595"/>
    <w:rsid w:val="502F1926"/>
    <w:rsid w:val="5046C9A0"/>
    <w:rsid w:val="505189BE"/>
    <w:rsid w:val="50716DF5"/>
    <w:rsid w:val="50BFC272"/>
    <w:rsid w:val="50C5E807"/>
    <w:rsid w:val="50D5DF5B"/>
    <w:rsid w:val="50FD9061"/>
    <w:rsid w:val="510BEF59"/>
    <w:rsid w:val="51117CC1"/>
    <w:rsid w:val="51385719"/>
    <w:rsid w:val="5143D9E4"/>
    <w:rsid w:val="51738969"/>
    <w:rsid w:val="51772A25"/>
    <w:rsid w:val="517D0634"/>
    <w:rsid w:val="51908F38"/>
    <w:rsid w:val="51F04D3B"/>
    <w:rsid w:val="51F18778"/>
    <w:rsid w:val="5238167C"/>
    <w:rsid w:val="524833D3"/>
    <w:rsid w:val="52765E77"/>
    <w:rsid w:val="5281675C"/>
    <w:rsid w:val="5285AE78"/>
    <w:rsid w:val="52977318"/>
    <w:rsid w:val="52AACD93"/>
    <w:rsid w:val="533FFE6F"/>
    <w:rsid w:val="5368EA2C"/>
    <w:rsid w:val="53872442"/>
    <w:rsid w:val="538D6FBF"/>
    <w:rsid w:val="53C6FC66"/>
    <w:rsid w:val="53DAEDEE"/>
    <w:rsid w:val="542BD3DC"/>
    <w:rsid w:val="543268EA"/>
    <w:rsid w:val="5455443A"/>
    <w:rsid w:val="545EBD04"/>
    <w:rsid w:val="546230C5"/>
    <w:rsid w:val="54649F16"/>
    <w:rsid w:val="546593ED"/>
    <w:rsid w:val="54A2047B"/>
    <w:rsid w:val="54ED04AC"/>
    <w:rsid w:val="55073984"/>
    <w:rsid w:val="551A3AC3"/>
    <w:rsid w:val="55811B7B"/>
    <w:rsid w:val="55D3D6B5"/>
    <w:rsid w:val="563DBCF6"/>
    <w:rsid w:val="564EFCB3"/>
    <w:rsid w:val="569063DD"/>
    <w:rsid w:val="56D43647"/>
    <w:rsid w:val="5728149D"/>
    <w:rsid w:val="57750B75"/>
    <w:rsid w:val="577D3569"/>
    <w:rsid w:val="57813199"/>
    <w:rsid w:val="5795CAED"/>
    <w:rsid w:val="57963DE0"/>
    <w:rsid w:val="579C51DE"/>
    <w:rsid w:val="57A7181C"/>
    <w:rsid w:val="57D8B1E2"/>
    <w:rsid w:val="57E433CF"/>
    <w:rsid w:val="57EACD14"/>
    <w:rsid w:val="58042CF9"/>
    <w:rsid w:val="58091A8F"/>
    <w:rsid w:val="583620EA"/>
    <w:rsid w:val="5851B9FD"/>
    <w:rsid w:val="587C3081"/>
    <w:rsid w:val="58AB2AFB"/>
    <w:rsid w:val="58CB50DF"/>
    <w:rsid w:val="58D5EC1F"/>
    <w:rsid w:val="58EE2135"/>
    <w:rsid w:val="591344BA"/>
    <w:rsid w:val="591905CA"/>
    <w:rsid w:val="593B7B78"/>
    <w:rsid w:val="598048E4"/>
    <w:rsid w:val="59A48938"/>
    <w:rsid w:val="59C449A6"/>
    <w:rsid w:val="59C743FF"/>
    <w:rsid w:val="59CA6574"/>
    <w:rsid w:val="59E2B408"/>
    <w:rsid w:val="59E7664D"/>
    <w:rsid w:val="59E8B2EF"/>
    <w:rsid w:val="5A1A1E70"/>
    <w:rsid w:val="5A5C0DDB"/>
    <w:rsid w:val="5A91F692"/>
    <w:rsid w:val="5AD66AD7"/>
    <w:rsid w:val="5ADD1D8E"/>
    <w:rsid w:val="5B0C237B"/>
    <w:rsid w:val="5B2739AE"/>
    <w:rsid w:val="5B300CF7"/>
    <w:rsid w:val="5B43F370"/>
    <w:rsid w:val="5B7915BA"/>
    <w:rsid w:val="5B82AE03"/>
    <w:rsid w:val="5BD2FC52"/>
    <w:rsid w:val="5C25C1F7"/>
    <w:rsid w:val="5C4A3436"/>
    <w:rsid w:val="5C76C8A5"/>
    <w:rsid w:val="5C7F4DA3"/>
    <w:rsid w:val="5C93D61D"/>
    <w:rsid w:val="5D19A9F7"/>
    <w:rsid w:val="5D5A741E"/>
    <w:rsid w:val="5D7E95CF"/>
    <w:rsid w:val="5DC19258"/>
    <w:rsid w:val="5DE61B98"/>
    <w:rsid w:val="5E2F4D38"/>
    <w:rsid w:val="5E5F3346"/>
    <w:rsid w:val="5E741596"/>
    <w:rsid w:val="5F6CAA5A"/>
    <w:rsid w:val="5F7155FB"/>
    <w:rsid w:val="5F761058"/>
    <w:rsid w:val="5F998225"/>
    <w:rsid w:val="5FA751BD"/>
    <w:rsid w:val="5FAAB31D"/>
    <w:rsid w:val="5FB2AA82"/>
    <w:rsid w:val="5FBF34CA"/>
    <w:rsid w:val="6019A3AA"/>
    <w:rsid w:val="601C6EEE"/>
    <w:rsid w:val="603489B0"/>
    <w:rsid w:val="605A0172"/>
    <w:rsid w:val="60624976"/>
    <w:rsid w:val="607D7281"/>
    <w:rsid w:val="60C3CE22"/>
    <w:rsid w:val="60DE6EE4"/>
    <w:rsid w:val="60E72E49"/>
    <w:rsid w:val="610145AD"/>
    <w:rsid w:val="612417AF"/>
    <w:rsid w:val="61C9E33B"/>
    <w:rsid w:val="61D8726C"/>
    <w:rsid w:val="620FB0AE"/>
    <w:rsid w:val="623309EB"/>
    <w:rsid w:val="62A7BADC"/>
    <w:rsid w:val="62D35861"/>
    <w:rsid w:val="62EA4B44"/>
    <w:rsid w:val="630DFCDE"/>
    <w:rsid w:val="63381C0F"/>
    <w:rsid w:val="63897A73"/>
    <w:rsid w:val="63AD4749"/>
    <w:rsid w:val="6460DAF6"/>
    <w:rsid w:val="64619A83"/>
    <w:rsid w:val="64861BA5"/>
    <w:rsid w:val="64E42160"/>
    <w:rsid w:val="64F4B3D2"/>
    <w:rsid w:val="64F97C6F"/>
    <w:rsid w:val="650AC1B1"/>
    <w:rsid w:val="651F23B6"/>
    <w:rsid w:val="6525806A"/>
    <w:rsid w:val="65CC297F"/>
    <w:rsid w:val="65D0ADDA"/>
    <w:rsid w:val="65E0C60E"/>
    <w:rsid w:val="65F92903"/>
    <w:rsid w:val="65FE22DC"/>
    <w:rsid w:val="660D078C"/>
    <w:rsid w:val="6610B12F"/>
    <w:rsid w:val="66563BA1"/>
    <w:rsid w:val="668D8FAD"/>
    <w:rsid w:val="66C11B35"/>
    <w:rsid w:val="6743AADC"/>
    <w:rsid w:val="6748C15E"/>
    <w:rsid w:val="67E66A42"/>
    <w:rsid w:val="680D6AB1"/>
    <w:rsid w:val="68292F8E"/>
    <w:rsid w:val="6845E2E7"/>
    <w:rsid w:val="6881641A"/>
    <w:rsid w:val="68B94604"/>
    <w:rsid w:val="68D46734"/>
    <w:rsid w:val="69064044"/>
    <w:rsid w:val="690B78DE"/>
    <w:rsid w:val="693D797F"/>
    <w:rsid w:val="69A65B83"/>
    <w:rsid w:val="69AA2745"/>
    <w:rsid w:val="69BD6C1F"/>
    <w:rsid w:val="69EAA753"/>
    <w:rsid w:val="6A10B591"/>
    <w:rsid w:val="6A1AC293"/>
    <w:rsid w:val="6A2A0246"/>
    <w:rsid w:val="6A643F88"/>
    <w:rsid w:val="6A69E9BC"/>
    <w:rsid w:val="6A9EE657"/>
    <w:rsid w:val="6AB65E77"/>
    <w:rsid w:val="6ABA4694"/>
    <w:rsid w:val="6ACBF005"/>
    <w:rsid w:val="6AD2E77B"/>
    <w:rsid w:val="6B41E90D"/>
    <w:rsid w:val="6BBF56AE"/>
    <w:rsid w:val="6BC639A8"/>
    <w:rsid w:val="6BCA5AAE"/>
    <w:rsid w:val="6BEC6796"/>
    <w:rsid w:val="6BFFAF66"/>
    <w:rsid w:val="6C876CC3"/>
    <w:rsid w:val="6CD3F21C"/>
    <w:rsid w:val="6D0C5061"/>
    <w:rsid w:val="6D305CB9"/>
    <w:rsid w:val="6D9BE9E3"/>
    <w:rsid w:val="6DB15119"/>
    <w:rsid w:val="6DC8B87C"/>
    <w:rsid w:val="6DF2C496"/>
    <w:rsid w:val="6E2AA9AD"/>
    <w:rsid w:val="6E5A0D59"/>
    <w:rsid w:val="6E958370"/>
    <w:rsid w:val="6EB84573"/>
    <w:rsid w:val="6EDC4399"/>
    <w:rsid w:val="6EF4C8D2"/>
    <w:rsid w:val="6F231D54"/>
    <w:rsid w:val="6F2548B6"/>
    <w:rsid w:val="6F31A128"/>
    <w:rsid w:val="6F58661A"/>
    <w:rsid w:val="6F58868D"/>
    <w:rsid w:val="6F5EF486"/>
    <w:rsid w:val="6F824124"/>
    <w:rsid w:val="6FD1CDE7"/>
    <w:rsid w:val="6FE19E7D"/>
    <w:rsid w:val="6FE92EE9"/>
    <w:rsid w:val="6FFB5B74"/>
    <w:rsid w:val="702E26D9"/>
    <w:rsid w:val="7059E8D7"/>
    <w:rsid w:val="7063B1C5"/>
    <w:rsid w:val="708C75FF"/>
    <w:rsid w:val="70AC993F"/>
    <w:rsid w:val="70B02418"/>
    <w:rsid w:val="70CCB229"/>
    <w:rsid w:val="70E048C8"/>
    <w:rsid w:val="716D4FD9"/>
    <w:rsid w:val="718861C9"/>
    <w:rsid w:val="71AB1DC8"/>
    <w:rsid w:val="71DC0481"/>
    <w:rsid w:val="71E348E1"/>
    <w:rsid w:val="720CAC1B"/>
    <w:rsid w:val="724BF479"/>
    <w:rsid w:val="72D67AEC"/>
    <w:rsid w:val="72E45C76"/>
    <w:rsid w:val="73080094"/>
    <w:rsid w:val="73241380"/>
    <w:rsid w:val="7328C1BE"/>
    <w:rsid w:val="7373CFD8"/>
    <w:rsid w:val="738C3704"/>
    <w:rsid w:val="7394951C"/>
    <w:rsid w:val="73C9CECD"/>
    <w:rsid w:val="73CDA262"/>
    <w:rsid w:val="73DAEEC9"/>
    <w:rsid w:val="73E51270"/>
    <w:rsid w:val="743C719B"/>
    <w:rsid w:val="7462061A"/>
    <w:rsid w:val="7462921E"/>
    <w:rsid w:val="74C8E388"/>
    <w:rsid w:val="74D6A248"/>
    <w:rsid w:val="75018512"/>
    <w:rsid w:val="75468257"/>
    <w:rsid w:val="755139D4"/>
    <w:rsid w:val="75536838"/>
    <w:rsid w:val="7553EB80"/>
    <w:rsid w:val="759A918E"/>
    <w:rsid w:val="75D5930B"/>
    <w:rsid w:val="7609BD23"/>
    <w:rsid w:val="762197BF"/>
    <w:rsid w:val="764911C7"/>
    <w:rsid w:val="766B347E"/>
    <w:rsid w:val="76782FB6"/>
    <w:rsid w:val="76813326"/>
    <w:rsid w:val="76CBC89F"/>
    <w:rsid w:val="76E2AFA0"/>
    <w:rsid w:val="76F83741"/>
    <w:rsid w:val="770751A1"/>
    <w:rsid w:val="77113DAB"/>
    <w:rsid w:val="774FF630"/>
    <w:rsid w:val="779BE102"/>
    <w:rsid w:val="77A0F8F4"/>
    <w:rsid w:val="77A6A2BC"/>
    <w:rsid w:val="77C2A55A"/>
    <w:rsid w:val="77D3E031"/>
    <w:rsid w:val="77EB8242"/>
    <w:rsid w:val="77EBB9B8"/>
    <w:rsid w:val="77F53282"/>
    <w:rsid w:val="780AA5A9"/>
    <w:rsid w:val="78C42A3A"/>
    <w:rsid w:val="78D23250"/>
    <w:rsid w:val="7914F5B0"/>
    <w:rsid w:val="793320D3"/>
    <w:rsid w:val="7976E8D2"/>
    <w:rsid w:val="7A26E3C6"/>
    <w:rsid w:val="7A39E8F2"/>
    <w:rsid w:val="7A7520AA"/>
    <w:rsid w:val="7AD2B3B4"/>
    <w:rsid w:val="7B1DCEC8"/>
    <w:rsid w:val="7B307162"/>
    <w:rsid w:val="7B626662"/>
    <w:rsid w:val="7B6408F6"/>
    <w:rsid w:val="7B68D70E"/>
    <w:rsid w:val="7B7D58BB"/>
    <w:rsid w:val="7B9E0BCA"/>
    <w:rsid w:val="7BF02455"/>
    <w:rsid w:val="7BF64806"/>
    <w:rsid w:val="7C21A09B"/>
    <w:rsid w:val="7CD1786C"/>
    <w:rsid w:val="7D15A686"/>
    <w:rsid w:val="7D219DA1"/>
    <w:rsid w:val="7D2B5647"/>
    <w:rsid w:val="7D9B1447"/>
    <w:rsid w:val="7DC40E6A"/>
    <w:rsid w:val="7E4ADEAC"/>
    <w:rsid w:val="7E678D5E"/>
    <w:rsid w:val="7E8F19B3"/>
    <w:rsid w:val="7EBE0872"/>
    <w:rsid w:val="7EEFE4C0"/>
    <w:rsid w:val="7F06C968"/>
    <w:rsid w:val="7F471125"/>
    <w:rsid w:val="7F686404"/>
    <w:rsid w:val="7F761758"/>
    <w:rsid w:val="7F857496"/>
    <w:rsid w:val="7FA7EE7A"/>
    <w:rsid w:val="7FDB0A51"/>
    <w:rsid w:val="7FF6C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E5F10"/>
  <w15:chartTrackingRefBased/>
  <w15:docId w15:val="{2AE3AE3C-E336-400C-873E-C163DC7DB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53B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38">
    <w:name w:val="CM138"/>
    <w:basedOn w:val="Default"/>
    <w:next w:val="Default"/>
    <w:uiPriority w:val="99"/>
    <w:rsid w:val="001E53B7"/>
    <w:rPr>
      <w:color w:val="auto"/>
    </w:rPr>
  </w:style>
  <w:style w:type="paragraph" w:customStyle="1" w:styleId="CM41">
    <w:name w:val="CM41"/>
    <w:basedOn w:val="Default"/>
    <w:next w:val="Default"/>
    <w:uiPriority w:val="99"/>
    <w:rsid w:val="001E53B7"/>
    <w:pPr>
      <w:spacing w:line="266" w:lineRule="atLeast"/>
    </w:pPr>
    <w:rPr>
      <w:color w:val="auto"/>
    </w:rPr>
  </w:style>
  <w:style w:type="paragraph" w:customStyle="1" w:styleId="CM137">
    <w:name w:val="CM137"/>
    <w:basedOn w:val="Default"/>
    <w:next w:val="Default"/>
    <w:uiPriority w:val="99"/>
    <w:rsid w:val="001E53B7"/>
    <w:rPr>
      <w:color w:val="auto"/>
    </w:rPr>
  </w:style>
  <w:style w:type="paragraph" w:customStyle="1" w:styleId="CM177">
    <w:name w:val="CM177"/>
    <w:basedOn w:val="Default"/>
    <w:next w:val="Default"/>
    <w:uiPriority w:val="99"/>
    <w:rsid w:val="001E53B7"/>
    <w:rPr>
      <w:color w:val="auto"/>
    </w:rPr>
  </w:style>
  <w:style w:type="paragraph" w:styleId="ListParagraph">
    <w:name w:val="List Paragraph"/>
    <w:basedOn w:val="Normal"/>
    <w:uiPriority w:val="34"/>
    <w:qFormat/>
    <w:rsid w:val="001E53B7"/>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semiHidden/>
    <w:unhideWhenUsed/>
    <w:rsid w:val="00160B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0B55"/>
    <w:rPr>
      <w:sz w:val="20"/>
      <w:szCs w:val="20"/>
    </w:rPr>
  </w:style>
  <w:style w:type="character" w:styleId="FootnoteReference">
    <w:name w:val="footnote reference"/>
    <w:basedOn w:val="DefaultParagraphFont"/>
    <w:uiPriority w:val="99"/>
    <w:semiHidden/>
    <w:unhideWhenUsed/>
    <w:rsid w:val="00160B55"/>
    <w:rPr>
      <w:vertAlign w:val="superscript"/>
    </w:rPr>
  </w:style>
  <w:style w:type="paragraph" w:styleId="Header">
    <w:name w:val="header"/>
    <w:basedOn w:val="Normal"/>
    <w:link w:val="HeaderChar"/>
    <w:uiPriority w:val="99"/>
    <w:semiHidden/>
    <w:unhideWhenUsed/>
    <w:rsid w:val="00160B5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0B55"/>
  </w:style>
  <w:style w:type="paragraph" w:styleId="Footer">
    <w:name w:val="footer"/>
    <w:basedOn w:val="Normal"/>
    <w:link w:val="FooterChar"/>
    <w:uiPriority w:val="99"/>
    <w:semiHidden/>
    <w:unhideWhenUsed/>
    <w:rsid w:val="00160B5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60B55"/>
  </w:style>
  <w:style w:type="character" w:styleId="Hyperlink">
    <w:name w:val="Hyperlink"/>
    <w:basedOn w:val="DefaultParagraphFont"/>
    <w:uiPriority w:val="99"/>
    <w:unhideWhenUsed/>
    <w:rsid w:val="00535024"/>
    <w:rPr>
      <w:color w:val="0563C1" w:themeColor="hyperlink"/>
      <w:u w:val="single"/>
    </w:rPr>
  </w:style>
  <w:style w:type="character" w:styleId="CommentReference">
    <w:name w:val="annotation reference"/>
    <w:basedOn w:val="DefaultParagraphFont"/>
    <w:uiPriority w:val="99"/>
    <w:semiHidden/>
    <w:unhideWhenUsed/>
    <w:rsid w:val="00101C80"/>
    <w:rPr>
      <w:sz w:val="16"/>
      <w:szCs w:val="16"/>
    </w:rPr>
  </w:style>
  <w:style w:type="paragraph" w:styleId="CommentText">
    <w:name w:val="annotation text"/>
    <w:basedOn w:val="Normal"/>
    <w:link w:val="CommentTextChar"/>
    <w:uiPriority w:val="99"/>
    <w:semiHidden/>
    <w:unhideWhenUsed/>
    <w:rsid w:val="00101C80"/>
    <w:pPr>
      <w:spacing w:line="240" w:lineRule="auto"/>
    </w:pPr>
    <w:rPr>
      <w:sz w:val="20"/>
      <w:szCs w:val="20"/>
    </w:rPr>
  </w:style>
  <w:style w:type="character" w:customStyle="1" w:styleId="CommentTextChar">
    <w:name w:val="Comment Text Char"/>
    <w:basedOn w:val="DefaultParagraphFont"/>
    <w:link w:val="CommentText"/>
    <w:uiPriority w:val="99"/>
    <w:semiHidden/>
    <w:rsid w:val="00101C80"/>
    <w:rPr>
      <w:sz w:val="20"/>
      <w:szCs w:val="20"/>
    </w:rPr>
  </w:style>
  <w:style w:type="paragraph" w:styleId="CommentSubject">
    <w:name w:val="annotation subject"/>
    <w:basedOn w:val="CommentText"/>
    <w:next w:val="CommentText"/>
    <w:link w:val="CommentSubjectChar"/>
    <w:uiPriority w:val="99"/>
    <w:semiHidden/>
    <w:unhideWhenUsed/>
    <w:rsid w:val="00101C80"/>
    <w:rPr>
      <w:b/>
      <w:bCs/>
    </w:rPr>
  </w:style>
  <w:style w:type="character" w:customStyle="1" w:styleId="CommentSubjectChar">
    <w:name w:val="Comment Subject Char"/>
    <w:basedOn w:val="CommentTextChar"/>
    <w:link w:val="CommentSubject"/>
    <w:uiPriority w:val="99"/>
    <w:semiHidden/>
    <w:rsid w:val="00101C80"/>
    <w:rPr>
      <w:b/>
      <w:bCs/>
      <w:sz w:val="20"/>
      <w:szCs w:val="20"/>
    </w:rPr>
  </w:style>
  <w:style w:type="paragraph" w:styleId="BalloonText">
    <w:name w:val="Balloon Text"/>
    <w:basedOn w:val="Normal"/>
    <w:link w:val="BalloonTextChar"/>
    <w:uiPriority w:val="99"/>
    <w:semiHidden/>
    <w:unhideWhenUsed/>
    <w:rsid w:val="00101C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C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urldefense.proofpoint.com/v2/url?u=https-3A__wtcsystem.wids.org&amp;d=DwQFAg&amp;c=euGZstcaTDllvimEN8b7jXrwqOf-v5A_CdpgnVfiiMM&amp;r=51qnEVsidJlFGIARznsz5OswUZArBgi2u8cUX94Qv-E&amp;m=u7zy_lClzp1Wk3HkXV0DqmQ8z19jAABklZgJqOkseOI&amp;s=4981NfzfBcHLRxgt_VTCHQ8Ga62ahlidFd8ldIf4mGE&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09265D31367ED439EB1AC3577B2986E" ma:contentTypeVersion="4" ma:contentTypeDescription="Create a new document." ma:contentTypeScope="" ma:versionID="ee4b57f47e7cc1e967276aaca275bffe">
  <xsd:schema xmlns:xsd="http://www.w3.org/2001/XMLSchema" xmlns:xs="http://www.w3.org/2001/XMLSchema" xmlns:p="http://schemas.microsoft.com/office/2006/metadata/properties" xmlns:ns2="3c7b4867-cd40-4827-adf1-0b4c87d11252" targetNamespace="http://schemas.microsoft.com/office/2006/metadata/properties" ma:root="true" ma:fieldsID="67634f19a09c61580f0e89e4b3bf6232" ns2:_="">
    <xsd:import namespace="3c7b4867-cd40-4827-adf1-0b4c87d112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7b4867-cd40-4827-adf1-0b4c87d112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BD2A64-CC5D-4A3B-944D-727775098A9F}">
  <ds:schemaRefs>
    <ds:schemaRef ds:uri="http://schemas.microsoft.com/sharepoint/v3/contenttype/forms"/>
  </ds:schemaRefs>
</ds:datastoreItem>
</file>

<file path=customXml/itemProps2.xml><?xml version="1.0" encoding="utf-8"?>
<ds:datastoreItem xmlns:ds="http://schemas.openxmlformats.org/officeDocument/2006/customXml" ds:itemID="{A6684A52-9AC3-4E24-9ABA-51DFBC24D9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7b4867-cd40-4827-adf1-0b4c87d112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BFE7F3-F868-4E82-8713-CDEC0FEE6F11}">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3c7b4867-cd40-4827-adf1-0b4c87d1125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5976</Words>
  <Characters>34068</Characters>
  <Application>Microsoft Office Word</Application>
  <DocSecurity>0</DocSecurity>
  <Lines>283</Lines>
  <Paragraphs>79</Paragraphs>
  <ScaleCrop>false</ScaleCrop>
  <Company/>
  <LinksUpToDate>false</LinksUpToDate>
  <CharactersWithSpaces>39965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Konruff, Ben;Craig, Terese</dc:creator>
  <cp:keywords/>
  <dc:description/>
  <cp:lastModifiedBy>Craig, Terese</cp:lastModifiedBy>
  <cp:revision>3</cp:revision>
  <dcterms:created xsi:type="dcterms:W3CDTF">2020-12-30T13:02:00Z</dcterms:created>
  <dcterms:modified xsi:type="dcterms:W3CDTF">2020-12-30T13:03:00Z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0x010100F09265D31367ED439EB1AC3577B2986E</vt:lpwstr>
  </property>
</Properties>
</file>