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0325B" w14:textId="23DBFFDC" w:rsidR="00147A67" w:rsidRPr="005B54E5" w:rsidRDefault="0080593B" w:rsidP="0080593B">
      <w:pPr>
        <w:pStyle w:val="Title"/>
        <w:tabs>
          <w:tab w:val="center" w:pos="4680"/>
          <w:tab w:val="right" w:pos="9360"/>
        </w:tabs>
        <w:spacing w:after="0" w:line="240" w:lineRule="auto"/>
        <w:rPr>
          <w:sz w:val="32"/>
          <w:szCs w:val="32"/>
        </w:rPr>
      </w:pPr>
      <w:r w:rsidRPr="005B54E5">
        <w:rPr>
          <w:sz w:val="32"/>
          <w:szCs w:val="32"/>
        </w:rPr>
        <w:t>Adult Education and Literacy</w:t>
      </w:r>
    </w:p>
    <w:p w14:paraId="49F37356" w14:textId="741DBA5A" w:rsidR="0080593B" w:rsidRPr="005B54E5" w:rsidRDefault="00550E0A" w:rsidP="0080593B">
      <w:pPr>
        <w:pStyle w:val="Title"/>
        <w:tabs>
          <w:tab w:val="center" w:pos="4680"/>
          <w:tab w:val="right" w:pos="9360"/>
        </w:tabs>
        <w:spacing w:before="0" w:after="0" w:line="240" w:lineRule="auto"/>
        <w:rPr>
          <w:sz w:val="32"/>
          <w:szCs w:val="32"/>
        </w:rPr>
      </w:pPr>
      <w:r w:rsidRPr="005B54E5">
        <w:rPr>
          <w:sz w:val="32"/>
          <w:szCs w:val="32"/>
        </w:rPr>
        <w:t xml:space="preserve">Program Year </w:t>
      </w:r>
      <w:r w:rsidR="00AB768F" w:rsidRPr="005B54E5">
        <w:rPr>
          <w:sz w:val="32"/>
          <w:szCs w:val="32"/>
        </w:rPr>
        <w:t>20</w:t>
      </w:r>
      <w:r w:rsidRPr="005B54E5">
        <w:rPr>
          <w:sz w:val="32"/>
          <w:szCs w:val="32"/>
        </w:rPr>
        <w:t>19 (</w:t>
      </w:r>
      <w:r w:rsidR="005B54E5">
        <w:rPr>
          <w:sz w:val="32"/>
          <w:szCs w:val="32"/>
        </w:rPr>
        <w:t xml:space="preserve">State </w:t>
      </w:r>
      <w:r w:rsidRPr="005B54E5">
        <w:rPr>
          <w:sz w:val="32"/>
          <w:szCs w:val="32"/>
        </w:rPr>
        <w:t xml:space="preserve">Fiscal Year </w:t>
      </w:r>
      <w:r w:rsidR="00AB768F" w:rsidRPr="005B54E5">
        <w:rPr>
          <w:sz w:val="32"/>
          <w:szCs w:val="32"/>
        </w:rPr>
        <w:t>20</w:t>
      </w:r>
      <w:r w:rsidRPr="005B54E5">
        <w:rPr>
          <w:sz w:val="32"/>
          <w:szCs w:val="32"/>
        </w:rPr>
        <w:t xml:space="preserve">20) </w:t>
      </w:r>
      <w:r w:rsidR="0080593B" w:rsidRPr="005B54E5">
        <w:rPr>
          <w:sz w:val="32"/>
          <w:szCs w:val="32"/>
        </w:rPr>
        <w:t>Federal Narrative Report</w:t>
      </w:r>
    </w:p>
    <w:p w14:paraId="1B08D222" w14:textId="4373C1D7" w:rsidR="00147A67" w:rsidRPr="00A36AB4" w:rsidRDefault="00B95E8B" w:rsidP="00343E9B">
      <w:pPr>
        <w:pStyle w:val="Heading2"/>
        <w:rPr>
          <w:color w:val="FF0000"/>
        </w:rPr>
      </w:pPr>
      <w:r w:rsidRPr="00A36AB4">
        <w:t xml:space="preserve">1. </w:t>
      </w:r>
      <w:r w:rsidR="00FD7E73" w:rsidRPr="00A36AB4">
        <w:t xml:space="preserve"> </w:t>
      </w:r>
      <w:r w:rsidRPr="00A36AB4">
        <w:t>State Leadership Funds</w:t>
      </w:r>
      <w:r w:rsidR="000016B2" w:rsidRPr="00A36AB4">
        <w:t xml:space="preserve"> (Section 223)</w:t>
      </w:r>
    </w:p>
    <w:p w14:paraId="3DFB034D" w14:textId="5DF7C815" w:rsidR="00DB30A4" w:rsidRDefault="003C781D" w:rsidP="003C781D">
      <w:pPr>
        <w:shd w:val="clear" w:color="auto" w:fill="FFFFFF" w:themeFill="background1"/>
      </w:pPr>
      <w:r>
        <w:t xml:space="preserve">Vermont </w:t>
      </w:r>
      <w:r w:rsidR="00191994">
        <w:t xml:space="preserve">Agency of Education (AOE) </w:t>
      </w:r>
      <w:r>
        <w:t xml:space="preserve">has continued to work with state-level one-stop partners </w:t>
      </w:r>
      <w:r w:rsidR="00821D70">
        <w:t xml:space="preserve">on planning, reporting, </w:t>
      </w:r>
      <w:r w:rsidR="00D06C23">
        <w:t xml:space="preserve">and coordinating WIOA </w:t>
      </w:r>
      <w:r w:rsidR="00A05DC1">
        <w:t>activ</w:t>
      </w:r>
      <w:r w:rsidR="00D06C23">
        <w:t>ities.</w:t>
      </w:r>
      <w:r w:rsidR="0048511D">
        <w:t xml:space="preserve"> </w:t>
      </w:r>
      <w:r w:rsidR="006B70CF">
        <w:t xml:space="preserve">State Workforce Development Board </w:t>
      </w:r>
      <w:r w:rsidR="00DD6E90">
        <w:t xml:space="preserve">(SWDB) </w:t>
      </w:r>
      <w:r w:rsidR="006B70CF">
        <w:t xml:space="preserve">meetings </w:t>
      </w:r>
      <w:r w:rsidR="00C869AA">
        <w:t>developed</w:t>
      </w:r>
      <w:r w:rsidR="001F0E90">
        <w:t xml:space="preserve"> revisions to the WIOA State </w:t>
      </w:r>
      <w:r w:rsidR="00FE3008">
        <w:t xml:space="preserve">Plan </w:t>
      </w:r>
      <w:r w:rsidR="001F0E90">
        <w:t>vision and goals</w:t>
      </w:r>
      <w:r w:rsidR="00C869AA">
        <w:t xml:space="preserve"> with </w:t>
      </w:r>
      <w:r w:rsidR="00D11890">
        <w:t xml:space="preserve">core partner and stakeholder input. SWDB meetings also included </w:t>
      </w:r>
      <w:r w:rsidR="00175959">
        <w:t>cross-training</w:t>
      </w:r>
      <w:r w:rsidR="00E70DA0">
        <w:t xml:space="preserve"> </w:t>
      </w:r>
      <w:r w:rsidR="00175959">
        <w:t xml:space="preserve">through presentations by </w:t>
      </w:r>
      <w:r w:rsidR="00E70DA0">
        <w:t xml:space="preserve">core partners </w:t>
      </w:r>
      <w:r w:rsidR="00AE0BCF">
        <w:t xml:space="preserve">on key elements of WIOA programs </w:t>
      </w:r>
      <w:r w:rsidR="00FE3008">
        <w:t>including</w:t>
      </w:r>
      <w:r w:rsidR="00AE0BCF">
        <w:t xml:space="preserve"> </w:t>
      </w:r>
      <w:r w:rsidR="00E70DA0">
        <w:t>performance</w:t>
      </w:r>
      <w:r w:rsidR="00AE0BCF">
        <w:t xml:space="preserve"> </w:t>
      </w:r>
      <w:r w:rsidR="00C84A3A">
        <w:t>challenges and successes</w:t>
      </w:r>
      <w:r w:rsidR="008A1E4C">
        <w:t xml:space="preserve">. In addition, the </w:t>
      </w:r>
      <w:r w:rsidR="00DD6E90">
        <w:t>SWDB</w:t>
      </w:r>
      <w:r w:rsidR="00C259F6">
        <w:t xml:space="preserve">, the </w:t>
      </w:r>
      <w:r w:rsidR="00DD6E90">
        <w:t>Vermont Department of Labor</w:t>
      </w:r>
      <w:r w:rsidR="00C259F6">
        <w:t>, Vermont Agency of Education, and the Division of Vocational Rehabilitation contracted with Vermont’s Regional Development Corporations</w:t>
      </w:r>
      <w:r w:rsidR="00DD6E90">
        <w:t xml:space="preserve"> to </w:t>
      </w:r>
      <w:r w:rsidR="00DD6E90" w:rsidRPr="009767BD">
        <w:t xml:space="preserve">convene </w:t>
      </w:r>
      <w:r w:rsidR="00C259F6" w:rsidRPr="009767BD">
        <w:t>12</w:t>
      </w:r>
      <w:r w:rsidR="003F1A87" w:rsidRPr="009767BD">
        <w:t xml:space="preserve"> </w:t>
      </w:r>
      <w:r w:rsidR="00DD6E90" w:rsidRPr="009767BD">
        <w:t>Regional Summits</w:t>
      </w:r>
      <w:r w:rsidR="009767BD">
        <w:t>.</w:t>
      </w:r>
      <w:r w:rsidR="00885B55" w:rsidRPr="009767BD">
        <w:t xml:space="preserve"> The summits</w:t>
      </w:r>
      <w:r w:rsidR="009B3017" w:rsidRPr="009767BD">
        <w:t xml:space="preserve"> included employers, </w:t>
      </w:r>
      <w:r w:rsidR="000E2613" w:rsidRPr="009767BD">
        <w:t>service organization</w:t>
      </w:r>
      <w:r w:rsidR="00885B55" w:rsidRPr="009767BD">
        <w:t xml:space="preserve"> staff</w:t>
      </w:r>
      <w:r w:rsidR="000E2613" w:rsidRPr="009767BD">
        <w:t>, and WIOA-</w:t>
      </w:r>
      <w:r w:rsidR="00786A19" w:rsidRPr="009767BD">
        <w:t>funded services.</w:t>
      </w:r>
      <w:r w:rsidR="00A835B6" w:rsidRPr="009767BD">
        <w:t xml:space="preserve"> </w:t>
      </w:r>
      <w:r w:rsidR="00A4773A">
        <w:t xml:space="preserve">The </w:t>
      </w:r>
      <w:r w:rsidR="00173B58">
        <w:t xml:space="preserve">regional summits </w:t>
      </w:r>
      <w:r w:rsidR="00C259F6">
        <w:t>were designed to</w:t>
      </w:r>
      <w:r w:rsidR="00173B58">
        <w:t xml:space="preserve">: </w:t>
      </w:r>
      <w:r w:rsidR="00C259F6">
        <w:t xml:space="preserve">provide </w:t>
      </w:r>
      <w:r w:rsidR="00173B58">
        <w:t xml:space="preserve">cross-training among workforce training providers; </w:t>
      </w:r>
      <w:r w:rsidR="002D46AC">
        <w:t xml:space="preserve">provide employers with state and local tools and information about how and where to access resources that will help them </w:t>
      </w:r>
      <w:r w:rsidR="00C259F6">
        <w:t xml:space="preserve">meet their labor force needs; generate regional feedback on pre-determined questions to be used to inform aspects of planning a 2020 workforce summit and the development of the 2020 WIOA State Plan; </w:t>
      </w:r>
      <w:r w:rsidR="00356DA4">
        <w:t xml:space="preserve">and, </w:t>
      </w:r>
      <w:r w:rsidR="00C259F6">
        <w:t>create a directory of local providers of workforce education, training, and support providers, programs, and relevant resources</w:t>
      </w:r>
      <w:r w:rsidR="00356DA4">
        <w:t>.</w:t>
      </w:r>
      <w:r w:rsidR="00A835B6" w:rsidRPr="009767BD">
        <w:t xml:space="preserve"> </w:t>
      </w:r>
    </w:p>
    <w:p w14:paraId="0DC8B6F1" w14:textId="01E127FD" w:rsidR="00D932F3" w:rsidRDefault="00D932F3" w:rsidP="00D932F3">
      <w:pPr>
        <w:shd w:val="clear" w:color="auto" w:fill="FFFFFF" w:themeFill="background1"/>
      </w:pPr>
      <w:r>
        <w:t>During the program year, the State Director of Adult Education and Literacy continued participati</w:t>
      </w:r>
      <w:r w:rsidR="00CA3244">
        <w:t>ng in</w:t>
      </w:r>
      <w:r>
        <w:t xml:space="preserve"> the Adult Re-Entry Strategies cross-disciplinary work group led by the Vermont Department of Corrections</w:t>
      </w:r>
      <w:r w:rsidR="00654BDC">
        <w:t xml:space="preserve"> (DOC)</w:t>
      </w:r>
      <w:r>
        <w:t>. This group was formed as part of a planning grant awarded to the DOC</w:t>
      </w:r>
      <w:r w:rsidR="000E6C83">
        <w:t xml:space="preserve"> and included </w:t>
      </w:r>
      <w:r w:rsidR="00BD6DCB">
        <w:t xml:space="preserve">multiple </w:t>
      </w:r>
      <w:r>
        <w:t>one-stop partners</w:t>
      </w:r>
      <w:r w:rsidR="00BD6DCB">
        <w:t>.</w:t>
      </w:r>
      <w:r>
        <w:t xml:space="preserve"> The group met </w:t>
      </w:r>
      <w:r w:rsidR="009E0821">
        <w:t xml:space="preserve">several times </w:t>
      </w:r>
      <w:r>
        <w:t xml:space="preserve">during the program year to identify strategies to be described in the implementation </w:t>
      </w:r>
      <w:r w:rsidR="004001F6">
        <w:t xml:space="preserve">grant </w:t>
      </w:r>
      <w:r>
        <w:t xml:space="preserve">application that included plans for beginning the referral process to community services while the customer is still incarcerated in order to promote </w:t>
      </w:r>
      <w:r w:rsidR="00DD7F33">
        <w:t xml:space="preserve">strong community connections and </w:t>
      </w:r>
      <w:r>
        <w:t xml:space="preserve">engagement, identify the information needed to be included in a referral from DOC staff to the community service provider, and </w:t>
      </w:r>
      <w:r w:rsidR="00AA4FFB">
        <w:t xml:space="preserve">promote </w:t>
      </w:r>
      <w:r>
        <w:t xml:space="preserve">continuous provision of services upon re-entry. </w:t>
      </w:r>
    </w:p>
    <w:p w14:paraId="08AB77DB" w14:textId="1CD918F5" w:rsidR="00E13D25" w:rsidRDefault="00E13D25" w:rsidP="003C781D">
      <w:pPr>
        <w:shd w:val="clear" w:color="auto" w:fill="FFFFFF" w:themeFill="background1"/>
      </w:pPr>
      <w:r>
        <w:t>The State requires local providers to</w:t>
      </w:r>
      <w:r w:rsidR="00CA156D">
        <w:t xml:space="preserve"> actively engage in collaboration and referrals with regional core </w:t>
      </w:r>
      <w:r w:rsidR="00CA156D" w:rsidRPr="00356DA4">
        <w:t>partners</w:t>
      </w:r>
      <w:r w:rsidR="00A70767">
        <w:t>, including developing local consent to release information forms</w:t>
      </w:r>
      <w:r w:rsidR="00CC3580">
        <w:t xml:space="preserve"> and hosting in-person special events for core partners and students</w:t>
      </w:r>
      <w:r w:rsidR="00A70767">
        <w:t xml:space="preserve">. </w:t>
      </w:r>
      <w:r w:rsidR="00C3688F">
        <w:t xml:space="preserve">Pre-pandemic </w:t>
      </w:r>
      <w:r w:rsidR="002F41EE">
        <w:t xml:space="preserve">referral </w:t>
      </w:r>
      <w:r w:rsidR="00C3688F">
        <w:t xml:space="preserve">practice often included </w:t>
      </w:r>
      <w:r w:rsidR="009210E4">
        <w:t xml:space="preserve">physically accompanying students to the DOL and VR offices </w:t>
      </w:r>
      <w:r w:rsidR="00B046AA">
        <w:t xml:space="preserve">to provide referrals. </w:t>
      </w:r>
      <w:r w:rsidR="00F449CF">
        <w:t xml:space="preserve">After the pandemic began, local </w:t>
      </w:r>
      <w:r w:rsidR="008C4053">
        <w:t xml:space="preserve">core partners collaborated to provide Zoom orientations to individual services for </w:t>
      </w:r>
      <w:r w:rsidR="00DE5E97">
        <w:t xml:space="preserve">customers. </w:t>
      </w:r>
      <w:r w:rsidR="00432891" w:rsidRPr="00356DA4">
        <w:t>Local</w:t>
      </w:r>
      <w:r w:rsidR="00432891">
        <w:t xml:space="preserve"> collaborations include </w:t>
      </w:r>
      <w:r w:rsidR="00D607E4">
        <w:t>attending regular regional meetings hosted by core partners</w:t>
      </w:r>
      <w:r w:rsidR="00770AAF">
        <w:t>. As an example, Vocational Rehabilitation regularly hosts</w:t>
      </w:r>
      <w:r w:rsidR="00D607E4">
        <w:t xml:space="preserve"> Creative Workforce Solutions</w:t>
      </w:r>
      <w:r w:rsidR="00770AAF">
        <w:t xml:space="preserve"> in each region</w:t>
      </w:r>
      <w:r w:rsidR="00A41880">
        <w:t>.</w:t>
      </w:r>
      <w:r w:rsidR="006A3E57">
        <w:t xml:space="preserve"> Th</w:t>
      </w:r>
      <w:r w:rsidR="00770AAF">
        <w:t xml:space="preserve">e members of this multi-stakeholder </w:t>
      </w:r>
      <w:r w:rsidR="006A3E57">
        <w:t xml:space="preserve">group </w:t>
      </w:r>
      <w:r w:rsidR="00C87E19">
        <w:t xml:space="preserve">identify local workforce needs and pursue </w:t>
      </w:r>
      <w:r w:rsidR="009E24F2">
        <w:t xml:space="preserve">placement of individuals with disabilities </w:t>
      </w:r>
      <w:r w:rsidR="000476B4">
        <w:t>who can meet employers’ workforce needs.</w:t>
      </w:r>
      <w:r w:rsidR="00F969E3">
        <w:t xml:space="preserve"> The networking with employers and service providers that occurs during </w:t>
      </w:r>
      <w:r w:rsidR="006F66DB">
        <w:t>regular regional</w:t>
      </w:r>
      <w:r w:rsidR="00F969E3">
        <w:t xml:space="preserve"> meetings</w:t>
      </w:r>
      <w:r w:rsidR="002F41EE">
        <w:t xml:space="preserve"> and at other locally</w:t>
      </w:r>
      <w:r w:rsidR="00907441">
        <w:t xml:space="preserve"> </w:t>
      </w:r>
      <w:bookmarkStart w:id="0" w:name="_GoBack"/>
      <w:bookmarkEnd w:id="0"/>
      <w:r w:rsidR="002F41EE">
        <w:t>implemented events such as job fairs,</w:t>
      </w:r>
      <w:r w:rsidR="00F969E3">
        <w:t xml:space="preserve"> is invaluable</w:t>
      </w:r>
      <w:r w:rsidR="00356DA4">
        <w:t xml:space="preserve"> to the work of identifying local employer workforce needs.</w:t>
      </w:r>
    </w:p>
    <w:p w14:paraId="21C0CEAF" w14:textId="0B66251C" w:rsidR="003C781D" w:rsidRDefault="006B2229" w:rsidP="003C781D">
      <w:pPr>
        <w:shd w:val="clear" w:color="auto" w:fill="FFFFFF" w:themeFill="background1"/>
      </w:pPr>
      <w:r>
        <w:t xml:space="preserve">Core partners continue to work toward </w:t>
      </w:r>
      <w:r w:rsidR="00542679">
        <w:t xml:space="preserve">improvement in data sharing activities. </w:t>
      </w:r>
      <w:r w:rsidR="00C944E5">
        <w:t>S</w:t>
      </w:r>
      <w:r w:rsidR="00542679">
        <w:t xml:space="preserve">everal meetings held with </w:t>
      </w:r>
      <w:r w:rsidR="00687B6F">
        <w:t xml:space="preserve">Vocational Rehabilitation staff took place to explore the </w:t>
      </w:r>
      <w:r w:rsidR="00B61BE8">
        <w:t xml:space="preserve">data elements needed in order to </w:t>
      </w:r>
      <w:r w:rsidR="00CC6EF9">
        <w:t>i</w:t>
      </w:r>
      <w:r w:rsidR="0062346E">
        <w:t>ncrease the number of</w:t>
      </w:r>
      <w:r w:rsidR="00CC6EF9">
        <w:t xml:space="preserve"> co-enrollments </w:t>
      </w:r>
      <w:r w:rsidR="00AD3C05">
        <w:t>and credential attainments</w:t>
      </w:r>
      <w:r w:rsidR="00CB49BC">
        <w:t xml:space="preserve"> in</w:t>
      </w:r>
      <w:r w:rsidR="00AD3C05">
        <w:t xml:space="preserve"> data reported. </w:t>
      </w:r>
      <w:r w:rsidR="002936F8">
        <w:t>Other meetings to d</w:t>
      </w:r>
      <w:r w:rsidR="00FE272F">
        <w:t xml:space="preserve">etermine </w:t>
      </w:r>
      <w:r w:rsidR="002936F8">
        <w:t>how to better track and report Effectiveness in Serving Employers wi</w:t>
      </w:r>
      <w:r w:rsidR="000B2123">
        <w:t>th</w:t>
      </w:r>
      <w:r w:rsidR="002936F8">
        <w:t xml:space="preserve"> all three core partners </w:t>
      </w:r>
      <w:r w:rsidR="00517257">
        <w:t xml:space="preserve">have led to improved data sharing in </w:t>
      </w:r>
      <w:r w:rsidR="000B2123">
        <w:t>PY</w:t>
      </w:r>
      <w:r w:rsidR="00517257">
        <w:t xml:space="preserve">20. </w:t>
      </w:r>
    </w:p>
    <w:p w14:paraId="19DB1F35" w14:textId="6251A799" w:rsidR="00CB4A44" w:rsidRDefault="00CB4A44" w:rsidP="003C781D">
      <w:pPr>
        <w:shd w:val="clear" w:color="auto" w:fill="FFFFFF" w:themeFill="background1"/>
      </w:pPr>
      <w:r w:rsidRPr="00CC5207">
        <w:rPr>
          <w:b/>
          <w:bCs w:val="0"/>
        </w:rPr>
        <w:t>Professional development</w:t>
      </w:r>
      <w:r>
        <w:t xml:space="preserve"> events held during the year:</w:t>
      </w:r>
      <w:r w:rsidR="00C734F2">
        <w:t xml:space="preserve"> State sponsored events included the continuing focus on </w:t>
      </w:r>
      <w:r w:rsidR="00DF745F">
        <w:t>administering</w:t>
      </w:r>
      <w:r w:rsidR="00C734F2">
        <w:t xml:space="preserve"> assessments</w:t>
      </w:r>
      <w:r w:rsidR="00DF28FB">
        <w:t xml:space="preserve">, </w:t>
      </w:r>
      <w:r w:rsidR="00C16A31">
        <w:t xml:space="preserve">emphasis on quality data entered in the database, </w:t>
      </w:r>
      <w:r w:rsidR="00DF745F">
        <w:t xml:space="preserve">as well as </w:t>
      </w:r>
      <w:r w:rsidR="00DF28FB">
        <w:t xml:space="preserve">high-quality </w:t>
      </w:r>
      <w:r w:rsidR="00955EB1">
        <w:t xml:space="preserve">contextualized </w:t>
      </w:r>
      <w:r w:rsidR="00DF28FB">
        <w:t>instruction</w:t>
      </w:r>
      <w:r w:rsidR="00955EB1">
        <w:t>,</w:t>
      </w:r>
      <w:r w:rsidR="00A45C8B">
        <w:t xml:space="preserve"> such as using the topics of voting and participation in the census</w:t>
      </w:r>
      <w:r w:rsidR="00584B51">
        <w:t xml:space="preserve"> to engage students effectively. </w:t>
      </w:r>
    </w:p>
    <w:p w14:paraId="4767A0F7" w14:textId="5C457578" w:rsidR="000D54D8" w:rsidRDefault="000D54D8" w:rsidP="003C781D">
      <w:pPr>
        <w:shd w:val="clear" w:color="auto" w:fill="FFFFFF" w:themeFill="background1"/>
      </w:pPr>
      <w:r>
        <w:t>PD events presented by State-level staff:</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710"/>
        <w:gridCol w:w="1980"/>
        <w:gridCol w:w="1620"/>
      </w:tblGrid>
      <w:tr w:rsidR="00FC4932" w:rsidRPr="00681EE4" w14:paraId="7B0DAC76" w14:textId="77777777" w:rsidTr="00624E97">
        <w:trPr>
          <w:trHeight w:val="288"/>
        </w:trPr>
        <w:tc>
          <w:tcPr>
            <w:tcW w:w="3685" w:type="dxa"/>
            <w:shd w:val="clear" w:color="auto" w:fill="auto"/>
            <w:noWrap/>
            <w:vAlign w:val="bottom"/>
          </w:tcPr>
          <w:p w14:paraId="71AC6E86" w14:textId="37AA4C22" w:rsidR="00FC4932" w:rsidRPr="00681EE4" w:rsidRDefault="00370CB6" w:rsidP="00C41FC9">
            <w:pPr>
              <w:spacing w:after="0" w:line="240" w:lineRule="auto"/>
              <w:rPr>
                <w:b/>
                <w:bCs w:val="0"/>
                <w:color w:val="000000"/>
                <w:sz w:val="20"/>
                <w:szCs w:val="20"/>
                <w:highlight w:val="blue"/>
              </w:rPr>
            </w:pPr>
            <w:r w:rsidRPr="00681EE4">
              <w:rPr>
                <w:b/>
                <w:bCs w:val="0"/>
                <w:color w:val="000000"/>
                <w:sz w:val="20"/>
                <w:szCs w:val="20"/>
              </w:rPr>
              <w:t>Event</w:t>
            </w:r>
          </w:p>
        </w:tc>
        <w:tc>
          <w:tcPr>
            <w:tcW w:w="1710" w:type="dxa"/>
            <w:shd w:val="clear" w:color="auto" w:fill="auto"/>
            <w:noWrap/>
            <w:vAlign w:val="bottom"/>
          </w:tcPr>
          <w:p w14:paraId="49D938B2" w14:textId="0FF16C66" w:rsidR="00FC4932" w:rsidRPr="00681EE4" w:rsidRDefault="00FC4932" w:rsidP="00C41FC9">
            <w:pPr>
              <w:spacing w:after="0" w:line="240" w:lineRule="auto"/>
              <w:rPr>
                <w:b/>
                <w:bCs w:val="0"/>
                <w:color w:val="000000"/>
                <w:sz w:val="20"/>
                <w:szCs w:val="20"/>
              </w:rPr>
            </w:pPr>
            <w:r w:rsidRPr="00681EE4">
              <w:rPr>
                <w:b/>
                <w:bCs w:val="0"/>
                <w:color w:val="000000"/>
                <w:sz w:val="20"/>
                <w:szCs w:val="20"/>
              </w:rPr>
              <w:t>Date</w:t>
            </w:r>
          </w:p>
        </w:tc>
        <w:tc>
          <w:tcPr>
            <w:tcW w:w="1980" w:type="dxa"/>
          </w:tcPr>
          <w:p w14:paraId="51ACFEF3" w14:textId="0CD754A4" w:rsidR="00FC4932" w:rsidRPr="00681EE4" w:rsidRDefault="00FC4932" w:rsidP="00C41FC9">
            <w:pPr>
              <w:spacing w:after="0" w:line="240" w:lineRule="auto"/>
              <w:rPr>
                <w:b/>
                <w:bCs w:val="0"/>
                <w:color w:val="000000"/>
                <w:sz w:val="20"/>
                <w:szCs w:val="20"/>
              </w:rPr>
            </w:pPr>
            <w:r w:rsidRPr="00681EE4">
              <w:rPr>
                <w:b/>
                <w:bCs w:val="0"/>
                <w:color w:val="000000"/>
                <w:sz w:val="20"/>
                <w:szCs w:val="20"/>
              </w:rPr>
              <w:t>Format</w:t>
            </w:r>
          </w:p>
        </w:tc>
        <w:tc>
          <w:tcPr>
            <w:tcW w:w="1620" w:type="dxa"/>
          </w:tcPr>
          <w:p w14:paraId="2D60F116" w14:textId="06593DE2" w:rsidR="00FC4932" w:rsidRPr="00681EE4" w:rsidRDefault="00FC4932" w:rsidP="00C41FC9">
            <w:pPr>
              <w:spacing w:after="0" w:line="240" w:lineRule="auto"/>
              <w:rPr>
                <w:b/>
                <w:bCs w:val="0"/>
                <w:color w:val="000000"/>
                <w:sz w:val="20"/>
                <w:szCs w:val="20"/>
              </w:rPr>
            </w:pPr>
            <w:r w:rsidRPr="00681EE4">
              <w:rPr>
                <w:b/>
                <w:bCs w:val="0"/>
                <w:color w:val="000000"/>
                <w:sz w:val="20"/>
                <w:szCs w:val="20"/>
              </w:rPr>
              <w:t>Attendance</w:t>
            </w:r>
          </w:p>
        </w:tc>
      </w:tr>
      <w:tr w:rsidR="00FC4932" w:rsidRPr="00681EE4" w14:paraId="33A43C94" w14:textId="1744587F" w:rsidTr="00624E97">
        <w:trPr>
          <w:trHeight w:val="144"/>
        </w:trPr>
        <w:tc>
          <w:tcPr>
            <w:tcW w:w="3685" w:type="dxa"/>
            <w:shd w:val="clear" w:color="auto" w:fill="auto"/>
            <w:noWrap/>
            <w:vAlign w:val="bottom"/>
            <w:hideMark/>
          </w:tcPr>
          <w:p w14:paraId="462A3E9E" w14:textId="4B732C8E" w:rsidR="00FC4932" w:rsidRPr="00681EE4" w:rsidRDefault="00FC4932" w:rsidP="00C41FC9">
            <w:pPr>
              <w:spacing w:after="0" w:line="240" w:lineRule="auto"/>
              <w:rPr>
                <w:color w:val="000000"/>
                <w:sz w:val="20"/>
                <w:szCs w:val="20"/>
              </w:rPr>
            </w:pPr>
            <w:r w:rsidRPr="00681EE4">
              <w:rPr>
                <w:color w:val="000000"/>
                <w:sz w:val="20"/>
                <w:szCs w:val="20"/>
              </w:rPr>
              <w:t>Data Specialist Training</w:t>
            </w:r>
            <w:r w:rsidR="00971D07" w:rsidRPr="00681EE4">
              <w:rPr>
                <w:color w:val="000000"/>
                <w:sz w:val="20"/>
                <w:szCs w:val="20"/>
              </w:rPr>
              <w:t xml:space="preserve"> 101</w:t>
            </w:r>
          </w:p>
        </w:tc>
        <w:tc>
          <w:tcPr>
            <w:tcW w:w="1710" w:type="dxa"/>
            <w:shd w:val="clear" w:color="auto" w:fill="auto"/>
            <w:noWrap/>
            <w:vAlign w:val="bottom"/>
            <w:hideMark/>
          </w:tcPr>
          <w:p w14:paraId="6CEF4E85" w14:textId="77777777" w:rsidR="00FC4932" w:rsidRPr="00681EE4" w:rsidRDefault="00FC4932" w:rsidP="00C41FC9">
            <w:pPr>
              <w:spacing w:after="0" w:line="240" w:lineRule="auto"/>
              <w:rPr>
                <w:color w:val="000000"/>
                <w:sz w:val="20"/>
                <w:szCs w:val="20"/>
              </w:rPr>
            </w:pPr>
            <w:r w:rsidRPr="00681EE4">
              <w:rPr>
                <w:color w:val="000000"/>
                <w:sz w:val="20"/>
                <w:szCs w:val="20"/>
              </w:rPr>
              <w:t>9/26/19</w:t>
            </w:r>
          </w:p>
        </w:tc>
        <w:tc>
          <w:tcPr>
            <w:tcW w:w="1980" w:type="dxa"/>
          </w:tcPr>
          <w:p w14:paraId="6C9B95D0" w14:textId="3B9F244D" w:rsidR="00FC4932" w:rsidRPr="00681EE4" w:rsidRDefault="00FF5F7D" w:rsidP="00C41FC9">
            <w:pPr>
              <w:spacing w:after="0" w:line="240" w:lineRule="auto"/>
              <w:rPr>
                <w:color w:val="000000"/>
                <w:sz w:val="20"/>
                <w:szCs w:val="20"/>
              </w:rPr>
            </w:pPr>
            <w:r w:rsidRPr="00681EE4">
              <w:rPr>
                <w:color w:val="000000"/>
                <w:sz w:val="20"/>
                <w:szCs w:val="20"/>
              </w:rPr>
              <w:t>In-person</w:t>
            </w:r>
          </w:p>
        </w:tc>
        <w:tc>
          <w:tcPr>
            <w:tcW w:w="1620" w:type="dxa"/>
          </w:tcPr>
          <w:p w14:paraId="3403C1A0" w14:textId="470F2A9E" w:rsidR="00FC4932" w:rsidRPr="00681EE4" w:rsidRDefault="00971D07" w:rsidP="00C41FC9">
            <w:pPr>
              <w:spacing w:after="0" w:line="240" w:lineRule="auto"/>
              <w:rPr>
                <w:color w:val="000000"/>
                <w:sz w:val="20"/>
                <w:szCs w:val="20"/>
              </w:rPr>
            </w:pPr>
            <w:r w:rsidRPr="00681EE4">
              <w:rPr>
                <w:color w:val="000000"/>
                <w:sz w:val="20"/>
                <w:szCs w:val="20"/>
              </w:rPr>
              <w:t>15</w:t>
            </w:r>
          </w:p>
        </w:tc>
      </w:tr>
      <w:tr w:rsidR="00FC4932" w:rsidRPr="00681EE4" w14:paraId="32703392" w14:textId="0DB7FB96" w:rsidTr="00624E97">
        <w:trPr>
          <w:trHeight w:val="144"/>
        </w:trPr>
        <w:tc>
          <w:tcPr>
            <w:tcW w:w="3685" w:type="dxa"/>
            <w:shd w:val="clear" w:color="auto" w:fill="auto"/>
            <w:noWrap/>
            <w:vAlign w:val="bottom"/>
            <w:hideMark/>
          </w:tcPr>
          <w:p w14:paraId="3EB4C1C6" w14:textId="4B65C1BE" w:rsidR="00FC4932" w:rsidRPr="00681EE4" w:rsidRDefault="00FC4932" w:rsidP="00C41FC9">
            <w:pPr>
              <w:spacing w:after="0" w:line="240" w:lineRule="auto"/>
              <w:rPr>
                <w:color w:val="000000"/>
                <w:sz w:val="20"/>
                <w:szCs w:val="20"/>
              </w:rPr>
            </w:pPr>
            <w:r w:rsidRPr="00681EE4">
              <w:rPr>
                <w:color w:val="000000"/>
                <w:sz w:val="20"/>
                <w:szCs w:val="20"/>
              </w:rPr>
              <w:t>AEL Policy Review</w:t>
            </w:r>
            <w:r w:rsidR="00B30109" w:rsidRPr="00681EE4">
              <w:rPr>
                <w:color w:val="000000"/>
                <w:sz w:val="20"/>
                <w:szCs w:val="20"/>
              </w:rPr>
              <w:t xml:space="preserve"> for local leadership</w:t>
            </w:r>
          </w:p>
        </w:tc>
        <w:tc>
          <w:tcPr>
            <w:tcW w:w="1710" w:type="dxa"/>
            <w:shd w:val="clear" w:color="auto" w:fill="auto"/>
            <w:noWrap/>
            <w:vAlign w:val="bottom"/>
            <w:hideMark/>
          </w:tcPr>
          <w:p w14:paraId="70D4E55E" w14:textId="77777777" w:rsidR="00FC4932" w:rsidRPr="00681EE4" w:rsidRDefault="00FC4932" w:rsidP="00C41FC9">
            <w:pPr>
              <w:spacing w:after="0" w:line="240" w:lineRule="auto"/>
              <w:rPr>
                <w:color w:val="000000"/>
                <w:sz w:val="20"/>
                <w:szCs w:val="20"/>
              </w:rPr>
            </w:pPr>
            <w:r w:rsidRPr="00681EE4">
              <w:rPr>
                <w:color w:val="000000"/>
                <w:sz w:val="20"/>
                <w:szCs w:val="20"/>
              </w:rPr>
              <w:t>9/26/19</w:t>
            </w:r>
          </w:p>
        </w:tc>
        <w:tc>
          <w:tcPr>
            <w:tcW w:w="1980" w:type="dxa"/>
          </w:tcPr>
          <w:p w14:paraId="0CBBAEA6" w14:textId="105D4350" w:rsidR="00FC4932" w:rsidRPr="00681EE4" w:rsidRDefault="00FF5F7D" w:rsidP="00C41FC9">
            <w:pPr>
              <w:spacing w:after="0" w:line="240" w:lineRule="auto"/>
              <w:rPr>
                <w:color w:val="000000"/>
                <w:sz w:val="20"/>
                <w:szCs w:val="20"/>
              </w:rPr>
            </w:pPr>
            <w:r w:rsidRPr="00681EE4">
              <w:rPr>
                <w:color w:val="000000"/>
                <w:sz w:val="20"/>
                <w:szCs w:val="20"/>
              </w:rPr>
              <w:t>In-person</w:t>
            </w:r>
          </w:p>
        </w:tc>
        <w:tc>
          <w:tcPr>
            <w:tcW w:w="1620" w:type="dxa"/>
          </w:tcPr>
          <w:p w14:paraId="663B6EE0" w14:textId="6D935FA6" w:rsidR="00FC4932" w:rsidRPr="00681EE4" w:rsidRDefault="00B30109" w:rsidP="00C41FC9">
            <w:pPr>
              <w:spacing w:after="0" w:line="240" w:lineRule="auto"/>
              <w:rPr>
                <w:color w:val="000000"/>
                <w:sz w:val="20"/>
                <w:szCs w:val="20"/>
              </w:rPr>
            </w:pPr>
            <w:r w:rsidRPr="00681EE4">
              <w:rPr>
                <w:color w:val="000000"/>
                <w:sz w:val="20"/>
                <w:szCs w:val="20"/>
              </w:rPr>
              <w:t>22</w:t>
            </w:r>
          </w:p>
        </w:tc>
      </w:tr>
      <w:tr w:rsidR="00FC4932" w:rsidRPr="00681EE4" w14:paraId="3A0BF365" w14:textId="0A9EACE9" w:rsidTr="00624E97">
        <w:trPr>
          <w:trHeight w:val="288"/>
        </w:trPr>
        <w:tc>
          <w:tcPr>
            <w:tcW w:w="3685" w:type="dxa"/>
            <w:shd w:val="clear" w:color="auto" w:fill="auto"/>
            <w:noWrap/>
            <w:vAlign w:val="bottom"/>
            <w:hideMark/>
          </w:tcPr>
          <w:p w14:paraId="15773B96" w14:textId="77777777" w:rsidR="00FC4932" w:rsidRPr="00681EE4" w:rsidRDefault="00FC4932" w:rsidP="00C41FC9">
            <w:pPr>
              <w:spacing w:after="0" w:line="240" w:lineRule="auto"/>
              <w:rPr>
                <w:color w:val="000000"/>
                <w:sz w:val="20"/>
                <w:szCs w:val="20"/>
              </w:rPr>
            </w:pPr>
            <w:r w:rsidRPr="00681EE4">
              <w:rPr>
                <w:color w:val="000000"/>
                <w:sz w:val="20"/>
                <w:szCs w:val="20"/>
              </w:rPr>
              <w:t>Data Specialist Training</w:t>
            </w:r>
          </w:p>
        </w:tc>
        <w:tc>
          <w:tcPr>
            <w:tcW w:w="1710" w:type="dxa"/>
            <w:shd w:val="clear" w:color="auto" w:fill="auto"/>
            <w:noWrap/>
            <w:vAlign w:val="bottom"/>
            <w:hideMark/>
          </w:tcPr>
          <w:p w14:paraId="3061FBF7" w14:textId="77777777" w:rsidR="00FC4932" w:rsidRPr="00681EE4" w:rsidRDefault="00FC4932" w:rsidP="00C41FC9">
            <w:pPr>
              <w:spacing w:after="0" w:line="240" w:lineRule="auto"/>
              <w:rPr>
                <w:color w:val="000000"/>
                <w:sz w:val="20"/>
                <w:szCs w:val="20"/>
              </w:rPr>
            </w:pPr>
            <w:r w:rsidRPr="00681EE4">
              <w:rPr>
                <w:color w:val="000000"/>
                <w:sz w:val="20"/>
                <w:szCs w:val="20"/>
              </w:rPr>
              <w:t>12/12/19</w:t>
            </w:r>
          </w:p>
        </w:tc>
        <w:tc>
          <w:tcPr>
            <w:tcW w:w="1980" w:type="dxa"/>
          </w:tcPr>
          <w:p w14:paraId="5487C81A" w14:textId="3039A907" w:rsidR="00FC4932" w:rsidRPr="00681EE4" w:rsidRDefault="008F780C" w:rsidP="00C41FC9">
            <w:pPr>
              <w:spacing w:after="0" w:line="240" w:lineRule="auto"/>
              <w:rPr>
                <w:color w:val="000000"/>
                <w:sz w:val="20"/>
                <w:szCs w:val="20"/>
              </w:rPr>
            </w:pPr>
            <w:r w:rsidRPr="00681EE4">
              <w:rPr>
                <w:color w:val="000000"/>
                <w:sz w:val="20"/>
                <w:szCs w:val="20"/>
              </w:rPr>
              <w:t>Skype</w:t>
            </w:r>
          </w:p>
        </w:tc>
        <w:tc>
          <w:tcPr>
            <w:tcW w:w="1620" w:type="dxa"/>
          </w:tcPr>
          <w:p w14:paraId="045C0E5C" w14:textId="02FB1B70" w:rsidR="00FC4932" w:rsidRPr="00681EE4" w:rsidRDefault="008F780C" w:rsidP="00C41FC9">
            <w:pPr>
              <w:spacing w:after="0" w:line="240" w:lineRule="auto"/>
              <w:rPr>
                <w:color w:val="000000"/>
                <w:sz w:val="20"/>
                <w:szCs w:val="20"/>
              </w:rPr>
            </w:pPr>
            <w:r w:rsidRPr="00681EE4">
              <w:rPr>
                <w:color w:val="000000"/>
                <w:sz w:val="20"/>
                <w:szCs w:val="20"/>
              </w:rPr>
              <w:t>10</w:t>
            </w:r>
          </w:p>
        </w:tc>
      </w:tr>
      <w:tr w:rsidR="00FC4932" w:rsidRPr="00681EE4" w14:paraId="77A435DF" w14:textId="5621C65F" w:rsidTr="00624E97">
        <w:trPr>
          <w:trHeight w:val="288"/>
        </w:trPr>
        <w:tc>
          <w:tcPr>
            <w:tcW w:w="3685" w:type="dxa"/>
            <w:shd w:val="clear" w:color="auto" w:fill="auto"/>
            <w:noWrap/>
            <w:vAlign w:val="bottom"/>
          </w:tcPr>
          <w:p w14:paraId="19A4903A" w14:textId="7DEFFF6B" w:rsidR="00FC4932" w:rsidRPr="00681EE4" w:rsidRDefault="00FC4932" w:rsidP="00C41FC9">
            <w:pPr>
              <w:spacing w:after="0" w:line="240" w:lineRule="auto"/>
              <w:rPr>
                <w:color w:val="000000"/>
                <w:sz w:val="20"/>
                <w:szCs w:val="20"/>
              </w:rPr>
            </w:pPr>
            <w:r w:rsidRPr="00681EE4">
              <w:rPr>
                <w:color w:val="000000"/>
                <w:sz w:val="20"/>
                <w:szCs w:val="20"/>
              </w:rPr>
              <w:t>Data Specialist Training</w:t>
            </w:r>
          </w:p>
        </w:tc>
        <w:tc>
          <w:tcPr>
            <w:tcW w:w="1710" w:type="dxa"/>
            <w:shd w:val="clear" w:color="auto" w:fill="auto"/>
            <w:noWrap/>
            <w:vAlign w:val="bottom"/>
          </w:tcPr>
          <w:p w14:paraId="5F5915BF" w14:textId="2E8AD195" w:rsidR="00FC4932" w:rsidRPr="00681EE4" w:rsidRDefault="00FC4932" w:rsidP="00C41FC9">
            <w:pPr>
              <w:spacing w:after="0" w:line="240" w:lineRule="auto"/>
              <w:rPr>
                <w:color w:val="000000"/>
                <w:sz w:val="20"/>
                <w:szCs w:val="20"/>
              </w:rPr>
            </w:pPr>
            <w:r w:rsidRPr="00681EE4">
              <w:rPr>
                <w:color w:val="000000"/>
                <w:sz w:val="20"/>
                <w:szCs w:val="20"/>
              </w:rPr>
              <w:t>4/30/20</w:t>
            </w:r>
          </w:p>
        </w:tc>
        <w:tc>
          <w:tcPr>
            <w:tcW w:w="1980" w:type="dxa"/>
          </w:tcPr>
          <w:p w14:paraId="00F4BD3A" w14:textId="2FD4FAB6" w:rsidR="00FC4932" w:rsidRPr="00681EE4" w:rsidRDefault="004F1A9C" w:rsidP="00C41FC9">
            <w:pPr>
              <w:spacing w:after="0" w:line="240" w:lineRule="auto"/>
              <w:rPr>
                <w:color w:val="000000"/>
                <w:sz w:val="20"/>
                <w:szCs w:val="20"/>
              </w:rPr>
            </w:pPr>
            <w:r w:rsidRPr="00681EE4">
              <w:rPr>
                <w:color w:val="000000"/>
                <w:sz w:val="20"/>
                <w:szCs w:val="20"/>
              </w:rPr>
              <w:t>Skype</w:t>
            </w:r>
          </w:p>
        </w:tc>
        <w:tc>
          <w:tcPr>
            <w:tcW w:w="1620" w:type="dxa"/>
          </w:tcPr>
          <w:p w14:paraId="68C40612" w14:textId="18A2DA5B" w:rsidR="00FC4932" w:rsidRPr="00681EE4" w:rsidRDefault="004F1A9C" w:rsidP="00C41FC9">
            <w:pPr>
              <w:spacing w:after="0" w:line="240" w:lineRule="auto"/>
              <w:rPr>
                <w:color w:val="000000"/>
                <w:sz w:val="20"/>
                <w:szCs w:val="20"/>
              </w:rPr>
            </w:pPr>
            <w:r w:rsidRPr="00681EE4">
              <w:rPr>
                <w:color w:val="000000"/>
                <w:sz w:val="20"/>
                <w:szCs w:val="20"/>
              </w:rPr>
              <w:t>9</w:t>
            </w:r>
          </w:p>
        </w:tc>
      </w:tr>
      <w:tr w:rsidR="00FC4932" w:rsidRPr="00681EE4" w14:paraId="00F0F7A7" w14:textId="1F70D606" w:rsidTr="00624E97">
        <w:trPr>
          <w:trHeight w:val="288"/>
        </w:trPr>
        <w:tc>
          <w:tcPr>
            <w:tcW w:w="3685" w:type="dxa"/>
            <w:shd w:val="clear" w:color="auto" w:fill="auto"/>
            <w:noWrap/>
            <w:vAlign w:val="bottom"/>
          </w:tcPr>
          <w:p w14:paraId="5BDE2582" w14:textId="5FD9C62F" w:rsidR="00FC4932" w:rsidRPr="00681EE4" w:rsidRDefault="00FC4932" w:rsidP="00C41FC9">
            <w:pPr>
              <w:spacing w:after="0" w:line="240" w:lineRule="auto"/>
              <w:rPr>
                <w:color w:val="000000"/>
                <w:sz w:val="20"/>
                <w:szCs w:val="20"/>
              </w:rPr>
            </w:pPr>
            <w:r w:rsidRPr="00681EE4">
              <w:rPr>
                <w:color w:val="000000"/>
                <w:sz w:val="20"/>
                <w:szCs w:val="20"/>
              </w:rPr>
              <w:t>Annual NRS Refresher</w:t>
            </w:r>
          </w:p>
        </w:tc>
        <w:tc>
          <w:tcPr>
            <w:tcW w:w="1710" w:type="dxa"/>
            <w:shd w:val="clear" w:color="auto" w:fill="auto"/>
            <w:noWrap/>
            <w:vAlign w:val="bottom"/>
          </w:tcPr>
          <w:p w14:paraId="4991FF03" w14:textId="77C1F819" w:rsidR="00FC4932" w:rsidRPr="00681EE4" w:rsidRDefault="00FC4932" w:rsidP="00C41FC9">
            <w:pPr>
              <w:spacing w:after="0" w:line="240" w:lineRule="auto"/>
              <w:rPr>
                <w:color w:val="000000"/>
                <w:sz w:val="20"/>
                <w:szCs w:val="20"/>
              </w:rPr>
            </w:pPr>
            <w:r w:rsidRPr="00681EE4">
              <w:rPr>
                <w:color w:val="000000"/>
                <w:sz w:val="20"/>
                <w:szCs w:val="20"/>
              </w:rPr>
              <w:t>5/20/20</w:t>
            </w:r>
            <w:r w:rsidR="00BF63CB">
              <w:rPr>
                <w:color w:val="000000"/>
                <w:sz w:val="20"/>
                <w:szCs w:val="20"/>
              </w:rPr>
              <w:t>, 5/22/20</w:t>
            </w:r>
          </w:p>
        </w:tc>
        <w:tc>
          <w:tcPr>
            <w:tcW w:w="1980" w:type="dxa"/>
          </w:tcPr>
          <w:p w14:paraId="28515F6C" w14:textId="777F5231" w:rsidR="00FC4932" w:rsidRPr="00681EE4" w:rsidRDefault="00FF5F7D" w:rsidP="00C41FC9">
            <w:pPr>
              <w:spacing w:after="0" w:line="240" w:lineRule="auto"/>
              <w:rPr>
                <w:color w:val="000000"/>
                <w:sz w:val="20"/>
                <w:szCs w:val="20"/>
              </w:rPr>
            </w:pPr>
            <w:r w:rsidRPr="00681EE4">
              <w:rPr>
                <w:color w:val="000000"/>
                <w:sz w:val="20"/>
                <w:szCs w:val="20"/>
              </w:rPr>
              <w:t>Microsoft Teams</w:t>
            </w:r>
          </w:p>
        </w:tc>
        <w:tc>
          <w:tcPr>
            <w:tcW w:w="1620" w:type="dxa"/>
          </w:tcPr>
          <w:p w14:paraId="46CF6BA9" w14:textId="121CBAB9" w:rsidR="00FC4932" w:rsidRPr="00681EE4" w:rsidRDefault="004841F1" w:rsidP="00C41FC9">
            <w:pPr>
              <w:spacing w:after="0" w:line="240" w:lineRule="auto"/>
              <w:rPr>
                <w:color w:val="000000"/>
                <w:sz w:val="20"/>
                <w:szCs w:val="20"/>
              </w:rPr>
            </w:pPr>
            <w:r w:rsidRPr="00681EE4">
              <w:rPr>
                <w:color w:val="000000"/>
                <w:sz w:val="20"/>
                <w:szCs w:val="20"/>
              </w:rPr>
              <w:t>51</w:t>
            </w:r>
            <w:r w:rsidR="00BF63CB">
              <w:rPr>
                <w:color w:val="000000"/>
                <w:sz w:val="20"/>
                <w:szCs w:val="20"/>
              </w:rPr>
              <w:t>, 32</w:t>
            </w:r>
          </w:p>
        </w:tc>
      </w:tr>
      <w:tr w:rsidR="00FC4932" w:rsidRPr="00681EE4" w14:paraId="54D2E048" w14:textId="2A5890A8" w:rsidTr="00624E97">
        <w:trPr>
          <w:trHeight w:val="288"/>
        </w:trPr>
        <w:tc>
          <w:tcPr>
            <w:tcW w:w="3685" w:type="dxa"/>
            <w:shd w:val="clear" w:color="auto" w:fill="auto"/>
            <w:noWrap/>
            <w:vAlign w:val="bottom"/>
          </w:tcPr>
          <w:p w14:paraId="14592C32" w14:textId="14CFBB50" w:rsidR="00FC4932" w:rsidRPr="00681EE4" w:rsidRDefault="00FC4932" w:rsidP="00C41FC9">
            <w:pPr>
              <w:spacing w:after="0" w:line="240" w:lineRule="auto"/>
              <w:rPr>
                <w:color w:val="000000"/>
                <w:sz w:val="20"/>
                <w:szCs w:val="20"/>
              </w:rPr>
            </w:pPr>
            <w:r w:rsidRPr="00681EE4">
              <w:rPr>
                <w:color w:val="000000"/>
                <w:sz w:val="20"/>
                <w:szCs w:val="20"/>
              </w:rPr>
              <w:t>Data Specialist Training</w:t>
            </w:r>
          </w:p>
        </w:tc>
        <w:tc>
          <w:tcPr>
            <w:tcW w:w="1710" w:type="dxa"/>
            <w:shd w:val="clear" w:color="auto" w:fill="auto"/>
            <w:noWrap/>
            <w:vAlign w:val="bottom"/>
          </w:tcPr>
          <w:p w14:paraId="0E46FFE0" w14:textId="40975C47" w:rsidR="00FC4932" w:rsidRPr="00681EE4" w:rsidRDefault="00FC4932" w:rsidP="00C41FC9">
            <w:pPr>
              <w:spacing w:after="0" w:line="240" w:lineRule="auto"/>
              <w:rPr>
                <w:color w:val="000000"/>
                <w:sz w:val="20"/>
                <w:szCs w:val="20"/>
              </w:rPr>
            </w:pPr>
            <w:r w:rsidRPr="00681EE4">
              <w:rPr>
                <w:color w:val="000000"/>
                <w:sz w:val="20"/>
                <w:szCs w:val="20"/>
              </w:rPr>
              <w:t>6/29/20</w:t>
            </w:r>
          </w:p>
        </w:tc>
        <w:tc>
          <w:tcPr>
            <w:tcW w:w="1980" w:type="dxa"/>
          </w:tcPr>
          <w:p w14:paraId="3BEB2249" w14:textId="4478AEB0" w:rsidR="00FC4932" w:rsidRPr="00681EE4" w:rsidRDefault="00F7602A" w:rsidP="00C41FC9">
            <w:pPr>
              <w:spacing w:after="0" w:line="240" w:lineRule="auto"/>
              <w:rPr>
                <w:color w:val="000000"/>
                <w:sz w:val="20"/>
                <w:szCs w:val="20"/>
              </w:rPr>
            </w:pPr>
            <w:r w:rsidRPr="00681EE4">
              <w:rPr>
                <w:color w:val="000000"/>
                <w:sz w:val="20"/>
                <w:szCs w:val="20"/>
              </w:rPr>
              <w:t>Microsoft Teams</w:t>
            </w:r>
          </w:p>
        </w:tc>
        <w:tc>
          <w:tcPr>
            <w:tcW w:w="1620" w:type="dxa"/>
          </w:tcPr>
          <w:p w14:paraId="22B2511A" w14:textId="64D261B0" w:rsidR="00FC4932" w:rsidRPr="00681EE4" w:rsidRDefault="00F7602A" w:rsidP="00C41FC9">
            <w:pPr>
              <w:spacing w:after="0" w:line="240" w:lineRule="auto"/>
              <w:rPr>
                <w:color w:val="000000"/>
                <w:sz w:val="20"/>
                <w:szCs w:val="20"/>
              </w:rPr>
            </w:pPr>
            <w:r w:rsidRPr="00681EE4">
              <w:rPr>
                <w:color w:val="000000"/>
                <w:sz w:val="20"/>
                <w:szCs w:val="20"/>
              </w:rPr>
              <w:t>9</w:t>
            </w:r>
          </w:p>
        </w:tc>
      </w:tr>
    </w:tbl>
    <w:p w14:paraId="2221DC9A" w14:textId="482AFA3A" w:rsidR="00E74CED" w:rsidRDefault="00E74CED" w:rsidP="003C781D">
      <w:pPr>
        <w:shd w:val="clear" w:color="auto" w:fill="FFFFFF" w:themeFill="background1"/>
      </w:pPr>
      <w:r>
        <w:t>PD events related to the administration of assessments: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710"/>
        <w:gridCol w:w="1980"/>
        <w:gridCol w:w="1620"/>
      </w:tblGrid>
      <w:tr w:rsidR="00F74192" w:rsidRPr="00681EE4" w14:paraId="028D09C2" w14:textId="77777777" w:rsidTr="007C1C40">
        <w:trPr>
          <w:trHeight w:val="330"/>
        </w:trPr>
        <w:tc>
          <w:tcPr>
            <w:tcW w:w="3685" w:type="dxa"/>
            <w:shd w:val="clear" w:color="auto" w:fill="auto"/>
            <w:noWrap/>
            <w:vAlign w:val="bottom"/>
          </w:tcPr>
          <w:p w14:paraId="077ABD39" w14:textId="77777777" w:rsidR="00F74192" w:rsidRPr="00681EE4" w:rsidRDefault="00F74192" w:rsidP="000879AA">
            <w:pPr>
              <w:spacing w:after="0" w:line="240" w:lineRule="auto"/>
              <w:rPr>
                <w:b/>
                <w:bCs w:val="0"/>
                <w:color w:val="000000"/>
                <w:sz w:val="20"/>
                <w:szCs w:val="20"/>
                <w:highlight w:val="blue"/>
              </w:rPr>
            </w:pPr>
            <w:r w:rsidRPr="00681EE4">
              <w:rPr>
                <w:b/>
                <w:bCs w:val="0"/>
                <w:color w:val="000000"/>
                <w:sz w:val="20"/>
                <w:szCs w:val="20"/>
              </w:rPr>
              <w:t>Event</w:t>
            </w:r>
          </w:p>
        </w:tc>
        <w:tc>
          <w:tcPr>
            <w:tcW w:w="1710" w:type="dxa"/>
            <w:shd w:val="clear" w:color="auto" w:fill="auto"/>
            <w:noWrap/>
            <w:vAlign w:val="bottom"/>
          </w:tcPr>
          <w:p w14:paraId="0AB9EE3B" w14:textId="77777777" w:rsidR="00F74192" w:rsidRPr="00681EE4" w:rsidRDefault="00F74192" w:rsidP="000879AA">
            <w:pPr>
              <w:spacing w:after="0" w:line="240" w:lineRule="auto"/>
              <w:rPr>
                <w:b/>
                <w:bCs w:val="0"/>
                <w:color w:val="000000"/>
                <w:sz w:val="20"/>
                <w:szCs w:val="20"/>
              </w:rPr>
            </w:pPr>
            <w:r w:rsidRPr="00681EE4">
              <w:rPr>
                <w:b/>
                <w:bCs w:val="0"/>
                <w:color w:val="000000"/>
                <w:sz w:val="20"/>
                <w:szCs w:val="20"/>
              </w:rPr>
              <w:t>Date</w:t>
            </w:r>
          </w:p>
        </w:tc>
        <w:tc>
          <w:tcPr>
            <w:tcW w:w="1980" w:type="dxa"/>
          </w:tcPr>
          <w:p w14:paraId="6664A57F" w14:textId="77777777" w:rsidR="00F74192" w:rsidRPr="00681EE4" w:rsidRDefault="00F74192" w:rsidP="000879AA">
            <w:pPr>
              <w:spacing w:after="0" w:line="240" w:lineRule="auto"/>
              <w:rPr>
                <w:b/>
                <w:bCs w:val="0"/>
                <w:color w:val="000000"/>
                <w:sz w:val="20"/>
                <w:szCs w:val="20"/>
              </w:rPr>
            </w:pPr>
            <w:r w:rsidRPr="00681EE4">
              <w:rPr>
                <w:b/>
                <w:bCs w:val="0"/>
                <w:color w:val="000000"/>
                <w:sz w:val="20"/>
                <w:szCs w:val="20"/>
              </w:rPr>
              <w:t>Format</w:t>
            </w:r>
          </w:p>
        </w:tc>
        <w:tc>
          <w:tcPr>
            <w:tcW w:w="1620" w:type="dxa"/>
          </w:tcPr>
          <w:p w14:paraId="3E2DEA94" w14:textId="4343C304" w:rsidR="00F74192" w:rsidRPr="00681EE4" w:rsidRDefault="00F74192" w:rsidP="000879AA">
            <w:pPr>
              <w:spacing w:after="0" w:line="240" w:lineRule="auto"/>
              <w:rPr>
                <w:b/>
                <w:bCs w:val="0"/>
                <w:color w:val="000000"/>
                <w:sz w:val="20"/>
                <w:szCs w:val="20"/>
              </w:rPr>
            </w:pPr>
            <w:r w:rsidRPr="00681EE4">
              <w:rPr>
                <w:b/>
                <w:bCs w:val="0"/>
                <w:color w:val="000000"/>
                <w:sz w:val="20"/>
                <w:szCs w:val="20"/>
              </w:rPr>
              <w:t>Attendance</w:t>
            </w:r>
          </w:p>
        </w:tc>
      </w:tr>
      <w:tr w:rsidR="00F74192" w:rsidRPr="00681EE4" w14:paraId="09C2C962" w14:textId="77777777" w:rsidTr="007C1C40">
        <w:trPr>
          <w:trHeight w:val="330"/>
        </w:trPr>
        <w:tc>
          <w:tcPr>
            <w:tcW w:w="3685" w:type="dxa"/>
            <w:shd w:val="clear" w:color="auto" w:fill="auto"/>
            <w:noWrap/>
            <w:vAlign w:val="bottom"/>
          </w:tcPr>
          <w:p w14:paraId="7E932FBE" w14:textId="3B8FC79C" w:rsidR="00F74192" w:rsidRPr="00681EE4" w:rsidRDefault="00B32D1E" w:rsidP="000879AA">
            <w:pPr>
              <w:spacing w:after="0" w:line="240" w:lineRule="auto"/>
              <w:rPr>
                <w:color w:val="000000"/>
                <w:sz w:val="20"/>
                <w:szCs w:val="20"/>
              </w:rPr>
            </w:pPr>
            <w:r w:rsidRPr="00681EE4">
              <w:rPr>
                <w:color w:val="000000"/>
                <w:sz w:val="20"/>
                <w:szCs w:val="20"/>
              </w:rPr>
              <w:t>Introduction to Assessment for Adult Education (LINCS)</w:t>
            </w:r>
          </w:p>
        </w:tc>
        <w:tc>
          <w:tcPr>
            <w:tcW w:w="1710" w:type="dxa"/>
            <w:shd w:val="clear" w:color="auto" w:fill="auto"/>
            <w:noWrap/>
            <w:vAlign w:val="bottom"/>
          </w:tcPr>
          <w:p w14:paraId="6F9B96F0" w14:textId="2AE713AE" w:rsidR="00F74192" w:rsidRPr="00681EE4" w:rsidRDefault="00467066" w:rsidP="000879AA">
            <w:pPr>
              <w:spacing w:after="0" w:line="240" w:lineRule="auto"/>
              <w:rPr>
                <w:color w:val="000000"/>
                <w:sz w:val="20"/>
                <w:szCs w:val="20"/>
              </w:rPr>
            </w:pPr>
            <w:r w:rsidRPr="00681EE4">
              <w:rPr>
                <w:color w:val="000000"/>
                <w:sz w:val="20"/>
                <w:szCs w:val="20"/>
              </w:rPr>
              <w:t>1/27/20</w:t>
            </w:r>
            <w:r w:rsidR="00DF41BB" w:rsidRPr="00681EE4">
              <w:rPr>
                <w:color w:val="000000"/>
                <w:sz w:val="20"/>
                <w:szCs w:val="20"/>
              </w:rPr>
              <w:t>-3/9/20</w:t>
            </w:r>
          </w:p>
        </w:tc>
        <w:tc>
          <w:tcPr>
            <w:tcW w:w="1980" w:type="dxa"/>
          </w:tcPr>
          <w:p w14:paraId="3EFA6C66" w14:textId="6CB76EF5" w:rsidR="00F74192" w:rsidRPr="00681EE4" w:rsidRDefault="004D7B44" w:rsidP="000879AA">
            <w:pPr>
              <w:spacing w:after="0" w:line="240" w:lineRule="auto"/>
              <w:rPr>
                <w:color w:val="000000"/>
                <w:sz w:val="20"/>
                <w:szCs w:val="20"/>
              </w:rPr>
            </w:pPr>
            <w:r w:rsidRPr="00681EE4">
              <w:rPr>
                <w:color w:val="000000"/>
                <w:sz w:val="20"/>
                <w:szCs w:val="20"/>
              </w:rPr>
              <w:t>LINCS online facilitated course</w:t>
            </w:r>
          </w:p>
        </w:tc>
        <w:tc>
          <w:tcPr>
            <w:tcW w:w="1620" w:type="dxa"/>
          </w:tcPr>
          <w:p w14:paraId="281D5E99" w14:textId="258F76FF" w:rsidR="00F74192" w:rsidRPr="00681EE4" w:rsidRDefault="00C41FC9" w:rsidP="000879AA">
            <w:pPr>
              <w:spacing w:after="0" w:line="240" w:lineRule="auto"/>
              <w:rPr>
                <w:color w:val="000000"/>
                <w:sz w:val="20"/>
                <w:szCs w:val="20"/>
              </w:rPr>
            </w:pPr>
            <w:r w:rsidRPr="00681EE4">
              <w:rPr>
                <w:color w:val="000000"/>
                <w:sz w:val="20"/>
                <w:szCs w:val="20"/>
              </w:rPr>
              <w:t>5</w:t>
            </w:r>
          </w:p>
        </w:tc>
      </w:tr>
      <w:tr w:rsidR="00C41FC9" w:rsidRPr="00681EE4" w14:paraId="5ECB0D5B" w14:textId="77777777" w:rsidTr="007C1C40">
        <w:trPr>
          <w:trHeight w:val="330"/>
        </w:trPr>
        <w:tc>
          <w:tcPr>
            <w:tcW w:w="3685" w:type="dxa"/>
            <w:shd w:val="clear" w:color="auto" w:fill="auto"/>
            <w:noWrap/>
            <w:vAlign w:val="bottom"/>
          </w:tcPr>
          <w:p w14:paraId="6D8AF316" w14:textId="28DB2F0A" w:rsidR="00C41FC9" w:rsidRPr="00681EE4" w:rsidRDefault="00260D09" w:rsidP="000879AA">
            <w:pPr>
              <w:spacing w:after="0" w:line="240" w:lineRule="auto"/>
              <w:rPr>
                <w:color w:val="000000"/>
                <w:sz w:val="20"/>
                <w:szCs w:val="20"/>
              </w:rPr>
            </w:pPr>
            <w:r w:rsidRPr="00681EE4">
              <w:rPr>
                <w:color w:val="000000"/>
                <w:sz w:val="20"/>
                <w:szCs w:val="20"/>
              </w:rPr>
              <w:t>BEST Plus 2.0 New Administrator Training</w:t>
            </w:r>
          </w:p>
        </w:tc>
        <w:tc>
          <w:tcPr>
            <w:tcW w:w="1710" w:type="dxa"/>
            <w:shd w:val="clear" w:color="auto" w:fill="auto"/>
            <w:noWrap/>
            <w:vAlign w:val="bottom"/>
          </w:tcPr>
          <w:p w14:paraId="069C9034" w14:textId="23FBBD1B" w:rsidR="00C41FC9" w:rsidRPr="00681EE4" w:rsidRDefault="00B15C85" w:rsidP="000879AA">
            <w:pPr>
              <w:spacing w:after="0" w:line="240" w:lineRule="auto"/>
              <w:rPr>
                <w:color w:val="000000"/>
                <w:sz w:val="20"/>
                <w:szCs w:val="20"/>
              </w:rPr>
            </w:pPr>
            <w:r w:rsidRPr="00681EE4">
              <w:rPr>
                <w:color w:val="000000"/>
                <w:sz w:val="20"/>
                <w:szCs w:val="20"/>
              </w:rPr>
              <w:t>2/28/20</w:t>
            </w:r>
          </w:p>
        </w:tc>
        <w:tc>
          <w:tcPr>
            <w:tcW w:w="1980" w:type="dxa"/>
          </w:tcPr>
          <w:p w14:paraId="3F54BC16" w14:textId="43D0B4BF" w:rsidR="00C41FC9" w:rsidRPr="00681EE4" w:rsidRDefault="00B15C85" w:rsidP="000879AA">
            <w:pPr>
              <w:spacing w:after="0" w:line="240" w:lineRule="auto"/>
              <w:rPr>
                <w:color w:val="000000"/>
                <w:sz w:val="20"/>
                <w:szCs w:val="20"/>
              </w:rPr>
            </w:pPr>
            <w:r w:rsidRPr="00681EE4">
              <w:rPr>
                <w:color w:val="000000"/>
                <w:sz w:val="20"/>
                <w:szCs w:val="20"/>
              </w:rPr>
              <w:t>In-person</w:t>
            </w:r>
          </w:p>
        </w:tc>
        <w:tc>
          <w:tcPr>
            <w:tcW w:w="1620" w:type="dxa"/>
          </w:tcPr>
          <w:p w14:paraId="30C05D61" w14:textId="22F9E320" w:rsidR="00C41FC9" w:rsidRPr="00681EE4" w:rsidRDefault="001A7A64" w:rsidP="000879AA">
            <w:pPr>
              <w:spacing w:after="0" w:line="240" w:lineRule="auto"/>
              <w:rPr>
                <w:color w:val="000000"/>
                <w:sz w:val="20"/>
                <w:szCs w:val="20"/>
              </w:rPr>
            </w:pPr>
            <w:r w:rsidRPr="00681EE4">
              <w:rPr>
                <w:color w:val="000000"/>
                <w:sz w:val="20"/>
                <w:szCs w:val="20"/>
              </w:rPr>
              <w:t>6</w:t>
            </w:r>
          </w:p>
        </w:tc>
      </w:tr>
      <w:tr w:rsidR="001A7A64" w:rsidRPr="00681EE4" w14:paraId="5D07D370" w14:textId="77777777" w:rsidTr="007C1C40">
        <w:trPr>
          <w:trHeight w:val="330"/>
        </w:trPr>
        <w:tc>
          <w:tcPr>
            <w:tcW w:w="3685" w:type="dxa"/>
            <w:shd w:val="clear" w:color="auto" w:fill="auto"/>
            <w:noWrap/>
            <w:vAlign w:val="bottom"/>
          </w:tcPr>
          <w:p w14:paraId="5C0EED7C" w14:textId="7D3C39DE" w:rsidR="001A7A64" w:rsidRPr="00681EE4" w:rsidRDefault="002F1F99" w:rsidP="000879AA">
            <w:pPr>
              <w:spacing w:after="0" w:line="240" w:lineRule="auto"/>
              <w:rPr>
                <w:color w:val="000000"/>
                <w:sz w:val="20"/>
                <w:szCs w:val="20"/>
              </w:rPr>
            </w:pPr>
            <w:r w:rsidRPr="00681EE4">
              <w:rPr>
                <w:color w:val="000000"/>
                <w:sz w:val="20"/>
                <w:szCs w:val="20"/>
              </w:rPr>
              <w:t>Teaching Excellence in Adult Literacy (TEAL): Formative Assessment (Math; LINCS)</w:t>
            </w:r>
          </w:p>
        </w:tc>
        <w:tc>
          <w:tcPr>
            <w:tcW w:w="1710" w:type="dxa"/>
            <w:shd w:val="clear" w:color="auto" w:fill="auto"/>
            <w:noWrap/>
            <w:vAlign w:val="bottom"/>
          </w:tcPr>
          <w:p w14:paraId="43B9A88E" w14:textId="37B631B4" w:rsidR="001A7A64" w:rsidRPr="00681EE4" w:rsidRDefault="003D3E6A" w:rsidP="000879AA">
            <w:pPr>
              <w:spacing w:after="0" w:line="240" w:lineRule="auto"/>
              <w:rPr>
                <w:color w:val="000000"/>
                <w:sz w:val="20"/>
                <w:szCs w:val="20"/>
              </w:rPr>
            </w:pPr>
            <w:r w:rsidRPr="00681EE4">
              <w:rPr>
                <w:color w:val="000000"/>
                <w:sz w:val="20"/>
                <w:szCs w:val="20"/>
              </w:rPr>
              <w:t>3/9/20</w:t>
            </w:r>
            <w:r w:rsidR="00E33277" w:rsidRPr="00681EE4">
              <w:rPr>
                <w:color w:val="000000"/>
                <w:sz w:val="20"/>
                <w:szCs w:val="20"/>
              </w:rPr>
              <w:t>-4/6/20</w:t>
            </w:r>
          </w:p>
        </w:tc>
        <w:tc>
          <w:tcPr>
            <w:tcW w:w="1980" w:type="dxa"/>
          </w:tcPr>
          <w:p w14:paraId="448428C0" w14:textId="555C427E" w:rsidR="001A7A64" w:rsidRPr="00681EE4" w:rsidRDefault="00E7212A" w:rsidP="000879AA">
            <w:pPr>
              <w:spacing w:after="0" w:line="240" w:lineRule="auto"/>
              <w:rPr>
                <w:color w:val="000000"/>
                <w:sz w:val="20"/>
                <w:szCs w:val="20"/>
              </w:rPr>
            </w:pPr>
            <w:r w:rsidRPr="00681EE4">
              <w:rPr>
                <w:color w:val="000000"/>
                <w:sz w:val="20"/>
                <w:szCs w:val="20"/>
              </w:rPr>
              <w:t>LINCS online facilitated course</w:t>
            </w:r>
          </w:p>
        </w:tc>
        <w:tc>
          <w:tcPr>
            <w:tcW w:w="1620" w:type="dxa"/>
          </w:tcPr>
          <w:p w14:paraId="1D1C2D70" w14:textId="39CCFE48" w:rsidR="001A7A64" w:rsidRPr="00681EE4" w:rsidRDefault="00167A5E" w:rsidP="000879AA">
            <w:pPr>
              <w:spacing w:after="0" w:line="240" w:lineRule="auto"/>
              <w:rPr>
                <w:color w:val="000000"/>
                <w:sz w:val="20"/>
                <w:szCs w:val="20"/>
              </w:rPr>
            </w:pPr>
            <w:r w:rsidRPr="00681EE4">
              <w:rPr>
                <w:color w:val="000000"/>
                <w:sz w:val="20"/>
                <w:szCs w:val="20"/>
              </w:rPr>
              <w:t>3</w:t>
            </w:r>
          </w:p>
        </w:tc>
      </w:tr>
      <w:tr w:rsidR="00167A5E" w:rsidRPr="00681EE4" w14:paraId="23EE419E" w14:textId="77777777" w:rsidTr="007C1C40">
        <w:trPr>
          <w:trHeight w:val="330"/>
        </w:trPr>
        <w:tc>
          <w:tcPr>
            <w:tcW w:w="3685" w:type="dxa"/>
            <w:shd w:val="clear" w:color="auto" w:fill="auto"/>
            <w:noWrap/>
            <w:vAlign w:val="bottom"/>
          </w:tcPr>
          <w:p w14:paraId="3286E4D2" w14:textId="31CA0ACC" w:rsidR="00167A5E" w:rsidRPr="00681EE4" w:rsidRDefault="00E34914" w:rsidP="000879AA">
            <w:pPr>
              <w:spacing w:after="0" w:line="240" w:lineRule="auto"/>
              <w:rPr>
                <w:color w:val="000000"/>
                <w:sz w:val="20"/>
                <w:szCs w:val="20"/>
              </w:rPr>
            </w:pPr>
            <w:r w:rsidRPr="00681EE4">
              <w:rPr>
                <w:color w:val="000000"/>
                <w:sz w:val="20"/>
                <w:szCs w:val="20"/>
              </w:rPr>
              <w:t>Teaching Excellence in Adult Literacy (TEAL): Formative Assessment (Writing; LINCS)</w:t>
            </w:r>
          </w:p>
        </w:tc>
        <w:tc>
          <w:tcPr>
            <w:tcW w:w="1710" w:type="dxa"/>
            <w:shd w:val="clear" w:color="auto" w:fill="auto"/>
            <w:noWrap/>
            <w:vAlign w:val="bottom"/>
          </w:tcPr>
          <w:p w14:paraId="7C050861" w14:textId="2B3F760E" w:rsidR="00167A5E" w:rsidRPr="00681EE4" w:rsidRDefault="00E33277" w:rsidP="000879AA">
            <w:pPr>
              <w:spacing w:after="0" w:line="240" w:lineRule="auto"/>
              <w:rPr>
                <w:color w:val="000000"/>
                <w:sz w:val="20"/>
                <w:szCs w:val="20"/>
              </w:rPr>
            </w:pPr>
            <w:r w:rsidRPr="00681EE4">
              <w:rPr>
                <w:color w:val="000000"/>
                <w:sz w:val="20"/>
                <w:szCs w:val="20"/>
              </w:rPr>
              <w:t>3/9/20-4/6/20</w:t>
            </w:r>
          </w:p>
        </w:tc>
        <w:tc>
          <w:tcPr>
            <w:tcW w:w="1980" w:type="dxa"/>
          </w:tcPr>
          <w:p w14:paraId="681F6500" w14:textId="3C9CEFDE" w:rsidR="00167A5E" w:rsidRPr="00681EE4" w:rsidRDefault="00E7212A" w:rsidP="000879AA">
            <w:pPr>
              <w:spacing w:after="0" w:line="240" w:lineRule="auto"/>
              <w:rPr>
                <w:color w:val="000000"/>
                <w:sz w:val="20"/>
                <w:szCs w:val="20"/>
              </w:rPr>
            </w:pPr>
            <w:r w:rsidRPr="00681EE4">
              <w:rPr>
                <w:color w:val="000000"/>
                <w:sz w:val="20"/>
                <w:szCs w:val="20"/>
              </w:rPr>
              <w:t>LINCS online facilitated course</w:t>
            </w:r>
          </w:p>
        </w:tc>
        <w:tc>
          <w:tcPr>
            <w:tcW w:w="1620" w:type="dxa"/>
          </w:tcPr>
          <w:p w14:paraId="1772A345" w14:textId="15582E17" w:rsidR="00167A5E" w:rsidRPr="00681EE4" w:rsidRDefault="00885E40" w:rsidP="000879AA">
            <w:pPr>
              <w:spacing w:after="0" w:line="240" w:lineRule="auto"/>
              <w:rPr>
                <w:color w:val="000000"/>
                <w:sz w:val="20"/>
                <w:szCs w:val="20"/>
              </w:rPr>
            </w:pPr>
            <w:r w:rsidRPr="00681EE4">
              <w:rPr>
                <w:color w:val="000000"/>
                <w:sz w:val="20"/>
                <w:szCs w:val="20"/>
              </w:rPr>
              <w:t>3</w:t>
            </w:r>
          </w:p>
        </w:tc>
      </w:tr>
      <w:tr w:rsidR="00885E40" w:rsidRPr="00681EE4" w14:paraId="49D0DEDB" w14:textId="77777777" w:rsidTr="007C1C40">
        <w:trPr>
          <w:trHeight w:val="330"/>
        </w:trPr>
        <w:tc>
          <w:tcPr>
            <w:tcW w:w="3685" w:type="dxa"/>
            <w:shd w:val="clear" w:color="auto" w:fill="auto"/>
            <w:noWrap/>
            <w:vAlign w:val="bottom"/>
          </w:tcPr>
          <w:p w14:paraId="4466D108" w14:textId="6522392E" w:rsidR="00885E40" w:rsidRPr="00681EE4" w:rsidRDefault="00F6064A" w:rsidP="000879AA">
            <w:pPr>
              <w:spacing w:after="0" w:line="240" w:lineRule="auto"/>
              <w:rPr>
                <w:color w:val="000000"/>
                <w:sz w:val="20"/>
                <w:szCs w:val="20"/>
              </w:rPr>
            </w:pPr>
            <w:r w:rsidRPr="00681EE4">
              <w:rPr>
                <w:color w:val="000000"/>
                <w:sz w:val="20"/>
                <w:szCs w:val="20"/>
              </w:rPr>
              <w:t>BEST Plus 2.0 Refresher Training</w:t>
            </w:r>
          </w:p>
        </w:tc>
        <w:tc>
          <w:tcPr>
            <w:tcW w:w="1710" w:type="dxa"/>
            <w:shd w:val="clear" w:color="auto" w:fill="auto"/>
            <w:noWrap/>
            <w:vAlign w:val="bottom"/>
          </w:tcPr>
          <w:p w14:paraId="376DF7B9" w14:textId="290093B7" w:rsidR="00885E40" w:rsidRPr="00681EE4" w:rsidRDefault="0013116B" w:rsidP="000879AA">
            <w:pPr>
              <w:spacing w:after="0" w:line="240" w:lineRule="auto"/>
              <w:rPr>
                <w:color w:val="000000"/>
                <w:sz w:val="20"/>
                <w:szCs w:val="20"/>
              </w:rPr>
            </w:pPr>
            <w:r w:rsidRPr="00681EE4">
              <w:rPr>
                <w:color w:val="000000"/>
                <w:sz w:val="20"/>
                <w:szCs w:val="20"/>
              </w:rPr>
              <w:t>5/15/20</w:t>
            </w:r>
          </w:p>
        </w:tc>
        <w:tc>
          <w:tcPr>
            <w:tcW w:w="1980" w:type="dxa"/>
          </w:tcPr>
          <w:p w14:paraId="10C5498E" w14:textId="7A619FC7" w:rsidR="00885E40" w:rsidRPr="00681EE4" w:rsidRDefault="0013267A" w:rsidP="000879AA">
            <w:pPr>
              <w:spacing w:after="0" w:line="240" w:lineRule="auto"/>
              <w:rPr>
                <w:color w:val="000000"/>
                <w:sz w:val="20"/>
                <w:szCs w:val="20"/>
              </w:rPr>
            </w:pPr>
            <w:r w:rsidRPr="00681EE4">
              <w:rPr>
                <w:color w:val="000000"/>
                <w:sz w:val="20"/>
                <w:szCs w:val="20"/>
              </w:rPr>
              <w:t>Center for Applied Linguistics online training</w:t>
            </w:r>
          </w:p>
        </w:tc>
        <w:tc>
          <w:tcPr>
            <w:tcW w:w="1620" w:type="dxa"/>
          </w:tcPr>
          <w:p w14:paraId="7BA37BCA" w14:textId="63C59722" w:rsidR="00885E40" w:rsidRPr="00681EE4" w:rsidRDefault="005B4D3F" w:rsidP="000879AA">
            <w:pPr>
              <w:spacing w:after="0" w:line="240" w:lineRule="auto"/>
              <w:rPr>
                <w:color w:val="000000"/>
                <w:sz w:val="20"/>
                <w:szCs w:val="20"/>
              </w:rPr>
            </w:pPr>
            <w:r w:rsidRPr="00681EE4">
              <w:rPr>
                <w:color w:val="000000"/>
                <w:sz w:val="20"/>
                <w:szCs w:val="20"/>
              </w:rPr>
              <w:t>12</w:t>
            </w:r>
          </w:p>
        </w:tc>
      </w:tr>
      <w:tr w:rsidR="005B4D3F" w:rsidRPr="00681EE4" w14:paraId="2BFB8B4F" w14:textId="77777777" w:rsidTr="007C1C40">
        <w:trPr>
          <w:trHeight w:val="330"/>
        </w:trPr>
        <w:tc>
          <w:tcPr>
            <w:tcW w:w="3685" w:type="dxa"/>
            <w:shd w:val="clear" w:color="auto" w:fill="auto"/>
            <w:noWrap/>
            <w:vAlign w:val="bottom"/>
          </w:tcPr>
          <w:p w14:paraId="3B1B1E89" w14:textId="30DDC86C" w:rsidR="005B4D3F" w:rsidRPr="00681EE4" w:rsidRDefault="00C06865" w:rsidP="000879AA">
            <w:pPr>
              <w:spacing w:after="0" w:line="240" w:lineRule="auto"/>
              <w:rPr>
                <w:color w:val="000000"/>
                <w:sz w:val="20"/>
                <w:szCs w:val="20"/>
              </w:rPr>
            </w:pPr>
            <w:r w:rsidRPr="00681EE4">
              <w:rPr>
                <w:color w:val="000000"/>
                <w:sz w:val="20"/>
                <w:szCs w:val="20"/>
              </w:rPr>
              <w:t>Vermont TABE Remote Testing</w:t>
            </w:r>
          </w:p>
        </w:tc>
        <w:tc>
          <w:tcPr>
            <w:tcW w:w="1710" w:type="dxa"/>
            <w:shd w:val="clear" w:color="auto" w:fill="auto"/>
            <w:noWrap/>
            <w:vAlign w:val="bottom"/>
          </w:tcPr>
          <w:p w14:paraId="1A6F3388" w14:textId="4ADFFCD5" w:rsidR="005B4D3F" w:rsidRPr="00681EE4" w:rsidRDefault="008301A0" w:rsidP="000879AA">
            <w:pPr>
              <w:spacing w:after="0" w:line="240" w:lineRule="auto"/>
              <w:rPr>
                <w:color w:val="000000"/>
                <w:sz w:val="20"/>
                <w:szCs w:val="20"/>
              </w:rPr>
            </w:pPr>
            <w:r w:rsidRPr="00681EE4">
              <w:rPr>
                <w:color w:val="000000"/>
                <w:sz w:val="20"/>
                <w:szCs w:val="20"/>
              </w:rPr>
              <w:t>5/29/20</w:t>
            </w:r>
          </w:p>
        </w:tc>
        <w:tc>
          <w:tcPr>
            <w:tcW w:w="1980" w:type="dxa"/>
          </w:tcPr>
          <w:p w14:paraId="3718A001" w14:textId="3E6BCB9C" w:rsidR="005B4D3F" w:rsidRPr="00681EE4" w:rsidRDefault="008301A0" w:rsidP="000879AA">
            <w:pPr>
              <w:spacing w:after="0" w:line="240" w:lineRule="auto"/>
              <w:rPr>
                <w:color w:val="000000"/>
                <w:sz w:val="20"/>
                <w:szCs w:val="20"/>
              </w:rPr>
            </w:pPr>
            <w:r w:rsidRPr="00681EE4">
              <w:rPr>
                <w:color w:val="000000"/>
                <w:sz w:val="20"/>
                <w:szCs w:val="20"/>
              </w:rPr>
              <w:t>Data Recognition Corporation webinar</w:t>
            </w:r>
          </w:p>
        </w:tc>
        <w:tc>
          <w:tcPr>
            <w:tcW w:w="1620" w:type="dxa"/>
          </w:tcPr>
          <w:p w14:paraId="46BF17A9" w14:textId="56B3022B" w:rsidR="005B4D3F" w:rsidRPr="00681EE4" w:rsidRDefault="001C7572" w:rsidP="000879AA">
            <w:pPr>
              <w:spacing w:after="0" w:line="240" w:lineRule="auto"/>
              <w:rPr>
                <w:color w:val="000000"/>
                <w:sz w:val="20"/>
                <w:szCs w:val="20"/>
              </w:rPr>
            </w:pPr>
            <w:r w:rsidRPr="00681EE4">
              <w:rPr>
                <w:color w:val="000000"/>
                <w:sz w:val="20"/>
                <w:szCs w:val="20"/>
              </w:rPr>
              <w:t>48</w:t>
            </w:r>
          </w:p>
        </w:tc>
      </w:tr>
    </w:tbl>
    <w:p w14:paraId="02D7AADA" w14:textId="67731A84" w:rsidR="0075733D" w:rsidRDefault="002454EC" w:rsidP="003C781D">
      <w:pPr>
        <w:shd w:val="clear" w:color="auto" w:fill="FFFFFF" w:themeFill="background1"/>
      </w:pPr>
      <w:r>
        <w:t xml:space="preserve">Other </w:t>
      </w:r>
      <w:r w:rsidR="007E0FC9">
        <w:t xml:space="preserve">PD events </w:t>
      </w:r>
      <w:r w:rsidR="00A95660">
        <w:t>planned by the State: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800"/>
        <w:gridCol w:w="1890"/>
        <w:gridCol w:w="1620"/>
      </w:tblGrid>
      <w:tr w:rsidR="00A95660" w:rsidRPr="00681EE4" w14:paraId="3B4BCB51" w14:textId="77777777" w:rsidTr="00681EE4">
        <w:trPr>
          <w:trHeight w:val="288"/>
        </w:trPr>
        <w:tc>
          <w:tcPr>
            <w:tcW w:w="3685" w:type="dxa"/>
            <w:shd w:val="clear" w:color="auto" w:fill="auto"/>
            <w:noWrap/>
            <w:vAlign w:val="bottom"/>
          </w:tcPr>
          <w:p w14:paraId="0A02ADA6" w14:textId="77777777" w:rsidR="00A95660" w:rsidRPr="00681EE4" w:rsidRDefault="00A95660" w:rsidP="000879AA">
            <w:pPr>
              <w:spacing w:after="0" w:line="240" w:lineRule="auto"/>
              <w:rPr>
                <w:b/>
                <w:bCs w:val="0"/>
                <w:color w:val="000000"/>
                <w:sz w:val="20"/>
                <w:szCs w:val="20"/>
                <w:highlight w:val="blue"/>
              </w:rPr>
            </w:pPr>
            <w:r w:rsidRPr="00681EE4">
              <w:rPr>
                <w:b/>
                <w:bCs w:val="0"/>
                <w:color w:val="000000"/>
                <w:sz w:val="20"/>
                <w:szCs w:val="20"/>
              </w:rPr>
              <w:t>Event</w:t>
            </w:r>
          </w:p>
        </w:tc>
        <w:tc>
          <w:tcPr>
            <w:tcW w:w="1800" w:type="dxa"/>
            <w:shd w:val="clear" w:color="auto" w:fill="auto"/>
            <w:noWrap/>
            <w:vAlign w:val="bottom"/>
          </w:tcPr>
          <w:p w14:paraId="23CC7699" w14:textId="77777777" w:rsidR="00A95660" w:rsidRPr="00681EE4" w:rsidRDefault="00A95660" w:rsidP="000879AA">
            <w:pPr>
              <w:spacing w:after="0" w:line="240" w:lineRule="auto"/>
              <w:rPr>
                <w:b/>
                <w:bCs w:val="0"/>
                <w:color w:val="000000"/>
                <w:sz w:val="20"/>
                <w:szCs w:val="20"/>
              </w:rPr>
            </w:pPr>
            <w:r w:rsidRPr="00681EE4">
              <w:rPr>
                <w:b/>
                <w:bCs w:val="0"/>
                <w:color w:val="000000"/>
                <w:sz w:val="20"/>
                <w:szCs w:val="20"/>
              </w:rPr>
              <w:t>Date</w:t>
            </w:r>
          </w:p>
        </w:tc>
        <w:tc>
          <w:tcPr>
            <w:tcW w:w="1890" w:type="dxa"/>
          </w:tcPr>
          <w:p w14:paraId="5CE5CD95" w14:textId="77777777" w:rsidR="00A95660" w:rsidRPr="00681EE4" w:rsidRDefault="00A95660" w:rsidP="000879AA">
            <w:pPr>
              <w:spacing w:after="0" w:line="240" w:lineRule="auto"/>
              <w:rPr>
                <w:b/>
                <w:bCs w:val="0"/>
                <w:color w:val="000000"/>
                <w:sz w:val="20"/>
                <w:szCs w:val="20"/>
              </w:rPr>
            </w:pPr>
            <w:r w:rsidRPr="00681EE4">
              <w:rPr>
                <w:b/>
                <w:bCs w:val="0"/>
                <w:color w:val="000000"/>
                <w:sz w:val="20"/>
                <w:szCs w:val="20"/>
              </w:rPr>
              <w:t>Format</w:t>
            </w:r>
          </w:p>
        </w:tc>
        <w:tc>
          <w:tcPr>
            <w:tcW w:w="1620" w:type="dxa"/>
          </w:tcPr>
          <w:p w14:paraId="770CA611" w14:textId="36CDB5DA" w:rsidR="00A95660" w:rsidRPr="00681EE4" w:rsidRDefault="00A95660" w:rsidP="000879AA">
            <w:pPr>
              <w:spacing w:after="0" w:line="240" w:lineRule="auto"/>
              <w:rPr>
                <w:b/>
                <w:bCs w:val="0"/>
                <w:color w:val="000000"/>
                <w:sz w:val="20"/>
                <w:szCs w:val="20"/>
              </w:rPr>
            </w:pPr>
            <w:r w:rsidRPr="00681EE4">
              <w:rPr>
                <w:b/>
                <w:bCs w:val="0"/>
                <w:color w:val="000000"/>
                <w:sz w:val="20"/>
                <w:szCs w:val="20"/>
              </w:rPr>
              <w:t>Attendance</w:t>
            </w:r>
          </w:p>
        </w:tc>
      </w:tr>
      <w:tr w:rsidR="00A95660" w:rsidRPr="00681EE4" w14:paraId="7C2F1E47" w14:textId="77777777" w:rsidTr="00C42BF0">
        <w:trPr>
          <w:trHeight w:val="330"/>
        </w:trPr>
        <w:tc>
          <w:tcPr>
            <w:tcW w:w="3685" w:type="dxa"/>
            <w:shd w:val="clear" w:color="auto" w:fill="auto"/>
            <w:noWrap/>
            <w:vAlign w:val="bottom"/>
          </w:tcPr>
          <w:p w14:paraId="3AD98359" w14:textId="1C3E2922" w:rsidR="00A95660" w:rsidRPr="00681EE4" w:rsidRDefault="00201B12" w:rsidP="000879AA">
            <w:pPr>
              <w:spacing w:after="0" w:line="240" w:lineRule="auto"/>
              <w:rPr>
                <w:color w:val="000000"/>
                <w:sz w:val="20"/>
                <w:szCs w:val="20"/>
              </w:rPr>
            </w:pPr>
            <w:r w:rsidRPr="00681EE4">
              <w:rPr>
                <w:color w:val="000000"/>
                <w:sz w:val="20"/>
                <w:szCs w:val="20"/>
              </w:rPr>
              <w:t>Implicit Bias</w:t>
            </w:r>
            <w:r w:rsidR="00A558CC" w:rsidRPr="00681EE4">
              <w:rPr>
                <w:color w:val="000000"/>
                <w:sz w:val="20"/>
                <w:szCs w:val="20"/>
              </w:rPr>
              <w:t xml:space="preserve"> Training</w:t>
            </w:r>
          </w:p>
        </w:tc>
        <w:tc>
          <w:tcPr>
            <w:tcW w:w="1800" w:type="dxa"/>
            <w:shd w:val="clear" w:color="auto" w:fill="auto"/>
            <w:noWrap/>
            <w:vAlign w:val="bottom"/>
          </w:tcPr>
          <w:p w14:paraId="4590D28F" w14:textId="20116EC5" w:rsidR="00A95660" w:rsidRPr="00681EE4" w:rsidRDefault="00950657" w:rsidP="000879AA">
            <w:pPr>
              <w:spacing w:after="0" w:line="240" w:lineRule="auto"/>
              <w:rPr>
                <w:color w:val="000000"/>
                <w:sz w:val="20"/>
                <w:szCs w:val="20"/>
              </w:rPr>
            </w:pPr>
            <w:r w:rsidRPr="00681EE4">
              <w:rPr>
                <w:color w:val="000000"/>
                <w:sz w:val="20"/>
                <w:szCs w:val="20"/>
              </w:rPr>
              <w:t>3/10/20</w:t>
            </w:r>
          </w:p>
        </w:tc>
        <w:tc>
          <w:tcPr>
            <w:tcW w:w="1890" w:type="dxa"/>
          </w:tcPr>
          <w:p w14:paraId="5FEAA0FF" w14:textId="13169CA6" w:rsidR="00A95660" w:rsidRPr="00681EE4" w:rsidRDefault="00950657" w:rsidP="000879AA">
            <w:pPr>
              <w:spacing w:after="0" w:line="240" w:lineRule="auto"/>
              <w:rPr>
                <w:color w:val="000000"/>
                <w:sz w:val="20"/>
                <w:szCs w:val="20"/>
              </w:rPr>
            </w:pPr>
            <w:r w:rsidRPr="00681EE4">
              <w:rPr>
                <w:color w:val="000000"/>
                <w:sz w:val="20"/>
                <w:szCs w:val="20"/>
              </w:rPr>
              <w:t>In-person</w:t>
            </w:r>
          </w:p>
        </w:tc>
        <w:tc>
          <w:tcPr>
            <w:tcW w:w="1620" w:type="dxa"/>
          </w:tcPr>
          <w:p w14:paraId="472F49CD" w14:textId="496C5FD1" w:rsidR="00A95660" w:rsidRPr="00681EE4" w:rsidRDefault="00780786" w:rsidP="000879AA">
            <w:pPr>
              <w:spacing w:after="0" w:line="240" w:lineRule="auto"/>
              <w:rPr>
                <w:color w:val="000000"/>
                <w:sz w:val="20"/>
                <w:szCs w:val="20"/>
              </w:rPr>
            </w:pPr>
            <w:r w:rsidRPr="00681EE4">
              <w:rPr>
                <w:color w:val="000000"/>
                <w:sz w:val="20"/>
                <w:szCs w:val="20"/>
              </w:rPr>
              <w:t>8</w:t>
            </w:r>
          </w:p>
        </w:tc>
      </w:tr>
      <w:tr w:rsidR="00780786" w:rsidRPr="00681EE4" w14:paraId="2DDC0634" w14:textId="77777777" w:rsidTr="00C42BF0">
        <w:trPr>
          <w:trHeight w:val="330"/>
        </w:trPr>
        <w:tc>
          <w:tcPr>
            <w:tcW w:w="3685" w:type="dxa"/>
            <w:shd w:val="clear" w:color="auto" w:fill="auto"/>
            <w:noWrap/>
            <w:vAlign w:val="bottom"/>
          </w:tcPr>
          <w:p w14:paraId="43F522BD" w14:textId="3DE7CC47" w:rsidR="00780786" w:rsidRPr="00681EE4" w:rsidRDefault="00552980" w:rsidP="000879AA">
            <w:pPr>
              <w:spacing w:after="0" w:line="240" w:lineRule="auto"/>
              <w:rPr>
                <w:color w:val="000000"/>
                <w:sz w:val="20"/>
                <w:szCs w:val="20"/>
              </w:rPr>
            </w:pPr>
            <w:r w:rsidRPr="00681EE4">
              <w:rPr>
                <w:color w:val="000000"/>
                <w:sz w:val="20"/>
                <w:szCs w:val="20"/>
              </w:rPr>
              <w:t>Stand Up and Be Counted: Using the Census and the Election to Teach College and Career Readiness</w:t>
            </w:r>
          </w:p>
        </w:tc>
        <w:tc>
          <w:tcPr>
            <w:tcW w:w="1800" w:type="dxa"/>
            <w:shd w:val="clear" w:color="auto" w:fill="auto"/>
            <w:noWrap/>
            <w:vAlign w:val="bottom"/>
          </w:tcPr>
          <w:p w14:paraId="2E427E69" w14:textId="420E8AA4" w:rsidR="00780786" w:rsidRPr="00681EE4" w:rsidRDefault="003C56C0" w:rsidP="000879AA">
            <w:pPr>
              <w:spacing w:after="0" w:line="240" w:lineRule="auto"/>
              <w:rPr>
                <w:color w:val="000000"/>
                <w:sz w:val="20"/>
                <w:szCs w:val="20"/>
              </w:rPr>
            </w:pPr>
            <w:r w:rsidRPr="00681EE4">
              <w:rPr>
                <w:color w:val="000000"/>
                <w:sz w:val="20"/>
                <w:szCs w:val="20"/>
              </w:rPr>
              <w:t>5/7/20</w:t>
            </w:r>
          </w:p>
        </w:tc>
        <w:tc>
          <w:tcPr>
            <w:tcW w:w="1890" w:type="dxa"/>
          </w:tcPr>
          <w:p w14:paraId="47F83C24" w14:textId="086E1FE4" w:rsidR="00780786" w:rsidRPr="00681EE4" w:rsidRDefault="003C56C0" w:rsidP="000879AA">
            <w:pPr>
              <w:spacing w:after="0" w:line="240" w:lineRule="auto"/>
              <w:rPr>
                <w:color w:val="000000"/>
                <w:sz w:val="20"/>
                <w:szCs w:val="20"/>
              </w:rPr>
            </w:pPr>
            <w:r w:rsidRPr="00681EE4">
              <w:rPr>
                <w:color w:val="000000"/>
                <w:sz w:val="20"/>
                <w:szCs w:val="20"/>
              </w:rPr>
              <w:t xml:space="preserve">Zoom – presented by NELRC for Vermont local </w:t>
            </w:r>
            <w:r w:rsidR="00CB29A2" w:rsidRPr="00681EE4">
              <w:rPr>
                <w:color w:val="000000"/>
                <w:sz w:val="20"/>
                <w:szCs w:val="20"/>
              </w:rPr>
              <w:t>instructors</w:t>
            </w:r>
          </w:p>
        </w:tc>
        <w:tc>
          <w:tcPr>
            <w:tcW w:w="1620" w:type="dxa"/>
          </w:tcPr>
          <w:p w14:paraId="1927FB2F" w14:textId="41276D42" w:rsidR="00780786" w:rsidRPr="00681EE4" w:rsidRDefault="006D404E" w:rsidP="000879AA">
            <w:pPr>
              <w:spacing w:after="0" w:line="240" w:lineRule="auto"/>
              <w:rPr>
                <w:color w:val="000000"/>
                <w:sz w:val="20"/>
                <w:szCs w:val="20"/>
              </w:rPr>
            </w:pPr>
            <w:r w:rsidRPr="00681EE4">
              <w:rPr>
                <w:color w:val="000000"/>
                <w:sz w:val="20"/>
                <w:szCs w:val="20"/>
              </w:rPr>
              <w:t>10</w:t>
            </w:r>
          </w:p>
        </w:tc>
      </w:tr>
    </w:tbl>
    <w:p w14:paraId="50835CA2" w14:textId="54208083" w:rsidR="00C02C03" w:rsidRDefault="007805D4" w:rsidP="00C02C03">
      <w:pPr>
        <w:shd w:val="clear" w:color="auto" w:fill="FFFFFF" w:themeFill="background1"/>
      </w:pPr>
      <w:r>
        <w:t>Through Vermont’s continued membership in the New England Literacy Resource Center (NELRC), webinars developed and hosted by NELRC staff were made available to local provider staff. Due to the pandemic, the annual workshop presented by NELRC staff for Vermont providers was adjusted to a virtual event instead of a live presentation.</w:t>
      </w:r>
      <w:r>
        <w:t xml:space="preserve"> </w:t>
      </w:r>
      <w:r w:rsidR="00C02C03">
        <w:t>NELRC webinars presented live</w:t>
      </w:r>
      <w:r w:rsidR="00A14193">
        <w:t xml:space="preserve"> in PY19</w:t>
      </w:r>
      <w:r w:rsidR="00C02C03">
        <w:t>, recorded, and available on the NELRC website:</w:t>
      </w:r>
    </w:p>
    <w:p w14:paraId="5A85A63D" w14:textId="77777777" w:rsidR="00C02C03" w:rsidRDefault="00C02C03" w:rsidP="00C02C03">
      <w:pPr>
        <w:pStyle w:val="ListParagraph"/>
        <w:numPr>
          <w:ilvl w:val="0"/>
          <w:numId w:val="40"/>
        </w:numPr>
        <w:spacing w:after="0" w:line="240" w:lineRule="auto"/>
        <w:rPr>
          <w:color w:val="000000"/>
          <w:sz w:val="20"/>
          <w:szCs w:val="20"/>
        </w:rPr>
      </w:pPr>
      <w:r w:rsidRPr="002B37A4">
        <w:rPr>
          <w:color w:val="000000"/>
          <w:sz w:val="20"/>
          <w:szCs w:val="20"/>
        </w:rPr>
        <w:t>Census 2020 Activities for Adult Education Classrooms &amp; Programs</w:t>
      </w:r>
    </w:p>
    <w:p w14:paraId="544767DF" w14:textId="77777777" w:rsidR="00C02C03" w:rsidRDefault="00C02C03" w:rsidP="00C02C03">
      <w:pPr>
        <w:pStyle w:val="ListParagraph"/>
        <w:numPr>
          <w:ilvl w:val="0"/>
          <w:numId w:val="40"/>
        </w:numPr>
        <w:spacing w:after="0" w:line="240" w:lineRule="auto"/>
        <w:rPr>
          <w:color w:val="000000"/>
          <w:sz w:val="20"/>
          <w:szCs w:val="20"/>
        </w:rPr>
      </w:pPr>
      <w:r w:rsidRPr="002B37A4">
        <w:rPr>
          <w:color w:val="000000"/>
          <w:sz w:val="20"/>
          <w:szCs w:val="20"/>
        </w:rPr>
        <w:t>Cultivating Champions for Adult Education – The Who, How and Now of It</w:t>
      </w:r>
    </w:p>
    <w:p w14:paraId="5268BD90" w14:textId="77777777" w:rsidR="00C02C03" w:rsidRDefault="00C02C03" w:rsidP="00C02C03">
      <w:pPr>
        <w:pStyle w:val="ListParagraph"/>
        <w:numPr>
          <w:ilvl w:val="0"/>
          <w:numId w:val="40"/>
        </w:numPr>
        <w:spacing w:after="0" w:line="240" w:lineRule="auto"/>
        <w:rPr>
          <w:color w:val="000000"/>
          <w:sz w:val="20"/>
          <w:szCs w:val="20"/>
        </w:rPr>
      </w:pPr>
      <w:r w:rsidRPr="002B37A4">
        <w:rPr>
          <w:color w:val="000000"/>
          <w:sz w:val="20"/>
          <w:szCs w:val="20"/>
        </w:rPr>
        <w:t>English Now! Come explore an innovative, blended learning model</w:t>
      </w:r>
    </w:p>
    <w:p w14:paraId="173D1834" w14:textId="77777777" w:rsidR="00C02C03" w:rsidRDefault="00C02C03" w:rsidP="00C02C03">
      <w:pPr>
        <w:pStyle w:val="ListParagraph"/>
        <w:numPr>
          <w:ilvl w:val="0"/>
          <w:numId w:val="40"/>
        </w:numPr>
        <w:spacing w:after="0" w:line="240" w:lineRule="auto"/>
        <w:rPr>
          <w:color w:val="000000"/>
          <w:sz w:val="20"/>
          <w:szCs w:val="20"/>
        </w:rPr>
      </w:pPr>
      <w:r w:rsidRPr="002B37A4">
        <w:rPr>
          <w:color w:val="000000"/>
          <w:sz w:val="20"/>
          <w:szCs w:val="20"/>
        </w:rPr>
        <w:t>Stand Up and Be Counted (The Change Agent)</w:t>
      </w:r>
    </w:p>
    <w:p w14:paraId="1DD64308" w14:textId="77777777" w:rsidR="00C02C03" w:rsidRPr="002B37A4" w:rsidRDefault="00C02C03" w:rsidP="00C02C03">
      <w:pPr>
        <w:pStyle w:val="ListParagraph"/>
        <w:numPr>
          <w:ilvl w:val="0"/>
          <w:numId w:val="40"/>
        </w:numPr>
        <w:spacing w:before="0" w:after="0" w:line="240" w:lineRule="auto"/>
        <w:rPr>
          <w:bCs w:val="0"/>
          <w:color w:val="000000"/>
          <w:sz w:val="20"/>
          <w:szCs w:val="20"/>
        </w:rPr>
      </w:pPr>
      <w:r w:rsidRPr="002B37A4">
        <w:rPr>
          <w:color w:val="000000"/>
          <w:sz w:val="20"/>
          <w:szCs w:val="20"/>
        </w:rPr>
        <w:t>Census Ambassador Training (The Change Agent)</w:t>
      </w:r>
    </w:p>
    <w:p w14:paraId="3FD64FF7" w14:textId="77777777" w:rsidR="00C02C03" w:rsidRPr="002B37A4" w:rsidRDefault="00C02C03" w:rsidP="00C02C03">
      <w:pPr>
        <w:pStyle w:val="ListParagraph"/>
        <w:numPr>
          <w:ilvl w:val="0"/>
          <w:numId w:val="40"/>
        </w:numPr>
        <w:spacing w:before="0" w:after="0" w:line="240" w:lineRule="auto"/>
        <w:rPr>
          <w:bCs w:val="0"/>
          <w:color w:val="000000"/>
          <w:sz w:val="20"/>
          <w:szCs w:val="20"/>
        </w:rPr>
      </w:pPr>
      <w:r w:rsidRPr="002B37A4">
        <w:rPr>
          <w:color w:val="000000"/>
          <w:sz w:val="20"/>
          <w:szCs w:val="20"/>
        </w:rPr>
        <w:t>Adult ELLs: Student Engagement and Learning: What does that look like in a time of crisis?</w:t>
      </w:r>
    </w:p>
    <w:p w14:paraId="1BC68A34" w14:textId="77777777" w:rsidR="00C02C03" w:rsidRPr="002B37A4" w:rsidRDefault="00C02C03" w:rsidP="00C02C03">
      <w:pPr>
        <w:pStyle w:val="ListParagraph"/>
        <w:numPr>
          <w:ilvl w:val="0"/>
          <w:numId w:val="40"/>
        </w:numPr>
        <w:spacing w:before="0" w:after="0" w:line="240" w:lineRule="auto"/>
        <w:rPr>
          <w:color w:val="000000"/>
          <w:sz w:val="20"/>
          <w:szCs w:val="20"/>
        </w:rPr>
      </w:pPr>
      <w:r w:rsidRPr="002B37A4">
        <w:rPr>
          <w:color w:val="000000"/>
          <w:sz w:val="20"/>
          <w:szCs w:val="20"/>
        </w:rPr>
        <w:t>Skillful Navigating and Advising from a Distance</w:t>
      </w:r>
    </w:p>
    <w:p w14:paraId="18F4074A" w14:textId="2241197D" w:rsidR="00DE59E6" w:rsidRDefault="003601EE" w:rsidP="003C781D">
      <w:pPr>
        <w:shd w:val="clear" w:color="auto" w:fill="FFFFFF" w:themeFill="background1"/>
      </w:pPr>
      <w:r>
        <w:rPr>
          <w:b/>
          <w:bCs w:val="0"/>
        </w:rPr>
        <w:t>Technical assistance:</w:t>
      </w:r>
      <w:r w:rsidR="009C48CE">
        <w:rPr>
          <w:b/>
          <w:bCs w:val="0"/>
        </w:rPr>
        <w:t xml:space="preserve"> </w:t>
      </w:r>
      <w:r w:rsidR="00453C82">
        <w:t xml:space="preserve">The pandemic necessitated a quick move to distance learning and </w:t>
      </w:r>
      <w:r w:rsidR="009D50D0">
        <w:t>t</w:t>
      </w:r>
      <w:r w:rsidR="005300A8">
        <w:t xml:space="preserve">he State </w:t>
      </w:r>
      <w:r w:rsidR="009D50D0">
        <w:t xml:space="preserve">also </w:t>
      </w:r>
      <w:r w:rsidR="005300A8">
        <w:t xml:space="preserve">developed a virtual proctoring </w:t>
      </w:r>
      <w:r w:rsidR="00FD6B18">
        <w:t>policy</w:t>
      </w:r>
      <w:r w:rsidR="00453C82">
        <w:t xml:space="preserve"> </w:t>
      </w:r>
      <w:r w:rsidR="00FD6B18">
        <w:t>by working with the Center for Applied Linguistics and Data Recognition Corporation</w:t>
      </w:r>
      <w:r w:rsidR="005D0903">
        <w:t xml:space="preserve">. Vermont Agency of </w:t>
      </w:r>
      <w:r w:rsidR="00AA7F08">
        <w:t>Education</w:t>
      </w:r>
      <w:r w:rsidR="005D0903">
        <w:t xml:space="preserve"> </w:t>
      </w:r>
      <w:r w:rsidR="002519D8">
        <w:t xml:space="preserve">provided continuous technical assistance by ensuring that local AEL providers had access to guidance </w:t>
      </w:r>
      <w:r w:rsidR="004035B4">
        <w:t xml:space="preserve">issued to school districts, much of which applied to provision of services through AEL. </w:t>
      </w:r>
      <w:r w:rsidR="008C241B">
        <w:t>This included guidance on protecting student privacy</w:t>
      </w:r>
      <w:r w:rsidR="008F4F43">
        <w:t xml:space="preserve"> while providing remote services</w:t>
      </w:r>
      <w:r w:rsidR="008C241B">
        <w:t xml:space="preserve">, accessing internet </w:t>
      </w:r>
      <w:r w:rsidR="008F4F43">
        <w:t xml:space="preserve">services for staff and students, </w:t>
      </w:r>
      <w:r w:rsidR="008E70D1">
        <w:t xml:space="preserve">and </w:t>
      </w:r>
      <w:r w:rsidR="008F4F43">
        <w:t xml:space="preserve">access to </w:t>
      </w:r>
      <w:r w:rsidR="00C8504C">
        <w:t xml:space="preserve">state-funded training on </w:t>
      </w:r>
      <w:r w:rsidR="00156036">
        <w:t>teaching online</w:t>
      </w:r>
      <w:r w:rsidR="008F3DBE">
        <w:t xml:space="preserve">. </w:t>
      </w:r>
    </w:p>
    <w:p w14:paraId="7EF99237" w14:textId="5AE77640" w:rsidR="00727CC8" w:rsidRPr="0070668C" w:rsidRDefault="00B81E15" w:rsidP="003C781D">
      <w:pPr>
        <w:shd w:val="clear" w:color="auto" w:fill="FFFFFF" w:themeFill="background1"/>
        <w:rPr>
          <w:color w:val="FF0000"/>
        </w:rPr>
      </w:pPr>
      <w:r w:rsidRPr="00A82706">
        <w:t>As part of the State’s priority</w:t>
      </w:r>
      <w:r w:rsidR="00204D7D" w:rsidRPr="00A82706">
        <w:t xml:space="preserve"> to ensure access to services, Vermont</w:t>
      </w:r>
      <w:r w:rsidR="00593B43" w:rsidRPr="00A82706">
        <w:t xml:space="preserve"> </w:t>
      </w:r>
      <w:r w:rsidR="00C41CCF" w:rsidRPr="00A82706">
        <w:t>opted</w:t>
      </w:r>
      <w:r w:rsidR="00593B43" w:rsidRPr="00A82706">
        <w:t xml:space="preserve"> to participate</w:t>
      </w:r>
      <w:r w:rsidR="00204D7D" w:rsidRPr="00A82706">
        <w:t xml:space="preserve"> in </w:t>
      </w:r>
      <w:r w:rsidR="00D83212" w:rsidRPr="00A82706">
        <w:t>the online proctoring pilot conducted by GED Testing Service</w:t>
      </w:r>
      <w:r w:rsidR="00593B43" w:rsidRPr="00A82706">
        <w:t xml:space="preserve"> </w:t>
      </w:r>
      <w:r w:rsidR="00C41CCF" w:rsidRPr="00A82706">
        <w:t xml:space="preserve">in order </w:t>
      </w:r>
      <w:r w:rsidR="00593B43" w:rsidRPr="00A82706">
        <w:t>to give</w:t>
      </w:r>
      <w:r w:rsidR="00F13FA9" w:rsidRPr="00A82706">
        <w:t xml:space="preserve"> Vermont students</w:t>
      </w:r>
      <w:r w:rsidR="00352287" w:rsidRPr="00A82706">
        <w:t xml:space="preserve"> access to GED testing</w:t>
      </w:r>
      <w:r w:rsidR="00B42FDC" w:rsidRPr="00A82706">
        <w:t xml:space="preserve"> as soon as possible</w:t>
      </w:r>
      <w:r w:rsidR="00352287" w:rsidRPr="00A82706">
        <w:t xml:space="preserve">. </w:t>
      </w:r>
      <w:r w:rsidR="00B42FDC" w:rsidRPr="00A82706">
        <w:t>Vermont continues to participate in the online proctoring service</w:t>
      </w:r>
      <w:r w:rsidR="009B3C53" w:rsidRPr="00A82706">
        <w:t xml:space="preserve"> as local GED testing centers, maintained by AEL providers, are only able to provide limited access to in-person </w:t>
      </w:r>
      <w:r w:rsidR="004C07D0" w:rsidRPr="00A82706">
        <w:t>testing during the pandemic.</w:t>
      </w:r>
      <w:r w:rsidR="0070668C">
        <w:t xml:space="preserve"> </w:t>
      </w:r>
    </w:p>
    <w:p w14:paraId="141E7330" w14:textId="5FE54898" w:rsidR="001E4760" w:rsidRPr="00143014" w:rsidRDefault="001E4760" w:rsidP="003C781D">
      <w:pPr>
        <w:shd w:val="clear" w:color="auto" w:fill="FFFFFF" w:themeFill="background1"/>
        <w:rPr>
          <w:color w:val="FF0000"/>
        </w:rPr>
      </w:pPr>
      <w:r>
        <w:t xml:space="preserve">The State </w:t>
      </w:r>
      <w:r w:rsidR="00A82706">
        <w:t xml:space="preserve">also </w:t>
      </w:r>
      <w:r>
        <w:t xml:space="preserve">provided </w:t>
      </w:r>
      <w:r w:rsidR="0023642A">
        <w:t xml:space="preserve">guidance to allow </w:t>
      </w:r>
      <w:r>
        <w:t xml:space="preserve">an alternative </w:t>
      </w:r>
      <w:r w:rsidR="0023642A">
        <w:t>evaluation</w:t>
      </w:r>
      <w:r>
        <w:t xml:space="preserve"> for students to complete their diplomas through the High School Completion Program </w:t>
      </w:r>
      <w:r w:rsidR="00415C12">
        <w:t xml:space="preserve">(HSCP) </w:t>
      </w:r>
      <w:r>
        <w:t>when it was not possible to progress assess students who had targets to graduate by the end of June 2020. State policy requires that students assess at NRS 5</w:t>
      </w:r>
      <w:r w:rsidR="00017A33">
        <w:t xml:space="preserve"> or 6</w:t>
      </w:r>
      <w:r>
        <w:t xml:space="preserve"> in order to graduate through the HSCP unless </w:t>
      </w:r>
      <w:r w:rsidR="00305C35">
        <w:t>an exception for those</w:t>
      </w:r>
      <w:r>
        <w:t xml:space="preserve"> students with extenuating circumstances</w:t>
      </w:r>
      <w:r w:rsidR="00017A33">
        <w:t xml:space="preserve"> is granted through a prior approval process. H</w:t>
      </w:r>
      <w:r>
        <w:t>oweve</w:t>
      </w:r>
      <w:r w:rsidR="00017A33">
        <w:t>r,</w:t>
      </w:r>
      <w:r>
        <w:t xml:space="preserve"> th</w:t>
      </w:r>
      <w:r w:rsidR="00017A33">
        <w:t>e</w:t>
      </w:r>
      <w:r>
        <w:t xml:space="preserve"> emergency response allowed for continuously engaged students </w:t>
      </w:r>
      <w:r w:rsidR="00B4325A">
        <w:t xml:space="preserve">assessing at NRS 4 </w:t>
      </w:r>
      <w:r>
        <w:t>to be evaluated for proficiency using measures alternative to the TABE assessments</w:t>
      </w:r>
      <w:r w:rsidRPr="00DE477A">
        <w:t xml:space="preserve">. </w:t>
      </w:r>
    </w:p>
    <w:p w14:paraId="25B55323" w14:textId="4E71C13E" w:rsidR="00375EA6" w:rsidRDefault="00375EA6" w:rsidP="003C781D">
      <w:pPr>
        <w:shd w:val="clear" w:color="auto" w:fill="FFFFFF" w:themeFill="background1"/>
      </w:pPr>
      <w:r>
        <w:t xml:space="preserve">Further technical assistance that the State </w:t>
      </w:r>
      <w:r w:rsidR="008F0103">
        <w:t xml:space="preserve">provided included weekly virtual meetings with AEL provider leadership staff to discuss the challenges of </w:t>
      </w:r>
      <w:r w:rsidR="0063516B">
        <w:t xml:space="preserve">providing remote services. </w:t>
      </w:r>
      <w:r w:rsidR="00C36A25">
        <w:t xml:space="preserve">Nine such meetings were held during </w:t>
      </w:r>
      <w:r w:rsidR="008732D2">
        <w:t>the last quarter. Previously, in-person meetings were held quarterly</w:t>
      </w:r>
      <w:r w:rsidR="00086D83">
        <w:t>.</w:t>
      </w:r>
      <w:r w:rsidR="008732D2">
        <w:t xml:space="preserve"> </w:t>
      </w:r>
      <w:r w:rsidR="008354E9">
        <w:t>The</w:t>
      </w:r>
      <w:r w:rsidR="0063516B">
        <w:t xml:space="preserve"> </w:t>
      </w:r>
      <w:r w:rsidR="000E760D">
        <w:t xml:space="preserve">more frequent </w:t>
      </w:r>
      <w:r w:rsidR="0063516B">
        <w:t xml:space="preserve">communication, which has </w:t>
      </w:r>
      <w:r w:rsidR="0063516B">
        <w:lastRenderedPageBreak/>
        <w:t xml:space="preserve">continued into the </w:t>
      </w:r>
      <w:r w:rsidR="009F08D5">
        <w:t>new program year</w:t>
      </w:r>
      <w:r w:rsidR="000E760D">
        <w:t>,</w:t>
      </w:r>
      <w:r w:rsidR="009F08D5">
        <w:t xml:space="preserve"> has promoted trust and collaborati</w:t>
      </w:r>
      <w:r w:rsidR="00774EBE">
        <w:t>on</w:t>
      </w:r>
      <w:r w:rsidR="009F08D5">
        <w:t xml:space="preserve"> between </w:t>
      </w:r>
      <w:r w:rsidR="002F48D9">
        <w:t xml:space="preserve">the </w:t>
      </w:r>
      <w:r w:rsidR="00B165B3">
        <w:t>S</w:t>
      </w:r>
      <w:r w:rsidR="002F48D9">
        <w:t>tate and local providers.</w:t>
      </w:r>
      <w:r w:rsidR="00D708B1">
        <w:t xml:space="preserve"> </w:t>
      </w:r>
    </w:p>
    <w:p w14:paraId="03E9D23F" w14:textId="0D83C519" w:rsidR="00DE2D19" w:rsidRDefault="00483E0D" w:rsidP="00DE2D19">
      <w:pPr>
        <w:shd w:val="clear" w:color="auto" w:fill="FFFFFF" w:themeFill="background1"/>
      </w:pPr>
      <w:r w:rsidRPr="009C48CE">
        <w:rPr>
          <w:b/>
          <w:bCs w:val="0"/>
        </w:rPr>
        <w:t>Monitoring</w:t>
      </w:r>
      <w:r>
        <w:t xml:space="preserve"> activities in the program year were entirely remote</w:t>
      </w:r>
      <w:r w:rsidR="00F225CA">
        <w:t xml:space="preserve">, and included quarterly student file audits, </w:t>
      </w:r>
      <w:r w:rsidR="00B70007">
        <w:t>review of grant budget proposals</w:t>
      </w:r>
      <w:r w:rsidR="004057A6">
        <w:t>, narrative reports</w:t>
      </w:r>
      <w:r w:rsidR="000C3ECC">
        <w:t>,</w:t>
      </w:r>
      <w:r w:rsidR="004057A6">
        <w:t xml:space="preserve"> and supplemental data reports</w:t>
      </w:r>
      <w:r w:rsidR="000C3ECC">
        <w:t>.</w:t>
      </w:r>
      <w:r w:rsidR="00DE2D19">
        <w:t xml:space="preserve"> </w:t>
      </w:r>
      <w:r w:rsidR="001E4DC2">
        <w:t>At the start of the state’s shutdown</w:t>
      </w:r>
      <w:r w:rsidR="00B278A7">
        <w:t xml:space="preserve"> in the spring, t</w:t>
      </w:r>
      <w:r w:rsidR="00DE2D19">
        <w:t xml:space="preserve">he State required AEL providers to submit for approval </w:t>
      </w:r>
      <w:r w:rsidR="00B278A7">
        <w:t>C</w:t>
      </w:r>
      <w:r w:rsidR="00DE2D19">
        <w:t xml:space="preserve">ontinuity of </w:t>
      </w:r>
      <w:r w:rsidR="00B278A7">
        <w:t>L</w:t>
      </w:r>
      <w:r w:rsidR="00DE2D19">
        <w:t xml:space="preserve">earning </w:t>
      </w:r>
      <w:r w:rsidR="00B278A7">
        <w:t xml:space="preserve">(COL) </w:t>
      </w:r>
      <w:r w:rsidR="00DE2D19">
        <w:t>plans that prompted provider leadership to plan and evaluate for how they would continue to serve students in a remote environment, including plans to serve those most at risk of disengaging in their education, such as students with disabilities and those impacted by the closing of schools and childcare centers. These plans were carefully reviewed by the AOE and written feedback was provided to encourage deep thinking and strategizing.</w:t>
      </w:r>
    </w:p>
    <w:p w14:paraId="4065E594" w14:textId="008DDEEE" w:rsidR="00FD0D32" w:rsidRDefault="00FD0D32" w:rsidP="00DE2D19">
      <w:pPr>
        <w:shd w:val="clear" w:color="auto" w:fill="FFFFFF" w:themeFill="background1"/>
      </w:pPr>
      <w:r>
        <w:t>State AEL staff have engaged with eligible agency’s Career Technical Education and 21</w:t>
      </w:r>
      <w:r w:rsidRPr="00FD0D32">
        <w:rPr>
          <w:vertAlign w:val="superscript"/>
        </w:rPr>
        <w:t>st</w:t>
      </w:r>
      <w:r>
        <w:t xml:space="preserve"> Century Grant teams to </w:t>
      </w:r>
      <w:r w:rsidR="00F42713">
        <w:t xml:space="preserve">review best practices and develop strategies to continue monitoring remotely. This process </w:t>
      </w:r>
      <w:r w:rsidR="00C417CF">
        <w:t xml:space="preserve">is informing developing processes and plans </w:t>
      </w:r>
      <w:r w:rsidR="00E9407A">
        <w:t xml:space="preserve">that include identifying common elements of monitoring across teams, ways to leverage other teams to support </w:t>
      </w:r>
      <w:r w:rsidR="003269E4">
        <w:t xml:space="preserve">AEL monitoring, and finally, to identify any areas of monitoring that </w:t>
      </w:r>
      <w:r w:rsidR="004E7770">
        <w:t>cannot be done remotely.</w:t>
      </w:r>
    </w:p>
    <w:p w14:paraId="5EB35104" w14:textId="593B1F27" w:rsidR="00E002F7" w:rsidRDefault="00E821CD" w:rsidP="00E002F7">
      <w:pPr>
        <w:shd w:val="clear" w:color="auto" w:fill="FFFFFF" w:themeFill="background1"/>
      </w:pPr>
      <w:r>
        <w:rPr>
          <w:b/>
          <w:bCs w:val="0"/>
        </w:rPr>
        <w:t>Permissible activities:</w:t>
      </w:r>
      <w:r w:rsidR="009C48CE">
        <w:rPr>
          <w:b/>
          <w:bCs w:val="0"/>
        </w:rPr>
        <w:t xml:space="preserve"> </w:t>
      </w:r>
      <w:r w:rsidR="00E002F7">
        <w:t xml:space="preserve">Due to the </w:t>
      </w:r>
      <w:r w:rsidR="000E7B9F">
        <w:t>s</w:t>
      </w:r>
      <w:r w:rsidR="00E002F7">
        <w:t xml:space="preserve">tate of </w:t>
      </w:r>
      <w:r w:rsidR="000E7B9F">
        <w:t>e</w:t>
      </w:r>
      <w:r w:rsidR="00E002F7">
        <w:t xml:space="preserve">mergency as a result of the pandemic, Vermont was under a Stay at Home order from March 25-May 15. Vermont’s AEL system was experiencing </w:t>
      </w:r>
      <w:r w:rsidR="0058346B">
        <w:t xml:space="preserve">a disadvantage </w:t>
      </w:r>
      <w:r w:rsidR="00E002F7">
        <w:t>due to the lack of a distance education policy. In response, the A</w:t>
      </w:r>
      <w:r w:rsidR="006E5F7B">
        <w:t>OE</w:t>
      </w:r>
      <w:r w:rsidR="00E002F7">
        <w:t xml:space="preserve"> issued guidance that allowed local providers to use TABE Academy hours that a student spent mastering content toward the 40 hours required between assessments. This emergency allowance assisted providers to engage students while work</w:t>
      </w:r>
      <w:r w:rsidR="0062694A">
        <w:t xml:space="preserve">ing </w:t>
      </w:r>
      <w:r w:rsidR="00E002F7">
        <w:t>to ensure connectivity</w:t>
      </w:r>
      <w:r w:rsidR="0058346B">
        <w:t xml:space="preserve">, </w:t>
      </w:r>
      <w:r w:rsidR="00E002F7">
        <w:t>equipment</w:t>
      </w:r>
      <w:r w:rsidR="0058346B">
        <w:t xml:space="preserve">, and training </w:t>
      </w:r>
      <w:r w:rsidR="00E002F7">
        <w:t>for their instructors</w:t>
      </w:r>
      <w:r w:rsidR="00605F5C">
        <w:t xml:space="preserve"> to provide remote services.</w:t>
      </w:r>
      <w:r w:rsidR="00E002F7">
        <w:t xml:space="preserve"> </w:t>
      </w:r>
    </w:p>
    <w:p w14:paraId="167D820A" w14:textId="77777777" w:rsidR="00F01AE0" w:rsidRPr="00DE223D" w:rsidRDefault="004B6885" w:rsidP="00E002F7">
      <w:pPr>
        <w:shd w:val="clear" w:color="auto" w:fill="FFFFFF" w:themeFill="background1"/>
      </w:pPr>
      <w:r>
        <w:t xml:space="preserve">The State uses the IET checklist provided by OCTAE as part of an approval process for local programs to propose new IET program models. These approved checklists are reviewed by State and </w:t>
      </w:r>
      <w:r w:rsidRPr="00DE223D">
        <w:t>local staff together at the end of the program year to ensure that rigor and content of implemented programs meet requirements</w:t>
      </w:r>
      <w:r w:rsidR="00E002F7" w:rsidRPr="00DE223D">
        <w:t xml:space="preserve"> for inclusion in the federal report.</w:t>
      </w:r>
      <w:r w:rsidR="000F7970" w:rsidRPr="00DE223D">
        <w:t xml:space="preserve"> </w:t>
      </w:r>
      <w:r w:rsidR="008A1B0E" w:rsidRPr="00DE223D">
        <w:t>Eight IET cohorts were implemented in the program year representing four</w:t>
      </w:r>
      <w:r w:rsidR="004153E1" w:rsidRPr="00DE223D">
        <w:t xml:space="preserve"> IET</w:t>
      </w:r>
      <w:r w:rsidR="00E002F7" w:rsidRPr="00DE223D">
        <w:t xml:space="preserve"> program models</w:t>
      </w:r>
      <w:r w:rsidR="00F01AE0" w:rsidRPr="00DE223D">
        <w:t>:</w:t>
      </w:r>
    </w:p>
    <w:p w14:paraId="1EF1755D" w14:textId="270A6140" w:rsidR="001B62DB" w:rsidRPr="00DE223D" w:rsidRDefault="001B62DB" w:rsidP="00F01AE0">
      <w:pPr>
        <w:pStyle w:val="ListParagraph"/>
        <w:numPr>
          <w:ilvl w:val="0"/>
          <w:numId w:val="37"/>
        </w:numPr>
        <w:shd w:val="clear" w:color="auto" w:fill="FFFFFF" w:themeFill="background1"/>
      </w:pPr>
      <w:r w:rsidRPr="00DE223D">
        <w:t>YouthWorks</w:t>
      </w:r>
      <w:r w:rsidR="001A26BC" w:rsidRPr="00DE223D">
        <w:t xml:space="preserve">, a program for </w:t>
      </w:r>
      <w:r w:rsidR="004C2964" w:rsidRPr="00DE223D">
        <w:t>youth aged 18-24</w:t>
      </w:r>
      <w:r w:rsidR="006E55E1" w:rsidRPr="00DE223D">
        <w:t xml:space="preserve">. It is a partnership with </w:t>
      </w:r>
      <w:r w:rsidR="004C2964" w:rsidRPr="00DE223D">
        <w:t>Vermont Department of Labor</w:t>
      </w:r>
      <w:r w:rsidR="006E55E1" w:rsidRPr="00DE223D">
        <w:t xml:space="preserve">, Vocational Rehabilitation, and </w:t>
      </w:r>
      <w:r w:rsidR="00F346EF" w:rsidRPr="00DE223D">
        <w:t>a local Career Technical Education program.</w:t>
      </w:r>
      <w:r w:rsidR="00CF3A61" w:rsidRPr="00DE223D">
        <w:t xml:space="preserve"> Students </w:t>
      </w:r>
      <w:r w:rsidR="00FC5C23" w:rsidRPr="00DE223D">
        <w:t xml:space="preserve">participated in career exploration </w:t>
      </w:r>
      <w:r w:rsidR="002E13E1" w:rsidRPr="00DE223D">
        <w:t xml:space="preserve">of a variety of pathways </w:t>
      </w:r>
      <w:r w:rsidR="00FC5C23" w:rsidRPr="00DE223D">
        <w:t xml:space="preserve">while </w:t>
      </w:r>
      <w:r w:rsidR="00C55A53" w:rsidRPr="00DE223D">
        <w:t xml:space="preserve">receiving </w:t>
      </w:r>
      <w:r w:rsidR="0009686F" w:rsidRPr="00DE223D">
        <w:t>certifications</w:t>
      </w:r>
      <w:r w:rsidR="002E13E1" w:rsidRPr="00DE223D">
        <w:t xml:space="preserve"> in CPR</w:t>
      </w:r>
      <w:r w:rsidR="00BA74A3" w:rsidRPr="00DE223D">
        <w:t xml:space="preserve">, First Aid, </w:t>
      </w:r>
      <w:r w:rsidR="00240613" w:rsidRPr="00DE223D">
        <w:t xml:space="preserve">ServSafe </w:t>
      </w:r>
      <w:r w:rsidR="005B3D8C" w:rsidRPr="00DE223D">
        <w:t>and Forklift operation. Then students chose a career path</w:t>
      </w:r>
      <w:r w:rsidR="00720F8C" w:rsidRPr="00DE223D">
        <w:t xml:space="preserve">, such as LNA, </w:t>
      </w:r>
      <w:r w:rsidR="00AB4D9E" w:rsidRPr="00DE223D">
        <w:t xml:space="preserve">CDL, </w:t>
      </w:r>
      <w:r w:rsidR="00FD0490" w:rsidRPr="00DE223D">
        <w:t xml:space="preserve">Advanced Construction, </w:t>
      </w:r>
      <w:r w:rsidR="001531C8" w:rsidRPr="00DE223D">
        <w:t>Advanced Electricity, or Advanced Plumbing</w:t>
      </w:r>
      <w:r w:rsidR="009E6DD3" w:rsidRPr="00DE223D">
        <w:t xml:space="preserve">, </w:t>
      </w:r>
      <w:r w:rsidR="00240613" w:rsidRPr="00DE223D">
        <w:t xml:space="preserve">culinary </w:t>
      </w:r>
      <w:r w:rsidR="009E6DD3" w:rsidRPr="00DE223D">
        <w:t>or welding</w:t>
      </w:r>
      <w:r w:rsidR="001531C8" w:rsidRPr="00DE223D">
        <w:t xml:space="preserve"> in order to participate in a paid </w:t>
      </w:r>
      <w:r w:rsidR="00807542" w:rsidRPr="00DE223D">
        <w:t xml:space="preserve">8-week </w:t>
      </w:r>
      <w:r w:rsidR="001531C8" w:rsidRPr="00DE223D">
        <w:t>internship</w:t>
      </w:r>
      <w:r w:rsidR="00807542" w:rsidRPr="00DE223D">
        <w:t xml:space="preserve">. </w:t>
      </w:r>
    </w:p>
    <w:p w14:paraId="667D0B75" w14:textId="12E7C9B4" w:rsidR="00476FED" w:rsidRPr="00476FED" w:rsidRDefault="00B3277E" w:rsidP="00E47EA9">
      <w:pPr>
        <w:pStyle w:val="ListParagraph"/>
        <w:numPr>
          <w:ilvl w:val="0"/>
          <w:numId w:val="37"/>
        </w:numPr>
        <w:shd w:val="clear" w:color="auto" w:fill="FFFFFF" w:themeFill="background1"/>
      </w:pPr>
      <w:r w:rsidRPr="00DE223D">
        <w:t xml:space="preserve">Youth Agriculture Program, an IET </w:t>
      </w:r>
      <w:r w:rsidR="00476FED" w:rsidRPr="00DE223D">
        <w:t>for</w:t>
      </w:r>
      <w:r w:rsidR="00476FED">
        <w:t xml:space="preserve"> </w:t>
      </w:r>
      <w:r w:rsidR="00476FED" w:rsidRPr="00476FED">
        <w:t>under</w:t>
      </w:r>
      <w:r w:rsidR="00705E72">
        <w:t>-</w:t>
      </w:r>
      <w:r w:rsidR="00476FED" w:rsidRPr="00476FED">
        <w:t>skilled and under-experienced adults</w:t>
      </w:r>
      <w:r w:rsidR="00823C9D">
        <w:t xml:space="preserve">. It is a </w:t>
      </w:r>
      <w:r w:rsidR="00476FED" w:rsidRPr="00476FED">
        <w:t xml:space="preserve">training opportunity in the Restaurants and Food Services career pathway in the Hospitality and Tourism career cluster. </w:t>
      </w:r>
      <w:r w:rsidR="00DE223D">
        <w:t>Students</w:t>
      </w:r>
      <w:r w:rsidR="00DE223D" w:rsidRPr="00B3748E">
        <w:t xml:space="preserve"> learn about healthy food, safe food preparation, appropriate tool and equipment use, entrepreneurial skills, money management, marketing concepts, and </w:t>
      </w:r>
      <w:r w:rsidR="00DE223D" w:rsidRPr="00B3748E">
        <w:lastRenderedPageBreak/>
        <w:t>customer service skills through direct practice.</w:t>
      </w:r>
      <w:r w:rsidR="00DE223D">
        <w:t xml:space="preserve"> </w:t>
      </w:r>
      <w:r w:rsidR="00476FED" w:rsidRPr="00476FED">
        <w:t>Activities take place in</w:t>
      </w:r>
      <w:r w:rsidR="00C53E26">
        <w:t xml:space="preserve"> classrooms,</w:t>
      </w:r>
      <w:r w:rsidR="00476FED" w:rsidRPr="00476FED">
        <w:t xml:space="preserve"> educational gardens, at local farms, in kitchens and restaurants, and at markets.</w:t>
      </w:r>
      <w:r w:rsidR="00476FED" w:rsidRPr="00DE223D">
        <w:rPr>
          <w:noProof/>
          <w:sz w:val="26"/>
        </w:rPr>
        <w:t xml:space="preserve"> </w:t>
      </w:r>
    </w:p>
    <w:p w14:paraId="4B3BFC45" w14:textId="0340C2C7" w:rsidR="00E002F7" w:rsidRDefault="00F01AE0" w:rsidP="00EF3C95">
      <w:pPr>
        <w:pStyle w:val="ListParagraph"/>
        <w:numPr>
          <w:ilvl w:val="0"/>
          <w:numId w:val="37"/>
        </w:numPr>
        <w:shd w:val="clear" w:color="auto" w:fill="FFFFFF" w:themeFill="background1"/>
      </w:pPr>
      <w:r>
        <w:t xml:space="preserve">Community Kitchen Academy (described below </w:t>
      </w:r>
      <w:r w:rsidR="00311D74">
        <w:t>under #4)</w:t>
      </w:r>
    </w:p>
    <w:p w14:paraId="008AF457" w14:textId="32AF7134" w:rsidR="00311D74" w:rsidRDefault="001B62DB" w:rsidP="00F01AE0">
      <w:pPr>
        <w:pStyle w:val="ListParagraph"/>
        <w:numPr>
          <w:ilvl w:val="0"/>
          <w:numId w:val="37"/>
        </w:numPr>
        <w:shd w:val="clear" w:color="auto" w:fill="FFFFFF" w:themeFill="background1"/>
      </w:pPr>
      <w:r>
        <w:t>Healthcare (described below under #4)</w:t>
      </w:r>
    </w:p>
    <w:p w14:paraId="03261060" w14:textId="7A1C3CCC" w:rsidR="00B66234" w:rsidRPr="00A36AB4" w:rsidRDefault="005E0ECB" w:rsidP="00343E9B">
      <w:pPr>
        <w:pStyle w:val="Heading2"/>
      </w:pPr>
      <w:r w:rsidRPr="00A36AB4">
        <w:t xml:space="preserve">2. </w:t>
      </w:r>
      <w:r w:rsidR="00FD7E73" w:rsidRPr="00A36AB4">
        <w:t xml:space="preserve"> </w:t>
      </w:r>
      <w:r w:rsidRPr="00A36AB4">
        <w:t>Performance Data Analysis</w:t>
      </w:r>
    </w:p>
    <w:p w14:paraId="193A49D3" w14:textId="106307A5" w:rsidR="001F5BB7" w:rsidRDefault="004A53C8" w:rsidP="00956FF5">
      <w:pPr>
        <w:shd w:val="clear" w:color="auto" w:fill="FFFFFF" w:themeFill="background1"/>
      </w:pPr>
      <w:r>
        <w:t xml:space="preserve">Analysis of the State’s performance was conducted </w:t>
      </w:r>
      <w:r w:rsidR="00052BD6">
        <w:t>by the AOE</w:t>
      </w:r>
      <w:r>
        <w:t xml:space="preserve"> through </w:t>
      </w:r>
      <w:r w:rsidR="00962593">
        <w:t xml:space="preserve">review of the statistical tables as submitted. </w:t>
      </w:r>
      <w:r w:rsidR="002418EC">
        <w:t xml:space="preserve">Local providers analyze their own data using the reports available in the AEL database, filtered by provider. Each provider’s performance was reviewed </w:t>
      </w:r>
      <w:r w:rsidR="003F2E70">
        <w:t xml:space="preserve">by the State through analysis of the statistical tables </w:t>
      </w:r>
      <w:proofErr w:type="gramStart"/>
      <w:r w:rsidR="00A54DFC">
        <w:t>and also</w:t>
      </w:r>
      <w:proofErr w:type="gramEnd"/>
      <w:r w:rsidR="00A54DFC">
        <w:t xml:space="preserve"> review of submitted narrative reports and supplemental data reports. </w:t>
      </w:r>
      <w:r w:rsidR="00DC6FC5">
        <w:t xml:space="preserve">Meetings </w:t>
      </w:r>
      <w:r w:rsidR="004D6080">
        <w:t xml:space="preserve">were held </w:t>
      </w:r>
      <w:r w:rsidR="00DC6FC5">
        <w:t xml:space="preserve">with each provider to discuss their </w:t>
      </w:r>
      <w:r w:rsidR="00FF21C4">
        <w:t xml:space="preserve">individual </w:t>
      </w:r>
      <w:r w:rsidR="00DC6FC5">
        <w:t xml:space="preserve">performance in program year 2019 and </w:t>
      </w:r>
      <w:r w:rsidR="00FF21C4">
        <w:t>to</w:t>
      </w:r>
      <w:r w:rsidR="00AD2372">
        <w:t xml:space="preserve"> </w:t>
      </w:r>
      <w:r w:rsidR="00FF21C4">
        <w:t xml:space="preserve">plan for program year 2020. </w:t>
      </w:r>
      <w:r w:rsidR="009C08B4">
        <w:t xml:space="preserve">The State reviewed data collection rates and noted that co-enrollments, career services, and </w:t>
      </w:r>
      <w:r w:rsidR="00AF3C57">
        <w:t xml:space="preserve">barriers to employment were likely under-reported. </w:t>
      </w:r>
      <w:r w:rsidR="00AD2372">
        <w:t xml:space="preserve">Each provider has been directed to review barriers to </w:t>
      </w:r>
      <w:r w:rsidR="001A6A7A">
        <w:t xml:space="preserve">collecting data. </w:t>
      </w:r>
    </w:p>
    <w:p w14:paraId="7E270F68" w14:textId="6E57D3B6" w:rsidR="00956FF5" w:rsidRDefault="00AF3C57" w:rsidP="00956FF5">
      <w:pPr>
        <w:shd w:val="clear" w:color="auto" w:fill="FFFFFF" w:themeFill="background1"/>
      </w:pPr>
      <w:r>
        <w:t>As enrollment in AEL programs has declined again in program year 2019</w:t>
      </w:r>
      <w:r w:rsidR="00F9630C">
        <w:t xml:space="preserve"> – an issue that pre-dates the pandemic – each provider was </w:t>
      </w:r>
      <w:r w:rsidR="001D54CA">
        <w:t>required</w:t>
      </w:r>
      <w:r w:rsidR="00F9630C">
        <w:t xml:space="preserve"> to submit their marketing and recruitment plans</w:t>
      </w:r>
      <w:r w:rsidR="0050526A">
        <w:t xml:space="preserve">. </w:t>
      </w:r>
      <w:r w:rsidR="004D6080">
        <w:t xml:space="preserve">In program year 2020, </w:t>
      </w:r>
      <w:r w:rsidR="00B15146">
        <w:t xml:space="preserve">State staff will meet with local leadership quarterly to review progress toward performance targets, especially those that relate to </w:t>
      </w:r>
      <w:r w:rsidR="009A3203">
        <w:t xml:space="preserve">recruitment, retention, progress assessment rates, </w:t>
      </w:r>
      <w:r w:rsidR="00956FF5">
        <w:t xml:space="preserve">data tracking, </w:t>
      </w:r>
      <w:r w:rsidR="007D2C1F">
        <w:t xml:space="preserve">and MSG targets. </w:t>
      </w:r>
      <w:r w:rsidR="00956FF5">
        <w:t xml:space="preserve">The State is currently working collaboratively with AEL providers through a workgroup to improve data tracking, such as social security numbers, barriers to employment, and provision of career services. </w:t>
      </w:r>
    </w:p>
    <w:p w14:paraId="590C7541" w14:textId="0C444D3F" w:rsidR="00ED5BFE" w:rsidRDefault="00187501" w:rsidP="001A0529">
      <w:r>
        <w:t xml:space="preserve">Vermont </w:t>
      </w:r>
      <w:r w:rsidR="0025198B">
        <w:t xml:space="preserve">AOE </w:t>
      </w:r>
      <w:r>
        <w:t xml:space="preserve">has continued to encourage administering assessments </w:t>
      </w:r>
      <w:r w:rsidR="00191994">
        <w:t xml:space="preserve">for AEL students </w:t>
      </w:r>
      <w:r>
        <w:t>when able, even though</w:t>
      </w:r>
      <w:r w:rsidR="007D2C1F">
        <w:t xml:space="preserve"> </w:t>
      </w:r>
      <w:r w:rsidR="009672FB">
        <w:t xml:space="preserve">multiple </w:t>
      </w:r>
      <w:r w:rsidR="00F208E9">
        <w:t xml:space="preserve">new </w:t>
      </w:r>
      <w:r w:rsidR="00E4222E">
        <w:t>barriers</w:t>
      </w:r>
      <w:r w:rsidR="00E36903">
        <w:t xml:space="preserve"> </w:t>
      </w:r>
      <w:r w:rsidR="00F208E9">
        <w:t xml:space="preserve">have developed </w:t>
      </w:r>
      <w:r w:rsidR="00E36903">
        <w:t>during the pandemic</w:t>
      </w:r>
      <w:r w:rsidR="00F208E9">
        <w:t>. V</w:t>
      </w:r>
      <w:r w:rsidR="00E36903">
        <w:t>irtual test</w:t>
      </w:r>
      <w:r w:rsidR="008D634C">
        <w:t xml:space="preserve"> proctoring</w:t>
      </w:r>
      <w:r w:rsidR="00E36903">
        <w:t xml:space="preserve"> is especially challenging</w:t>
      </w:r>
      <w:r w:rsidR="0098503B">
        <w:t>.</w:t>
      </w:r>
      <w:r w:rsidR="00B75BAB">
        <w:t xml:space="preserve"> </w:t>
      </w:r>
      <w:r w:rsidR="00A36B8C">
        <w:t xml:space="preserve">Due to Vermont’s low rate of COVID-19, in-person assessing is still possible and allowed when local staff and students follow all </w:t>
      </w:r>
      <w:r w:rsidR="005743B3">
        <w:t xml:space="preserve">Department of Health issued </w:t>
      </w:r>
      <w:r w:rsidR="005D06B4">
        <w:t>guidance for safety.</w:t>
      </w:r>
      <w:r w:rsidR="00C87F7D">
        <w:t xml:space="preserve"> If a student cannot be assessed</w:t>
      </w:r>
      <w:r w:rsidR="001E3BA6">
        <w:t xml:space="preserve"> due to illness or other barrier</w:t>
      </w:r>
      <w:r w:rsidR="00C87F7D">
        <w:t xml:space="preserve">, there are financial implications for AEL providers because </w:t>
      </w:r>
      <w:r w:rsidR="001C4C04">
        <w:t xml:space="preserve">High School Completion Program funded services are only permitted for students </w:t>
      </w:r>
      <w:r w:rsidR="008D4D03">
        <w:t>seeking a diploma and assessing at NRS 4 or higher.</w:t>
      </w:r>
      <w:r w:rsidR="00DC22AB">
        <w:t xml:space="preserve"> The AOE also </w:t>
      </w:r>
      <w:r w:rsidR="00A061DD">
        <w:t xml:space="preserve">continues to emphasize </w:t>
      </w:r>
      <w:r w:rsidR="00DC22AB">
        <w:t>the importance of understanding current skill levels of students through assessments in order to design effective instruction and services.</w:t>
      </w:r>
    </w:p>
    <w:p w14:paraId="2857E30A" w14:textId="53E8C353" w:rsidR="001A0529" w:rsidRDefault="000144B2" w:rsidP="001A0529">
      <w:r>
        <w:t xml:space="preserve">Further data analysis shows that </w:t>
      </w:r>
      <w:r w:rsidR="00067F16">
        <w:t xml:space="preserve">of the </w:t>
      </w:r>
      <w:r w:rsidR="001A0529">
        <w:t xml:space="preserve">overall students served </w:t>
      </w:r>
      <w:r w:rsidR="005342D3">
        <w:t xml:space="preserve">in Vermont </w:t>
      </w:r>
      <w:r w:rsidR="002C2014">
        <w:t>(</w:t>
      </w:r>
      <w:r w:rsidR="001A0529">
        <w:t>1</w:t>
      </w:r>
      <w:r w:rsidR="000F2B96">
        <w:t>,</w:t>
      </w:r>
      <w:r w:rsidR="001A0529">
        <w:t>810</w:t>
      </w:r>
      <w:r w:rsidR="005342D3">
        <w:t>)</w:t>
      </w:r>
      <w:r w:rsidR="00001931">
        <w:t>,</w:t>
      </w:r>
      <w:r w:rsidR="001A0529">
        <w:t xml:space="preserve"> 72.82% qualified for the federal report</w:t>
      </w:r>
      <w:r w:rsidR="005342D3">
        <w:t xml:space="preserve">, as </w:t>
      </w:r>
      <w:r w:rsidR="001A0529">
        <w:t xml:space="preserve">compared to </w:t>
      </w:r>
      <w:r w:rsidR="00AA7671">
        <w:t>PY18</w:t>
      </w:r>
      <w:r w:rsidR="001A0529">
        <w:t xml:space="preserve"> whe</w:t>
      </w:r>
      <w:r w:rsidR="00001931">
        <w:t>n</w:t>
      </w:r>
      <w:r w:rsidR="001A0529">
        <w:t xml:space="preserve"> 2,201 students were served</w:t>
      </w:r>
      <w:r w:rsidR="00001931">
        <w:t xml:space="preserve"> overall</w:t>
      </w:r>
      <w:r w:rsidR="001A0529">
        <w:t xml:space="preserve"> with 71.42% qualifying for the federal report. Vermont will continue to work with local programs to engage with students </w:t>
      </w:r>
      <w:r w:rsidR="001754D3">
        <w:t xml:space="preserve">to prevent </w:t>
      </w:r>
      <w:r w:rsidR="001A0529">
        <w:t xml:space="preserve">lapses </w:t>
      </w:r>
      <w:r w:rsidR="001754D3">
        <w:t>of</w:t>
      </w:r>
      <w:r w:rsidR="001A0529">
        <w:t xml:space="preserve"> 90 days </w:t>
      </w:r>
      <w:r w:rsidR="001754D3">
        <w:t xml:space="preserve">or more </w:t>
      </w:r>
      <w:r w:rsidR="001A0529">
        <w:t xml:space="preserve">between </w:t>
      </w:r>
      <w:r w:rsidR="00BC5ED1">
        <w:t xml:space="preserve">provision of </w:t>
      </w:r>
      <w:r w:rsidR="001A0529">
        <w:t>services</w:t>
      </w:r>
      <w:r w:rsidR="00BC5ED1">
        <w:t xml:space="preserve">, which will </w:t>
      </w:r>
      <w:r w:rsidR="00485188">
        <w:t xml:space="preserve">continue to increase </w:t>
      </w:r>
      <w:r w:rsidR="001A0529">
        <w:t>the federal qualifying population</w:t>
      </w:r>
      <w:r w:rsidR="00485188">
        <w:t>.</w:t>
      </w:r>
    </w:p>
    <w:p w14:paraId="5EB9E52A" w14:textId="44E172B1" w:rsidR="00A806AE" w:rsidRDefault="001A0529" w:rsidP="00A806AE">
      <w:r>
        <w:t>Vermont did not reach the negotiated performance target for Measurable Skill Gain</w:t>
      </w:r>
      <w:r w:rsidR="002C395C">
        <w:t>s</w:t>
      </w:r>
      <w:r>
        <w:t xml:space="preserve"> (MSG) of 38% and the actual performance of earned MSG</w:t>
      </w:r>
      <w:r w:rsidR="002C395C">
        <w:t>s</w:t>
      </w:r>
      <w:r>
        <w:t xml:space="preserve"> was 28.92% in </w:t>
      </w:r>
      <w:r w:rsidR="00AA7671">
        <w:t>PY19</w:t>
      </w:r>
      <w:r>
        <w:t xml:space="preserve"> compared to 39.03% of </w:t>
      </w:r>
      <w:r>
        <w:lastRenderedPageBreak/>
        <w:t xml:space="preserve">MSGs earned in </w:t>
      </w:r>
      <w:r w:rsidR="00AA7671">
        <w:t>PY18</w:t>
      </w:r>
      <w:r>
        <w:t xml:space="preserve">. </w:t>
      </w:r>
      <w:r w:rsidR="00C861EF">
        <w:t xml:space="preserve">Despite not meeting targets, </w:t>
      </w:r>
      <w:r w:rsidR="00C24203">
        <w:t xml:space="preserve">Title II has continued to provide access to services through the provision of both in-person and online services. </w:t>
      </w:r>
      <w:r w:rsidR="00BE1118">
        <w:t>T</w:t>
      </w:r>
      <w:r>
        <w:t xml:space="preserve">he MSG rate was negatively impacted by the move to remote learning in March 2020 </w:t>
      </w:r>
      <w:r w:rsidR="00DC621D">
        <w:t xml:space="preserve">and the </w:t>
      </w:r>
      <w:r>
        <w:t xml:space="preserve">unavailability of </w:t>
      </w:r>
      <w:r w:rsidR="00DC621D">
        <w:t>virtual</w:t>
      </w:r>
      <w:r>
        <w:t xml:space="preserve"> test</w:t>
      </w:r>
      <w:r w:rsidR="008D634C">
        <w:t xml:space="preserve"> proctoring</w:t>
      </w:r>
      <w:r>
        <w:t xml:space="preserve"> at that time</w:t>
      </w:r>
      <w:r w:rsidR="00975152">
        <w:t xml:space="preserve">, </w:t>
      </w:r>
      <w:r w:rsidR="001C7D24">
        <w:t xml:space="preserve">though </w:t>
      </w:r>
      <w:r w:rsidR="00F43CC6">
        <w:t xml:space="preserve">state staff moved </w:t>
      </w:r>
      <w:r w:rsidR="00B24048">
        <w:t xml:space="preserve">as </w:t>
      </w:r>
      <w:r w:rsidR="00F43CC6">
        <w:t xml:space="preserve">quickly </w:t>
      </w:r>
      <w:r w:rsidR="00B24048">
        <w:t xml:space="preserve">as possible </w:t>
      </w:r>
      <w:r w:rsidR="00F43CC6">
        <w:t xml:space="preserve">to </w:t>
      </w:r>
      <w:r w:rsidR="00763C3D">
        <w:t>develop guidance</w:t>
      </w:r>
      <w:r w:rsidR="00B92208">
        <w:t xml:space="preserve"> for</w:t>
      </w:r>
      <w:r w:rsidR="00F43CC6">
        <w:t xml:space="preserve"> </w:t>
      </w:r>
      <w:hyperlink r:id="rId11" w:history="1">
        <w:r w:rsidR="00B92208" w:rsidRPr="002E7361">
          <w:rPr>
            <w:rStyle w:val="Hyperlink"/>
            <w:rFonts w:cs="Calibri"/>
          </w:rPr>
          <w:t xml:space="preserve">virtual </w:t>
        </w:r>
        <w:r w:rsidR="00F43CC6" w:rsidRPr="002E7361">
          <w:rPr>
            <w:rStyle w:val="Hyperlink"/>
            <w:rFonts w:cs="Calibri"/>
          </w:rPr>
          <w:t xml:space="preserve">test proctoring </w:t>
        </w:r>
        <w:r w:rsidR="002E7361" w:rsidRPr="002E7361">
          <w:rPr>
            <w:rStyle w:val="Hyperlink"/>
            <w:rFonts w:cs="Calibri"/>
          </w:rPr>
          <w:t>procedures</w:t>
        </w:r>
      </w:hyperlink>
      <w:r w:rsidR="002E7361">
        <w:t xml:space="preserve"> </w:t>
      </w:r>
      <w:r w:rsidR="00A443FD">
        <w:t>with</w:t>
      </w:r>
      <w:r w:rsidR="00F43CC6">
        <w:t xml:space="preserve"> the TABE 11/12 </w:t>
      </w:r>
      <w:r w:rsidR="00B92208">
        <w:t xml:space="preserve">and BEST Plus 2.0. </w:t>
      </w:r>
      <w:r w:rsidR="005C7B32">
        <w:t>A closer look at specific populations served</w:t>
      </w:r>
      <w:r w:rsidR="00E318E2">
        <w:t xml:space="preserve"> </w:t>
      </w:r>
      <w:r w:rsidR="005C7B32">
        <w:t>sho</w:t>
      </w:r>
      <w:r w:rsidR="00A23C55">
        <w:t xml:space="preserve">ws an MSG rate of 33.02% for the </w:t>
      </w:r>
      <w:r>
        <w:t xml:space="preserve">ABE/ASE population in </w:t>
      </w:r>
      <w:r w:rsidR="00AA7671">
        <w:t>PY19</w:t>
      </w:r>
      <w:r>
        <w:t xml:space="preserve"> compared to an MSG rate of 42.03% in </w:t>
      </w:r>
      <w:r w:rsidR="00AA7671">
        <w:t>PY18</w:t>
      </w:r>
      <w:r>
        <w:t>. The E</w:t>
      </w:r>
      <w:r w:rsidR="004F216F">
        <w:t>S</w:t>
      </w:r>
      <w:r>
        <w:t>L population show</w:t>
      </w:r>
      <w:r w:rsidR="006F5603">
        <w:t>s</w:t>
      </w:r>
      <w:r>
        <w:t xml:space="preserve"> a greater drop in MSG gains in </w:t>
      </w:r>
      <w:r w:rsidR="00AA7671">
        <w:t>PY19</w:t>
      </w:r>
      <w:r>
        <w:t xml:space="preserve"> to 17.53% from 29.90% in </w:t>
      </w:r>
      <w:r w:rsidR="00AA7671">
        <w:t>PY18</w:t>
      </w:r>
      <w:r w:rsidR="00C45FFC">
        <w:t xml:space="preserve">, which </w:t>
      </w:r>
      <w:r w:rsidR="00003E2B">
        <w:t xml:space="preserve">can be explained by the additional barriers to access that ESL students have experienced combined with the fact </w:t>
      </w:r>
      <w:r w:rsidR="00F553DC">
        <w:t>that the state was not able to approve the CASAS eTests Online for virtual proctoring</w:t>
      </w:r>
      <w:r w:rsidR="00F92E76">
        <w:t xml:space="preserve"> in PY19</w:t>
      </w:r>
      <w:r w:rsidR="00A806AE">
        <w:t xml:space="preserve">. </w:t>
      </w:r>
      <w:r w:rsidR="00A806AE">
        <w:t>The State is taking steps to approve the CASAS</w:t>
      </w:r>
      <w:r w:rsidR="00AD4978">
        <w:t xml:space="preserve"> for </w:t>
      </w:r>
      <w:r w:rsidR="00A806AE">
        <w:t xml:space="preserve">PY20 for virtual testing. </w:t>
      </w:r>
    </w:p>
    <w:p w14:paraId="24BD32AB" w14:textId="77777777" w:rsidR="00AD4978" w:rsidRPr="00667F2F" w:rsidRDefault="001C7D24" w:rsidP="00AD4978">
      <w:r>
        <w:t>Despite th</w:t>
      </w:r>
      <w:r w:rsidR="00AD4978">
        <w:t xml:space="preserve">e </w:t>
      </w:r>
      <w:r>
        <w:t>transition</w:t>
      </w:r>
      <w:r w:rsidR="00F43CC6">
        <w:t xml:space="preserve"> to </w:t>
      </w:r>
      <w:r w:rsidR="00951E61">
        <w:t xml:space="preserve">virtual </w:t>
      </w:r>
      <w:r w:rsidR="00F43CC6">
        <w:t>test proctoring</w:t>
      </w:r>
      <w:r>
        <w:t xml:space="preserve">, </w:t>
      </w:r>
      <w:r w:rsidR="00AA7671">
        <w:t>PY19</w:t>
      </w:r>
      <w:r w:rsidR="001A0529">
        <w:t xml:space="preserve"> Q</w:t>
      </w:r>
      <w:r w:rsidR="00771800">
        <w:t xml:space="preserve">uarter </w:t>
      </w:r>
      <w:r w:rsidR="001A0529">
        <w:t xml:space="preserve">4 progress assessment rates were still negatively impacted as it took time to get all program staff trained to </w:t>
      </w:r>
      <w:r w:rsidR="00771800">
        <w:t>implement virtual proctoring</w:t>
      </w:r>
      <w:r w:rsidR="001A0529">
        <w:t xml:space="preserve">. </w:t>
      </w:r>
      <w:r w:rsidR="00AD4978" w:rsidRPr="00667F2F">
        <w:t xml:space="preserve">Virtual test proctoring requires that multiple variables align for a successful test outcome: </w:t>
      </w:r>
    </w:p>
    <w:p w14:paraId="094D9906" w14:textId="77777777" w:rsidR="00AD4978" w:rsidRPr="00523DBA" w:rsidRDefault="00AD4978" w:rsidP="00AD4978">
      <w:pPr>
        <w:pStyle w:val="ListParagraph"/>
        <w:numPr>
          <w:ilvl w:val="0"/>
          <w:numId w:val="39"/>
        </w:numPr>
      </w:pPr>
      <w:r w:rsidRPr="00667F2F">
        <w:t>The student must have the proper equipment, as specified by the assessment publisher,</w:t>
      </w:r>
    </w:p>
    <w:p w14:paraId="00F438ED" w14:textId="77777777" w:rsidR="00AD4978" w:rsidRPr="00523DBA" w:rsidRDefault="00AD4978" w:rsidP="00AD4978">
      <w:pPr>
        <w:pStyle w:val="ListParagraph"/>
        <w:numPr>
          <w:ilvl w:val="0"/>
          <w:numId w:val="39"/>
        </w:numPr>
      </w:pPr>
      <w:r w:rsidRPr="00667F2F">
        <w:t>The student must understand how to use the equipment well enough to access the test</w:t>
      </w:r>
      <w:r>
        <w:t>.</w:t>
      </w:r>
    </w:p>
    <w:p w14:paraId="343882FD" w14:textId="77777777" w:rsidR="00AD4978" w:rsidRPr="00523DBA" w:rsidRDefault="00AD4978" w:rsidP="00AD4978">
      <w:pPr>
        <w:pStyle w:val="ListParagraph"/>
        <w:numPr>
          <w:ilvl w:val="0"/>
          <w:numId w:val="39"/>
        </w:numPr>
      </w:pPr>
      <w:r w:rsidRPr="00667F2F">
        <w:t xml:space="preserve">The student must be able to understand the instructions of the proctor in order to follow the rules of taking the test. </w:t>
      </w:r>
    </w:p>
    <w:p w14:paraId="7705E1CD" w14:textId="77777777" w:rsidR="00AD4978" w:rsidRPr="00523DBA" w:rsidRDefault="00AD4978" w:rsidP="00AD4978">
      <w:pPr>
        <w:pStyle w:val="ListParagraph"/>
        <w:numPr>
          <w:ilvl w:val="0"/>
          <w:numId w:val="39"/>
        </w:numPr>
      </w:pPr>
      <w:r w:rsidRPr="00667F2F">
        <w:t xml:space="preserve">There can be no interruption in internet service during the assessment. </w:t>
      </w:r>
    </w:p>
    <w:p w14:paraId="37B45C2A" w14:textId="77777777" w:rsidR="00AD4978" w:rsidRPr="00523DBA" w:rsidRDefault="00AD4978" w:rsidP="00AD4978">
      <w:pPr>
        <w:pStyle w:val="ListParagraph"/>
        <w:numPr>
          <w:ilvl w:val="0"/>
          <w:numId w:val="39"/>
        </w:numPr>
      </w:pPr>
      <w:r w:rsidRPr="00667F2F">
        <w:t xml:space="preserve">Students must be able to verify their identity to the proctor. </w:t>
      </w:r>
    </w:p>
    <w:p w14:paraId="1D407BAB" w14:textId="77777777" w:rsidR="00AD4978" w:rsidRPr="00523DBA" w:rsidRDefault="00AD4978" w:rsidP="00AD4978">
      <w:pPr>
        <w:pStyle w:val="ListParagraph"/>
        <w:numPr>
          <w:ilvl w:val="0"/>
          <w:numId w:val="39"/>
        </w:numPr>
      </w:pPr>
      <w:r w:rsidRPr="00667F2F">
        <w:t xml:space="preserve">Students need a quiet and private space in which to give the assessment their full and undivided attention. </w:t>
      </w:r>
    </w:p>
    <w:p w14:paraId="4DD522BE" w14:textId="77777777" w:rsidR="00AD4978" w:rsidRDefault="00AD4978" w:rsidP="00AD4978">
      <w:r w:rsidRPr="00523DBA">
        <w:t>In addition, local staff time spen</w:t>
      </w:r>
      <w:r>
        <w:t>t</w:t>
      </w:r>
      <w:r w:rsidRPr="00523DBA">
        <w:t xml:space="preserve"> on preparation for and implementing virtual test proctoring is greatly increased as compared to proctoring a test in person. The proctor cannot be in the room with the student and otherwise engaged in an activity such as correcting papers, rather the proctor must watch the student on screen with full attention to ensure the integrity of the test.</w:t>
      </w:r>
      <w:r>
        <w:t xml:space="preserve"> Preparations for the test that are time consuming include ensuring the student has the equipment and adequate internet connectivity. Finally, local staff have reported that trying to proctor assessments for more than one person at a time is so unwieldy that the focus is staying on administering one assessment virtually at a time.</w:t>
      </w:r>
    </w:p>
    <w:p w14:paraId="66A7E1C2" w14:textId="77777777" w:rsidR="001A0529" w:rsidRDefault="001A0529" w:rsidP="001A0529">
      <w:pPr>
        <w:rPr>
          <w:rFonts w:ascii="Franklin Gothic Book" w:hAnsi="Franklin Gothic Book"/>
          <w:sz w:val="24"/>
          <w:szCs w:val="24"/>
        </w:rPr>
      </w:pPr>
      <w:r>
        <w:rPr>
          <w:rFonts w:ascii="Franklin Gothic Book" w:hAnsi="Franklin Gothic Book"/>
          <w:sz w:val="24"/>
          <w:szCs w:val="24"/>
        </w:rPr>
        <w:t>Comparison of provider post-assessment for the federal population rates:</w:t>
      </w:r>
    </w:p>
    <w:tbl>
      <w:tblPr>
        <w:tblW w:w="0" w:type="auto"/>
        <w:jc w:val="center"/>
        <w:tblCellMar>
          <w:left w:w="0" w:type="dxa"/>
          <w:right w:w="0" w:type="dxa"/>
        </w:tblCellMar>
        <w:tblLook w:val="04A0" w:firstRow="1" w:lastRow="0" w:firstColumn="1" w:lastColumn="0" w:noHBand="0" w:noVBand="1"/>
      </w:tblPr>
      <w:tblGrid>
        <w:gridCol w:w="1914"/>
        <w:gridCol w:w="1856"/>
        <w:gridCol w:w="1858"/>
      </w:tblGrid>
      <w:tr w:rsidR="00FC0880" w14:paraId="3D3E21D0" w14:textId="77777777" w:rsidTr="001E7B66">
        <w:trPr>
          <w:trHeight w:val="439"/>
          <w:jc w:val="center"/>
        </w:trPr>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8CBC32" w14:textId="77777777" w:rsidR="00FC0880" w:rsidRPr="008E3C58" w:rsidRDefault="00FC0880" w:rsidP="00371BF8">
            <w:pPr>
              <w:jc w:val="center"/>
              <w:rPr>
                <w:b/>
                <w:sz w:val="20"/>
                <w:szCs w:val="20"/>
              </w:rPr>
            </w:pPr>
            <w:r w:rsidRPr="008E3C58">
              <w:rPr>
                <w:b/>
                <w:sz w:val="20"/>
                <w:szCs w:val="20"/>
              </w:rPr>
              <w:t>Provider</w:t>
            </w:r>
          </w:p>
        </w:tc>
        <w:tc>
          <w:tcPr>
            <w:tcW w:w="1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CB983" w14:textId="77777777" w:rsidR="00FC0880" w:rsidRPr="008E3C58" w:rsidRDefault="00FC0880" w:rsidP="00371BF8">
            <w:pPr>
              <w:jc w:val="center"/>
              <w:rPr>
                <w:b/>
                <w:sz w:val="20"/>
                <w:szCs w:val="20"/>
              </w:rPr>
            </w:pPr>
            <w:r w:rsidRPr="008E3C58">
              <w:rPr>
                <w:b/>
                <w:sz w:val="20"/>
                <w:szCs w:val="20"/>
              </w:rPr>
              <w:t>2018-2019</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586EC" w14:textId="77777777" w:rsidR="00FC0880" w:rsidRPr="008E3C58" w:rsidRDefault="00FC0880" w:rsidP="00371BF8">
            <w:pPr>
              <w:jc w:val="center"/>
              <w:rPr>
                <w:b/>
                <w:sz w:val="20"/>
                <w:szCs w:val="20"/>
              </w:rPr>
            </w:pPr>
            <w:r w:rsidRPr="008E3C58">
              <w:rPr>
                <w:b/>
                <w:sz w:val="20"/>
                <w:szCs w:val="20"/>
              </w:rPr>
              <w:t>2019-2020</w:t>
            </w:r>
          </w:p>
        </w:tc>
      </w:tr>
      <w:tr w:rsidR="00FC0880" w14:paraId="238E3867" w14:textId="77777777" w:rsidTr="001E7B66">
        <w:trPr>
          <w:trHeight w:val="232"/>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40D7E" w14:textId="77777777" w:rsidR="00FC0880" w:rsidRPr="008E3C58" w:rsidRDefault="00FC0880" w:rsidP="00371BF8">
            <w:pPr>
              <w:jc w:val="center"/>
              <w:rPr>
                <w:b/>
                <w:sz w:val="20"/>
                <w:szCs w:val="20"/>
              </w:rPr>
            </w:pPr>
            <w:r w:rsidRPr="008E3C58">
              <w:rPr>
                <w:b/>
                <w:sz w:val="20"/>
                <w:szCs w:val="20"/>
              </w:rPr>
              <w:t>CVABE</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7A667F4" w14:textId="77777777" w:rsidR="00FC0880" w:rsidRPr="008E3C58" w:rsidRDefault="00FC0880" w:rsidP="00371BF8">
            <w:pPr>
              <w:jc w:val="center"/>
              <w:rPr>
                <w:bCs w:val="0"/>
                <w:sz w:val="20"/>
                <w:szCs w:val="20"/>
              </w:rPr>
            </w:pPr>
            <w:r w:rsidRPr="008E3C58">
              <w:rPr>
                <w:bCs w:val="0"/>
                <w:sz w:val="20"/>
                <w:szCs w:val="20"/>
              </w:rPr>
              <w:t>51.77%</w:t>
            </w:r>
          </w:p>
        </w:tc>
        <w:tc>
          <w:tcPr>
            <w:tcW w:w="1858" w:type="dxa"/>
            <w:tcBorders>
              <w:top w:val="nil"/>
              <w:left w:val="nil"/>
              <w:bottom w:val="single" w:sz="8" w:space="0" w:color="auto"/>
              <w:right w:val="single" w:sz="8" w:space="0" w:color="auto"/>
            </w:tcBorders>
            <w:tcMar>
              <w:top w:w="0" w:type="dxa"/>
              <w:left w:w="108" w:type="dxa"/>
              <w:bottom w:w="0" w:type="dxa"/>
              <w:right w:w="108" w:type="dxa"/>
            </w:tcMar>
          </w:tcPr>
          <w:p w14:paraId="65EEB290" w14:textId="77777777" w:rsidR="00FC0880" w:rsidRPr="008E3C58" w:rsidRDefault="00FC0880" w:rsidP="00371BF8">
            <w:pPr>
              <w:jc w:val="center"/>
              <w:rPr>
                <w:bCs w:val="0"/>
                <w:sz w:val="20"/>
                <w:szCs w:val="20"/>
              </w:rPr>
            </w:pPr>
            <w:r w:rsidRPr="008E3C58">
              <w:rPr>
                <w:bCs w:val="0"/>
                <w:sz w:val="20"/>
                <w:szCs w:val="20"/>
              </w:rPr>
              <w:t>38.70%</w:t>
            </w:r>
          </w:p>
        </w:tc>
      </w:tr>
      <w:tr w:rsidR="00FC0880" w14:paraId="385FDF55" w14:textId="77777777" w:rsidTr="00371BF8">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68084" w14:textId="77777777" w:rsidR="00FC0880" w:rsidRPr="008E3C58" w:rsidRDefault="00FC0880" w:rsidP="00371BF8">
            <w:pPr>
              <w:jc w:val="center"/>
              <w:rPr>
                <w:b/>
                <w:sz w:val="20"/>
                <w:szCs w:val="20"/>
              </w:rPr>
            </w:pPr>
            <w:r w:rsidRPr="008E3C58">
              <w:rPr>
                <w:b/>
                <w:sz w:val="20"/>
                <w:szCs w:val="20"/>
              </w:rPr>
              <w:t>NEKLS</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544D0B2A" w14:textId="77777777" w:rsidR="00FC0880" w:rsidRPr="008E3C58" w:rsidRDefault="00FC0880" w:rsidP="00371BF8">
            <w:pPr>
              <w:jc w:val="center"/>
              <w:rPr>
                <w:bCs w:val="0"/>
                <w:sz w:val="20"/>
                <w:szCs w:val="20"/>
              </w:rPr>
            </w:pPr>
            <w:r w:rsidRPr="008E3C58">
              <w:rPr>
                <w:bCs w:val="0"/>
                <w:sz w:val="20"/>
                <w:szCs w:val="20"/>
              </w:rPr>
              <w:t>49.25%</w:t>
            </w:r>
          </w:p>
        </w:tc>
        <w:tc>
          <w:tcPr>
            <w:tcW w:w="1858" w:type="dxa"/>
            <w:tcBorders>
              <w:top w:val="nil"/>
              <w:left w:val="nil"/>
              <w:bottom w:val="single" w:sz="8" w:space="0" w:color="auto"/>
              <w:right w:val="single" w:sz="8" w:space="0" w:color="auto"/>
            </w:tcBorders>
            <w:tcMar>
              <w:top w:w="0" w:type="dxa"/>
              <w:left w:w="108" w:type="dxa"/>
              <w:bottom w:w="0" w:type="dxa"/>
              <w:right w:w="108" w:type="dxa"/>
            </w:tcMar>
          </w:tcPr>
          <w:p w14:paraId="2AB2217A" w14:textId="77777777" w:rsidR="00FC0880" w:rsidRPr="008E3C58" w:rsidRDefault="00FC0880" w:rsidP="00371BF8">
            <w:pPr>
              <w:jc w:val="center"/>
              <w:rPr>
                <w:bCs w:val="0"/>
                <w:sz w:val="20"/>
                <w:szCs w:val="20"/>
              </w:rPr>
            </w:pPr>
            <w:r w:rsidRPr="008E3C58">
              <w:rPr>
                <w:bCs w:val="0"/>
                <w:sz w:val="20"/>
                <w:szCs w:val="20"/>
              </w:rPr>
              <w:t>31.42%</w:t>
            </w:r>
          </w:p>
        </w:tc>
      </w:tr>
      <w:tr w:rsidR="00FC0880" w14:paraId="1E0C3627" w14:textId="77777777" w:rsidTr="00371BF8">
        <w:trPr>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780FE" w14:textId="77777777" w:rsidR="00FC0880" w:rsidRPr="008E3C58" w:rsidRDefault="00FC0880" w:rsidP="00371BF8">
            <w:pPr>
              <w:jc w:val="center"/>
              <w:rPr>
                <w:b/>
                <w:sz w:val="20"/>
                <w:szCs w:val="20"/>
              </w:rPr>
            </w:pPr>
            <w:r w:rsidRPr="008E3C58">
              <w:rPr>
                <w:b/>
                <w:sz w:val="20"/>
                <w:szCs w:val="20"/>
              </w:rPr>
              <w:t>TTC</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7EC6432" w14:textId="77777777" w:rsidR="00FC0880" w:rsidRPr="008E3C58" w:rsidRDefault="00FC0880" w:rsidP="00371BF8">
            <w:pPr>
              <w:jc w:val="center"/>
              <w:rPr>
                <w:bCs w:val="0"/>
                <w:sz w:val="20"/>
                <w:szCs w:val="20"/>
              </w:rPr>
            </w:pPr>
            <w:r w:rsidRPr="008E3C58">
              <w:rPr>
                <w:bCs w:val="0"/>
                <w:sz w:val="20"/>
                <w:szCs w:val="20"/>
              </w:rPr>
              <w:t>38.38%</w:t>
            </w:r>
          </w:p>
        </w:tc>
        <w:tc>
          <w:tcPr>
            <w:tcW w:w="1858" w:type="dxa"/>
            <w:tcBorders>
              <w:top w:val="nil"/>
              <w:left w:val="nil"/>
              <w:bottom w:val="single" w:sz="8" w:space="0" w:color="auto"/>
              <w:right w:val="single" w:sz="8" w:space="0" w:color="auto"/>
            </w:tcBorders>
            <w:tcMar>
              <w:top w:w="0" w:type="dxa"/>
              <w:left w:w="108" w:type="dxa"/>
              <w:bottom w:w="0" w:type="dxa"/>
              <w:right w:w="108" w:type="dxa"/>
            </w:tcMar>
          </w:tcPr>
          <w:p w14:paraId="32CC966D" w14:textId="77777777" w:rsidR="00FC0880" w:rsidRPr="008E3C58" w:rsidRDefault="00FC0880" w:rsidP="00371BF8">
            <w:pPr>
              <w:jc w:val="center"/>
              <w:rPr>
                <w:bCs w:val="0"/>
                <w:sz w:val="20"/>
                <w:szCs w:val="20"/>
              </w:rPr>
            </w:pPr>
            <w:r w:rsidRPr="008E3C58">
              <w:rPr>
                <w:bCs w:val="0"/>
                <w:sz w:val="20"/>
                <w:szCs w:val="20"/>
              </w:rPr>
              <w:t>32.14%</w:t>
            </w:r>
          </w:p>
        </w:tc>
      </w:tr>
      <w:tr w:rsidR="00FC0880" w14:paraId="6C4CE600" w14:textId="77777777" w:rsidTr="00A36AB4">
        <w:trPr>
          <w:trHeight w:val="403"/>
          <w:jc w:val="center"/>
        </w:trPr>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6254C" w14:textId="77777777" w:rsidR="00FC0880" w:rsidRPr="008E3C58" w:rsidRDefault="00FC0880" w:rsidP="00371BF8">
            <w:pPr>
              <w:jc w:val="center"/>
              <w:rPr>
                <w:b/>
                <w:sz w:val="20"/>
                <w:szCs w:val="20"/>
              </w:rPr>
            </w:pPr>
            <w:r w:rsidRPr="008E3C58">
              <w:rPr>
                <w:b/>
                <w:sz w:val="20"/>
                <w:szCs w:val="20"/>
              </w:rPr>
              <w:t>VAL</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651B81E" w14:textId="77777777" w:rsidR="00FC0880" w:rsidRPr="008E3C58" w:rsidRDefault="00FC0880" w:rsidP="00371BF8">
            <w:pPr>
              <w:jc w:val="center"/>
              <w:rPr>
                <w:bCs w:val="0"/>
                <w:sz w:val="20"/>
                <w:szCs w:val="20"/>
              </w:rPr>
            </w:pPr>
            <w:r w:rsidRPr="008E3C58">
              <w:rPr>
                <w:bCs w:val="0"/>
                <w:sz w:val="20"/>
                <w:szCs w:val="20"/>
              </w:rPr>
              <w:t>49.75%</w:t>
            </w:r>
          </w:p>
        </w:tc>
        <w:tc>
          <w:tcPr>
            <w:tcW w:w="1858" w:type="dxa"/>
            <w:tcBorders>
              <w:top w:val="nil"/>
              <w:left w:val="nil"/>
              <w:bottom w:val="single" w:sz="8" w:space="0" w:color="auto"/>
              <w:right w:val="single" w:sz="8" w:space="0" w:color="auto"/>
            </w:tcBorders>
            <w:tcMar>
              <w:top w:w="0" w:type="dxa"/>
              <w:left w:w="108" w:type="dxa"/>
              <w:bottom w:w="0" w:type="dxa"/>
              <w:right w:w="108" w:type="dxa"/>
            </w:tcMar>
          </w:tcPr>
          <w:p w14:paraId="581112C4" w14:textId="77777777" w:rsidR="00FC0880" w:rsidRPr="008E3C58" w:rsidRDefault="00FC0880" w:rsidP="00371BF8">
            <w:pPr>
              <w:jc w:val="center"/>
              <w:rPr>
                <w:bCs w:val="0"/>
                <w:sz w:val="20"/>
                <w:szCs w:val="20"/>
              </w:rPr>
            </w:pPr>
            <w:r w:rsidRPr="008E3C58">
              <w:rPr>
                <w:bCs w:val="0"/>
                <w:sz w:val="20"/>
                <w:szCs w:val="20"/>
              </w:rPr>
              <w:t>39.25%</w:t>
            </w:r>
          </w:p>
        </w:tc>
      </w:tr>
    </w:tbl>
    <w:p w14:paraId="04F27339" w14:textId="21C873CE" w:rsidR="000A1CB1" w:rsidRDefault="00A97DE3" w:rsidP="005A0EFF">
      <w:r>
        <w:t xml:space="preserve">The table above demonstrates the </w:t>
      </w:r>
      <w:r w:rsidR="00B53586">
        <w:t xml:space="preserve">decrease </w:t>
      </w:r>
      <w:r w:rsidR="006A2B5A">
        <w:t xml:space="preserve">in assessment rates. The State is working with providers to set a schedule to progress assess on a regular basis, rather than </w:t>
      </w:r>
      <w:r w:rsidR="00953DC4">
        <w:t>conduct</w:t>
      </w:r>
      <w:r w:rsidR="005C5D8D">
        <w:t>ing</w:t>
      </w:r>
      <w:r w:rsidR="00953DC4">
        <w:t xml:space="preserve"> the bulk of assessments in the fourth quarter, a practice that resulted in significantly lower </w:t>
      </w:r>
      <w:r w:rsidR="008A102E">
        <w:t xml:space="preserve">progress assessment rates when in-person services were not possible between March and June. </w:t>
      </w:r>
    </w:p>
    <w:p w14:paraId="7B5F1AB6" w14:textId="3BB8345A" w:rsidR="005A0EFF" w:rsidRDefault="00E45F8E" w:rsidP="00AD4978">
      <w:r>
        <w:t>Vermont does</w:t>
      </w:r>
      <w:r w:rsidR="00522C20">
        <w:t xml:space="preserve"> not have a mechanism in </w:t>
      </w:r>
      <w:r>
        <w:t>the AEL</w:t>
      </w:r>
      <w:r w:rsidR="00522C20">
        <w:t xml:space="preserve"> database to allow </w:t>
      </w:r>
      <w:r w:rsidR="007F6011">
        <w:t xml:space="preserve">EFLs to be established without assessment scores. Alternatively, we encouraged providers to use the TABE Locator to </w:t>
      </w:r>
      <w:r w:rsidR="005E6BF8">
        <w:t>assist with the design of curriculum and services</w:t>
      </w:r>
      <w:r>
        <w:t xml:space="preserve"> </w:t>
      </w:r>
      <w:r w:rsidR="004C07BF">
        <w:t xml:space="preserve">until students could be assessed in-person or through virtual </w:t>
      </w:r>
      <w:r w:rsidR="00F456DB">
        <w:t xml:space="preserve">test </w:t>
      </w:r>
      <w:r w:rsidR="004C07BF">
        <w:t>proctoring.</w:t>
      </w:r>
      <w:r w:rsidR="005962F2">
        <w:t xml:space="preserve"> </w:t>
      </w:r>
    </w:p>
    <w:p w14:paraId="5EB5280E" w14:textId="7D0CEB38" w:rsidR="00B66234" w:rsidRPr="00A36AB4" w:rsidRDefault="00FD7E73" w:rsidP="00343E9B">
      <w:pPr>
        <w:pStyle w:val="Heading2"/>
      </w:pPr>
      <w:r w:rsidRPr="00A36AB4">
        <w:t>3.  Integration with One-Stop Partners</w:t>
      </w:r>
    </w:p>
    <w:p w14:paraId="58B25C00" w14:textId="42A2909F" w:rsidR="000417A4" w:rsidRDefault="00785924" w:rsidP="000417A4">
      <w:pPr>
        <w:shd w:val="clear" w:color="auto" w:fill="FFFFFF" w:themeFill="background1"/>
      </w:pPr>
      <w:r>
        <w:t xml:space="preserve">Vermont has </w:t>
      </w:r>
      <w:r w:rsidR="00763CBE">
        <w:t xml:space="preserve">a single </w:t>
      </w:r>
      <w:proofErr w:type="gramStart"/>
      <w:r w:rsidR="00763CBE">
        <w:t>federally-recognized</w:t>
      </w:r>
      <w:proofErr w:type="gramEnd"/>
      <w:r w:rsidR="00763CBE">
        <w:t xml:space="preserve"> one-stop center located in Burlington, the state’s </w:t>
      </w:r>
      <w:r w:rsidR="00B322E9">
        <w:t>largest city</w:t>
      </w:r>
      <w:r w:rsidR="00763CBE">
        <w:t xml:space="preserve">. </w:t>
      </w:r>
      <w:r w:rsidR="001D47E5">
        <w:t>However, t</w:t>
      </w:r>
      <w:r w:rsidR="00763CBE">
        <w:t xml:space="preserve">he one-stop agreement specifies that </w:t>
      </w:r>
      <w:r w:rsidR="00B322E9">
        <w:t xml:space="preserve">the activities of the one-stop are to be </w:t>
      </w:r>
      <w:r w:rsidR="00F22A52">
        <w:t xml:space="preserve">developed and provided in each region of the state with an American Job Center. </w:t>
      </w:r>
      <w:r w:rsidR="000417A4">
        <w:t xml:space="preserve">At the local level, AEL providers </w:t>
      </w:r>
      <w:r w:rsidR="005003F2">
        <w:t xml:space="preserve">are required to </w:t>
      </w:r>
      <w:r w:rsidR="000417A4">
        <w:t xml:space="preserve">engage local </w:t>
      </w:r>
      <w:r w:rsidR="002E50D6">
        <w:t xml:space="preserve">one-stop </w:t>
      </w:r>
      <w:r w:rsidR="000417A4">
        <w:t xml:space="preserve">partners through active </w:t>
      </w:r>
      <w:r w:rsidR="008450BE">
        <w:t>cross-</w:t>
      </w:r>
      <w:r w:rsidR="000417A4">
        <w:t>referrals, cross-training, and participation in joint orientations for customers and students.</w:t>
      </w:r>
      <w:r w:rsidR="00AF18F2">
        <w:t xml:space="preserve"> </w:t>
      </w:r>
      <w:r w:rsidR="00BB6C20">
        <w:t xml:space="preserve">Providers are </w:t>
      </w:r>
      <w:r w:rsidR="003B2ADC">
        <w:t>r</w:t>
      </w:r>
      <w:r w:rsidR="00BB6C20">
        <w:t xml:space="preserve">equired to </w:t>
      </w:r>
      <w:r w:rsidR="003B2ADC">
        <w:t xml:space="preserve">track career services provided </w:t>
      </w:r>
      <w:r w:rsidR="000A2541">
        <w:t xml:space="preserve">under AEFLA </w:t>
      </w:r>
      <w:r w:rsidR="003B2ADC">
        <w:t xml:space="preserve">to each student in the AEL </w:t>
      </w:r>
      <w:r w:rsidR="003B2ADC" w:rsidRPr="00662DCA">
        <w:t>database</w:t>
      </w:r>
      <w:r w:rsidR="000A2541">
        <w:t xml:space="preserve">, as below. </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22"/>
        <w:gridCol w:w="4628"/>
      </w:tblGrid>
      <w:tr w:rsidR="00DF6D43" w:rsidRPr="002A293A" w14:paraId="5F9567FC" w14:textId="745913FE" w:rsidTr="00F808B9">
        <w:trPr>
          <w:tblCellSpacing w:w="7" w:type="dxa"/>
          <w:jc w:val="center"/>
        </w:trPr>
        <w:tc>
          <w:tcPr>
            <w:tcW w:w="42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CCDD72" w14:textId="77777777" w:rsidR="00DF6D43" w:rsidRPr="002A293A" w:rsidRDefault="00DF6D43" w:rsidP="002A293A">
            <w:pPr>
              <w:spacing w:before="0" w:after="0" w:line="240" w:lineRule="auto"/>
              <w:jc w:val="center"/>
              <w:rPr>
                <w:rFonts w:cs="Lucida Sans"/>
                <w:b/>
                <w:color w:val="000000"/>
                <w:sz w:val="20"/>
                <w:szCs w:val="20"/>
              </w:rPr>
            </w:pPr>
            <w:r w:rsidRPr="002A293A">
              <w:rPr>
                <w:rFonts w:cs="Lucida Sans"/>
                <w:b/>
                <w:color w:val="000000"/>
                <w:sz w:val="20"/>
                <w:szCs w:val="20"/>
              </w:rPr>
              <w:t>Career Service</w:t>
            </w:r>
          </w:p>
        </w:tc>
        <w:tc>
          <w:tcPr>
            <w:tcW w:w="4607" w:type="dxa"/>
            <w:tcBorders>
              <w:top w:val="outset" w:sz="6" w:space="0" w:color="auto"/>
              <w:left w:val="outset" w:sz="6" w:space="0" w:color="auto"/>
              <w:bottom w:val="outset" w:sz="6" w:space="0" w:color="auto"/>
              <w:right w:val="outset" w:sz="6" w:space="0" w:color="auto"/>
            </w:tcBorders>
            <w:shd w:val="clear" w:color="auto" w:fill="FFFFFF"/>
          </w:tcPr>
          <w:p w14:paraId="1860EC8A" w14:textId="2A12727D" w:rsidR="00DF6D43" w:rsidRPr="002A293A" w:rsidRDefault="00DF6D43" w:rsidP="002A293A">
            <w:pPr>
              <w:spacing w:before="0" w:after="0" w:line="240" w:lineRule="auto"/>
              <w:jc w:val="center"/>
              <w:rPr>
                <w:rFonts w:cs="Lucida Sans"/>
                <w:b/>
                <w:color w:val="000000"/>
                <w:sz w:val="20"/>
                <w:szCs w:val="20"/>
              </w:rPr>
            </w:pPr>
            <w:r>
              <w:rPr>
                <w:rFonts w:cs="Lucida Sans"/>
                <w:b/>
                <w:color w:val="000000"/>
                <w:sz w:val="20"/>
                <w:szCs w:val="20"/>
              </w:rPr>
              <w:t>Method</w:t>
            </w:r>
            <w:r w:rsidR="00F808B9">
              <w:rPr>
                <w:rFonts w:cs="Lucida Sans"/>
                <w:b/>
                <w:color w:val="000000"/>
                <w:sz w:val="20"/>
                <w:szCs w:val="20"/>
              </w:rPr>
              <w:t>s</w:t>
            </w:r>
            <w:r w:rsidR="00614019">
              <w:rPr>
                <w:rFonts w:cs="Lucida Sans"/>
                <w:b/>
                <w:color w:val="000000"/>
                <w:sz w:val="20"/>
                <w:szCs w:val="20"/>
              </w:rPr>
              <w:t>/practices</w:t>
            </w:r>
            <w:r>
              <w:rPr>
                <w:rFonts w:cs="Lucida Sans"/>
                <w:b/>
                <w:color w:val="000000"/>
                <w:sz w:val="20"/>
                <w:szCs w:val="20"/>
              </w:rPr>
              <w:t xml:space="preserve"> of provision</w:t>
            </w:r>
          </w:p>
        </w:tc>
      </w:tr>
      <w:tr w:rsidR="00DF6D43" w:rsidRPr="00175297" w14:paraId="0B9FF6C0" w14:textId="4FB80D45" w:rsidTr="00F808B9">
        <w:trPr>
          <w:tblCellSpacing w:w="7" w:type="dxa"/>
          <w:jc w:val="center"/>
        </w:trPr>
        <w:tc>
          <w:tcPr>
            <w:tcW w:w="42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3217E" w14:textId="4E058846" w:rsidR="00DF6D43" w:rsidRPr="002A293A" w:rsidRDefault="00DF6D43" w:rsidP="002A293A">
            <w:pPr>
              <w:spacing w:before="0" w:after="0" w:line="240" w:lineRule="auto"/>
              <w:jc w:val="center"/>
              <w:rPr>
                <w:rFonts w:cs="Lucida Sans"/>
                <w:bCs w:val="0"/>
                <w:color w:val="000000"/>
                <w:sz w:val="20"/>
                <w:szCs w:val="20"/>
              </w:rPr>
            </w:pPr>
            <w:r w:rsidRPr="002A293A">
              <w:rPr>
                <w:rFonts w:cs="Lucida Sans"/>
                <w:bCs w:val="0"/>
                <w:color w:val="000000"/>
                <w:sz w:val="20"/>
                <w:szCs w:val="20"/>
              </w:rPr>
              <w:t>Outreach, intake, and system orientation</w:t>
            </w:r>
          </w:p>
        </w:tc>
        <w:tc>
          <w:tcPr>
            <w:tcW w:w="4607" w:type="dxa"/>
            <w:tcBorders>
              <w:top w:val="outset" w:sz="6" w:space="0" w:color="auto"/>
              <w:left w:val="outset" w:sz="6" w:space="0" w:color="auto"/>
              <w:bottom w:val="outset" w:sz="6" w:space="0" w:color="auto"/>
              <w:right w:val="outset" w:sz="6" w:space="0" w:color="auto"/>
            </w:tcBorders>
            <w:shd w:val="clear" w:color="auto" w:fill="FFFFFF"/>
          </w:tcPr>
          <w:p w14:paraId="62E1EBA1" w14:textId="40C9B44E" w:rsidR="00DF6D43" w:rsidRPr="002A293A" w:rsidRDefault="00194210" w:rsidP="002A293A">
            <w:pPr>
              <w:spacing w:before="0" w:after="0" w:line="240" w:lineRule="auto"/>
              <w:jc w:val="center"/>
              <w:rPr>
                <w:rFonts w:cs="Lucida Sans"/>
                <w:bCs w:val="0"/>
                <w:color w:val="000000"/>
                <w:sz w:val="20"/>
                <w:szCs w:val="20"/>
              </w:rPr>
            </w:pPr>
            <w:r>
              <w:rPr>
                <w:rFonts w:cs="Lucida Sans"/>
                <w:bCs w:val="0"/>
                <w:color w:val="000000"/>
                <w:sz w:val="20"/>
                <w:szCs w:val="20"/>
              </w:rPr>
              <w:t>Outreach:</w:t>
            </w:r>
            <w:r w:rsidR="00E15C55">
              <w:rPr>
                <w:rFonts w:cs="Lucida Sans"/>
                <w:bCs w:val="0"/>
                <w:color w:val="000000"/>
                <w:sz w:val="20"/>
                <w:szCs w:val="20"/>
              </w:rPr>
              <w:t xml:space="preserve"> Cross-training with </w:t>
            </w:r>
            <w:r w:rsidR="00140006">
              <w:rPr>
                <w:rFonts w:cs="Lucida Sans"/>
                <w:bCs w:val="0"/>
                <w:color w:val="000000"/>
                <w:sz w:val="20"/>
                <w:szCs w:val="20"/>
              </w:rPr>
              <w:t>one-stop partners regionally to ensure that partner</w:t>
            </w:r>
            <w:r w:rsidR="003038F8">
              <w:rPr>
                <w:rFonts w:cs="Lucida Sans"/>
                <w:bCs w:val="0"/>
                <w:color w:val="000000"/>
                <w:sz w:val="20"/>
                <w:szCs w:val="20"/>
              </w:rPr>
              <w:t xml:space="preserve">s refer eligible </w:t>
            </w:r>
            <w:r w:rsidR="009E11F5">
              <w:rPr>
                <w:rFonts w:cs="Lucida Sans"/>
                <w:bCs w:val="0"/>
                <w:color w:val="000000"/>
                <w:sz w:val="20"/>
                <w:szCs w:val="20"/>
              </w:rPr>
              <w:t>individuals to AEL</w:t>
            </w:r>
            <w:r w:rsidR="00C75D95">
              <w:rPr>
                <w:rFonts w:cs="Lucida Sans"/>
                <w:bCs w:val="0"/>
                <w:color w:val="000000"/>
                <w:sz w:val="20"/>
                <w:szCs w:val="20"/>
              </w:rPr>
              <w:t>; Intake</w:t>
            </w:r>
            <w:r w:rsidR="00BC687D">
              <w:rPr>
                <w:rFonts w:cs="Lucida Sans"/>
                <w:bCs w:val="0"/>
                <w:color w:val="000000"/>
                <w:sz w:val="20"/>
                <w:szCs w:val="20"/>
              </w:rPr>
              <w:t xml:space="preserve"> and system orientation: as part of the intake and orientation process, students are introduced to AEL and other one-stop partner services</w:t>
            </w:r>
            <w:r w:rsidR="005856C5">
              <w:rPr>
                <w:rFonts w:cs="Lucida Sans"/>
                <w:bCs w:val="0"/>
                <w:color w:val="000000"/>
                <w:sz w:val="20"/>
                <w:szCs w:val="20"/>
              </w:rPr>
              <w:t>.</w:t>
            </w:r>
          </w:p>
        </w:tc>
      </w:tr>
      <w:tr w:rsidR="00DF6D43" w:rsidRPr="00175297" w14:paraId="78D3C098" w14:textId="080F7EAC" w:rsidTr="00F808B9">
        <w:trPr>
          <w:tblCellSpacing w:w="7" w:type="dxa"/>
          <w:jc w:val="center"/>
        </w:trPr>
        <w:tc>
          <w:tcPr>
            <w:tcW w:w="42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E9578A" w14:textId="66802DAD" w:rsidR="00DF6D43" w:rsidRPr="002A293A" w:rsidRDefault="00DF6D43" w:rsidP="002A293A">
            <w:pPr>
              <w:spacing w:before="0" w:after="0" w:line="240" w:lineRule="auto"/>
              <w:jc w:val="center"/>
              <w:rPr>
                <w:rFonts w:cs="Lucida Sans"/>
                <w:bCs w:val="0"/>
                <w:color w:val="000000"/>
                <w:sz w:val="20"/>
                <w:szCs w:val="20"/>
              </w:rPr>
            </w:pPr>
            <w:r w:rsidRPr="002A293A">
              <w:rPr>
                <w:rFonts w:cs="Lucida Sans"/>
                <w:bCs w:val="0"/>
                <w:color w:val="000000"/>
                <w:sz w:val="20"/>
                <w:szCs w:val="20"/>
              </w:rPr>
              <w:t>Initial assessment of skill levels</w:t>
            </w:r>
          </w:p>
        </w:tc>
        <w:tc>
          <w:tcPr>
            <w:tcW w:w="4607" w:type="dxa"/>
            <w:tcBorders>
              <w:top w:val="outset" w:sz="6" w:space="0" w:color="auto"/>
              <w:left w:val="outset" w:sz="6" w:space="0" w:color="auto"/>
              <w:bottom w:val="outset" w:sz="6" w:space="0" w:color="auto"/>
              <w:right w:val="outset" w:sz="6" w:space="0" w:color="auto"/>
            </w:tcBorders>
            <w:shd w:val="clear" w:color="auto" w:fill="FFFFFF"/>
          </w:tcPr>
          <w:p w14:paraId="557B44AE" w14:textId="6076665B" w:rsidR="00DF6D43" w:rsidRPr="002A293A" w:rsidRDefault="005856C5" w:rsidP="002A293A">
            <w:pPr>
              <w:spacing w:before="0" w:after="0" w:line="240" w:lineRule="auto"/>
              <w:jc w:val="center"/>
              <w:rPr>
                <w:rFonts w:cs="Lucida Sans"/>
                <w:bCs w:val="0"/>
                <w:color w:val="000000"/>
                <w:sz w:val="20"/>
                <w:szCs w:val="20"/>
              </w:rPr>
            </w:pPr>
            <w:r>
              <w:rPr>
                <w:rFonts w:cs="Lucida Sans"/>
                <w:bCs w:val="0"/>
                <w:color w:val="000000"/>
                <w:sz w:val="20"/>
                <w:szCs w:val="20"/>
              </w:rPr>
              <w:t xml:space="preserve">Skill level assessments using the TABE 11/12, CASAS </w:t>
            </w:r>
            <w:r w:rsidR="00C06DB4">
              <w:rPr>
                <w:rFonts w:cs="Lucida Sans"/>
                <w:bCs w:val="0"/>
                <w:color w:val="000000"/>
                <w:sz w:val="20"/>
                <w:szCs w:val="20"/>
              </w:rPr>
              <w:t>Life Skills, BEST Plus 2.0 and the TABE CLAS-E.</w:t>
            </w:r>
            <w:r w:rsidR="00680BF2">
              <w:rPr>
                <w:rFonts w:cs="Lucida Sans"/>
                <w:bCs w:val="0"/>
                <w:color w:val="000000"/>
                <w:sz w:val="20"/>
                <w:szCs w:val="20"/>
              </w:rPr>
              <w:t xml:space="preserve"> Assessments are provided to AEL students </w:t>
            </w:r>
            <w:proofErr w:type="gramStart"/>
            <w:r w:rsidR="00680BF2">
              <w:rPr>
                <w:rFonts w:cs="Lucida Sans"/>
                <w:bCs w:val="0"/>
                <w:color w:val="000000"/>
                <w:sz w:val="20"/>
                <w:szCs w:val="20"/>
              </w:rPr>
              <w:t xml:space="preserve">and </w:t>
            </w:r>
            <w:r w:rsidR="00C93247">
              <w:rPr>
                <w:rFonts w:cs="Lucida Sans"/>
                <w:bCs w:val="0"/>
                <w:color w:val="000000"/>
                <w:sz w:val="20"/>
                <w:szCs w:val="20"/>
              </w:rPr>
              <w:t>also</w:t>
            </w:r>
            <w:proofErr w:type="gramEnd"/>
            <w:r w:rsidR="00C93247">
              <w:rPr>
                <w:rFonts w:cs="Lucida Sans"/>
                <w:bCs w:val="0"/>
                <w:color w:val="000000"/>
                <w:sz w:val="20"/>
                <w:szCs w:val="20"/>
              </w:rPr>
              <w:t xml:space="preserve"> occasionally </w:t>
            </w:r>
            <w:r w:rsidR="00680BF2">
              <w:rPr>
                <w:rFonts w:cs="Lucida Sans"/>
                <w:bCs w:val="0"/>
                <w:color w:val="000000"/>
                <w:sz w:val="20"/>
                <w:szCs w:val="20"/>
              </w:rPr>
              <w:t>as a service for WIOA partners</w:t>
            </w:r>
            <w:r w:rsidR="00C93247">
              <w:rPr>
                <w:rFonts w:cs="Lucida Sans"/>
                <w:bCs w:val="0"/>
                <w:color w:val="000000"/>
                <w:sz w:val="20"/>
                <w:szCs w:val="20"/>
              </w:rPr>
              <w:t>’ customers.</w:t>
            </w:r>
          </w:p>
        </w:tc>
      </w:tr>
      <w:tr w:rsidR="00DF6D43" w:rsidRPr="00175297" w14:paraId="4259942D" w14:textId="3FA4E4BE" w:rsidTr="00F808B9">
        <w:trPr>
          <w:tblCellSpacing w:w="7" w:type="dxa"/>
          <w:jc w:val="center"/>
        </w:trPr>
        <w:tc>
          <w:tcPr>
            <w:tcW w:w="42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6D87F6" w14:textId="5295A077" w:rsidR="00DF6D43" w:rsidRPr="002A293A" w:rsidRDefault="00DF6D43" w:rsidP="002A293A">
            <w:pPr>
              <w:spacing w:before="0" w:after="0" w:line="240" w:lineRule="auto"/>
              <w:jc w:val="center"/>
              <w:rPr>
                <w:rFonts w:cs="Lucida Sans"/>
                <w:bCs w:val="0"/>
                <w:color w:val="000000"/>
                <w:sz w:val="20"/>
                <w:szCs w:val="20"/>
              </w:rPr>
            </w:pPr>
            <w:r w:rsidRPr="002A293A">
              <w:rPr>
                <w:rFonts w:cs="Lucida Sans"/>
                <w:bCs w:val="0"/>
                <w:color w:val="000000"/>
                <w:sz w:val="20"/>
                <w:szCs w:val="20"/>
              </w:rPr>
              <w:t>Referrals and coordination</w:t>
            </w:r>
          </w:p>
        </w:tc>
        <w:tc>
          <w:tcPr>
            <w:tcW w:w="4607" w:type="dxa"/>
            <w:tcBorders>
              <w:top w:val="outset" w:sz="6" w:space="0" w:color="auto"/>
              <w:left w:val="outset" w:sz="6" w:space="0" w:color="auto"/>
              <w:bottom w:val="outset" w:sz="6" w:space="0" w:color="auto"/>
              <w:right w:val="outset" w:sz="6" w:space="0" w:color="auto"/>
            </w:tcBorders>
            <w:shd w:val="clear" w:color="auto" w:fill="FFFFFF"/>
          </w:tcPr>
          <w:p w14:paraId="33E81B66" w14:textId="19F1BC25" w:rsidR="00DF6D43" w:rsidRPr="002A293A" w:rsidRDefault="00A450E3" w:rsidP="002A293A">
            <w:pPr>
              <w:spacing w:before="0" w:after="0" w:line="240" w:lineRule="auto"/>
              <w:jc w:val="center"/>
              <w:rPr>
                <w:rFonts w:cs="Lucida Sans"/>
                <w:bCs w:val="0"/>
                <w:color w:val="000000"/>
                <w:sz w:val="20"/>
                <w:szCs w:val="20"/>
              </w:rPr>
            </w:pPr>
            <w:r>
              <w:rPr>
                <w:rFonts w:cs="Lucida Sans"/>
                <w:bCs w:val="0"/>
                <w:color w:val="000000"/>
                <w:sz w:val="20"/>
                <w:szCs w:val="20"/>
              </w:rPr>
              <w:t>R</w:t>
            </w:r>
            <w:r w:rsidR="00C93247">
              <w:rPr>
                <w:rFonts w:cs="Lucida Sans"/>
                <w:bCs w:val="0"/>
                <w:color w:val="000000"/>
                <w:sz w:val="20"/>
                <w:szCs w:val="20"/>
              </w:rPr>
              <w:t>eferrals from and to one-stop partners either in-person or virtually</w:t>
            </w:r>
            <w:r w:rsidR="00DE2AD4">
              <w:rPr>
                <w:rFonts w:cs="Lucida Sans"/>
                <w:bCs w:val="0"/>
                <w:color w:val="000000"/>
                <w:sz w:val="20"/>
                <w:szCs w:val="20"/>
              </w:rPr>
              <w:t xml:space="preserve"> in real time</w:t>
            </w:r>
            <w:r w:rsidR="00E15C55">
              <w:rPr>
                <w:rFonts w:cs="Lucida Sans"/>
                <w:bCs w:val="0"/>
                <w:color w:val="000000"/>
                <w:sz w:val="20"/>
                <w:szCs w:val="20"/>
              </w:rPr>
              <w:t>.</w:t>
            </w:r>
            <w:r w:rsidR="00226874">
              <w:rPr>
                <w:rFonts w:cs="Lucida Sans"/>
                <w:bCs w:val="0"/>
                <w:color w:val="000000"/>
                <w:sz w:val="20"/>
                <w:szCs w:val="20"/>
              </w:rPr>
              <w:t xml:space="preserve"> Technology support is offered t</w:t>
            </w:r>
            <w:r w:rsidR="008B7607">
              <w:rPr>
                <w:rFonts w:cs="Lucida Sans"/>
                <w:bCs w:val="0"/>
                <w:color w:val="000000"/>
                <w:sz w:val="20"/>
                <w:szCs w:val="20"/>
              </w:rPr>
              <w:t>o students in order to ensure access to partners’ remote services.</w:t>
            </w:r>
          </w:p>
        </w:tc>
      </w:tr>
      <w:tr w:rsidR="00DF6D43" w:rsidRPr="00175297" w14:paraId="6831772C" w14:textId="371E172C" w:rsidTr="00F808B9">
        <w:trPr>
          <w:tblCellSpacing w:w="7" w:type="dxa"/>
          <w:jc w:val="center"/>
        </w:trPr>
        <w:tc>
          <w:tcPr>
            <w:tcW w:w="42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B103AA" w14:textId="2643782C" w:rsidR="00DF6D43" w:rsidRPr="002A293A" w:rsidRDefault="00DF6D43" w:rsidP="002A293A">
            <w:pPr>
              <w:spacing w:before="0" w:after="0" w:line="240" w:lineRule="auto"/>
              <w:jc w:val="center"/>
              <w:rPr>
                <w:rFonts w:cs="Lucida Sans"/>
                <w:bCs w:val="0"/>
                <w:color w:val="000000"/>
                <w:sz w:val="20"/>
                <w:szCs w:val="20"/>
              </w:rPr>
            </w:pPr>
            <w:r w:rsidRPr="002A293A">
              <w:rPr>
                <w:rFonts w:cs="Lucida Sans"/>
                <w:bCs w:val="0"/>
                <w:color w:val="000000"/>
                <w:sz w:val="20"/>
                <w:szCs w:val="20"/>
              </w:rPr>
              <w:t>Provision of performance information and program cost</w:t>
            </w:r>
          </w:p>
        </w:tc>
        <w:tc>
          <w:tcPr>
            <w:tcW w:w="4607" w:type="dxa"/>
            <w:tcBorders>
              <w:top w:val="outset" w:sz="6" w:space="0" w:color="auto"/>
              <w:left w:val="outset" w:sz="6" w:space="0" w:color="auto"/>
              <w:bottom w:val="outset" w:sz="6" w:space="0" w:color="auto"/>
              <w:right w:val="outset" w:sz="6" w:space="0" w:color="auto"/>
            </w:tcBorders>
            <w:shd w:val="clear" w:color="auto" w:fill="FFFFFF"/>
          </w:tcPr>
          <w:p w14:paraId="186BC03D" w14:textId="004599DA" w:rsidR="00DF6D43" w:rsidRPr="002A293A" w:rsidRDefault="009E11F5" w:rsidP="002A293A">
            <w:pPr>
              <w:spacing w:before="0" w:after="0" w:line="240" w:lineRule="auto"/>
              <w:jc w:val="center"/>
              <w:rPr>
                <w:rFonts w:cs="Lucida Sans"/>
                <w:bCs w:val="0"/>
                <w:color w:val="000000"/>
                <w:sz w:val="20"/>
                <w:szCs w:val="20"/>
              </w:rPr>
            </w:pPr>
            <w:r>
              <w:rPr>
                <w:rFonts w:cs="Lucida Sans"/>
                <w:bCs w:val="0"/>
                <w:color w:val="000000"/>
                <w:sz w:val="20"/>
                <w:szCs w:val="20"/>
              </w:rPr>
              <w:t xml:space="preserve">Using the Vermont Department of Labor’s </w:t>
            </w:r>
            <w:r w:rsidR="00233B11">
              <w:rPr>
                <w:rFonts w:cs="Lucida Sans"/>
                <w:bCs w:val="0"/>
                <w:color w:val="000000"/>
                <w:sz w:val="20"/>
                <w:szCs w:val="20"/>
              </w:rPr>
              <w:t xml:space="preserve">WIOA </w:t>
            </w:r>
            <w:r>
              <w:rPr>
                <w:rFonts w:cs="Lucida Sans"/>
                <w:bCs w:val="0"/>
                <w:color w:val="000000"/>
                <w:sz w:val="20"/>
                <w:szCs w:val="20"/>
              </w:rPr>
              <w:t xml:space="preserve">Eligible Training Provider List, </w:t>
            </w:r>
            <w:r w:rsidR="007B5409">
              <w:rPr>
                <w:rFonts w:cs="Lucida Sans"/>
                <w:bCs w:val="0"/>
                <w:color w:val="000000"/>
                <w:sz w:val="20"/>
                <w:szCs w:val="20"/>
              </w:rPr>
              <w:t xml:space="preserve">AEL staff reviews </w:t>
            </w:r>
            <w:r w:rsidR="001F53D8">
              <w:rPr>
                <w:rFonts w:cs="Lucida Sans"/>
                <w:bCs w:val="0"/>
                <w:color w:val="000000"/>
                <w:sz w:val="20"/>
                <w:szCs w:val="20"/>
              </w:rPr>
              <w:t xml:space="preserve">workforce training opportunities that includes </w:t>
            </w:r>
            <w:r w:rsidR="001F53D8">
              <w:rPr>
                <w:rFonts w:cs="Lucida Sans"/>
                <w:bCs w:val="0"/>
                <w:color w:val="000000"/>
                <w:sz w:val="20"/>
                <w:szCs w:val="20"/>
              </w:rPr>
              <w:lastRenderedPageBreak/>
              <w:t>cost</w:t>
            </w:r>
            <w:r w:rsidR="00BE04DF">
              <w:rPr>
                <w:rFonts w:cs="Lucida Sans"/>
                <w:bCs w:val="0"/>
                <w:color w:val="000000"/>
                <w:sz w:val="20"/>
                <w:szCs w:val="20"/>
              </w:rPr>
              <w:t>, length of training, and other information. Based on student interests and goals.</w:t>
            </w:r>
          </w:p>
        </w:tc>
      </w:tr>
      <w:tr w:rsidR="00DF6D43" w:rsidRPr="00175297" w14:paraId="00B65CC6" w14:textId="17D47401" w:rsidTr="00F808B9">
        <w:trPr>
          <w:tblCellSpacing w:w="7" w:type="dxa"/>
          <w:jc w:val="center"/>
        </w:trPr>
        <w:tc>
          <w:tcPr>
            <w:tcW w:w="42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42F25" w14:textId="62FF020B" w:rsidR="00DF6D43" w:rsidRPr="002A293A" w:rsidRDefault="00DF6D43" w:rsidP="002A293A">
            <w:pPr>
              <w:spacing w:before="0" w:after="0" w:line="240" w:lineRule="auto"/>
              <w:jc w:val="center"/>
              <w:rPr>
                <w:rFonts w:cs="Lucida Sans"/>
                <w:bCs w:val="0"/>
                <w:color w:val="000000"/>
                <w:sz w:val="20"/>
                <w:szCs w:val="20"/>
              </w:rPr>
            </w:pPr>
            <w:r w:rsidRPr="002A293A">
              <w:rPr>
                <w:rFonts w:cs="Lucida Sans"/>
                <w:bCs w:val="0"/>
                <w:color w:val="000000"/>
                <w:sz w:val="20"/>
                <w:szCs w:val="20"/>
              </w:rPr>
              <w:lastRenderedPageBreak/>
              <w:t>Information on and referrals to supportive services</w:t>
            </w:r>
          </w:p>
        </w:tc>
        <w:tc>
          <w:tcPr>
            <w:tcW w:w="4607" w:type="dxa"/>
            <w:tcBorders>
              <w:top w:val="outset" w:sz="6" w:space="0" w:color="auto"/>
              <w:left w:val="outset" w:sz="6" w:space="0" w:color="auto"/>
              <w:bottom w:val="outset" w:sz="6" w:space="0" w:color="auto"/>
              <w:right w:val="outset" w:sz="6" w:space="0" w:color="auto"/>
            </w:tcBorders>
            <w:shd w:val="clear" w:color="auto" w:fill="FFFFFF"/>
          </w:tcPr>
          <w:p w14:paraId="4C731212" w14:textId="22537448" w:rsidR="00DF6D43" w:rsidRPr="002A293A" w:rsidRDefault="00687BB2" w:rsidP="002A293A">
            <w:pPr>
              <w:spacing w:before="0" w:after="0" w:line="240" w:lineRule="auto"/>
              <w:jc w:val="center"/>
              <w:rPr>
                <w:rFonts w:cs="Lucida Sans"/>
                <w:bCs w:val="0"/>
                <w:color w:val="000000"/>
                <w:sz w:val="20"/>
                <w:szCs w:val="20"/>
              </w:rPr>
            </w:pPr>
            <w:r>
              <w:rPr>
                <w:rFonts w:cs="Lucida Sans"/>
                <w:bCs w:val="0"/>
                <w:color w:val="000000"/>
                <w:sz w:val="20"/>
                <w:szCs w:val="20"/>
              </w:rPr>
              <w:t xml:space="preserve">AEL provider staff assesses student needs during intake and orientation and makes appropriate referrals to </w:t>
            </w:r>
            <w:r w:rsidR="00936991">
              <w:rPr>
                <w:rFonts w:cs="Lucida Sans"/>
                <w:bCs w:val="0"/>
                <w:color w:val="000000"/>
                <w:sz w:val="20"/>
                <w:szCs w:val="20"/>
              </w:rPr>
              <w:t xml:space="preserve">services that will support the student and increase the likelihood of </w:t>
            </w:r>
            <w:r w:rsidR="007E39D5">
              <w:rPr>
                <w:rFonts w:cs="Lucida Sans"/>
                <w:bCs w:val="0"/>
                <w:color w:val="000000"/>
                <w:sz w:val="20"/>
                <w:szCs w:val="20"/>
              </w:rPr>
              <w:t>engagement</w:t>
            </w:r>
            <w:r w:rsidR="00936991">
              <w:rPr>
                <w:rFonts w:cs="Lucida Sans"/>
                <w:bCs w:val="0"/>
                <w:color w:val="000000"/>
                <w:sz w:val="20"/>
                <w:szCs w:val="20"/>
              </w:rPr>
              <w:t xml:space="preserve"> in their education</w:t>
            </w:r>
            <w:r w:rsidR="007E39D5">
              <w:rPr>
                <w:rFonts w:cs="Lucida Sans"/>
                <w:bCs w:val="0"/>
                <w:color w:val="000000"/>
                <w:sz w:val="20"/>
                <w:szCs w:val="20"/>
              </w:rPr>
              <w:t>al activities.</w:t>
            </w:r>
            <w:r w:rsidR="00D20C01">
              <w:rPr>
                <w:rFonts w:cs="Lucida Sans"/>
                <w:bCs w:val="0"/>
                <w:color w:val="000000"/>
                <w:sz w:val="20"/>
                <w:szCs w:val="20"/>
              </w:rPr>
              <w:t xml:space="preserve"> </w:t>
            </w:r>
          </w:p>
        </w:tc>
      </w:tr>
    </w:tbl>
    <w:p w14:paraId="1547920E" w14:textId="4C51BB4A" w:rsidR="0024234C" w:rsidRDefault="00886D0B" w:rsidP="000417A4">
      <w:pPr>
        <w:shd w:val="clear" w:color="auto" w:fill="FFFFFF" w:themeFill="background1"/>
      </w:pPr>
      <w:r>
        <w:t xml:space="preserve">Career services and other one-stop services and collaborations are included as part of the AEL grant agreement requirements. </w:t>
      </w:r>
      <w:r w:rsidR="00EC4CE8">
        <w:t xml:space="preserve">The State continues to collaborate with </w:t>
      </w:r>
      <w:r w:rsidR="001E2FD2">
        <w:t>central core partner leadership while the local providers work directly with regional one</w:t>
      </w:r>
      <w:r w:rsidR="00FE1981">
        <w:t xml:space="preserve">-stop partners. </w:t>
      </w:r>
    </w:p>
    <w:p w14:paraId="435F843F" w14:textId="0D5FD801" w:rsidR="006E3F0C" w:rsidRDefault="006E3F0C" w:rsidP="000417A4">
      <w:pPr>
        <w:shd w:val="clear" w:color="auto" w:fill="FFFFFF" w:themeFill="background1"/>
      </w:pPr>
      <w:r>
        <w:t xml:space="preserve">The State </w:t>
      </w:r>
      <w:r w:rsidR="004344D9">
        <w:t xml:space="preserve">monitors local providers’ </w:t>
      </w:r>
      <w:r w:rsidR="008C1970">
        <w:t xml:space="preserve">activities with one-stop partners through </w:t>
      </w:r>
      <w:r w:rsidR="000E7C04">
        <w:t xml:space="preserve">provider annual plans, written reports and </w:t>
      </w:r>
      <w:r w:rsidR="007709A6">
        <w:t xml:space="preserve">verbal communications. The emphasis on the importance of working with local </w:t>
      </w:r>
      <w:r w:rsidR="00AD424D">
        <w:t xml:space="preserve">one-stop partners is made by the State when consulting on how best to provide services to those with barriers to employment, including disabilities, long-term unemployment, </w:t>
      </w:r>
      <w:r w:rsidR="00384E76">
        <w:t xml:space="preserve">previous incarceration, </w:t>
      </w:r>
      <w:r w:rsidR="00AD424D">
        <w:t>and low income</w:t>
      </w:r>
      <w:r w:rsidR="00B801E9">
        <w:t>. The State has consulted on individual cases</w:t>
      </w:r>
      <w:r w:rsidR="003C1C3D">
        <w:t xml:space="preserve"> as well</w:t>
      </w:r>
      <w:r w:rsidR="00B801E9">
        <w:t xml:space="preserve">, </w:t>
      </w:r>
      <w:r w:rsidR="003C1C3D">
        <w:t>most frequently</w:t>
      </w:r>
      <w:r w:rsidR="00B801E9">
        <w:t xml:space="preserve"> </w:t>
      </w:r>
      <w:r w:rsidR="00BD3966">
        <w:t xml:space="preserve">cases </w:t>
      </w:r>
      <w:r w:rsidR="00B801E9">
        <w:t xml:space="preserve">when </w:t>
      </w:r>
      <w:r w:rsidR="00BD3966">
        <w:t>the student has disabilities, on</w:t>
      </w:r>
      <w:r w:rsidR="00894096">
        <w:t xml:space="preserve"> leveraging one-stop resources that would lead to improved skill development for the student, access to a diploma, </w:t>
      </w:r>
      <w:r w:rsidR="00876AA2">
        <w:t xml:space="preserve">ongoing services after exit from AEL, </w:t>
      </w:r>
      <w:r w:rsidR="00894096">
        <w:t xml:space="preserve">and </w:t>
      </w:r>
      <w:r w:rsidR="00876AA2">
        <w:t>a successful transition</w:t>
      </w:r>
      <w:r w:rsidR="00BD3966">
        <w:t xml:space="preserve"> </w:t>
      </w:r>
      <w:r w:rsidR="00876AA2">
        <w:t>to employment or postsecondary pursuits.</w:t>
      </w:r>
    </w:p>
    <w:p w14:paraId="03D274C6" w14:textId="0313981A" w:rsidR="0015284E" w:rsidRDefault="00C14756" w:rsidP="000417A4">
      <w:pPr>
        <w:shd w:val="clear" w:color="auto" w:fill="FFFFFF" w:themeFill="background1"/>
      </w:pPr>
      <w:r w:rsidRPr="005332BD">
        <w:t xml:space="preserve">Although the </w:t>
      </w:r>
      <w:r w:rsidR="00B12428">
        <w:t xml:space="preserve">one-stop partner </w:t>
      </w:r>
      <w:r w:rsidR="005F18BF">
        <w:t>MOU</w:t>
      </w:r>
      <w:r w:rsidRPr="005332BD">
        <w:t xml:space="preserve"> was not officially renewed after </w:t>
      </w:r>
      <w:r w:rsidR="0074723D" w:rsidRPr="005332BD">
        <w:t>July 1, 2019</w:t>
      </w:r>
      <w:r w:rsidR="005332BD" w:rsidRPr="005332BD">
        <w:t>,</w:t>
      </w:r>
      <w:r w:rsidR="006B6643" w:rsidRPr="005332BD">
        <w:t xml:space="preserve"> the State directed local AEL providers to continue to operate </w:t>
      </w:r>
      <w:r w:rsidR="006633B0">
        <w:t xml:space="preserve">as outlined in the expired MOU </w:t>
      </w:r>
      <w:r w:rsidR="006B6643" w:rsidRPr="005332BD">
        <w:t>to ensure</w:t>
      </w:r>
      <w:r w:rsidR="006B6643">
        <w:t xml:space="preserve"> </w:t>
      </w:r>
      <w:r w:rsidR="003B1CCA">
        <w:t xml:space="preserve">continuity </w:t>
      </w:r>
      <w:r w:rsidR="005332BD">
        <w:t>of</w:t>
      </w:r>
      <w:r w:rsidR="003B1CCA">
        <w:t xml:space="preserve"> </w:t>
      </w:r>
      <w:r w:rsidR="005332BD">
        <w:t>operations under the WIOA Unified State Plan.</w:t>
      </w:r>
    </w:p>
    <w:p w14:paraId="4D448C1B" w14:textId="2CD1F726" w:rsidR="00F94F4E" w:rsidRDefault="00B108A9" w:rsidP="000417A4">
      <w:pPr>
        <w:shd w:val="clear" w:color="auto" w:fill="FFFFFF" w:themeFill="background1"/>
      </w:pPr>
      <w:r>
        <w:t xml:space="preserve">An infrastructure cost agreement was </w:t>
      </w:r>
      <w:r w:rsidR="00C810AC">
        <w:t xml:space="preserve">not in effect for </w:t>
      </w:r>
      <w:r w:rsidR="00AA7671">
        <w:t>PY19</w:t>
      </w:r>
      <w:r w:rsidR="0017196D">
        <w:t>. It is the responsibility of the one-stop operator (Vermont Department of Labor) to initiate negotiations on infrastructure costs</w:t>
      </w:r>
      <w:r w:rsidR="00AF279E">
        <w:t>.</w:t>
      </w:r>
      <w:r w:rsidR="00B22DF8">
        <w:t xml:space="preserve"> </w:t>
      </w:r>
      <w:r w:rsidR="00E600B8">
        <w:t>T</w:t>
      </w:r>
      <w:r w:rsidR="008106B9">
        <w:t xml:space="preserve">he Vermont Agency of Education </w:t>
      </w:r>
      <w:r w:rsidR="001409EF">
        <w:t xml:space="preserve">sets aside funds to cover </w:t>
      </w:r>
      <w:r w:rsidR="00EC5D58">
        <w:t>infrastructure costs</w:t>
      </w:r>
      <w:r w:rsidR="00E600B8">
        <w:t xml:space="preserve"> each year</w:t>
      </w:r>
      <w:r w:rsidR="00EC5D58">
        <w:t xml:space="preserve">, but the Department of Labor </w:t>
      </w:r>
      <w:r w:rsidR="001E620A">
        <w:t xml:space="preserve">failed to </w:t>
      </w:r>
      <w:r w:rsidR="00EC5D58">
        <w:t xml:space="preserve">invoice the AOE in order to </w:t>
      </w:r>
      <w:r w:rsidR="00684854">
        <w:t>draw down</w:t>
      </w:r>
      <w:r w:rsidR="00755E14">
        <w:t xml:space="preserve"> the funds. This resulted in </w:t>
      </w:r>
      <w:r w:rsidR="00D84E7B">
        <w:t xml:space="preserve">IFA-allocated </w:t>
      </w:r>
      <w:r w:rsidR="00755E14">
        <w:t xml:space="preserve">federal AEFLA funds </w:t>
      </w:r>
      <w:r w:rsidR="00D84E7B">
        <w:t>that were not expended</w:t>
      </w:r>
      <w:r w:rsidR="00755E14">
        <w:t>.</w:t>
      </w:r>
    </w:p>
    <w:p w14:paraId="62D0E6AF" w14:textId="77777777" w:rsidR="003D23FB" w:rsidRPr="00A36AB4" w:rsidRDefault="0001648D" w:rsidP="00343E9B">
      <w:pPr>
        <w:pStyle w:val="Heading2"/>
      </w:pPr>
      <w:r w:rsidRPr="00A36AB4">
        <w:t xml:space="preserve">4.  Integrated English Literacy and </w:t>
      </w:r>
      <w:r w:rsidR="003D23FB" w:rsidRPr="00A36AB4">
        <w:t>Civics Education (IELCE) Program (Section 243)</w:t>
      </w:r>
    </w:p>
    <w:p w14:paraId="2EF2686C" w14:textId="68975CEC" w:rsidR="007A2D82" w:rsidRDefault="000443A3" w:rsidP="00F07FD3">
      <w:r>
        <w:t xml:space="preserve">The competition </w:t>
      </w:r>
      <w:r w:rsidR="009401FB">
        <w:t>for IELCE program funds was last held in the spring of 2017</w:t>
      </w:r>
      <w:r w:rsidR="00896D1D">
        <w:t xml:space="preserve"> which resulted in t</w:t>
      </w:r>
      <w:r w:rsidR="00992B5E">
        <w:t xml:space="preserve">wo providers </w:t>
      </w:r>
      <w:r w:rsidR="00896D1D">
        <w:t xml:space="preserve">receiving </w:t>
      </w:r>
      <w:r w:rsidR="00992B5E">
        <w:t>funds</w:t>
      </w:r>
      <w:r w:rsidR="00896D1D" w:rsidRPr="00B5581F">
        <w:t>.</w:t>
      </w:r>
      <w:r w:rsidR="005D66F4" w:rsidRPr="00B5581F">
        <w:t xml:space="preserve"> </w:t>
      </w:r>
      <w:r w:rsidR="000E1FCC" w:rsidRPr="00B5581F">
        <w:t>Roughly 8</w:t>
      </w:r>
      <w:r w:rsidR="00B5581F" w:rsidRPr="00B5581F">
        <w:t>8</w:t>
      </w:r>
      <w:r w:rsidR="000E1FCC" w:rsidRPr="00B5581F">
        <w:t>%</w:t>
      </w:r>
      <w:r w:rsidR="000E1FCC">
        <w:t xml:space="preserve"> of IELCE funds </w:t>
      </w:r>
      <w:r w:rsidR="00185C0F">
        <w:t>w</w:t>
      </w:r>
      <w:r w:rsidR="00AB6178">
        <w:t>ere</w:t>
      </w:r>
      <w:r w:rsidR="00185C0F">
        <w:t xml:space="preserve"> awarded to Vermont Adult Learning, the largest provider </w:t>
      </w:r>
      <w:r w:rsidR="00E505F0">
        <w:t xml:space="preserve">in the State. Vermont Adult Learning serves more students each year than the other three providers combined </w:t>
      </w:r>
      <w:proofErr w:type="gramStart"/>
      <w:r w:rsidR="00E505F0">
        <w:t>and also</w:t>
      </w:r>
      <w:proofErr w:type="gramEnd"/>
      <w:r w:rsidR="00E505F0">
        <w:t xml:space="preserve"> serves </w:t>
      </w:r>
      <w:r w:rsidR="001C66EE">
        <w:t xml:space="preserve">roughly 90% of the ESL students in Vermont. </w:t>
      </w:r>
      <w:r w:rsidR="00DB340B">
        <w:t xml:space="preserve">Central Vermont Adult Basic Education </w:t>
      </w:r>
      <w:r w:rsidR="00C42AED" w:rsidRPr="00B5581F">
        <w:t>receive</w:t>
      </w:r>
      <w:r w:rsidR="00C5061F">
        <w:t>d</w:t>
      </w:r>
      <w:r w:rsidR="00C42AED" w:rsidRPr="00B5581F">
        <w:t xml:space="preserve"> the other </w:t>
      </w:r>
      <w:r w:rsidR="0043575C" w:rsidRPr="00B5581F">
        <w:t>1</w:t>
      </w:r>
      <w:r w:rsidR="00B5581F" w:rsidRPr="00B5581F">
        <w:t>2</w:t>
      </w:r>
      <w:r w:rsidR="0043575C" w:rsidRPr="00B5581F">
        <w:t>% of IELCE</w:t>
      </w:r>
      <w:r w:rsidR="0043575C">
        <w:t xml:space="preserve"> funds each year. </w:t>
      </w:r>
      <w:r w:rsidR="0072563B">
        <w:t xml:space="preserve">The grant competition for AEL Federal and State funds was scheduled to </w:t>
      </w:r>
      <w:r w:rsidR="004C2E21">
        <w:t xml:space="preserve">take place in the </w:t>
      </w:r>
      <w:r w:rsidR="007A2D82">
        <w:t>spring of 2020 but</w:t>
      </w:r>
      <w:r w:rsidR="004C2E21">
        <w:t xml:space="preserve"> was suspended until spring 2021 due to the pandemic. </w:t>
      </w:r>
      <w:r w:rsidR="007A2D82">
        <w:t xml:space="preserve">The new grant award period will be for two years beginning July 1, 2021. </w:t>
      </w:r>
    </w:p>
    <w:p w14:paraId="41F9D764" w14:textId="62F49C7B" w:rsidR="00376725" w:rsidRDefault="005D66F4" w:rsidP="00F07FD3">
      <w:r>
        <w:t xml:space="preserve">Each provider receiving IELCE funds is required to make IET programs available to </w:t>
      </w:r>
      <w:proofErr w:type="gramStart"/>
      <w:r w:rsidR="00E65E78">
        <w:t>IELCE</w:t>
      </w:r>
      <w:r w:rsidR="00305AF2">
        <w:t xml:space="preserve"> </w:t>
      </w:r>
      <w:r w:rsidR="00E65E78">
        <w:t xml:space="preserve"> students</w:t>
      </w:r>
      <w:proofErr w:type="gramEnd"/>
      <w:r w:rsidR="00E65E78">
        <w:t xml:space="preserve"> they serve. In the program year, the two providers implemented IET programs </w:t>
      </w:r>
      <w:r w:rsidR="00B1318B">
        <w:t xml:space="preserve">open to IELCE students </w:t>
      </w:r>
      <w:r w:rsidR="00FF4501">
        <w:t xml:space="preserve">for </w:t>
      </w:r>
      <w:r w:rsidR="00AB0A63">
        <w:t>three</w:t>
      </w:r>
      <w:r w:rsidR="00FF4501">
        <w:t xml:space="preserve"> cohorts based on t</w:t>
      </w:r>
      <w:r w:rsidR="00622483">
        <w:t>wo</w:t>
      </w:r>
      <w:r w:rsidR="00FF4501">
        <w:t xml:space="preserve"> separate program models</w:t>
      </w:r>
      <w:r w:rsidR="005B57EB">
        <w:t xml:space="preserve">: </w:t>
      </w:r>
    </w:p>
    <w:p w14:paraId="6130A529" w14:textId="7A289CDF" w:rsidR="00F07FD3" w:rsidRDefault="00F95662" w:rsidP="00376725">
      <w:pPr>
        <w:pStyle w:val="ListParagraph"/>
        <w:numPr>
          <w:ilvl w:val="0"/>
          <w:numId w:val="36"/>
        </w:numPr>
      </w:pPr>
      <w:r>
        <w:t xml:space="preserve">Community Kitchen Academy, a model that provides </w:t>
      </w:r>
      <w:r w:rsidR="002D6CFD">
        <w:t xml:space="preserve">access to credentials, such as ServSafe, </w:t>
      </w:r>
      <w:proofErr w:type="gramStart"/>
      <w:r w:rsidR="002D6CFD">
        <w:t>and also</w:t>
      </w:r>
      <w:proofErr w:type="gramEnd"/>
      <w:r w:rsidR="002D6CFD">
        <w:t xml:space="preserve"> </w:t>
      </w:r>
      <w:r w:rsidR="00AA63F6">
        <w:t xml:space="preserve">trains in entry-level </w:t>
      </w:r>
      <w:r w:rsidR="00AC5212">
        <w:t xml:space="preserve">kitchen skills. </w:t>
      </w:r>
      <w:r w:rsidR="00F07FD3" w:rsidRPr="00F07FD3">
        <w:t xml:space="preserve">The pandemic has brought a dramatic shift in hospitality/kitchen/restaurant industry and work opportunities. </w:t>
      </w:r>
      <w:r w:rsidR="00EB6A13">
        <w:t>I</w:t>
      </w:r>
      <w:r w:rsidR="007E6C99">
        <w:t xml:space="preserve">mplementation of the program model </w:t>
      </w:r>
      <w:proofErr w:type="gramStart"/>
      <w:r w:rsidR="00EB6A13">
        <w:t>continues</w:t>
      </w:r>
      <w:r w:rsidR="00F07FD3" w:rsidRPr="00F07FD3">
        <w:t>, but</w:t>
      </w:r>
      <w:proofErr w:type="gramEnd"/>
      <w:r w:rsidR="00F07FD3" w:rsidRPr="00F07FD3">
        <w:t xml:space="preserve"> focus</w:t>
      </w:r>
      <w:r w:rsidR="00EB6A13">
        <w:t>es</w:t>
      </w:r>
      <w:r w:rsidR="00F07FD3" w:rsidRPr="00F07FD3">
        <w:t xml:space="preserve"> more on micro-enterprise opportunities such as food trucks, and take</w:t>
      </w:r>
      <w:r w:rsidR="007E6C99">
        <w:t>-out</w:t>
      </w:r>
      <w:r w:rsidR="00F07FD3" w:rsidRPr="00F07FD3">
        <w:t xml:space="preserve"> food preparation.</w:t>
      </w:r>
    </w:p>
    <w:p w14:paraId="4A9B2184" w14:textId="4A9675D0" w:rsidR="00376725" w:rsidRPr="00F07FD3" w:rsidRDefault="001B1F05" w:rsidP="00376725">
      <w:pPr>
        <w:pStyle w:val="ListParagraph"/>
        <w:numPr>
          <w:ilvl w:val="0"/>
          <w:numId w:val="36"/>
        </w:numPr>
      </w:pPr>
      <w:r>
        <w:t>Healthcare</w:t>
      </w:r>
      <w:r w:rsidR="00E0538E">
        <w:t xml:space="preserve">, a model </w:t>
      </w:r>
      <w:r w:rsidR="00F555A4">
        <w:t>that prepares students for entry-level nursing assistant positions</w:t>
      </w:r>
      <w:r w:rsidR="00E22994">
        <w:t xml:space="preserve"> through ESL contextualized instruction</w:t>
      </w:r>
      <w:r w:rsidR="001B6B65">
        <w:t xml:space="preserve">, </w:t>
      </w:r>
      <w:r w:rsidR="00E22994">
        <w:t>training in b</w:t>
      </w:r>
      <w:r w:rsidR="004C1AD8">
        <w:t>eginning skills</w:t>
      </w:r>
      <w:r w:rsidR="001033B0">
        <w:t xml:space="preserve"> in the healthcare industry</w:t>
      </w:r>
      <w:r w:rsidR="0019681F">
        <w:t>, and employment</w:t>
      </w:r>
      <w:r w:rsidR="004C1AD8">
        <w:t xml:space="preserve">. </w:t>
      </w:r>
      <w:r w:rsidR="00756C37">
        <w:t>After c</w:t>
      </w:r>
      <w:r w:rsidR="0019681F">
        <w:t>ompletion, s</w:t>
      </w:r>
      <w:r w:rsidR="004C1AD8">
        <w:t xml:space="preserve">tudents are employed </w:t>
      </w:r>
      <w:r w:rsidR="001033B0">
        <w:t xml:space="preserve">in care/nursing homes </w:t>
      </w:r>
      <w:r w:rsidR="0019681F">
        <w:t xml:space="preserve">and are </w:t>
      </w:r>
      <w:r w:rsidR="004C1AD8">
        <w:t>require</w:t>
      </w:r>
      <w:r w:rsidR="0019681F">
        <w:t>d</w:t>
      </w:r>
      <w:r w:rsidR="004C1AD8">
        <w:t xml:space="preserve"> </w:t>
      </w:r>
      <w:r w:rsidR="0019681F">
        <w:t xml:space="preserve">to </w:t>
      </w:r>
      <w:r w:rsidR="004C1AD8">
        <w:t xml:space="preserve">continue study </w:t>
      </w:r>
      <w:r w:rsidR="00756C37">
        <w:t>to obtain the Licensed Nursing Assistant credential.</w:t>
      </w:r>
      <w:r w:rsidR="00E22994">
        <w:t xml:space="preserve"> </w:t>
      </w:r>
      <w:r w:rsidR="00532273">
        <w:t xml:space="preserve">Through this program, students </w:t>
      </w:r>
      <w:proofErr w:type="gramStart"/>
      <w:r w:rsidR="00532273">
        <w:t>are able to</w:t>
      </w:r>
      <w:proofErr w:type="gramEnd"/>
      <w:r w:rsidR="00532273">
        <w:t xml:space="preserve"> </w:t>
      </w:r>
      <w:r w:rsidR="003E23E6">
        <w:t>obtain</w:t>
      </w:r>
      <w:r w:rsidR="005F3BB5">
        <w:t xml:space="preserve"> employment and </w:t>
      </w:r>
      <w:r w:rsidR="00532273">
        <w:t xml:space="preserve">access the </w:t>
      </w:r>
      <w:r w:rsidR="000D5C35">
        <w:t>rigor of the LNA program.</w:t>
      </w:r>
    </w:p>
    <w:p w14:paraId="7D3E98B9" w14:textId="74FAE117" w:rsidR="000443A3" w:rsidRDefault="00EB5A9C" w:rsidP="000443A3">
      <w:r>
        <w:t xml:space="preserve">Local providers continue to be challenged to develop IET programs based on ESL student goals, as the population served varies in their interests, geographic location, </w:t>
      </w:r>
      <w:r w:rsidR="003C0E5E">
        <w:t>and schedule availability.</w:t>
      </w:r>
      <w:r w:rsidR="008953A5">
        <w:t xml:space="preserve"> </w:t>
      </w:r>
      <w:r w:rsidR="0002009A">
        <w:t>It is challenging to identify enough ESL students interested in the same career cluster in order to create a critical mass that would help to ensure a cost effective and successful program.</w:t>
      </w:r>
      <w:r w:rsidR="00AF5632">
        <w:t xml:space="preserve"> </w:t>
      </w:r>
      <w:r w:rsidR="000F76D9">
        <w:t>With remote services in place, IET programs are</w:t>
      </w:r>
      <w:r w:rsidR="00695A4A">
        <w:t xml:space="preserve"> also being adjusted in order to better meet the needs of studen</w:t>
      </w:r>
      <w:r w:rsidR="003E2FE2">
        <w:t xml:space="preserve">ts while also keeping them safe. </w:t>
      </w:r>
      <w:r w:rsidR="003B5831">
        <w:t xml:space="preserve">A </w:t>
      </w:r>
      <w:r w:rsidR="003E2FE2">
        <w:t>Community Kitchen Academy</w:t>
      </w:r>
      <w:r w:rsidR="003B5831">
        <w:t xml:space="preserve"> cohort that was begun in the spring could not complete due to the Stay at Home order, but </w:t>
      </w:r>
      <w:r w:rsidR="007E5101">
        <w:t xml:space="preserve">in </w:t>
      </w:r>
      <w:r w:rsidR="00033516">
        <w:t>PY</w:t>
      </w:r>
      <w:r w:rsidR="007E5101">
        <w:t>20 the program is being implemented with more remote services</w:t>
      </w:r>
      <w:r w:rsidR="00315A52">
        <w:t>.</w:t>
      </w:r>
      <w:r w:rsidR="007E5101">
        <w:t xml:space="preserve"> </w:t>
      </w:r>
      <w:r w:rsidR="00315A52">
        <w:t>The</w:t>
      </w:r>
      <w:r w:rsidR="007E5101">
        <w:t xml:space="preserve"> </w:t>
      </w:r>
      <w:r w:rsidR="001B3C1F">
        <w:t>training component require</w:t>
      </w:r>
      <w:r w:rsidR="00315A52">
        <w:t>s</w:t>
      </w:r>
      <w:r w:rsidR="001B3C1F">
        <w:t xml:space="preserve"> a limit on the number of students in order to maintain social distanc</w:t>
      </w:r>
      <w:r w:rsidR="00C538D7">
        <w:t>ing</w:t>
      </w:r>
      <w:r w:rsidR="00FF113D">
        <w:t xml:space="preserve"> in the kitchen</w:t>
      </w:r>
      <w:r w:rsidR="00C538D7">
        <w:t>.</w:t>
      </w:r>
      <w:r w:rsidR="00C46F1B">
        <w:t xml:space="preserve"> </w:t>
      </w:r>
      <w:r w:rsidR="005A566B">
        <w:t>T</w:t>
      </w:r>
      <w:r w:rsidR="00712ED7">
        <w:t xml:space="preserve">he provision of remote services </w:t>
      </w:r>
      <w:r w:rsidR="00CE37A3">
        <w:t xml:space="preserve">has prompted the State to </w:t>
      </w:r>
      <w:r w:rsidR="00E12AF0">
        <w:t xml:space="preserve">facilitate discussions with providers to </w:t>
      </w:r>
      <w:r w:rsidR="00D42507">
        <w:t xml:space="preserve">make </w:t>
      </w:r>
      <w:r w:rsidR="008B3396">
        <w:t xml:space="preserve">IET programs </w:t>
      </w:r>
      <w:r w:rsidR="008B3396">
        <w:lastRenderedPageBreak/>
        <w:t xml:space="preserve">available statewide, across </w:t>
      </w:r>
      <w:r w:rsidR="00D142D2">
        <w:t xml:space="preserve">providers. </w:t>
      </w:r>
      <w:r w:rsidR="00FF7B21">
        <w:t xml:space="preserve">This would require </w:t>
      </w:r>
      <w:r w:rsidR="004E0C92">
        <w:t>planning</w:t>
      </w:r>
      <w:r w:rsidR="00AC594D">
        <w:t xml:space="preserve"> and coordination</w:t>
      </w:r>
      <w:r w:rsidR="004E0C92">
        <w:t xml:space="preserve"> for transportation for the in-person </w:t>
      </w:r>
      <w:r w:rsidR="000F200C">
        <w:t>services but</w:t>
      </w:r>
      <w:r w:rsidR="004E0C92">
        <w:t xml:space="preserve"> </w:t>
      </w:r>
      <w:r w:rsidR="00AC594D">
        <w:t xml:space="preserve">has promise as a strategy to expand </w:t>
      </w:r>
      <w:r w:rsidR="005D2A0E">
        <w:t xml:space="preserve">the variety of </w:t>
      </w:r>
      <w:r w:rsidR="001C6132">
        <w:t>IET programs</w:t>
      </w:r>
      <w:r w:rsidR="00A24A79">
        <w:t xml:space="preserve"> accessible</w:t>
      </w:r>
      <w:r w:rsidR="001C6132">
        <w:t xml:space="preserve"> </w:t>
      </w:r>
      <w:r w:rsidR="00A24A79">
        <w:t>to</w:t>
      </w:r>
      <w:r w:rsidR="001C6132">
        <w:t xml:space="preserve"> IELCE students.</w:t>
      </w:r>
      <w:r w:rsidR="00E12AF0">
        <w:t xml:space="preserve"> </w:t>
      </w:r>
    </w:p>
    <w:p w14:paraId="47D654B6" w14:textId="4D36D7DD" w:rsidR="001002BE" w:rsidRDefault="00752533" w:rsidP="000443A3">
      <w:r>
        <w:t xml:space="preserve">In the spring, ESL students experienced </w:t>
      </w:r>
      <w:r w:rsidR="00305D92">
        <w:t xml:space="preserve">multiple </w:t>
      </w:r>
      <w:r>
        <w:t xml:space="preserve">barriers to continued engagement </w:t>
      </w:r>
      <w:r w:rsidR="009A74C5">
        <w:t>including internet access issues, the need to provide child care, the lack of a quiet space to receive instruction and services remotely, the lack of equipment</w:t>
      </w:r>
      <w:r w:rsidR="00B173CE">
        <w:t xml:space="preserve">, and language barriers </w:t>
      </w:r>
      <w:r w:rsidR="006723AA">
        <w:t>to</w:t>
      </w:r>
      <w:r w:rsidR="00B173CE">
        <w:t xml:space="preserve"> understanding how to </w:t>
      </w:r>
      <w:r w:rsidR="00305D92">
        <w:t xml:space="preserve">participate in remote services and opportunities. </w:t>
      </w:r>
      <w:r w:rsidR="00FD013A">
        <w:t xml:space="preserve">AEL </w:t>
      </w:r>
      <w:r w:rsidR="00B52737">
        <w:t xml:space="preserve">consequently </w:t>
      </w:r>
      <w:r w:rsidR="00FD013A">
        <w:t xml:space="preserve">saw a </w:t>
      </w:r>
      <w:r w:rsidR="004002C2">
        <w:t>17</w:t>
      </w:r>
      <w:r w:rsidR="004F216F">
        <w:t xml:space="preserve">% drop in </w:t>
      </w:r>
      <w:r w:rsidR="006971D0">
        <w:t>participation in ESL</w:t>
      </w:r>
      <w:r w:rsidR="004002C2">
        <w:t xml:space="preserve"> students</w:t>
      </w:r>
      <w:r w:rsidR="006971D0">
        <w:t xml:space="preserve"> in the final quarter as compared to the third quarte</w:t>
      </w:r>
      <w:r w:rsidR="0005262B">
        <w:t>r</w:t>
      </w:r>
      <w:r w:rsidR="0049770D">
        <w:t xml:space="preserve"> and a</w:t>
      </w:r>
      <w:r w:rsidR="00261C19">
        <w:t>pproximately $</w:t>
      </w:r>
      <w:r w:rsidR="00C410AD">
        <w:t xml:space="preserve">11,300 of IELCE funds were unspent. The AOE, </w:t>
      </w:r>
      <w:r w:rsidR="00BA600F">
        <w:t>after</w:t>
      </w:r>
      <w:r w:rsidR="00C410AD">
        <w:t xml:space="preserve"> consultation with OCTAE staff, met with</w:t>
      </w:r>
      <w:r w:rsidR="0049770D">
        <w:t xml:space="preserve"> </w:t>
      </w:r>
      <w:r w:rsidR="00C410AD">
        <w:t xml:space="preserve">IELCE providers to identify </w:t>
      </w:r>
      <w:r w:rsidR="00EA58A6">
        <w:t>program</w:t>
      </w:r>
      <w:r w:rsidR="001809E8">
        <w:t xml:space="preserve"> </w:t>
      </w:r>
      <w:r w:rsidR="00EA58A6">
        <w:t xml:space="preserve">needs </w:t>
      </w:r>
      <w:r w:rsidR="001809E8">
        <w:t>and determined that the</w:t>
      </w:r>
      <w:r w:rsidR="007865BE">
        <w:t xml:space="preserve"> unspent</w:t>
      </w:r>
      <w:r w:rsidR="001809E8">
        <w:t xml:space="preserve"> funds will be re-granted in PY20. Funds will support the purchase of Burlington English </w:t>
      </w:r>
      <w:r w:rsidR="00F66617">
        <w:t xml:space="preserve">slots and additional </w:t>
      </w:r>
      <w:r w:rsidR="00353B4D">
        <w:t>laptops to lend to students as needed.</w:t>
      </w:r>
      <w:r w:rsidR="0005262B">
        <w:t xml:space="preserve"> </w:t>
      </w:r>
    </w:p>
    <w:p w14:paraId="19B8E454" w14:textId="46B3F978" w:rsidR="00FF3CC2" w:rsidRPr="00A36AB4" w:rsidRDefault="007925BF" w:rsidP="00343E9B">
      <w:pPr>
        <w:pStyle w:val="Heading2"/>
      </w:pPr>
      <w:r w:rsidRPr="00A36AB4">
        <w:t>5. Adult Education Standards</w:t>
      </w:r>
    </w:p>
    <w:p w14:paraId="77452C51" w14:textId="16360A2B" w:rsidR="00CF4CFC" w:rsidRDefault="00C24647" w:rsidP="00E25BCA">
      <w:r>
        <w:t xml:space="preserve">AEL content standards </w:t>
      </w:r>
      <w:r w:rsidR="00056730">
        <w:t xml:space="preserve">continue to be </w:t>
      </w:r>
      <w:r>
        <w:t xml:space="preserve">aligned with </w:t>
      </w:r>
      <w:r w:rsidR="00CC5C76">
        <w:t>Vermont’s</w:t>
      </w:r>
      <w:r w:rsidR="0009746F">
        <w:t xml:space="preserve"> K-12</w:t>
      </w:r>
      <w:r w:rsidR="00CC5C76">
        <w:t xml:space="preserve"> </w:t>
      </w:r>
      <w:hyperlink r:id="rId12" w:history="1">
        <w:r w:rsidR="00CC5C76" w:rsidRPr="006A1483">
          <w:rPr>
            <w:rStyle w:val="Hyperlink"/>
            <w:rFonts w:cs="Calibri"/>
          </w:rPr>
          <w:t>Education Quality Standards</w:t>
        </w:r>
      </w:hyperlink>
      <w:r w:rsidR="00CC5C76">
        <w:t xml:space="preserve"> (EQS). The EQS adopt</w:t>
      </w:r>
      <w:r w:rsidR="00606259">
        <w:t>s</w:t>
      </w:r>
      <w:r w:rsidR="00CC5C76">
        <w:t xml:space="preserve"> </w:t>
      </w:r>
      <w:r w:rsidR="00CC5C76" w:rsidRPr="00B378CD">
        <w:t>the Common Core</w:t>
      </w:r>
      <w:r w:rsidR="00B378CD">
        <w:t xml:space="preserve"> State Standards</w:t>
      </w:r>
      <w:r w:rsidR="007B7F32" w:rsidRPr="00B378CD">
        <w:t>, which</w:t>
      </w:r>
      <w:r w:rsidR="007B7F32">
        <w:t xml:space="preserve"> i</w:t>
      </w:r>
      <w:r w:rsidR="007C73A0">
        <w:t>ncorporates</w:t>
      </w:r>
      <w:r w:rsidR="000F7B69">
        <w:t xml:space="preserve"> the</w:t>
      </w:r>
      <w:r w:rsidR="007B7F32">
        <w:t xml:space="preserve"> College and Career Readiness Standards (CCRS). </w:t>
      </w:r>
      <w:r w:rsidR="00AF27D3">
        <w:t xml:space="preserve">Implementation challenges include </w:t>
      </w:r>
      <w:r w:rsidR="00F7179F">
        <w:t xml:space="preserve">ensuring that high schools in Vermont </w:t>
      </w:r>
      <w:r w:rsidR="00524C11">
        <w:t xml:space="preserve">partnering with AEL through the </w:t>
      </w:r>
      <w:r w:rsidR="00E33F9D">
        <w:t xml:space="preserve">state-funded </w:t>
      </w:r>
      <w:r w:rsidR="00524C11">
        <w:t>High School Completion Program</w:t>
      </w:r>
      <w:r w:rsidR="00836AAF">
        <w:t xml:space="preserve"> (HSCP) </w:t>
      </w:r>
      <w:r w:rsidR="00F7179F">
        <w:t>understand that the CCRS</w:t>
      </w:r>
      <w:r w:rsidR="00982F0E">
        <w:t xml:space="preserve"> for Adult Education</w:t>
      </w:r>
      <w:r w:rsidR="00F7179F">
        <w:t xml:space="preserve"> is aligned with the TABE 11/12</w:t>
      </w:r>
      <w:r w:rsidR="00B52BEC">
        <w:t>.</w:t>
      </w:r>
      <w:r w:rsidR="00A73B0D">
        <w:t xml:space="preserve"> </w:t>
      </w:r>
      <w:r w:rsidR="00E33F9D">
        <w:t xml:space="preserve">Through the HSCP, </w:t>
      </w:r>
      <w:r w:rsidR="007816DB">
        <w:t xml:space="preserve">AEL providers </w:t>
      </w:r>
      <w:r w:rsidR="000F7B69">
        <w:t>and</w:t>
      </w:r>
      <w:r w:rsidR="007816DB">
        <w:t xml:space="preserve"> high school</w:t>
      </w:r>
      <w:r w:rsidR="000F7B69">
        <w:t xml:space="preserve"> staff</w:t>
      </w:r>
      <w:r w:rsidR="007816DB">
        <w:t xml:space="preserve"> develop personalized learning plans</w:t>
      </w:r>
      <w:r w:rsidR="000C50CC">
        <w:t xml:space="preserve"> </w:t>
      </w:r>
      <w:r w:rsidR="00EF2EA2">
        <w:t>with</w:t>
      </w:r>
      <w:r w:rsidR="000C50CC">
        <w:t xml:space="preserve"> </w:t>
      </w:r>
      <w:r w:rsidR="00F43129">
        <w:t xml:space="preserve">adult </w:t>
      </w:r>
      <w:r w:rsidR="000C50CC">
        <w:t xml:space="preserve">students to </w:t>
      </w:r>
      <w:r w:rsidR="00EF08CF">
        <w:t xml:space="preserve">meet </w:t>
      </w:r>
      <w:r w:rsidR="006A62C4">
        <w:t xml:space="preserve">each </w:t>
      </w:r>
      <w:r w:rsidR="00EF08CF">
        <w:t xml:space="preserve">school’s </w:t>
      </w:r>
      <w:hyperlink r:id="rId13" w:history="1">
        <w:r w:rsidR="00EF08CF" w:rsidRPr="007A10EC">
          <w:rPr>
            <w:rStyle w:val="Hyperlink"/>
            <w:rFonts w:cs="Calibri"/>
          </w:rPr>
          <w:t>Proficiency</w:t>
        </w:r>
        <w:r w:rsidR="00A96D6D" w:rsidRPr="007A10EC">
          <w:rPr>
            <w:rStyle w:val="Hyperlink"/>
            <w:rFonts w:cs="Calibri"/>
          </w:rPr>
          <w:t>-Based Graduation Requirements</w:t>
        </w:r>
      </w:hyperlink>
      <w:r w:rsidR="00A96D6D">
        <w:t xml:space="preserve">. </w:t>
      </w:r>
      <w:r w:rsidR="00421DCC">
        <w:t xml:space="preserve">Although students may enter </w:t>
      </w:r>
      <w:r w:rsidR="0043155A">
        <w:t>AEL services</w:t>
      </w:r>
      <w:r w:rsidR="00421DCC">
        <w:t xml:space="preserve"> with </w:t>
      </w:r>
      <w:r w:rsidR="00664372">
        <w:t xml:space="preserve">enough high school “credits” to graduate after meeting only a minimum number of </w:t>
      </w:r>
      <w:r w:rsidR="007652A0">
        <w:t xml:space="preserve">district </w:t>
      </w:r>
      <w:r w:rsidR="00664372">
        <w:t xml:space="preserve">graduation requirements, </w:t>
      </w:r>
      <w:r w:rsidR="00671225">
        <w:t xml:space="preserve">HSCP policy, as part of </w:t>
      </w:r>
      <w:r w:rsidR="00664372">
        <w:t xml:space="preserve">the </w:t>
      </w:r>
      <w:r w:rsidR="00FC52C8">
        <w:t>AEL system</w:t>
      </w:r>
      <w:r w:rsidR="00671225">
        <w:t>,</w:t>
      </w:r>
      <w:r w:rsidR="00FC52C8">
        <w:t xml:space="preserve"> </w:t>
      </w:r>
      <w:r w:rsidR="007A1D1C">
        <w:t xml:space="preserve">upholds the objective standard that students must demonstrate a minimum of high school proficiency on the TABE 11/12 in order to obtain a diploma. </w:t>
      </w:r>
      <w:r w:rsidR="00CA4AF2">
        <w:t>When students are unable to demonstrate their proficiency on the TABE 11/12 due to extenuating circumstances, such as disabilities</w:t>
      </w:r>
      <w:r w:rsidR="00681917">
        <w:t xml:space="preserve">, the AEL provider may submit a </w:t>
      </w:r>
      <w:hyperlink r:id="rId14" w:history="1">
        <w:r w:rsidR="00681917" w:rsidRPr="001B598F">
          <w:rPr>
            <w:rStyle w:val="Hyperlink"/>
            <w:rFonts w:cs="Calibri"/>
          </w:rPr>
          <w:t>Request to Graduate</w:t>
        </w:r>
      </w:hyperlink>
      <w:r w:rsidR="00681917">
        <w:t xml:space="preserve"> form to the AOE for consideration.</w:t>
      </w:r>
      <w:r w:rsidR="001B598F">
        <w:t xml:space="preserve"> In this way, </w:t>
      </w:r>
      <w:r w:rsidR="00EC244E">
        <w:t xml:space="preserve">AEL students are assured access to transition services, referrals to other support services, and all other services </w:t>
      </w:r>
      <w:r w:rsidR="0013797B">
        <w:t xml:space="preserve">that would create the best possible conditions for the student to gain </w:t>
      </w:r>
      <w:r w:rsidR="0050469F">
        <w:t xml:space="preserve">a minimum of high school level skills and </w:t>
      </w:r>
      <w:r w:rsidR="0013797B">
        <w:t>successfully transition</w:t>
      </w:r>
      <w:r w:rsidR="00E367E7">
        <w:t xml:space="preserve"> to employment and/or postsecondary</w:t>
      </w:r>
      <w:r w:rsidR="0050469F">
        <w:t xml:space="preserve">. Recognizing that AEL is the last stop for many to reach their academic and career goals, </w:t>
      </w:r>
      <w:r w:rsidR="00813482">
        <w:t xml:space="preserve">the HSCP </w:t>
      </w:r>
      <w:r w:rsidR="00D815F9">
        <w:t xml:space="preserve">maintains WIOA’s </w:t>
      </w:r>
      <w:r w:rsidR="00F1308A">
        <w:t>rigorous agenda</w:t>
      </w:r>
      <w:r w:rsidR="000C2A6A">
        <w:t>.</w:t>
      </w:r>
    </w:p>
    <w:p w14:paraId="20D7A701" w14:textId="3E1E43C4" w:rsidR="00B3285A" w:rsidRDefault="00B3285A" w:rsidP="00E25BCA">
      <w:r>
        <w:t>P</w:t>
      </w:r>
      <w:r w:rsidR="00C16B1A">
        <w:t>Y</w:t>
      </w:r>
      <w:r>
        <w:t xml:space="preserve">19 was a transition year for local providers, as </w:t>
      </w:r>
      <w:r w:rsidR="008A0A22">
        <w:t>the state</w:t>
      </w:r>
      <w:r>
        <w:t xml:space="preserve"> moved away from the Equipped </w:t>
      </w:r>
      <w:r w:rsidR="00E52205">
        <w:t>F</w:t>
      </w:r>
      <w:r>
        <w:t xml:space="preserve">or the Future </w:t>
      </w:r>
      <w:r w:rsidR="00E52205">
        <w:t>S</w:t>
      </w:r>
      <w:r>
        <w:t xml:space="preserve">tandards (used in combination with the CCRS for Adult Education) </w:t>
      </w:r>
      <w:r w:rsidR="0026324B">
        <w:lastRenderedPageBreak/>
        <w:t xml:space="preserve">to </w:t>
      </w:r>
      <w:r w:rsidR="0000156E">
        <w:t>Vermont’s</w:t>
      </w:r>
      <w:r w:rsidR="0026324B">
        <w:t xml:space="preserve"> </w:t>
      </w:r>
      <w:hyperlink r:id="rId15" w:history="1">
        <w:r w:rsidR="0026324B" w:rsidRPr="008F72E9">
          <w:rPr>
            <w:rStyle w:val="Hyperlink"/>
            <w:rFonts w:cs="Calibri"/>
          </w:rPr>
          <w:t>EQS Transferable Skills</w:t>
        </w:r>
      </w:hyperlink>
      <w:r w:rsidR="00C977F3">
        <w:t>, which align with the skills identified</w:t>
      </w:r>
      <w:r w:rsidR="005650CB">
        <w:t xml:space="preserve"> in CCRS and</w:t>
      </w:r>
      <w:r w:rsidR="00C977F3">
        <w:t xml:space="preserve"> in WIOA’s Workforce Preparation Activities, as below.</w:t>
      </w:r>
    </w:p>
    <w:tbl>
      <w:tblPr>
        <w:tblStyle w:val="TableGrid"/>
        <w:tblW w:w="0" w:type="auto"/>
        <w:tblLook w:val="04A0" w:firstRow="1" w:lastRow="0" w:firstColumn="1" w:lastColumn="0" w:noHBand="0" w:noVBand="1"/>
      </w:tblPr>
      <w:tblGrid>
        <w:gridCol w:w="4315"/>
        <w:gridCol w:w="4950"/>
      </w:tblGrid>
      <w:tr w:rsidR="007C21FF" w:rsidRPr="00A36AB4" w14:paraId="6B3CFBE9" w14:textId="77777777" w:rsidTr="00551254">
        <w:trPr>
          <w:trHeight w:val="288"/>
        </w:trPr>
        <w:tc>
          <w:tcPr>
            <w:tcW w:w="4315" w:type="dxa"/>
          </w:tcPr>
          <w:p w14:paraId="53214EE0" w14:textId="6C84001F" w:rsidR="007C21FF" w:rsidRPr="00A36AB4" w:rsidRDefault="007C21FF" w:rsidP="00C03ED8">
            <w:pPr>
              <w:rPr>
                <w:b/>
                <w:bCs w:val="0"/>
                <w:sz w:val="20"/>
                <w:szCs w:val="20"/>
              </w:rPr>
            </w:pPr>
            <w:r w:rsidRPr="00A36AB4">
              <w:rPr>
                <w:b/>
                <w:bCs w:val="0"/>
                <w:sz w:val="20"/>
                <w:szCs w:val="20"/>
              </w:rPr>
              <w:t>Workforce Preparation Skill</w:t>
            </w:r>
          </w:p>
        </w:tc>
        <w:tc>
          <w:tcPr>
            <w:tcW w:w="4950" w:type="dxa"/>
          </w:tcPr>
          <w:p w14:paraId="3FDBB85F" w14:textId="77777777" w:rsidR="007C21FF" w:rsidRPr="00A36AB4" w:rsidRDefault="007C21FF" w:rsidP="00C03ED8">
            <w:pPr>
              <w:rPr>
                <w:b/>
                <w:bCs w:val="0"/>
                <w:sz w:val="20"/>
                <w:szCs w:val="20"/>
              </w:rPr>
            </w:pPr>
            <w:r w:rsidRPr="00A36AB4">
              <w:rPr>
                <w:b/>
                <w:bCs w:val="0"/>
                <w:sz w:val="20"/>
                <w:szCs w:val="20"/>
              </w:rPr>
              <w:t>Related EQS transferable skill</w:t>
            </w:r>
          </w:p>
        </w:tc>
      </w:tr>
      <w:tr w:rsidR="007C21FF" w:rsidRPr="00A36AB4" w14:paraId="3F7E225C" w14:textId="77777777" w:rsidTr="00EE1EC3">
        <w:tc>
          <w:tcPr>
            <w:tcW w:w="4315" w:type="dxa"/>
          </w:tcPr>
          <w:p w14:paraId="3737CBDB" w14:textId="77777777" w:rsidR="007C21FF" w:rsidRPr="00A36AB4" w:rsidRDefault="007C21FF" w:rsidP="00C03ED8">
            <w:pPr>
              <w:rPr>
                <w:sz w:val="20"/>
                <w:szCs w:val="20"/>
              </w:rPr>
            </w:pPr>
            <w:r w:rsidRPr="00A36AB4">
              <w:rPr>
                <w:sz w:val="20"/>
                <w:szCs w:val="20"/>
              </w:rPr>
              <w:t>Critical thinking skills</w:t>
            </w:r>
          </w:p>
        </w:tc>
        <w:tc>
          <w:tcPr>
            <w:tcW w:w="4950" w:type="dxa"/>
          </w:tcPr>
          <w:p w14:paraId="72945497" w14:textId="77777777" w:rsidR="007C21FF" w:rsidRPr="00A36AB4" w:rsidRDefault="007C21FF" w:rsidP="00C03ED8">
            <w:pPr>
              <w:rPr>
                <w:sz w:val="20"/>
                <w:szCs w:val="20"/>
              </w:rPr>
            </w:pPr>
            <w:r w:rsidRPr="00A36AB4">
              <w:rPr>
                <w:sz w:val="20"/>
                <w:szCs w:val="20"/>
              </w:rPr>
              <w:t>Inquiry, Problem Solving, Creativity, Innovation</w:t>
            </w:r>
          </w:p>
        </w:tc>
      </w:tr>
      <w:tr w:rsidR="007C21FF" w:rsidRPr="00A36AB4" w14:paraId="577FCF7C" w14:textId="77777777" w:rsidTr="00EE1EC3">
        <w:tc>
          <w:tcPr>
            <w:tcW w:w="4315" w:type="dxa"/>
          </w:tcPr>
          <w:p w14:paraId="64F906DA" w14:textId="77777777" w:rsidR="007C21FF" w:rsidRPr="00A36AB4" w:rsidRDefault="007C21FF" w:rsidP="00C03ED8">
            <w:pPr>
              <w:rPr>
                <w:sz w:val="20"/>
                <w:szCs w:val="20"/>
              </w:rPr>
            </w:pPr>
            <w:r w:rsidRPr="00A36AB4">
              <w:rPr>
                <w:sz w:val="20"/>
                <w:szCs w:val="20"/>
              </w:rPr>
              <w:t>Digital literacy skills</w:t>
            </w:r>
          </w:p>
        </w:tc>
        <w:tc>
          <w:tcPr>
            <w:tcW w:w="4950" w:type="dxa"/>
          </w:tcPr>
          <w:p w14:paraId="4088B475" w14:textId="77777777" w:rsidR="007C21FF" w:rsidRPr="00A36AB4" w:rsidRDefault="007C21FF" w:rsidP="00C03ED8">
            <w:pPr>
              <w:rPr>
                <w:sz w:val="20"/>
                <w:szCs w:val="20"/>
              </w:rPr>
            </w:pPr>
            <w:r w:rsidRPr="00A36AB4">
              <w:rPr>
                <w:sz w:val="20"/>
                <w:szCs w:val="20"/>
              </w:rPr>
              <w:t>Use of Technology, Communication</w:t>
            </w:r>
          </w:p>
        </w:tc>
      </w:tr>
      <w:tr w:rsidR="007C21FF" w:rsidRPr="00A36AB4" w14:paraId="0B87140F" w14:textId="77777777" w:rsidTr="00EE1EC3">
        <w:tc>
          <w:tcPr>
            <w:tcW w:w="4315" w:type="dxa"/>
          </w:tcPr>
          <w:p w14:paraId="5D479FDD" w14:textId="77777777" w:rsidR="007C21FF" w:rsidRPr="00A36AB4" w:rsidRDefault="007C21FF" w:rsidP="00C03ED8">
            <w:pPr>
              <w:rPr>
                <w:sz w:val="20"/>
                <w:szCs w:val="20"/>
              </w:rPr>
            </w:pPr>
            <w:r w:rsidRPr="00A36AB4">
              <w:rPr>
                <w:sz w:val="20"/>
                <w:szCs w:val="20"/>
              </w:rPr>
              <w:t>Self-management: utilizing resources</w:t>
            </w:r>
          </w:p>
        </w:tc>
        <w:tc>
          <w:tcPr>
            <w:tcW w:w="4950" w:type="dxa"/>
          </w:tcPr>
          <w:p w14:paraId="1FCCB6A1" w14:textId="77777777" w:rsidR="007C21FF" w:rsidRPr="00A36AB4" w:rsidRDefault="007C21FF" w:rsidP="00C03ED8">
            <w:pPr>
              <w:rPr>
                <w:sz w:val="20"/>
                <w:szCs w:val="20"/>
              </w:rPr>
            </w:pPr>
            <w:r w:rsidRPr="00A36AB4">
              <w:rPr>
                <w:sz w:val="20"/>
                <w:szCs w:val="20"/>
              </w:rPr>
              <w:t>Innovation, Use of Technology</w:t>
            </w:r>
          </w:p>
        </w:tc>
      </w:tr>
      <w:tr w:rsidR="007C21FF" w:rsidRPr="00A36AB4" w14:paraId="5C1079AF" w14:textId="77777777" w:rsidTr="00EE1EC3">
        <w:tc>
          <w:tcPr>
            <w:tcW w:w="4315" w:type="dxa"/>
          </w:tcPr>
          <w:p w14:paraId="5819478F" w14:textId="77777777" w:rsidR="007C21FF" w:rsidRPr="00A36AB4" w:rsidRDefault="007C21FF" w:rsidP="00C03ED8">
            <w:pPr>
              <w:rPr>
                <w:sz w:val="20"/>
                <w:szCs w:val="20"/>
              </w:rPr>
            </w:pPr>
            <w:r w:rsidRPr="00A36AB4">
              <w:rPr>
                <w:sz w:val="20"/>
                <w:szCs w:val="20"/>
              </w:rPr>
              <w:t>Self-management: using information</w:t>
            </w:r>
          </w:p>
        </w:tc>
        <w:tc>
          <w:tcPr>
            <w:tcW w:w="4950" w:type="dxa"/>
          </w:tcPr>
          <w:p w14:paraId="5CDB170F" w14:textId="77777777" w:rsidR="007C21FF" w:rsidRPr="00A36AB4" w:rsidRDefault="007C21FF" w:rsidP="00C03ED8">
            <w:pPr>
              <w:rPr>
                <w:sz w:val="20"/>
                <w:szCs w:val="20"/>
              </w:rPr>
            </w:pPr>
            <w:r w:rsidRPr="00A36AB4">
              <w:rPr>
                <w:sz w:val="20"/>
                <w:szCs w:val="20"/>
              </w:rPr>
              <w:t>Innovation, Problem Solving, Creativity</w:t>
            </w:r>
          </w:p>
        </w:tc>
      </w:tr>
      <w:tr w:rsidR="007C21FF" w:rsidRPr="00A36AB4" w14:paraId="3BCDDFB8" w14:textId="77777777" w:rsidTr="00EE1EC3">
        <w:tc>
          <w:tcPr>
            <w:tcW w:w="4315" w:type="dxa"/>
          </w:tcPr>
          <w:p w14:paraId="7F19033D" w14:textId="77777777" w:rsidR="007C21FF" w:rsidRPr="00A36AB4" w:rsidRDefault="007C21FF" w:rsidP="00C03ED8">
            <w:pPr>
              <w:rPr>
                <w:sz w:val="20"/>
                <w:szCs w:val="20"/>
              </w:rPr>
            </w:pPr>
            <w:r w:rsidRPr="00A36AB4">
              <w:rPr>
                <w:sz w:val="20"/>
                <w:szCs w:val="20"/>
              </w:rPr>
              <w:t>Self-management: working with others</w:t>
            </w:r>
          </w:p>
        </w:tc>
        <w:tc>
          <w:tcPr>
            <w:tcW w:w="4950" w:type="dxa"/>
          </w:tcPr>
          <w:p w14:paraId="7D9E451A" w14:textId="77777777" w:rsidR="007C21FF" w:rsidRPr="00A36AB4" w:rsidRDefault="007C21FF" w:rsidP="00C03ED8">
            <w:pPr>
              <w:rPr>
                <w:sz w:val="20"/>
                <w:szCs w:val="20"/>
              </w:rPr>
            </w:pPr>
            <w:r w:rsidRPr="00A36AB4">
              <w:rPr>
                <w:sz w:val="20"/>
                <w:szCs w:val="20"/>
              </w:rPr>
              <w:t>All</w:t>
            </w:r>
          </w:p>
        </w:tc>
      </w:tr>
      <w:tr w:rsidR="007C21FF" w:rsidRPr="00A36AB4" w14:paraId="79C548AF" w14:textId="77777777" w:rsidTr="00EE1EC3">
        <w:tc>
          <w:tcPr>
            <w:tcW w:w="4315" w:type="dxa"/>
          </w:tcPr>
          <w:p w14:paraId="640C77A0" w14:textId="77777777" w:rsidR="007C21FF" w:rsidRPr="00A36AB4" w:rsidRDefault="007C21FF" w:rsidP="00C03ED8">
            <w:pPr>
              <w:rPr>
                <w:sz w:val="20"/>
                <w:szCs w:val="20"/>
              </w:rPr>
            </w:pPr>
            <w:r w:rsidRPr="00A36AB4">
              <w:rPr>
                <w:sz w:val="20"/>
                <w:szCs w:val="20"/>
              </w:rPr>
              <w:t>Self-management: understanding systems</w:t>
            </w:r>
          </w:p>
        </w:tc>
        <w:tc>
          <w:tcPr>
            <w:tcW w:w="4950" w:type="dxa"/>
          </w:tcPr>
          <w:p w14:paraId="4D561089" w14:textId="77777777" w:rsidR="007C21FF" w:rsidRPr="00A36AB4" w:rsidRDefault="007C21FF" w:rsidP="00C03ED8">
            <w:pPr>
              <w:rPr>
                <w:sz w:val="20"/>
                <w:szCs w:val="20"/>
              </w:rPr>
            </w:pPr>
            <w:r w:rsidRPr="00A36AB4">
              <w:rPr>
                <w:sz w:val="20"/>
                <w:szCs w:val="20"/>
              </w:rPr>
              <w:t>Inquiry, Collaboration, Problem Solving</w:t>
            </w:r>
          </w:p>
        </w:tc>
      </w:tr>
      <w:tr w:rsidR="007C21FF" w:rsidRPr="00A36AB4" w14:paraId="713351D6" w14:textId="77777777" w:rsidTr="00EE1EC3">
        <w:tc>
          <w:tcPr>
            <w:tcW w:w="4315" w:type="dxa"/>
          </w:tcPr>
          <w:p w14:paraId="20825783" w14:textId="77777777" w:rsidR="007C21FF" w:rsidRPr="00A36AB4" w:rsidRDefault="007C21FF" w:rsidP="00C03ED8">
            <w:pPr>
              <w:rPr>
                <w:sz w:val="20"/>
                <w:szCs w:val="20"/>
              </w:rPr>
            </w:pPr>
            <w:r w:rsidRPr="00A36AB4">
              <w:rPr>
                <w:sz w:val="20"/>
                <w:szCs w:val="20"/>
              </w:rPr>
              <w:t>Skills for successful transition to postsecondary education or training, or employment</w:t>
            </w:r>
          </w:p>
        </w:tc>
        <w:tc>
          <w:tcPr>
            <w:tcW w:w="4950" w:type="dxa"/>
          </w:tcPr>
          <w:p w14:paraId="436412D5" w14:textId="77777777" w:rsidR="007C21FF" w:rsidRPr="00A36AB4" w:rsidRDefault="007C21FF" w:rsidP="00C03ED8">
            <w:pPr>
              <w:rPr>
                <w:sz w:val="20"/>
                <w:szCs w:val="20"/>
              </w:rPr>
            </w:pPr>
            <w:r w:rsidRPr="00A36AB4">
              <w:rPr>
                <w:sz w:val="20"/>
                <w:szCs w:val="20"/>
              </w:rPr>
              <w:t>All</w:t>
            </w:r>
          </w:p>
        </w:tc>
      </w:tr>
    </w:tbl>
    <w:p w14:paraId="539F3F4C" w14:textId="77777777" w:rsidR="00DC303E" w:rsidRPr="005E4B01" w:rsidRDefault="00DC303E" w:rsidP="00DC303E">
      <w:r w:rsidRPr="005E4B01">
        <w:t xml:space="preserve">EQS Transferable skills:  </w:t>
      </w:r>
    </w:p>
    <w:p w14:paraId="1F4C26E5" w14:textId="77777777" w:rsidR="00DC303E" w:rsidRPr="005E4B01" w:rsidRDefault="00DC303E" w:rsidP="00551254">
      <w:pPr>
        <w:pStyle w:val="ListParagraph"/>
        <w:numPr>
          <w:ilvl w:val="0"/>
          <w:numId w:val="41"/>
        </w:numPr>
        <w:spacing w:before="0" w:after="0" w:line="240" w:lineRule="auto"/>
      </w:pPr>
      <w:r w:rsidRPr="005E4B01">
        <w:t>Communication</w:t>
      </w:r>
    </w:p>
    <w:p w14:paraId="477CE254" w14:textId="77777777" w:rsidR="00DC303E" w:rsidRPr="005E4B01" w:rsidRDefault="00DC303E" w:rsidP="00551254">
      <w:pPr>
        <w:pStyle w:val="ListParagraph"/>
        <w:numPr>
          <w:ilvl w:val="0"/>
          <w:numId w:val="41"/>
        </w:numPr>
        <w:spacing w:before="0" w:after="0" w:line="240" w:lineRule="auto"/>
      </w:pPr>
      <w:r w:rsidRPr="005E4B01">
        <w:t>Collaboration</w:t>
      </w:r>
    </w:p>
    <w:p w14:paraId="1D0380C4" w14:textId="77777777" w:rsidR="00DC303E" w:rsidRPr="005E4B01" w:rsidRDefault="00DC303E" w:rsidP="00551254">
      <w:pPr>
        <w:pStyle w:val="ListParagraph"/>
        <w:numPr>
          <w:ilvl w:val="0"/>
          <w:numId w:val="41"/>
        </w:numPr>
        <w:spacing w:before="0" w:after="0" w:line="240" w:lineRule="auto"/>
      </w:pPr>
      <w:r w:rsidRPr="005E4B01">
        <w:t>Creativity</w:t>
      </w:r>
    </w:p>
    <w:p w14:paraId="2A6FA749" w14:textId="77777777" w:rsidR="00DC303E" w:rsidRPr="005E4B01" w:rsidRDefault="00DC303E" w:rsidP="00551254">
      <w:pPr>
        <w:pStyle w:val="ListParagraph"/>
        <w:numPr>
          <w:ilvl w:val="0"/>
          <w:numId w:val="41"/>
        </w:numPr>
        <w:spacing w:before="0" w:after="0" w:line="240" w:lineRule="auto"/>
      </w:pPr>
      <w:r w:rsidRPr="005E4B01">
        <w:t>Innovation</w:t>
      </w:r>
    </w:p>
    <w:p w14:paraId="18716B52" w14:textId="77777777" w:rsidR="00DC303E" w:rsidRPr="005E4B01" w:rsidRDefault="00DC303E" w:rsidP="00551254">
      <w:pPr>
        <w:pStyle w:val="ListParagraph"/>
        <w:numPr>
          <w:ilvl w:val="0"/>
          <w:numId w:val="41"/>
        </w:numPr>
        <w:spacing w:before="0" w:after="0" w:line="240" w:lineRule="auto"/>
      </w:pPr>
      <w:r w:rsidRPr="005E4B01">
        <w:t>Inquiry</w:t>
      </w:r>
    </w:p>
    <w:p w14:paraId="522EED6C" w14:textId="77777777" w:rsidR="00DC303E" w:rsidRPr="005E4B01" w:rsidRDefault="00DC303E" w:rsidP="00551254">
      <w:pPr>
        <w:pStyle w:val="ListParagraph"/>
        <w:numPr>
          <w:ilvl w:val="0"/>
          <w:numId w:val="41"/>
        </w:numPr>
        <w:spacing w:before="0" w:after="0" w:line="240" w:lineRule="auto"/>
      </w:pPr>
      <w:r w:rsidRPr="005E4B01">
        <w:t>Problem solving</w:t>
      </w:r>
    </w:p>
    <w:p w14:paraId="6D5730C2" w14:textId="5212AD32" w:rsidR="00DC303E" w:rsidRPr="00551254" w:rsidRDefault="00DC303E" w:rsidP="00551254">
      <w:pPr>
        <w:pStyle w:val="ListParagraph"/>
        <w:numPr>
          <w:ilvl w:val="0"/>
          <w:numId w:val="41"/>
        </w:numPr>
        <w:spacing w:before="0" w:after="0" w:line="240" w:lineRule="auto"/>
      </w:pPr>
      <w:r w:rsidRPr="00551254">
        <w:t>Use of technology</w:t>
      </w:r>
    </w:p>
    <w:p w14:paraId="318B49A8" w14:textId="7FA9C189" w:rsidR="00B41DC5" w:rsidRDefault="00B41DC5" w:rsidP="00B41DC5">
      <w:pPr>
        <w:spacing w:before="0" w:after="0" w:line="240" w:lineRule="auto"/>
      </w:pPr>
    </w:p>
    <w:p w14:paraId="2E72A293" w14:textId="0D2DAAE6" w:rsidR="00B41DC5" w:rsidRPr="00B41DC5" w:rsidRDefault="00B41DC5" w:rsidP="00B41DC5">
      <w:pPr>
        <w:spacing w:before="0" w:after="0" w:line="240" w:lineRule="auto"/>
      </w:pPr>
      <w:r>
        <w:t>Professional development</w:t>
      </w:r>
      <w:r w:rsidR="001E6B96">
        <w:t xml:space="preserve"> is being developed that will </w:t>
      </w:r>
      <w:r w:rsidR="00FE356F">
        <w:t xml:space="preserve">help AEL providers </w:t>
      </w:r>
      <w:r w:rsidR="004921A6">
        <w:t>better understand</w:t>
      </w:r>
      <w:r w:rsidR="00FE356F">
        <w:t xml:space="preserve"> th</w:t>
      </w:r>
      <w:r w:rsidR="000359DC">
        <w:t>is</w:t>
      </w:r>
      <w:r w:rsidR="00FE356F">
        <w:t xml:space="preserve"> alignment of standards</w:t>
      </w:r>
      <w:r w:rsidR="000359DC">
        <w:t xml:space="preserve"> and skills</w:t>
      </w:r>
      <w:r w:rsidR="00FE356F">
        <w:t xml:space="preserve"> and </w:t>
      </w:r>
      <w:r w:rsidR="00D10934">
        <w:t xml:space="preserve">more effectively </w:t>
      </w:r>
      <w:r w:rsidR="00FE356F">
        <w:t xml:space="preserve">communicate this alignment to </w:t>
      </w:r>
      <w:r w:rsidR="00CC1F56">
        <w:t xml:space="preserve">district </w:t>
      </w:r>
      <w:r w:rsidR="00FE356F">
        <w:t>staff</w:t>
      </w:r>
      <w:r w:rsidR="00CC1F56">
        <w:t xml:space="preserve"> when collaborating through the HSCP</w:t>
      </w:r>
      <w:r w:rsidR="00D10934">
        <w:t>.</w:t>
      </w:r>
      <w:r w:rsidR="00746A8E">
        <w:t xml:space="preserve"> We have learned that when the TABE 11/12 is devalued as</w:t>
      </w:r>
      <w:r w:rsidR="00CC1F56">
        <w:t xml:space="preserve"> </w:t>
      </w:r>
      <w:r w:rsidR="002A398E">
        <w:t>a</w:t>
      </w:r>
      <w:r w:rsidR="00746A8E">
        <w:t xml:space="preserve"> </w:t>
      </w:r>
      <w:r w:rsidR="00F905A8">
        <w:t xml:space="preserve">“standardized assessment”, negative assumptions are made about </w:t>
      </w:r>
      <w:r w:rsidR="00390332">
        <w:t>its</w:t>
      </w:r>
      <w:r w:rsidR="00F905A8">
        <w:t xml:space="preserve"> relevance and role in e</w:t>
      </w:r>
      <w:r w:rsidR="002A398E">
        <w:t xml:space="preserve">nsuring </w:t>
      </w:r>
      <w:r w:rsidR="007976BF">
        <w:t xml:space="preserve">that </w:t>
      </w:r>
      <w:r w:rsidR="002A398E">
        <w:t>students possess the requisite skills they need before graduating and exiting AEL services</w:t>
      </w:r>
      <w:r w:rsidR="00F905A8">
        <w:t xml:space="preserve">. Since high schools in Vermont do not require </w:t>
      </w:r>
      <w:r w:rsidR="00390332">
        <w:t xml:space="preserve">specific testing scores to graduate students, </w:t>
      </w:r>
      <w:r w:rsidR="00DA4280">
        <w:t xml:space="preserve">there is a misunderstanding about the meaning of the 11/12 scores. </w:t>
      </w:r>
      <w:r w:rsidR="000E48D3">
        <w:t xml:space="preserve">The </w:t>
      </w:r>
      <w:r w:rsidR="00142898">
        <w:t xml:space="preserve">goal </w:t>
      </w:r>
      <w:r w:rsidR="00CB3975">
        <w:t xml:space="preserve">is that </w:t>
      </w:r>
      <w:r w:rsidR="000E48D3">
        <w:t xml:space="preserve">high schools and the </w:t>
      </w:r>
      <w:r w:rsidR="00476624">
        <w:t xml:space="preserve">AEL providers </w:t>
      </w:r>
      <w:r w:rsidR="00CB3975">
        <w:t xml:space="preserve">will </w:t>
      </w:r>
      <w:r w:rsidR="007D3978">
        <w:t>maximize use of</w:t>
      </w:r>
      <w:r w:rsidR="00476624">
        <w:t xml:space="preserve"> the </w:t>
      </w:r>
      <w:r w:rsidR="00A91B1F">
        <w:t xml:space="preserve">TABE </w:t>
      </w:r>
      <w:r w:rsidR="00476624">
        <w:t>diagnostics</w:t>
      </w:r>
      <w:r w:rsidR="004F3002">
        <w:t xml:space="preserve"> to inform instruction</w:t>
      </w:r>
      <w:r w:rsidR="00AE310C">
        <w:t xml:space="preserve"> and services</w:t>
      </w:r>
      <w:r w:rsidR="004F3002">
        <w:t xml:space="preserve"> </w:t>
      </w:r>
      <w:r w:rsidR="00AE310C" w:rsidRPr="00AE310C">
        <w:rPr>
          <w:u w:val="single"/>
        </w:rPr>
        <w:t>and</w:t>
      </w:r>
      <w:r w:rsidR="004F3002">
        <w:t xml:space="preserve"> demonstrate </w:t>
      </w:r>
      <w:r w:rsidR="00AE310C">
        <w:t xml:space="preserve">the </w:t>
      </w:r>
      <w:r w:rsidR="004F3002">
        <w:t>proficienc</w:t>
      </w:r>
      <w:r w:rsidR="00AE310C">
        <w:t>ies</w:t>
      </w:r>
      <w:r w:rsidR="004F3002">
        <w:t xml:space="preserve"> needed for college and career.</w:t>
      </w:r>
    </w:p>
    <w:p w14:paraId="03D3FE25" w14:textId="480E8FC6" w:rsidR="00FF3CC2" w:rsidRPr="00A36AB4" w:rsidRDefault="00A14FC4" w:rsidP="00343E9B">
      <w:pPr>
        <w:pStyle w:val="Heading2"/>
      </w:pPr>
      <w:r w:rsidRPr="00A36AB4">
        <w:t xml:space="preserve">6. Programs for Corrections Education and the Education of </w:t>
      </w:r>
      <w:r w:rsidR="002A02F5" w:rsidRPr="00A36AB4">
        <w:t>Other Institutionalized Individuals (Section 225)</w:t>
      </w:r>
    </w:p>
    <w:p w14:paraId="2E72FB95" w14:textId="7F241195" w:rsidR="00B33CE7" w:rsidRPr="00F85EC3" w:rsidRDefault="006A6E6C" w:rsidP="006A6E6C">
      <w:r w:rsidRPr="00F85EC3">
        <w:rPr>
          <w:color w:val="000000"/>
        </w:rPr>
        <w:t xml:space="preserve">Per </w:t>
      </w:r>
      <w:r w:rsidR="004B1D09" w:rsidRPr="00F85EC3">
        <w:rPr>
          <w:color w:val="000000"/>
        </w:rPr>
        <w:t xml:space="preserve">the State’s </w:t>
      </w:r>
      <w:r w:rsidR="00721D96" w:rsidRPr="00F85EC3">
        <w:rPr>
          <w:color w:val="000000"/>
        </w:rPr>
        <w:t>WIOA</w:t>
      </w:r>
      <w:r w:rsidR="004B1D09" w:rsidRPr="00F85EC3">
        <w:rPr>
          <w:color w:val="000000"/>
        </w:rPr>
        <w:t xml:space="preserve"> </w:t>
      </w:r>
      <w:r w:rsidRPr="00F85EC3">
        <w:rPr>
          <w:color w:val="000000"/>
        </w:rPr>
        <w:t xml:space="preserve">State Plan, Title II funds are not used to </w:t>
      </w:r>
      <w:r w:rsidR="00FF0C47">
        <w:rPr>
          <w:color w:val="000000"/>
        </w:rPr>
        <w:t>fund</w:t>
      </w:r>
      <w:r w:rsidRPr="00F85EC3">
        <w:rPr>
          <w:color w:val="000000"/>
        </w:rPr>
        <w:t xml:space="preserve"> corrections education</w:t>
      </w:r>
      <w:r w:rsidR="0048562C">
        <w:rPr>
          <w:color w:val="000000"/>
        </w:rPr>
        <w:t xml:space="preserve"> for incarcerated individuals. However, </w:t>
      </w:r>
      <w:r w:rsidR="00FF0C47">
        <w:rPr>
          <w:color w:val="000000"/>
        </w:rPr>
        <w:t xml:space="preserve">AEL </w:t>
      </w:r>
      <w:r w:rsidR="0048562C">
        <w:rPr>
          <w:color w:val="000000"/>
        </w:rPr>
        <w:t>services are provided to adults upon re-entry.</w:t>
      </w:r>
    </w:p>
    <w:sectPr w:rsidR="00B33CE7" w:rsidRPr="00F85EC3" w:rsidSect="00B66234">
      <w:footerReference w:type="default" r:id="rId16"/>
      <w:headerReference w:type="first" r:id="rId17"/>
      <w:footerReference w:type="first" r:id="rId18"/>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5AB6" w14:textId="77777777" w:rsidR="005A3165" w:rsidRDefault="005A3165" w:rsidP="004062C7">
      <w:r>
        <w:separator/>
      </w:r>
    </w:p>
  </w:endnote>
  <w:endnote w:type="continuationSeparator" w:id="0">
    <w:p w14:paraId="46CBBAF0" w14:textId="77777777" w:rsidR="005A3165" w:rsidRDefault="005A3165" w:rsidP="004062C7">
      <w:r>
        <w:continuationSeparator/>
      </w:r>
    </w:p>
  </w:endnote>
  <w:endnote w:type="continuationNotice" w:id="1">
    <w:p w14:paraId="0162AABC" w14:textId="77777777" w:rsidR="005A3165" w:rsidRDefault="005A31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6"/>
      <w:gridCol w:w="1583"/>
      <w:gridCol w:w="3651"/>
    </w:tblGrid>
    <w:tr w:rsidR="00796D5F" w14:paraId="0114C2F4" w14:textId="77777777" w:rsidTr="00774ECD">
      <w:trPr>
        <w:cantSplit/>
        <w:trHeight w:val="633"/>
        <w:tblHeader/>
      </w:trPr>
      <w:tc>
        <w:tcPr>
          <w:tcW w:w="4248" w:type="dxa"/>
        </w:tcPr>
        <w:p w14:paraId="2A85F7E8" w14:textId="464CD80B" w:rsidR="00796D5F" w:rsidRPr="00937FFC" w:rsidRDefault="005F092A" w:rsidP="004460D4">
          <w:pPr>
            <w:pStyle w:val="Footer"/>
          </w:pPr>
          <w:r>
            <w:t>AEL Federal Narrative Report PY19</w:t>
          </w:r>
          <w:r w:rsidR="00796D5F" w:rsidRPr="00937FFC">
            <w:br/>
            <w:t>(Revised:</w:t>
          </w:r>
          <w:r w:rsidR="003D72C1">
            <w:t xml:space="preserve"> December </w:t>
          </w:r>
          <w:r w:rsidR="00E63B61">
            <w:t>30</w:t>
          </w:r>
          <w:r w:rsidR="003D72C1">
            <w:t>, 2020</w:t>
          </w:r>
          <w:r w:rsidR="00796D5F"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7998" w14:textId="77777777" w:rsidR="00B66234" w:rsidRDefault="00B66234" w:rsidP="00B66234">
    <w:pPr>
      <w:pStyle w:val="Heading1"/>
    </w:pPr>
    <w:r>
      <w:t>Contact Information:</w:t>
    </w:r>
    <w:r w:rsidR="001D11ED">
      <w:t xml:space="preserve"> </w:t>
    </w:r>
  </w:p>
  <w:p w14:paraId="03A48068" w14:textId="77777777" w:rsidR="00B66234" w:rsidRDefault="00B66234" w:rsidP="00B66234">
    <w:r>
      <w:t xml:space="preserve">If you have questions about this document or would like additional </w:t>
    </w:r>
    <w:proofErr w:type="gramStart"/>
    <w:r>
      <w:t>information</w:t>
    </w:r>
    <w:proofErr w:type="gramEnd"/>
    <w:r>
      <w:t xml:space="preserve"> please contact:</w:t>
    </w:r>
  </w:p>
  <w:p w14:paraId="58DED47F" w14:textId="58AB6F82" w:rsidR="00B66234" w:rsidRPr="00B66234" w:rsidRDefault="006353D4" w:rsidP="00B66234">
    <w:r>
      <w:t>Robin Castle</w:t>
    </w:r>
    <w:r w:rsidR="00B66234">
      <w:t xml:space="preserve">, </w:t>
    </w:r>
    <w:r>
      <w:t>Student Pathways Division</w:t>
    </w:r>
    <w:r w:rsidR="00B66234">
      <w:t xml:space="preserve">, at </w:t>
    </w:r>
    <w:hyperlink r:id="rId1" w:history="1">
      <w:r w:rsidRPr="00371039">
        <w:rPr>
          <w:rStyle w:val="Hyperlink"/>
          <w:rFonts w:cs="Calibri"/>
        </w:rPr>
        <w:t>robin.castle@vermont.gov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7626" w14:textId="77777777" w:rsidR="005A3165" w:rsidRDefault="005A3165" w:rsidP="004062C7">
      <w:r>
        <w:separator/>
      </w:r>
    </w:p>
  </w:footnote>
  <w:footnote w:type="continuationSeparator" w:id="0">
    <w:p w14:paraId="5BEC5FBE" w14:textId="77777777" w:rsidR="005A3165" w:rsidRDefault="005A3165" w:rsidP="004062C7">
      <w:r>
        <w:continuationSeparator/>
      </w:r>
    </w:p>
  </w:footnote>
  <w:footnote w:type="continuationNotice" w:id="1">
    <w:p w14:paraId="2E498C1A" w14:textId="77777777" w:rsidR="005A3165" w:rsidRDefault="005A31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65303B">
      <w:tc>
        <w:tcPr>
          <w:tcW w:w="4320" w:type="dxa"/>
        </w:tcPr>
        <w:p w14:paraId="711CE569" w14:textId="77777777" w:rsidR="00B20740" w:rsidRDefault="00B20740" w:rsidP="00B20740">
          <w:pPr>
            <w:pStyle w:val="AOE-Header"/>
            <w:spacing w:before="0" w:after="0"/>
            <w:jc w:val="left"/>
            <w:rPr>
              <w:sz w:val="20"/>
              <w:szCs w:val="20"/>
            </w:rPr>
          </w:pPr>
          <w:bookmarkStart w:id="1" w:name="_Hlk24543830"/>
          <w:bookmarkStart w:id="2" w:name="_Hlk24543831"/>
          <w:bookmarkStart w:id="3" w:name="_Hlk24543978"/>
          <w:bookmarkStart w:id="4" w:name="_Hlk24543979"/>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5"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5"/>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
    <w:bookmarkEnd w:id="2"/>
    <w:bookmarkEnd w:id="3"/>
    <w:bookmarkEnd w:id="4"/>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851E7C"/>
    <w:multiLevelType w:val="hybridMultilevel"/>
    <w:tmpl w:val="87D1390B"/>
    <w:lvl w:ilvl="0" w:tplc="FFFFFFFF">
      <w:start w:val="1"/>
      <w:numFmt w:val="ideographDigital"/>
      <w:lvlText w:val=""/>
      <w:lvlJc w:val="left"/>
    </w:lvl>
    <w:lvl w:ilvl="1" w:tplc="FFFFFFFF">
      <w:start w:val="1"/>
      <w:numFmt w:val="ideographDigital"/>
      <w:lvlText w:val=""/>
      <w:lvlJc w:val="left"/>
    </w:lvl>
    <w:lvl w:ilvl="2" w:tplc="A10A1C7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841C0"/>
    <w:multiLevelType w:val="hybridMultilevel"/>
    <w:tmpl w:val="6CF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82196"/>
    <w:multiLevelType w:val="hybridMultilevel"/>
    <w:tmpl w:val="5D8C3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B3EF194"/>
    <w:multiLevelType w:val="hybridMultilevel"/>
    <w:tmpl w:val="487286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BFC52B8"/>
    <w:multiLevelType w:val="hybridMultilevel"/>
    <w:tmpl w:val="3ED8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B1E73"/>
    <w:multiLevelType w:val="hybridMultilevel"/>
    <w:tmpl w:val="2EAC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15C6F"/>
    <w:multiLevelType w:val="hybridMultilevel"/>
    <w:tmpl w:val="9732E1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7006578E"/>
    <w:multiLevelType w:val="hybridMultilevel"/>
    <w:tmpl w:val="655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5" w15:restartNumberingAfterBreak="0">
    <w:nsid w:val="77985F13"/>
    <w:multiLevelType w:val="hybridMultilevel"/>
    <w:tmpl w:val="6E5C2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B38B9"/>
    <w:multiLevelType w:val="hybridMultilevel"/>
    <w:tmpl w:val="88B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4"/>
  </w:num>
  <w:num w:numId="2">
    <w:abstractNumId w:val="15"/>
  </w:num>
  <w:num w:numId="3">
    <w:abstractNumId w:val="30"/>
  </w:num>
  <w:num w:numId="4">
    <w:abstractNumId w:val="24"/>
  </w:num>
  <w:num w:numId="5">
    <w:abstractNumId w:val="25"/>
  </w:num>
  <w:num w:numId="6">
    <w:abstractNumId w:val="6"/>
  </w:num>
  <w:num w:numId="7">
    <w:abstractNumId w:val="2"/>
  </w:num>
  <w:num w:numId="8">
    <w:abstractNumId w:val="16"/>
  </w:num>
  <w:num w:numId="9">
    <w:abstractNumId w:val="21"/>
  </w:num>
  <w:num w:numId="10">
    <w:abstractNumId w:val="36"/>
  </w:num>
  <w:num w:numId="11">
    <w:abstractNumId w:val="19"/>
  </w:num>
  <w:num w:numId="12">
    <w:abstractNumId w:val="10"/>
  </w:num>
  <w:num w:numId="13">
    <w:abstractNumId w:val="39"/>
  </w:num>
  <w:num w:numId="14">
    <w:abstractNumId w:val="11"/>
  </w:num>
  <w:num w:numId="15">
    <w:abstractNumId w:val="38"/>
  </w:num>
  <w:num w:numId="16">
    <w:abstractNumId w:val="5"/>
  </w:num>
  <w:num w:numId="17">
    <w:abstractNumId w:val="7"/>
  </w:num>
  <w:num w:numId="18">
    <w:abstractNumId w:val="20"/>
  </w:num>
  <w:num w:numId="19">
    <w:abstractNumId w:val="26"/>
  </w:num>
  <w:num w:numId="20">
    <w:abstractNumId w:val="13"/>
  </w:num>
  <w:num w:numId="21">
    <w:abstractNumId w:val="14"/>
  </w:num>
  <w:num w:numId="22">
    <w:abstractNumId w:val="12"/>
  </w:num>
  <w:num w:numId="23">
    <w:abstractNumId w:val="3"/>
  </w:num>
  <w:num w:numId="24">
    <w:abstractNumId w:val="31"/>
  </w:num>
  <w:num w:numId="25">
    <w:abstractNumId w:val="3"/>
  </w:num>
  <w:num w:numId="26">
    <w:abstractNumId w:val="4"/>
  </w:num>
  <w:num w:numId="27">
    <w:abstractNumId w:val="27"/>
  </w:num>
  <w:num w:numId="28">
    <w:abstractNumId w:val="29"/>
  </w:num>
  <w:num w:numId="29">
    <w:abstractNumId w:val="18"/>
  </w:num>
  <w:num w:numId="30">
    <w:abstractNumId w:val="8"/>
  </w:num>
  <w:num w:numId="31">
    <w:abstractNumId w:val="1"/>
  </w:num>
  <w:num w:numId="32">
    <w:abstractNumId w:val="0"/>
  </w:num>
  <w:num w:numId="33">
    <w:abstractNumId w:val="28"/>
  </w:num>
  <w:num w:numId="34">
    <w:abstractNumId w:val="22"/>
  </w:num>
  <w:num w:numId="35">
    <w:abstractNumId w:val="33"/>
  </w:num>
  <w:num w:numId="36">
    <w:abstractNumId w:val="9"/>
  </w:num>
  <w:num w:numId="37">
    <w:abstractNumId w:val="32"/>
  </w:num>
  <w:num w:numId="38">
    <w:abstractNumId w:val="35"/>
  </w:num>
  <w:num w:numId="39">
    <w:abstractNumId w:val="37"/>
  </w:num>
  <w:num w:numId="40">
    <w:abstractNumId w:val="2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156E"/>
    <w:rsid w:val="000016B2"/>
    <w:rsid w:val="00001931"/>
    <w:rsid w:val="00003E2B"/>
    <w:rsid w:val="000070AD"/>
    <w:rsid w:val="00011117"/>
    <w:rsid w:val="00012FB7"/>
    <w:rsid w:val="00013BBB"/>
    <w:rsid w:val="000144B2"/>
    <w:rsid w:val="00016268"/>
    <w:rsid w:val="0001648D"/>
    <w:rsid w:val="00017A33"/>
    <w:rsid w:val="0002009A"/>
    <w:rsid w:val="0002603D"/>
    <w:rsid w:val="00030823"/>
    <w:rsid w:val="000310B4"/>
    <w:rsid w:val="000321FC"/>
    <w:rsid w:val="00033516"/>
    <w:rsid w:val="000359DC"/>
    <w:rsid w:val="00037F91"/>
    <w:rsid w:val="000417A4"/>
    <w:rsid w:val="00042FE5"/>
    <w:rsid w:val="00043086"/>
    <w:rsid w:val="000443A3"/>
    <w:rsid w:val="000476B4"/>
    <w:rsid w:val="0005262B"/>
    <w:rsid w:val="00052BD6"/>
    <w:rsid w:val="00052C3D"/>
    <w:rsid w:val="00054371"/>
    <w:rsid w:val="000548B7"/>
    <w:rsid w:val="00056730"/>
    <w:rsid w:val="00056E29"/>
    <w:rsid w:val="0006089C"/>
    <w:rsid w:val="00061EF5"/>
    <w:rsid w:val="00062180"/>
    <w:rsid w:val="00062DFA"/>
    <w:rsid w:val="00063A55"/>
    <w:rsid w:val="00067F16"/>
    <w:rsid w:val="0007276B"/>
    <w:rsid w:val="00076F67"/>
    <w:rsid w:val="000806B4"/>
    <w:rsid w:val="00082EC1"/>
    <w:rsid w:val="0008301F"/>
    <w:rsid w:val="0008376C"/>
    <w:rsid w:val="00086C9C"/>
    <w:rsid w:val="00086D83"/>
    <w:rsid w:val="000879AA"/>
    <w:rsid w:val="00096442"/>
    <w:rsid w:val="0009686F"/>
    <w:rsid w:val="0009746F"/>
    <w:rsid w:val="000978C9"/>
    <w:rsid w:val="000A18AD"/>
    <w:rsid w:val="000A1CB1"/>
    <w:rsid w:val="000A2541"/>
    <w:rsid w:val="000A2E8D"/>
    <w:rsid w:val="000A784B"/>
    <w:rsid w:val="000B0104"/>
    <w:rsid w:val="000B192A"/>
    <w:rsid w:val="000B2123"/>
    <w:rsid w:val="000B3621"/>
    <w:rsid w:val="000C2A6A"/>
    <w:rsid w:val="000C3ECC"/>
    <w:rsid w:val="000C50CC"/>
    <w:rsid w:val="000C6A4E"/>
    <w:rsid w:val="000D54D8"/>
    <w:rsid w:val="000D5C35"/>
    <w:rsid w:val="000D6CB0"/>
    <w:rsid w:val="000E1FCC"/>
    <w:rsid w:val="000E2613"/>
    <w:rsid w:val="000E48D3"/>
    <w:rsid w:val="000E6C83"/>
    <w:rsid w:val="000E760D"/>
    <w:rsid w:val="000E7B9F"/>
    <w:rsid w:val="000E7C04"/>
    <w:rsid w:val="000F200C"/>
    <w:rsid w:val="000F2B96"/>
    <w:rsid w:val="000F3A23"/>
    <w:rsid w:val="000F6299"/>
    <w:rsid w:val="000F62B6"/>
    <w:rsid w:val="000F76D9"/>
    <w:rsid w:val="000F7970"/>
    <w:rsid w:val="000F7B69"/>
    <w:rsid w:val="000F7F54"/>
    <w:rsid w:val="001002BE"/>
    <w:rsid w:val="001009A5"/>
    <w:rsid w:val="00100F2B"/>
    <w:rsid w:val="00102EA8"/>
    <w:rsid w:val="001033B0"/>
    <w:rsid w:val="00104EFB"/>
    <w:rsid w:val="00114E4B"/>
    <w:rsid w:val="00117319"/>
    <w:rsid w:val="00121BFE"/>
    <w:rsid w:val="001233B9"/>
    <w:rsid w:val="00125117"/>
    <w:rsid w:val="00125E79"/>
    <w:rsid w:val="001265F8"/>
    <w:rsid w:val="0013116B"/>
    <w:rsid w:val="00131B82"/>
    <w:rsid w:val="0013267A"/>
    <w:rsid w:val="00133346"/>
    <w:rsid w:val="00137092"/>
    <w:rsid w:val="0013797B"/>
    <w:rsid w:val="00140006"/>
    <w:rsid w:val="001409EF"/>
    <w:rsid w:val="00142898"/>
    <w:rsid w:val="00143014"/>
    <w:rsid w:val="001435C9"/>
    <w:rsid w:val="00147A67"/>
    <w:rsid w:val="00147D4A"/>
    <w:rsid w:val="00150E9A"/>
    <w:rsid w:val="00152738"/>
    <w:rsid w:val="0015284E"/>
    <w:rsid w:val="001531C8"/>
    <w:rsid w:val="00154A08"/>
    <w:rsid w:val="00156036"/>
    <w:rsid w:val="00157FC3"/>
    <w:rsid w:val="00161F11"/>
    <w:rsid w:val="00163CFB"/>
    <w:rsid w:val="0016403A"/>
    <w:rsid w:val="001645D6"/>
    <w:rsid w:val="001649BF"/>
    <w:rsid w:val="00167A5E"/>
    <w:rsid w:val="0017196D"/>
    <w:rsid w:val="00173B58"/>
    <w:rsid w:val="00175297"/>
    <w:rsid w:val="001754D3"/>
    <w:rsid w:val="00175959"/>
    <w:rsid w:val="0017612B"/>
    <w:rsid w:val="001761D8"/>
    <w:rsid w:val="00176E0A"/>
    <w:rsid w:val="001809E8"/>
    <w:rsid w:val="00183DC3"/>
    <w:rsid w:val="00184368"/>
    <w:rsid w:val="00185C0F"/>
    <w:rsid w:val="001870AA"/>
    <w:rsid w:val="00187501"/>
    <w:rsid w:val="00191994"/>
    <w:rsid w:val="00194210"/>
    <w:rsid w:val="00195DEB"/>
    <w:rsid w:val="0019681F"/>
    <w:rsid w:val="001A0529"/>
    <w:rsid w:val="001A25E6"/>
    <w:rsid w:val="001A26BC"/>
    <w:rsid w:val="001A6A7A"/>
    <w:rsid w:val="001A7A64"/>
    <w:rsid w:val="001B08D3"/>
    <w:rsid w:val="001B1F05"/>
    <w:rsid w:val="001B32BE"/>
    <w:rsid w:val="001B3C1F"/>
    <w:rsid w:val="001B598F"/>
    <w:rsid w:val="001B5D70"/>
    <w:rsid w:val="001B62DB"/>
    <w:rsid w:val="001B68F3"/>
    <w:rsid w:val="001B6B65"/>
    <w:rsid w:val="001C1F88"/>
    <w:rsid w:val="001C25E3"/>
    <w:rsid w:val="001C3273"/>
    <w:rsid w:val="001C4C04"/>
    <w:rsid w:val="001C6132"/>
    <w:rsid w:val="001C66EE"/>
    <w:rsid w:val="001C7572"/>
    <w:rsid w:val="001C7D24"/>
    <w:rsid w:val="001D07C0"/>
    <w:rsid w:val="001D11ED"/>
    <w:rsid w:val="001D35CB"/>
    <w:rsid w:val="001D47E5"/>
    <w:rsid w:val="001D54CA"/>
    <w:rsid w:val="001E2FD2"/>
    <w:rsid w:val="001E3BA6"/>
    <w:rsid w:val="001E444C"/>
    <w:rsid w:val="001E4760"/>
    <w:rsid w:val="001E4DC2"/>
    <w:rsid w:val="001E620A"/>
    <w:rsid w:val="001E6B96"/>
    <w:rsid w:val="001E7B66"/>
    <w:rsid w:val="001E7D07"/>
    <w:rsid w:val="001E7FBE"/>
    <w:rsid w:val="001F0E90"/>
    <w:rsid w:val="001F22D0"/>
    <w:rsid w:val="001F29AD"/>
    <w:rsid w:val="001F4BA5"/>
    <w:rsid w:val="001F53D8"/>
    <w:rsid w:val="001F546E"/>
    <w:rsid w:val="001F5BB7"/>
    <w:rsid w:val="001F60EF"/>
    <w:rsid w:val="001F6161"/>
    <w:rsid w:val="001F723C"/>
    <w:rsid w:val="00201B12"/>
    <w:rsid w:val="0020226A"/>
    <w:rsid w:val="00204A8C"/>
    <w:rsid w:val="00204D7D"/>
    <w:rsid w:val="00205DEE"/>
    <w:rsid w:val="002101F9"/>
    <w:rsid w:val="002112F8"/>
    <w:rsid w:val="0021224B"/>
    <w:rsid w:val="00217F09"/>
    <w:rsid w:val="002214B1"/>
    <w:rsid w:val="00221659"/>
    <w:rsid w:val="00223005"/>
    <w:rsid w:val="002237E0"/>
    <w:rsid w:val="00225425"/>
    <w:rsid w:val="00226874"/>
    <w:rsid w:val="002279DF"/>
    <w:rsid w:val="00231D57"/>
    <w:rsid w:val="00233B11"/>
    <w:rsid w:val="00234606"/>
    <w:rsid w:val="0023642A"/>
    <w:rsid w:val="00237EF1"/>
    <w:rsid w:val="00240613"/>
    <w:rsid w:val="002418EC"/>
    <w:rsid w:val="002420E5"/>
    <w:rsid w:val="0024234C"/>
    <w:rsid w:val="00244630"/>
    <w:rsid w:val="002454EC"/>
    <w:rsid w:val="0024600A"/>
    <w:rsid w:val="0024786D"/>
    <w:rsid w:val="0025198B"/>
    <w:rsid w:val="002519D8"/>
    <w:rsid w:val="00256309"/>
    <w:rsid w:val="0025648A"/>
    <w:rsid w:val="00260D09"/>
    <w:rsid w:val="00261C19"/>
    <w:rsid w:val="0026324B"/>
    <w:rsid w:val="00266073"/>
    <w:rsid w:val="00273FA9"/>
    <w:rsid w:val="002768DB"/>
    <w:rsid w:val="002768E8"/>
    <w:rsid w:val="00277BD5"/>
    <w:rsid w:val="00280DCB"/>
    <w:rsid w:val="002826CB"/>
    <w:rsid w:val="0028626E"/>
    <w:rsid w:val="002934F0"/>
    <w:rsid w:val="002936F8"/>
    <w:rsid w:val="002A02F5"/>
    <w:rsid w:val="002A0C9D"/>
    <w:rsid w:val="002A293A"/>
    <w:rsid w:val="002A2E4D"/>
    <w:rsid w:val="002A398E"/>
    <w:rsid w:val="002A61AD"/>
    <w:rsid w:val="002A634D"/>
    <w:rsid w:val="002B0C88"/>
    <w:rsid w:val="002B28D4"/>
    <w:rsid w:val="002B37A4"/>
    <w:rsid w:val="002B5777"/>
    <w:rsid w:val="002C2014"/>
    <w:rsid w:val="002C2B80"/>
    <w:rsid w:val="002C2D1A"/>
    <w:rsid w:val="002C3428"/>
    <w:rsid w:val="002C395C"/>
    <w:rsid w:val="002C46E8"/>
    <w:rsid w:val="002C5479"/>
    <w:rsid w:val="002C5BFB"/>
    <w:rsid w:val="002C639D"/>
    <w:rsid w:val="002C64F5"/>
    <w:rsid w:val="002D2582"/>
    <w:rsid w:val="002D3E25"/>
    <w:rsid w:val="002D46AC"/>
    <w:rsid w:val="002D6A73"/>
    <w:rsid w:val="002D6CFD"/>
    <w:rsid w:val="002D7238"/>
    <w:rsid w:val="002E0106"/>
    <w:rsid w:val="002E13C3"/>
    <w:rsid w:val="002E13E1"/>
    <w:rsid w:val="002E3710"/>
    <w:rsid w:val="002E3912"/>
    <w:rsid w:val="002E50D6"/>
    <w:rsid w:val="002E7361"/>
    <w:rsid w:val="002E7E11"/>
    <w:rsid w:val="002F0A5D"/>
    <w:rsid w:val="002F1F99"/>
    <w:rsid w:val="002F41EE"/>
    <w:rsid w:val="002F48D9"/>
    <w:rsid w:val="002F7E75"/>
    <w:rsid w:val="0030122C"/>
    <w:rsid w:val="00302C74"/>
    <w:rsid w:val="003038F8"/>
    <w:rsid w:val="00305AF2"/>
    <w:rsid w:val="00305C35"/>
    <w:rsid w:val="00305D92"/>
    <w:rsid w:val="00306FE1"/>
    <w:rsid w:val="0030718D"/>
    <w:rsid w:val="003101C1"/>
    <w:rsid w:val="003106FE"/>
    <w:rsid w:val="003113A0"/>
    <w:rsid w:val="00311D74"/>
    <w:rsid w:val="00314055"/>
    <w:rsid w:val="003142ED"/>
    <w:rsid w:val="00314FD9"/>
    <w:rsid w:val="00315A52"/>
    <w:rsid w:val="003179B2"/>
    <w:rsid w:val="00326074"/>
    <w:rsid w:val="003269E4"/>
    <w:rsid w:val="003274F5"/>
    <w:rsid w:val="003275FD"/>
    <w:rsid w:val="00331C08"/>
    <w:rsid w:val="003322EA"/>
    <w:rsid w:val="00332368"/>
    <w:rsid w:val="00334D48"/>
    <w:rsid w:val="00335221"/>
    <w:rsid w:val="00336CFD"/>
    <w:rsid w:val="00336F2E"/>
    <w:rsid w:val="00340C04"/>
    <w:rsid w:val="00342875"/>
    <w:rsid w:val="00343E9B"/>
    <w:rsid w:val="00345106"/>
    <w:rsid w:val="00346084"/>
    <w:rsid w:val="00350393"/>
    <w:rsid w:val="0035180C"/>
    <w:rsid w:val="00352287"/>
    <w:rsid w:val="00352F6F"/>
    <w:rsid w:val="00353B4D"/>
    <w:rsid w:val="00353E64"/>
    <w:rsid w:val="00356DA4"/>
    <w:rsid w:val="003601EE"/>
    <w:rsid w:val="0036034D"/>
    <w:rsid w:val="00364216"/>
    <w:rsid w:val="00365269"/>
    <w:rsid w:val="003654E0"/>
    <w:rsid w:val="00365AA5"/>
    <w:rsid w:val="00370CB6"/>
    <w:rsid w:val="00371BF8"/>
    <w:rsid w:val="00373947"/>
    <w:rsid w:val="00374FC2"/>
    <w:rsid w:val="00375EA6"/>
    <w:rsid w:val="00376725"/>
    <w:rsid w:val="00381662"/>
    <w:rsid w:val="00382DA7"/>
    <w:rsid w:val="003834C2"/>
    <w:rsid w:val="003834FF"/>
    <w:rsid w:val="0038414A"/>
    <w:rsid w:val="00384E76"/>
    <w:rsid w:val="00390332"/>
    <w:rsid w:val="0039058E"/>
    <w:rsid w:val="00390B8F"/>
    <w:rsid w:val="003923DB"/>
    <w:rsid w:val="003977EC"/>
    <w:rsid w:val="003A1411"/>
    <w:rsid w:val="003A2E5D"/>
    <w:rsid w:val="003A4407"/>
    <w:rsid w:val="003A4F76"/>
    <w:rsid w:val="003B1BCA"/>
    <w:rsid w:val="003B1CCA"/>
    <w:rsid w:val="003B2ADC"/>
    <w:rsid w:val="003B2C47"/>
    <w:rsid w:val="003B5831"/>
    <w:rsid w:val="003B7F81"/>
    <w:rsid w:val="003C0E5E"/>
    <w:rsid w:val="003C11BA"/>
    <w:rsid w:val="003C1C3D"/>
    <w:rsid w:val="003C3533"/>
    <w:rsid w:val="003C56C0"/>
    <w:rsid w:val="003C74C4"/>
    <w:rsid w:val="003C781D"/>
    <w:rsid w:val="003D0155"/>
    <w:rsid w:val="003D0852"/>
    <w:rsid w:val="003D090F"/>
    <w:rsid w:val="003D23FB"/>
    <w:rsid w:val="003D32D3"/>
    <w:rsid w:val="003D3E6A"/>
    <w:rsid w:val="003D72C1"/>
    <w:rsid w:val="003D7AE4"/>
    <w:rsid w:val="003E23E6"/>
    <w:rsid w:val="003E2FE2"/>
    <w:rsid w:val="003E5707"/>
    <w:rsid w:val="003E736C"/>
    <w:rsid w:val="003E74B8"/>
    <w:rsid w:val="003F1A87"/>
    <w:rsid w:val="003F2E70"/>
    <w:rsid w:val="003F421D"/>
    <w:rsid w:val="003F6820"/>
    <w:rsid w:val="004001F6"/>
    <w:rsid w:val="004002C2"/>
    <w:rsid w:val="00401700"/>
    <w:rsid w:val="00401EF7"/>
    <w:rsid w:val="004026A9"/>
    <w:rsid w:val="004035B4"/>
    <w:rsid w:val="004057A6"/>
    <w:rsid w:val="004062C7"/>
    <w:rsid w:val="00410700"/>
    <w:rsid w:val="004108E5"/>
    <w:rsid w:val="00412377"/>
    <w:rsid w:val="004153E1"/>
    <w:rsid w:val="00415C12"/>
    <w:rsid w:val="0042059A"/>
    <w:rsid w:val="00421DCC"/>
    <w:rsid w:val="0042614A"/>
    <w:rsid w:val="00427517"/>
    <w:rsid w:val="0043155A"/>
    <w:rsid w:val="00432891"/>
    <w:rsid w:val="004344D9"/>
    <w:rsid w:val="0043575C"/>
    <w:rsid w:val="004378E6"/>
    <w:rsid w:val="00437DA8"/>
    <w:rsid w:val="00440F8D"/>
    <w:rsid w:val="00442899"/>
    <w:rsid w:val="00444839"/>
    <w:rsid w:val="00444A7A"/>
    <w:rsid w:val="004460D4"/>
    <w:rsid w:val="004461B2"/>
    <w:rsid w:val="0045042D"/>
    <w:rsid w:val="004507C6"/>
    <w:rsid w:val="00451641"/>
    <w:rsid w:val="00453681"/>
    <w:rsid w:val="00453C82"/>
    <w:rsid w:val="0046686D"/>
    <w:rsid w:val="00467066"/>
    <w:rsid w:val="00470296"/>
    <w:rsid w:val="004709BA"/>
    <w:rsid w:val="00471FB5"/>
    <w:rsid w:val="00471FCC"/>
    <w:rsid w:val="004739FF"/>
    <w:rsid w:val="00475682"/>
    <w:rsid w:val="00475F40"/>
    <w:rsid w:val="00476211"/>
    <w:rsid w:val="00476624"/>
    <w:rsid w:val="00476FED"/>
    <w:rsid w:val="00481ABE"/>
    <w:rsid w:val="00483E0D"/>
    <w:rsid w:val="004841F1"/>
    <w:rsid w:val="00484A92"/>
    <w:rsid w:val="00484D19"/>
    <w:rsid w:val="0048511D"/>
    <w:rsid w:val="00485188"/>
    <w:rsid w:val="0048562C"/>
    <w:rsid w:val="00486EB9"/>
    <w:rsid w:val="00490247"/>
    <w:rsid w:val="004916FF"/>
    <w:rsid w:val="004921A6"/>
    <w:rsid w:val="00493736"/>
    <w:rsid w:val="0049770D"/>
    <w:rsid w:val="004A0678"/>
    <w:rsid w:val="004A2137"/>
    <w:rsid w:val="004A2C02"/>
    <w:rsid w:val="004A3850"/>
    <w:rsid w:val="004A53C8"/>
    <w:rsid w:val="004A5B0D"/>
    <w:rsid w:val="004A7AD0"/>
    <w:rsid w:val="004A7B9F"/>
    <w:rsid w:val="004B1D09"/>
    <w:rsid w:val="004B6885"/>
    <w:rsid w:val="004B7F41"/>
    <w:rsid w:val="004C07BF"/>
    <w:rsid w:val="004C07D0"/>
    <w:rsid w:val="004C1AD8"/>
    <w:rsid w:val="004C1C85"/>
    <w:rsid w:val="004C2964"/>
    <w:rsid w:val="004C2E21"/>
    <w:rsid w:val="004C627F"/>
    <w:rsid w:val="004D10FD"/>
    <w:rsid w:val="004D1880"/>
    <w:rsid w:val="004D6080"/>
    <w:rsid w:val="004D7B44"/>
    <w:rsid w:val="004E0C92"/>
    <w:rsid w:val="004E0D87"/>
    <w:rsid w:val="004E192D"/>
    <w:rsid w:val="004E4978"/>
    <w:rsid w:val="004E715D"/>
    <w:rsid w:val="004E7770"/>
    <w:rsid w:val="004F1A9C"/>
    <w:rsid w:val="004F216F"/>
    <w:rsid w:val="004F3002"/>
    <w:rsid w:val="004F3686"/>
    <w:rsid w:val="004F6960"/>
    <w:rsid w:val="00500232"/>
    <w:rsid w:val="005003F2"/>
    <w:rsid w:val="0050469F"/>
    <w:rsid w:val="0050526A"/>
    <w:rsid w:val="00505A69"/>
    <w:rsid w:val="005105C8"/>
    <w:rsid w:val="0051065B"/>
    <w:rsid w:val="00510B04"/>
    <w:rsid w:val="00512E2B"/>
    <w:rsid w:val="005144CA"/>
    <w:rsid w:val="00516350"/>
    <w:rsid w:val="00517257"/>
    <w:rsid w:val="00522C20"/>
    <w:rsid w:val="00523DBA"/>
    <w:rsid w:val="00524C11"/>
    <w:rsid w:val="00525F2F"/>
    <w:rsid w:val="005300A8"/>
    <w:rsid w:val="0053073A"/>
    <w:rsid w:val="00532273"/>
    <w:rsid w:val="005332BD"/>
    <w:rsid w:val="005342D3"/>
    <w:rsid w:val="005349CB"/>
    <w:rsid w:val="00536AA0"/>
    <w:rsid w:val="005409CD"/>
    <w:rsid w:val="0054174F"/>
    <w:rsid w:val="00542679"/>
    <w:rsid w:val="005442E3"/>
    <w:rsid w:val="00545D6D"/>
    <w:rsid w:val="005464E9"/>
    <w:rsid w:val="00550525"/>
    <w:rsid w:val="00550E0A"/>
    <w:rsid w:val="00551254"/>
    <w:rsid w:val="00552980"/>
    <w:rsid w:val="005535B6"/>
    <w:rsid w:val="00556FD8"/>
    <w:rsid w:val="005572D6"/>
    <w:rsid w:val="005650CB"/>
    <w:rsid w:val="0056605F"/>
    <w:rsid w:val="00566B8A"/>
    <w:rsid w:val="0056727F"/>
    <w:rsid w:val="005722B7"/>
    <w:rsid w:val="005743AD"/>
    <w:rsid w:val="005743B3"/>
    <w:rsid w:val="00575711"/>
    <w:rsid w:val="00577325"/>
    <w:rsid w:val="005775D7"/>
    <w:rsid w:val="00580AF5"/>
    <w:rsid w:val="00582982"/>
    <w:rsid w:val="0058346B"/>
    <w:rsid w:val="00584B51"/>
    <w:rsid w:val="005856C5"/>
    <w:rsid w:val="00586A46"/>
    <w:rsid w:val="005903D6"/>
    <w:rsid w:val="00593B43"/>
    <w:rsid w:val="0059400C"/>
    <w:rsid w:val="0059410B"/>
    <w:rsid w:val="0059538A"/>
    <w:rsid w:val="00595F2B"/>
    <w:rsid w:val="005962F2"/>
    <w:rsid w:val="005A0EFF"/>
    <w:rsid w:val="005A2D27"/>
    <w:rsid w:val="005A2F07"/>
    <w:rsid w:val="005A3165"/>
    <w:rsid w:val="005A566B"/>
    <w:rsid w:val="005A68E5"/>
    <w:rsid w:val="005B3D8C"/>
    <w:rsid w:val="005B458F"/>
    <w:rsid w:val="005B4D3F"/>
    <w:rsid w:val="005B54E5"/>
    <w:rsid w:val="005B5528"/>
    <w:rsid w:val="005B57EB"/>
    <w:rsid w:val="005B61CD"/>
    <w:rsid w:val="005B68A4"/>
    <w:rsid w:val="005B6E92"/>
    <w:rsid w:val="005C03FD"/>
    <w:rsid w:val="005C09C0"/>
    <w:rsid w:val="005C0FB7"/>
    <w:rsid w:val="005C5D8D"/>
    <w:rsid w:val="005C7B32"/>
    <w:rsid w:val="005D06B4"/>
    <w:rsid w:val="005D0903"/>
    <w:rsid w:val="005D1242"/>
    <w:rsid w:val="005D1A81"/>
    <w:rsid w:val="005D1AA4"/>
    <w:rsid w:val="005D2A0E"/>
    <w:rsid w:val="005D488A"/>
    <w:rsid w:val="005D51B3"/>
    <w:rsid w:val="005D64BD"/>
    <w:rsid w:val="005D66F4"/>
    <w:rsid w:val="005D7389"/>
    <w:rsid w:val="005D7ABB"/>
    <w:rsid w:val="005E08E4"/>
    <w:rsid w:val="005E0ECB"/>
    <w:rsid w:val="005E6BF8"/>
    <w:rsid w:val="005E7DCA"/>
    <w:rsid w:val="005F091A"/>
    <w:rsid w:val="005F092A"/>
    <w:rsid w:val="005F17CD"/>
    <w:rsid w:val="005F18BF"/>
    <w:rsid w:val="005F2CA2"/>
    <w:rsid w:val="005F352F"/>
    <w:rsid w:val="005F3BB5"/>
    <w:rsid w:val="005F5A88"/>
    <w:rsid w:val="006055C1"/>
    <w:rsid w:val="00605F5C"/>
    <w:rsid w:val="00606259"/>
    <w:rsid w:val="006062D9"/>
    <w:rsid w:val="00614019"/>
    <w:rsid w:val="006144A5"/>
    <w:rsid w:val="00615B44"/>
    <w:rsid w:val="00616D19"/>
    <w:rsid w:val="0062055D"/>
    <w:rsid w:val="00622483"/>
    <w:rsid w:val="0062346E"/>
    <w:rsid w:val="006240C7"/>
    <w:rsid w:val="00624E97"/>
    <w:rsid w:val="00626212"/>
    <w:rsid w:val="0062694A"/>
    <w:rsid w:val="00626F6B"/>
    <w:rsid w:val="0063049A"/>
    <w:rsid w:val="00631285"/>
    <w:rsid w:val="006330C8"/>
    <w:rsid w:val="0063516B"/>
    <w:rsid w:val="006353D4"/>
    <w:rsid w:val="00636A41"/>
    <w:rsid w:val="00642A93"/>
    <w:rsid w:val="00651E8D"/>
    <w:rsid w:val="0065303B"/>
    <w:rsid w:val="00654BDC"/>
    <w:rsid w:val="00661902"/>
    <w:rsid w:val="00661D81"/>
    <w:rsid w:val="00662DCA"/>
    <w:rsid w:val="00662E47"/>
    <w:rsid w:val="006633B0"/>
    <w:rsid w:val="00664372"/>
    <w:rsid w:val="0066550D"/>
    <w:rsid w:val="0066723C"/>
    <w:rsid w:val="00667F2F"/>
    <w:rsid w:val="006703F6"/>
    <w:rsid w:val="00671225"/>
    <w:rsid w:val="006717B2"/>
    <w:rsid w:val="006723AA"/>
    <w:rsid w:val="00680BF2"/>
    <w:rsid w:val="00681917"/>
    <w:rsid w:val="00681EE4"/>
    <w:rsid w:val="006825E6"/>
    <w:rsid w:val="00684119"/>
    <w:rsid w:val="00684854"/>
    <w:rsid w:val="00687B6F"/>
    <w:rsid w:val="00687BB2"/>
    <w:rsid w:val="00691488"/>
    <w:rsid w:val="0069467C"/>
    <w:rsid w:val="00695A4A"/>
    <w:rsid w:val="00696628"/>
    <w:rsid w:val="0069712A"/>
    <w:rsid w:val="006971D0"/>
    <w:rsid w:val="00697484"/>
    <w:rsid w:val="00697A62"/>
    <w:rsid w:val="006A03D9"/>
    <w:rsid w:val="006A1483"/>
    <w:rsid w:val="006A1E79"/>
    <w:rsid w:val="006A2B5A"/>
    <w:rsid w:val="006A3E57"/>
    <w:rsid w:val="006A62C4"/>
    <w:rsid w:val="006A6E6C"/>
    <w:rsid w:val="006B2229"/>
    <w:rsid w:val="006B28D0"/>
    <w:rsid w:val="006B452E"/>
    <w:rsid w:val="006B53C1"/>
    <w:rsid w:val="006B5D67"/>
    <w:rsid w:val="006B6643"/>
    <w:rsid w:val="006B681D"/>
    <w:rsid w:val="006B70CF"/>
    <w:rsid w:val="006C15B4"/>
    <w:rsid w:val="006C1FE4"/>
    <w:rsid w:val="006C29AA"/>
    <w:rsid w:val="006C6733"/>
    <w:rsid w:val="006D29D5"/>
    <w:rsid w:val="006D404E"/>
    <w:rsid w:val="006E3F0C"/>
    <w:rsid w:val="006E55E1"/>
    <w:rsid w:val="006E5F7B"/>
    <w:rsid w:val="006E6CB7"/>
    <w:rsid w:val="006E7B92"/>
    <w:rsid w:val="006F070A"/>
    <w:rsid w:val="006F1871"/>
    <w:rsid w:val="006F414D"/>
    <w:rsid w:val="006F5080"/>
    <w:rsid w:val="006F5603"/>
    <w:rsid w:val="006F66DB"/>
    <w:rsid w:val="006F698F"/>
    <w:rsid w:val="006F79F5"/>
    <w:rsid w:val="00705E72"/>
    <w:rsid w:val="0070668C"/>
    <w:rsid w:val="00706775"/>
    <w:rsid w:val="00707A64"/>
    <w:rsid w:val="00710444"/>
    <w:rsid w:val="00710FE3"/>
    <w:rsid w:val="00712ED7"/>
    <w:rsid w:val="00717BCB"/>
    <w:rsid w:val="00720F8C"/>
    <w:rsid w:val="00721D96"/>
    <w:rsid w:val="00721DF9"/>
    <w:rsid w:val="00722DF9"/>
    <w:rsid w:val="007241C5"/>
    <w:rsid w:val="0072563B"/>
    <w:rsid w:val="00726EF9"/>
    <w:rsid w:val="00727C08"/>
    <w:rsid w:val="00727CC8"/>
    <w:rsid w:val="00731EA9"/>
    <w:rsid w:val="00731FF9"/>
    <w:rsid w:val="00733F37"/>
    <w:rsid w:val="00734368"/>
    <w:rsid w:val="007349AF"/>
    <w:rsid w:val="00734BDF"/>
    <w:rsid w:val="00737812"/>
    <w:rsid w:val="007402C9"/>
    <w:rsid w:val="00740FD3"/>
    <w:rsid w:val="007410FD"/>
    <w:rsid w:val="00745FCE"/>
    <w:rsid w:val="00746838"/>
    <w:rsid w:val="00746A8E"/>
    <w:rsid w:val="0074723D"/>
    <w:rsid w:val="00752533"/>
    <w:rsid w:val="00752675"/>
    <w:rsid w:val="00755104"/>
    <w:rsid w:val="00755E14"/>
    <w:rsid w:val="00755FD9"/>
    <w:rsid w:val="007565BB"/>
    <w:rsid w:val="00756C37"/>
    <w:rsid w:val="0075733D"/>
    <w:rsid w:val="00763C3D"/>
    <w:rsid w:val="00763CBE"/>
    <w:rsid w:val="007652A0"/>
    <w:rsid w:val="0077034A"/>
    <w:rsid w:val="007709A6"/>
    <w:rsid w:val="00770AAF"/>
    <w:rsid w:val="00771800"/>
    <w:rsid w:val="007722E5"/>
    <w:rsid w:val="00774EBE"/>
    <w:rsid w:val="00774ECD"/>
    <w:rsid w:val="007805D4"/>
    <w:rsid w:val="00780786"/>
    <w:rsid w:val="007816DB"/>
    <w:rsid w:val="00781CCF"/>
    <w:rsid w:val="00783DF5"/>
    <w:rsid w:val="00785924"/>
    <w:rsid w:val="007865BE"/>
    <w:rsid w:val="00786A19"/>
    <w:rsid w:val="007914E1"/>
    <w:rsid w:val="007925BF"/>
    <w:rsid w:val="00795AD6"/>
    <w:rsid w:val="007963EC"/>
    <w:rsid w:val="00796D5F"/>
    <w:rsid w:val="007976BF"/>
    <w:rsid w:val="007A10EC"/>
    <w:rsid w:val="007A1512"/>
    <w:rsid w:val="007A1750"/>
    <w:rsid w:val="007A1D1C"/>
    <w:rsid w:val="007A2D82"/>
    <w:rsid w:val="007A3D8D"/>
    <w:rsid w:val="007A4182"/>
    <w:rsid w:val="007A62B8"/>
    <w:rsid w:val="007B2980"/>
    <w:rsid w:val="007B4DC9"/>
    <w:rsid w:val="007B5409"/>
    <w:rsid w:val="007B55A1"/>
    <w:rsid w:val="007B6403"/>
    <w:rsid w:val="007B7F32"/>
    <w:rsid w:val="007C1C40"/>
    <w:rsid w:val="007C21FF"/>
    <w:rsid w:val="007C2257"/>
    <w:rsid w:val="007C73A0"/>
    <w:rsid w:val="007C7BFE"/>
    <w:rsid w:val="007D17B1"/>
    <w:rsid w:val="007D2C1F"/>
    <w:rsid w:val="007D32DF"/>
    <w:rsid w:val="007D3978"/>
    <w:rsid w:val="007D5E67"/>
    <w:rsid w:val="007D6E32"/>
    <w:rsid w:val="007E0FC9"/>
    <w:rsid w:val="007E158F"/>
    <w:rsid w:val="007E39D5"/>
    <w:rsid w:val="007E3BD6"/>
    <w:rsid w:val="007E5101"/>
    <w:rsid w:val="007E5735"/>
    <w:rsid w:val="007E5910"/>
    <w:rsid w:val="007E6C99"/>
    <w:rsid w:val="007F01A8"/>
    <w:rsid w:val="007F0269"/>
    <w:rsid w:val="007F6011"/>
    <w:rsid w:val="007F6083"/>
    <w:rsid w:val="008001C5"/>
    <w:rsid w:val="0080043B"/>
    <w:rsid w:val="00801DDC"/>
    <w:rsid w:val="008026C4"/>
    <w:rsid w:val="00804ED3"/>
    <w:rsid w:val="0080593B"/>
    <w:rsid w:val="008065B7"/>
    <w:rsid w:val="00807542"/>
    <w:rsid w:val="008106B9"/>
    <w:rsid w:val="00811734"/>
    <w:rsid w:val="00813482"/>
    <w:rsid w:val="00815A05"/>
    <w:rsid w:val="00817481"/>
    <w:rsid w:val="00820288"/>
    <w:rsid w:val="0082162E"/>
    <w:rsid w:val="00821D70"/>
    <w:rsid w:val="008227B3"/>
    <w:rsid w:val="0082308E"/>
    <w:rsid w:val="00823C9D"/>
    <w:rsid w:val="00825871"/>
    <w:rsid w:val="00826203"/>
    <w:rsid w:val="008301A0"/>
    <w:rsid w:val="00833B9B"/>
    <w:rsid w:val="008354E9"/>
    <w:rsid w:val="00836AAF"/>
    <w:rsid w:val="00836FC9"/>
    <w:rsid w:val="00840EA2"/>
    <w:rsid w:val="00840F9F"/>
    <w:rsid w:val="00842E6F"/>
    <w:rsid w:val="008430D3"/>
    <w:rsid w:val="00844953"/>
    <w:rsid w:val="008450BE"/>
    <w:rsid w:val="008520FC"/>
    <w:rsid w:val="008533A2"/>
    <w:rsid w:val="00857901"/>
    <w:rsid w:val="008654AB"/>
    <w:rsid w:val="00865A62"/>
    <w:rsid w:val="00865D8A"/>
    <w:rsid w:val="008661ED"/>
    <w:rsid w:val="008732D2"/>
    <w:rsid w:val="00875ABC"/>
    <w:rsid w:val="00875E20"/>
    <w:rsid w:val="0087647A"/>
    <w:rsid w:val="00876AA2"/>
    <w:rsid w:val="00882697"/>
    <w:rsid w:val="00885B55"/>
    <w:rsid w:val="00885E40"/>
    <w:rsid w:val="008868C2"/>
    <w:rsid w:val="00886D0B"/>
    <w:rsid w:val="00890706"/>
    <w:rsid w:val="0089089D"/>
    <w:rsid w:val="00892A93"/>
    <w:rsid w:val="00894096"/>
    <w:rsid w:val="008953A5"/>
    <w:rsid w:val="008960E3"/>
    <w:rsid w:val="00896D1D"/>
    <w:rsid w:val="00897620"/>
    <w:rsid w:val="008A0832"/>
    <w:rsid w:val="008A0A22"/>
    <w:rsid w:val="008A102E"/>
    <w:rsid w:val="008A1B0E"/>
    <w:rsid w:val="008A1E4C"/>
    <w:rsid w:val="008A5238"/>
    <w:rsid w:val="008B00F6"/>
    <w:rsid w:val="008B3396"/>
    <w:rsid w:val="008B41A8"/>
    <w:rsid w:val="008B62BF"/>
    <w:rsid w:val="008B751B"/>
    <w:rsid w:val="008B7607"/>
    <w:rsid w:val="008C1970"/>
    <w:rsid w:val="008C1B89"/>
    <w:rsid w:val="008C241B"/>
    <w:rsid w:val="008C332D"/>
    <w:rsid w:val="008C4053"/>
    <w:rsid w:val="008C4056"/>
    <w:rsid w:val="008C4EAD"/>
    <w:rsid w:val="008C6AE2"/>
    <w:rsid w:val="008D307C"/>
    <w:rsid w:val="008D314E"/>
    <w:rsid w:val="008D3BD9"/>
    <w:rsid w:val="008D4D03"/>
    <w:rsid w:val="008D634C"/>
    <w:rsid w:val="008D6AFC"/>
    <w:rsid w:val="008D6E89"/>
    <w:rsid w:val="008D6EA6"/>
    <w:rsid w:val="008D7B93"/>
    <w:rsid w:val="008D7FF5"/>
    <w:rsid w:val="008E115F"/>
    <w:rsid w:val="008E3C58"/>
    <w:rsid w:val="008E70D1"/>
    <w:rsid w:val="008F0103"/>
    <w:rsid w:val="008F27B0"/>
    <w:rsid w:val="008F3DBE"/>
    <w:rsid w:val="008F4F43"/>
    <w:rsid w:val="008F6F90"/>
    <w:rsid w:val="008F72E9"/>
    <w:rsid w:val="008F780C"/>
    <w:rsid w:val="00904BD5"/>
    <w:rsid w:val="00907441"/>
    <w:rsid w:val="00910FD1"/>
    <w:rsid w:val="00911816"/>
    <w:rsid w:val="0091182D"/>
    <w:rsid w:val="009123CA"/>
    <w:rsid w:val="00913B30"/>
    <w:rsid w:val="009210E4"/>
    <w:rsid w:val="0092656D"/>
    <w:rsid w:val="00936991"/>
    <w:rsid w:val="00937F53"/>
    <w:rsid w:val="00937FFC"/>
    <w:rsid w:val="009401FB"/>
    <w:rsid w:val="00942324"/>
    <w:rsid w:val="009428F9"/>
    <w:rsid w:val="0094350D"/>
    <w:rsid w:val="00943573"/>
    <w:rsid w:val="00944DC2"/>
    <w:rsid w:val="00950657"/>
    <w:rsid w:val="00950EC7"/>
    <w:rsid w:val="00951E61"/>
    <w:rsid w:val="00953B17"/>
    <w:rsid w:val="00953DC4"/>
    <w:rsid w:val="00955135"/>
    <w:rsid w:val="009554E3"/>
    <w:rsid w:val="00955EB1"/>
    <w:rsid w:val="00956A5D"/>
    <w:rsid w:val="00956FF5"/>
    <w:rsid w:val="0096051B"/>
    <w:rsid w:val="00960F0D"/>
    <w:rsid w:val="00961A6D"/>
    <w:rsid w:val="00961CDA"/>
    <w:rsid w:val="00962593"/>
    <w:rsid w:val="00962DC2"/>
    <w:rsid w:val="00964CC0"/>
    <w:rsid w:val="009672FB"/>
    <w:rsid w:val="00971D07"/>
    <w:rsid w:val="009720ED"/>
    <w:rsid w:val="00973CDB"/>
    <w:rsid w:val="00974396"/>
    <w:rsid w:val="00975152"/>
    <w:rsid w:val="009767BD"/>
    <w:rsid w:val="00977692"/>
    <w:rsid w:val="00977D6A"/>
    <w:rsid w:val="00982F0E"/>
    <w:rsid w:val="0098503B"/>
    <w:rsid w:val="0098664F"/>
    <w:rsid w:val="00992B5E"/>
    <w:rsid w:val="00996818"/>
    <w:rsid w:val="009A0DF6"/>
    <w:rsid w:val="009A17AE"/>
    <w:rsid w:val="009A2154"/>
    <w:rsid w:val="009A3203"/>
    <w:rsid w:val="009A4BD4"/>
    <w:rsid w:val="009A6A59"/>
    <w:rsid w:val="009A74C5"/>
    <w:rsid w:val="009B0B6E"/>
    <w:rsid w:val="009B3017"/>
    <w:rsid w:val="009B3C53"/>
    <w:rsid w:val="009B6BCE"/>
    <w:rsid w:val="009C08B4"/>
    <w:rsid w:val="009C410C"/>
    <w:rsid w:val="009C48CE"/>
    <w:rsid w:val="009C496E"/>
    <w:rsid w:val="009C6B72"/>
    <w:rsid w:val="009D24B2"/>
    <w:rsid w:val="009D2D9F"/>
    <w:rsid w:val="009D34F3"/>
    <w:rsid w:val="009D4528"/>
    <w:rsid w:val="009D5009"/>
    <w:rsid w:val="009D50D0"/>
    <w:rsid w:val="009D59AC"/>
    <w:rsid w:val="009D652A"/>
    <w:rsid w:val="009E0821"/>
    <w:rsid w:val="009E11CA"/>
    <w:rsid w:val="009E11F5"/>
    <w:rsid w:val="009E1480"/>
    <w:rsid w:val="009E2106"/>
    <w:rsid w:val="009E24F2"/>
    <w:rsid w:val="009E6DD3"/>
    <w:rsid w:val="009E6DE8"/>
    <w:rsid w:val="009F08D5"/>
    <w:rsid w:val="009F1626"/>
    <w:rsid w:val="009F5A9B"/>
    <w:rsid w:val="009F64EB"/>
    <w:rsid w:val="009F651E"/>
    <w:rsid w:val="009F74A5"/>
    <w:rsid w:val="00A05DC1"/>
    <w:rsid w:val="00A061DD"/>
    <w:rsid w:val="00A072E9"/>
    <w:rsid w:val="00A07F57"/>
    <w:rsid w:val="00A1111B"/>
    <w:rsid w:val="00A14193"/>
    <w:rsid w:val="00A14FC4"/>
    <w:rsid w:val="00A1547A"/>
    <w:rsid w:val="00A17E62"/>
    <w:rsid w:val="00A211A8"/>
    <w:rsid w:val="00A22D22"/>
    <w:rsid w:val="00A23C55"/>
    <w:rsid w:val="00A24A79"/>
    <w:rsid w:val="00A24AEB"/>
    <w:rsid w:val="00A303E8"/>
    <w:rsid w:val="00A323E2"/>
    <w:rsid w:val="00A35FFF"/>
    <w:rsid w:val="00A36AB4"/>
    <w:rsid w:val="00A36B8C"/>
    <w:rsid w:val="00A41880"/>
    <w:rsid w:val="00A443FD"/>
    <w:rsid w:val="00A450E3"/>
    <w:rsid w:val="00A45C8B"/>
    <w:rsid w:val="00A4773A"/>
    <w:rsid w:val="00A50EAC"/>
    <w:rsid w:val="00A513A7"/>
    <w:rsid w:val="00A51FBE"/>
    <w:rsid w:val="00A54DFC"/>
    <w:rsid w:val="00A558CC"/>
    <w:rsid w:val="00A56B73"/>
    <w:rsid w:val="00A5731C"/>
    <w:rsid w:val="00A65D3A"/>
    <w:rsid w:val="00A67F96"/>
    <w:rsid w:val="00A70767"/>
    <w:rsid w:val="00A73B0D"/>
    <w:rsid w:val="00A754BC"/>
    <w:rsid w:val="00A806AE"/>
    <w:rsid w:val="00A82706"/>
    <w:rsid w:val="00A82CB1"/>
    <w:rsid w:val="00A835B6"/>
    <w:rsid w:val="00A838AF"/>
    <w:rsid w:val="00A91B1F"/>
    <w:rsid w:val="00A92164"/>
    <w:rsid w:val="00A95660"/>
    <w:rsid w:val="00A96D6D"/>
    <w:rsid w:val="00A9790E"/>
    <w:rsid w:val="00A97DC3"/>
    <w:rsid w:val="00A97DE3"/>
    <w:rsid w:val="00AA0207"/>
    <w:rsid w:val="00AA4166"/>
    <w:rsid w:val="00AA4FFB"/>
    <w:rsid w:val="00AA63F6"/>
    <w:rsid w:val="00AA67B9"/>
    <w:rsid w:val="00AA6FCE"/>
    <w:rsid w:val="00AA7671"/>
    <w:rsid w:val="00AA7F08"/>
    <w:rsid w:val="00AB02E3"/>
    <w:rsid w:val="00AB0A63"/>
    <w:rsid w:val="00AB426A"/>
    <w:rsid w:val="00AB4D9E"/>
    <w:rsid w:val="00AB6178"/>
    <w:rsid w:val="00AB768F"/>
    <w:rsid w:val="00AC2FE7"/>
    <w:rsid w:val="00AC33CC"/>
    <w:rsid w:val="00AC5212"/>
    <w:rsid w:val="00AC594D"/>
    <w:rsid w:val="00AC6F71"/>
    <w:rsid w:val="00AC7241"/>
    <w:rsid w:val="00AC74BC"/>
    <w:rsid w:val="00AD1A62"/>
    <w:rsid w:val="00AD2372"/>
    <w:rsid w:val="00AD3C05"/>
    <w:rsid w:val="00AD424D"/>
    <w:rsid w:val="00AD4978"/>
    <w:rsid w:val="00AD4B66"/>
    <w:rsid w:val="00AD51D6"/>
    <w:rsid w:val="00AE0BCF"/>
    <w:rsid w:val="00AE195C"/>
    <w:rsid w:val="00AE2BF1"/>
    <w:rsid w:val="00AE310C"/>
    <w:rsid w:val="00AE6F6D"/>
    <w:rsid w:val="00AF18F2"/>
    <w:rsid w:val="00AF279E"/>
    <w:rsid w:val="00AF27D3"/>
    <w:rsid w:val="00AF33BA"/>
    <w:rsid w:val="00AF34DF"/>
    <w:rsid w:val="00AF3C57"/>
    <w:rsid w:val="00AF5632"/>
    <w:rsid w:val="00AF5B5E"/>
    <w:rsid w:val="00AF600F"/>
    <w:rsid w:val="00AF602B"/>
    <w:rsid w:val="00B02353"/>
    <w:rsid w:val="00B03DC1"/>
    <w:rsid w:val="00B045F4"/>
    <w:rsid w:val="00B046AA"/>
    <w:rsid w:val="00B04C63"/>
    <w:rsid w:val="00B065EB"/>
    <w:rsid w:val="00B108A9"/>
    <w:rsid w:val="00B1091E"/>
    <w:rsid w:val="00B114D1"/>
    <w:rsid w:val="00B12428"/>
    <w:rsid w:val="00B12A23"/>
    <w:rsid w:val="00B1318B"/>
    <w:rsid w:val="00B13916"/>
    <w:rsid w:val="00B15146"/>
    <w:rsid w:val="00B15C85"/>
    <w:rsid w:val="00B165B3"/>
    <w:rsid w:val="00B173CE"/>
    <w:rsid w:val="00B2073F"/>
    <w:rsid w:val="00B20740"/>
    <w:rsid w:val="00B22DF8"/>
    <w:rsid w:val="00B239D4"/>
    <w:rsid w:val="00B24048"/>
    <w:rsid w:val="00B25D38"/>
    <w:rsid w:val="00B25DEC"/>
    <w:rsid w:val="00B278A7"/>
    <w:rsid w:val="00B30109"/>
    <w:rsid w:val="00B322E9"/>
    <w:rsid w:val="00B3277E"/>
    <w:rsid w:val="00B3285A"/>
    <w:rsid w:val="00B32D1E"/>
    <w:rsid w:val="00B33CE7"/>
    <w:rsid w:val="00B34192"/>
    <w:rsid w:val="00B37433"/>
    <w:rsid w:val="00B3748E"/>
    <w:rsid w:val="00B375D5"/>
    <w:rsid w:val="00B378CD"/>
    <w:rsid w:val="00B41DC5"/>
    <w:rsid w:val="00B42FDC"/>
    <w:rsid w:val="00B4325A"/>
    <w:rsid w:val="00B46917"/>
    <w:rsid w:val="00B50EC8"/>
    <w:rsid w:val="00B51478"/>
    <w:rsid w:val="00B52737"/>
    <w:rsid w:val="00B52BEC"/>
    <w:rsid w:val="00B53586"/>
    <w:rsid w:val="00B53C69"/>
    <w:rsid w:val="00B540C0"/>
    <w:rsid w:val="00B5503A"/>
    <w:rsid w:val="00B55082"/>
    <w:rsid w:val="00B5581F"/>
    <w:rsid w:val="00B562DC"/>
    <w:rsid w:val="00B6001B"/>
    <w:rsid w:val="00B61BE8"/>
    <w:rsid w:val="00B66234"/>
    <w:rsid w:val="00B679AF"/>
    <w:rsid w:val="00B70007"/>
    <w:rsid w:val="00B71CBC"/>
    <w:rsid w:val="00B75BAB"/>
    <w:rsid w:val="00B801E9"/>
    <w:rsid w:val="00B81694"/>
    <w:rsid w:val="00B81AA7"/>
    <w:rsid w:val="00B81E15"/>
    <w:rsid w:val="00B8562B"/>
    <w:rsid w:val="00B85A11"/>
    <w:rsid w:val="00B90D5B"/>
    <w:rsid w:val="00B92208"/>
    <w:rsid w:val="00B929EC"/>
    <w:rsid w:val="00B94BF4"/>
    <w:rsid w:val="00B95E8B"/>
    <w:rsid w:val="00B9704E"/>
    <w:rsid w:val="00BA3B50"/>
    <w:rsid w:val="00BA600F"/>
    <w:rsid w:val="00BA74A3"/>
    <w:rsid w:val="00BB6C20"/>
    <w:rsid w:val="00BB71A3"/>
    <w:rsid w:val="00BC1793"/>
    <w:rsid w:val="00BC5ED1"/>
    <w:rsid w:val="00BC687D"/>
    <w:rsid w:val="00BC6DE3"/>
    <w:rsid w:val="00BD24E5"/>
    <w:rsid w:val="00BD3966"/>
    <w:rsid w:val="00BD6DCB"/>
    <w:rsid w:val="00BD7ABE"/>
    <w:rsid w:val="00BE04DF"/>
    <w:rsid w:val="00BE0A54"/>
    <w:rsid w:val="00BE1118"/>
    <w:rsid w:val="00BE3F84"/>
    <w:rsid w:val="00BE43B0"/>
    <w:rsid w:val="00BE5169"/>
    <w:rsid w:val="00BF63CB"/>
    <w:rsid w:val="00C006D4"/>
    <w:rsid w:val="00C01AD7"/>
    <w:rsid w:val="00C02C03"/>
    <w:rsid w:val="00C06865"/>
    <w:rsid w:val="00C06DB4"/>
    <w:rsid w:val="00C107FD"/>
    <w:rsid w:val="00C109A3"/>
    <w:rsid w:val="00C13786"/>
    <w:rsid w:val="00C14756"/>
    <w:rsid w:val="00C1661D"/>
    <w:rsid w:val="00C16A31"/>
    <w:rsid w:val="00C16B1A"/>
    <w:rsid w:val="00C20FA0"/>
    <w:rsid w:val="00C23B26"/>
    <w:rsid w:val="00C24203"/>
    <w:rsid w:val="00C24647"/>
    <w:rsid w:val="00C259F6"/>
    <w:rsid w:val="00C27EF0"/>
    <w:rsid w:val="00C314DD"/>
    <w:rsid w:val="00C364E2"/>
    <w:rsid w:val="00C3688F"/>
    <w:rsid w:val="00C36A25"/>
    <w:rsid w:val="00C37B8B"/>
    <w:rsid w:val="00C37EC7"/>
    <w:rsid w:val="00C410AD"/>
    <w:rsid w:val="00C417CF"/>
    <w:rsid w:val="00C41AD9"/>
    <w:rsid w:val="00C41CCF"/>
    <w:rsid w:val="00C41FC9"/>
    <w:rsid w:val="00C42AED"/>
    <w:rsid w:val="00C42BF0"/>
    <w:rsid w:val="00C45437"/>
    <w:rsid w:val="00C459DE"/>
    <w:rsid w:val="00C45FFC"/>
    <w:rsid w:val="00C46F1B"/>
    <w:rsid w:val="00C50493"/>
    <w:rsid w:val="00C5061F"/>
    <w:rsid w:val="00C51007"/>
    <w:rsid w:val="00C52EE0"/>
    <w:rsid w:val="00C53204"/>
    <w:rsid w:val="00C538D7"/>
    <w:rsid w:val="00C53E26"/>
    <w:rsid w:val="00C55A53"/>
    <w:rsid w:val="00C630C8"/>
    <w:rsid w:val="00C63BD1"/>
    <w:rsid w:val="00C712A7"/>
    <w:rsid w:val="00C734F2"/>
    <w:rsid w:val="00C73968"/>
    <w:rsid w:val="00C74561"/>
    <w:rsid w:val="00C75D95"/>
    <w:rsid w:val="00C810AC"/>
    <w:rsid w:val="00C8126A"/>
    <w:rsid w:val="00C82E90"/>
    <w:rsid w:val="00C84A3A"/>
    <w:rsid w:val="00C84E34"/>
    <w:rsid w:val="00C8504C"/>
    <w:rsid w:val="00C861EF"/>
    <w:rsid w:val="00C869AA"/>
    <w:rsid w:val="00C87E19"/>
    <w:rsid w:val="00C87F7D"/>
    <w:rsid w:val="00C93247"/>
    <w:rsid w:val="00C944E5"/>
    <w:rsid w:val="00C94633"/>
    <w:rsid w:val="00C96A9C"/>
    <w:rsid w:val="00C977F3"/>
    <w:rsid w:val="00C97C17"/>
    <w:rsid w:val="00CA156D"/>
    <w:rsid w:val="00CA3244"/>
    <w:rsid w:val="00CA4AF2"/>
    <w:rsid w:val="00CA71B2"/>
    <w:rsid w:val="00CB0B83"/>
    <w:rsid w:val="00CB29A2"/>
    <w:rsid w:val="00CB29BB"/>
    <w:rsid w:val="00CB3975"/>
    <w:rsid w:val="00CB49BC"/>
    <w:rsid w:val="00CB4A44"/>
    <w:rsid w:val="00CB6E25"/>
    <w:rsid w:val="00CC04A4"/>
    <w:rsid w:val="00CC1AC8"/>
    <w:rsid w:val="00CC1F56"/>
    <w:rsid w:val="00CC230C"/>
    <w:rsid w:val="00CC235B"/>
    <w:rsid w:val="00CC3580"/>
    <w:rsid w:val="00CC5207"/>
    <w:rsid w:val="00CC5C76"/>
    <w:rsid w:val="00CC6EF9"/>
    <w:rsid w:val="00CD21BC"/>
    <w:rsid w:val="00CD3253"/>
    <w:rsid w:val="00CD33B2"/>
    <w:rsid w:val="00CD43A5"/>
    <w:rsid w:val="00CE37A3"/>
    <w:rsid w:val="00CE6159"/>
    <w:rsid w:val="00CE66D5"/>
    <w:rsid w:val="00CF2F02"/>
    <w:rsid w:val="00CF3A61"/>
    <w:rsid w:val="00CF4CFC"/>
    <w:rsid w:val="00CF4EFE"/>
    <w:rsid w:val="00CF5314"/>
    <w:rsid w:val="00CF7191"/>
    <w:rsid w:val="00D004AB"/>
    <w:rsid w:val="00D017C7"/>
    <w:rsid w:val="00D0341A"/>
    <w:rsid w:val="00D04EC2"/>
    <w:rsid w:val="00D051BD"/>
    <w:rsid w:val="00D064CA"/>
    <w:rsid w:val="00D06C23"/>
    <w:rsid w:val="00D07332"/>
    <w:rsid w:val="00D07583"/>
    <w:rsid w:val="00D078B4"/>
    <w:rsid w:val="00D07AE7"/>
    <w:rsid w:val="00D10934"/>
    <w:rsid w:val="00D117D3"/>
    <w:rsid w:val="00D11890"/>
    <w:rsid w:val="00D12391"/>
    <w:rsid w:val="00D123B5"/>
    <w:rsid w:val="00D142D2"/>
    <w:rsid w:val="00D20C01"/>
    <w:rsid w:val="00D20D73"/>
    <w:rsid w:val="00D22EA0"/>
    <w:rsid w:val="00D235FE"/>
    <w:rsid w:val="00D33781"/>
    <w:rsid w:val="00D33F20"/>
    <w:rsid w:val="00D35AAF"/>
    <w:rsid w:val="00D41020"/>
    <w:rsid w:val="00D41A6B"/>
    <w:rsid w:val="00D42507"/>
    <w:rsid w:val="00D45512"/>
    <w:rsid w:val="00D475F2"/>
    <w:rsid w:val="00D515F2"/>
    <w:rsid w:val="00D54281"/>
    <w:rsid w:val="00D557D9"/>
    <w:rsid w:val="00D56B71"/>
    <w:rsid w:val="00D56CD3"/>
    <w:rsid w:val="00D57EDD"/>
    <w:rsid w:val="00D607E4"/>
    <w:rsid w:val="00D61407"/>
    <w:rsid w:val="00D6291B"/>
    <w:rsid w:val="00D650A2"/>
    <w:rsid w:val="00D65661"/>
    <w:rsid w:val="00D708B1"/>
    <w:rsid w:val="00D70934"/>
    <w:rsid w:val="00D72AAF"/>
    <w:rsid w:val="00D74679"/>
    <w:rsid w:val="00D76A1B"/>
    <w:rsid w:val="00D77A68"/>
    <w:rsid w:val="00D815F9"/>
    <w:rsid w:val="00D83212"/>
    <w:rsid w:val="00D83D0D"/>
    <w:rsid w:val="00D84E7B"/>
    <w:rsid w:val="00D85D7F"/>
    <w:rsid w:val="00D92586"/>
    <w:rsid w:val="00D932F3"/>
    <w:rsid w:val="00DA010D"/>
    <w:rsid w:val="00DA3D37"/>
    <w:rsid w:val="00DA3E09"/>
    <w:rsid w:val="00DA4280"/>
    <w:rsid w:val="00DA4312"/>
    <w:rsid w:val="00DB30A4"/>
    <w:rsid w:val="00DB340B"/>
    <w:rsid w:val="00DB57B8"/>
    <w:rsid w:val="00DC168B"/>
    <w:rsid w:val="00DC17CA"/>
    <w:rsid w:val="00DC1D3C"/>
    <w:rsid w:val="00DC22AB"/>
    <w:rsid w:val="00DC303E"/>
    <w:rsid w:val="00DC3081"/>
    <w:rsid w:val="00DC3C47"/>
    <w:rsid w:val="00DC621D"/>
    <w:rsid w:val="00DC6FC5"/>
    <w:rsid w:val="00DC6FE2"/>
    <w:rsid w:val="00DD3D55"/>
    <w:rsid w:val="00DD5372"/>
    <w:rsid w:val="00DD6488"/>
    <w:rsid w:val="00DD6E90"/>
    <w:rsid w:val="00DD7370"/>
    <w:rsid w:val="00DD7A29"/>
    <w:rsid w:val="00DD7F33"/>
    <w:rsid w:val="00DD7F8E"/>
    <w:rsid w:val="00DE223D"/>
    <w:rsid w:val="00DE2AD4"/>
    <w:rsid w:val="00DE2D19"/>
    <w:rsid w:val="00DE477A"/>
    <w:rsid w:val="00DE4E15"/>
    <w:rsid w:val="00DE59E6"/>
    <w:rsid w:val="00DE5E97"/>
    <w:rsid w:val="00DE7FA2"/>
    <w:rsid w:val="00DF22FA"/>
    <w:rsid w:val="00DF28FB"/>
    <w:rsid w:val="00DF29CD"/>
    <w:rsid w:val="00DF2F36"/>
    <w:rsid w:val="00DF3737"/>
    <w:rsid w:val="00DF41BB"/>
    <w:rsid w:val="00DF5AA7"/>
    <w:rsid w:val="00DF5E20"/>
    <w:rsid w:val="00DF6023"/>
    <w:rsid w:val="00DF6164"/>
    <w:rsid w:val="00DF6D43"/>
    <w:rsid w:val="00DF745F"/>
    <w:rsid w:val="00DF7A10"/>
    <w:rsid w:val="00E002F7"/>
    <w:rsid w:val="00E02A96"/>
    <w:rsid w:val="00E04A22"/>
    <w:rsid w:val="00E04CF1"/>
    <w:rsid w:val="00E0538E"/>
    <w:rsid w:val="00E05F15"/>
    <w:rsid w:val="00E12AF0"/>
    <w:rsid w:val="00E132F5"/>
    <w:rsid w:val="00E133C6"/>
    <w:rsid w:val="00E13D25"/>
    <w:rsid w:val="00E1433D"/>
    <w:rsid w:val="00E154F5"/>
    <w:rsid w:val="00E15C55"/>
    <w:rsid w:val="00E16614"/>
    <w:rsid w:val="00E2171D"/>
    <w:rsid w:val="00E22994"/>
    <w:rsid w:val="00E229C6"/>
    <w:rsid w:val="00E23389"/>
    <w:rsid w:val="00E24872"/>
    <w:rsid w:val="00E25BCA"/>
    <w:rsid w:val="00E263E2"/>
    <w:rsid w:val="00E27ED8"/>
    <w:rsid w:val="00E3042C"/>
    <w:rsid w:val="00E30534"/>
    <w:rsid w:val="00E30F56"/>
    <w:rsid w:val="00E318E2"/>
    <w:rsid w:val="00E32333"/>
    <w:rsid w:val="00E33277"/>
    <w:rsid w:val="00E33F9D"/>
    <w:rsid w:val="00E34914"/>
    <w:rsid w:val="00E3592C"/>
    <w:rsid w:val="00E367E7"/>
    <w:rsid w:val="00E36903"/>
    <w:rsid w:val="00E4222E"/>
    <w:rsid w:val="00E42A7D"/>
    <w:rsid w:val="00E45F8E"/>
    <w:rsid w:val="00E505F0"/>
    <w:rsid w:val="00E52205"/>
    <w:rsid w:val="00E52D80"/>
    <w:rsid w:val="00E54F24"/>
    <w:rsid w:val="00E55ED8"/>
    <w:rsid w:val="00E600B8"/>
    <w:rsid w:val="00E606BA"/>
    <w:rsid w:val="00E61ACA"/>
    <w:rsid w:val="00E6317C"/>
    <w:rsid w:val="00E63B61"/>
    <w:rsid w:val="00E64850"/>
    <w:rsid w:val="00E65E78"/>
    <w:rsid w:val="00E66C6A"/>
    <w:rsid w:val="00E66CDD"/>
    <w:rsid w:val="00E66E59"/>
    <w:rsid w:val="00E67384"/>
    <w:rsid w:val="00E70DA0"/>
    <w:rsid w:val="00E7212A"/>
    <w:rsid w:val="00E74CED"/>
    <w:rsid w:val="00E75335"/>
    <w:rsid w:val="00E773E9"/>
    <w:rsid w:val="00E8203B"/>
    <w:rsid w:val="00E821CD"/>
    <w:rsid w:val="00E83383"/>
    <w:rsid w:val="00E8388E"/>
    <w:rsid w:val="00E83B66"/>
    <w:rsid w:val="00E8608B"/>
    <w:rsid w:val="00E8778C"/>
    <w:rsid w:val="00E9189B"/>
    <w:rsid w:val="00E9407A"/>
    <w:rsid w:val="00E95A00"/>
    <w:rsid w:val="00E97ED6"/>
    <w:rsid w:val="00EA1CE9"/>
    <w:rsid w:val="00EA58A6"/>
    <w:rsid w:val="00EB5A9C"/>
    <w:rsid w:val="00EB6A13"/>
    <w:rsid w:val="00EC244E"/>
    <w:rsid w:val="00EC4CE8"/>
    <w:rsid w:val="00EC5D58"/>
    <w:rsid w:val="00EC7B2D"/>
    <w:rsid w:val="00ED1C31"/>
    <w:rsid w:val="00ED3A89"/>
    <w:rsid w:val="00ED49D5"/>
    <w:rsid w:val="00ED5BFE"/>
    <w:rsid w:val="00EE1EC3"/>
    <w:rsid w:val="00EE2331"/>
    <w:rsid w:val="00EE37CB"/>
    <w:rsid w:val="00EF08CF"/>
    <w:rsid w:val="00EF2EA2"/>
    <w:rsid w:val="00EF704D"/>
    <w:rsid w:val="00F01AE0"/>
    <w:rsid w:val="00F02241"/>
    <w:rsid w:val="00F06DAF"/>
    <w:rsid w:val="00F07FD3"/>
    <w:rsid w:val="00F1308A"/>
    <w:rsid w:val="00F13432"/>
    <w:rsid w:val="00F13EB3"/>
    <w:rsid w:val="00F13FA9"/>
    <w:rsid w:val="00F1597D"/>
    <w:rsid w:val="00F17879"/>
    <w:rsid w:val="00F208E9"/>
    <w:rsid w:val="00F225CA"/>
    <w:rsid w:val="00F22A52"/>
    <w:rsid w:val="00F234A0"/>
    <w:rsid w:val="00F2486D"/>
    <w:rsid w:val="00F31651"/>
    <w:rsid w:val="00F325F9"/>
    <w:rsid w:val="00F3267D"/>
    <w:rsid w:val="00F33950"/>
    <w:rsid w:val="00F346EF"/>
    <w:rsid w:val="00F36179"/>
    <w:rsid w:val="00F36729"/>
    <w:rsid w:val="00F36A95"/>
    <w:rsid w:val="00F41D39"/>
    <w:rsid w:val="00F41E27"/>
    <w:rsid w:val="00F42713"/>
    <w:rsid w:val="00F43129"/>
    <w:rsid w:val="00F4340B"/>
    <w:rsid w:val="00F43CC6"/>
    <w:rsid w:val="00F449CF"/>
    <w:rsid w:val="00F456DB"/>
    <w:rsid w:val="00F50F6D"/>
    <w:rsid w:val="00F50F84"/>
    <w:rsid w:val="00F50FE1"/>
    <w:rsid w:val="00F539B9"/>
    <w:rsid w:val="00F553DC"/>
    <w:rsid w:val="00F555A4"/>
    <w:rsid w:val="00F6064A"/>
    <w:rsid w:val="00F60EB2"/>
    <w:rsid w:val="00F629C7"/>
    <w:rsid w:val="00F65CB1"/>
    <w:rsid w:val="00F661E5"/>
    <w:rsid w:val="00F66617"/>
    <w:rsid w:val="00F669DC"/>
    <w:rsid w:val="00F67E4E"/>
    <w:rsid w:val="00F7179F"/>
    <w:rsid w:val="00F727D0"/>
    <w:rsid w:val="00F73EBC"/>
    <w:rsid w:val="00F74192"/>
    <w:rsid w:val="00F7602A"/>
    <w:rsid w:val="00F76AD8"/>
    <w:rsid w:val="00F808B9"/>
    <w:rsid w:val="00F82CFD"/>
    <w:rsid w:val="00F82DF6"/>
    <w:rsid w:val="00F82E77"/>
    <w:rsid w:val="00F83FA7"/>
    <w:rsid w:val="00F8465E"/>
    <w:rsid w:val="00F8517D"/>
    <w:rsid w:val="00F853BA"/>
    <w:rsid w:val="00F85EC3"/>
    <w:rsid w:val="00F8614F"/>
    <w:rsid w:val="00F86962"/>
    <w:rsid w:val="00F905A8"/>
    <w:rsid w:val="00F90A87"/>
    <w:rsid w:val="00F91C04"/>
    <w:rsid w:val="00F92E76"/>
    <w:rsid w:val="00F94F4E"/>
    <w:rsid w:val="00F95662"/>
    <w:rsid w:val="00F9630C"/>
    <w:rsid w:val="00F969E3"/>
    <w:rsid w:val="00F975E4"/>
    <w:rsid w:val="00FA084B"/>
    <w:rsid w:val="00FA2600"/>
    <w:rsid w:val="00FA47FB"/>
    <w:rsid w:val="00FA4CA5"/>
    <w:rsid w:val="00FA6D7D"/>
    <w:rsid w:val="00FB0039"/>
    <w:rsid w:val="00FB1235"/>
    <w:rsid w:val="00FB2664"/>
    <w:rsid w:val="00FB3A8E"/>
    <w:rsid w:val="00FC0880"/>
    <w:rsid w:val="00FC4932"/>
    <w:rsid w:val="00FC52C8"/>
    <w:rsid w:val="00FC551F"/>
    <w:rsid w:val="00FC5C23"/>
    <w:rsid w:val="00FC5FE2"/>
    <w:rsid w:val="00FC72CE"/>
    <w:rsid w:val="00FC7FA8"/>
    <w:rsid w:val="00FD013A"/>
    <w:rsid w:val="00FD0490"/>
    <w:rsid w:val="00FD0D32"/>
    <w:rsid w:val="00FD16CE"/>
    <w:rsid w:val="00FD1811"/>
    <w:rsid w:val="00FD6B18"/>
    <w:rsid w:val="00FD7E73"/>
    <w:rsid w:val="00FE0AE7"/>
    <w:rsid w:val="00FE1981"/>
    <w:rsid w:val="00FE2356"/>
    <w:rsid w:val="00FE272F"/>
    <w:rsid w:val="00FE3008"/>
    <w:rsid w:val="00FE356F"/>
    <w:rsid w:val="00FE6803"/>
    <w:rsid w:val="00FF04A0"/>
    <w:rsid w:val="00FF0C47"/>
    <w:rsid w:val="00FF113D"/>
    <w:rsid w:val="00FF1BD6"/>
    <w:rsid w:val="00FF21C4"/>
    <w:rsid w:val="00FF3CC2"/>
    <w:rsid w:val="00FF43D0"/>
    <w:rsid w:val="00FF4501"/>
    <w:rsid w:val="00FF5F7D"/>
    <w:rsid w:val="00FF7B21"/>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50C0"/>
  <w15:docId w15:val="{1F9C468B-9CDB-482B-ADDA-13591548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Default">
    <w:name w:val="Default"/>
    <w:rsid w:val="00B95E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B562DC"/>
    <w:rPr>
      <w:color w:val="auto"/>
    </w:rPr>
  </w:style>
  <w:style w:type="paragraph" w:customStyle="1" w:styleId="CM9">
    <w:name w:val="CM9"/>
    <w:basedOn w:val="Default"/>
    <w:next w:val="Default"/>
    <w:uiPriority w:val="99"/>
    <w:rsid w:val="00B562DC"/>
    <w:rPr>
      <w:color w:val="auto"/>
    </w:rPr>
  </w:style>
  <w:style w:type="paragraph" w:customStyle="1" w:styleId="CM4">
    <w:name w:val="CM4"/>
    <w:basedOn w:val="Default"/>
    <w:next w:val="Default"/>
    <w:uiPriority w:val="99"/>
    <w:rsid w:val="00B33CE7"/>
    <w:pPr>
      <w:spacing w:line="276" w:lineRule="atLeast"/>
    </w:pPr>
    <w:rPr>
      <w:color w:val="auto"/>
    </w:rPr>
  </w:style>
  <w:style w:type="character" w:styleId="CommentReference">
    <w:name w:val="annotation reference"/>
    <w:basedOn w:val="DefaultParagraphFont"/>
    <w:uiPriority w:val="99"/>
    <w:semiHidden/>
    <w:unhideWhenUsed/>
    <w:rsid w:val="00D83D0D"/>
    <w:rPr>
      <w:sz w:val="16"/>
      <w:szCs w:val="16"/>
    </w:rPr>
  </w:style>
  <w:style w:type="paragraph" w:styleId="CommentText">
    <w:name w:val="annotation text"/>
    <w:basedOn w:val="Normal"/>
    <w:link w:val="CommentTextChar"/>
    <w:uiPriority w:val="99"/>
    <w:semiHidden/>
    <w:unhideWhenUsed/>
    <w:rsid w:val="00D83D0D"/>
    <w:pPr>
      <w:spacing w:line="240" w:lineRule="auto"/>
    </w:pPr>
    <w:rPr>
      <w:sz w:val="20"/>
      <w:szCs w:val="20"/>
    </w:rPr>
  </w:style>
  <w:style w:type="character" w:customStyle="1" w:styleId="CommentTextChar">
    <w:name w:val="Comment Text Char"/>
    <w:basedOn w:val="DefaultParagraphFont"/>
    <w:link w:val="CommentText"/>
    <w:uiPriority w:val="99"/>
    <w:semiHidden/>
    <w:rsid w:val="00D83D0D"/>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D83D0D"/>
    <w:rPr>
      <w:b/>
    </w:rPr>
  </w:style>
  <w:style w:type="character" w:customStyle="1" w:styleId="CommentSubjectChar">
    <w:name w:val="Comment Subject Char"/>
    <w:basedOn w:val="CommentTextChar"/>
    <w:link w:val="CommentSubject"/>
    <w:uiPriority w:val="99"/>
    <w:semiHidden/>
    <w:rsid w:val="00D83D0D"/>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3984">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529151067">
      <w:bodyDiv w:val="1"/>
      <w:marLeft w:val="0"/>
      <w:marRight w:val="0"/>
      <w:marTop w:val="0"/>
      <w:marBottom w:val="0"/>
      <w:divBdr>
        <w:top w:val="none" w:sz="0" w:space="0" w:color="auto"/>
        <w:left w:val="none" w:sz="0" w:space="0" w:color="auto"/>
        <w:bottom w:val="none" w:sz="0" w:space="0" w:color="auto"/>
        <w:right w:val="none" w:sz="0" w:space="0" w:color="auto"/>
      </w:divBdr>
    </w:div>
    <w:div w:id="700741467">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1128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student-learning/proficiency-based-learning/proficiency-based-graduation-requirem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state-board-rules-series-20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ael-virtual-test-proctoring-procedures-for-contiunity-of-learning" TargetMode="External"/><Relationship Id="rId5" Type="http://schemas.openxmlformats.org/officeDocument/2006/relationships/numbering" Target="numbering.xml"/><Relationship Id="rId15" Type="http://schemas.openxmlformats.org/officeDocument/2006/relationships/hyperlink" Target="https://education.vermont.gov/documents/proficiency-based-education-eqs-transferable-skil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hscp-request-to-graduate-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robin.castle@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97D124A2F364AB0526FE76D62CC48" ma:contentTypeVersion="12" ma:contentTypeDescription="Create a new document." ma:contentTypeScope="" ma:versionID="ae4970cb0953078512d7949944835f11">
  <xsd:schema xmlns:xsd="http://www.w3.org/2001/XMLSchema" xmlns:xs="http://www.w3.org/2001/XMLSchema" xmlns:p="http://schemas.microsoft.com/office/2006/metadata/properties" xmlns:ns1="http://schemas.microsoft.com/sharepoint/v3" xmlns:ns2="fe80acd4-015f-4547-bc62-9c1801f5fb88" xmlns:ns3="a0547929-38ae-46c8-aa81-a96df9918dbf" targetNamespace="http://schemas.microsoft.com/office/2006/metadata/properties" ma:root="true" ma:fieldsID="6a3ee909391edc6d4eed9a6f31ea7afe" ns1:_="" ns2:_="" ns3:_="">
    <xsd:import namespace="http://schemas.microsoft.com/sharepoint/v3"/>
    <xsd:import namespace="fe80acd4-015f-4547-bc62-9c1801f5fb88"/>
    <xsd:import namespace="a0547929-38ae-46c8-aa81-a96df9918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0acd4-015f-4547-bc62-9c1801f5f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47929-38ae-46c8-aa81-a96df9918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547929-38ae-46c8-aa81-a96df9918dbf">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B465-40EC-4FDB-837E-3970670E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80acd4-015f-4547-bc62-9c1801f5fb88"/>
    <ds:schemaRef ds:uri="a0547929-38ae-46c8-aa81-a96df9918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D407D-49E1-461B-839B-45D11B48187D}">
  <ds:schemaRefs>
    <ds:schemaRef ds:uri="http://schemas.openxmlformats.org/package/2006/metadata/core-properties"/>
    <ds:schemaRef ds:uri="http://schemas.microsoft.com/office/2006/documentManagement/types"/>
    <ds:schemaRef ds:uri="a0547929-38ae-46c8-aa81-a96df9918dbf"/>
    <ds:schemaRef ds:uri="http://purl.org/dc/elements/1.1/"/>
    <ds:schemaRef ds:uri="http://schemas.microsoft.com/office/2006/metadata/properties"/>
    <ds:schemaRef ds:uri="fe80acd4-015f-4547-bc62-9c1801f5fb88"/>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38182D99-7286-484B-B60F-CCFE499D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10</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29981</CharactersWithSpaces>
  <SharedDoc>false</SharedDoc>
  <HLinks>
    <vt:vector size="6" baseType="variant">
      <vt:variant>
        <vt:i4>458858</vt:i4>
      </vt:variant>
      <vt:variant>
        <vt:i4>6</vt:i4>
      </vt:variant>
      <vt:variant>
        <vt:i4>0</vt:i4>
      </vt:variant>
      <vt:variant>
        <vt:i4>5</vt:i4>
      </vt:variant>
      <vt:variant>
        <vt:lpwstr>mailto:robin.castle@vermont.gov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subject/>
  <dc:creator>Vermont Agency of Education</dc:creator>
  <cp:keywords/>
  <cp:lastModifiedBy>Castle, Robin</cp:lastModifiedBy>
  <cp:revision>1088</cp:revision>
  <cp:lastPrinted>2015-09-09T16:37:00Z</cp:lastPrinted>
  <dcterms:created xsi:type="dcterms:W3CDTF">2019-10-18T17:36:00Z</dcterms:created>
  <dcterms:modified xsi:type="dcterms:W3CDTF">2020-12-30T23:53:00Z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0x01010041D97D124A2F364AB0526FE76D62CC48</vt:lpwstr>
  </property>
</Properties>
</file>