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DA8" w:rsidRPr="002C1D3E" w:rsidRDefault="00283DA8" w:rsidP="00283DA8">
      <w:pPr>
        <w:autoSpaceDE w:val="0"/>
        <w:autoSpaceDN w:val="0"/>
        <w:adjustRightInd w:val="0"/>
        <w:spacing w:after="0" w:line="240" w:lineRule="auto"/>
        <w:rPr>
          <w:rFonts w:ascii="Arial" w:hAnsi="Arial" w:cs="Arial"/>
        </w:rPr>
      </w:pPr>
      <w:r w:rsidRPr="002C1D3E">
        <w:rPr>
          <w:rFonts w:ascii="Arial" w:hAnsi="Arial" w:cs="Arial"/>
          <w:b/>
          <w:bCs/>
        </w:rPr>
        <w:t>1.</w:t>
      </w:r>
      <w:r w:rsidRPr="002C1D3E">
        <w:rPr>
          <w:rFonts w:ascii="Arial" w:hAnsi="Arial" w:cs="Arial"/>
          <w:b/>
          <w:bCs/>
        </w:rPr>
        <w:tab/>
        <w:t xml:space="preserve">State Leadership Funds </w:t>
      </w:r>
      <w:r w:rsidRPr="002C1D3E">
        <w:rPr>
          <w:rFonts w:ascii="Arial" w:hAnsi="Arial" w:cs="Arial"/>
        </w:rPr>
        <w:t>(AEFLA Section 223)</w:t>
      </w:r>
    </w:p>
    <w:p w:rsidR="00283DA8" w:rsidRPr="002C1D3E" w:rsidRDefault="00283DA8" w:rsidP="00283DA8">
      <w:pPr>
        <w:autoSpaceDE w:val="0"/>
        <w:autoSpaceDN w:val="0"/>
        <w:adjustRightInd w:val="0"/>
        <w:spacing w:after="0" w:line="240" w:lineRule="auto"/>
        <w:rPr>
          <w:rFonts w:ascii="Arial" w:hAnsi="Arial" w:cs="Arial"/>
          <w:i/>
          <w:color w:val="548DD4" w:themeColor="text2" w:themeTint="99"/>
        </w:rPr>
      </w:pPr>
      <w:r w:rsidRPr="002C1D3E">
        <w:rPr>
          <w:rFonts w:ascii="Arial" w:hAnsi="Arial" w:cs="Arial"/>
          <w:color w:val="548DD4" w:themeColor="text2" w:themeTint="99"/>
        </w:rPr>
        <w:tab/>
      </w:r>
      <w:r w:rsidRPr="002C1D3E">
        <w:rPr>
          <w:rFonts w:ascii="Arial" w:hAnsi="Arial" w:cs="Arial"/>
          <w:i/>
          <w:color w:val="548DD4" w:themeColor="text2" w:themeTint="99"/>
        </w:rPr>
        <w:t>(a) Describe how the State has used funds made avail</w:t>
      </w:r>
      <w:r w:rsidR="00D3466A" w:rsidRPr="002C1D3E">
        <w:rPr>
          <w:rFonts w:ascii="Arial" w:hAnsi="Arial" w:cs="Arial"/>
          <w:i/>
          <w:color w:val="548DD4" w:themeColor="text2" w:themeTint="99"/>
        </w:rPr>
        <w:t>able</w:t>
      </w:r>
      <w:r w:rsidRPr="002C1D3E">
        <w:rPr>
          <w:rFonts w:ascii="Arial" w:hAnsi="Arial" w:cs="Arial"/>
          <w:i/>
          <w:color w:val="548DD4" w:themeColor="text2" w:themeTint="99"/>
        </w:rPr>
        <w:t xml:space="preserve"> under section 223 (State </w:t>
      </w:r>
      <w:r w:rsidRPr="002C1D3E">
        <w:rPr>
          <w:rFonts w:ascii="Arial" w:hAnsi="Arial" w:cs="Arial"/>
          <w:i/>
          <w:color w:val="548DD4" w:themeColor="text2" w:themeTint="99"/>
        </w:rPr>
        <w:tab/>
        <w:t>Leadership activities) for each the following required activities:</w:t>
      </w:r>
    </w:p>
    <w:p w:rsidR="00F70214" w:rsidRPr="00E3438A" w:rsidRDefault="00F70214" w:rsidP="00283DA8">
      <w:pPr>
        <w:autoSpaceDE w:val="0"/>
        <w:autoSpaceDN w:val="0"/>
        <w:adjustRightInd w:val="0"/>
        <w:spacing w:after="0" w:line="240" w:lineRule="auto"/>
        <w:rPr>
          <w:rFonts w:ascii="Arial" w:eastAsia="SymbolMT" w:hAnsi="Arial" w:cs="Arial"/>
          <w:i/>
          <w:color w:val="FF0000"/>
        </w:rPr>
      </w:pPr>
      <w:r w:rsidRPr="00E3438A">
        <w:rPr>
          <w:rFonts w:ascii="Arial" w:eastAsia="SymbolMT" w:hAnsi="Arial" w:cs="Arial"/>
          <w:i/>
          <w:color w:val="FF0000"/>
        </w:rPr>
        <w:tab/>
      </w:r>
    </w:p>
    <w:p w:rsidR="009C51F3" w:rsidRPr="00E3438A" w:rsidRDefault="00283DA8" w:rsidP="00E3438A">
      <w:pPr>
        <w:rPr>
          <w:rFonts w:ascii="Arial" w:hAnsi="Arial" w:cs="Arial"/>
          <w:i/>
          <w:color w:val="548DD4" w:themeColor="text2" w:themeTint="99"/>
        </w:rPr>
      </w:pPr>
      <w:r w:rsidRPr="00E3438A">
        <w:rPr>
          <w:rFonts w:ascii="Arial" w:hAnsi="Arial" w:cs="Arial"/>
          <w:i/>
          <w:color w:val="548DD4" w:themeColor="text2" w:themeTint="99"/>
        </w:rPr>
        <w:t>Alignment of adult education and literacy activities with other one-stop required</w:t>
      </w:r>
      <w:r w:rsidR="00F70214" w:rsidRPr="00E3438A">
        <w:rPr>
          <w:rFonts w:ascii="Arial" w:hAnsi="Arial" w:cs="Arial"/>
          <w:i/>
          <w:color w:val="548DD4" w:themeColor="text2" w:themeTint="99"/>
        </w:rPr>
        <w:t xml:space="preserve"> </w:t>
      </w:r>
      <w:r w:rsidRPr="00E3438A">
        <w:rPr>
          <w:rFonts w:ascii="Arial" w:hAnsi="Arial" w:cs="Arial"/>
          <w:i/>
          <w:color w:val="548DD4" w:themeColor="text2" w:themeTint="99"/>
        </w:rPr>
        <w:t>partners to implement the strategies in the Unified or Combined State Plan as described</w:t>
      </w:r>
      <w:r w:rsidR="00F70214" w:rsidRPr="00E3438A">
        <w:rPr>
          <w:rFonts w:ascii="Arial" w:hAnsi="Arial" w:cs="Arial"/>
          <w:i/>
          <w:color w:val="548DD4" w:themeColor="text2" w:themeTint="99"/>
        </w:rPr>
        <w:t xml:space="preserve"> </w:t>
      </w:r>
      <w:r w:rsidRPr="00E3438A">
        <w:rPr>
          <w:rFonts w:ascii="Arial" w:hAnsi="Arial" w:cs="Arial"/>
          <w:i/>
          <w:color w:val="548DD4" w:themeColor="text2" w:themeTint="99"/>
        </w:rPr>
        <w:t xml:space="preserve">in </w:t>
      </w:r>
      <w:r w:rsidR="00F70214" w:rsidRPr="00E3438A">
        <w:rPr>
          <w:rFonts w:ascii="Arial" w:hAnsi="Arial" w:cs="Arial"/>
          <w:i/>
          <w:color w:val="548DD4" w:themeColor="text2" w:themeTint="99"/>
        </w:rPr>
        <w:t>s</w:t>
      </w:r>
      <w:r w:rsidRPr="00E3438A">
        <w:rPr>
          <w:rFonts w:ascii="Arial" w:hAnsi="Arial" w:cs="Arial"/>
          <w:i/>
          <w:color w:val="548DD4" w:themeColor="text2" w:themeTint="99"/>
        </w:rPr>
        <w:t>ection 223(1)(a).</w:t>
      </w:r>
      <w:r w:rsidR="00A7359F" w:rsidRPr="00E3438A">
        <w:rPr>
          <w:rFonts w:ascii="Arial" w:hAnsi="Arial" w:cs="Arial"/>
          <w:i/>
          <w:color w:val="548DD4" w:themeColor="text2" w:themeTint="99"/>
        </w:rPr>
        <w:t xml:space="preserve"> </w:t>
      </w:r>
    </w:p>
    <w:p w:rsidR="00DC275A" w:rsidRPr="00FB6C02" w:rsidRDefault="0068304A" w:rsidP="00E3438A">
      <w:pPr>
        <w:rPr>
          <w:rFonts w:ascii="Arial" w:hAnsi="Arial" w:cs="Arial"/>
        </w:rPr>
      </w:pPr>
      <w:r w:rsidRPr="00FB6C02">
        <w:rPr>
          <w:rFonts w:ascii="Arial" w:hAnsi="Arial" w:cs="Arial"/>
        </w:rPr>
        <w:t xml:space="preserve">The </w:t>
      </w:r>
      <w:r w:rsidR="00F03893" w:rsidRPr="00FB6C02">
        <w:rPr>
          <w:rFonts w:ascii="Arial" w:hAnsi="Arial" w:cs="Arial"/>
        </w:rPr>
        <w:t xml:space="preserve">AEFLA, called </w:t>
      </w:r>
      <w:r w:rsidRPr="00FB6C02">
        <w:rPr>
          <w:rFonts w:ascii="Arial" w:hAnsi="Arial" w:cs="Arial"/>
        </w:rPr>
        <w:t xml:space="preserve">Aspire </w:t>
      </w:r>
      <w:r w:rsidR="00F03893" w:rsidRPr="00FB6C02">
        <w:rPr>
          <w:rFonts w:ascii="Arial" w:hAnsi="Arial" w:cs="Arial"/>
        </w:rPr>
        <w:t xml:space="preserve">Adult Education in Ohio, </w:t>
      </w:r>
      <w:r w:rsidRPr="00FB6C02">
        <w:rPr>
          <w:rFonts w:ascii="Arial" w:hAnsi="Arial" w:cs="Arial"/>
        </w:rPr>
        <w:t xml:space="preserve">state director directly supervised all state leadership activities to ensure alignment with </w:t>
      </w:r>
      <w:r w:rsidR="00AC5A21" w:rsidRPr="00FB6C02">
        <w:rPr>
          <w:rFonts w:ascii="Arial" w:hAnsi="Arial" w:cs="Arial"/>
        </w:rPr>
        <w:t xml:space="preserve">the </w:t>
      </w:r>
      <w:r w:rsidRPr="00FB6C02">
        <w:rPr>
          <w:rFonts w:ascii="Arial" w:hAnsi="Arial" w:cs="Arial"/>
        </w:rPr>
        <w:t>Combined State Plan</w:t>
      </w:r>
      <w:r w:rsidR="00AC5A21" w:rsidRPr="00FB6C02">
        <w:rPr>
          <w:rFonts w:ascii="Arial" w:hAnsi="Arial" w:cs="Arial"/>
        </w:rPr>
        <w:t xml:space="preserve"> activities. The journey with WIOA implementation started robustly in Ohio three years ago. </w:t>
      </w:r>
      <w:r w:rsidR="001362EE" w:rsidRPr="00FB6C02">
        <w:rPr>
          <w:rFonts w:ascii="Arial" w:hAnsi="Arial" w:cs="Arial"/>
        </w:rPr>
        <w:t xml:space="preserve">Ohio Aspire invested </w:t>
      </w:r>
      <w:r w:rsidR="00625348" w:rsidRPr="00FB6C02">
        <w:rPr>
          <w:rFonts w:ascii="Arial" w:hAnsi="Arial" w:cs="Arial"/>
        </w:rPr>
        <w:t>ample</w:t>
      </w:r>
      <w:r w:rsidR="001362EE" w:rsidRPr="00FB6C02">
        <w:rPr>
          <w:rFonts w:ascii="Arial" w:hAnsi="Arial" w:cs="Arial"/>
        </w:rPr>
        <w:t xml:space="preserve"> time and state leadership dollars to train teachers and administrators on implementing </w:t>
      </w:r>
      <w:r w:rsidR="005F0F2B" w:rsidRPr="00FB6C02">
        <w:rPr>
          <w:rFonts w:ascii="Arial" w:hAnsi="Arial" w:cs="Arial"/>
        </w:rPr>
        <w:t>career</w:t>
      </w:r>
      <w:r w:rsidR="001362EE" w:rsidRPr="00FB6C02">
        <w:rPr>
          <w:rFonts w:ascii="Arial" w:hAnsi="Arial" w:cs="Arial"/>
        </w:rPr>
        <w:t xml:space="preserve"> pathways</w:t>
      </w:r>
      <w:r w:rsidR="00CD5E85" w:rsidRPr="00FB6C02">
        <w:rPr>
          <w:rFonts w:ascii="Arial" w:hAnsi="Arial" w:cs="Arial"/>
        </w:rPr>
        <w:t xml:space="preserve">. </w:t>
      </w:r>
      <w:r w:rsidR="009E70A9" w:rsidRPr="00FB6C02">
        <w:rPr>
          <w:rFonts w:ascii="Arial" w:hAnsi="Arial" w:cs="Arial"/>
        </w:rPr>
        <w:t xml:space="preserve">Much of the training involved creating and </w:t>
      </w:r>
      <w:r w:rsidR="008D32B1" w:rsidRPr="00FB6C02">
        <w:rPr>
          <w:rFonts w:ascii="Arial" w:hAnsi="Arial" w:cs="Arial"/>
        </w:rPr>
        <w:t>executing</w:t>
      </w:r>
      <w:r w:rsidR="009E70A9" w:rsidRPr="00FB6C02">
        <w:rPr>
          <w:rFonts w:ascii="Arial" w:hAnsi="Arial" w:cs="Arial"/>
        </w:rPr>
        <w:t xml:space="preserve"> a local </w:t>
      </w:r>
      <w:r w:rsidR="008D32B1" w:rsidRPr="00FB6C02">
        <w:rPr>
          <w:rFonts w:ascii="Arial" w:hAnsi="Arial" w:cs="Arial"/>
        </w:rPr>
        <w:t>c</w:t>
      </w:r>
      <w:r w:rsidR="005F0F2B" w:rsidRPr="00FB6C02">
        <w:rPr>
          <w:rFonts w:ascii="Arial" w:hAnsi="Arial" w:cs="Arial"/>
        </w:rPr>
        <w:t xml:space="preserve">areer </w:t>
      </w:r>
      <w:r w:rsidR="008D32B1" w:rsidRPr="00FB6C02">
        <w:rPr>
          <w:rFonts w:ascii="Arial" w:hAnsi="Arial" w:cs="Arial"/>
        </w:rPr>
        <w:t>p</w:t>
      </w:r>
      <w:r w:rsidR="005F0F2B" w:rsidRPr="00FB6C02">
        <w:rPr>
          <w:rFonts w:ascii="Arial" w:hAnsi="Arial" w:cs="Arial"/>
        </w:rPr>
        <w:t xml:space="preserve">athways </w:t>
      </w:r>
      <w:r w:rsidR="008D32B1" w:rsidRPr="00FB6C02">
        <w:rPr>
          <w:rFonts w:ascii="Arial" w:hAnsi="Arial" w:cs="Arial"/>
        </w:rPr>
        <w:t>p</w:t>
      </w:r>
      <w:r w:rsidR="005F0F2B" w:rsidRPr="00FB6C02">
        <w:rPr>
          <w:rFonts w:ascii="Arial" w:hAnsi="Arial" w:cs="Arial"/>
        </w:rPr>
        <w:t>lan</w:t>
      </w:r>
      <w:r w:rsidR="00AC5A21" w:rsidRPr="00FB6C02">
        <w:rPr>
          <w:rFonts w:ascii="Arial" w:hAnsi="Arial" w:cs="Arial"/>
        </w:rPr>
        <w:t>,</w:t>
      </w:r>
      <w:r w:rsidR="008D32B1" w:rsidRPr="00FB6C02">
        <w:rPr>
          <w:rFonts w:ascii="Arial" w:hAnsi="Arial" w:cs="Arial"/>
        </w:rPr>
        <w:t xml:space="preserve"> </w:t>
      </w:r>
      <w:r w:rsidR="0017752A" w:rsidRPr="00FB6C02">
        <w:rPr>
          <w:rFonts w:ascii="Arial" w:hAnsi="Arial" w:cs="Arial"/>
        </w:rPr>
        <w:t xml:space="preserve">which </w:t>
      </w:r>
      <w:r w:rsidR="008D32B1" w:rsidRPr="00FB6C02">
        <w:rPr>
          <w:rFonts w:ascii="Arial" w:hAnsi="Arial" w:cs="Arial"/>
        </w:rPr>
        <w:t>r</w:t>
      </w:r>
      <w:r w:rsidR="00DC275A" w:rsidRPr="00FB6C02">
        <w:rPr>
          <w:rFonts w:ascii="Arial" w:hAnsi="Arial" w:cs="Arial"/>
        </w:rPr>
        <w:t xml:space="preserve">equires collaborative </w:t>
      </w:r>
      <w:r w:rsidR="0017752A" w:rsidRPr="00FB6C02">
        <w:rPr>
          <w:rFonts w:ascii="Arial" w:hAnsi="Arial" w:cs="Arial"/>
        </w:rPr>
        <w:t>services</w:t>
      </w:r>
      <w:r w:rsidR="00DC275A" w:rsidRPr="00FB6C02">
        <w:rPr>
          <w:rFonts w:ascii="Arial" w:hAnsi="Arial" w:cs="Arial"/>
        </w:rPr>
        <w:t xml:space="preserve"> with WIOA partners, other educational institutions, and businesses. </w:t>
      </w:r>
      <w:r w:rsidR="007A777B" w:rsidRPr="00FB6C02">
        <w:rPr>
          <w:rFonts w:ascii="Arial" w:hAnsi="Arial" w:cs="Arial"/>
        </w:rPr>
        <w:t xml:space="preserve">The local career pathway plans are fluid documents and updated throughout the year. </w:t>
      </w:r>
      <w:r w:rsidR="00DC275A" w:rsidRPr="00FB6C02">
        <w:rPr>
          <w:rFonts w:ascii="Arial" w:hAnsi="Arial" w:cs="Arial"/>
        </w:rPr>
        <w:t xml:space="preserve">The focus on career pathways </w:t>
      </w:r>
      <w:r w:rsidR="00625348" w:rsidRPr="00FB6C02">
        <w:rPr>
          <w:rFonts w:ascii="Arial" w:hAnsi="Arial" w:cs="Arial"/>
        </w:rPr>
        <w:t xml:space="preserve">over the past three years </w:t>
      </w:r>
      <w:r w:rsidR="00DC275A" w:rsidRPr="00FB6C02">
        <w:rPr>
          <w:rFonts w:ascii="Arial" w:hAnsi="Arial" w:cs="Arial"/>
        </w:rPr>
        <w:t>has resulted in innovative practices, includi</w:t>
      </w:r>
      <w:r w:rsidR="009E70A9" w:rsidRPr="00FB6C02">
        <w:rPr>
          <w:rFonts w:ascii="Arial" w:hAnsi="Arial" w:cs="Arial"/>
        </w:rPr>
        <w:t xml:space="preserve">ng </w:t>
      </w:r>
      <w:r w:rsidR="00AC5A21" w:rsidRPr="00FB6C02">
        <w:rPr>
          <w:rFonts w:ascii="Arial" w:hAnsi="Arial" w:cs="Arial"/>
        </w:rPr>
        <w:t>g</w:t>
      </w:r>
      <w:r w:rsidR="009E70A9" w:rsidRPr="00FB6C02">
        <w:rPr>
          <w:rFonts w:ascii="Arial" w:hAnsi="Arial" w:cs="Arial"/>
        </w:rPr>
        <w:t>rowth in IETs,</w:t>
      </w:r>
      <w:r w:rsidR="00DC275A" w:rsidRPr="00FB6C02">
        <w:rPr>
          <w:rFonts w:ascii="Arial" w:hAnsi="Arial" w:cs="Arial"/>
        </w:rPr>
        <w:t xml:space="preserve"> to help Aspire students at all levels achieve credentials and transition to additional training and employment. </w:t>
      </w:r>
      <w:r w:rsidR="009E70A9" w:rsidRPr="00FB6C02">
        <w:rPr>
          <w:rFonts w:ascii="Arial" w:hAnsi="Arial" w:cs="Arial"/>
        </w:rPr>
        <w:t>In PY 17, there were 0 IETs offered in Ohio Aspire. In PY 19</w:t>
      </w:r>
      <w:r w:rsidR="00AC5A21" w:rsidRPr="00FB6C02">
        <w:rPr>
          <w:rFonts w:ascii="Arial" w:hAnsi="Arial" w:cs="Arial"/>
        </w:rPr>
        <w:t>,</w:t>
      </w:r>
      <w:r w:rsidR="009E70A9" w:rsidRPr="00FB6C02">
        <w:rPr>
          <w:rFonts w:ascii="Arial" w:hAnsi="Arial" w:cs="Arial"/>
        </w:rPr>
        <w:t xml:space="preserve"> Ohio programs ha</w:t>
      </w:r>
      <w:r w:rsidR="0017752A" w:rsidRPr="00FB6C02">
        <w:rPr>
          <w:rFonts w:ascii="Arial" w:hAnsi="Arial" w:cs="Arial"/>
        </w:rPr>
        <w:t>d</w:t>
      </w:r>
      <w:r w:rsidR="009E70A9" w:rsidRPr="00FB6C02">
        <w:rPr>
          <w:rFonts w:ascii="Arial" w:hAnsi="Arial" w:cs="Arial"/>
        </w:rPr>
        <w:t xml:space="preserve"> 2</w:t>
      </w:r>
      <w:r w:rsidR="0017752A" w:rsidRPr="00FB6C02">
        <w:rPr>
          <w:rFonts w:ascii="Arial" w:hAnsi="Arial" w:cs="Arial"/>
        </w:rPr>
        <w:t>2</w:t>
      </w:r>
      <w:r w:rsidR="009E70A9" w:rsidRPr="00FB6C02">
        <w:rPr>
          <w:rFonts w:ascii="Arial" w:hAnsi="Arial" w:cs="Arial"/>
        </w:rPr>
        <w:t xml:space="preserve"> IETs offered statewide</w:t>
      </w:r>
      <w:r w:rsidR="00AC5A21" w:rsidRPr="00FB6C02">
        <w:rPr>
          <w:rFonts w:ascii="Arial" w:hAnsi="Arial" w:cs="Arial"/>
        </w:rPr>
        <w:t>, emphasizing alignment with local workforce plans and needs of community businesses.</w:t>
      </w:r>
      <w:r w:rsidR="00625348" w:rsidRPr="00FB6C02">
        <w:rPr>
          <w:rFonts w:ascii="Arial" w:hAnsi="Arial" w:cs="Arial"/>
        </w:rPr>
        <w:t xml:space="preserve"> </w:t>
      </w:r>
    </w:p>
    <w:p w:rsidR="00115804" w:rsidRPr="00FB6C02" w:rsidRDefault="00115804" w:rsidP="00E3438A">
      <w:pPr>
        <w:rPr>
          <w:rFonts w:ascii="Arial" w:hAnsi="Arial" w:cs="Arial"/>
        </w:rPr>
      </w:pPr>
      <w:r w:rsidRPr="00FB6C02">
        <w:rPr>
          <w:rFonts w:ascii="Arial" w:hAnsi="Arial" w:cs="Arial"/>
        </w:rPr>
        <w:t>Certainly</w:t>
      </w:r>
      <w:r w:rsidR="00FB6C02" w:rsidRPr="00FB6C02">
        <w:rPr>
          <w:rFonts w:ascii="Arial" w:hAnsi="Arial" w:cs="Arial"/>
        </w:rPr>
        <w:t xml:space="preserve">, </w:t>
      </w:r>
      <w:r w:rsidRPr="00FB6C02">
        <w:rPr>
          <w:rFonts w:ascii="Arial" w:hAnsi="Arial" w:cs="Arial"/>
        </w:rPr>
        <w:t>one-stop partnerships were impacted by COVID.  Many of the Ohio one-stops shut down completely and are still closed to date</w:t>
      </w:r>
      <w:r w:rsidR="007A777B" w:rsidRPr="00FB6C02">
        <w:rPr>
          <w:rFonts w:ascii="Arial" w:hAnsi="Arial" w:cs="Arial"/>
        </w:rPr>
        <w:t xml:space="preserve">. </w:t>
      </w:r>
      <w:r w:rsidRPr="00FB6C02">
        <w:rPr>
          <w:rFonts w:ascii="Arial" w:hAnsi="Arial" w:cs="Arial"/>
        </w:rPr>
        <w:t>Although services in adult ed pivoted online quickly last spring, the same is not true for many of the one-stops. Aspire administrators report that referrals are down significantly</w:t>
      </w:r>
      <w:r w:rsidR="00FB6C02" w:rsidRPr="00FB6C02">
        <w:rPr>
          <w:rFonts w:ascii="Arial" w:hAnsi="Arial" w:cs="Arial"/>
        </w:rPr>
        <w:t>,</w:t>
      </w:r>
      <w:r w:rsidRPr="00FB6C02">
        <w:rPr>
          <w:rFonts w:ascii="Arial" w:hAnsi="Arial" w:cs="Arial"/>
        </w:rPr>
        <w:t xml:space="preserve"> and staff turnover at the one-stops has made </w:t>
      </w:r>
      <w:r w:rsidR="0068304A" w:rsidRPr="00FB6C02">
        <w:rPr>
          <w:rFonts w:ascii="Arial" w:hAnsi="Arial" w:cs="Arial"/>
        </w:rPr>
        <w:t xml:space="preserve">contacts confusing for staff and students. Aspire programs continue to offer student assessments, in person or virtually, for partner programs when possible. </w:t>
      </w:r>
    </w:p>
    <w:p w:rsidR="00604323" w:rsidRPr="00E3438A" w:rsidRDefault="00604323" w:rsidP="00E3438A">
      <w:pPr>
        <w:rPr>
          <w:rFonts w:ascii="Arial" w:hAnsi="Arial" w:cs="Arial"/>
        </w:rPr>
      </w:pPr>
      <w:r w:rsidRPr="00B668BA">
        <w:rPr>
          <w:rFonts w:ascii="Arial" w:hAnsi="Arial" w:cs="Arial"/>
          <w:i/>
          <w:color w:val="548DD4" w:themeColor="text2" w:themeTint="99"/>
        </w:rPr>
        <w:t>Establishment or operation of a high</w:t>
      </w:r>
      <w:r w:rsidR="00386022">
        <w:rPr>
          <w:rFonts w:ascii="Arial" w:hAnsi="Arial" w:cs="Arial"/>
          <w:i/>
          <w:color w:val="548DD4" w:themeColor="text2" w:themeTint="99"/>
        </w:rPr>
        <w:t>-</w:t>
      </w:r>
      <w:r w:rsidRPr="00B668BA">
        <w:rPr>
          <w:rFonts w:ascii="Arial" w:hAnsi="Arial" w:cs="Arial"/>
          <w:i/>
          <w:color w:val="548DD4" w:themeColor="text2" w:themeTint="99"/>
        </w:rPr>
        <w:t>quality professional development programs as</w:t>
      </w:r>
      <w:r w:rsidR="00F70214" w:rsidRPr="00B668BA">
        <w:rPr>
          <w:rFonts w:ascii="Arial" w:hAnsi="Arial" w:cs="Arial"/>
          <w:i/>
          <w:color w:val="548DD4" w:themeColor="text2" w:themeTint="99"/>
        </w:rPr>
        <w:t xml:space="preserve"> </w:t>
      </w:r>
      <w:r w:rsidRPr="00B668BA">
        <w:rPr>
          <w:rFonts w:ascii="Arial" w:hAnsi="Arial" w:cs="Arial"/>
          <w:i/>
          <w:color w:val="548DD4" w:themeColor="text2" w:themeTint="99"/>
        </w:rPr>
        <w:t>described in section 223(1)(b).</w:t>
      </w:r>
    </w:p>
    <w:p w:rsidR="001362EE" w:rsidRPr="00567EFF" w:rsidRDefault="001362EE" w:rsidP="00E3438A">
      <w:pPr>
        <w:rPr>
          <w:rFonts w:ascii="Arial" w:hAnsi="Arial" w:cs="Arial"/>
        </w:rPr>
      </w:pPr>
      <w:r w:rsidRPr="00567EFF">
        <w:rPr>
          <w:rFonts w:ascii="Arial" w:hAnsi="Arial" w:cs="Arial"/>
        </w:rPr>
        <w:t>State Leadership funds in Ohio continue to facilitate a culture of sustained learning and provide evidence-based, high-quality professional development to enhance the adult education system as a core partner in Ohio’s Combined State Plan. In PY 19, State Leadership funds support</w:t>
      </w:r>
      <w:r w:rsidR="00E5075C" w:rsidRPr="00567EFF">
        <w:rPr>
          <w:rFonts w:ascii="Arial" w:hAnsi="Arial" w:cs="Arial"/>
        </w:rPr>
        <w:t>ed</w:t>
      </w:r>
      <w:r w:rsidRPr="00567EFF">
        <w:rPr>
          <w:rFonts w:ascii="Arial" w:hAnsi="Arial" w:cs="Arial"/>
        </w:rPr>
        <w:t xml:space="preserve"> the Professional Development Network (PDN), comprised of a collaboration with the ODHE Aspire office, Kent State University (KSU), and the Ohio State University (OSU). State leadership funds were also used to contract with national, state, and local content experts to provide high-quality PD. </w:t>
      </w:r>
    </w:p>
    <w:p w:rsidR="00F03893" w:rsidRPr="00567EFF" w:rsidRDefault="006F704E" w:rsidP="00E3438A">
      <w:pPr>
        <w:rPr>
          <w:rFonts w:ascii="Arial" w:hAnsi="Arial" w:cs="Arial"/>
        </w:rPr>
      </w:pPr>
      <w:r w:rsidRPr="00567EFF">
        <w:rPr>
          <w:rFonts w:ascii="Arial" w:hAnsi="Arial" w:cs="Arial"/>
        </w:rPr>
        <w:t>The PDN consists of highly qualified trainers and content experts. State leadership funds support</w:t>
      </w:r>
      <w:r w:rsidR="00711621" w:rsidRPr="00567EFF">
        <w:rPr>
          <w:rFonts w:ascii="Arial" w:hAnsi="Arial" w:cs="Arial"/>
        </w:rPr>
        <w:t>ed</w:t>
      </w:r>
      <w:r w:rsidRPr="00567EFF">
        <w:rPr>
          <w:rFonts w:ascii="Arial" w:hAnsi="Arial" w:cs="Arial"/>
        </w:rPr>
        <w:t xml:space="preserve"> a variety of training, some required, that focus on improving local adult education and literacy activities. Examples of required trainings include</w:t>
      </w:r>
      <w:r w:rsidR="007311C5" w:rsidRPr="00567EFF">
        <w:rPr>
          <w:rFonts w:ascii="Arial" w:hAnsi="Arial" w:cs="Arial"/>
        </w:rPr>
        <w:t xml:space="preserve"> O</w:t>
      </w:r>
      <w:r w:rsidRPr="00567EFF">
        <w:rPr>
          <w:rFonts w:ascii="Arial" w:hAnsi="Arial" w:cs="Arial"/>
        </w:rPr>
        <w:t xml:space="preserve">rientation by job role (teacher, support staff, administrator), LINCS Learning to Achieve modules, Distance Education Basics, Assessment Fundamentals, and Understanding and Accessing </w:t>
      </w:r>
      <w:r w:rsidR="00BE67B5" w:rsidRPr="00567EFF">
        <w:rPr>
          <w:rFonts w:ascii="Arial" w:hAnsi="Arial" w:cs="Arial"/>
        </w:rPr>
        <w:t>Data.</w:t>
      </w:r>
      <w:r w:rsidRPr="00567EFF">
        <w:rPr>
          <w:rFonts w:ascii="Arial" w:hAnsi="Arial" w:cs="Arial"/>
        </w:rPr>
        <w:t xml:space="preserve"> </w:t>
      </w:r>
    </w:p>
    <w:p w:rsidR="00E95088" w:rsidRPr="00567EFF" w:rsidRDefault="006F704E" w:rsidP="00E95088">
      <w:pPr>
        <w:rPr>
          <w:rFonts w:ascii="Arial" w:hAnsi="Arial" w:cs="Arial"/>
        </w:rPr>
      </w:pPr>
      <w:r w:rsidRPr="00567EFF">
        <w:rPr>
          <w:rFonts w:ascii="Arial" w:hAnsi="Arial" w:cs="Arial"/>
        </w:rPr>
        <w:t>Ohio Aspire offer</w:t>
      </w:r>
      <w:r w:rsidR="00711621" w:rsidRPr="00567EFF">
        <w:rPr>
          <w:rFonts w:ascii="Arial" w:hAnsi="Arial" w:cs="Arial"/>
        </w:rPr>
        <w:t>ed</w:t>
      </w:r>
      <w:r w:rsidRPr="00567EFF">
        <w:rPr>
          <w:rFonts w:ascii="Arial" w:hAnsi="Arial" w:cs="Arial"/>
        </w:rPr>
        <w:t xml:space="preserve"> the national Student Achievement in Reading (STAR) training to improve reading instruction throughout the state.</w:t>
      </w:r>
      <w:r w:rsidR="00BE67B5" w:rsidRPr="00567EFF">
        <w:rPr>
          <w:rFonts w:ascii="Arial" w:hAnsi="Arial" w:cs="Arial"/>
        </w:rPr>
        <w:t xml:space="preserve"> </w:t>
      </w:r>
      <w:r w:rsidR="00A53B4A" w:rsidRPr="00567EFF">
        <w:rPr>
          <w:rFonts w:ascii="Arial" w:hAnsi="Arial" w:cs="Arial"/>
        </w:rPr>
        <w:t xml:space="preserve">Thirteen practitioners, representing five local programs, completed the STAR training in PY </w:t>
      </w:r>
      <w:r w:rsidR="002F5219" w:rsidRPr="00567EFF">
        <w:rPr>
          <w:rFonts w:ascii="Arial" w:hAnsi="Arial" w:cs="Arial"/>
        </w:rPr>
        <w:t>1</w:t>
      </w:r>
      <w:r w:rsidR="00A53B4A" w:rsidRPr="00567EFF">
        <w:rPr>
          <w:rFonts w:ascii="Arial" w:hAnsi="Arial" w:cs="Arial"/>
        </w:rPr>
        <w:t xml:space="preserve">8. </w:t>
      </w:r>
      <w:r w:rsidR="00BE67B5" w:rsidRPr="00567EFF">
        <w:rPr>
          <w:rFonts w:ascii="Arial" w:hAnsi="Arial" w:cs="Arial"/>
        </w:rPr>
        <w:t xml:space="preserve">In PY 19, the STAR cohort 2 </w:t>
      </w:r>
      <w:r w:rsidR="0088488A" w:rsidRPr="00567EFF">
        <w:rPr>
          <w:rFonts w:ascii="Arial" w:hAnsi="Arial" w:cs="Arial"/>
        </w:rPr>
        <w:t xml:space="preserve">comprised of 15 practitioners </w:t>
      </w:r>
      <w:r w:rsidR="00E5075C" w:rsidRPr="00567EFF">
        <w:rPr>
          <w:rFonts w:ascii="Arial" w:hAnsi="Arial" w:cs="Arial"/>
        </w:rPr>
        <w:t>could</w:t>
      </w:r>
      <w:r w:rsidR="00BE67B5" w:rsidRPr="00567EFF">
        <w:rPr>
          <w:rFonts w:ascii="Arial" w:hAnsi="Arial" w:cs="Arial"/>
        </w:rPr>
        <w:t xml:space="preserve"> not complete the training due to COVID. </w:t>
      </w:r>
      <w:r w:rsidR="0088488A" w:rsidRPr="00567EFF">
        <w:rPr>
          <w:rFonts w:ascii="Arial" w:hAnsi="Arial" w:cs="Arial"/>
        </w:rPr>
        <w:t>We are working on a plan to have th</w:t>
      </w:r>
      <w:r w:rsidR="00BE67B5" w:rsidRPr="00567EFF">
        <w:rPr>
          <w:rFonts w:ascii="Arial" w:hAnsi="Arial" w:cs="Arial"/>
        </w:rPr>
        <w:t xml:space="preserve">ose participants </w:t>
      </w:r>
      <w:r w:rsidR="0088488A" w:rsidRPr="00567EFF">
        <w:rPr>
          <w:rFonts w:ascii="Arial" w:hAnsi="Arial" w:cs="Arial"/>
        </w:rPr>
        <w:t>comp</w:t>
      </w:r>
      <w:r w:rsidR="00BE67B5" w:rsidRPr="00567EFF">
        <w:rPr>
          <w:rFonts w:ascii="Arial" w:hAnsi="Arial" w:cs="Arial"/>
        </w:rPr>
        <w:t xml:space="preserve">lete </w:t>
      </w:r>
      <w:r w:rsidR="00BE67B5" w:rsidRPr="00567EFF">
        <w:rPr>
          <w:rFonts w:ascii="Arial" w:hAnsi="Arial" w:cs="Arial"/>
        </w:rPr>
        <w:lastRenderedPageBreak/>
        <w:t xml:space="preserve">the training with the next STAR cohort as Ohio Aspire values </w:t>
      </w:r>
      <w:r w:rsidR="00F03893" w:rsidRPr="00567EFF">
        <w:rPr>
          <w:rFonts w:ascii="Arial" w:hAnsi="Arial" w:cs="Arial"/>
        </w:rPr>
        <w:t xml:space="preserve">STAR participation and </w:t>
      </w:r>
      <w:r w:rsidR="0088488A" w:rsidRPr="00567EFF">
        <w:rPr>
          <w:rFonts w:ascii="Arial" w:hAnsi="Arial" w:cs="Arial"/>
        </w:rPr>
        <w:t xml:space="preserve">evidence-based reading instruction. </w:t>
      </w:r>
      <w:r w:rsidR="00BE67B5" w:rsidRPr="00567EFF">
        <w:rPr>
          <w:rFonts w:ascii="Arial" w:hAnsi="Arial" w:cs="Arial"/>
        </w:rPr>
        <w:t xml:space="preserve"> </w:t>
      </w:r>
    </w:p>
    <w:p w:rsidR="008B0592" w:rsidRPr="00943011" w:rsidRDefault="002F5219" w:rsidP="008B0592">
      <w:pPr>
        <w:rPr>
          <w:rFonts w:ascii="Arial" w:hAnsi="Arial" w:cs="Arial"/>
        </w:rPr>
      </w:pPr>
      <w:r w:rsidRPr="00943011">
        <w:rPr>
          <w:rFonts w:ascii="Arial" w:hAnsi="Arial" w:cs="Arial"/>
        </w:rPr>
        <w:t xml:space="preserve">The ODHE continues to use a data-driven planning and evaluation process to determine the needs of the local providers and develop training and disseminate information and models of promising practices to address these needs. </w:t>
      </w:r>
      <w:r w:rsidR="008B0592" w:rsidRPr="00943011">
        <w:rPr>
          <w:rFonts w:ascii="Arial" w:hAnsi="Arial" w:cs="Arial"/>
        </w:rPr>
        <w:t>For example, In PY 19, 10 Aspire programs were identified as being the lowest performing programs in the state</w:t>
      </w:r>
      <w:r w:rsidR="003C0F83" w:rsidRPr="00943011">
        <w:rPr>
          <w:rFonts w:ascii="Arial" w:hAnsi="Arial" w:cs="Arial"/>
        </w:rPr>
        <w:t xml:space="preserve"> based on MSG.</w:t>
      </w:r>
      <w:r w:rsidR="008B0592" w:rsidRPr="00943011">
        <w:rPr>
          <w:rFonts w:ascii="Arial" w:hAnsi="Arial" w:cs="Arial"/>
        </w:rPr>
        <w:t xml:space="preserve"> These 10 programs were brought together to take part in the “Conquering Your Data Challenges” training based off </w:t>
      </w:r>
      <w:r w:rsidR="003C0F83" w:rsidRPr="00943011">
        <w:rPr>
          <w:rFonts w:ascii="Arial" w:hAnsi="Arial" w:cs="Arial"/>
        </w:rPr>
        <w:t xml:space="preserve">of </w:t>
      </w:r>
      <w:r w:rsidR="008B0592" w:rsidRPr="00943011">
        <w:rPr>
          <w:rFonts w:ascii="Arial" w:hAnsi="Arial" w:cs="Arial"/>
        </w:rPr>
        <w:t xml:space="preserve">AIR’s training provided to state agencies. The training was offered </w:t>
      </w:r>
      <w:r w:rsidR="003C0F83" w:rsidRPr="00943011">
        <w:rPr>
          <w:rFonts w:ascii="Arial" w:hAnsi="Arial" w:cs="Arial"/>
        </w:rPr>
        <w:t>hybrid model for 8 months</w:t>
      </w:r>
      <w:r w:rsidR="00943011">
        <w:rPr>
          <w:rFonts w:ascii="Arial" w:hAnsi="Arial" w:cs="Arial"/>
        </w:rPr>
        <w:t>;</w:t>
      </w:r>
      <w:r w:rsidR="003C0F83" w:rsidRPr="00943011">
        <w:rPr>
          <w:rFonts w:ascii="Arial" w:hAnsi="Arial" w:cs="Arial"/>
        </w:rPr>
        <w:t xml:space="preserve"> most importantly</w:t>
      </w:r>
      <w:r w:rsidR="00943011">
        <w:rPr>
          <w:rFonts w:ascii="Arial" w:hAnsi="Arial" w:cs="Arial"/>
        </w:rPr>
        <w:t>,</w:t>
      </w:r>
      <w:r w:rsidR="003C0F83" w:rsidRPr="00943011">
        <w:rPr>
          <w:rFonts w:ascii="Arial" w:hAnsi="Arial" w:cs="Arial"/>
        </w:rPr>
        <w:t xml:space="preserve"> program staff learned skills </w:t>
      </w:r>
      <w:r w:rsidR="00943011" w:rsidRPr="00943011">
        <w:rPr>
          <w:rFonts w:ascii="Arial" w:hAnsi="Arial" w:cs="Arial"/>
        </w:rPr>
        <w:t>into</w:t>
      </w:r>
      <w:r w:rsidR="003C0F83" w:rsidRPr="00943011">
        <w:rPr>
          <w:rFonts w:ascii="Arial" w:hAnsi="Arial" w:cs="Arial"/>
        </w:rPr>
        <w:t xml:space="preserve"> data diving and setting goals based on improving their data. The PDN and state staff used the same Conquering Your Data Challenges model with four Aspire programs</w:t>
      </w:r>
      <w:r w:rsidR="00943011" w:rsidRPr="00943011">
        <w:rPr>
          <w:rFonts w:ascii="Arial" w:hAnsi="Arial" w:cs="Arial"/>
        </w:rPr>
        <w:t xml:space="preserve"> in PY 19</w:t>
      </w:r>
      <w:r w:rsidR="003C0F83" w:rsidRPr="00943011">
        <w:rPr>
          <w:rFonts w:ascii="Arial" w:hAnsi="Arial" w:cs="Arial"/>
        </w:rPr>
        <w:t xml:space="preserve"> with low performance data in ESL levels 1 and 2. Nine ESOL teachers participated in “Study Circle on Low Literacy ESOL.” </w:t>
      </w:r>
      <w:r w:rsidR="00943011" w:rsidRPr="00943011">
        <w:rPr>
          <w:rFonts w:ascii="Arial" w:hAnsi="Arial" w:cs="Arial"/>
        </w:rPr>
        <w:t xml:space="preserve">These are examples of how </w:t>
      </w:r>
      <w:r w:rsidR="00617740">
        <w:rPr>
          <w:rFonts w:ascii="Arial" w:hAnsi="Arial" w:cs="Arial"/>
        </w:rPr>
        <w:t>the state Aspire team</w:t>
      </w:r>
      <w:r w:rsidR="00943011">
        <w:rPr>
          <w:rFonts w:ascii="Arial" w:hAnsi="Arial" w:cs="Arial"/>
        </w:rPr>
        <w:t xml:space="preserve"> </w:t>
      </w:r>
      <w:r w:rsidR="00943011" w:rsidRPr="00943011">
        <w:rPr>
          <w:rFonts w:ascii="Arial" w:hAnsi="Arial" w:cs="Arial"/>
        </w:rPr>
        <w:t>take the information learned from national training</w:t>
      </w:r>
      <w:r w:rsidR="00943011">
        <w:rPr>
          <w:rFonts w:ascii="Arial" w:hAnsi="Arial" w:cs="Arial"/>
        </w:rPr>
        <w:t>s</w:t>
      </w:r>
      <w:r w:rsidR="00943011" w:rsidRPr="00943011">
        <w:rPr>
          <w:rFonts w:ascii="Arial" w:hAnsi="Arial" w:cs="Arial"/>
        </w:rPr>
        <w:t xml:space="preserve"> and apply it to the local programs based on their specific needs.</w:t>
      </w:r>
    </w:p>
    <w:p w:rsidR="00E95088" w:rsidRPr="00567EFF" w:rsidRDefault="00E5075C" w:rsidP="00E95088">
      <w:pPr>
        <w:rPr>
          <w:rFonts w:ascii="Arial" w:hAnsi="Arial" w:cs="Arial"/>
        </w:rPr>
      </w:pPr>
      <w:r w:rsidRPr="00567EFF">
        <w:rPr>
          <w:rFonts w:ascii="Arial" w:hAnsi="Arial" w:cs="Arial"/>
        </w:rPr>
        <w:t>Before</w:t>
      </w:r>
      <w:r w:rsidR="0088488A" w:rsidRPr="00567EFF">
        <w:rPr>
          <w:rFonts w:ascii="Arial" w:hAnsi="Arial" w:cs="Arial"/>
        </w:rPr>
        <w:t xml:space="preserve"> COVID, many of the PDN trainings were offered online</w:t>
      </w:r>
      <w:r w:rsidR="008A3542" w:rsidRPr="00567EFF">
        <w:rPr>
          <w:rFonts w:ascii="Arial" w:hAnsi="Arial" w:cs="Arial"/>
        </w:rPr>
        <w:t xml:space="preserve"> or using a hybrid model</w:t>
      </w:r>
      <w:r w:rsidR="00F03893" w:rsidRPr="00567EFF">
        <w:rPr>
          <w:rFonts w:ascii="Arial" w:hAnsi="Arial" w:cs="Arial"/>
        </w:rPr>
        <w:t>,</w:t>
      </w:r>
      <w:r w:rsidR="008A3542" w:rsidRPr="00567EFF">
        <w:rPr>
          <w:rFonts w:ascii="Arial" w:hAnsi="Arial" w:cs="Arial"/>
        </w:rPr>
        <w:t xml:space="preserve"> so the shift to online PD was not so difficult for </w:t>
      </w:r>
      <w:r w:rsidR="00617740">
        <w:rPr>
          <w:rFonts w:ascii="Arial" w:hAnsi="Arial" w:cs="Arial"/>
        </w:rPr>
        <w:t>Aspire programs.</w:t>
      </w:r>
      <w:r w:rsidR="008A3542" w:rsidRPr="00567EFF">
        <w:rPr>
          <w:rFonts w:ascii="Arial" w:hAnsi="Arial" w:cs="Arial"/>
        </w:rPr>
        <w:t xml:space="preserve"> </w:t>
      </w:r>
      <w:r w:rsidR="00E95088" w:rsidRPr="00567EFF">
        <w:rPr>
          <w:rFonts w:ascii="Arial" w:hAnsi="Arial" w:cs="Arial"/>
        </w:rPr>
        <w:t>Examples of scheduled PD that pivoted to virtual learning include:</w:t>
      </w:r>
    </w:p>
    <w:p w:rsidR="00E95088" w:rsidRPr="00567EFF" w:rsidRDefault="00E95088" w:rsidP="00D70D6C">
      <w:pPr>
        <w:pStyle w:val="ListParagraph"/>
        <w:numPr>
          <w:ilvl w:val="0"/>
          <w:numId w:val="37"/>
        </w:numPr>
        <w:spacing w:after="0" w:line="240" w:lineRule="auto"/>
        <w:rPr>
          <w:rFonts w:ascii="Arial" w:hAnsi="Arial" w:cs="Arial"/>
        </w:rPr>
      </w:pPr>
      <w:r w:rsidRPr="00567EFF">
        <w:rPr>
          <w:rFonts w:ascii="Arial" w:hAnsi="Arial" w:cs="Arial"/>
        </w:rPr>
        <w:t xml:space="preserve">New Teacher Orientations (ABE and ESOL) </w:t>
      </w:r>
    </w:p>
    <w:p w:rsidR="00E95088" w:rsidRPr="00567EFF" w:rsidRDefault="00617740" w:rsidP="00D70D6C">
      <w:pPr>
        <w:pStyle w:val="ListParagraph"/>
        <w:numPr>
          <w:ilvl w:val="0"/>
          <w:numId w:val="37"/>
        </w:numPr>
        <w:spacing w:after="0" w:line="240" w:lineRule="auto"/>
        <w:rPr>
          <w:rFonts w:ascii="Arial" w:hAnsi="Arial" w:cs="Arial"/>
        </w:rPr>
      </w:pPr>
      <w:r>
        <w:rPr>
          <w:rFonts w:ascii="Arial" w:hAnsi="Arial" w:cs="Arial"/>
        </w:rPr>
        <w:t xml:space="preserve">Administering </w:t>
      </w:r>
      <w:r w:rsidR="00E95088" w:rsidRPr="00567EFF">
        <w:rPr>
          <w:rFonts w:ascii="Arial" w:hAnsi="Arial" w:cs="Arial"/>
        </w:rPr>
        <w:t xml:space="preserve">TABE CLAS-E </w:t>
      </w:r>
    </w:p>
    <w:p w:rsidR="00E95088" w:rsidRPr="00567EFF" w:rsidRDefault="00E95088" w:rsidP="00E95088">
      <w:pPr>
        <w:pStyle w:val="ListParagraph"/>
        <w:numPr>
          <w:ilvl w:val="0"/>
          <w:numId w:val="37"/>
        </w:numPr>
        <w:spacing w:after="0" w:line="240" w:lineRule="auto"/>
        <w:rPr>
          <w:rFonts w:ascii="Arial" w:hAnsi="Arial" w:cs="Arial"/>
        </w:rPr>
      </w:pPr>
      <w:r w:rsidRPr="00567EFF">
        <w:rPr>
          <w:rFonts w:ascii="Arial" w:hAnsi="Arial" w:cs="Arial"/>
        </w:rPr>
        <w:t xml:space="preserve">Reading/Writing trainings </w:t>
      </w:r>
    </w:p>
    <w:p w:rsidR="00E95088" w:rsidRPr="00567EFF" w:rsidRDefault="00C024E9" w:rsidP="00E95088">
      <w:pPr>
        <w:pStyle w:val="ListParagraph"/>
        <w:numPr>
          <w:ilvl w:val="0"/>
          <w:numId w:val="37"/>
        </w:numPr>
        <w:spacing w:after="0" w:line="240" w:lineRule="auto"/>
        <w:rPr>
          <w:rFonts w:ascii="Arial" w:hAnsi="Arial" w:cs="Arial"/>
        </w:rPr>
      </w:pPr>
      <w:r>
        <w:rPr>
          <w:rFonts w:ascii="Arial" w:hAnsi="Arial" w:cs="Arial"/>
        </w:rPr>
        <w:t>R</w:t>
      </w:r>
      <w:r w:rsidR="00E95088" w:rsidRPr="00567EFF">
        <w:rPr>
          <w:rFonts w:ascii="Arial" w:hAnsi="Arial" w:cs="Arial"/>
        </w:rPr>
        <w:t>egular open office hours (topic-based and no-topic) for administrators in lieu of planned administrators’ meeting(s)</w:t>
      </w:r>
    </w:p>
    <w:p w:rsidR="00E95088" w:rsidRPr="00567EFF" w:rsidRDefault="00E95088" w:rsidP="00E95088">
      <w:pPr>
        <w:pStyle w:val="ListParagraph"/>
        <w:numPr>
          <w:ilvl w:val="0"/>
          <w:numId w:val="37"/>
        </w:numPr>
        <w:spacing w:after="0" w:line="240" w:lineRule="auto"/>
        <w:rPr>
          <w:rFonts w:ascii="Arial" w:hAnsi="Arial" w:cs="Arial"/>
        </w:rPr>
      </w:pPr>
      <w:r w:rsidRPr="00567EFF">
        <w:rPr>
          <w:rFonts w:ascii="Arial" w:hAnsi="Arial" w:cs="Arial"/>
        </w:rPr>
        <w:t xml:space="preserve">Writing Camp for students and teachers as well as their families </w:t>
      </w:r>
    </w:p>
    <w:p w:rsidR="00E95088" w:rsidRPr="00567EFF" w:rsidRDefault="00E95088" w:rsidP="00E95088">
      <w:pPr>
        <w:pStyle w:val="ListParagraph"/>
        <w:spacing w:after="0" w:line="240" w:lineRule="auto"/>
        <w:ind w:left="360"/>
        <w:rPr>
          <w:rFonts w:ascii="Arial" w:hAnsi="Arial" w:cs="Arial"/>
        </w:rPr>
      </w:pPr>
    </w:p>
    <w:p w:rsidR="00E95088" w:rsidRPr="00567EFF" w:rsidRDefault="008A3542" w:rsidP="00E95088">
      <w:pPr>
        <w:rPr>
          <w:rFonts w:ascii="Arial" w:eastAsia="Times New Roman" w:hAnsi="Arial" w:cs="Arial"/>
        </w:rPr>
      </w:pPr>
      <w:r w:rsidRPr="00567EFF">
        <w:rPr>
          <w:rFonts w:ascii="Arial" w:hAnsi="Arial" w:cs="Arial"/>
        </w:rPr>
        <w:t xml:space="preserve">Even Aspire </w:t>
      </w:r>
      <w:r w:rsidR="00F03893" w:rsidRPr="00567EFF">
        <w:rPr>
          <w:rFonts w:ascii="Arial" w:hAnsi="Arial" w:cs="Arial"/>
        </w:rPr>
        <w:t xml:space="preserve">instructional </w:t>
      </w:r>
      <w:r w:rsidRPr="00567EFF">
        <w:rPr>
          <w:rFonts w:ascii="Arial" w:hAnsi="Arial" w:cs="Arial"/>
        </w:rPr>
        <w:t xml:space="preserve">classes were moving to a virtual format option </w:t>
      </w:r>
      <w:r w:rsidR="00A83A49" w:rsidRPr="00567EFF">
        <w:rPr>
          <w:rFonts w:ascii="Arial" w:hAnsi="Arial" w:cs="Arial"/>
        </w:rPr>
        <w:t xml:space="preserve">in four programs </w:t>
      </w:r>
      <w:r w:rsidR="00567EFF" w:rsidRPr="00567EFF">
        <w:rPr>
          <w:rFonts w:ascii="Arial" w:hAnsi="Arial" w:cs="Arial"/>
        </w:rPr>
        <w:t>before</w:t>
      </w:r>
      <w:r w:rsidRPr="00567EFF">
        <w:rPr>
          <w:rFonts w:ascii="Arial" w:hAnsi="Arial" w:cs="Arial"/>
        </w:rPr>
        <w:t xml:space="preserve"> the pandemic </w:t>
      </w:r>
      <w:r w:rsidR="00567EFF" w:rsidRPr="00567EFF">
        <w:rPr>
          <w:rFonts w:ascii="Arial" w:hAnsi="Arial" w:cs="Arial"/>
        </w:rPr>
        <w:t>to</w:t>
      </w:r>
      <w:r w:rsidR="00F03893" w:rsidRPr="00567EFF">
        <w:rPr>
          <w:rFonts w:ascii="Arial" w:hAnsi="Arial" w:cs="Arial"/>
        </w:rPr>
        <w:t xml:space="preserve"> reach students who cannot get to </w:t>
      </w:r>
      <w:r w:rsidRPr="00567EFF">
        <w:rPr>
          <w:rFonts w:ascii="Arial" w:hAnsi="Arial" w:cs="Arial"/>
        </w:rPr>
        <w:t>in-person class</w:t>
      </w:r>
      <w:r w:rsidR="00F03893" w:rsidRPr="00567EFF">
        <w:rPr>
          <w:rFonts w:ascii="Arial" w:hAnsi="Arial" w:cs="Arial"/>
        </w:rPr>
        <w:t xml:space="preserve">es. </w:t>
      </w:r>
      <w:r w:rsidR="00A83A49" w:rsidRPr="00567EFF">
        <w:rPr>
          <w:rFonts w:ascii="Arial" w:hAnsi="Arial" w:cs="Arial"/>
        </w:rPr>
        <w:t>Our deaf literacy class has been 100% virtual for three years to provide access to participants around the state. Ohio Aspire was already primed for virtual training</w:t>
      </w:r>
      <w:r w:rsidR="00567EFF" w:rsidRPr="00567EFF">
        <w:rPr>
          <w:rFonts w:ascii="Arial" w:hAnsi="Arial" w:cs="Arial"/>
        </w:rPr>
        <w:t>,</w:t>
      </w:r>
      <w:r w:rsidR="00A83A49" w:rsidRPr="00567EFF">
        <w:rPr>
          <w:rFonts w:ascii="Arial" w:hAnsi="Arial" w:cs="Arial"/>
        </w:rPr>
        <w:t xml:space="preserve"> but COVID escalated efforts to quickly get all 47 programs trained with </w:t>
      </w:r>
      <w:r w:rsidR="00E95088" w:rsidRPr="00567EFF">
        <w:rPr>
          <w:rFonts w:ascii="Arial" w:hAnsi="Arial" w:cs="Arial"/>
        </w:rPr>
        <w:t xml:space="preserve">remote orientation, assessment, and learning. </w:t>
      </w:r>
      <w:r w:rsidR="00F42818" w:rsidRPr="00567EFF">
        <w:rPr>
          <w:rFonts w:ascii="Arial" w:hAnsi="Arial" w:cs="Arial"/>
        </w:rPr>
        <w:t xml:space="preserve">Examples of </w:t>
      </w:r>
      <w:r w:rsidR="00C024E9">
        <w:rPr>
          <w:rFonts w:ascii="Arial" w:hAnsi="Arial" w:cs="Arial"/>
        </w:rPr>
        <w:t xml:space="preserve">how </w:t>
      </w:r>
      <w:r w:rsidR="00F42818" w:rsidRPr="00567EFF">
        <w:rPr>
          <w:rFonts w:ascii="Arial" w:hAnsi="Arial" w:cs="Arial"/>
        </w:rPr>
        <w:t>state leadership funds were used to provide training on high-quality distance learning:</w:t>
      </w:r>
    </w:p>
    <w:p w:rsidR="00E95088" w:rsidRPr="00567EFF" w:rsidRDefault="00E95088" w:rsidP="00E95088">
      <w:pPr>
        <w:pStyle w:val="ListParagraph"/>
        <w:numPr>
          <w:ilvl w:val="0"/>
          <w:numId w:val="38"/>
        </w:numPr>
        <w:spacing w:after="0" w:line="240" w:lineRule="auto"/>
        <w:rPr>
          <w:rFonts w:ascii="Arial" w:eastAsia="Times New Roman" w:hAnsi="Arial" w:cs="Arial"/>
        </w:rPr>
      </w:pPr>
      <w:r w:rsidRPr="00567EFF">
        <w:rPr>
          <w:rFonts w:ascii="Arial" w:eastAsia="Times New Roman" w:hAnsi="Arial" w:cs="Arial"/>
        </w:rPr>
        <w:t xml:space="preserve">Distance Education Exploration </w:t>
      </w:r>
    </w:p>
    <w:p w:rsidR="00E95088" w:rsidRPr="00567EFF" w:rsidRDefault="00E95088" w:rsidP="00E95088">
      <w:pPr>
        <w:pStyle w:val="ListParagraph"/>
        <w:numPr>
          <w:ilvl w:val="0"/>
          <w:numId w:val="38"/>
        </w:numPr>
        <w:spacing w:after="0" w:line="240" w:lineRule="auto"/>
        <w:rPr>
          <w:rFonts w:ascii="Arial" w:eastAsia="Times New Roman" w:hAnsi="Arial" w:cs="Arial"/>
        </w:rPr>
      </w:pPr>
      <w:r w:rsidRPr="00567EFF">
        <w:rPr>
          <w:rFonts w:ascii="Arial" w:eastAsia="Times New Roman" w:hAnsi="Arial" w:cs="Arial"/>
        </w:rPr>
        <w:t>Distance Education Options</w:t>
      </w:r>
    </w:p>
    <w:p w:rsidR="00E95088" w:rsidRPr="00567EFF" w:rsidRDefault="00E95088" w:rsidP="00E95088">
      <w:pPr>
        <w:pStyle w:val="ListParagraph"/>
        <w:numPr>
          <w:ilvl w:val="0"/>
          <w:numId w:val="38"/>
        </w:numPr>
        <w:spacing w:after="0" w:line="240" w:lineRule="auto"/>
        <w:rPr>
          <w:rFonts w:ascii="Arial" w:eastAsia="Times New Roman" w:hAnsi="Arial" w:cs="Arial"/>
        </w:rPr>
      </w:pPr>
      <w:r w:rsidRPr="00567EFF">
        <w:rPr>
          <w:rFonts w:ascii="Arial" w:eastAsia="Times New Roman" w:hAnsi="Arial" w:cs="Arial"/>
        </w:rPr>
        <w:t>Google Classroom Basics</w:t>
      </w:r>
    </w:p>
    <w:p w:rsidR="00E95088" w:rsidRPr="00567EFF" w:rsidRDefault="00E95088" w:rsidP="00E95088">
      <w:pPr>
        <w:pStyle w:val="ListParagraph"/>
        <w:numPr>
          <w:ilvl w:val="0"/>
          <w:numId w:val="38"/>
        </w:numPr>
        <w:spacing w:after="0" w:line="240" w:lineRule="auto"/>
        <w:rPr>
          <w:rFonts w:ascii="Arial" w:eastAsia="Times New Roman" w:hAnsi="Arial" w:cs="Arial"/>
        </w:rPr>
      </w:pPr>
      <w:r w:rsidRPr="00567EFF">
        <w:rPr>
          <w:rFonts w:ascii="Arial" w:eastAsia="Times New Roman" w:hAnsi="Arial" w:cs="Arial"/>
        </w:rPr>
        <w:t>Using Google Classrooms to Teach Your Favorite Lessons</w:t>
      </w:r>
    </w:p>
    <w:p w:rsidR="00E95088" w:rsidRPr="00567EFF" w:rsidRDefault="00E95088" w:rsidP="00E95088">
      <w:pPr>
        <w:pStyle w:val="ListParagraph"/>
        <w:numPr>
          <w:ilvl w:val="0"/>
          <w:numId w:val="38"/>
        </w:numPr>
        <w:spacing w:after="0" w:line="240" w:lineRule="auto"/>
        <w:rPr>
          <w:rFonts w:ascii="Arial" w:eastAsia="Times New Roman" w:hAnsi="Arial" w:cs="Arial"/>
        </w:rPr>
      </w:pPr>
      <w:r w:rsidRPr="00567EFF">
        <w:rPr>
          <w:rFonts w:ascii="Arial" w:eastAsia="Times New Roman" w:hAnsi="Arial" w:cs="Arial"/>
        </w:rPr>
        <w:t>Using Schoology: An Alternative to Google Classrooms</w:t>
      </w:r>
    </w:p>
    <w:p w:rsidR="00E95088" w:rsidRPr="00567EFF" w:rsidRDefault="00E95088" w:rsidP="00E95088">
      <w:pPr>
        <w:pStyle w:val="ListParagraph"/>
        <w:numPr>
          <w:ilvl w:val="0"/>
          <w:numId w:val="39"/>
        </w:numPr>
        <w:spacing w:after="0" w:line="240" w:lineRule="auto"/>
        <w:rPr>
          <w:rFonts w:ascii="Arial" w:eastAsia="Times New Roman" w:hAnsi="Arial" w:cs="Arial"/>
        </w:rPr>
      </w:pPr>
      <w:r w:rsidRPr="00567EFF">
        <w:rPr>
          <w:rFonts w:ascii="Arial" w:eastAsia="Times New Roman" w:hAnsi="Arial" w:cs="Arial"/>
        </w:rPr>
        <w:t>Formative Assessment at a Distance</w:t>
      </w:r>
    </w:p>
    <w:p w:rsidR="00E95088" w:rsidRPr="00567EFF" w:rsidRDefault="00E95088" w:rsidP="00E95088">
      <w:pPr>
        <w:pStyle w:val="ListParagraph"/>
        <w:numPr>
          <w:ilvl w:val="0"/>
          <w:numId w:val="39"/>
        </w:numPr>
        <w:spacing w:after="0" w:line="240" w:lineRule="auto"/>
        <w:rPr>
          <w:rFonts w:ascii="Arial" w:eastAsia="Times New Roman" w:hAnsi="Arial" w:cs="Arial"/>
        </w:rPr>
      </w:pPr>
      <w:r w:rsidRPr="00567EFF">
        <w:rPr>
          <w:rFonts w:ascii="Arial" w:eastAsia="Times New Roman" w:hAnsi="Arial" w:cs="Arial"/>
        </w:rPr>
        <w:t>Conducting Remote Orientation</w:t>
      </w:r>
    </w:p>
    <w:p w:rsidR="00E95088" w:rsidRPr="00567EFF" w:rsidRDefault="00E95088" w:rsidP="00E95088">
      <w:pPr>
        <w:pStyle w:val="ListParagraph"/>
        <w:numPr>
          <w:ilvl w:val="0"/>
          <w:numId w:val="39"/>
        </w:numPr>
        <w:spacing w:after="0" w:line="240" w:lineRule="auto"/>
        <w:rPr>
          <w:rFonts w:ascii="Arial" w:eastAsia="Times New Roman" w:hAnsi="Arial" w:cs="Arial"/>
        </w:rPr>
      </w:pPr>
      <w:r w:rsidRPr="00567EFF">
        <w:rPr>
          <w:rFonts w:ascii="Arial" w:eastAsia="Times New Roman" w:hAnsi="Arial" w:cs="Arial"/>
        </w:rPr>
        <w:t>Supporting Staff at a Distance</w:t>
      </w:r>
    </w:p>
    <w:p w:rsidR="00E95088" w:rsidRPr="00567EFF" w:rsidRDefault="00E95088" w:rsidP="00E95088">
      <w:pPr>
        <w:pStyle w:val="ListParagraph"/>
        <w:numPr>
          <w:ilvl w:val="0"/>
          <w:numId w:val="39"/>
        </w:numPr>
        <w:spacing w:after="0" w:line="240" w:lineRule="auto"/>
        <w:rPr>
          <w:rFonts w:ascii="Arial" w:eastAsia="Times New Roman" w:hAnsi="Arial" w:cs="Arial"/>
        </w:rPr>
      </w:pPr>
      <w:r w:rsidRPr="00567EFF">
        <w:rPr>
          <w:rFonts w:ascii="Arial" w:eastAsia="Times New Roman" w:hAnsi="Arial" w:cs="Arial"/>
        </w:rPr>
        <w:t>Recording Your Computer Screen</w:t>
      </w:r>
    </w:p>
    <w:p w:rsidR="00E95088" w:rsidRPr="00567EFF" w:rsidRDefault="00E95088" w:rsidP="00E95088">
      <w:pPr>
        <w:pStyle w:val="ListParagraph"/>
        <w:numPr>
          <w:ilvl w:val="0"/>
          <w:numId w:val="39"/>
        </w:numPr>
        <w:spacing w:after="0" w:line="240" w:lineRule="auto"/>
        <w:rPr>
          <w:rFonts w:ascii="Arial" w:eastAsia="Times New Roman" w:hAnsi="Arial" w:cs="Arial"/>
        </w:rPr>
      </w:pPr>
      <w:proofErr w:type="spellStart"/>
      <w:r w:rsidRPr="00567EFF">
        <w:rPr>
          <w:rFonts w:ascii="Arial" w:eastAsia="Times New Roman" w:hAnsi="Arial" w:cs="Arial"/>
        </w:rPr>
        <w:t>Wakelet</w:t>
      </w:r>
      <w:proofErr w:type="spellEnd"/>
      <w:r w:rsidRPr="00567EFF">
        <w:rPr>
          <w:rFonts w:ascii="Arial" w:eastAsia="Times New Roman" w:hAnsi="Arial" w:cs="Arial"/>
        </w:rPr>
        <w:t xml:space="preserve"> </w:t>
      </w:r>
    </w:p>
    <w:p w:rsidR="00E95088" w:rsidRPr="00567EFF" w:rsidRDefault="00E95088" w:rsidP="00E95088">
      <w:pPr>
        <w:pStyle w:val="ListParagraph"/>
        <w:numPr>
          <w:ilvl w:val="0"/>
          <w:numId w:val="39"/>
        </w:numPr>
        <w:spacing w:after="0" w:line="240" w:lineRule="auto"/>
        <w:rPr>
          <w:rFonts w:ascii="Arial" w:eastAsia="Times New Roman" w:hAnsi="Arial" w:cs="Arial"/>
        </w:rPr>
      </w:pPr>
      <w:r w:rsidRPr="00567EFF">
        <w:rPr>
          <w:rFonts w:ascii="Arial" w:eastAsia="Times New Roman" w:hAnsi="Arial" w:cs="Arial"/>
        </w:rPr>
        <w:t xml:space="preserve">Working </w:t>
      </w:r>
      <w:r w:rsidR="00C024E9">
        <w:rPr>
          <w:rFonts w:ascii="Arial" w:eastAsia="Times New Roman" w:hAnsi="Arial" w:cs="Arial"/>
        </w:rPr>
        <w:t>w</w:t>
      </w:r>
      <w:r w:rsidRPr="00567EFF">
        <w:rPr>
          <w:rFonts w:ascii="Arial" w:eastAsia="Times New Roman" w:hAnsi="Arial" w:cs="Arial"/>
        </w:rPr>
        <w:t>ith a Headset</w:t>
      </w:r>
    </w:p>
    <w:p w:rsidR="00E95088" w:rsidRPr="00567EFF" w:rsidRDefault="00F42818" w:rsidP="00F42818">
      <w:pPr>
        <w:pStyle w:val="ListParagraph"/>
        <w:numPr>
          <w:ilvl w:val="0"/>
          <w:numId w:val="39"/>
        </w:numPr>
        <w:rPr>
          <w:rFonts w:ascii="Arial" w:hAnsi="Arial" w:cs="Arial"/>
        </w:rPr>
      </w:pPr>
      <w:r w:rsidRPr="00567EFF">
        <w:rPr>
          <w:rFonts w:ascii="Arial" w:hAnsi="Arial" w:cs="Arial"/>
        </w:rPr>
        <w:t>And many others</w:t>
      </w:r>
    </w:p>
    <w:p w:rsidR="006F704E" w:rsidRPr="00567EFF" w:rsidRDefault="003E5024" w:rsidP="00E3438A">
      <w:pPr>
        <w:rPr>
          <w:rFonts w:ascii="Arial" w:hAnsi="Arial" w:cs="Arial"/>
        </w:rPr>
      </w:pPr>
      <w:r w:rsidRPr="00567EFF">
        <w:rPr>
          <w:rFonts w:ascii="Arial" w:hAnsi="Arial" w:cs="Arial"/>
        </w:rPr>
        <w:t xml:space="preserve">When possible, </w:t>
      </w:r>
      <w:r w:rsidR="006F704E" w:rsidRPr="00567EFF">
        <w:rPr>
          <w:rFonts w:ascii="Arial" w:hAnsi="Arial" w:cs="Arial"/>
        </w:rPr>
        <w:t>PD activities emphasize</w:t>
      </w:r>
      <w:r w:rsidRPr="00567EFF">
        <w:rPr>
          <w:rFonts w:ascii="Arial" w:hAnsi="Arial" w:cs="Arial"/>
        </w:rPr>
        <w:t xml:space="preserve">d </w:t>
      </w:r>
      <w:r w:rsidR="006F704E" w:rsidRPr="00567EFF">
        <w:rPr>
          <w:rFonts w:ascii="Arial" w:hAnsi="Arial" w:cs="Arial"/>
        </w:rPr>
        <w:t>research-based features for effective PD such as longer-term, job-embedded activities with opportunities for participation and application of new skills</w:t>
      </w:r>
      <w:r w:rsidRPr="00567EFF">
        <w:rPr>
          <w:rFonts w:ascii="Arial" w:hAnsi="Arial" w:cs="Arial"/>
        </w:rPr>
        <w:t xml:space="preserve">, such </w:t>
      </w:r>
      <w:r w:rsidR="00C024E9" w:rsidRPr="00567EFF">
        <w:rPr>
          <w:rFonts w:ascii="Arial" w:hAnsi="Arial" w:cs="Arial"/>
        </w:rPr>
        <w:t xml:space="preserve">as </w:t>
      </w:r>
      <w:r w:rsidR="00C024E9" w:rsidRPr="00567EFF">
        <w:rPr>
          <w:rFonts w:ascii="Arial" w:hAnsi="Arial" w:cs="Arial"/>
        </w:rPr>
        <w:lastRenderedPageBreak/>
        <w:t>Conquering</w:t>
      </w:r>
      <w:r w:rsidRPr="00567EFF">
        <w:rPr>
          <w:rFonts w:ascii="Arial" w:hAnsi="Arial" w:cs="Arial"/>
        </w:rPr>
        <w:t xml:space="preserve"> Your Data Challenges</w:t>
      </w:r>
      <w:r w:rsidR="00C024E9">
        <w:rPr>
          <w:rFonts w:ascii="Arial" w:hAnsi="Arial" w:cs="Arial"/>
        </w:rPr>
        <w:t xml:space="preserve"> and </w:t>
      </w:r>
      <w:r w:rsidR="003B64E8">
        <w:rPr>
          <w:rFonts w:ascii="Arial" w:hAnsi="Arial" w:cs="Arial"/>
        </w:rPr>
        <w:t>STAR</w:t>
      </w:r>
      <w:r w:rsidR="00C024E9">
        <w:rPr>
          <w:rFonts w:ascii="Arial" w:hAnsi="Arial" w:cs="Arial"/>
        </w:rPr>
        <w:t xml:space="preserve">. </w:t>
      </w:r>
      <w:r w:rsidRPr="00567EFF">
        <w:rPr>
          <w:rFonts w:ascii="Arial" w:hAnsi="Arial" w:cs="Arial"/>
        </w:rPr>
        <w:t xml:space="preserve">With COVID, much of the PD became just-in-time reactions to getting staff trained on remote learning and assessments. There were opportunities for sharing best practices, what’s working, and what’s not, through the administrator, teacher, and support staff office hours, that we continue today.  Other virtual opportunities </w:t>
      </w:r>
      <w:r w:rsidR="00711621" w:rsidRPr="00567EFF">
        <w:rPr>
          <w:rFonts w:ascii="Arial" w:hAnsi="Arial" w:cs="Arial"/>
        </w:rPr>
        <w:t xml:space="preserve">were </w:t>
      </w:r>
      <w:r w:rsidR="006F704E" w:rsidRPr="00567EFF">
        <w:rPr>
          <w:rFonts w:ascii="Arial" w:hAnsi="Arial" w:cs="Arial"/>
        </w:rPr>
        <w:t xml:space="preserve">provided for adult educators to develop and share their knowledge through </w:t>
      </w:r>
      <w:r w:rsidR="00711621" w:rsidRPr="00567EFF">
        <w:rPr>
          <w:rFonts w:ascii="Arial" w:hAnsi="Arial" w:cs="Arial"/>
        </w:rPr>
        <w:t xml:space="preserve">peer-sharing </w:t>
      </w:r>
      <w:r w:rsidR="006F704E" w:rsidRPr="00567EFF">
        <w:rPr>
          <w:rFonts w:ascii="Arial" w:hAnsi="Arial" w:cs="Arial"/>
        </w:rPr>
        <w:t xml:space="preserve">discussion lists, </w:t>
      </w:r>
      <w:r w:rsidRPr="00567EFF">
        <w:rPr>
          <w:rFonts w:ascii="Arial" w:hAnsi="Arial" w:cs="Arial"/>
        </w:rPr>
        <w:t>a s</w:t>
      </w:r>
      <w:r w:rsidR="006F704E" w:rsidRPr="00567EFF">
        <w:rPr>
          <w:rFonts w:ascii="Arial" w:hAnsi="Arial" w:cs="Arial"/>
        </w:rPr>
        <w:t xml:space="preserve">tatewide </w:t>
      </w:r>
      <w:r w:rsidR="00567EFF" w:rsidRPr="00567EFF">
        <w:rPr>
          <w:rFonts w:ascii="Arial" w:hAnsi="Arial" w:cs="Arial"/>
        </w:rPr>
        <w:t xml:space="preserve">virtual </w:t>
      </w:r>
      <w:r w:rsidR="006F704E" w:rsidRPr="00567EFF">
        <w:rPr>
          <w:rFonts w:ascii="Arial" w:hAnsi="Arial" w:cs="Arial"/>
        </w:rPr>
        <w:t>conference, online courses, and webinars.</w:t>
      </w:r>
    </w:p>
    <w:p w:rsidR="003627E2" w:rsidRDefault="003627E2" w:rsidP="00B668BA">
      <w:pPr>
        <w:autoSpaceDE w:val="0"/>
        <w:autoSpaceDN w:val="0"/>
        <w:adjustRightInd w:val="0"/>
        <w:spacing w:after="0" w:line="240" w:lineRule="auto"/>
        <w:ind w:firstLine="720"/>
        <w:rPr>
          <w:rFonts w:ascii="Arial" w:hAnsi="Arial" w:cs="Arial"/>
          <w:i/>
          <w:color w:val="548DD4" w:themeColor="text2" w:themeTint="99"/>
        </w:rPr>
      </w:pPr>
    </w:p>
    <w:p w:rsidR="00A3046F" w:rsidRPr="00E3438A" w:rsidRDefault="00A3046F" w:rsidP="00E3438A">
      <w:pPr>
        <w:rPr>
          <w:rFonts w:ascii="Arial" w:hAnsi="Arial" w:cs="Arial"/>
          <w:i/>
          <w:color w:val="548DD4" w:themeColor="text2" w:themeTint="99"/>
        </w:rPr>
      </w:pPr>
      <w:r w:rsidRPr="00E3438A">
        <w:rPr>
          <w:rFonts w:ascii="Arial" w:hAnsi="Arial" w:cs="Arial"/>
          <w:i/>
          <w:color w:val="548DD4" w:themeColor="text2" w:themeTint="99"/>
        </w:rPr>
        <w:t>Provision of technical assistance to funded eligible providers as described in section</w:t>
      </w:r>
      <w:r w:rsidR="002B0328" w:rsidRPr="00E3438A">
        <w:rPr>
          <w:rFonts w:ascii="Arial" w:hAnsi="Arial" w:cs="Arial"/>
          <w:i/>
          <w:color w:val="548DD4" w:themeColor="text2" w:themeTint="99"/>
        </w:rPr>
        <w:t xml:space="preserve"> </w:t>
      </w:r>
      <w:r w:rsidRPr="00E3438A">
        <w:rPr>
          <w:rFonts w:ascii="Arial" w:hAnsi="Arial" w:cs="Arial"/>
          <w:i/>
          <w:color w:val="548DD4" w:themeColor="text2" w:themeTint="99"/>
        </w:rPr>
        <w:t xml:space="preserve">223(1)(c). </w:t>
      </w:r>
    </w:p>
    <w:p w:rsidR="00866C17" w:rsidRPr="00E3438A" w:rsidRDefault="00386022" w:rsidP="00E3438A">
      <w:pPr>
        <w:rPr>
          <w:rFonts w:ascii="Arial" w:hAnsi="Arial" w:cs="Arial"/>
        </w:rPr>
      </w:pPr>
      <w:r w:rsidRPr="00E3438A">
        <w:rPr>
          <w:rFonts w:ascii="Arial" w:hAnsi="Arial" w:cs="Arial"/>
        </w:rPr>
        <w:t>To</w:t>
      </w:r>
      <w:r w:rsidR="00EA0FFC" w:rsidRPr="00E3438A">
        <w:rPr>
          <w:rFonts w:ascii="Arial" w:hAnsi="Arial" w:cs="Arial"/>
        </w:rPr>
        <w:t xml:space="preserve"> increase program effectiveness and meet the obligations of a one-stop partner, </w:t>
      </w:r>
      <w:r w:rsidRPr="00E3438A">
        <w:rPr>
          <w:rFonts w:ascii="Arial" w:hAnsi="Arial" w:cs="Arial"/>
        </w:rPr>
        <w:t xml:space="preserve">the state office provided </w:t>
      </w:r>
      <w:r w:rsidR="00EA0FFC" w:rsidRPr="00E3438A">
        <w:rPr>
          <w:rFonts w:ascii="Arial" w:hAnsi="Arial" w:cs="Arial"/>
        </w:rPr>
        <w:t>technical</w:t>
      </w:r>
      <w:r w:rsidRPr="00E3438A">
        <w:rPr>
          <w:rFonts w:ascii="Arial" w:hAnsi="Arial" w:cs="Arial"/>
        </w:rPr>
        <w:t xml:space="preserve"> </w:t>
      </w:r>
      <w:r w:rsidR="00EA0FFC" w:rsidRPr="00E3438A">
        <w:rPr>
          <w:rFonts w:ascii="Arial" w:hAnsi="Arial" w:cs="Arial"/>
        </w:rPr>
        <w:t xml:space="preserve">assistance in several ways: </w:t>
      </w:r>
    </w:p>
    <w:p w:rsidR="00D75D46" w:rsidRPr="00402A83" w:rsidRDefault="00EA0FFC" w:rsidP="00E3438A">
      <w:pPr>
        <w:rPr>
          <w:rFonts w:ascii="Arial" w:eastAsia="Calibri" w:hAnsi="Arial" w:cs="Arial"/>
        </w:rPr>
      </w:pPr>
      <w:r w:rsidRPr="00402A83">
        <w:rPr>
          <w:rFonts w:ascii="Arial" w:hAnsi="Arial" w:cs="Arial"/>
        </w:rPr>
        <w:t xml:space="preserve">(1) </w:t>
      </w:r>
      <w:r w:rsidR="00FE4D62" w:rsidRPr="00402A83">
        <w:rPr>
          <w:rFonts w:ascii="Arial" w:hAnsi="Arial" w:cs="Arial"/>
        </w:rPr>
        <w:t>Research</w:t>
      </w:r>
      <w:r w:rsidRPr="00402A83">
        <w:rPr>
          <w:rFonts w:ascii="Arial" w:hAnsi="Arial" w:cs="Arial"/>
        </w:rPr>
        <w:t>-based programmatic and instructional practices were disseminated to</w:t>
      </w:r>
      <w:r w:rsidR="00D65BCE" w:rsidRPr="00402A83">
        <w:rPr>
          <w:rFonts w:ascii="Arial" w:hAnsi="Arial" w:cs="Arial"/>
        </w:rPr>
        <w:t xml:space="preserve"> </w:t>
      </w:r>
      <w:r w:rsidRPr="00402A83">
        <w:rPr>
          <w:rFonts w:ascii="Arial" w:hAnsi="Arial" w:cs="Arial"/>
        </w:rPr>
        <w:t>the</w:t>
      </w:r>
      <w:r w:rsidR="00FE4D62" w:rsidRPr="00402A83">
        <w:rPr>
          <w:rFonts w:ascii="Arial" w:hAnsi="Arial" w:cs="Arial"/>
        </w:rPr>
        <w:t xml:space="preserve"> field, using nationally known resources</w:t>
      </w:r>
      <w:r w:rsidR="00465B54" w:rsidRPr="00402A83">
        <w:rPr>
          <w:rFonts w:ascii="Arial" w:hAnsi="Arial" w:cs="Arial"/>
        </w:rPr>
        <w:t>, such as STAR and LINCS,</w:t>
      </w:r>
      <w:r w:rsidR="00FE4D62" w:rsidRPr="00402A83">
        <w:rPr>
          <w:rFonts w:ascii="Arial" w:hAnsi="Arial" w:cs="Arial"/>
        </w:rPr>
        <w:t xml:space="preserve"> </w:t>
      </w:r>
      <w:r w:rsidR="0048366C" w:rsidRPr="00402A83">
        <w:rPr>
          <w:rFonts w:ascii="Arial" w:hAnsi="Arial" w:cs="Arial"/>
        </w:rPr>
        <w:t xml:space="preserve">and the Ohio PDN. Ohio Aspire </w:t>
      </w:r>
      <w:r w:rsidR="00465B54" w:rsidRPr="00402A83">
        <w:rPr>
          <w:rFonts w:ascii="Arial" w:hAnsi="Arial" w:cs="Arial"/>
        </w:rPr>
        <w:t xml:space="preserve">offered a variety of required and non-required professional development in-person and online for all job roles. </w:t>
      </w:r>
      <w:r w:rsidR="00D75D46" w:rsidRPr="00402A83">
        <w:rPr>
          <w:rFonts w:ascii="Arial" w:eastAsia="Calibri" w:hAnsi="Arial" w:cs="Arial"/>
        </w:rPr>
        <w:t>Technical assistance</w:t>
      </w:r>
      <w:r w:rsidR="00514091" w:rsidRPr="00402A83">
        <w:rPr>
          <w:rFonts w:ascii="Arial" w:eastAsia="Calibri" w:hAnsi="Arial" w:cs="Arial"/>
        </w:rPr>
        <w:t xml:space="preserve"> </w:t>
      </w:r>
      <w:r w:rsidR="00D75D46" w:rsidRPr="00402A83">
        <w:rPr>
          <w:rFonts w:ascii="Arial" w:eastAsia="Calibri" w:hAnsi="Arial" w:cs="Arial"/>
        </w:rPr>
        <w:t xml:space="preserve">was </w:t>
      </w:r>
      <w:r w:rsidR="002610B8" w:rsidRPr="00402A83">
        <w:rPr>
          <w:rFonts w:ascii="Arial" w:eastAsia="Calibri" w:hAnsi="Arial" w:cs="Arial"/>
        </w:rPr>
        <w:t>provided</w:t>
      </w:r>
      <w:r w:rsidR="00D75D46" w:rsidRPr="00402A83">
        <w:rPr>
          <w:rFonts w:ascii="Arial" w:eastAsia="Calibri" w:hAnsi="Arial" w:cs="Arial"/>
        </w:rPr>
        <w:t xml:space="preserve"> through the PDN hotline, email, </w:t>
      </w:r>
      <w:r w:rsidR="00ED1860" w:rsidRPr="00402A83">
        <w:rPr>
          <w:rFonts w:ascii="Arial" w:eastAsia="Calibri" w:hAnsi="Arial" w:cs="Arial"/>
        </w:rPr>
        <w:t>a</w:t>
      </w:r>
      <w:r w:rsidR="00D75D46" w:rsidRPr="00402A83">
        <w:rPr>
          <w:rFonts w:ascii="Arial" w:eastAsia="Calibri" w:hAnsi="Arial" w:cs="Arial"/>
        </w:rPr>
        <w:t xml:space="preserve">nd instant messenger. </w:t>
      </w:r>
      <w:bookmarkStart w:id="0" w:name="_Hlk59526925"/>
      <w:r w:rsidR="00D75D46" w:rsidRPr="00402A83">
        <w:rPr>
          <w:rFonts w:ascii="Arial" w:eastAsia="Calibri" w:hAnsi="Arial" w:cs="Arial"/>
        </w:rPr>
        <w:t xml:space="preserve">The PDN </w:t>
      </w:r>
      <w:r w:rsidR="002B0328" w:rsidRPr="00402A83">
        <w:rPr>
          <w:rFonts w:ascii="Arial" w:eastAsia="Calibri" w:hAnsi="Arial" w:cs="Arial"/>
        </w:rPr>
        <w:t>r</w:t>
      </w:r>
      <w:r w:rsidR="00D75D46" w:rsidRPr="00402A83">
        <w:rPr>
          <w:rFonts w:ascii="Arial" w:eastAsia="Calibri" w:hAnsi="Arial" w:cs="Arial"/>
        </w:rPr>
        <w:t xml:space="preserve">esponded to </w:t>
      </w:r>
      <w:r w:rsidR="00524641" w:rsidRPr="00402A83">
        <w:rPr>
          <w:rFonts w:ascii="Arial" w:eastAsia="Calibri" w:hAnsi="Arial" w:cs="Arial"/>
        </w:rPr>
        <w:t>2000+</w:t>
      </w:r>
      <w:r w:rsidR="00ED1860" w:rsidRPr="00402A83">
        <w:rPr>
          <w:rFonts w:ascii="Arial" w:eastAsia="Calibri" w:hAnsi="Arial" w:cs="Arial"/>
        </w:rPr>
        <w:t xml:space="preserve"> </w:t>
      </w:r>
      <w:r w:rsidR="00D75D46" w:rsidRPr="00402A83">
        <w:rPr>
          <w:rFonts w:ascii="Arial" w:eastAsia="Calibri" w:hAnsi="Arial" w:cs="Arial"/>
        </w:rPr>
        <w:t>technical assistance requests</w:t>
      </w:r>
      <w:r w:rsidR="00F74279" w:rsidRPr="00402A83">
        <w:rPr>
          <w:rFonts w:ascii="Arial" w:eastAsia="Calibri" w:hAnsi="Arial" w:cs="Arial"/>
        </w:rPr>
        <w:t xml:space="preserve"> </w:t>
      </w:r>
      <w:r w:rsidR="00D75D46" w:rsidRPr="00402A83">
        <w:rPr>
          <w:rFonts w:ascii="Arial" w:eastAsia="Calibri" w:hAnsi="Arial" w:cs="Arial"/>
        </w:rPr>
        <w:t xml:space="preserve">in </w:t>
      </w:r>
      <w:r w:rsidR="00F668E2" w:rsidRPr="00402A83">
        <w:rPr>
          <w:rFonts w:ascii="Arial" w:eastAsia="Calibri" w:hAnsi="Arial" w:cs="Arial"/>
        </w:rPr>
        <w:t xml:space="preserve">PY </w:t>
      </w:r>
      <w:r w:rsidR="00402A83" w:rsidRPr="00402A83">
        <w:rPr>
          <w:rFonts w:ascii="Arial" w:eastAsia="Calibri" w:hAnsi="Arial" w:cs="Arial"/>
        </w:rPr>
        <w:t>19</w:t>
      </w:r>
      <w:r w:rsidR="00F668E2" w:rsidRPr="00402A83">
        <w:rPr>
          <w:rFonts w:ascii="Arial" w:eastAsia="Calibri" w:hAnsi="Arial" w:cs="Arial"/>
        </w:rPr>
        <w:t>.</w:t>
      </w:r>
      <w:bookmarkEnd w:id="0"/>
      <w:r w:rsidR="00F668E2" w:rsidRPr="00402A83">
        <w:rPr>
          <w:rFonts w:ascii="Arial" w:eastAsia="Calibri" w:hAnsi="Arial" w:cs="Arial"/>
        </w:rPr>
        <w:t xml:space="preserve"> </w:t>
      </w:r>
      <w:r w:rsidR="00402A83" w:rsidRPr="00402A83">
        <w:rPr>
          <w:rFonts w:ascii="Arial" w:eastAsia="Calibri" w:hAnsi="Arial" w:cs="Arial"/>
        </w:rPr>
        <w:t xml:space="preserve"> T</w:t>
      </w:r>
      <w:r w:rsidR="00D75D46" w:rsidRPr="00402A83">
        <w:rPr>
          <w:rFonts w:ascii="Arial" w:eastAsia="Calibri" w:hAnsi="Arial" w:cs="Arial"/>
        </w:rPr>
        <w:t xml:space="preserve">he PDN provided technical assistance through various email distribution lists such as </w:t>
      </w:r>
      <w:proofErr w:type="spellStart"/>
      <w:r w:rsidR="00D75D46" w:rsidRPr="00402A83">
        <w:rPr>
          <w:rFonts w:ascii="Arial" w:eastAsia="Calibri" w:hAnsi="Arial" w:cs="Arial"/>
        </w:rPr>
        <w:t>Ohiolit</w:t>
      </w:r>
      <w:proofErr w:type="spellEnd"/>
      <w:r w:rsidR="00D75D46" w:rsidRPr="00402A83">
        <w:rPr>
          <w:rFonts w:ascii="Arial" w:eastAsia="Calibri" w:hAnsi="Arial" w:cs="Arial"/>
        </w:rPr>
        <w:t xml:space="preserve">, ESOL list, and </w:t>
      </w:r>
      <w:r w:rsidR="00FB510B" w:rsidRPr="00402A83">
        <w:rPr>
          <w:rFonts w:ascii="Arial" w:eastAsia="Calibri" w:hAnsi="Arial" w:cs="Arial"/>
        </w:rPr>
        <w:t>HSE</w:t>
      </w:r>
      <w:r w:rsidR="00D75D46" w:rsidRPr="00402A83">
        <w:rPr>
          <w:rFonts w:ascii="Arial" w:eastAsia="Calibri" w:hAnsi="Arial" w:cs="Arial"/>
        </w:rPr>
        <w:t xml:space="preserve"> list.</w:t>
      </w:r>
      <w:r w:rsidR="00325A8D" w:rsidRPr="00402A83">
        <w:rPr>
          <w:rFonts w:ascii="Arial" w:eastAsia="Calibri" w:hAnsi="Arial" w:cs="Arial"/>
        </w:rPr>
        <w:t xml:space="preserve"> Resources and event information was also disseminated through PDN social media channels on Facebook and Twitter. </w:t>
      </w:r>
    </w:p>
    <w:p w:rsidR="00866C17" w:rsidRPr="00402A83" w:rsidRDefault="00133F2B" w:rsidP="00E3438A">
      <w:pPr>
        <w:rPr>
          <w:rFonts w:ascii="Arial" w:hAnsi="Arial" w:cs="Arial"/>
        </w:rPr>
      </w:pPr>
      <w:r w:rsidRPr="00402A83">
        <w:rPr>
          <w:rFonts w:ascii="Arial" w:hAnsi="Arial" w:cs="Arial"/>
        </w:rPr>
        <w:t xml:space="preserve">(2) </w:t>
      </w:r>
      <w:r w:rsidR="001C1537" w:rsidRPr="00402A83">
        <w:rPr>
          <w:rFonts w:ascii="Arial" w:hAnsi="Arial" w:cs="Arial"/>
        </w:rPr>
        <w:t xml:space="preserve">PD was ramped up and best practices shared with how to </w:t>
      </w:r>
      <w:r w:rsidR="00017411">
        <w:rPr>
          <w:rFonts w:ascii="Arial" w:hAnsi="Arial" w:cs="Arial"/>
        </w:rPr>
        <w:t xml:space="preserve">administer remote tests, orientations, classes, and </w:t>
      </w:r>
      <w:r w:rsidR="001C1537" w:rsidRPr="00402A83">
        <w:rPr>
          <w:rFonts w:ascii="Arial" w:hAnsi="Arial" w:cs="Arial"/>
        </w:rPr>
        <w:t xml:space="preserve">IETs virtually. The best way to convince local providers that it can be done is to have successful providers share their experiences. </w:t>
      </w:r>
      <w:r w:rsidR="006822AA">
        <w:rPr>
          <w:rFonts w:ascii="Arial" w:hAnsi="Arial" w:cs="Arial"/>
        </w:rPr>
        <w:t>Administering</w:t>
      </w:r>
      <w:r w:rsidR="00C024E9">
        <w:rPr>
          <w:rFonts w:ascii="Arial" w:hAnsi="Arial" w:cs="Arial"/>
        </w:rPr>
        <w:t xml:space="preserve"> remote assessments seems to </w:t>
      </w:r>
      <w:r w:rsidR="006822AA">
        <w:rPr>
          <w:rFonts w:ascii="Arial" w:hAnsi="Arial" w:cs="Arial"/>
        </w:rPr>
        <w:t xml:space="preserve">be the biggest challenge with Aspire services. </w:t>
      </w:r>
      <w:r w:rsidR="001C1537" w:rsidRPr="00402A83">
        <w:rPr>
          <w:rFonts w:ascii="Arial" w:hAnsi="Arial" w:cs="Arial"/>
        </w:rPr>
        <w:t xml:space="preserve">Providers continue to say that many students do not have the resources (computer with camera, for example) to do remote testing. </w:t>
      </w:r>
      <w:r w:rsidR="00872633" w:rsidRPr="00402A83">
        <w:rPr>
          <w:rFonts w:ascii="Arial" w:hAnsi="Arial" w:cs="Arial"/>
        </w:rPr>
        <w:t xml:space="preserve">There is more work to be done around </w:t>
      </w:r>
      <w:r w:rsidR="00386022" w:rsidRPr="00402A83">
        <w:rPr>
          <w:rFonts w:ascii="Arial" w:hAnsi="Arial" w:cs="Arial"/>
        </w:rPr>
        <w:t xml:space="preserve">the </w:t>
      </w:r>
      <w:r w:rsidR="00872633" w:rsidRPr="00402A83">
        <w:rPr>
          <w:rFonts w:ascii="Arial" w:hAnsi="Arial" w:cs="Arial"/>
        </w:rPr>
        <w:t xml:space="preserve">collaboration of services, yet, the WIOA partnerships continue to strengthen </w:t>
      </w:r>
      <w:r w:rsidR="00056342" w:rsidRPr="00402A83">
        <w:rPr>
          <w:rFonts w:ascii="Arial" w:hAnsi="Arial" w:cs="Arial"/>
        </w:rPr>
        <w:t>each year</w:t>
      </w:r>
      <w:r w:rsidR="00C526BC" w:rsidRPr="00402A83">
        <w:rPr>
          <w:rFonts w:ascii="Arial" w:hAnsi="Arial" w:cs="Arial"/>
        </w:rPr>
        <w:t xml:space="preserve">; </w:t>
      </w:r>
      <w:r w:rsidR="00402A83" w:rsidRPr="00402A83">
        <w:rPr>
          <w:rFonts w:ascii="Arial" w:hAnsi="Arial" w:cs="Arial"/>
        </w:rPr>
        <w:t xml:space="preserve">despite the impacts of COVID, </w:t>
      </w:r>
      <w:r w:rsidR="00F668E2" w:rsidRPr="00402A83">
        <w:rPr>
          <w:rFonts w:ascii="Arial" w:hAnsi="Arial" w:cs="Arial"/>
        </w:rPr>
        <w:t>all partners have</w:t>
      </w:r>
      <w:r w:rsidR="00966493" w:rsidRPr="00402A83">
        <w:rPr>
          <w:rFonts w:ascii="Arial" w:hAnsi="Arial" w:cs="Arial"/>
        </w:rPr>
        <w:t xml:space="preserve"> the same goal of streamlining the workforce system in order to provide Ohioans access</w:t>
      </w:r>
      <w:r w:rsidR="00FB510B" w:rsidRPr="00402A83">
        <w:rPr>
          <w:rFonts w:ascii="Arial" w:hAnsi="Arial" w:cs="Arial"/>
        </w:rPr>
        <w:t xml:space="preserve"> </w:t>
      </w:r>
      <w:r w:rsidR="00966493" w:rsidRPr="00402A83">
        <w:rPr>
          <w:rFonts w:ascii="Arial" w:hAnsi="Arial" w:cs="Arial"/>
        </w:rPr>
        <w:t xml:space="preserve">to employment, education and training. </w:t>
      </w:r>
    </w:p>
    <w:p w:rsidR="00966493" w:rsidRPr="00402A83" w:rsidRDefault="00966493" w:rsidP="00E3438A">
      <w:pPr>
        <w:rPr>
          <w:rFonts w:ascii="Arial" w:hAnsi="Arial" w:cs="Arial"/>
        </w:rPr>
      </w:pPr>
      <w:r w:rsidRPr="00402A83">
        <w:rPr>
          <w:rFonts w:ascii="Arial" w:hAnsi="Arial" w:cs="Arial"/>
        </w:rPr>
        <w:t xml:space="preserve">(3) Training and technical assistance </w:t>
      </w:r>
      <w:r w:rsidR="00943011" w:rsidRPr="00402A83">
        <w:rPr>
          <w:rFonts w:ascii="Arial" w:hAnsi="Arial" w:cs="Arial"/>
        </w:rPr>
        <w:t xml:space="preserve">pivoted from </w:t>
      </w:r>
      <w:r w:rsidRPr="00402A83">
        <w:rPr>
          <w:rFonts w:ascii="Arial" w:hAnsi="Arial" w:cs="Arial"/>
        </w:rPr>
        <w:t xml:space="preserve">face-to-face and online to all </w:t>
      </w:r>
      <w:r w:rsidR="00943011" w:rsidRPr="00402A83">
        <w:rPr>
          <w:rFonts w:ascii="Arial" w:hAnsi="Arial" w:cs="Arial"/>
        </w:rPr>
        <w:t>online</w:t>
      </w:r>
      <w:r w:rsidR="005D17BF" w:rsidRPr="00402A83">
        <w:rPr>
          <w:rFonts w:ascii="Arial" w:hAnsi="Arial" w:cs="Arial"/>
        </w:rPr>
        <w:t xml:space="preserve"> </w:t>
      </w:r>
      <w:r w:rsidRPr="00402A83">
        <w:rPr>
          <w:rFonts w:ascii="Arial" w:hAnsi="Arial" w:cs="Arial"/>
        </w:rPr>
        <w:t xml:space="preserve">regarding </w:t>
      </w:r>
      <w:r w:rsidR="00402A83" w:rsidRPr="00402A83">
        <w:rPr>
          <w:rFonts w:ascii="Arial" w:hAnsi="Arial" w:cs="Arial"/>
        </w:rPr>
        <w:t xml:space="preserve">staff </w:t>
      </w:r>
      <w:r w:rsidRPr="00402A83">
        <w:rPr>
          <w:rFonts w:ascii="Arial" w:hAnsi="Arial" w:cs="Arial"/>
        </w:rPr>
        <w:t xml:space="preserve">technology use. Ohio </w:t>
      </w:r>
      <w:r w:rsidR="00D3466A" w:rsidRPr="00402A83">
        <w:rPr>
          <w:rFonts w:ascii="Arial" w:hAnsi="Arial" w:cs="Arial"/>
        </w:rPr>
        <w:t>A</w:t>
      </w:r>
      <w:r w:rsidR="002C1476" w:rsidRPr="00402A83">
        <w:rPr>
          <w:rFonts w:ascii="Arial" w:hAnsi="Arial" w:cs="Arial"/>
        </w:rPr>
        <w:t>spire</w:t>
      </w:r>
      <w:r w:rsidRPr="00402A83">
        <w:rPr>
          <w:rFonts w:ascii="Arial" w:hAnsi="Arial" w:cs="Arial"/>
        </w:rPr>
        <w:t xml:space="preserve"> instituted Technology </w:t>
      </w:r>
      <w:r w:rsidR="00E97090" w:rsidRPr="00402A83">
        <w:rPr>
          <w:rFonts w:ascii="Arial" w:hAnsi="Arial" w:cs="Arial"/>
        </w:rPr>
        <w:t>Standards</w:t>
      </w:r>
      <w:r w:rsidRPr="00402A83">
        <w:rPr>
          <w:rFonts w:ascii="Arial" w:hAnsi="Arial" w:cs="Arial"/>
        </w:rPr>
        <w:t xml:space="preserve"> years ago for all </w:t>
      </w:r>
      <w:r w:rsidR="00D3466A" w:rsidRPr="00402A83">
        <w:rPr>
          <w:rFonts w:ascii="Arial" w:hAnsi="Arial" w:cs="Arial"/>
        </w:rPr>
        <w:t>A</w:t>
      </w:r>
      <w:r w:rsidR="007E6416" w:rsidRPr="00402A83">
        <w:rPr>
          <w:rFonts w:ascii="Arial" w:hAnsi="Arial" w:cs="Arial"/>
        </w:rPr>
        <w:t>spire</w:t>
      </w:r>
      <w:r w:rsidR="002C1476" w:rsidRPr="00402A83">
        <w:rPr>
          <w:rFonts w:ascii="Arial" w:hAnsi="Arial" w:cs="Arial"/>
        </w:rPr>
        <w:t xml:space="preserve"> practitioners</w:t>
      </w:r>
      <w:r w:rsidR="00056342" w:rsidRPr="00402A83">
        <w:rPr>
          <w:rFonts w:ascii="Arial" w:hAnsi="Arial" w:cs="Arial"/>
        </w:rPr>
        <w:t>. T</w:t>
      </w:r>
      <w:r w:rsidR="00E97090" w:rsidRPr="00402A83">
        <w:rPr>
          <w:rFonts w:ascii="Arial" w:hAnsi="Arial" w:cs="Arial"/>
        </w:rPr>
        <w:t>eachers were required, per a grant assurance, to use technology</w:t>
      </w:r>
      <w:r w:rsidR="00ED1860" w:rsidRPr="00402A83">
        <w:rPr>
          <w:rFonts w:ascii="Arial" w:hAnsi="Arial" w:cs="Arial"/>
        </w:rPr>
        <w:t xml:space="preserve"> </w:t>
      </w:r>
      <w:r w:rsidR="00E97090" w:rsidRPr="00402A83">
        <w:rPr>
          <w:rFonts w:ascii="Arial" w:hAnsi="Arial" w:cs="Arial"/>
        </w:rPr>
        <w:t>in the classroom to enhance instruction. Students were also required, through a grant assurance, to have access to technology in the classroom. All providers were required to</w:t>
      </w:r>
      <w:r w:rsidR="00ED1860" w:rsidRPr="00402A83">
        <w:rPr>
          <w:rFonts w:ascii="Arial" w:hAnsi="Arial" w:cs="Arial"/>
        </w:rPr>
        <w:t xml:space="preserve"> </w:t>
      </w:r>
      <w:r w:rsidR="00E97090" w:rsidRPr="00402A83">
        <w:rPr>
          <w:rFonts w:ascii="Arial" w:hAnsi="Arial" w:cs="Arial"/>
        </w:rPr>
        <w:t>offer distance education. Data</w:t>
      </w:r>
      <w:r w:rsidR="005D17BF" w:rsidRPr="00402A83">
        <w:rPr>
          <w:rFonts w:ascii="Arial" w:hAnsi="Arial" w:cs="Arial"/>
        </w:rPr>
        <w:t xml:space="preserve"> </w:t>
      </w:r>
      <w:r w:rsidR="00ED1860" w:rsidRPr="00402A83">
        <w:rPr>
          <w:rFonts w:ascii="Arial" w:hAnsi="Arial" w:cs="Arial"/>
        </w:rPr>
        <w:t>e</w:t>
      </w:r>
      <w:r w:rsidR="00E97090" w:rsidRPr="00402A83">
        <w:rPr>
          <w:rFonts w:ascii="Arial" w:hAnsi="Arial" w:cs="Arial"/>
        </w:rPr>
        <w:t xml:space="preserve">ntry staff were required to complete training on using the </w:t>
      </w:r>
      <w:r w:rsidR="00ED1860" w:rsidRPr="00402A83">
        <w:rPr>
          <w:rFonts w:ascii="Arial" w:hAnsi="Arial" w:cs="Arial"/>
        </w:rPr>
        <w:t xml:space="preserve">statewide data management </w:t>
      </w:r>
      <w:r w:rsidR="00E97090" w:rsidRPr="00402A83">
        <w:rPr>
          <w:rFonts w:ascii="Arial" w:hAnsi="Arial" w:cs="Arial"/>
        </w:rPr>
        <w:t xml:space="preserve">system before they were provided access </w:t>
      </w:r>
      <w:r w:rsidR="00386022" w:rsidRPr="00402A83">
        <w:rPr>
          <w:rFonts w:ascii="Arial" w:hAnsi="Arial" w:cs="Arial"/>
        </w:rPr>
        <w:t xml:space="preserve">to </w:t>
      </w:r>
      <w:r w:rsidR="00E97090" w:rsidRPr="00402A83">
        <w:rPr>
          <w:rFonts w:ascii="Arial" w:hAnsi="Arial" w:cs="Arial"/>
        </w:rPr>
        <w:t>their program</w:t>
      </w:r>
      <w:r w:rsidR="00386022" w:rsidRPr="00402A83">
        <w:rPr>
          <w:rFonts w:ascii="Arial" w:hAnsi="Arial" w:cs="Arial"/>
        </w:rPr>
        <w:t xml:space="preserve"> data</w:t>
      </w:r>
      <w:r w:rsidR="00E97090" w:rsidRPr="00402A83">
        <w:rPr>
          <w:rFonts w:ascii="Arial" w:hAnsi="Arial" w:cs="Arial"/>
        </w:rPr>
        <w:t xml:space="preserve">. </w:t>
      </w:r>
      <w:r w:rsidR="00402A83" w:rsidRPr="00402A83">
        <w:rPr>
          <w:rFonts w:ascii="Arial" w:hAnsi="Arial" w:cs="Arial"/>
        </w:rPr>
        <w:t>Ohio Aspire</w:t>
      </w:r>
      <w:r w:rsidR="00E97090" w:rsidRPr="00402A83">
        <w:rPr>
          <w:rFonts w:ascii="Arial" w:hAnsi="Arial" w:cs="Arial"/>
        </w:rPr>
        <w:t xml:space="preserve"> established </w:t>
      </w:r>
      <w:r w:rsidR="00402A83" w:rsidRPr="00402A83">
        <w:rPr>
          <w:rFonts w:ascii="Arial" w:hAnsi="Arial" w:cs="Arial"/>
        </w:rPr>
        <w:t xml:space="preserve">these technology requirements </w:t>
      </w:r>
      <w:r w:rsidR="00E97090" w:rsidRPr="00402A83">
        <w:rPr>
          <w:rFonts w:ascii="Arial" w:hAnsi="Arial" w:cs="Arial"/>
        </w:rPr>
        <w:t>years ago</w:t>
      </w:r>
      <w:r w:rsidR="002107E3" w:rsidRPr="00402A83">
        <w:rPr>
          <w:rFonts w:ascii="Arial" w:hAnsi="Arial" w:cs="Arial"/>
        </w:rPr>
        <w:t xml:space="preserve"> and </w:t>
      </w:r>
      <w:r w:rsidR="00056342" w:rsidRPr="00402A83">
        <w:rPr>
          <w:rFonts w:ascii="Arial" w:hAnsi="Arial" w:cs="Arial"/>
        </w:rPr>
        <w:t>will continue to expand technology use i</w:t>
      </w:r>
      <w:r w:rsidR="002107E3" w:rsidRPr="00402A83">
        <w:rPr>
          <w:rFonts w:ascii="Arial" w:hAnsi="Arial" w:cs="Arial"/>
        </w:rPr>
        <w:t>n order</w:t>
      </w:r>
      <w:r w:rsidR="00ED1860" w:rsidRPr="00402A83">
        <w:rPr>
          <w:rFonts w:ascii="Arial" w:hAnsi="Arial" w:cs="Arial"/>
        </w:rPr>
        <w:t xml:space="preserve"> </w:t>
      </w:r>
      <w:r w:rsidR="002610B8" w:rsidRPr="00402A83">
        <w:rPr>
          <w:rFonts w:ascii="Arial" w:hAnsi="Arial" w:cs="Arial"/>
        </w:rPr>
        <w:t xml:space="preserve">to </w:t>
      </w:r>
      <w:r w:rsidR="00E97090" w:rsidRPr="00402A83">
        <w:rPr>
          <w:rFonts w:ascii="Arial" w:hAnsi="Arial" w:cs="Arial"/>
        </w:rPr>
        <w:t xml:space="preserve">improve </w:t>
      </w:r>
      <w:r w:rsidR="002107E3" w:rsidRPr="00402A83">
        <w:rPr>
          <w:rFonts w:ascii="Arial" w:hAnsi="Arial" w:cs="Arial"/>
        </w:rPr>
        <w:t xml:space="preserve">learner and program efficiencies. </w:t>
      </w:r>
    </w:p>
    <w:p w:rsidR="00866C17" w:rsidRPr="00904F50" w:rsidRDefault="00866C17" w:rsidP="00E3438A">
      <w:pPr>
        <w:rPr>
          <w:rFonts w:ascii="Arial" w:hAnsi="Arial" w:cs="Arial"/>
          <w:i/>
          <w:color w:val="548DD4" w:themeColor="text2" w:themeTint="99"/>
        </w:rPr>
      </w:pPr>
      <w:r w:rsidRPr="00904F50">
        <w:rPr>
          <w:rFonts w:ascii="Arial" w:hAnsi="Arial" w:cs="Arial"/>
          <w:i/>
          <w:color w:val="548DD4" w:themeColor="text2" w:themeTint="99"/>
        </w:rPr>
        <w:t>Monitoring and evaluation of the quality and improvement of adult education activities</w:t>
      </w:r>
      <w:r w:rsidR="00514091" w:rsidRPr="00904F50">
        <w:rPr>
          <w:rFonts w:ascii="Arial" w:hAnsi="Arial" w:cs="Arial"/>
          <w:i/>
          <w:color w:val="548DD4" w:themeColor="text2" w:themeTint="99"/>
        </w:rPr>
        <w:t xml:space="preserve"> </w:t>
      </w:r>
      <w:r w:rsidRPr="00904F50">
        <w:rPr>
          <w:rFonts w:ascii="Arial" w:hAnsi="Arial" w:cs="Arial"/>
          <w:i/>
          <w:color w:val="548DD4" w:themeColor="text2" w:themeTint="99"/>
        </w:rPr>
        <w:t>as described in section 223(1)(d).</w:t>
      </w:r>
    </w:p>
    <w:p w:rsidR="00056342" w:rsidRPr="00C8647C" w:rsidRDefault="00EC4DE9" w:rsidP="00E3438A">
      <w:pPr>
        <w:rPr>
          <w:rFonts w:ascii="Arial" w:hAnsi="Arial" w:cs="Arial"/>
        </w:rPr>
      </w:pPr>
      <w:r w:rsidRPr="003B64E8">
        <w:rPr>
          <w:rFonts w:ascii="Arial" w:eastAsiaTheme="minorEastAsia" w:hAnsi="Arial" w:cs="Arial"/>
        </w:rPr>
        <w:t>T</w:t>
      </w:r>
      <w:r w:rsidR="00056342" w:rsidRPr="003B64E8">
        <w:rPr>
          <w:rFonts w:ascii="Arial" w:hAnsi="Arial" w:cs="Arial"/>
        </w:rPr>
        <w:t xml:space="preserve">he monitoring and evaluation of the quality of education in Aspire programs </w:t>
      </w:r>
      <w:r w:rsidR="00EB4A17" w:rsidRPr="003B64E8">
        <w:rPr>
          <w:rFonts w:ascii="Arial" w:hAnsi="Arial" w:cs="Arial"/>
        </w:rPr>
        <w:t>was done</w:t>
      </w:r>
      <w:r w:rsidR="00AF5E6C" w:rsidRPr="003B64E8">
        <w:rPr>
          <w:rFonts w:ascii="Arial" w:hAnsi="Arial" w:cs="Arial"/>
        </w:rPr>
        <w:t xml:space="preserve"> p</w:t>
      </w:r>
      <w:r w:rsidR="00056342" w:rsidRPr="003B64E8">
        <w:rPr>
          <w:rFonts w:ascii="Arial" w:hAnsi="Arial" w:cs="Arial"/>
        </w:rPr>
        <w:t>rimarily</w:t>
      </w:r>
      <w:r w:rsidR="00EB4A17" w:rsidRPr="003B64E8">
        <w:rPr>
          <w:rFonts w:ascii="Arial" w:hAnsi="Arial" w:cs="Arial"/>
        </w:rPr>
        <w:t xml:space="preserve"> </w:t>
      </w:r>
      <w:r w:rsidR="00056342" w:rsidRPr="003B64E8">
        <w:rPr>
          <w:rFonts w:ascii="Arial" w:hAnsi="Arial" w:cs="Arial"/>
        </w:rPr>
        <w:t>by ODHE Aspire program managers with support from the Kent State University data</w:t>
      </w:r>
      <w:r w:rsidR="00386022" w:rsidRPr="003B64E8">
        <w:rPr>
          <w:rFonts w:ascii="Arial" w:hAnsi="Arial" w:cs="Arial"/>
        </w:rPr>
        <w:t xml:space="preserve"> </w:t>
      </w:r>
      <w:r w:rsidR="00AF5E6C" w:rsidRPr="003B64E8">
        <w:rPr>
          <w:rFonts w:ascii="Arial" w:hAnsi="Arial" w:cs="Arial"/>
        </w:rPr>
        <w:t>m</w:t>
      </w:r>
      <w:r w:rsidR="00056342" w:rsidRPr="003B64E8">
        <w:rPr>
          <w:rFonts w:ascii="Arial" w:hAnsi="Arial" w:cs="Arial"/>
        </w:rPr>
        <w:t xml:space="preserve">anagement team. </w:t>
      </w:r>
      <w:r w:rsidR="00B96B7F" w:rsidRPr="00C8647C">
        <w:rPr>
          <w:rFonts w:ascii="Arial" w:hAnsi="Arial" w:cs="Arial"/>
        </w:rPr>
        <w:t xml:space="preserve">The extent and type of monitoring </w:t>
      </w:r>
      <w:r w:rsidR="00017411" w:rsidRPr="00C8647C">
        <w:rPr>
          <w:rFonts w:ascii="Arial" w:hAnsi="Arial" w:cs="Arial"/>
        </w:rPr>
        <w:t>are</w:t>
      </w:r>
      <w:r w:rsidR="00B96B7F" w:rsidRPr="00C8647C">
        <w:rPr>
          <w:rFonts w:ascii="Arial" w:hAnsi="Arial" w:cs="Arial"/>
        </w:rPr>
        <w:t xml:space="preserve"> determined using a risk assessment tool </w:t>
      </w:r>
      <w:r w:rsidR="007C6AD9" w:rsidRPr="00C8647C">
        <w:rPr>
          <w:rFonts w:ascii="Arial" w:hAnsi="Arial" w:cs="Arial"/>
        </w:rPr>
        <w:t xml:space="preserve">with criteria such as </w:t>
      </w:r>
      <w:r w:rsidR="004856F9" w:rsidRPr="00C8647C">
        <w:rPr>
          <w:rFonts w:ascii="Arial" w:hAnsi="Arial" w:cs="Arial"/>
        </w:rPr>
        <w:t xml:space="preserve">NRS performance measures, enrollment, allocation, and audit findings. Programs with a higher risk score receive more intensive monitoring. Additionally, the ODHE program managers monitor each </w:t>
      </w:r>
      <w:r w:rsidR="004856F9" w:rsidRPr="00C8647C">
        <w:rPr>
          <w:rFonts w:ascii="Arial" w:hAnsi="Arial" w:cs="Arial"/>
        </w:rPr>
        <w:lastRenderedPageBreak/>
        <w:t>program quarterly via</w:t>
      </w:r>
      <w:r w:rsidR="00386022" w:rsidRPr="00C8647C">
        <w:rPr>
          <w:rFonts w:ascii="Arial" w:hAnsi="Arial" w:cs="Arial"/>
        </w:rPr>
        <w:t xml:space="preserve"> </w:t>
      </w:r>
      <w:r w:rsidR="00AF5E6C" w:rsidRPr="00C8647C">
        <w:rPr>
          <w:rFonts w:ascii="Arial" w:hAnsi="Arial" w:cs="Arial"/>
        </w:rPr>
        <w:t>th</w:t>
      </w:r>
      <w:r w:rsidR="00056342" w:rsidRPr="00C8647C">
        <w:rPr>
          <w:rFonts w:ascii="Arial" w:hAnsi="Arial" w:cs="Arial"/>
        </w:rPr>
        <w:t>e local Program Improvement Consultation Plan (PICP). The PICP is a prescriptive</w:t>
      </w:r>
      <w:r w:rsidR="00386022" w:rsidRPr="00C8647C">
        <w:rPr>
          <w:rFonts w:ascii="Arial" w:hAnsi="Arial" w:cs="Arial"/>
        </w:rPr>
        <w:t xml:space="preserve"> </w:t>
      </w:r>
      <w:r w:rsidR="00056342" w:rsidRPr="00C8647C">
        <w:rPr>
          <w:rFonts w:ascii="Arial" w:hAnsi="Arial" w:cs="Arial"/>
        </w:rPr>
        <w:t xml:space="preserve">continuous improvement tool designed to assist local program administrators </w:t>
      </w:r>
      <w:r w:rsidR="00017411" w:rsidRPr="00C8647C">
        <w:rPr>
          <w:rFonts w:ascii="Arial" w:hAnsi="Arial" w:cs="Arial"/>
        </w:rPr>
        <w:t xml:space="preserve">in examining </w:t>
      </w:r>
      <w:r w:rsidR="00056342" w:rsidRPr="00C8647C">
        <w:rPr>
          <w:rFonts w:ascii="Arial" w:hAnsi="Arial" w:cs="Arial"/>
        </w:rPr>
        <w:t>program areas for improvement and implement</w:t>
      </w:r>
      <w:r w:rsidR="00017411" w:rsidRPr="00C8647C">
        <w:rPr>
          <w:rFonts w:ascii="Arial" w:hAnsi="Arial" w:cs="Arial"/>
        </w:rPr>
        <w:t>ing</w:t>
      </w:r>
      <w:r w:rsidR="00056342" w:rsidRPr="00C8647C">
        <w:rPr>
          <w:rFonts w:ascii="Arial" w:hAnsi="Arial" w:cs="Arial"/>
        </w:rPr>
        <w:t xml:space="preserve"> strategies and action steps to</w:t>
      </w:r>
      <w:r w:rsidR="00AF5E6C" w:rsidRPr="00C8647C">
        <w:rPr>
          <w:rFonts w:ascii="Arial" w:hAnsi="Arial" w:cs="Arial"/>
        </w:rPr>
        <w:t xml:space="preserve"> </w:t>
      </w:r>
      <w:r w:rsidR="00056342" w:rsidRPr="00C8647C">
        <w:rPr>
          <w:rFonts w:ascii="Arial" w:hAnsi="Arial" w:cs="Arial"/>
        </w:rPr>
        <w:t>address</w:t>
      </w:r>
      <w:r w:rsidR="00386022" w:rsidRPr="00C8647C">
        <w:rPr>
          <w:rFonts w:ascii="Arial" w:hAnsi="Arial" w:cs="Arial"/>
        </w:rPr>
        <w:t xml:space="preserve"> </w:t>
      </w:r>
      <w:r w:rsidR="00AF5E6C" w:rsidRPr="00C8647C">
        <w:rPr>
          <w:rFonts w:ascii="Arial" w:hAnsi="Arial" w:cs="Arial"/>
        </w:rPr>
        <w:t>i</w:t>
      </w:r>
      <w:r w:rsidR="00056342" w:rsidRPr="00C8647C">
        <w:rPr>
          <w:rFonts w:ascii="Arial" w:hAnsi="Arial" w:cs="Arial"/>
        </w:rPr>
        <w:t>mprovement.</w:t>
      </w:r>
      <w:r w:rsidR="004856F9" w:rsidRPr="00C8647C">
        <w:rPr>
          <w:rFonts w:ascii="Arial" w:hAnsi="Arial" w:cs="Arial"/>
        </w:rPr>
        <w:t xml:space="preserve"> The state staff and the PDN use data from the PICPs to </w:t>
      </w:r>
      <w:r w:rsidR="00017411" w:rsidRPr="00C8647C">
        <w:rPr>
          <w:rFonts w:ascii="Arial" w:hAnsi="Arial" w:cs="Arial"/>
        </w:rPr>
        <w:t>determine future</w:t>
      </w:r>
      <w:r w:rsidR="00056342" w:rsidRPr="00C8647C">
        <w:rPr>
          <w:rFonts w:ascii="Arial" w:hAnsi="Arial" w:cs="Arial"/>
        </w:rPr>
        <w:t xml:space="preserve"> PD offerings based on</w:t>
      </w:r>
      <w:r w:rsidR="00386022" w:rsidRPr="00C8647C">
        <w:rPr>
          <w:rFonts w:ascii="Arial" w:hAnsi="Arial" w:cs="Arial"/>
        </w:rPr>
        <w:t xml:space="preserve"> </w:t>
      </w:r>
      <w:r w:rsidR="00AF5E6C" w:rsidRPr="00C8647C">
        <w:rPr>
          <w:rFonts w:ascii="Arial" w:hAnsi="Arial" w:cs="Arial"/>
        </w:rPr>
        <w:t>da</w:t>
      </w:r>
      <w:r w:rsidR="00056342" w:rsidRPr="00C8647C">
        <w:rPr>
          <w:rFonts w:ascii="Arial" w:hAnsi="Arial" w:cs="Arial"/>
        </w:rPr>
        <w:t>ta in the statewide database and from Aspire personnel via surveys and a statewide</w:t>
      </w:r>
      <w:r w:rsidR="00F47EAF" w:rsidRPr="00C8647C">
        <w:rPr>
          <w:rFonts w:ascii="Arial" w:hAnsi="Arial" w:cs="Arial"/>
        </w:rPr>
        <w:t xml:space="preserve"> </w:t>
      </w:r>
      <w:r w:rsidR="00056342" w:rsidRPr="00C8647C">
        <w:rPr>
          <w:rFonts w:ascii="Arial" w:hAnsi="Arial" w:cs="Arial"/>
        </w:rPr>
        <w:t xml:space="preserve">advisory committee. </w:t>
      </w:r>
    </w:p>
    <w:p w:rsidR="00017411" w:rsidRPr="00C8647C" w:rsidRDefault="00017411" w:rsidP="00E3438A">
      <w:pPr>
        <w:rPr>
          <w:rFonts w:ascii="Arial" w:hAnsi="Arial" w:cs="Arial"/>
        </w:rPr>
      </w:pPr>
      <w:r w:rsidRPr="00C8647C">
        <w:rPr>
          <w:rFonts w:ascii="Arial" w:hAnsi="Arial" w:cs="Arial"/>
        </w:rPr>
        <w:t xml:space="preserve">The pandemic has caused the state staff to get behind in onsite monitoring. </w:t>
      </w:r>
      <w:r w:rsidR="00C669F7" w:rsidRPr="00C8647C">
        <w:rPr>
          <w:rFonts w:ascii="Arial" w:hAnsi="Arial" w:cs="Arial"/>
        </w:rPr>
        <w:t xml:space="preserve">The PICP desk audits are </w:t>
      </w:r>
      <w:r w:rsidR="00D542C6" w:rsidRPr="00C8647C">
        <w:rPr>
          <w:rFonts w:ascii="Arial" w:hAnsi="Arial" w:cs="Arial"/>
        </w:rPr>
        <w:t>effective</w:t>
      </w:r>
      <w:r w:rsidR="00C669F7" w:rsidRPr="00C8647C">
        <w:rPr>
          <w:rFonts w:ascii="Arial" w:hAnsi="Arial" w:cs="Arial"/>
        </w:rPr>
        <w:t xml:space="preserve"> but nothing is more impactful than actually talking to staff, students, and administrators and observing policies, procedures, and classes in person. We are currently revising our onsite monitoring tool and procedures to be all online for the time being. </w:t>
      </w:r>
    </w:p>
    <w:p w:rsidR="00EC4DE9" w:rsidRPr="00C8647C" w:rsidRDefault="00EC4DE9" w:rsidP="00E3438A">
      <w:pPr>
        <w:rPr>
          <w:rFonts w:ascii="Arial" w:hAnsi="Arial" w:cs="Arial"/>
        </w:rPr>
      </w:pPr>
      <w:r w:rsidRPr="00C8647C">
        <w:rPr>
          <w:rFonts w:ascii="Arial" w:hAnsi="Arial" w:cs="Arial"/>
        </w:rPr>
        <w:t>The state office and PD providers use</w:t>
      </w:r>
      <w:r w:rsidR="00EB4A17" w:rsidRPr="00C8647C">
        <w:rPr>
          <w:rFonts w:ascii="Arial" w:hAnsi="Arial" w:cs="Arial"/>
        </w:rPr>
        <w:t>d</w:t>
      </w:r>
      <w:r w:rsidRPr="00C8647C">
        <w:rPr>
          <w:rFonts w:ascii="Arial" w:hAnsi="Arial" w:cs="Arial"/>
        </w:rPr>
        <w:t xml:space="preserve"> </w:t>
      </w:r>
      <w:r w:rsidR="00017411" w:rsidRPr="00C8647C">
        <w:rPr>
          <w:rFonts w:ascii="Arial" w:hAnsi="Arial" w:cs="Arial"/>
        </w:rPr>
        <w:t>various</w:t>
      </w:r>
      <w:r w:rsidRPr="00C8647C">
        <w:rPr>
          <w:rFonts w:ascii="Arial" w:hAnsi="Arial" w:cs="Arial"/>
        </w:rPr>
        <w:t xml:space="preserve"> methods to ensure information about</w:t>
      </w:r>
      <w:r w:rsidR="00E3438A" w:rsidRPr="00C8647C">
        <w:rPr>
          <w:rFonts w:ascii="Arial" w:hAnsi="Arial" w:cs="Arial"/>
        </w:rPr>
        <w:t xml:space="preserve"> </w:t>
      </w:r>
      <w:r w:rsidRPr="00C8647C">
        <w:rPr>
          <w:rFonts w:ascii="Arial" w:hAnsi="Arial" w:cs="Arial"/>
        </w:rPr>
        <w:t xml:space="preserve">evidence-based practices and promising models </w:t>
      </w:r>
      <w:r w:rsidR="00EB4A17" w:rsidRPr="00C8647C">
        <w:rPr>
          <w:rFonts w:ascii="Arial" w:hAnsi="Arial" w:cs="Arial"/>
        </w:rPr>
        <w:t>were</w:t>
      </w:r>
      <w:r w:rsidRPr="00C8647C">
        <w:rPr>
          <w:rFonts w:ascii="Arial" w:hAnsi="Arial" w:cs="Arial"/>
        </w:rPr>
        <w:t xml:space="preserve"> disseminated to Aspire practitioners.</w:t>
      </w:r>
      <w:r w:rsidR="00F47EAF" w:rsidRPr="00C8647C">
        <w:rPr>
          <w:rFonts w:ascii="Arial" w:hAnsi="Arial" w:cs="Arial"/>
        </w:rPr>
        <w:t xml:space="preserve"> </w:t>
      </w:r>
      <w:r w:rsidRPr="00C8647C">
        <w:rPr>
          <w:rFonts w:ascii="Arial" w:hAnsi="Arial" w:cs="Arial"/>
        </w:rPr>
        <w:t xml:space="preserve">These methods </w:t>
      </w:r>
      <w:r w:rsidR="00EB4A17" w:rsidRPr="00C8647C">
        <w:rPr>
          <w:rFonts w:ascii="Arial" w:hAnsi="Arial" w:cs="Arial"/>
        </w:rPr>
        <w:t>included:</w:t>
      </w:r>
    </w:p>
    <w:p w:rsidR="00965F72" w:rsidRPr="00C8647C" w:rsidRDefault="00236343" w:rsidP="00965F72">
      <w:pPr>
        <w:pStyle w:val="ListParagraph"/>
        <w:numPr>
          <w:ilvl w:val="0"/>
          <w:numId w:val="34"/>
        </w:numPr>
        <w:rPr>
          <w:rFonts w:ascii="Arial" w:eastAsiaTheme="minorEastAsia" w:hAnsi="Arial" w:cs="Arial"/>
        </w:rPr>
      </w:pPr>
      <w:r w:rsidRPr="00C8647C">
        <w:rPr>
          <w:rFonts w:ascii="Arial" w:eastAsiaTheme="minorEastAsia" w:hAnsi="Arial" w:cs="Arial"/>
        </w:rPr>
        <w:t>Offer</w:t>
      </w:r>
      <w:r w:rsidR="00834489" w:rsidRPr="00C8647C">
        <w:rPr>
          <w:rFonts w:ascii="Arial" w:eastAsiaTheme="minorEastAsia" w:hAnsi="Arial" w:cs="Arial"/>
        </w:rPr>
        <w:t>ed</w:t>
      </w:r>
      <w:r w:rsidRPr="00C8647C">
        <w:rPr>
          <w:rFonts w:ascii="Arial" w:eastAsiaTheme="minorEastAsia" w:hAnsi="Arial" w:cs="Arial"/>
        </w:rPr>
        <w:t xml:space="preserve"> </w:t>
      </w:r>
      <w:r w:rsidR="00606E91" w:rsidRPr="00C8647C">
        <w:rPr>
          <w:rFonts w:ascii="Arial" w:eastAsiaTheme="minorEastAsia" w:hAnsi="Arial" w:cs="Arial"/>
        </w:rPr>
        <w:t xml:space="preserve">“just-in-time” </w:t>
      </w:r>
      <w:r w:rsidR="004856F9" w:rsidRPr="00C8647C">
        <w:rPr>
          <w:rFonts w:ascii="Arial" w:eastAsiaTheme="minorEastAsia" w:hAnsi="Arial" w:cs="Arial"/>
        </w:rPr>
        <w:t xml:space="preserve">virtual </w:t>
      </w:r>
      <w:r w:rsidR="00606E91" w:rsidRPr="00C8647C">
        <w:rPr>
          <w:rFonts w:ascii="Arial" w:eastAsiaTheme="minorEastAsia" w:hAnsi="Arial" w:cs="Arial"/>
        </w:rPr>
        <w:t xml:space="preserve">trainings at the </w:t>
      </w:r>
      <w:r w:rsidR="004856F9" w:rsidRPr="00C8647C">
        <w:rPr>
          <w:rFonts w:ascii="Arial" w:eastAsiaTheme="minorEastAsia" w:hAnsi="Arial" w:cs="Arial"/>
        </w:rPr>
        <w:t xml:space="preserve">state and </w:t>
      </w:r>
      <w:r w:rsidR="00606E91" w:rsidRPr="00C8647C">
        <w:rPr>
          <w:rFonts w:ascii="Arial" w:eastAsiaTheme="minorEastAsia" w:hAnsi="Arial" w:cs="Arial"/>
        </w:rPr>
        <w:t>local level</w:t>
      </w:r>
      <w:r w:rsidR="004856F9" w:rsidRPr="00C8647C">
        <w:rPr>
          <w:rFonts w:ascii="Arial" w:eastAsiaTheme="minorEastAsia" w:hAnsi="Arial" w:cs="Arial"/>
        </w:rPr>
        <w:t>s</w:t>
      </w:r>
      <w:r w:rsidR="00606E91" w:rsidRPr="00C8647C">
        <w:rPr>
          <w:rFonts w:ascii="Arial" w:eastAsiaTheme="minorEastAsia" w:hAnsi="Arial" w:cs="Arial"/>
        </w:rPr>
        <w:t xml:space="preserve"> </w:t>
      </w:r>
      <w:r w:rsidR="00D542C6" w:rsidRPr="00C8647C">
        <w:rPr>
          <w:rFonts w:ascii="Arial" w:eastAsiaTheme="minorEastAsia" w:hAnsi="Arial" w:cs="Arial"/>
        </w:rPr>
        <w:t>to meet programs’ immediate needs</w:t>
      </w:r>
      <w:r w:rsidR="00606E91" w:rsidRPr="00C8647C">
        <w:rPr>
          <w:rFonts w:ascii="Arial" w:eastAsiaTheme="minorEastAsia" w:hAnsi="Arial" w:cs="Arial"/>
        </w:rPr>
        <w:t xml:space="preserve">. </w:t>
      </w:r>
      <w:r w:rsidR="00965F72" w:rsidRPr="00C8647C">
        <w:rPr>
          <w:rFonts w:ascii="Arial" w:eastAsiaTheme="minorEastAsia" w:hAnsi="Arial" w:cs="Arial"/>
        </w:rPr>
        <w:t xml:space="preserve">By focusing on the specific needs of the program, more local staff were able to participate and see that data improvement is a collective process.  </w:t>
      </w:r>
    </w:p>
    <w:p w:rsidR="00F70227" w:rsidRPr="00C8647C" w:rsidRDefault="00694694" w:rsidP="00C526BC">
      <w:pPr>
        <w:pStyle w:val="ListParagraph"/>
        <w:numPr>
          <w:ilvl w:val="0"/>
          <w:numId w:val="34"/>
        </w:numPr>
        <w:rPr>
          <w:rFonts w:ascii="Arial" w:eastAsiaTheme="minorEastAsia" w:hAnsi="Arial" w:cs="Arial"/>
        </w:rPr>
      </w:pPr>
      <w:r w:rsidRPr="00C8647C">
        <w:rPr>
          <w:rFonts w:ascii="Arial" w:eastAsiaTheme="minorEastAsia" w:hAnsi="Arial" w:cs="Arial"/>
        </w:rPr>
        <w:t>Sen</w:t>
      </w:r>
      <w:r w:rsidR="00AF5E6C" w:rsidRPr="00C8647C">
        <w:rPr>
          <w:rFonts w:ascii="Arial" w:eastAsiaTheme="minorEastAsia" w:hAnsi="Arial" w:cs="Arial"/>
        </w:rPr>
        <w:t>t</w:t>
      </w:r>
      <w:r w:rsidRPr="00C8647C">
        <w:rPr>
          <w:rFonts w:ascii="Arial" w:eastAsiaTheme="minorEastAsia" w:hAnsi="Arial" w:cs="Arial"/>
        </w:rPr>
        <w:t xml:space="preserve"> a w</w:t>
      </w:r>
      <w:r w:rsidR="00F70227" w:rsidRPr="00C8647C">
        <w:rPr>
          <w:rFonts w:ascii="Arial" w:eastAsiaTheme="minorEastAsia" w:hAnsi="Arial" w:cs="Arial"/>
        </w:rPr>
        <w:t>eekly electronic digest with information about tra</w:t>
      </w:r>
      <w:r w:rsidR="00F47EAF" w:rsidRPr="00C8647C">
        <w:rPr>
          <w:rFonts w:ascii="Arial" w:eastAsiaTheme="minorEastAsia" w:hAnsi="Arial" w:cs="Arial"/>
        </w:rPr>
        <w:t xml:space="preserve">ining opportunities and quality </w:t>
      </w:r>
      <w:r w:rsidR="00F70227" w:rsidRPr="00C8647C">
        <w:rPr>
          <w:rFonts w:ascii="Arial" w:eastAsiaTheme="minorEastAsia" w:hAnsi="Arial" w:cs="Arial"/>
        </w:rPr>
        <w:t>resources</w:t>
      </w:r>
      <w:r w:rsidR="00EC4DE9" w:rsidRPr="00C8647C">
        <w:rPr>
          <w:rFonts w:ascii="Arial" w:eastAsiaTheme="minorEastAsia" w:hAnsi="Arial" w:cs="Arial"/>
        </w:rPr>
        <w:t>.</w:t>
      </w:r>
    </w:p>
    <w:p w:rsidR="00694694" w:rsidRPr="00C8647C" w:rsidRDefault="00236343" w:rsidP="00C526BC">
      <w:pPr>
        <w:pStyle w:val="ListParagraph"/>
        <w:numPr>
          <w:ilvl w:val="0"/>
          <w:numId w:val="34"/>
        </w:numPr>
        <w:rPr>
          <w:rFonts w:ascii="Arial" w:eastAsiaTheme="minorEastAsia" w:hAnsi="Arial" w:cs="Arial"/>
        </w:rPr>
      </w:pPr>
      <w:r w:rsidRPr="00C8647C">
        <w:rPr>
          <w:rFonts w:ascii="Arial" w:eastAsiaTheme="minorEastAsia" w:hAnsi="Arial" w:cs="Arial"/>
        </w:rPr>
        <w:t>Provid</w:t>
      </w:r>
      <w:r w:rsidR="00AF5E6C" w:rsidRPr="00C8647C">
        <w:rPr>
          <w:rFonts w:ascii="Arial" w:eastAsiaTheme="minorEastAsia" w:hAnsi="Arial" w:cs="Arial"/>
        </w:rPr>
        <w:t>ed</w:t>
      </w:r>
      <w:r w:rsidRPr="00C8647C">
        <w:rPr>
          <w:rFonts w:ascii="Arial" w:eastAsiaTheme="minorEastAsia" w:hAnsi="Arial" w:cs="Arial"/>
        </w:rPr>
        <w:t xml:space="preserve"> more </w:t>
      </w:r>
      <w:r w:rsidR="00694694" w:rsidRPr="00C8647C">
        <w:rPr>
          <w:rFonts w:ascii="Arial" w:eastAsiaTheme="minorEastAsia" w:hAnsi="Arial" w:cs="Arial"/>
        </w:rPr>
        <w:t>peer</w:t>
      </w:r>
      <w:r w:rsidRPr="00C8647C">
        <w:rPr>
          <w:rFonts w:ascii="Arial" w:eastAsiaTheme="minorEastAsia" w:hAnsi="Arial" w:cs="Arial"/>
        </w:rPr>
        <w:t xml:space="preserve">-facilitated best practices webinars, </w:t>
      </w:r>
      <w:r w:rsidR="00017411" w:rsidRPr="00C8647C">
        <w:rPr>
          <w:rFonts w:ascii="Arial" w:eastAsiaTheme="minorEastAsia" w:hAnsi="Arial" w:cs="Arial"/>
        </w:rPr>
        <w:t>webchats</w:t>
      </w:r>
      <w:r w:rsidR="00694694" w:rsidRPr="00C8647C">
        <w:rPr>
          <w:rFonts w:ascii="Arial" w:eastAsiaTheme="minorEastAsia" w:hAnsi="Arial" w:cs="Arial"/>
        </w:rPr>
        <w:t>, and facilitated practitioner</w:t>
      </w:r>
      <w:r w:rsidR="00F47EAF" w:rsidRPr="00C8647C">
        <w:rPr>
          <w:rFonts w:ascii="Arial" w:eastAsiaTheme="minorEastAsia" w:hAnsi="Arial" w:cs="Arial"/>
        </w:rPr>
        <w:t xml:space="preserve"> </w:t>
      </w:r>
      <w:r w:rsidR="00694694" w:rsidRPr="00C8647C">
        <w:rPr>
          <w:rFonts w:ascii="Arial" w:eastAsiaTheme="minorEastAsia" w:hAnsi="Arial" w:cs="Arial"/>
        </w:rPr>
        <w:t>discussion listservs</w:t>
      </w:r>
      <w:r w:rsidR="00EC4DE9" w:rsidRPr="00C8647C">
        <w:rPr>
          <w:rFonts w:ascii="Arial" w:eastAsiaTheme="minorEastAsia" w:hAnsi="Arial" w:cs="Arial"/>
        </w:rPr>
        <w:t xml:space="preserve">. </w:t>
      </w:r>
    </w:p>
    <w:p w:rsidR="00694694" w:rsidRPr="002C1D3E" w:rsidRDefault="00694694" w:rsidP="002C1D3E">
      <w:pPr>
        <w:rPr>
          <w:rFonts w:ascii="Arial" w:hAnsi="Arial" w:cs="Arial"/>
          <w:i/>
          <w:color w:val="548DD4" w:themeColor="text2" w:themeTint="99"/>
        </w:rPr>
      </w:pPr>
      <w:r w:rsidRPr="002C1D3E">
        <w:rPr>
          <w:rFonts w:ascii="Arial" w:hAnsi="Arial" w:cs="Arial"/>
          <w:i/>
          <w:color w:val="548DD4" w:themeColor="text2" w:themeTint="99"/>
        </w:rPr>
        <w:t>(b) As applic</w:t>
      </w:r>
      <w:r w:rsidR="007E6416" w:rsidRPr="002C1D3E">
        <w:rPr>
          <w:rFonts w:ascii="Arial" w:hAnsi="Arial" w:cs="Arial"/>
          <w:i/>
          <w:color w:val="548DD4" w:themeColor="text2" w:themeTint="99"/>
        </w:rPr>
        <w:t>able</w:t>
      </w:r>
      <w:r w:rsidRPr="002C1D3E">
        <w:rPr>
          <w:rFonts w:ascii="Arial" w:hAnsi="Arial" w:cs="Arial"/>
          <w:i/>
          <w:color w:val="548DD4" w:themeColor="text2" w:themeTint="99"/>
        </w:rPr>
        <w:t>, describe how the State has used funds for additional permissible</w:t>
      </w:r>
      <w:r w:rsidR="00F47EAF" w:rsidRPr="002C1D3E">
        <w:rPr>
          <w:rFonts w:ascii="Arial" w:hAnsi="Arial" w:cs="Arial"/>
          <w:i/>
          <w:color w:val="548DD4" w:themeColor="text2" w:themeTint="99"/>
        </w:rPr>
        <w:t xml:space="preserve"> </w:t>
      </w:r>
      <w:r w:rsidRPr="002C1D3E">
        <w:rPr>
          <w:rFonts w:ascii="Arial" w:hAnsi="Arial" w:cs="Arial"/>
          <w:i/>
          <w:color w:val="548DD4" w:themeColor="text2" w:themeTint="99"/>
        </w:rPr>
        <w:t>activities described in section 223(a)(2).</w:t>
      </w:r>
    </w:p>
    <w:p w:rsidR="00A16FD2" w:rsidRPr="00A16FD2" w:rsidRDefault="00EC4DE9" w:rsidP="00A16FD2">
      <w:pPr>
        <w:rPr>
          <w:rFonts w:ascii="Arial" w:hAnsi="Arial" w:cs="Arial"/>
        </w:rPr>
      </w:pPr>
      <w:r w:rsidRPr="006A3FA6">
        <w:rPr>
          <w:rFonts w:ascii="Arial" w:hAnsi="Arial" w:cs="Arial"/>
        </w:rPr>
        <w:t>Ohio continue</w:t>
      </w:r>
      <w:r w:rsidR="00AF5E6C" w:rsidRPr="006A3FA6">
        <w:rPr>
          <w:rFonts w:ascii="Arial" w:hAnsi="Arial" w:cs="Arial"/>
        </w:rPr>
        <w:t>d</w:t>
      </w:r>
      <w:r w:rsidRPr="006A3FA6">
        <w:rPr>
          <w:rFonts w:ascii="Arial" w:hAnsi="Arial" w:cs="Arial"/>
        </w:rPr>
        <w:t xml:space="preserve"> to support one state literacy resource center located at Kent State University. </w:t>
      </w:r>
      <w:r w:rsidR="0046523E" w:rsidRPr="006A3FA6">
        <w:rPr>
          <w:rFonts w:ascii="Arial" w:hAnsi="Arial" w:cs="Arial"/>
        </w:rPr>
        <w:t xml:space="preserve">All PD- related questions were handled through </w:t>
      </w:r>
      <w:r w:rsidR="00E20CFA" w:rsidRPr="006A3FA6">
        <w:rPr>
          <w:rFonts w:ascii="Arial" w:hAnsi="Arial" w:cs="Arial"/>
        </w:rPr>
        <w:t>the</w:t>
      </w:r>
      <w:r w:rsidR="0046523E" w:rsidRPr="006A3FA6">
        <w:rPr>
          <w:rFonts w:ascii="Arial" w:hAnsi="Arial" w:cs="Arial"/>
        </w:rPr>
        <w:t xml:space="preserve"> main point of contact at KSU. </w:t>
      </w:r>
      <w:r w:rsidR="00E20CFA" w:rsidRPr="006A3FA6">
        <w:rPr>
          <w:rFonts w:ascii="Arial" w:hAnsi="Arial" w:cs="Arial"/>
        </w:rPr>
        <w:t>KSU responded to over</w:t>
      </w:r>
      <w:r w:rsidR="0046523E" w:rsidRPr="006A3FA6">
        <w:rPr>
          <w:rFonts w:ascii="Arial" w:hAnsi="Arial" w:cs="Arial"/>
        </w:rPr>
        <w:t xml:space="preserve"> 2,000 PD-related technical assistance requests through a phone hotline, email, and instant messenger. </w:t>
      </w:r>
      <w:r w:rsidR="00492E7D" w:rsidRPr="006A3FA6">
        <w:rPr>
          <w:rFonts w:ascii="Arial" w:hAnsi="Arial" w:cs="Arial"/>
        </w:rPr>
        <w:t>The resource center houses a lending library where resources, such as sets of books and math manipulatives, are mailed to teachers</w:t>
      </w:r>
      <w:r w:rsidR="00552C04" w:rsidRPr="006A3FA6">
        <w:rPr>
          <w:rFonts w:ascii="Arial" w:hAnsi="Arial" w:cs="Arial"/>
        </w:rPr>
        <w:t>,</w:t>
      </w:r>
      <w:r w:rsidR="00C14DC7" w:rsidRPr="006A3FA6">
        <w:rPr>
          <w:rFonts w:ascii="Arial" w:hAnsi="Arial" w:cs="Arial"/>
        </w:rPr>
        <w:t xml:space="preserve"> and low-use/high-cost items such as the TABE test in braille are kept on reserve.</w:t>
      </w:r>
      <w:r w:rsidR="00492E7D" w:rsidRPr="006A3FA6">
        <w:rPr>
          <w:rFonts w:ascii="Arial" w:hAnsi="Arial" w:cs="Arial"/>
        </w:rPr>
        <w:t xml:space="preserve"> </w:t>
      </w:r>
      <w:bookmarkStart w:id="1" w:name="_Hlk59545641"/>
      <w:r w:rsidR="00A16FD2" w:rsidRPr="00A16FD2">
        <w:rPr>
          <w:rFonts w:ascii="Arial" w:hAnsi="Arial" w:cs="Arial"/>
        </w:rPr>
        <w:t>KSU contracts with the Ohio State University to provide training, technical assistance, and support to local programs and staff.  Additionally, independent subject matter experts are contracted to provide training and curriculum development.  </w:t>
      </w:r>
    </w:p>
    <w:bookmarkEnd w:id="1"/>
    <w:p w:rsidR="00EC4DE9" w:rsidRPr="006A3FA6" w:rsidRDefault="00965F72" w:rsidP="00E3438A">
      <w:pPr>
        <w:rPr>
          <w:rFonts w:ascii="Arial" w:hAnsi="Arial" w:cs="Arial"/>
        </w:rPr>
      </w:pPr>
      <w:r>
        <w:rPr>
          <w:rFonts w:ascii="Arial" w:hAnsi="Arial" w:cs="Arial"/>
        </w:rPr>
        <w:t xml:space="preserve">Another silver lining due to the pandemic is the </w:t>
      </w:r>
      <w:r w:rsidR="005655DD" w:rsidRPr="006A3FA6">
        <w:rPr>
          <w:rFonts w:ascii="Arial" w:hAnsi="Arial" w:cs="Arial"/>
        </w:rPr>
        <w:t>in-person student and teacher Writing Camps pivoted to family writing camps</w:t>
      </w:r>
      <w:r w:rsidR="006A3FA6" w:rsidRPr="006A3FA6">
        <w:rPr>
          <w:rFonts w:ascii="Arial" w:hAnsi="Arial" w:cs="Arial"/>
        </w:rPr>
        <w:t xml:space="preserve"> with so many children at home. </w:t>
      </w:r>
      <w:r w:rsidR="005655DD" w:rsidRPr="006A3FA6">
        <w:rPr>
          <w:rFonts w:ascii="Arial" w:hAnsi="Arial" w:cs="Arial"/>
        </w:rPr>
        <w:t>Teachers, students</w:t>
      </w:r>
      <w:r w:rsidR="006A3FA6" w:rsidRPr="006A3FA6">
        <w:rPr>
          <w:rFonts w:ascii="Arial" w:hAnsi="Arial" w:cs="Arial"/>
        </w:rPr>
        <w:t>,</w:t>
      </w:r>
      <w:r w:rsidR="005655DD" w:rsidRPr="006A3FA6">
        <w:rPr>
          <w:rFonts w:ascii="Arial" w:hAnsi="Arial" w:cs="Arial"/>
        </w:rPr>
        <w:t xml:space="preserve"> and their children worked on writing prompts together</w:t>
      </w:r>
      <w:r w:rsidR="006A3FA6" w:rsidRPr="006A3FA6">
        <w:rPr>
          <w:rFonts w:ascii="Arial" w:hAnsi="Arial" w:cs="Arial"/>
        </w:rPr>
        <w:t xml:space="preserve">, </w:t>
      </w:r>
      <w:r w:rsidR="005655DD" w:rsidRPr="006A3FA6">
        <w:rPr>
          <w:rFonts w:ascii="Arial" w:hAnsi="Arial" w:cs="Arial"/>
        </w:rPr>
        <w:t xml:space="preserve">which </w:t>
      </w:r>
      <w:r w:rsidR="00E20CFA" w:rsidRPr="006A3FA6">
        <w:rPr>
          <w:rFonts w:ascii="Arial" w:hAnsi="Arial" w:cs="Arial"/>
        </w:rPr>
        <w:t xml:space="preserve">ended up being </w:t>
      </w:r>
      <w:r>
        <w:rPr>
          <w:rFonts w:ascii="Arial" w:hAnsi="Arial" w:cs="Arial"/>
        </w:rPr>
        <w:t xml:space="preserve">educational and </w:t>
      </w:r>
      <w:r w:rsidR="00E20CFA" w:rsidRPr="006A3FA6">
        <w:rPr>
          <w:rFonts w:ascii="Arial" w:hAnsi="Arial" w:cs="Arial"/>
        </w:rPr>
        <w:t xml:space="preserve">enjoyable for all. </w:t>
      </w:r>
    </w:p>
    <w:p w:rsidR="0075410D" w:rsidRPr="002C1D3E" w:rsidRDefault="00DC4006" w:rsidP="002C1D3E">
      <w:pPr>
        <w:rPr>
          <w:rFonts w:ascii="Arial" w:hAnsi="Arial" w:cs="Arial"/>
          <w:b/>
        </w:rPr>
      </w:pPr>
      <w:r w:rsidRPr="002C1D3E">
        <w:rPr>
          <w:rFonts w:ascii="Arial" w:hAnsi="Arial" w:cs="Arial"/>
          <w:b/>
        </w:rPr>
        <w:t xml:space="preserve">2. </w:t>
      </w:r>
      <w:r w:rsidR="002C1D3E" w:rsidRPr="002C1D3E">
        <w:rPr>
          <w:rFonts w:ascii="Arial" w:hAnsi="Arial" w:cs="Arial"/>
          <w:b/>
        </w:rPr>
        <w:tab/>
      </w:r>
      <w:r w:rsidR="0075410D" w:rsidRPr="002C1D3E">
        <w:rPr>
          <w:rFonts w:ascii="Arial" w:hAnsi="Arial" w:cs="Arial"/>
          <w:b/>
        </w:rPr>
        <w:t>Performance Data Analys</w:t>
      </w:r>
      <w:r w:rsidR="006A3FA6">
        <w:rPr>
          <w:rFonts w:ascii="Arial" w:hAnsi="Arial" w:cs="Arial"/>
          <w:b/>
        </w:rPr>
        <w:t>is</w:t>
      </w:r>
      <w:r w:rsidR="005655DD">
        <w:rPr>
          <w:rFonts w:ascii="Arial" w:hAnsi="Arial" w:cs="Arial"/>
          <w:b/>
        </w:rPr>
        <w:t xml:space="preserve"> </w:t>
      </w:r>
    </w:p>
    <w:p w:rsidR="00DC4006" w:rsidRPr="002C1D3E" w:rsidRDefault="00DC4006" w:rsidP="002C1D3E">
      <w:pPr>
        <w:rPr>
          <w:rFonts w:ascii="Arial" w:hAnsi="Arial" w:cs="Arial"/>
          <w:i/>
          <w:color w:val="548DD4" w:themeColor="text2" w:themeTint="99"/>
        </w:rPr>
      </w:pPr>
      <w:r w:rsidRPr="002C1D3E">
        <w:rPr>
          <w:rFonts w:ascii="Arial" w:hAnsi="Arial" w:cs="Arial"/>
          <w:i/>
          <w:color w:val="548DD4" w:themeColor="text2" w:themeTint="99"/>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rsidR="004626B7" w:rsidRPr="00F6398D" w:rsidRDefault="004626B7" w:rsidP="00E3438A">
      <w:pPr>
        <w:rPr>
          <w:rFonts w:ascii="Arial" w:hAnsi="Arial" w:cs="Arial"/>
        </w:rPr>
      </w:pPr>
      <w:r w:rsidRPr="00F6398D">
        <w:rPr>
          <w:rFonts w:ascii="Arial" w:hAnsi="Arial" w:cs="Arial"/>
        </w:rPr>
        <w:t xml:space="preserve">Highlights from the Achievements of the Core Indicators of Performance </w:t>
      </w:r>
    </w:p>
    <w:p w:rsidR="00C10BE8" w:rsidRPr="00F6398D" w:rsidRDefault="008D39B2" w:rsidP="00C10BE8">
      <w:pPr>
        <w:pStyle w:val="ListParagraph"/>
        <w:numPr>
          <w:ilvl w:val="0"/>
          <w:numId w:val="33"/>
        </w:numPr>
        <w:rPr>
          <w:rFonts w:ascii="Arial" w:hAnsi="Arial" w:cs="Arial"/>
          <w:bCs/>
        </w:rPr>
      </w:pPr>
      <w:r w:rsidRPr="00F6398D">
        <w:rPr>
          <w:rFonts w:ascii="Arial" w:hAnsi="Arial" w:cs="Arial"/>
          <w:bCs/>
        </w:rPr>
        <w:lastRenderedPageBreak/>
        <w:t>Ohio ranked</w:t>
      </w:r>
      <w:r w:rsidR="00B42A1D" w:rsidRPr="00F6398D">
        <w:rPr>
          <w:rFonts w:ascii="Arial" w:hAnsi="Arial" w:cs="Arial"/>
          <w:bCs/>
        </w:rPr>
        <w:t xml:space="preserve"> </w:t>
      </w:r>
      <w:r w:rsidR="00A16FD2" w:rsidRPr="00F6398D">
        <w:rPr>
          <w:rFonts w:ascii="Arial" w:hAnsi="Arial" w:cs="Arial"/>
          <w:bCs/>
        </w:rPr>
        <w:t>in the 4</w:t>
      </w:r>
      <w:r w:rsidR="00A16FD2" w:rsidRPr="00F6398D">
        <w:rPr>
          <w:rFonts w:ascii="Arial" w:hAnsi="Arial" w:cs="Arial"/>
          <w:bCs/>
          <w:vertAlign w:val="superscript"/>
        </w:rPr>
        <w:t>th</w:t>
      </w:r>
      <w:r w:rsidR="00A16FD2" w:rsidRPr="00F6398D">
        <w:rPr>
          <w:rFonts w:ascii="Arial" w:hAnsi="Arial" w:cs="Arial"/>
          <w:bCs/>
        </w:rPr>
        <w:t xml:space="preserve"> Quartile for MSG - </w:t>
      </w:r>
      <w:r w:rsidR="00B42A1D" w:rsidRPr="00F6398D">
        <w:rPr>
          <w:rFonts w:ascii="Arial" w:hAnsi="Arial" w:cs="Arial"/>
          <w:bCs/>
        </w:rPr>
        <w:t>4</w:t>
      </w:r>
      <w:r w:rsidR="00B42A1D" w:rsidRPr="00F6398D">
        <w:rPr>
          <w:rFonts w:ascii="Arial" w:hAnsi="Arial" w:cs="Arial"/>
          <w:bCs/>
          <w:vertAlign w:val="superscript"/>
        </w:rPr>
        <w:t>th</w:t>
      </w:r>
      <w:r w:rsidR="00B42A1D" w:rsidRPr="00F6398D">
        <w:rPr>
          <w:rFonts w:ascii="Arial" w:hAnsi="Arial" w:cs="Arial"/>
          <w:bCs/>
        </w:rPr>
        <w:t xml:space="preserve"> nationally for Overall MSG (62.7%</w:t>
      </w:r>
      <w:r w:rsidR="00A16FD2" w:rsidRPr="00F6398D">
        <w:rPr>
          <w:rFonts w:ascii="Arial" w:hAnsi="Arial" w:cs="Arial"/>
          <w:bCs/>
        </w:rPr>
        <w:t>), 2nd nationally in ABE MSG</w:t>
      </w:r>
      <w:r w:rsidR="00EC06A2" w:rsidRPr="00F6398D">
        <w:rPr>
          <w:rFonts w:ascii="Arial" w:hAnsi="Arial" w:cs="Arial"/>
          <w:bCs/>
        </w:rPr>
        <w:t>,</w:t>
      </w:r>
      <w:r w:rsidR="00A16FD2" w:rsidRPr="00F6398D">
        <w:rPr>
          <w:rFonts w:ascii="Arial" w:hAnsi="Arial" w:cs="Arial"/>
          <w:bCs/>
        </w:rPr>
        <w:t xml:space="preserve"> and 13</w:t>
      </w:r>
      <w:r w:rsidR="00A16FD2" w:rsidRPr="00F6398D">
        <w:rPr>
          <w:rFonts w:ascii="Arial" w:hAnsi="Arial" w:cs="Arial"/>
          <w:bCs/>
          <w:vertAlign w:val="superscript"/>
        </w:rPr>
        <w:t>th</w:t>
      </w:r>
      <w:r w:rsidR="00A16FD2" w:rsidRPr="00F6398D">
        <w:rPr>
          <w:rFonts w:ascii="Arial" w:hAnsi="Arial" w:cs="Arial"/>
          <w:bCs/>
        </w:rPr>
        <w:t xml:space="preserve"> in ESL MSG (Source: OCTAE </w:t>
      </w:r>
      <w:r w:rsidRPr="00F6398D">
        <w:rPr>
          <w:rFonts w:ascii="Arial" w:hAnsi="Arial" w:cs="Arial"/>
          <w:bCs/>
        </w:rPr>
        <w:t xml:space="preserve">Worksheet </w:t>
      </w:r>
      <w:r w:rsidR="00861262" w:rsidRPr="00F6398D">
        <w:rPr>
          <w:rFonts w:ascii="Arial" w:hAnsi="Arial" w:cs="Arial"/>
          <w:bCs/>
        </w:rPr>
        <w:t>PY 18</w:t>
      </w:r>
      <w:r w:rsidR="00B42A1D" w:rsidRPr="00F6398D">
        <w:rPr>
          <w:rFonts w:ascii="Arial" w:hAnsi="Arial" w:cs="Arial"/>
          <w:bCs/>
        </w:rPr>
        <w:t xml:space="preserve"> Quartile Rankings.</w:t>
      </w:r>
      <w:r w:rsidR="00A16FD2" w:rsidRPr="00F6398D">
        <w:rPr>
          <w:rFonts w:ascii="Arial" w:hAnsi="Arial" w:cs="Arial"/>
          <w:bCs/>
        </w:rPr>
        <w:t>)</w:t>
      </w:r>
      <w:r w:rsidR="00B42A1D" w:rsidRPr="00F6398D">
        <w:rPr>
          <w:rFonts w:ascii="Arial" w:hAnsi="Arial" w:cs="Arial"/>
          <w:bCs/>
        </w:rPr>
        <w:t xml:space="preserve"> COVID brought many challenges in testing and data collection and Ohio</w:t>
      </w:r>
      <w:r w:rsidR="00611612" w:rsidRPr="00F6398D">
        <w:rPr>
          <w:rFonts w:ascii="Arial" w:hAnsi="Arial" w:cs="Arial"/>
          <w:bCs/>
        </w:rPr>
        <w:t xml:space="preserve"> AEFLA reported a 40.2% MSG in PY 19. Ohio Aspire continues to strive to be a </w:t>
      </w:r>
      <w:r w:rsidRPr="00F6398D">
        <w:rPr>
          <w:rFonts w:ascii="Arial" w:hAnsi="Arial" w:cs="Arial"/>
          <w:bCs/>
        </w:rPr>
        <w:t>high-performing state</w:t>
      </w:r>
      <w:r w:rsidR="00611612" w:rsidRPr="00F6398D">
        <w:rPr>
          <w:rFonts w:ascii="Arial" w:hAnsi="Arial" w:cs="Arial"/>
          <w:bCs/>
        </w:rPr>
        <w:t xml:space="preserve"> and there is still much to be celebrated despite the impact of COVID. </w:t>
      </w:r>
    </w:p>
    <w:p w:rsidR="00C10BE8" w:rsidRPr="00F6398D" w:rsidRDefault="00C10BE8" w:rsidP="00C10BE8">
      <w:pPr>
        <w:rPr>
          <w:rFonts w:ascii="Arial" w:hAnsi="Arial" w:cs="Arial"/>
          <w:bCs/>
        </w:rPr>
      </w:pPr>
      <w:r w:rsidRPr="00F6398D">
        <w:rPr>
          <w:rFonts w:ascii="Arial" w:hAnsi="Arial" w:cs="Arial"/>
          <w:bCs/>
        </w:rPr>
        <w:t>Ohio Aspire was on track to improve key indicators compared to July – February of the previous program year:</w:t>
      </w:r>
    </w:p>
    <w:p w:rsidR="00C10BE8" w:rsidRPr="00F6398D" w:rsidRDefault="00C572EF" w:rsidP="00C10BE8">
      <w:pPr>
        <w:pStyle w:val="ListParagraph"/>
        <w:numPr>
          <w:ilvl w:val="0"/>
          <w:numId w:val="33"/>
        </w:numPr>
        <w:rPr>
          <w:rFonts w:ascii="Arial" w:hAnsi="Arial" w:cs="Arial"/>
          <w:bCs/>
        </w:rPr>
      </w:pPr>
      <w:r w:rsidRPr="00F6398D">
        <w:rPr>
          <w:rFonts w:ascii="Arial" w:hAnsi="Arial" w:cs="Arial"/>
          <w:bCs/>
        </w:rPr>
        <w:t>Enrollment +</w:t>
      </w:r>
      <w:r w:rsidR="00C10BE8" w:rsidRPr="00F6398D">
        <w:rPr>
          <w:rFonts w:ascii="Arial" w:hAnsi="Arial" w:cs="Arial"/>
          <w:bCs/>
        </w:rPr>
        <w:t>7%</w:t>
      </w:r>
    </w:p>
    <w:p w:rsidR="00C10BE8" w:rsidRPr="00F6398D" w:rsidRDefault="00C10BE8" w:rsidP="00C10BE8">
      <w:pPr>
        <w:pStyle w:val="ListParagraph"/>
        <w:numPr>
          <w:ilvl w:val="0"/>
          <w:numId w:val="33"/>
        </w:numPr>
        <w:rPr>
          <w:rFonts w:ascii="Arial" w:hAnsi="Arial" w:cs="Arial"/>
          <w:bCs/>
        </w:rPr>
      </w:pPr>
      <w:r w:rsidRPr="00F6398D">
        <w:rPr>
          <w:rFonts w:ascii="Arial" w:hAnsi="Arial" w:cs="Arial"/>
          <w:bCs/>
        </w:rPr>
        <w:t>Total hours +15%</w:t>
      </w:r>
    </w:p>
    <w:p w:rsidR="00C10BE8" w:rsidRPr="00F6398D" w:rsidRDefault="00C10BE8" w:rsidP="00C10BE8">
      <w:pPr>
        <w:pStyle w:val="ListParagraph"/>
        <w:numPr>
          <w:ilvl w:val="0"/>
          <w:numId w:val="33"/>
        </w:numPr>
        <w:rPr>
          <w:rFonts w:ascii="Arial" w:hAnsi="Arial" w:cs="Arial"/>
          <w:bCs/>
        </w:rPr>
      </w:pPr>
      <w:r w:rsidRPr="00F6398D">
        <w:rPr>
          <w:rFonts w:ascii="Arial" w:hAnsi="Arial" w:cs="Arial"/>
          <w:bCs/>
        </w:rPr>
        <w:t>Persistence +7%</w:t>
      </w:r>
    </w:p>
    <w:p w:rsidR="00C10BE8" w:rsidRPr="00F6398D" w:rsidRDefault="00C10BE8" w:rsidP="00C10BE8">
      <w:pPr>
        <w:rPr>
          <w:rFonts w:ascii="Arial" w:hAnsi="Arial" w:cs="Arial"/>
          <w:bCs/>
        </w:rPr>
      </w:pPr>
      <w:r w:rsidRPr="00F6398D">
        <w:rPr>
          <w:rFonts w:ascii="Arial" w:hAnsi="Arial" w:cs="Arial"/>
          <w:bCs/>
        </w:rPr>
        <w:t>MSG changes</w:t>
      </w:r>
    </w:p>
    <w:p w:rsidR="00C10BE8" w:rsidRPr="00F6398D" w:rsidRDefault="00C10BE8" w:rsidP="00C10BE8">
      <w:pPr>
        <w:pStyle w:val="ListParagraph"/>
        <w:numPr>
          <w:ilvl w:val="0"/>
          <w:numId w:val="43"/>
        </w:numPr>
        <w:rPr>
          <w:rFonts w:ascii="Arial" w:hAnsi="Arial" w:cs="Arial"/>
          <w:bCs/>
        </w:rPr>
      </w:pPr>
      <w:r w:rsidRPr="00F6398D">
        <w:rPr>
          <w:rFonts w:ascii="Arial" w:hAnsi="Arial" w:cs="Arial"/>
          <w:bCs/>
        </w:rPr>
        <w:t>Pre-pandemic postsecondary enrollments up 3.6% over the previous year and HSE, no change</w:t>
      </w:r>
    </w:p>
    <w:p w:rsidR="00C10BE8" w:rsidRPr="00F6398D" w:rsidRDefault="00C10BE8" w:rsidP="00C10BE8">
      <w:pPr>
        <w:pStyle w:val="ListParagraph"/>
        <w:numPr>
          <w:ilvl w:val="0"/>
          <w:numId w:val="43"/>
        </w:numPr>
        <w:rPr>
          <w:rFonts w:ascii="Arial" w:hAnsi="Arial" w:cs="Arial"/>
          <w:bCs/>
        </w:rPr>
      </w:pPr>
      <w:r w:rsidRPr="00F6398D">
        <w:rPr>
          <w:rFonts w:ascii="Arial" w:hAnsi="Arial" w:cs="Arial"/>
          <w:bCs/>
        </w:rPr>
        <w:t>Pandemic postsecondary enrollments increased 0.4% and HSE decreased 1.2%</w:t>
      </w:r>
    </w:p>
    <w:p w:rsidR="00C10BE8" w:rsidRPr="00F6398D" w:rsidRDefault="00C10BE8" w:rsidP="00C10BE8">
      <w:pPr>
        <w:pStyle w:val="ListParagraph"/>
        <w:numPr>
          <w:ilvl w:val="0"/>
          <w:numId w:val="43"/>
        </w:numPr>
        <w:rPr>
          <w:rFonts w:ascii="Arial" w:hAnsi="Arial" w:cs="Arial"/>
          <w:bCs/>
        </w:rPr>
      </w:pPr>
      <w:r w:rsidRPr="00F6398D">
        <w:rPr>
          <w:rFonts w:ascii="Arial" w:hAnsi="Arial" w:cs="Arial"/>
          <w:bCs/>
        </w:rPr>
        <w:t>As expected, MSG pre/post saw a sharp decrease and exit before completing a sharp increase as students were unable to either attend class or post-test</w:t>
      </w:r>
    </w:p>
    <w:p w:rsidR="00C10BE8" w:rsidRPr="00F6398D" w:rsidRDefault="00C10BE8" w:rsidP="00C10BE8">
      <w:pPr>
        <w:rPr>
          <w:rFonts w:ascii="Arial" w:hAnsi="Arial" w:cs="Arial"/>
          <w:bCs/>
        </w:rPr>
      </w:pPr>
      <w:r w:rsidRPr="00F6398D">
        <w:rPr>
          <w:rFonts w:ascii="Arial" w:hAnsi="Arial" w:cs="Arial"/>
          <w:bCs/>
        </w:rPr>
        <w:t xml:space="preserve">March – July 2020 enrollment and total hours saw a sharp decrease with persistence increase over the previous program year, but persistence was not to the level of July </w:t>
      </w:r>
      <w:r w:rsidR="005A74DF" w:rsidRPr="00F6398D">
        <w:rPr>
          <w:rFonts w:ascii="Arial" w:hAnsi="Arial" w:cs="Arial"/>
          <w:bCs/>
        </w:rPr>
        <w:t>2019 -</w:t>
      </w:r>
      <w:r w:rsidRPr="00F6398D">
        <w:rPr>
          <w:rFonts w:ascii="Arial" w:hAnsi="Arial" w:cs="Arial"/>
          <w:bCs/>
        </w:rPr>
        <w:t xml:space="preserve"> February 2020</w:t>
      </w:r>
    </w:p>
    <w:p w:rsidR="005A74DF" w:rsidRPr="00F6398D" w:rsidRDefault="005A74DF" w:rsidP="005A74DF">
      <w:pPr>
        <w:pStyle w:val="ListParagraph"/>
        <w:numPr>
          <w:ilvl w:val="0"/>
          <w:numId w:val="44"/>
        </w:numPr>
        <w:rPr>
          <w:rFonts w:ascii="Arial" w:hAnsi="Arial" w:cs="Arial"/>
          <w:bCs/>
        </w:rPr>
      </w:pPr>
      <w:r w:rsidRPr="00F6398D">
        <w:rPr>
          <w:rFonts w:ascii="Arial" w:hAnsi="Arial" w:cs="Arial"/>
          <w:bCs/>
        </w:rPr>
        <w:t>Enrollment -38%</w:t>
      </w:r>
    </w:p>
    <w:p w:rsidR="005A74DF" w:rsidRPr="00F6398D" w:rsidRDefault="005A74DF" w:rsidP="005A74DF">
      <w:pPr>
        <w:pStyle w:val="ListParagraph"/>
        <w:numPr>
          <w:ilvl w:val="0"/>
          <w:numId w:val="44"/>
        </w:numPr>
        <w:rPr>
          <w:rFonts w:ascii="Arial" w:hAnsi="Arial" w:cs="Arial"/>
          <w:bCs/>
        </w:rPr>
      </w:pPr>
      <w:r w:rsidRPr="00F6398D">
        <w:rPr>
          <w:rFonts w:ascii="Arial" w:hAnsi="Arial" w:cs="Arial"/>
          <w:bCs/>
        </w:rPr>
        <w:t>Total hours -35%</w:t>
      </w:r>
    </w:p>
    <w:p w:rsidR="005A74DF" w:rsidRPr="00F6398D" w:rsidRDefault="005A74DF" w:rsidP="005A74DF">
      <w:pPr>
        <w:pStyle w:val="ListParagraph"/>
        <w:numPr>
          <w:ilvl w:val="0"/>
          <w:numId w:val="44"/>
        </w:numPr>
        <w:rPr>
          <w:rFonts w:ascii="Arial" w:hAnsi="Arial" w:cs="Arial"/>
          <w:bCs/>
        </w:rPr>
      </w:pPr>
      <w:r w:rsidRPr="00F6398D">
        <w:rPr>
          <w:rFonts w:ascii="Arial" w:hAnsi="Arial" w:cs="Arial"/>
          <w:bCs/>
        </w:rPr>
        <w:t>Persistence +4%</w:t>
      </w:r>
    </w:p>
    <w:p w:rsidR="005A74DF" w:rsidRPr="00F6398D" w:rsidRDefault="005A74DF" w:rsidP="005A74DF">
      <w:pPr>
        <w:rPr>
          <w:rFonts w:ascii="Arial" w:hAnsi="Arial" w:cs="Arial"/>
          <w:bCs/>
        </w:rPr>
      </w:pPr>
      <w:r w:rsidRPr="00F6398D">
        <w:rPr>
          <w:rFonts w:ascii="Arial" w:hAnsi="Arial" w:cs="Arial"/>
          <w:bCs/>
        </w:rPr>
        <w:t>Regarding demographic indicators of age, gender, race/ethnicity, employment status, and single parents:</w:t>
      </w:r>
    </w:p>
    <w:p w:rsidR="005A74DF" w:rsidRPr="00F6398D" w:rsidRDefault="005A74DF" w:rsidP="005A74DF">
      <w:pPr>
        <w:pStyle w:val="ListParagraph"/>
        <w:numPr>
          <w:ilvl w:val="0"/>
          <w:numId w:val="45"/>
        </w:numPr>
        <w:rPr>
          <w:rFonts w:ascii="Arial" w:hAnsi="Arial" w:cs="Arial"/>
          <w:bCs/>
        </w:rPr>
      </w:pPr>
      <w:r w:rsidRPr="00F6398D">
        <w:rPr>
          <w:rFonts w:ascii="Arial" w:hAnsi="Arial" w:cs="Arial"/>
          <w:bCs/>
        </w:rPr>
        <w:t xml:space="preserve">No dramatic </w:t>
      </w:r>
      <w:r w:rsidR="00C572EF" w:rsidRPr="00F6398D">
        <w:rPr>
          <w:rFonts w:ascii="Arial" w:hAnsi="Arial" w:cs="Arial"/>
          <w:bCs/>
        </w:rPr>
        <w:t>changes</w:t>
      </w:r>
      <w:r w:rsidRPr="00F6398D">
        <w:rPr>
          <w:rFonts w:ascii="Arial" w:hAnsi="Arial" w:cs="Arial"/>
          <w:bCs/>
        </w:rPr>
        <w:t xml:space="preserve"> from either time period for any demographic groups</w:t>
      </w:r>
    </w:p>
    <w:p w:rsidR="005A74DF" w:rsidRPr="00F6398D" w:rsidRDefault="005A74DF" w:rsidP="005A74DF">
      <w:pPr>
        <w:pStyle w:val="ListParagraph"/>
        <w:numPr>
          <w:ilvl w:val="0"/>
          <w:numId w:val="45"/>
        </w:numPr>
        <w:rPr>
          <w:rFonts w:ascii="Arial" w:hAnsi="Arial" w:cs="Arial"/>
          <w:bCs/>
        </w:rPr>
      </w:pPr>
      <w:r w:rsidRPr="00F6398D">
        <w:rPr>
          <w:rFonts w:ascii="Arial" w:hAnsi="Arial" w:cs="Arial"/>
          <w:bCs/>
        </w:rPr>
        <w:t>16-18 and 19-24 already slightly decreased July – February which continued in slightly higher percentages March – June</w:t>
      </w:r>
    </w:p>
    <w:p w:rsidR="005A74DF" w:rsidRPr="00F6398D" w:rsidRDefault="005A74DF" w:rsidP="005A74DF">
      <w:pPr>
        <w:pStyle w:val="ListParagraph"/>
        <w:numPr>
          <w:ilvl w:val="0"/>
          <w:numId w:val="45"/>
        </w:numPr>
        <w:rPr>
          <w:rFonts w:ascii="Arial" w:hAnsi="Arial" w:cs="Arial"/>
          <w:bCs/>
        </w:rPr>
      </w:pPr>
      <w:r w:rsidRPr="00F6398D">
        <w:rPr>
          <w:rFonts w:ascii="Arial" w:hAnsi="Arial" w:cs="Arial"/>
          <w:bCs/>
        </w:rPr>
        <w:t>Increases overall for PY 19 for adults 25+</w:t>
      </w:r>
    </w:p>
    <w:p w:rsidR="005A74DF" w:rsidRPr="00F6398D" w:rsidRDefault="005A74DF" w:rsidP="005A74DF">
      <w:pPr>
        <w:rPr>
          <w:rFonts w:ascii="Arial" w:hAnsi="Arial" w:cs="Arial"/>
          <w:bCs/>
        </w:rPr>
      </w:pPr>
      <w:r w:rsidRPr="00F6398D">
        <w:rPr>
          <w:rFonts w:ascii="Arial" w:hAnsi="Arial" w:cs="Arial"/>
          <w:bCs/>
        </w:rPr>
        <w:t>Attendance</w:t>
      </w:r>
    </w:p>
    <w:p w:rsidR="005A74DF" w:rsidRPr="00F6398D" w:rsidRDefault="005A74DF" w:rsidP="005A74DF">
      <w:pPr>
        <w:pStyle w:val="ListParagraph"/>
        <w:numPr>
          <w:ilvl w:val="0"/>
          <w:numId w:val="46"/>
        </w:numPr>
        <w:rPr>
          <w:rFonts w:ascii="Arial" w:hAnsi="Arial" w:cs="Arial"/>
          <w:bCs/>
        </w:rPr>
      </w:pPr>
      <w:r w:rsidRPr="00F6398D">
        <w:rPr>
          <w:rFonts w:ascii="Arial" w:hAnsi="Arial" w:cs="Arial"/>
          <w:bCs/>
        </w:rPr>
        <w:t>As expected, significant decrease in overall hours beginning in March</w:t>
      </w:r>
    </w:p>
    <w:p w:rsidR="005A74DF" w:rsidRPr="00F6398D" w:rsidRDefault="005A74DF" w:rsidP="005A74DF">
      <w:pPr>
        <w:pStyle w:val="ListParagraph"/>
        <w:numPr>
          <w:ilvl w:val="0"/>
          <w:numId w:val="46"/>
        </w:numPr>
        <w:rPr>
          <w:rFonts w:ascii="Arial" w:hAnsi="Arial" w:cs="Arial"/>
          <w:bCs/>
        </w:rPr>
      </w:pPr>
      <w:r w:rsidRPr="00F6398D">
        <w:rPr>
          <w:rFonts w:ascii="Arial" w:hAnsi="Arial" w:cs="Arial"/>
          <w:bCs/>
        </w:rPr>
        <w:t>As expected, significant increase in DE hours beginning in March after consistent average ebb/flow for the previous 20 months</w:t>
      </w:r>
    </w:p>
    <w:p w:rsidR="005A74DF" w:rsidRPr="00F6398D" w:rsidRDefault="005A74DF" w:rsidP="005A74DF">
      <w:pPr>
        <w:pStyle w:val="ListParagraph"/>
        <w:numPr>
          <w:ilvl w:val="0"/>
          <w:numId w:val="46"/>
        </w:numPr>
        <w:rPr>
          <w:rFonts w:ascii="Arial" w:hAnsi="Arial" w:cs="Arial"/>
          <w:bCs/>
        </w:rPr>
      </w:pPr>
      <w:r w:rsidRPr="00F6398D">
        <w:rPr>
          <w:rFonts w:ascii="Arial" w:hAnsi="Arial" w:cs="Arial"/>
          <w:bCs/>
        </w:rPr>
        <w:t>Overall average hours/week decreased April – June 2020 with only slight decreases from February – March 2020</w:t>
      </w:r>
    </w:p>
    <w:p w:rsidR="005A74DF" w:rsidRPr="00F6398D" w:rsidRDefault="005A74DF" w:rsidP="005A74DF">
      <w:pPr>
        <w:pStyle w:val="ListParagraph"/>
        <w:numPr>
          <w:ilvl w:val="0"/>
          <w:numId w:val="46"/>
        </w:numPr>
        <w:rPr>
          <w:rFonts w:ascii="Arial" w:hAnsi="Arial" w:cs="Arial"/>
          <w:bCs/>
        </w:rPr>
      </w:pPr>
      <w:r w:rsidRPr="00F6398D">
        <w:rPr>
          <w:rFonts w:ascii="Arial" w:hAnsi="Arial" w:cs="Arial"/>
          <w:bCs/>
        </w:rPr>
        <w:t>Average distance education hours/week hit 2 year high (3.1 hours/student/week) in June 2020</w:t>
      </w:r>
    </w:p>
    <w:p w:rsidR="006822AA" w:rsidRDefault="006822AA" w:rsidP="00CD1BF8">
      <w:pPr>
        <w:tabs>
          <w:tab w:val="left" w:pos="1080"/>
        </w:tabs>
        <w:spacing w:after="0"/>
        <w:rPr>
          <w:rFonts w:ascii="Arial" w:hAnsi="Arial" w:cs="Arial"/>
          <w:bCs/>
        </w:rPr>
      </w:pPr>
    </w:p>
    <w:p w:rsidR="006822AA" w:rsidRDefault="006822AA" w:rsidP="00CD1BF8">
      <w:pPr>
        <w:tabs>
          <w:tab w:val="left" w:pos="1080"/>
        </w:tabs>
        <w:spacing w:after="0"/>
        <w:rPr>
          <w:rFonts w:ascii="Arial" w:hAnsi="Arial" w:cs="Arial"/>
          <w:bCs/>
        </w:rPr>
      </w:pPr>
    </w:p>
    <w:p w:rsidR="006822AA" w:rsidRDefault="006822AA" w:rsidP="00CD1BF8">
      <w:pPr>
        <w:tabs>
          <w:tab w:val="left" w:pos="1080"/>
        </w:tabs>
        <w:spacing w:after="0"/>
        <w:rPr>
          <w:rFonts w:ascii="Arial" w:hAnsi="Arial" w:cs="Arial"/>
          <w:bCs/>
        </w:rPr>
      </w:pPr>
    </w:p>
    <w:p w:rsidR="00C31E35" w:rsidRPr="00F6398D" w:rsidRDefault="00C31E35" w:rsidP="00CD1BF8">
      <w:pPr>
        <w:tabs>
          <w:tab w:val="left" w:pos="1080"/>
        </w:tabs>
        <w:spacing w:after="0"/>
        <w:rPr>
          <w:rFonts w:ascii="Arial" w:hAnsi="Arial" w:cs="Arial"/>
          <w:bCs/>
        </w:rPr>
      </w:pPr>
      <w:r w:rsidRPr="00F6398D">
        <w:rPr>
          <w:rFonts w:ascii="Arial" w:hAnsi="Arial" w:cs="Arial"/>
          <w:bCs/>
        </w:rPr>
        <w:lastRenderedPageBreak/>
        <w:t>Areas for Improvement</w:t>
      </w:r>
    </w:p>
    <w:p w:rsidR="00E3438A" w:rsidRPr="00F6398D" w:rsidRDefault="00A16FD2" w:rsidP="00C572EF">
      <w:pPr>
        <w:rPr>
          <w:rFonts w:ascii="Arial" w:hAnsi="Arial" w:cs="Arial"/>
        </w:rPr>
      </w:pPr>
      <w:r w:rsidRPr="00F6398D">
        <w:rPr>
          <w:rFonts w:ascii="Arial" w:hAnsi="Arial" w:cs="Arial"/>
        </w:rPr>
        <w:t>Ohio Aspire ranked in the 2</w:t>
      </w:r>
      <w:r w:rsidRPr="00F6398D">
        <w:rPr>
          <w:rFonts w:ascii="Arial" w:hAnsi="Arial" w:cs="Arial"/>
          <w:vertAlign w:val="superscript"/>
        </w:rPr>
        <w:t>nd</w:t>
      </w:r>
      <w:r w:rsidRPr="00F6398D">
        <w:rPr>
          <w:rFonts w:ascii="Arial" w:hAnsi="Arial" w:cs="Arial"/>
        </w:rPr>
        <w:t xml:space="preserve"> </w:t>
      </w:r>
      <w:r w:rsidR="005504B3" w:rsidRPr="00F6398D">
        <w:rPr>
          <w:rFonts w:ascii="Arial" w:hAnsi="Arial" w:cs="Arial"/>
        </w:rPr>
        <w:t xml:space="preserve">Quartile in Credential Attainment (20.97%) per the OCTAE Worksheet PY 18 Quartile Rankings. Ohio has several optional programs for adults to achieve a high school diploma or equivalence, not funded through AEFLA, causing a competition within our own state for reporting these outcomes. While adult diploma options are wonderful for Ohioans, it does negatively impact Ohio Aspire HSE outcomes. </w:t>
      </w:r>
    </w:p>
    <w:p w:rsidR="00DF5B55" w:rsidRPr="00F6398D" w:rsidRDefault="00C572EF" w:rsidP="00E3438A">
      <w:pPr>
        <w:rPr>
          <w:rFonts w:ascii="Arial" w:eastAsia="Times New Roman" w:hAnsi="Arial" w:cs="Arial"/>
        </w:rPr>
      </w:pPr>
      <w:r w:rsidRPr="00F6398D">
        <w:rPr>
          <w:rFonts w:ascii="Arial" w:hAnsi="Arial" w:cs="Arial"/>
        </w:rPr>
        <w:t>The state addresse</w:t>
      </w:r>
      <w:r w:rsidR="000F425C" w:rsidRPr="00F6398D">
        <w:rPr>
          <w:rFonts w:ascii="Arial" w:hAnsi="Arial" w:cs="Arial"/>
        </w:rPr>
        <w:t>d</w:t>
      </w:r>
      <w:r w:rsidRPr="00F6398D">
        <w:rPr>
          <w:rFonts w:ascii="Arial" w:hAnsi="Arial" w:cs="Arial"/>
        </w:rPr>
        <w:t xml:space="preserve"> local performance issues in a variety of ways. </w:t>
      </w:r>
      <w:r w:rsidR="00DF5B55" w:rsidRPr="00F6398D">
        <w:rPr>
          <w:rFonts w:ascii="Arial" w:hAnsi="Arial" w:cs="Arial"/>
        </w:rPr>
        <w:t xml:space="preserve">The State Aspire office </w:t>
      </w:r>
      <w:r w:rsidR="00D30583" w:rsidRPr="00F6398D">
        <w:rPr>
          <w:rFonts w:ascii="Arial" w:hAnsi="Arial" w:cs="Arial"/>
        </w:rPr>
        <w:t xml:space="preserve">conducted </w:t>
      </w:r>
      <w:r w:rsidR="00DF5B55" w:rsidRPr="006822AA">
        <w:rPr>
          <w:rFonts w:ascii="Arial" w:hAnsi="Arial" w:cs="Arial"/>
          <w:bCs/>
        </w:rPr>
        <w:t>Local Program Desk Reviews</w:t>
      </w:r>
      <w:r w:rsidR="00DF5B55" w:rsidRPr="00F6398D">
        <w:rPr>
          <w:rFonts w:ascii="Arial" w:hAnsi="Arial" w:cs="Arial"/>
        </w:rPr>
        <w:t xml:space="preserve"> on all funded programs. The Desk Review is a high-stakes accountability document that measures programs’ achievement </w:t>
      </w:r>
      <w:r w:rsidR="00F6398D" w:rsidRPr="00F6398D">
        <w:rPr>
          <w:rFonts w:ascii="Arial" w:hAnsi="Arial" w:cs="Arial"/>
        </w:rPr>
        <w:t xml:space="preserve">levels </w:t>
      </w:r>
      <w:r w:rsidR="00DF5B55" w:rsidRPr="00F6398D">
        <w:rPr>
          <w:rFonts w:ascii="Arial" w:hAnsi="Arial" w:cs="Arial"/>
        </w:rPr>
        <w:t xml:space="preserve">against state targets in participants’ measurable skill gain and follow-up outcomes. It also evaluates assessments being used, pre and </w:t>
      </w:r>
      <w:r w:rsidR="00F6398D" w:rsidRPr="00F6398D">
        <w:rPr>
          <w:rFonts w:ascii="Arial" w:hAnsi="Arial" w:cs="Arial"/>
        </w:rPr>
        <w:t>post testing</w:t>
      </w:r>
      <w:r w:rsidR="00DF5B55" w:rsidRPr="00F6398D">
        <w:rPr>
          <w:rFonts w:ascii="Arial" w:hAnsi="Arial" w:cs="Arial"/>
        </w:rPr>
        <w:t xml:space="preserve"> rates, </w:t>
      </w:r>
      <w:r w:rsidR="00F6398D" w:rsidRPr="00F6398D">
        <w:rPr>
          <w:rFonts w:ascii="Arial" w:hAnsi="Arial" w:cs="Arial"/>
        </w:rPr>
        <w:t>and</w:t>
      </w:r>
      <w:r w:rsidR="00DF5B55" w:rsidRPr="00F6398D">
        <w:rPr>
          <w:rFonts w:ascii="Arial" w:hAnsi="Arial" w:cs="Arial"/>
        </w:rPr>
        <w:t xml:space="preserve"> as compliance with other grant requirements. Desk Reviews </w:t>
      </w:r>
      <w:r w:rsidR="00A60443" w:rsidRPr="00F6398D">
        <w:rPr>
          <w:rFonts w:ascii="Arial" w:hAnsi="Arial" w:cs="Arial"/>
        </w:rPr>
        <w:t xml:space="preserve">scores are calculated </w:t>
      </w:r>
      <w:r w:rsidR="002F2A18" w:rsidRPr="00F6398D">
        <w:rPr>
          <w:rFonts w:ascii="Arial" w:hAnsi="Arial" w:cs="Arial"/>
        </w:rPr>
        <w:t>into</w:t>
      </w:r>
      <w:r w:rsidR="00A60443" w:rsidRPr="00F6398D">
        <w:rPr>
          <w:rFonts w:ascii="Arial" w:hAnsi="Arial" w:cs="Arial"/>
        </w:rPr>
        <w:t xml:space="preserve"> the Risk Assessment tool </w:t>
      </w:r>
      <w:r w:rsidR="00DF5B55" w:rsidRPr="00F6398D">
        <w:rPr>
          <w:rFonts w:ascii="Arial" w:hAnsi="Arial" w:cs="Arial"/>
        </w:rPr>
        <w:t xml:space="preserve">used to determine </w:t>
      </w:r>
      <w:r w:rsidR="000E0326" w:rsidRPr="00F6398D">
        <w:rPr>
          <w:rFonts w:ascii="Arial" w:hAnsi="Arial" w:cs="Arial"/>
        </w:rPr>
        <w:t xml:space="preserve">levels of monitoring needed. </w:t>
      </w:r>
      <w:r w:rsidR="002F2A18" w:rsidRPr="00F6398D">
        <w:rPr>
          <w:rFonts w:ascii="Arial" w:hAnsi="Arial" w:cs="Arial"/>
        </w:rPr>
        <w:t xml:space="preserve">Due to the pandemic and incomplete PY 19 data, the </w:t>
      </w:r>
      <w:r w:rsidR="00967B5D" w:rsidRPr="00F6398D">
        <w:rPr>
          <w:rFonts w:ascii="Arial" w:hAnsi="Arial" w:cs="Arial"/>
        </w:rPr>
        <w:t xml:space="preserve">PY 19 </w:t>
      </w:r>
      <w:r w:rsidR="002F2A18" w:rsidRPr="00F6398D">
        <w:rPr>
          <w:rFonts w:ascii="Arial" w:hAnsi="Arial" w:cs="Arial"/>
        </w:rPr>
        <w:t xml:space="preserve">Desk Reviews ODHE provided to the programs were informational and not high stakes. The Aspire office did not calculate performance success or failure based on PY 19 data. </w:t>
      </w:r>
    </w:p>
    <w:p w:rsidR="00DF5B55" w:rsidRPr="00F6398D" w:rsidRDefault="00D30583" w:rsidP="00E3438A">
      <w:pPr>
        <w:rPr>
          <w:rFonts w:ascii="Arial" w:eastAsia="Times New Roman" w:hAnsi="Arial" w:cs="Arial"/>
        </w:rPr>
      </w:pPr>
      <w:r w:rsidRPr="00F6398D">
        <w:rPr>
          <w:rFonts w:ascii="Arial" w:eastAsia="Times New Roman" w:hAnsi="Arial" w:cs="Arial"/>
        </w:rPr>
        <w:t xml:space="preserve">100% of the Aspire providers submitted an annual </w:t>
      </w:r>
      <w:r w:rsidR="00DF5B55" w:rsidRPr="006822AA">
        <w:rPr>
          <w:rFonts w:ascii="Arial" w:eastAsia="Times New Roman" w:hAnsi="Arial" w:cs="Arial"/>
          <w:bCs/>
        </w:rPr>
        <w:t>Local Program Data Certification Checklist</w:t>
      </w:r>
      <w:r w:rsidR="00DF5B55" w:rsidRPr="00F6398D">
        <w:rPr>
          <w:rFonts w:ascii="Arial" w:eastAsia="Times New Roman" w:hAnsi="Arial" w:cs="Arial"/>
        </w:rPr>
        <w:t xml:space="preserve"> modeled after the federal checklist. This document verifies program compliance with NRS and state follow-up survey requirements. Aspire staff monitor compliance with this and other federal and state requirements during on-site reviews. </w:t>
      </w:r>
    </w:p>
    <w:p w:rsidR="00DF5B55" w:rsidRPr="00F6398D" w:rsidRDefault="00F6398D" w:rsidP="00E3438A">
      <w:pPr>
        <w:rPr>
          <w:rFonts w:ascii="Arial" w:hAnsi="Arial" w:cs="Arial"/>
        </w:rPr>
      </w:pPr>
      <w:r w:rsidRPr="00F6398D">
        <w:rPr>
          <w:rFonts w:ascii="Arial" w:eastAsia="Times New Roman" w:hAnsi="Arial" w:cs="Arial"/>
        </w:rPr>
        <w:t xml:space="preserve">Quarterly, </w:t>
      </w:r>
      <w:proofErr w:type="gramStart"/>
      <w:r w:rsidR="00DF5B55" w:rsidRPr="00F6398D">
        <w:rPr>
          <w:rFonts w:ascii="Arial" w:eastAsia="Times New Roman" w:hAnsi="Arial" w:cs="Arial"/>
        </w:rPr>
        <w:t>Aspire</w:t>
      </w:r>
      <w:proofErr w:type="gramEnd"/>
      <w:r w:rsidR="00DF5B55" w:rsidRPr="00F6398D">
        <w:rPr>
          <w:rFonts w:ascii="Arial" w:eastAsia="Times New Roman" w:hAnsi="Arial" w:cs="Arial"/>
        </w:rPr>
        <w:t xml:space="preserve"> </w:t>
      </w:r>
      <w:r w:rsidR="00D30583" w:rsidRPr="00F6398D">
        <w:rPr>
          <w:rFonts w:ascii="Arial" w:eastAsia="Times New Roman" w:hAnsi="Arial" w:cs="Arial"/>
        </w:rPr>
        <w:t>p</w:t>
      </w:r>
      <w:r w:rsidR="00DF5B55" w:rsidRPr="00F6398D">
        <w:rPr>
          <w:rFonts w:ascii="Arial" w:eastAsia="Times New Roman" w:hAnsi="Arial" w:cs="Arial"/>
        </w:rPr>
        <w:t xml:space="preserve">rogram </w:t>
      </w:r>
      <w:r w:rsidR="00D30583" w:rsidRPr="00F6398D">
        <w:rPr>
          <w:rFonts w:ascii="Arial" w:eastAsia="Times New Roman" w:hAnsi="Arial" w:cs="Arial"/>
        </w:rPr>
        <w:t>m</w:t>
      </w:r>
      <w:r w:rsidR="00DF5B55" w:rsidRPr="00F6398D">
        <w:rPr>
          <w:rFonts w:ascii="Arial" w:eastAsia="Times New Roman" w:hAnsi="Arial" w:cs="Arial"/>
        </w:rPr>
        <w:t xml:space="preserve">anagers </w:t>
      </w:r>
      <w:r w:rsidR="00D30583" w:rsidRPr="00F6398D">
        <w:rPr>
          <w:rFonts w:ascii="Arial" w:eastAsia="Times New Roman" w:hAnsi="Arial" w:cs="Arial"/>
        </w:rPr>
        <w:t xml:space="preserve">met face-to-face or electronically with the local directors to review program </w:t>
      </w:r>
      <w:r w:rsidR="00DF5B55" w:rsidRPr="00F6398D">
        <w:rPr>
          <w:rFonts w:ascii="Arial" w:eastAsia="Times New Roman" w:hAnsi="Arial" w:cs="Arial"/>
        </w:rPr>
        <w:t xml:space="preserve">data </w:t>
      </w:r>
      <w:r w:rsidR="00D30583" w:rsidRPr="00F6398D">
        <w:rPr>
          <w:rFonts w:ascii="Arial" w:eastAsia="Times New Roman" w:hAnsi="Arial" w:cs="Arial"/>
        </w:rPr>
        <w:t>in the da</w:t>
      </w:r>
      <w:r w:rsidR="00A60443" w:rsidRPr="00F6398D">
        <w:rPr>
          <w:rFonts w:ascii="Arial" w:eastAsia="Times New Roman" w:hAnsi="Arial" w:cs="Arial"/>
        </w:rPr>
        <w:t>ta management system</w:t>
      </w:r>
      <w:r w:rsidR="00967B5D" w:rsidRPr="00F6398D">
        <w:rPr>
          <w:rFonts w:ascii="Arial" w:eastAsia="Times New Roman" w:hAnsi="Arial" w:cs="Arial"/>
        </w:rPr>
        <w:t xml:space="preserve">. </w:t>
      </w:r>
      <w:r w:rsidR="00DF5B55" w:rsidRPr="00F6398D">
        <w:rPr>
          <w:rFonts w:ascii="Arial" w:eastAsia="Times New Roman" w:hAnsi="Arial" w:cs="Arial"/>
        </w:rPr>
        <w:t xml:space="preserve">Information from the Local Program Desk Review and quarterly data monitoring drives the development of the </w:t>
      </w:r>
      <w:r w:rsidR="00DF5B55" w:rsidRPr="006822AA">
        <w:rPr>
          <w:rFonts w:ascii="Arial" w:eastAsia="Times New Roman" w:hAnsi="Arial" w:cs="Arial"/>
          <w:bCs/>
        </w:rPr>
        <w:t>Local Program Improvement Consultation Plan (PICP).</w:t>
      </w:r>
      <w:r w:rsidR="00DF5B55" w:rsidRPr="00F6398D">
        <w:rPr>
          <w:rFonts w:ascii="Arial" w:eastAsia="Times New Roman" w:hAnsi="Arial" w:cs="Arial"/>
        </w:rPr>
        <w:t xml:space="preserve"> </w:t>
      </w:r>
      <w:r w:rsidR="00D30583" w:rsidRPr="00F6398D">
        <w:rPr>
          <w:rFonts w:ascii="Arial" w:eastAsia="Times New Roman" w:hAnsi="Arial" w:cs="Arial"/>
        </w:rPr>
        <w:t xml:space="preserve">100% of the Aspire programs receive quarterly data </w:t>
      </w:r>
      <w:r w:rsidR="00651C19" w:rsidRPr="00F6398D">
        <w:rPr>
          <w:rFonts w:ascii="Arial" w:eastAsia="Times New Roman" w:hAnsi="Arial" w:cs="Arial"/>
        </w:rPr>
        <w:t>check-ins with the state staff</w:t>
      </w:r>
      <w:r w:rsidR="00885E10" w:rsidRPr="00F6398D">
        <w:rPr>
          <w:rFonts w:ascii="Arial" w:eastAsia="Times New Roman" w:hAnsi="Arial" w:cs="Arial"/>
        </w:rPr>
        <w:t xml:space="preserve"> and complete</w:t>
      </w:r>
      <w:r w:rsidR="00FC6903" w:rsidRPr="00F6398D">
        <w:rPr>
          <w:rFonts w:ascii="Arial" w:eastAsia="Times New Roman" w:hAnsi="Arial" w:cs="Arial"/>
        </w:rPr>
        <w:t>d</w:t>
      </w:r>
      <w:r w:rsidR="00885E10" w:rsidRPr="00F6398D">
        <w:rPr>
          <w:rFonts w:ascii="Arial" w:eastAsia="Times New Roman" w:hAnsi="Arial" w:cs="Arial"/>
        </w:rPr>
        <w:t xml:space="preserve"> a PICP</w:t>
      </w:r>
      <w:r w:rsidR="00FC6903" w:rsidRPr="00F6398D">
        <w:rPr>
          <w:rFonts w:ascii="Arial" w:eastAsia="Times New Roman" w:hAnsi="Arial" w:cs="Arial"/>
        </w:rPr>
        <w:t>.</w:t>
      </w:r>
    </w:p>
    <w:p w:rsidR="000E0326" w:rsidRPr="00F6398D" w:rsidRDefault="00DB3D0B" w:rsidP="00E3438A">
      <w:pPr>
        <w:rPr>
          <w:rFonts w:ascii="Arial" w:hAnsi="Arial" w:cs="Arial"/>
        </w:rPr>
      </w:pPr>
      <w:r w:rsidRPr="006822AA">
        <w:rPr>
          <w:rFonts w:ascii="Arial" w:hAnsi="Arial" w:cs="Arial"/>
          <w:bCs/>
        </w:rPr>
        <w:t>O</w:t>
      </w:r>
      <w:r w:rsidR="004626B7" w:rsidRPr="006822AA">
        <w:rPr>
          <w:rFonts w:ascii="Arial" w:hAnsi="Arial" w:cs="Arial"/>
          <w:bCs/>
        </w:rPr>
        <w:t>n-</w:t>
      </w:r>
      <w:r w:rsidRPr="006822AA">
        <w:rPr>
          <w:rFonts w:ascii="Arial" w:hAnsi="Arial" w:cs="Arial"/>
          <w:bCs/>
        </w:rPr>
        <w:t>S</w:t>
      </w:r>
      <w:r w:rsidR="004626B7" w:rsidRPr="006822AA">
        <w:rPr>
          <w:rFonts w:ascii="Arial" w:hAnsi="Arial" w:cs="Arial"/>
          <w:bCs/>
        </w:rPr>
        <w:t xml:space="preserve">ite </w:t>
      </w:r>
      <w:r w:rsidRPr="006822AA">
        <w:rPr>
          <w:rFonts w:ascii="Arial" w:hAnsi="Arial" w:cs="Arial"/>
          <w:bCs/>
        </w:rPr>
        <w:t>R</w:t>
      </w:r>
      <w:r w:rsidR="004626B7" w:rsidRPr="006822AA">
        <w:rPr>
          <w:rFonts w:ascii="Arial" w:hAnsi="Arial" w:cs="Arial"/>
          <w:bCs/>
        </w:rPr>
        <w:t>eview</w:t>
      </w:r>
      <w:r w:rsidR="00DF5B55" w:rsidRPr="006822AA">
        <w:rPr>
          <w:rFonts w:ascii="Arial" w:hAnsi="Arial" w:cs="Arial"/>
          <w:bCs/>
        </w:rPr>
        <w:t>s</w:t>
      </w:r>
      <w:r w:rsidR="00DF5B55" w:rsidRPr="00F6398D">
        <w:rPr>
          <w:rFonts w:ascii="Arial" w:hAnsi="Arial" w:cs="Arial"/>
        </w:rPr>
        <w:t xml:space="preserve"> </w:t>
      </w:r>
      <w:r w:rsidR="00885E10" w:rsidRPr="00F6398D">
        <w:rPr>
          <w:rFonts w:ascii="Arial" w:hAnsi="Arial" w:cs="Arial"/>
        </w:rPr>
        <w:t>a</w:t>
      </w:r>
      <w:r w:rsidR="00DF5B55" w:rsidRPr="00F6398D">
        <w:rPr>
          <w:rFonts w:ascii="Arial" w:hAnsi="Arial" w:cs="Arial"/>
        </w:rPr>
        <w:t xml:space="preserve">re </w:t>
      </w:r>
      <w:r w:rsidR="000E0326" w:rsidRPr="00F6398D">
        <w:rPr>
          <w:rFonts w:ascii="Arial" w:hAnsi="Arial" w:cs="Arial"/>
        </w:rPr>
        <w:t xml:space="preserve">multi-day intensive reviews involving administrators, teachers, and students. </w:t>
      </w:r>
      <w:r w:rsidR="00DF5B55" w:rsidRPr="00F6398D">
        <w:rPr>
          <w:rFonts w:ascii="Arial" w:hAnsi="Arial" w:cs="Arial"/>
        </w:rPr>
        <w:t>T</w:t>
      </w:r>
      <w:r w:rsidR="004626B7" w:rsidRPr="00F6398D">
        <w:rPr>
          <w:rFonts w:ascii="Arial" w:hAnsi="Arial" w:cs="Arial"/>
        </w:rPr>
        <w:t xml:space="preserve">he Local </w:t>
      </w:r>
      <w:r w:rsidR="00D3466A" w:rsidRPr="00F6398D">
        <w:rPr>
          <w:rFonts w:ascii="Arial" w:hAnsi="Arial" w:cs="Arial"/>
        </w:rPr>
        <w:t>A</w:t>
      </w:r>
      <w:r w:rsidR="007E6416" w:rsidRPr="00F6398D">
        <w:rPr>
          <w:rFonts w:ascii="Arial" w:hAnsi="Arial" w:cs="Arial"/>
        </w:rPr>
        <w:t>spire</w:t>
      </w:r>
      <w:r w:rsidR="004626B7" w:rsidRPr="00F6398D">
        <w:rPr>
          <w:rFonts w:ascii="Arial" w:hAnsi="Arial" w:cs="Arial"/>
        </w:rPr>
        <w:t xml:space="preserve"> Program Review </w:t>
      </w:r>
      <w:r w:rsidR="00ED1860" w:rsidRPr="00F6398D">
        <w:rPr>
          <w:rFonts w:ascii="Arial" w:hAnsi="Arial" w:cs="Arial"/>
        </w:rPr>
        <w:t>I</w:t>
      </w:r>
      <w:r w:rsidR="005D3C77" w:rsidRPr="00F6398D">
        <w:rPr>
          <w:rFonts w:ascii="Arial" w:hAnsi="Arial" w:cs="Arial"/>
        </w:rPr>
        <w:t>nstrument consists of three</w:t>
      </w:r>
      <w:r w:rsidR="004626B7" w:rsidRPr="00F6398D">
        <w:rPr>
          <w:rFonts w:ascii="Arial" w:hAnsi="Arial" w:cs="Arial"/>
        </w:rPr>
        <w:t xml:space="preserve"> content areas</w:t>
      </w:r>
      <w:r w:rsidR="00657646" w:rsidRPr="00F6398D">
        <w:rPr>
          <w:rFonts w:ascii="Arial" w:hAnsi="Arial" w:cs="Arial"/>
        </w:rPr>
        <w:t>:</w:t>
      </w:r>
      <w:r w:rsidR="004626B7" w:rsidRPr="00F6398D">
        <w:rPr>
          <w:rFonts w:ascii="Arial" w:hAnsi="Arial" w:cs="Arial"/>
        </w:rPr>
        <w:t xml:space="preserve"> Administration</w:t>
      </w:r>
      <w:r w:rsidR="00657646" w:rsidRPr="00F6398D">
        <w:rPr>
          <w:rFonts w:ascii="Arial" w:hAnsi="Arial" w:cs="Arial"/>
        </w:rPr>
        <w:t>,</w:t>
      </w:r>
      <w:r w:rsidR="004626B7" w:rsidRPr="00F6398D">
        <w:rPr>
          <w:rFonts w:ascii="Arial" w:hAnsi="Arial" w:cs="Arial"/>
        </w:rPr>
        <w:t xml:space="preserve"> Staff Development</w:t>
      </w:r>
      <w:r w:rsidR="00657646" w:rsidRPr="00F6398D">
        <w:rPr>
          <w:rFonts w:ascii="Arial" w:hAnsi="Arial" w:cs="Arial"/>
        </w:rPr>
        <w:t>, a</w:t>
      </w:r>
      <w:r w:rsidR="004626B7" w:rsidRPr="00F6398D">
        <w:rPr>
          <w:rFonts w:ascii="Arial" w:hAnsi="Arial" w:cs="Arial"/>
        </w:rPr>
        <w:t>nd</w:t>
      </w:r>
      <w:r w:rsidR="00DF5B55" w:rsidRPr="00F6398D">
        <w:rPr>
          <w:rFonts w:ascii="Arial" w:hAnsi="Arial" w:cs="Arial"/>
        </w:rPr>
        <w:t xml:space="preserve"> </w:t>
      </w:r>
      <w:r w:rsidR="00ED1860" w:rsidRPr="00F6398D">
        <w:rPr>
          <w:rFonts w:ascii="Arial" w:hAnsi="Arial" w:cs="Arial"/>
        </w:rPr>
        <w:t>S</w:t>
      </w:r>
      <w:r w:rsidR="004626B7" w:rsidRPr="00F6398D">
        <w:rPr>
          <w:rFonts w:ascii="Arial" w:hAnsi="Arial" w:cs="Arial"/>
        </w:rPr>
        <w:t>tudent Experience Model. A final report citing Noteworthy</w:t>
      </w:r>
      <w:r w:rsidR="00CB6712" w:rsidRPr="00F6398D">
        <w:rPr>
          <w:rFonts w:ascii="Arial" w:hAnsi="Arial" w:cs="Arial"/>
        </w:rPr>
        <w:t xml:space="preserve"> </w:t>
      </w:r>
      <w:r w:rsidR="004626B7" w:rsidRPr="00F6398D">
        <w:rPr>
          <w:rFonts w:ascii="Arial" w:hAnsi="Arial" w:cs="Arial"/>
        </w:rPr>
        <w:t>Practices, Findings</w:t>
      </w:r>
      <w:r w:rsidR="009B0231" w:rsidRPr="00F6398D">
        <w:rPr>
          <w:rFonts w:ascii="Arial" w:hAnsi="Arial" w:cs="Arial"/>
        </w:rPr>
        <w:t>,</w:t>
      </w:r>
      <w:r w:rsidR="004626B7" w:rsidRPr="00F6398D">
        <w:rPr>
          <w:rFonts w:ascii="Arial" w:hAnsi="Arial" w:cs="Arial"/>
        </w:rPr>
        <w:t xml:space="preserve"> and Recommendations </w:t>
      </w:r>
      <w:r w:rsidR="00CB6712" w:rsidRPr="00F6398D">
        <w:rPr>
          <w:rFonts w:ascii="Arial" w:hAnsi="Arial" w:cs="Arial"/>
        </w:rPr>
        <w:t>was</w:t>
      </w:r>
      <w:r w:rsidR="004626B7" w:rsidRPr="00F6398D">
        <w:rPr>
          <w:rFonts w:ascii="Arial" w:hAnsi="Arial" w:cs="Arial"/>
        </w:rPr>
        <w:t xml:space="preserve"> sent to the </w:t>
      </w:r>
      <w:r w:rsidR="00FC6903" w:rsidRPr="00F6398D">
        <w:rPr>
          <w:rFonts w:ascii="Arial" w:hAnsi="Arial" w:cs="Arial"/>
        </w:rPr>
        <w:t xml:space="preserve">agency chief administrator </w:t>
      </w:r>
      <w:r w:rsidR="004626B7" w:rsidRPr="00F6398D">
        <w:rPr>
          <w:rFonts w:ascii="Arial" w:hAnsi="Arial" w:cs="Arial"/>
        </w:rPr>
        <w:t>following the</w:t>
      </w:r>
      <w:r w:rsidR="00CB6712" w:rsidRPr="00F6398D">
        <w:rPr>
          <w:rFonts w:ascii="Arial" w:hAnsi="Arial" w:cs="Arial"/>
        </w:rPr>
        <w:t xml:space="preserve"> </w:t>
      </w:r>
      <w:r w:rsidR="004626B7" w:rsidRPr="00F6398D">
        <w:rPr>
          <w:rFonts w:ascii="Arial" w:hAnsi="Arial" w:cs="Arial"/>
        </w:rPr>
        <w:t>review. Any area with a finding</w:t>
      </w:r>
      <w:r w:rsidR="008974A2" w:rsidRPr="00F6398D">
        <w:rPr>
          <w:rFonts w:ascii="Arial" w:hAnsi="Arial" w:cs="Arial"/>
        </w:rPr>
        <w:t xml:space="preserve"> or recommendation </w:t>
      </w:r>
      <w:r w:rsidR="004626B7" w:rsidRPr="00F6398D">
        <w:rPr>
          <w:rFonts w:ascii="Arial" w:hAnsi="Arial" w:cs="Arial"/>
        </w:rPr>
        <w:t>must be responded to with a</w:t>
      </w:r>
      <w:r w:rsidR="00CB6712" w:rsidRPr="00F6398D">
        <w:rPr>
          <w:rFonts w:ascii="Arial" w:hAnsi="Arial" w:cs="Arial"/>
        </w:rPr>
        <w:t xml:space="preserve"> </w:t>
      </w:r>
      <w:r w:rsidR="00657646" w:rsidRPr="00F6398D">
        <w:rPr>
          <w:rFonts w:ascii="Arial" w:hAnsi="Arial" w:cs="Arial"/>
        </w:rPr>
        <w:t xml:space="preserve">corrective action plan. The </w:t>
      </w:r>
      <w:r w:rsidR="00CB6712" w:rsidRPr="00F6398D">
        <w:rPr>
          <w:rFonts w:ascii="Arial" w:hAnsi="Arial" w:cs="Arial"/>
        </w:rPr>
        <w:t xml:space="preserve">corrective actions were examined and then </w:t>
      </w:r>
      <w:r w:rsidR="00657646" w:rsidRPr="00F6398D">
        <w:rPr>
          <w:rFonts w:ascii="Arial" w:hAnsi="Arial" w:cs="Arial"/>
        </w:rPr>
        <w:t xml:space="preserve">verified as completed by the state staff. </w:t>
      </w:r>
      <w:r w:rsidR="00E46D85" w:rsidRPr="00F6398D">
        <w:rPr>
          <w:rFonts w:ascii="Arial" w:hAnsi="Arial" w:cs="Arial"/>
        </w:rPr>
        <w:t>D</w:t>
      </w:r>
      <w:r w:rsidR="004626B7" w:rsidRPr="00F6398D">
        <w:rPr>
          <w:rFonts w:ascii="Arial" w:hAnsi="Arial" w:cs="Arial"/>
        </w:rPr>
        <w:t xml:space="preserve">uring </w:t>
      </w:r>
      <w:r w:rsidR="00967B5D" w:rsidRPr="00F6398D">
        <w:rPr>
          <w:rFonts w:ascii="Arial" w:hAnsi="Arial" w:cs="Arial"/>
        </w:rPr>
        <w:t xml:space="preserve">PY 19, 8 on-site reviews were completed, representing 18% of the programs. The ones scheduled for the fourth quarter were postponed due to COVID. The state office has changed </w:t>
      </w:r>
      <w:r w:rsidR="006822AA">
        <w:rPr>
          <w:rFonts w:ascii="Arial" w:hAnsi="Arial" w:cs="Arial"/>
        </w:rPr>
        <w:t>the</w:t>
      </w:r>
      <w:r w:rsidR="00967B5D" w:rsidRPr="00F6398D">
        <w:rPr>
          <w:rFonts w:ascii="Arial" w:hAnsi="Arial" w:cs="Arial"/>
        </w:rPr>
        <w:t xml:space="preserve"> instrument and procedures to a full online on-site review for the time being. </w:t>
      </w:r>
    </w:p>
    <w:p w:rsidR="00DB3DBE" w:rsidRDefault="00F6398D" w:rsidP="00E3438A">
      <w:pPr>
        <w:rPr>
          <w:rFonts w:ascii="Arial" w:hAnsi="Arial" w:cs="Arial"/>
        </w:rPr>
      </w:pPr>
      <w:r w:rsidRPr="00F6398D">
        <w:rPr>
          <w:rFonts w:ascii="Arial" w:hAnsi="Arial" w:cs="Arial"/>
        </w:rPr>
        <w:t>T</w:t>
      </w:r>
      <w:r w:rsidR="00DB3DBE" w:rsidRPr="00F6398D">
        <w:rPr>
          <w:rFonts w:ascii="Arial" w:hAnsi="Arial" w:cs="Arial"/>
        </w:rPr>
        <w:t>hese tools for monitoring programs help the state staff and PD staff work collaboratively with the local programs to implement strategies for program improvement</w:t>
      </w:r>
      <w:r w:rsidR="00967B5D" w:rsidRPr="00F6398D">
        <w:rPr>
          <w:rFonts w:ascii="Arial" w:hAnsi="Arial" w:cs="Arial"/>
        </w:rPr>
        <w:t xml:space="preserve"> and stay on top of </w:t>
      </w:r>
      <w:r w:rsidRPr="00F6398D">
        <w:rPr>
          <w:rFonts w:ascii="Arial" w:hAnsi="Arial" w:cs="Arial"/>
        </w:rPr>
        <w:t xml:space="preserve">local </w:t>
      </w:r>
      <w:r w:rsidR="00967B5D" w:rsidRPr="00F6398D">
        <w:rPr>
          <w:rFonts w:ascii="Arial" w:hAnsi="Arial" w:cs="Arial"/>
        </w:rPr>
        <w:t xml:space="preserve">performance issues. </w:t>
      </w:r>
    </w:p>
    <w:p w:rsidR="006822AA" w:rsidRDefault="006822AA" w:rsidP="00E3438A">
      <w:pPr>
        <w:rPr>
          <w:rFonts w:ascii="Arial" w:hAnsi="Arial" w:cs="Arial"/>
        </w:rPr>
      </w:pPr>
    </w:p>
    <w:p w:rsidR="006822AA" w:rsidRDefault="006822AA" w:rsidP="00E3438A">
      <w:pPr>
        <w:rPr>
          <w:rFonts w:ascii="Arial" w:hAnsi="Arial" w:cs="Arial"/>
        </w:rPr>
      </w:pPr>
    </w:p>
    <w:p w:rsidR="006822AA" w:rsidRPr="00F6398D" w:rsidRDefault="006822AA" w:rsidP="00E3438A">
      <w:pPr>
        <w:rPr>
          <w:rFonts w:ascii="Arial" w:hAnsi="Arial" w:cs="Arial"/>
        </w:rPr>
      </w:pPr>
    </w:p>
    <w:p w:rsidR="00DC4006" w:rsidRPr="002C1D3E" w:rsidRDefault="00B473AC" w:rsidP="002C1D3E">
      <w:pPr>
        <w:rPr>
          <w:rFonts w:ascii="Arial" w:hAnsi="Arial" w:cs="Arial"/>
          <w:b/>
        </w:rPr>
      </w:pPr>
      <w:r w:rsidRPr="002C1D3E">
        <w:rPr>
          <w:b/>
        </w:rPr>
        <w:lastRenderedPageBreak/>
        <w:t xml:space="preserve"> </w:t>
      </w:r>
      <w:r w:rsidR="00DC4006" w:rsidRPr="002C1D3E">
        <w:rPr>
          <w:rFonts w:ascii="Arial" w:hAnsi="Arial" w:cs="Arial"/>
          <w:b/>
        </w:rPr>
        <w:t xml:space="preserve">3. </w:t>
      </w:r>
      <w:r w:rsidR="00076387" w:rsidRPr="002C1D3E">
        <w:rPr>
          <w:rFonts w:ascii="Arial" w:hAnsi="Arial" w:cs="Arial"/>
          <w:b/>
        </w:rPr>
        <w:tab/>
      </w:r>
      <w:r w:rsidR="00DC4006" w:rsidRPr="002C1D3E">
        <w:rPr>
          <w:rFonts w:ascii="Arial" w:hAnsi="Arial" w:cs="Arial"/>
          <w:b/>
        </w:rPr>
        <w:t>Integration with One-stop Partners</w:t>
      </w:r>
    </w:p>
    <w:p w:rsidR="000E0326" w:rsidRPr="002C1D3E" w:rsidRDefault="00DC4006" w:rsidP="002C1D3E">
      <w:pPr>
        <w:rPr>
          <w:rFonts w:ascii="Arial" w:hAnsi="Arial" w:cs="Arial"/>
        </w:rPr>
      </w:pPr>
      <w:r w:rsidRPr="002C1D3E">
        <w:rPr>
          <w:rFonts w:ascii="Arial" w:hAnsi="Arial" w:cs="Arial"/>
          <w:i/>
          <w:color w:val="548DD4" w:themeColor="text2" w:themeTint="99"/>
        </w:rPr>
        <w:t>Describe how the State eligible agency, as the entity responsible for meeting one-stop</w:t>
      </w:r>
      <w:r w:rsidR="002C1D3E" w:rsidRPr="002C1D3E">
        <w:rPr>
          <w:rFonts w:ascii="Arial" w:hAnsi="Arial" w:cs="Arial"/>
          <w:i/>
          <w:color w:val="548DD4" w:themeColor="text2" w:themeTint="99"/>
        </w:rPr>
        <w:t xml:space="preserve"> </w:t>
      </w:r>
      <w:r w:rsidRPr="002C1D3E">
        <w:rPr>
          <w:rFonts w:ascii="Arial" w:hAnsi="Arial" w:cs="Arial"/>
          <w:i/>
          <w:color w:val="548DD4" w:themeColor="text2" w:themeTint="99"/>
        </w:rPr>
        <w:t>requirements under 34 CFR part 463, subpart J, carries out or delegates its required one-stop</w:t>
      </w:r>
      <w:r w:rsidR="00076387" w:rsidRPr="002C1D3E">
        <w:rPr>
          <w:rFonts w:ascii="Arial" w:hAnsi="Arial" w:cs="Arial"/>
          <w:i/>
          <w:color w:val="548DD4" w:themeColor="text2" w:themeTint="99"/>
        </w:rPr>
        <w:t xml:space="preserve"> </w:t>
      </w:r>
      <w:r w:rsidRPr="002C1D3E">
        <w:rPr>
          <w:rFonts w:ascii="Arial" w:hAnsi="Arial" w:cs="Arial"/>
          <w:i/>
          <w:color w:val="548DD4" w:themeColor="text2" w:themeTint="99"/>
        </w:rPr>
        <w:t>roles to eligible providers. Describe the applic</w:t>
      </w:r>
      <w:r w:rsidR="007E6416" w:rsidRPr="002C1D3E">
        <w:rPr>
          <w:rFonts w:ascii="Arial" w:hAnsi="Arial" w:cs="Arial"/>
          <w:i/>
          <w:color w:val="548DD4" w:themeColor="text2" w:themeTint="99"/>
        </w:rPr>
        <w:t>able</w:t>
      </w:r>
      <w:r w:rsidRPr="002C1D3E">
        <w:rPr>
          <w:rFonts w:ascii="Arial" w:hAnsi="Arial" w:cs="Arial"/>
          <w:i/>
          <w:color w:val="548DD4" w:themeColor="text2" w:themeTint="99"/>
        </w:rPr>
        <w:t xml:space="preserve"> career services that are provided in the </w:t>
      </w:r>
      <w:r w:rsidR="00076387" w:rsidRPr="002C1D3E">
        <w:rPr>
          <w:rFonts w:ascii="Arial" w:hAnsi="Arial" w:cs="Arial"/>
          <w:i/>
          <w:color w:val="548DD4" w:themeColor="text2" w:themeTint="99"/>
        </w:rPr>
        <w:t>one-</w:t>
      </w:r>
      <w:r w:rsidRPr="002C1D3E">
        <w:rPr>
          <w:rFonts w:ascii="Arial" w:hAnsi="Arial" w:cs="Arial"/>
          <w:i/>
          <w:color w:val="548DD4" w:themeColor="text2" w:themeTint="99"/>
        </w:rPr>
        <w:t>stop system. Describe how infrastructure costs are supported through State and local options.</w:t>
      </w:r>
    </w:p>
    <w:p w:rsidR="00164D2E" w:rsidRPr="00DE558B" w:rsidRDefault="00CD4342" w:rsidP="002C1D3E">
      <w:pPr>
        <w:rPr>
          <w:rFonts w:ascii="Arial" w:hAnsi="Arial" w:cs="Arial"/>
        </w:rPr>
      </w:pPr>
      <w:r w:rsidRPr="00DE558B">
        <w:rPr>
          <w:rFonts w:ascii="Arial" w:hAnsi="Arial" w:cs="Arial"/>
        </w:rPr>
        <w:t xml:space="preserve">All </w:t>
      </w:r>
      <w:r w:rsidR="00C526BC" w:rsidRPr="00DE558B">
        <w:rPr>
          <w:rFonts w:ascii="Arial" w:hAnsi="Arial" w:cs="Arial"/>
        </w:rPr>
        <w:t xml:space="preserve">of the Ohio </w:t>
      </w:r>
      <w:r w:rsidR="00714EC8" w:rsidRPr="00DE558B">
        <w:rPr>
          <w:rFonts w:ascii="Arial" w:hAnsi="Arial" w:cs="Arial"/>
        </w:rPr>
        <w:t xml:space="preserve">one-stops, called </w:t>
      </w:r>
      <w:r w:rsidRPr="00DE558B">
        <w:rPr>
          <w:rFonts w:ascii="Arial" w:hAnsi="Arial" w:cs="Arial"/>
        </w:rPr>
        <w:t>OhioMeansJobs Centers</w:t>
      </w:r>
      <w:r w:rsidR="00714EC8" w:rsidRPr="00DE558B">
        <w:rPr>
          <w:rFonts w:ascii="Arial" w:hAnsi="Arial" w:cs="Arial"/>
        </w:rPr>
        <w:t>,</w:t>
      </w:r>
      <w:r w:rsidRPr="00DE558B">
        <w:rPr>
          <w:rFonts w:ascii="Arial" w:hAnsi="Arial" w:cs="Arial"/>
        </w:rPr>
        <w:t xml:space="preserve"> had local </w:t>
      </w:r>
      <w:r w:rsidR="00164D2E" w:rsidRPr="00DE558B">
        <w:rPr>
          <w:rFonts w:ascii="Arial" w:hAnsi="Arial" w:cs="Arial"/>
        </w:rPr>
        <w:t>AEFLA</w:t>
      </w:r>
      <w:r w:rsidR="00BB4CFE" w:rsidRPr="00DE558B">
        <w:rPr>
          <w:rFonts w:ascii="Arial" w:hAnsi="Arial" w:cs="Arial"/>
        </w:rPr>
        <w:t xml:space="preserve"> program services </w:t>
      </w:r>
      <w:r w:rsidRPr="00DE558B">
        <w:rPr>
          <w:rFonts w:ascii="Arial" w:hAnsi="Arial" w:cs="Arial"/>
        </w:rPr>
        <w:t xml:space="preserve">accessible to their customers as part of their </w:t>
      </w:r>
      <w:r w:rsidR="00DD4067" w:rsidRPr="00DE558B">
        <w:rPr>
          <w:rFonts w:ascii="Arial" w:hAnsi="Arial" w:cs="Arial"/>
        </w:rPr>
        <w:t>services menu.</w:t>
      </w:r>
      <w:r w:rsidRPr="00DE558B">
        <w:rPr>
          <w:rFonts w:ascii="Arial" w:hAnsi="Arial" w:cs="Arial"/>
        </w:rPr>
        <w:t xml:space="preserve"> </w:t>
      </w:r>
      <w:r w:rsidR="00CC684E" w:rsidRPr="00DE558B">
        <w:rPr>
          <w:rFonts w:ascii="Arial" w:hAnsi="Arial" w:cs="Arial"/>
        </w:rPr>
        <w:t>Career services that were provided in the one-stop system include</w:t>
      </w:r>
      <w:r w:rsidR="00DD4067" w:rsidRPr="00DE558B">
        <w:rPr>
          <w:rFonts w:ascii="Arial" w:hAnsi="Arial" w:cs="Arial"/>
        </w:rPr>
        <w:t xml:space="preserve"> o</w:t>
      </w:r>
      <w:r w:rsidR="00326E43" w:rsidRPr="00DE558B">
        <w:rPr>
          <w:rFonts w:ascii="Arial" w:hAnsi="Arial" w:cs="Arial"/>
        </w:rPr>
        <w:t>utreach, intake and orientation</w:t>
      </w:r>
      <w:r w:rsidR="000B5698" w:rsidRPr="00DE558B">
        <w:rPr>
          <w:rFonts w:ascii="Arial" w:hAnsi="Arial" w:cs="Arial"/>
        </w:rPr>
        <w:t>, a</w:t>
      </w:r>
      <w:r w:rsidR="00326E43" w:rsidRPr="00DE558B">
        <w:rPr>
          <w:rFonts w:ascii="Arial" w:hAnsi="Arial" w:cs="Arial"/>
        </w:rPr>
        <w:t>ssessment of skill levels</w:t>
      </w:r>
      <w:r w:rsidR="000B5698" w:rsidRPr="00DE558B">
        <w:rPr>
          <w:rFonts w:ascii="Arial" w:hAnsi="Arial" w:cs="Arial"/>
        </w:rPr>
        <w:t>, r</w:t>
      </w:r>
      <w:r w:rsidR="00326E43" w:rsidRPr="00DE558B">
        <w:rPr>
          <w:rFonts w:ascii="Arial" w:hAnsi="Arial" w:cs="Arial"/>
        </w:rPr>
        <w:t>eferrals</w:t>
      </w:r>
      <w:r w:rsidR="000B5698" w:rsidRPr="00DE558B">
        <w:rPr>
          <w:rFonts w:ascii="Arial" w:hAnsi="Arial" w:cs="Arial"/>
        </w:rPr>
        <w:t>, p</w:t>
      </w:r>
      <w:r w:rsidR="00326E43" w:rsidRPr="00DE558B">
        <w:rPr>
          <w:rFonts w:ascii="Arial" w:hAnsi="Arial" w:cs="Arial"/>
        </w:rPr>
        <w:t>rovider performance and program cost information</w:t>
      </w:r>
      <w:r w:rsidR="000B5698" w:rsidRPr="00DE558B">
        <w:rPr>
          <w:rFonts w:ascii="Arial" w:hAnsi="Arial" w:cs="Arial"/>
        </w:rPr>
        <w:t>, and s</w:t>
      </w:r>
      <w:r w:rsidR="00326E43" w:rsidRPr="00DE558B">
        <w:rPr>
          <w:rFonts w:ascii="Arial" w:hAnsi="Arial" w:cs="Arial"/>
        </w:rPr>
        <w:t>upportive services information</w:t>
      </w:r>
      <w:r w:rsidR="000B5698" w:rsidRPr="00DE558B">
        <w:rPr>
          <w:rFonts w:ascii="Arial" w:hAnsi="Arial" w:cs="Arial"/>
        </w:rPr>
        <w:t xml:space="preserve">. </w:t>
      </w:r>
    </w:p>
    <w:p w:rsidR="00164D2E" w:rsidRPr="00DE558B" w:rsidRDefault="00164D2E" w:rsidP="002C1D3E">
      <w:pPr>
        <w:rPr>
          <w:rFonts w:ascii="Arial" w:hAnsi="Arial" w:cs="Arial"/>
        </w:rPr>
      </w:pPr>
      <w:r w:rsidRPr="00DE558B">
        <w:rPr>
          <w:rFonts w:ascii="Arial" w:hAnsi="Arial" w:cs="Arial"/>
        </w:rPr>
        <w:t>T</w:t>
      </w:r>
      <w:r w:rsidR="000B5698" w:rsidRPr="00DE558B">
        <w:rPr>
          <w:rFonts w:ascii="Arial" w:hAnsi="Arial" w:cs="Arial"/>
        </w:rPr>
        <w:t xml:space="preserve">he Aspire programs enter into an MOU on the operation of the one-stop where WIOA partners’ roles and responsibilities are identified and cost contributions negotiated. The state AEFLA director did have to step in a few times in PY 19 to assist local AEFLA providers having difficulty negotiating reasonable IFAs. With assistance from the state DOL, we were able to </w:t>
      </w:r>
      <w:r w:rsidR="00856D6E" w:rsidRPr="00DE558B">
        <w:rPr>
          <w:rFonts w:ascii="Arial" w:hAnsi="Arial" w:cs="Arial"/>
        </w:rPr>
        <w:t xml:space="preserve">provide data and come to reasonable cost agreements, as standard funding formulas set by some </w:t>
      </w:r>
      <w:r w:rsidRPr="00DE558B">
        <w:rPr>
          <w:rFonts w:ascii="Arial" w:hAnsi="Arial" w:cs="Arial"/>
        </w:rPr>
        <w:t xml:space="preserve">of the </w:t>
      </w:r>
      <w:r w:rsidR="00856D6E" w:rsidRPr="00DE558B">
        <w:rPr>
          <w:rFonts w:ascii="Arial" w:hAnsi="Arial" w:cs="Arial"/>
        </w:rPr>
        <w:t xml:space="preserve">one-stops are not always fair nor “negotiated.” </w:t>
      </w:r>
    </w:p>
    <w:p w:rsidR="00164D2E" w:rsidRPr="00DE558B" w:rsidRDefault="00164D2E" w:rsidP="002C1D3E">
      <w:pPr>
        <w:rPr>
          <w:rFonts w:ascii="Arial" w:hAnsi="Arial" w:cs="Arial"/>
        </w:rPr>
      </w:pPr>
      <w:r w:rsidRPr="00DE558B">
        <w:rPr>
          <w:rFonts w:ascii="Arial" w:hAnsi="Arial" w:cs="Arial"/>
        </w:rPr>
        <w:t xml:space="preserve">Twenty of the 47 AEFLA providers were co-located at the OhioMeansJobs centers. </w:t>
      </w:r>
      <w:r w:rsidR="00DD4067" w:rsidRPr="00DE558B">
        <w:rPr>
          <w:rFonts w:ascii="Arial" w:hAnsi="Arial" w:cs="Arial"/>
        </w:rPr>
        <w:t>Due to the pandemic, o</w:t>
      </w:r>
      <w:r w:rsidRPr="00DE558B">
        <w:rPr>
          <w:rFonts w:ascii="Arial" w:hAnsi="Arial" w:cs="Arial"/>
        </w:rPr>
        <w:t xml:space="preserve">ver half of the Ohio one-stops continue to operate only remotely. The few that are open and allowing in-person Aspire classes have reduced class capacity. </w:t>
      </w:r>
      <w:r w:rsidR="00DD4067" w:rsidRPr="00DE558B">
        <w:rPr>
          <w:rFonts w:ascii="Arial" w:hAnsi="Arial" w:cs="Arial"/>
        </w:rPr>
        <w:t>Referrals are down significantly. Aspire provides assessments, when possible, either in-person or remotely.</w:t>
      </w:r>
    </w:p>
    <w:p w:rsidR="004B606E" w:rsidRPr="00DE558B" w:rsidRDefault="005D3C77" w:rsidP="002C1D3E">
      <w:pPr>
        <w:rPr>
          <w:rFonts w:ascii="Arial" w:hAnsi="Arial" w:cs="Arial"/>
        </w:rPr>
      </w:pPr>
      <w:r w:rsidRPr="00DE558B">
        <w:rPr>
          <w:rFonts w:ascii="Arial" w:hAnsi="Arial" w:cs="Arial"/>
        </w:rPr>
        <w:t xml:space="preserve">In PY </w:t>
      </w:r>
      <w:r w:rsidR="00A16FD2" w:rsidRPr="00DE558B">
        <w:rPr>
          <w:rFonts w:ascii="Arial" w:hAnsi="Arial" w:cs="Arial"/>
        </w:rPr>
        <w:t>19</w:t>
      </w:r>
      <w:r w:rsidRPr="00DE558B">
        <w:rPr>
          <w:rFonts w:ascii="Arial" w:hAnsi="Arial" w:cs="Arial"/>
        </w:rPr>
        <w:t xml:space="preserve">, </w:t>
      </w:r>
      <w:r w:rsidR="005504B3" w:rsidRPr="00DE558B">
        <w:rPr>
          <w:rFonts w:ascii="Arial" w:hAnsi="Arial" w:cs="Arial"/>
        </w:rPr>
        <w:t xml:space="preserve">26 </w:t>
      </w:r>
      <w:r w:rsidR="00646474" w:rsidRPr="00DE558B">
        <w:rPr>
          <w:rFonts w:ascii="Arial" w:hAnsi="Arial" w:cs="Arial"/>
        </w:rPr>
        <w:t>of the 47 AEFLA pro</w:t>
      </w:r>
      <w:r w:rsidR="004947BA" w:rsidRPr="00DE558B">
        <w:rPr>
          <w:rFonts w:ascii="Arial" w:hAnsi="Arial" w:cs="Arial"/>
        </w:rPr>
        <w:t xml:space="preserve">grams paid cash contributions </w:t>
      </w:r>
      <w:r w:rsidR="008842D5" w:rsidRPr="00DE558B">
        <w:rPr>
          <w:rFonts w:ascii="Arial" w:hAnsi="Arial" w:cs="Arial"/>
        </w:rPr>
        <w:t>totaling</w:t>
      </w:r>
      <w:r w:rsidR="00F83D15" w:rsidRPr="00DE558B">
        <w:rPr>
          <w:rFonts w:ascii="Arial" w:hAnsi="Arial" w:cs="Arial"/>
        </w:rPr>
        <w:t xml:space="preserve"> </w:t>
      </w:r>
      <w:r w:rsidR="009A0EB1" w:rsidRPr="00DE558B">
        <w:rPr>
          <w:rFonts w:ascii="Arial" w:eastAsia="Times New Roman" w:hAnsi="Arial" w:cs="Arial"/>
        </w:rPr>
        <w:t>$</w:t>
      </w:r>
      <w:r w:rsidR="002F4130" w:rsidRPr="00DE558B">
        <w:rPr>
          <w:rFonts w:ascii="Arial" w:eastAsia="Times New Roman" w:hAnsi="Arial" w:cs="Arial"/>
        </w:rPr>
        <w:t>1</w:t>
      </w:r>
      <w:r w:rsidR="00646474" w:rsidRPr="00DE558B">
        <w:rPr>
          <w:rFonts w:ascii="Arial" w:eastAsia="Times New Roman" w:hAnsi="Arial" w:cs="Arial"/>
        </w:rPr>
        <w:t xml:space="preserve">27,412 </w:t>
      </w:r>
      <w:r w:rsidR="004947BA" w:rsidRPr="00DE558B">
        <w:rPr>
          <w:rFonts w:ascii="Arial" w:hAnsi="Arial" w:cs="Arial"/>
        </w:rPr>
        <w:t xml:space="preserve">to support </w:t>
      </w:r>
      <w:r w:rsidR="005762A9" w:rsidRPr="00DE558B">
        <w:rPr>
          <w:rFonts w:ascii="Arial" w:hAnsi="Arial" w:cs="Arial"/>
        </w:rPr>
        <w:t>the OhioMeansJobs Centers</w:t>
      </w:r>
      <w:r w:rsidR="000E0326" w:rsidRPr="00DE558B">
        <w:rPr>
          <w:rFonts w:ascii="Arial" w:hAnsi="Arial" w:cs="Arial"/>
        </w:rPr>
        <w:t>’</w:t>
      </w:r>
      <w:r w:rsidR="004947BA" w:rsidRPr="00DE558B">
        <w:rPr>
          <w:rFonts w:ascii="Arial" w:hAnsi="Arial" w:cs="Arial"/>
        </w:rPr>
        <w:t xml:space="preserve"> </w:t>
      </w:r>
      <w:r w:rsidR="002F1DAE" w:rsidRPr="00DE558B">
        <w:rPr>
          <w:rFonts w:ascii="Arial" w:hAnsi="Arial" w:cs="Arial"/>
        </w:rPr>
        <w:t>infrastructure</w:t>
      </w:r>
      <w:r w:rsidR="004947BA" w:rsidRPr="00DE558B">
        <w:rPr>
          <w:rFonts w:ascii="Arial" w:hAnsi="Arial" w:cs="Arial"/>
        </w:rPr>
        <w:t xml:space="preserve"> costs</w:t>
      </w:r>
      <w:r w:rsidR="00DE558B">
        <w:rPr>
          <w:rFonts w:ascii="Arial" w:hAnsi="Arial" w:cs="Arial"/>
        </w:rPr>
        <w:t xml:space="preserve">, an increase of $24,484 from the previous year. </w:t>
      </w:r>
      <w:r w:rsidR="00233E0E" w:rsidRPr="00DE558B">
        <w:rPr>
          <w:rFonts w:ascii="Arial" w:hAnsi="Arial" w:cs="Arial"/>
        </w:rPr>
        <w:tab/>
      </w:r>
    </w:p>
    <w:p w:rsidR="00DB3DBE" w:rsidRDefault="00DB3DBE" w:rsidP="00DC4006">
      <w:pPr>
        <w:autoSpaceDE w:val="0"/>
        <w:autoSpaceDN w:val="0"/>
        <w:adjustRightInd w:val="0"/>
        <w:spacing w:after="0" w:line="240" w:lineRule="auto"/>
        <w:rPr>
          <w:rFonts w:ascii="Arial" w:hAnsi="Arial" w:cs="Arial"/>
          <w:b/>
          <w:bCs/>
        </w:rPr>
      </w:pPr>
    </w:p>
    <w:p w:rsidR="00DC4006" w:rsidRPr="00233E0E" w:rsidRDefault="00DC4006" w:rsidP="00DC4006">
      <w:pPr>
        <w:autoSpaceDE w:val="0"/>
        <w:autoSpaceDN w:val="0"/>
        <w:adjustRightInd w:val="0"/>
        <w:spacing w:after="0" w:line="240" w:lineRule="auto"/>
        <w:rPr>
          <w:rFonts w:ascii="Arial" w:hAnsi="Arial" w:cs="Arial"/>
        </w:rPr>
      </w:pPr>
      <w:r w:rsidRPr="004B606E">
        <w:rPr>
          <w:rFonts w:ascii="Arial" w:hAnsi="Arial" w:cs="Arial"/>
          <w:b/>
          <w:bCs/>
        </w:rPr>
        <w:t xml:space="preserve">4. </w:t>
      </w:r>
      <w:r w:rsidR="004B606E">
        <w:rPr>
          <w:rFonts w:ascii="Arial" w:hAnsi="Arial" w:cs="Arial"/>
          <w:b/>
          <w:bCs/>
        </w:rPr>
        <w:tab/>
      </w:r>
      <w:r w:rsidRPr="00233E0E">
        <w:rPr>
          <w:rFonts w:ascii="Arial" w:hAnsi="Arial" w:cs="Arial"/>
          <w:b/>
          <w:bCs/>
        </w:rPr>
        <w:t xml:space="preserve">Integrated English Literacy and Civics Education (IELCE) Program </w:t>
      </w:r>
      <w:r w:rsidRPr="00233E0E">
        <w:rPr>
          <w:rFonts w:ascii="Arial" w:hAnsi="Arial" w:cs="Arial"/>
        </w:rPr>
        <w:t>(AEFLA Section</w:t>
      </w:r>
      <w:r w:rsidR="00233E0E">
        <w:rPr>
          <w:rFonts w:ascii="Arial" w:hAnsi="Arial" w:cs="Arial"/>
        </w:rPr>
        <w:t xml:space="preserve"> </w:t>
      </w:r>
      <w:r w:rsidRPr="00233E0E">
        <w:rPr>
          <w:rFonts w:ascii="Arial" w:hAnsi="Arial" w:cs="Arial"/>
        </w:rPr>
        <w:t>243)</w:t>
      </w:r>
    </w:p>
    <w:p w:rsidR="00714EC8" w:rsidRDefault="00233E0E" w:rsidP="00DC4006">
      <w:pPr>
        <w:autoSpaceDE w:val="0"/>
        <w:autoSpaceDN w:val="0"/>
        <w:adjustRightInd w:val="0"/>
        <w:spacing w:after="0" w:line="240" w:lineRule="auto"/>
        <w:rPr>
          <w:rFonts w:ascii="Arial" w:hAnsi="Arial" w:cs="Arial"/>
        </w:rPr>
      </w:pPr>
      <w:r>
        <w:rPr>
          <w:rFonts w:ascii="Arial" w:hAnsi="Arial" w:cs="Arial"/>
        </w:rPr>
        <w:tab/>
      </w:r>
    </w:p>
    <w:p w:rsidR="00DC4006" w:rsidRPr="002C1D3E" w:rsidRDefault="00DC4006" w:rsidP="002C1D3E">
      <w:pPr>
        <w:shd w:val="clear" w:color="auto" w:fill="FFFFFF" w:themeFill="background1"/>
        <w:rPr>
          <w:rFonts w:ascii="Arial" w:hAnsi="Arial" w:cs="Arial"/>
          <w:i/>
          <w:color w:val="548DD4" w:themeColor="text2" w:themeTint="99"/>
        </w:rPr>
      </w:pPr>
      <w:r w:rsidRPr="002C1D3E">
        <w:rPr>
          <w:rFonts w:ascii="Arial" w:hAnsi="Arial" w:cs="Arial"/>
          <w:i/>
          <w:color w:val="548DD4" w:themeColor="text2" w:themeTint="99"/>
        </w:rPr>
        <w:t>Describe when your State held a competition [the latest competition] for IELCE program funds and the number of grants awarded by your State to support IELCE programs.</w:t>
      </w:r>
    </w:p>
    <w:p w:rsidR="00CD4342" w:rsidRPr="00936F6B" w:rsidRDefault="00826F55" w:rsidP="002C1D3E">
      <w:pPr>
        <w:rPr>
          <w:rFonts w:ascii="Arial" w:hAnsi="Arial" w:cs="Arial"/>
        </w:rPr>
      </w:pPr>
      <w:r w:rsidRPr="00936F6B">
        <w:rPr>
          <w:rFonts w:ascii="Arial" w:hAnsi="Arial" w:cs="Arial"/>
        </w:rPr>
        <w:t xml:space="preserve">The </w:t>
      </w:r>
      <w:r w:rsidR="00FE65CB" w:rsidRPr="00936F6B">
        <w:rPr>
          <w:rFonts w:ascii="Arial" w:hAnsi="Arial" w:cs="Arial"/>
        </w:rPr>
        <w:t xml:space="preserve">Ohio </w:t>
      </w:r>
      <w:r w:rsidRPr="00936F6B">
        <w:rPr>
          <w:rFonts w:ascii="Arial" w:hAnsi="Arial" w:cs="Arial"/>
        </w:rPr>
        <w:t xml:space="preserve">Department of </w:t>
      </w:r>
      <w:r w:rsidR="00FE65CB" w:rsidRPr="00936F6B">
        <w:rPr>
          <w:rFonts w:ascii="Arial" w:hAnsi="Arial" w:cs="Arial"/>
        </w:rPr>
        <w:t>Higher Ed</w:t>
      </w:r>
      <w:r w:rsidRPr="00936F6B">
        <w:rPr>
          <w:rFonts w:ascii="Arial" w:hAnsi="Arial" w:cs="Arial"/>
        </w:rPr>
        <w:t>ucation</w:t>
      </w:r>
      <w:r w:rsidR="00FE65CB" w:rsidRPr="00936F6B">
        <w:rPr>
          <w:rFonts w:ascii="Arial" w:hAnsi="Arial" w:cs="Arial"/>
        </w:rPr>
        <w:t xml:space="preserve"> held a competition for WIOA Title II funds in PY 2017. </w:t>
      </w:r>
      <w:r w:rsidR="003A0B5F" w:rsidRPr="00936F6B">
        <w:rPr>
          <w:rFonts w:ascii="Arial" w:hAnsi="Arial" w:cs="Arial"/>
        </w:rPr>
        <w:t>Providers awarded 2</w:t>
      </w:r>
      <w:r w:rsidR="00DE558B" w:rsidRPr="00936F6B">
        <w:rPr>
          <w:rFonts w:ascii="Arial" w:hAnsi="Arial" w:cs="Arial"/>
        </w:rPr>
        <w:t>22</w:t>
      </w:r>
      <w:r w:rsidR="003A0B5F" w:rsidRPr="00936F6B">
        <w:rPr>
          <w:rFonts w:ascii="Arial" w:hAnsi="Arial" w:cs="Arial"/>
        </w:rPr>
        <w:t xml:space="preserve"> funds could also apply for 243 funds</w:t>
      </w:r>
      <w:r w:rsidR="00E9123D" w:rsidRPr="00936F6B">
        <w:rPr>
          <w:rFonts w:ascii="Arial" w:hAnsi="Arial" w:cs="Arial"/>
        </w:rPr>
        <w:t xml:space="preserve">; </w:t>
      </w:r>
      <w:r w:rsidR="003A0B5F" w:rsidRPr="00936F6B">
        <w:rPr>
          <w:rFonts w:ascii="Arial" w:hAnsi="Arial" w:cs="Arial"/>
        </w:rPr>
        <w:t xml:space="preserve">the IELCE funds were not a separate competition. </w:t>
      </w:r>
      <w:r w:rsidR="00DD4067" w:rsidRPr="00936F6B">
        <w:rPr>
          <w:rFonts w:ascii="Arial" w:hAnsi="Arial" w:cs="Arial"/>
        </w:rPr>
        <w:t>Ohio AEFLA received technical assistance from OCTAE in PY 19 where we learned we had not done the competitive process correctly. The next competition for IELCE funds is PY 21</w:t>
      </w:r>
      <w:r w:rsidR="00DE558B" w:rsidRPr="00936F6B">
        <w:rPr>
          <w:rFonts w:ascii="Arial" w:hAnsi="Arial" w:cs="Arial"/>
        </w:rPr>
        <w:t xml:space="preserve"> and will be a 3-year grant. </w:t>
      </w:r>
    </w:p>
    <w:p w:rsidR="00DC4006" w:rsidRPr="002C1D3E" w:rsidRDefault="00DC4006" w:rsidP="002C1D3E">
      <w:pPr>
        <w:rPr>
          <w:rFonts w:ascii="Arial" w:hAnsi="Arial" w:cs="Arial"/>
          <w:i/>
          <w:color w:val="548DD4" w:themeColor="text2" w:themeTint="99"/>
        </w:rPr>
      </w:pPr>
      <w:r w:rsidRPr="002C1D3E">
        <w:rPr>
          <w:rFonts w:ascii="Arial" w:hAnsi="Arial" w:cs="Arial"/>
          <w:i/>
          <w:color w:val="548DD4" w:themeColor="text2" w:themeTint="99"/>
        </w:rPr>
        <w:t>Describe your State efforts in meeting the requirement to provide IELCE services in</w:t>
      </w:r>
      <w:r w:rsidR="004B606E" w:rsidRPr="002C1D3E">
        <w:rPr>
          <w:rFonts w:ascii="Arial" w:hAnsi="Arial" w:cs="Arial"/>
          <w:i/>
          <w:color w:val="548DD4" w:themeColor="text2" w:themeTint="99"/>
        </w:rPr>
        <w:t xml:space="preserve"> </w:t>
      </w:r>
      <w:r w:rsidRPr="002C1D3E">
        <w:rPr>
          <w:rFonts w:ascii="Arial" w:hAnsi="Arial" w:cs="Arial"/>
          <w:i/>
          <w:color w:val="548DD4" w:themeColor="text2" w:themeTint="99"/>
        </w:rPr>
        <w:t>combination with integrated education and training activities;</w:t>
      </w:r>
    </w:p>
    <w:p w:rsidR="007B352F" w:rsidRPr="00936F6B" w:rsidRDefault="001A4769" w:rsidP="002C1D3E">
      <w:pPr>
        <w:rPr>
          <w:rFonts w:ascii="Arial" w:hAnsi="Arial" w:cs="Arial"/>
        </w:rPr>
      </w:pPr>
      <w:r w:rsidRPr="00936F6B">
        <w:rPr>
          <w:rFonts w:ascii="Arial" w:hAnsi="Arial" w:cs="Arial"/>
        </w:rPr>
        <w:t xml:space="preserve">The technical assistance we received from OCTAE </w:t>
      </w:r>
      <w:r w:rsidR="00743EC6" w:rsidRPr="00936F6B">
        <w:rPr>
          <w:rFonts w:ascii="Arial" w:hAnsi="Arial" w:cs="Arial"/>
        </w:rPr>
        <w:t xml:space="preserve">in PY 19 </w:t>
      </w:r>
      <w:r w:rsidRPr="00936F6B">
        <w:rPr>
          <w:rFonts w:ascii="Arial" w:hAnsi="Arial" w:cs="Arial"/>
        </w:rPr>
        <w:t xml:space="preserve">was the </w:t>
      </w:r>
      <w:r w:rsidR="00743EC6" w:rsidRPr="00936F6B">
        <w:rPr>
          <w:rFonts w:ascii="Arial" w:hAnsi="Arial" w:cs="Arial"/>
        </w:rPr>
        <w:t xml:space="preserve">impetus for change that we needed in Ohio. </w:t>
      </w:r>
      <w:r w:rsidRPr="00936F6B">
        <w:rPr>
          <w:rFonts w:ascii="Arial" w:hAnsi="Arial" w:cs="Arial"/>
        </w:rPr>
        <w:t xml:space="preserve">Ohio Aspire </w:t>
      </w:r>
      <w:r w:rsidR="00E9123D" w:rsidRPr="00936F6B">
        <w:rPr>
          <w:rFonts w:ascii="Arial" w:hAnsi="Arial" w:cs="Arial"/>
        </w:rPr>
        <w:t>had difficulty</w:t>
      </w:r>
      <w:r w:rsidRPr="00936F6B">
        <w:rPr>
          <w:rFonts w:ascii="Arial" w:hAnsi="Arial" w:cs="Arial"/>
        </w:rPr>
        <w:t xml:space="preserve"> allocating the $1 million we receive annually for these important services. We incorrectly thought each student had to be receiving all components </w:t>
      </w:r>
      <w:r w:rsidR="00743EC6" w:rsidRPr="00936F6B">
        <w:rPr>
          <w:rFonts w:ascii="Arial" w:hAnsi="Arial" w:cs="Arial"/>
        </w:rPr>
        <w:t>of</w:t>
      </w:r>
      <w:r w:rsidRPr="00936F6B">
        <w:rPr>
          <w:rFonts w:ascii="Arial" w:hAnsi="Arial" w:cs="Arial"/>
        </w:rPr>
        <w:t xml:space="preserve"> an IELCE, including being enrolled in an IET. Once we learned that an IET had to be available to students, not that they must be participating in it, we quickly changed course in spring 2020 </w:t>
      </w:r>
      <w:r w:rsidR="00743EC6" w:rsidRPr="00936F6B">
        <w:rPr>
          <w:rFonts w:ascii="Arial" w:hAnsi="Arial" w:cs="Arial"/>
        </w:rPr>
        <w:t>updating</w:t>
      </w:r>
      <w:r w:rsidRPr="00936F6B">
        <w:rPr>
          <w:rFonts w:ascii="Arial" w:hAnsi="Arial" w:cs="Arial"/>
        </w:rPr>
        <w:t xml:space="preserve"> IELCE policies and notifying the field. I</w:t>
      </w:r>
      <w:r w:rsidR="00743EC6" w:rsidRPr="00936F6B">
        <w:rPr>
          <w:rFonts w:ascii="Arial" w:hAnsi="Arial" w:cs="Arial"/>
        </w:rPr>
        <w:t>n</w:t>
      </w:r>
      <w:r w:rsidRPr="00936F6B">
        <w:rPr>
          <w:rFonts w:ascii="Arial" w:hAnsi="Arial" w:cs="Arial"/>
        </w:rPr>
        <w:t xml:space="preserve"> PY 19, Ohio Aspire went from 6 of the 30 ESL providers </w:t>
      </w:r>
      <w:r w:rsidRPr="00936F6B">
        <w:rPr>
          <w:rFonts w:ascii="Arial" w:hAnsi="Arial" w:cs="Arial"/>
        </w:rPr>
        <w:lastRenderedPageBreak/>
        <w:t xml:space="preserve">offering an IELCE program </w:t>
      </w:r>
      <w:r w:rsidR="00743EC6" w:rsidRPr="00936F6B">
        <w:rPr>
          <w:rFonts w:ascii="Arial" w:hAnsi="Arial" w:cs="Arial"/>
        </w:rPr>
        <w:t>and</w:t>
      </w:r>
      <w:r w:rsidRPr="00936F6B">
        <w:rPr>
          <w:rFonts w:ascii="Arial" w:hAnsi="Arial" w:cs="Arial"/>
        </w:rPr>
        <w:t xml:space="preserve"> allocating $300,000 to 13 providers and allocating over $900,000 within a few short months. Several of the new </w:t>
      </w:r>
      <w:r w:rsidR="00743EC6" w:rsidRPr="00936F6B">
        <w:rPr>
          <w:rFonts w:ascii="Arial" w:hAnsi="Arial" w:cs="Arial"/>
        </w:rPr>
        <w:t>providers</w:t>
      </w:r>
      <w:r w:rsidRPr="00936F6B">
        <w:rPr>
          <w:rFonts w:ascii="Arial" w:hAnsi="Arial" w:cs="Arial"/>
        </w:rPr>
        <w:t xml:space="preserve"> had ABE IETS that ESL students could parta</w:t>
      </w:r>
      <w:r w:rsidR="00743EC6" w:rsidRPr="00936F6B">
        <w:rPr>
          <w:rFonts w:ascii="Arial" w:hAnsi="Arial" w:cs="Arial"/>
        </w:rPr>
        <w:t>ke in</w:t>
      </w:r>
      <w:r w:rsidR="00E9123D" w:rsidRPr="00936F6B">
        <w:rPr>
          <w:rFonts w:ascii="Arial" w:hAnsi="Arial" w:cs="Arial"/>
        </w:rPr>
        <w:t xml:space="preserve">, </w:t>
      </w:r>
      <w:r w:rsidR="00743EC6" w:rsidRPr="00936F6B">
        <w:rPr>
          <w:rFonts w:ascii="Arial" w:hAnsi="Arial" w:cs="Arial"/>
        </w:rPr>
        <w:t xml:space="preserve">and providers without an IET were awarded funds if they promoted for referral the IETs offered in contiguous counties. </w:t>
      </w:r>
    </w:p>
    <w:p w:rsidR="001A4769" w:rsidRPr="00936F6B" w:rsidRDefault="007B352F" w:rsidP="002C1D3E">
      <w:pPr>
        <w:rPr>
          <w:rFonts w:ascii="Arial" w:hAnsi="Arial" w:cs="Arial"/>
        </w:rPr>
      </w:pPr>
      <w:r w:rsidRPr="00936F6B">
        <w:rPr>
          <w:rFonts w:ascii="Arial" w:hAnsi="Arial" w:cs="Arial"/>
        </w:rPr>
        <w:t>Ohio Aspire made significant progress in the spring of 2020 educating the field, updating our polic</w:t>
      </w:r>
      <w:r w:rsidR="00E9123D" w:rsidRPr="00936F6B">
        <w:rPr>
          <w:rFonts w:ascii="Arial" w:hAnsi="Arial" w:cs="Arial"/>
        </w:rPr>
        <w:t>i</w:t>
      </w:r>
      <w:r w:rsidRPr="00936F6B">
        <w:rPr>
          <w:rFonts w:ascii="Arial" w:hAnsi="Arial" w:cs="Arial"/>
        </w:rPr>
        <w:t>es, and allocating funds. A month later</w:t>
      </w:r>
      <w:r w:rsidR="00E9123D" w:rsidRPr="00936F6B">
        <w:rPr>
          <w:rFonts w:ascii="Arial" w:hAnsi="Arial" w:cs="Arial"/>
        </w:rPr>
        <w:t>,</w:t>
      </w:r>
      <w:r w:rsidRPr="00936F6B">
        <w:rPr>
          <w:rFonts w:ascii="Arial" w:hAnsi="Arial" w:cs="Arial"/>
        </w:rPr>
        <w:t xml:space="preserve"> the pandemic closed everything. Some programs were successful </w:t>
      </w:r>
      <w:r w:rsidR="00E9123D" w:rsidRPr="00936F6B">
        <w:rPr>
          <w:rFonts w:ascii="Arial" w:hAnsi="Arial" w:cs="Arial"/>
        </w:rPr>
        <w:t xml:space="preserve">in </w:t>
      </w:r>
      <w:r w:rsidRPr="00936F6B">
        <w:rPr>
          <w:rFonts w:ascii="Arial" w:hAnsi="Arial" w:cs="Arial"/>
        </w:rPr>
        <w:t>moving to online IETs</w:t>
      </w:r>
      <w:r w:rsidR="00E9123D" w:rsidRPr="00936F6B">
        <w:rPr>
          <w:rFonts w:ascii="Arial" w:hAnsi="Arial" w:cs="Arial"/>
        </w:rPr>
        <w:t>,</w:t>
      </w:r>
      <w:r w:rsidRPr="00936F6B">
        <w:rPr>
          <w:rFonts w:ascii="Arial" w:hAnsi="Arial" w:cs="Arial"/>
        </w:rPr>
        <w:t xml:space="preserve"> and others were not. </w:t>
      </w:r>
      <w:r w:rsidR="00743EC6" w:rsidRPr="00936F6B">
        <w:rPr>
          <w:rFonts w:ascii="Arial" w:hAnsi="Arial" w:cs="Arial"/>
        </w:rPr>
        <w:t xml:space="preserve">For PY 20 </w:t>
      </w:r>
      <w:r w:rsidR="00E03B38" w:rsidRPr="00936F6B">
        <w:rPr>
          <w:rFonts w:ascii="Arial" w:hAnsi="Arial" w:cs="Arial"/>
        </w:rPr>
        <w:t xml:space="preserve">and moving forward, we only allocate </w:t>
      </w:r>
      <w:r w:rsidR="00743EC6" w:rsidRPr="00936F6B">
        <w:rPr>
          <w:rFonts w:ascii="Arial" w:hAnsi="Arial" w:cs="Arial"/>
        </w:rPr>
        <w:t>IELCE funds if the program has a</w:t>
      </w:r>
      <w:r w:rsidR="00E03B38" w:rsidRPr="00936F6B">
        <w:rPr>
          <w:rFonts w:ascii="Arial" w:hAnsi="Arial" w:cs="Arial"/>
        </w:rPr>
        <w:t xml:space="preserve">t least one </w:t>
      </w:r>
      <w:r w:rsidR="00743EC6" w:rsidRPr="00936F6B">
        <w:rPr>
          <w:rFonts w:ascii="Arial" w:hAnsi="Arial" w:cs="Arial"/>
        </w:rPr>
        <w:t>IET</w:t>
      </w:r>
      <w:r w:rsidR="00E03B38" w:rsidRPr="00936F6B">
        <w:rPr>
          <w:rFonts w:ascii="Arial" w:hAnsi="Arial" w:cs="Arial"/>
        </w:rPr>
        <w:t xml:space="preserve">, approved using the OCTAE IET Checklist. This learning lesson about the IELCE grant and the expanded services for all ESL students has prompted more programs to offer IETs. In PY </w:t>
      </w:r>
      <w:r w:rsidRPr="00936F6B">
        <w:rPr>
          <w:rFonts w:ascii="Arial" w:hAnsi="Arial" w:cs="Arial"/>
        </w:rPr>
        <w:t xml:space="preserve">19, </w:t>
      </w:r>
      <w:r w:rsidR="00E9123D" w:rsidRPr="00936F6B">
        <w:rPr>
          <w:rFonts w:ascii="Arial" w:hAnsi="Arial" w:cs="Arial"/>
        </w:rPr>
        <w:t>before</w:t>
      </w:r>
      <w:r w:rsidRPr="00936F6B">
        <w:rPr>
          <w:rFonts w:ascii="Arial" w:hAnsi="Arial" w:cs="Arial"/>
        </w:rPr>
        <w:t xml:space="preserve"> the pandemic and OCTAE technical assistance, there were 10 IETs offered around the state</w:t>
      </w:r>
      <w:r w:rsidR="007368A4">
        <w:rPr>
          <w:rFonts w:ascii="Arial" w:hAnsi="Arial" w:cs="Arial"/>
        </w:rPr>
        <w:t xml:space="preserve"> funded with IELCE funds</w:t>
      </w:r>
      <w:r w:rsidR="00E9123D" w:rsidRPr="00936F6B">
        <w:rPr>
          <w:rFonts w:ascii="Arial" w:hAnsi="Arial" w:cs="Arial"/>
        </w:rPr>
        <w:t xml:space="preserve">; in PY </w:t>
      </w:r>
      <w:r w:rsidR="00E03B38" w:rsidRPr="00936F6B">
        <w:rPr>
          <w:rFonts w:ascii="Arial" w:hAnsi="Arial" w:cs="Arial"/>
        </w:rPr>
        <w:t xml:space="preserve">20, </w:t>
      </w:r>
      <w:r w:rsidR="00936F6B" w:rsidRPr="00936F6B">
        <w:rPr>
          <w:rFonts w:ascii="Arial" w:hAnsi="Arial" w:cs="Arial"/>
        </w:rPr>
        <w:t xml:space="preserve">there are </w:t>
      </w:r>
      <w:r w:rsidR="00E03B38" w:rsidRPr="00936F6B">
        <w:rPr>
          <w:rFonts w:ascii="Arial" w:hAnsi="Arial" w:cs="Arial"/>
        </w:rPr>
        <w:t xml:space="preserve">26 different </w:t>
      </w:r>
      <w:r w:rsidR="007368A4">
        <w:rPr>
          <w:rFonts w:ascii="Arial" w:hAnsi="Arial" w:cs="Arial"/>
        </w:rPr>
        <w:t xml:space="preserve">IELCE- funded </w:t>
      </w:r>
      <w:r w:rsidR="00E03B38" w:rsidRPr="00936F6B">
        <w:rPr>
          <w:rFonts w:ascii="Arial" w:hAnsi="Arial" w:cs="Arial"/>
        </w:rPr>
        <w:t>IETs being offere</w:t>
      </w:r>
      <w:r w:rsidR="00E9123D" w:rsidRPr="00936F6B">
        <w:rPr>
          <w:rFonts w:ascii="Arial" w:hAnsi="Arial" w:cs="Arial"/>
        </w:rPr>
        <w:t xml:space="preserve">d. </w:t>
      </w:r>
    </w:p>
    <w:p w:rsidR="00DC4006" w:rsidRPr="00234F24" w:rsidRDefault="00DC4006" w:rsidP="002C1D3E">
      <w:pPr>
        <w:rPr>
          <w:rFonts w:ascii="Arial" w:hAnsi="Arial" w:cs="Arial"/>
          <w:i/>
          <w:color w:val="548DD4" w:themeColor="text2" w:themeTint="99"/>
        </w:rPr>
      </w:pPr>
      <w:r w:rsidRPr="00234F24">
        <w:rPr>
          <w:rFonts w:ascii="Arial" w:hAnsi="Arial" w:cs="Arial"/>
          <w:i/>
          <w:color w:val="548DD4" w:themeColor="text2" w:themeTint="99"/>
        </w:rPr>
        <w:t>Describe how the State is progressing towards program goals of preparing and placing</w:t>
      </w:r>
      <w:r w:rsidR="00234F24" w:rsidRPr="00234F24">
        <w:rPr>
          <w:rFonts w:ascii="Arial" w:hAnsi="Arial" w:cs="Arial"/>
          <w:i/>
          <w:color w:val="548DD4" w:themeColor="text2" w:themeTint="99"/>
        </w:rPr>
        <w:t xml:space="preserve"> </w:t>
      </w:r>
      <w:r w:rsidRPr="00234F24">
        <w:rPr>
          <w:rFonts w:ascii="Arial" w:hAnsi="Arial" w:cs="Arial"/>
          <w:i/>
          <w:color w:val="548DD4" w:themeColor="text2" w:themeTint="99"/>
        </w:rPr>
        <w:t>IELCE program participants in unsubsidized employment in in-demand industries and</w:t>
      </w:r>
      <w:r w:rsidR="0088469A" w:rsidRPr="00234F24">
        <w:rPr>
          <w:rFonts w:ascii="Arial" w:hAnsi="Arial" w:cs="Arial"/>
          <w:i/>
          <w:color w:val="548DD4" w:themeColor="text2" w:themeTint="99"/>
        </w:rPr>
        <w:t xml:space="preserve"> </w:t>
      </w:r>
      <w:r w:rsidRPr="00234F24">
        <w:rPr>
          <w:rFonts w:ascii="Arial" w:hAnsi="Arial" w:cs="Arial"/>
          <w:i/>
          <w:color w:val="548DD4" w:themeColor="text2" w:themeTint="99"/>
        </w:rPr>
        <w:t>occupations that lead to economic self-sufficiency as described in section 243(c)(1) and</w:t>
      </w:r>
      <w:r w:rsidR="004B606E" w:rsidRPr="00234F24">
        <w:rPr>
          <w:rFonts w:ascii="Arial" w:hAnsi="Arial" w:cs="Arial"/>
          <w:i/>
          <w:color w:val="548DD4" w:themeColor="text2" w:themeTint="99"/>
        </w:rPr>
        <w:t xml:space="preserve"> </w:t>
      </w:r>
      <w:r w:rsidR="004B606E" w:rsidRPr="00234F24">
        <w:rPr>
          <w:rFonts w:ascii="Arial" w:hAnsi="Arial" w:cs="Arial"/>
          <w:i/>
          <w:color w:val="548DD4" w:themeColor="text2" w:themeTint="99"/>
        </w:rPr>
        <w:tab/>
      </w:r>
      <w:r w:rsidRPr="00234F24">
        <w:rPr>
          <w:rFonts w:ascii="Arial" w:hAnsi="Arial" w:cs="Arial"/>
          <w:i/>
          <w:color w:val="548DD4" w:themeColor="text2" w:themeTint="99"/>
        </w:rPr>
        <w:t>discuss any performance results, challenges, and lessons learned from implementing</w:t>
      </w:r>
      <w:r w:rsidR="004B606E" w:rsidRPr="00234F24">
        <w:rPr>
          <w:rFonts w:ascii="Arial" w:hAnsi="Arial" w:cs="Arial"/>
          <w:i/>
          <w:color w:val="548DD4" w:themeColor="text2" w:themeTint="99"/>
        </w:rPr>
        <w:t xml:space="preserve"> </w:t>
      </w:r>
      <w:r w:rsidRPr="00234F24">
        <w:rPr>
          <w:rFonts w:ascii="Arial" w:hAnsi="Arial" w:cs="Arial"/>
          <w:i/>
          <w:color w:val="548DD4" w:themeColor="text2" w:themeTint="99"/>
        </w:rPr>
        <w:t>those</w:t>
      </w:r>
      <w:r w:rsidR="00650250">
        <w:rPr>
          <w:rFonts w:ascii="Arial" w:hAnsi="Arial" w:cs="Arial"/>
          <w:i/>
          <w:color w:val="548DD4" w:themeColor="text2" w:themeTint="99"/>
        </w:rPr>
        <w:t xml:space="preserve"> </w:t>
      </w:r>
      <w:r w:rsidR="0088469A" w:rsidRPr="00234F24">
        <w:rPr>
          <w:rFonts w:ascii="Arial" w:hAnsi="Arial" w:cs="Arial"/>
          <w:i/>
          <w:color w:val="548DD4" w:themeColor="text2" w:themeTint="99"/>
        </w:rPr>
        <w:t>program goals;</w:t>
      </w:r>
    </w:p>
    <w:p w:rsidR="007368A4" w:rsidRPr="00DA0153" w:rsidRDefault="004438B0" w:rsidP="00234F24">
      <w:pPr>
        <w:rPr>
          <w:rFonts w:ascii="Arial" w:hAnsi="Arial" w:cs="Arial"/>
        </w:rPr>
      </w:pPr>
      <w:r w:rsidRPr="00DA0153">
        <w:rPr>
          <w:rFonts w:ascii="Arial" w:hAnsi="Arial" w:cs="Arial"/>
        </w:rPr>
        <w:t>L</w:t>
      </w:r>
      <w:r w:rsidR="00DC1E45" w:rsidRPr="00DA0153">
        <w:rPr>
          <w:rFonts w:ascii="Arial" w:hAnsi="Arial" w:cs="Arial"/>
        </w:rPr>
        <w:t xml:space="preserve">ocal programs submit an IET checklist </w:t>
      </w:r>
      <w:r w:rsidR="00C420D5" w:rsidRPr="00DA0153">
        <w:rPr>
          <w:rFonts w:ascii="Arial" w:hAnsi="Arial" w:cs="Arial"/>
        </w:rPr>
        <w:t>when applying</w:t>
      </w:r>
      <w:r w:rsidR="00DC1E45" w:rsidRPr="00DA0153">
        <w:rPr>
          <w:rFonts w:ascii="Arial" w:hAnsi="Arial" w:cs="Arial"/>
        </w:rPr>
        <w:t xml:space="preserve"> for 243 funding. </w:t>
      </w:r>
      <w:r w:rsidR="007368A4" w:rsidRPr="00DA0153">
        <w:rPr>
          <w:rFonts w:ascii="Arial" w:hAnsi="Arial" w:cs="Arial"/>
        </w:rPr>
        <w:t xml:space="preserve">Questions in the application </w:t>
      </w:r>
      <w:r w:rsidR="00DC1E45" w:rsidRPr="00DA0153">
        <w:rPr>
          <w:rFonts w:ascii="Arial" w:hAnsi="Arial" w:cs="Arial"/>
        </w:rPr>
        <w:t xml:space="preserve">pertain to placing </w:t>
      </w:r>
      <w:r w:rsidR="007368A4" w:rsidRPr="00DA0153">
        <w:rPr>
          <w:rFonts w:ascii="Arial" w:hAnsi="Arial" w:cs="Arial"/>
        </w:rPr>
        <w:t>p</w:t>
      </w:r>
      <w:r w:rsidR="00DC1E45" w:rsidRPr="00DA0153">
        <w:rPr>
          <w:rFonts w:ascii="Arial" w:hAnsi="Arial" w:cs="Arial"/>
        </w:rPr>
        <w:t>articipants in unsubsidized employment in in-demand occupations, alignment to a career pathway, connection to a local workforce plan, and solid existing employment opportunities for participants</w:t>
      </w:r>
      <w:r w:rsidR="007368A4" w:rsidRPr="00DA0153">
        <w:rPr>
          <w:rFonts w:ascii="Arial" w:hAnsi="Arial" w:cs="Arial"/>
        </w:rPr>
        <w:t xml:space="preserve"> once they complete the IET</w:t>
      </w:r>
      <w:r w:rsidR="00DC1E45" w:rsidRPr="00DA0153">
        <w:rPr>
          <w:rFonts w:ascii="Arial" w:hAnsi="Arial" w:cs="Arial"/>
        </w:rPr>
        <w:t xml:space="preserve">. </w:t>
      </w:r>
      <w:r w:rsidR="007368A4" w:rsidRPr="00DA0153">
        <w:rPr>
          <w:rFonts w:ascii="Arial" w:hAnsi="Arial" w:cs="Arial"/>
        </w:rPr>
        <w:t>Ohio Aspire does not require that each IET ends with a certificate or credential</w:t>
      </w:r>
      <w:r w:rsidR="00C420D5" w:rsidRPr="00DA0153">
        <w:rPr>
          <w:rFonts w:ascii="Arial" w:hAnsi="Arial" w:cs="Arial"/>
        </w:rPr>
        <w:t xml:space="preserve">. Still, </w:t>
      </w:r>
      <w:r w:rsidR="007368A4" w:rsidRPr="00DA0153">
        <w:rPr>
          <w:rFonts w:ascii="Arial" w:hAnsi="Arial" w:cs="Arial"/>
        </w:rPr>
        <w:t>each IET must be part of a career pathway leading to a credential</w:t>
      </w:r>
      <w:r w:rsidRPr="00DA0153">
        <w:rPr>
          <w:rFonts w:ascii="Arial" w:hAnsi="Arial" w:cs="Arial"/>
        </w:rPr>
        <w:t xml:space="preserve">, </w:t>
      </w:r>
      <w:r w:rsidR="007368A4" w:rsidRPr="00DA0153">
        <w:rPr>
          <w:rFonts w:ascii="Arial" w:hAnsi="Arial" w:cs="Arial"/>
        </w:rPr>
        <w:t>certification</w:t>
      </w:r>
      <w:r w:rsidRPr="00DA0153">
        <w:rPr>
          <w:rFonts w:ascii="Arial" w:hAnsi="Arial" w:cs="Arial"/>
        </w:rPr>
        <w:t>, or employment</w:t>
      </w:r>
      <w:r w:rsidR="007368A4" w:rsidRPr="00DA0153">
        <w:rPr>
          <w:rFonts w:ascii="Arial" w:hAnsi="Arial" w:cs="Arial"/>
        </w:rPr>
        <w:t xml:space="preserve">. </w:t>
      </w:r>
      <w:r w:rsidRPr="00DA0153">
        <w:rPr>
          <w:rFonts w:ascii="Arial" w:hAnsi="Arial" w:cs="Arial"/>
        </w:rPr>
        <w:t xml:space="preserve">All </w:t>
      </w:r>
      <w:r w:rsidR="007368A4" w:rsidRPr="00DA0153">
        <w:rPr>
          <w:rFonts w:ascii="Arial" w:hAnsi="Arial" w:cs="Arial"/>
        </w:rPr>
        <w:t xml:space="preserve">IELCE grantees </w:t>
      </w:r>
      <w:r w:rsidRPr="00DA0153">
        <w:rPr>
          <w:rFonts w:ascii="Arial" w:hAnsi="Arial" w:cs="Arial"/>
        </w:rPr>
        <w:t xml:space="preserve">have a staff person, typically a </w:t>
      </w:r>
      <w:r w:rsidR="007368A4" w:rsidRPr="00DA0153">
        <w:rPr>
          <w:rFonts w:ascii="Arial" w:hAnsi="Arial" w:cs="Arial"/>
        </w:rPr>
        <w:t>transitions coordinator/career navigat</w:t>
      </w:r>
      <w:r w:rsidRPr="00DA0153">
        <w:rPr>
          <w:rFonts w:ascii="Arial" w:hAnsi="Arial" w:cs="Arial"/>
        </w:rPr>
        <w:t>or, whose job is to assist IELCE participants and all ESL students</w:t>
      </w:r>
      <w:r w:rsidR="007368A4" w:rsidRPr="00DA0153">
        <w:rPr>
          <w:rFonts w:ascii="Arial" w:hAnsi="Arial" w:cs="Arial"/>
        </w:rPr>
        <w:t xml:space="preserve"> </w:t>
      </w:r>
      <w:r w:rsidRPr="00DA0153">
        <w:rPr>
          <w:rFonts w:ascii="Arial" w:hAnsi="Arial" w:cs="Arial"/>
        </w:rPr>
        <w:t xml:space="preserve">into postsecondary education/training and employment leading to economic self-sufficiency. </w:t>
      </w:r>
    </w:p>
    <w:p w:rsidR="00DC1E45" w:rsidRPr="00DA0153" w:rsidRDefault="00DC1E45" w:rsidP="00234F24">
      <w:pPr>
        <w:rPr>
          <w:rFonts w:ascii="Arial" w:hAnsi="Arial" w:cs="Arial"/>
        </w:rPr>
      </w:pPr>
      <w:r w:rsidRPr="00DA0153">
        <w:rPr>
          <w:rFonts w:ascii="Arial" w:hAnsi="Arial" w:cs="Arial"/>
        </w:rPr>
        <w:t>P</w:t>
      </w:r>
      <w:r w:rsidR="00C50FA6">
        <w:rPr>
          <w:rFonts w:ascii="Arial" w:hAnsi="Arial" w:cs="Arial"/>
        </w:rPr>
        <w:t>rogram</w:t>
      </w:r>
      <w:r w:rsidRPr="00DA0153">
        <w:rPr>
          <w:rFonts w:ascii="Arial" w:hAnsi="Arial" w:cs="Arial"/>
        </w:rPr>
        <w:t xml:space="preserve"> </w:t>
      </w:r>
      <w:r w:rsidR="00C420D5" w:rsidRPr="00DA0153">
        <w:rPr>
          <w:rFonts w:ascii="Arial" w:hAnsi="Arial" w:cs="Arial"/>
        </w:rPr>
        <w:t>goals</w:t>
      </w:r>
      <w:r w:rsidRPr="00DA0153">
        <w:rPr>
          <w:rFonts w:ascii="Arial" w:hAnsi="Arial" w:cs="Arial"/>
        </w:rPr>
        <w:t xml:space="preserve"> include </w:t>
      </w:r>
      <w:r w:rsidR="00C50FA6">
        <w:rPr>
          <w:rFonts w:ascii="Arial" w:hAnsi="Arial" w:cs="Arial"/>
        </w:rPr>
        <w:t xml:space="preserve">expanding </w:t>
      </w:r>
      <w:r w:rsidRPr="00DA0153">
        <w:rPr>
          <w:rFonts w:ascii="Arial" w:hAnsi="Arial" w:cs="Arial"/>
        </w:rPr>
        <w:t>IET models and the development of</w:t>
      </w:r>
      <w:r w:rsidR="00234F24" w:rsidRPr="00DA0153">
        <w:rPr>
          <w:rFonts w:ascii="Arial" w:hAnsi="Arial" w:cs="Arial"/>
        </w:rPr>
        <w:t xml:space="preserve"> </w:t>
      </w:r>
      <w:r w:rsidRPr="00DA0153">
        <w:rPr>
          <w:rFonts w:ascii="Arial" w:hAnsi="Arial" w:cs="Arial"/>
        </w:rPr>
        <w:t xml:space="preserve">occupational skills training to </w:t>
      </w:r>
      <w:r w:rsidR="00521284" w:rsidRPr="00DA0153">
        <w:rPr>
          <w:rFonts w:ascii="Arial" w:hAnsi="Arial" w:cs="Arial"/>
        </w:rPr>
        <w:t xml:space="preserve">incorporate </w:t>
      </w:r>
      <w:r w:rsidRPr="00DA0153">
        <w:rPr>
          <w:rFonts w:ascii="Arial" w:hAnsi="Arial" w:cs="Arial"/>
        </w:rPr>
        <w:t>internships, on</w:t>
      </w:r>
      <w:r w:rsidR="00521284" w:rsidRPr="00DA0153">
        <w:rPr>
          <w:rFonts w:ascii="Arial" w:hAnsi="Arial" w:cs="Arial"/>
        </w:rPr>
        <w:t>-</w:t>
      </w:r>
      <w:r w:rsidRPr="00DA0153">
        <w:rPr>
          <w:rFonts w:ascii="Arial" w:hAnsi="Arial" w:cs="Arial"/>
        </w:rPr>
        <w:t>the</w:t>
      </w:r>
      <w:r w:rsidR="00521284" w:rsidRPr="00DA0153">
        <w:rPr>
          <w:rFonts w:ascii="Arial" w:hAnsi="Arial" w:cs="Arial"/>
        </w:rPr>
        <w:t>-</w:t>
      </w:r>
      <w:r w:rsidRPr="00DA0153">
        <w:rPr>
          <w:rFonts w:ascii="Arial" w:hAnsi="Arial" w:cs="Arial"/>
        </w:rPr>
        <w:t xml:space="preserve">job training, and contextualized </w:t>
      </w:r>
      <w:r w:rsidR="004438B0" w:rsidRPr="00DA0153">
        <w:rPr>
          <w:rFonts w:ascii="Arial" w:hAnsi="Arial" w:cs="Arial"/>
        </w:rPr>
        <w:t xml:space="preserve">work </w:t>
      </w:r>
      <w:r w:rsidRPr="00DA0153">
        <w:rPr>
          <w:rFonts w:ascii="Arial" w:hAnsi="Arial" w:cs="Arial"/>
        </w:rPr>
        <w:t xml:space="preserve">experiences such as working at a local nursing home </w:t>
      </w:r>
      <w:r w:rsidR="00A45E78" w:rsidRPr="00DA0153">
        <w:rPr>
          <w:rFonts w:ascii="Arial" w:hAnsi="Arial" w:cs="Arial"/>
        </w:rPr>
        <w:t>while in a healthcare IET or</w:t>
      </w:r>
      <w:r w:rsidRPr="00DA0153">
        <w:rPr>
          <w:rFonts w:ascii="Arial" w:hAnsi="Arial" w:cs="Arial"/>
        </w:rPr>
        <w:t xml:space="preserve"> working at a local restaurant </w:t>
      </w:r>
      <w:r w:rsidR="00A45E78" w:rsidRPr="00DA0153">
        <w:rPr>
          <w:rFonts w:ascii="Arial" w:hAnsi="Arial" w:cs="Arial"/>
        </w:rPr>
        <w:t xml:space="preserve">while participating in a food service IET. </w:t>
      </w:r>
      <w:r w:rsidR="00650250">
        <w:rPr>
          <w:rFonts w:ascii="Arial" w:hAnsi="Arial" w:cs="Arial"/>
        </w:rPr>
        <w:t xml:space="preserve">Aspire programs are now getting comfortable with this new role in WIOA of offering occupational skills training. Programs are getting innovative and challenging themselves to expand IET services mentioned above. </w:t>
      </w:r>
    </w:p>
    <w:p w:rsidR="0026409D" w:rsidRPr="00EB7B30" w:rsidRDefault="00DC4006" w:rsidP="00EB7B30">
      <w:pPr>
        <w:rPr>
          <w:rFonts w:ascii="Arial" w:hAnsi="Arial" w:cs="Arial"/>
          <w:i/>
          <w:color w:val="548DD4" w:themeColor="text2" w:themeTint="99"/>
        </w:rPr>
      </w:pPr>
      <w:r w:rsidRPr="00EB7B30">
        <w:rPr>
          <w:rFonts w:ascii="Arial" w:hAnsi="Arial" w:cs="Arial"/>
          <w:i/>
          <w:color w:val="548DD4" w:themeColor="text2" w:themeTint="99"/>
        </w:rPr>
        <w:t>Describe how the State is progressing towards program goals of ensuring that IELCE</w:t>
      </w:r>
      <w:r w:rsidR="006A2A66" w:rsidRPr="00EB7B30">
        <w:rPr>
          <w:rFonts w:ascii="Arial" w:hAnsi="Arial" w:cs="Arial"/>
          <w:i/>
          <w:color w:val="548DD4" w:themeColor="text2" w:themeTint="99"/>
        </w:rPr>
        <w:t xml:space="preserve"> </w:t>
      </w:r>
      <w:r w:rsidRPr="00EB7B30">
        <w:rPr>
          <w:rFonts w:ascii="Arial" w:hAnsi="Arial" w:cs="Arial"/>
          <w:i/>
          <w:color w:val="548DD4" w:themeColor="text2" w:themeTint="99"/>
        </w:rPr>
        <w:t>program activities are integrated with the local workforce development system and its</w:t>
      </w:r>
      <w:r w:rsidR="006A2A66" w:rsidRPr="00EB7B30">
        <w:rPr>
          <w:rFonts w:ascii="Arial" w:hAnsi="Arial" w:cs="Arial"/>
          <w:i/>
          <w:color w:val="548DD4" w:themeColor="text2" w:themeTint="99"/>
        </w:rPr>
        <w:t xml:space="preserve"> </w:t>
      </w:r>
      <w:r w:rsidRPr="00EB7B30">
        <w:rPr>
          <w:rFonts w:ascii="Arial" w:hAnsi="Arial" w:cs="Arial"/>
          <w:i/>
          <w:color w:val="548DD4" w:themeColor="text2" w:themeTint="99"/>
        </w:rPr>
        <w:t>functions as described in section 243(c)(2) and discuss any performance results</w:t>
      </w:r>
      <w:r w:rsidR="00EA6B6D" w:rsidRPr="00EB7B30">
        <w:rPr>
          <w:rFonts w:ascii="Arial" w:hAnsi="Arial" w:cs="Arial"/>
          <w:i/>
          <w:color w:val="548DD4" w:themeColor="text2" w:themeTint="99"/>
        </w:rPr>
        <w:t xml:space="preserve">, challenges, and lessons learned from implementing those program goals. </w:t>
      </w:r>
    </w:p>
    <w:p w:rsidR="009B4A15" w:rsidRPr="00F17928" w:rsidRDefault="00140F74" w:rsidP="009B4A15">
      <w:pPr>
        <w:rPr>
          <w:rFonts w:ascii="Arial" w:hAnsi="Arial" w:cs="Arial"/>
        </w:rPr>
      </w:pPr>
      <w:r w:rsidRPr="00F17928">
        <w:rPr>
          <w:rFonts w:ascii="Arial" w:hAnsi="Arial" w:cs="Arial"/>
        </w:rPr>
        <w:t>The goal is that all l</w:t>
      </w:r>
      <w:r w:rsidR="00246C3D" w:rsidRPr="00F17928">
        <w:rPr>
          <w:rFonts w:ascii="Arial" w:hAnsi="Arial" w:cs="Arial"/>
        </w:rPr>
        <w:t xml:space="preserve">ocal </w:t>
      </w:r>
      <w:r w:rsidR="00F17928" w:rsidRPr="00F17928">
        <w:rPr>
          <w:rFonts w:ascii="Arial" w:hAnsi="Arial" w:cs="Arial"/>
        </w:rPr>
        <w:t xml:space="preserve">ESL </w:t>
      </w:r>
      <w:r w:rsidR="00246C3D" w:rsidRPr="00F17928">
        <w:rPr>
          <w:rFonts w:ascii="Arial" w:hAnsi="Arial" w:cs="Arial"/>
        </w:rPr>
        <w:t xml:space="preserve">programs work with the community partners, such as other training providers, OhioMeansJobs centers, employers, and support service agencies to provide IELCE activities that align with the local workforce needs. </w:t>
      </w:r>
      <w:r w:rsidR="009B4A15" w:rsidRPr="00F17928">
        <w:rPr>
          <w:rFonts w:ascii="Arial" w:hAnsi="Arial" w:cs="Arial"/>
        </w:rPr>
        <w:t xml:space="preserve">One of the required questions on the IET checklist for Ohio asks how the IET program reflects the criteria of being a part of a career pathway aligned to the local workforce plan and how it supports the requirements that a career pathway helps an individual enter or advance within a specific occupation or occupational cluster. The </w:t>
      </w:r>
      <w:r w:rsidR="00E57306">
        <w:rPr>
          <w:rFonts w:ascii="Arial" w:hAnsi="Arial" w:cs="Arial"/>
        </w:rPr>
        <w:t>incorporation</w:t>
      </w:r>
      <w:r w:rsidR="009B4A15" w:rsidRPr="00F17928">
        <w:rPr>
          <w:rFonts w:ascii="Arial" w:hAnsi="Arial" w:cs="Arial"/>
        </w:rPr>
        <w:t xml:space="preserve"> of </w:t>
      </w:r>
      <w:r w:rsidR="009B4A15" w:rsidRPr="00F17928">
        <w:rPr>
          <w:rFonts w:ascii="Arial" w:hAnsi="Arial" w:cs="Arial"/>
        </w:rPr>
        <w:lastRenderedPageBreak/>
        <w:t xml:space="preserve">the OCTAE IELCE Self-Assessment Tool helps programs self-evaluate if they are integrating IELCE program activities that meet the needs of the local workforce development system. </w:t>
      </w:r>
    </w:p>
    <w:p w:rsidR="00DC1E45" w:rsidRPr="00F17928" w:rsidRDefault="009B4A15" w:rsidP="00EB7B30">
      <w:r w:rsidRPr="00F17928">
        <w:rPr>
          <w:rFonts w:ascii="Arial" w:hAnsi="Arial" w:cs="Arial"/>
        </w:rPr>
        <w:t xml:space="preserve">Although a few regions </w:t>
      </w:r>
      <w:r w:rsidR="00140F74" w:rsidRPr="00F17928">
        <w:rPr>
          <w:rFonts w:ascii="Arial" w:hAnsi="Arial" w:cs="Arial"/>
        </w:rPr>
        <w:t xml:space="preserve">in Ohio </w:t>
      </w:r>
      <w:r w:rsidRPr="00F17928">
        <w:rPr>
          <w:rFonts w:ascii="Arial" w:hAnsi="Arial" w:cs="Arial"/>
        </w:rPr>
        <w:t xml:space="preserve">are following the spirit of WIOA and workforce collaboration, </w:t>
      </w:r>
      <w:r w:rsidR="00C50FA6" w:rsidRPr="00F17928">
        <w:rPr>
          <w:rFonts w:ascii="Arial" w:hAnsi="Arial" w:cs="Arial"/>
        </w:rPr>
        <w:t>a challenge we face with IELCE and IETs, in general, is recognition from some of the local workforce development boards that the first rung in a career pathway is a valuable one</w:t>
      </w:r>
      <w:r w:rsidR="00F17928" w:rsidRPr="00F17928">
        <w:rPr>
          <w:rFonts w:ascii="Arial" w:hAnsi="Arial" w:cs="Arial"/>
        </w:rPr>
        <w:t>. Many</w:t>
      </w:r>
      <w:r w:rsidR="00C50FA6" w:rsidRPr="00F17928">
        <w:rPr>
          <w:rFonts w:ascii="Arial" w:hAnsi="Arial" w:cs="Arial"/>
        </w:rPr>
        <w:t xml:space="preserve"> </w:t>
      </w:r>
      <w:r w:rsidRPr="00F17928">
        <w:rPr>
          <w:rFonts w:ascii="Arial" w:hAnsi="Arial" w:cs="Arial"/>
        </w:rPr>
        <w:t xml:space="preserve">workforce development agencies continue to narrowly perceive Aspire Adult Ed’s </w:t>
      </w:r>
      <w:r w:rsidR="00C50FA6" w:rsidRPr="00F17928">
        <w:rPr>
          <w:rFonts w:ascii="Arial" w:hAnsi="Arial" w:cs="Arial"/>
        </w:rPr>
        <w:t>role in career pathways as “the GED program.”</w:t>
      </w:r>
      <w:r w:rsidR="00140F74" w:rsidRPr="00F17928">
        <w:rPr>
          <w:rFonts w:ascii="Arial" w:hAnsi="Arial" w:cs="Arial"/>
        </w:rPr>
        <w:t xml:space="preserve"> Some of that perception will take time to overcome because Ohio Aspire is new to IETs, only offered within the last three years. </w:t>
      </w:r>
      <w:r w:rsidR="00F17928" w:rsidRPr="00F17928">
        <w:rPr>
          <w:rFonts w:ascii="Arial" w:hAnsi="Arial" w:cs="Arial"/>
        </w:rPr>
        <w:t xml:space="preserve">In our upcoming competitive grant, having the workforce boards review the AEFLA grants and make recommendations for improved alignment with the local plan should prove beneficial for them to learn more about IELCE and IETs and see there is a significant role in Aspire IETs in the local career pathway plans. </w:t>
      </w:r>
    </w:p>
    <w:p w:rsidR="00F17928" w:rsidRDefault="00F17928" w:rsidP="00DC4006">
      <w:pPr>
        <w:autoSpaceDE w:val="0"/>
        <w:autoSpaceDN w:val="0"/>
        <w:adjustRightInd w:val="0"/>
        <w:spacing w:after="0" w:line="240" w:lineRule="auto"/>
        <w:rPr>
          <w:rFonts w:ascii="Arial" w:hAnsi="Arial" w:cs="Arial"/>
          <w:b/>
        </w:rPr>
      </w:pPr>
    </w:p>
    <w:p w:rsidR="00DC4006" w:rsidRPr="00FA6D87" w:rsidRDefault="00F17928" w:rsidP="00DC4006">
      <w:pPr>
        <w:autoSpaceDE w:val="0"/>
        <w:autoSpaceDN w:val="0"/>
        <w:adjustRightInd w:val="0"/>
        <w:spacing w:after="0" w:line="240" w:lineRule="auto"/>
        <w:rPr>
          <w:rFonts w:ascii="Arial" w:hAnsi="Arial" w:cs="Arial"/>
          <w:b/>
          <w:bCs/>
        </w:rPr>
      </w:pPr>
      <w:r>
        <w:rPr>
          <w:rFonts w:ascii="Arial" w:hAnsi="Arial" w:cs="Arial"/>
          <w:b/>
        </w:rPr>
        <w:t xml:space="preserve">5. </w:t>
      </w:r>
      <w:r>
        <w:rPr>
          <w:rFonts w:ascii="Arial" w:hAnsi="Arial" w:cs="Arial"/>
          <w:b/>
        </w:rPr>
        <w:tab/>
      </w:r>
      <w:r w:rsidR="00FA6D87" w:rsidRPr="00FA6D87">
        <w:rPr>
          <w:rFonts w:ascii="Arial" w:hAnsi="Arial" w:cs="Arial"/>
          <w:b/>
        </w:rPr>
        <w:t>A</w:t>
      </w:r>
      <w:r w:rsidR="00DC4006" w:rsidRPr="00FA6D87">
        <w:rPr>
          <w:rFonts w:ascii="Arial" w:hAnsi="Arial" w:cs="Arial"/>
          <w:b/>
          <w:bCs/>
        </w:rPr>
        <w:t>dult Education Standards</w:t>
      </w:r>
    </w:p>
    <w:p w:rsidR="00FA6D87" w:rsidRDefault="00FA6D87" w:rsidP="00DC4006">
      <w:pPr>
        <w:autoSpaceDE w:val="0"/>
        <w:autoSpaceDN w:val="0"/>
        <w:adjustRightInd w:val="0"/>
        <w:spacing w:after="0" w:line="240" w:lineRule="auto"/>
        <w:rPr>
          <w:rFonts w:ascii="Arial" w:hAnsi="Arial" w:cs="Arial"/>
          <w:i/>
        </w:rPr>
      </w:pPr>
      <w:r>
        <w:rPr>
          <w:rFonts w:ascii="Arial" w:hAnsi="Arial" w:cs="Arial"/>
          <w:i/>
        </w:rPr>
        <w:tab/>
      </w:r>
    </w:p>
    <w:p w:rsidR="00DC4006" w:rsidRPr="00EB7B30" w:rsidRDefault="00DC4006" w:rsidP="00EB7B30">
      <w:pPr>
        <w:rPr>
          <w:rFonts w:ascii="Arial" w:hAnsi="Arial" w:cs="Arial"/>
          <w:i/>
          <w:color w:val="548DD4" w:themeColor="text2" w:themeTint="99"/>
        </w:rPr>
      </w:pPr>
      <w:r w:rsidRPr="00EB7B30">
        <w:rPr>
          <w:rFonts w:ascii="Arial" w:hAnsi="Arial" w:cs="Arial"/>
          <w:i/>
          <w:color w:val="548DD4" w:themeColor="text2" w:themeTint="99"/>
        </w:rPr>
        <w:t>If your State has adopted new challenging K-12 standards under title I of the Elementary and</w:t>
      </w:r>
      <w:r w:rsidR="00EB7B30" w:rsidRPr="00EB7B30">
        <w:rPr>
          <w:rFonts w:ascii="Arial" w:hAnsi="Arial" w:cs="Arial"/>
          <w:i/>
          <w:color w:val="548DD4" w:themeColor="text2" w:themeTint="99"/>
        </w:rPr>
        <w:t xml:space="preserve"> </w:t>
      </w:r>
      <w:r w:rsidRPr="00EB7B30">
        <w:rPr>
          <w:rFonts w:ascii="Arial" w:hAnsi="Arial" w:cs="Arial"/>
          <w:i/>
          <w:color w:val="548DD4" w:themeColor="text2" w:themeTint="99"/>
        </w:rPr>
        <w:t xml:space="preserve">Secondary </w:t>
      </w:r>
      <w:r w:rsidR="00EB7B30" w:rsidRPr="00EB7B30">
        <w:rPr>
          <w:rFonts w:ascii="Arial" w:hAnsi="Arial" w:cs="Arial"/>
          <w:i/>
          <w:color w:val="548DD4" w:themeColor="text2" w:themeTint="99"/>
        </w:rPr>
        <w:t>E</w:t>
      </w:r>
      <w:r w:rsidRPr="00EB7B30">
        <w:rPr>
          <w:rFonts w:ascii="Arial" w:hAnsi="Arial" w:cs="Arial"/>
          <w:i/>
          <w:color w:val="548DD4" w:themeColor="text2" w:themeTint="99"/>
        </w:rPr>
        <w:t>ducation Act of 1965, as amended, describe how your Adult Education content standards are aligned with those K-12 standards.</w:t>
      </w:r>
    </w:p>
    <w:p w:rsidR="00F17928" w:rsidRPr="00EC06A2" w:rsidRDefault="00F3637E" w:rsidP="00F17928">
      <w:pPr>
        <w:rPr>
          <w:rFonts w:ascii="Arial" w:hAnsi="Arial" w:cs="Arial"/>
        </w:rPr>
      </w:pPr>
      <w:r w:rsidRPr="00EC06A2">
        <w:rPr>
          <w:rFonts w:ascii="Arial" w:hAnsi="Arial" w:cs="Arial"/>
        </w:rPr>
        <w:t xml:space="preserve">Ohio’s adult education program </w:t>
      </w:r>
      <w:r w:rsidR="0017163D" w:rsidRPr="00EC06A2">
        <w:rPr>
          <w:rFonts w:ascii="Arial" w:hAnsi="Arial" w:cs="Arial"/>
        </w:rPr>
        <w:t>has a long history, over 2</w:t>
      </w:r>
      <w:r w:rsidR="00181483" w:rsidRPr="00EC06A2">
        <w:rPr>
          <w:rFonts w:ascii="Arial" w:hAnsi="Arial" w:cs="Arial"/>
        </w:rPr>
        <w:t>6</w:t>
      </w:r>
      <w:r w:rsidR="0017163D" w:rsidRPr="00EC06A2">
        <w:rPr>
          <w:rFonts w:ascii="Arial" w:hAnsi="Arial" w:cs="Arial"/>
        </w:rPr>
        <w:t xml:space="preserve"> years, of standards-based education. In 2014, the ODHE Aspire program adopted the rigorous College and Career Readiness (CCR) </w:t>
      </w:r>
      <w:hyperlink r:id="rId8" w:history="1">
        <w:r w:rsidR="0017163D" w:rsidRPr="00EC06A2">
          <w:rPr>
            <w:rStyle w:val="Hyperlink"/>
            <w:rFonts w:ascii="Arial" w:hAnsi="Arial" w:cs="Arial"/>
            <w:color w:val="auto"/>
          </w:rPr>
          <w:t>Standards for Adult Education</w:t>
        </w:r>
      </w:hyperlink>
      <w:r w:rsidR="0017163D" w:rsidRPr="00EC06A2">
        <w:rPr>
          <w:rFonts w:ascii="Arial" w:hAnsi="Arial" w:cs="Arial"/>
        </w:rPr>
        <w:t xml:space="preserve"> (U.S. Department of Education, 2013) for use in all ABE/ASE classes. In 2018, the Aspire program adopted and adapted the </w:t>
      </w:r>
      <w:hyperlink r:id="rId9" w:history="1">
        <w:r w:rsidR="0017163D" w:rsidRPr="00EC06A2">
          <w:rPr>
            <w:rStyle w:val="Hyperlink"/>
            <w:rFonts w:ascii="Arial" w:hAnsi="Arial" w:cs="Arial"/>
            <w:color w:val="auto"/>
          </w:rPr>
          <w:t>English Language Proficiency Standards (ELP) for Adult Education</w:t>
        </w:r>
      </w:hyperlink>
      <w:r w:rsidR="0017163D" w:rsidRPr="00EC06A2">
        <w:rPr>
          <w:rFonts w:ascii="Arial" w:hAnsi="Arial" w:cs="Arial"/>
        </w:rPr>
        <w:t xml:space="preserve"> (U.S. Department of Education, 2016) for use in all ESOL classes. By utilizing national standards, Ohio Aspire programs are situated to meet the</w:t>
      </w:r>
      <w:r w:rsidR="00EB7B30" w:rsidRPr="00EC06A2">
        <w:rPr>
          <w:rFonts w:ascii="Arial" w:hAnsi="Arial" w:cs="Arial"/>
        </w:rPr>
        <w:t xml:space="preserve"> </w:t>
      </w:r>
      <w:r w:rsidR="0017163D" w:rsidRPr="00EC06A2">
        <w:rPr>
          <w:rFonts w:ascii="Arial" w:hAnsi="Arial" w:cs="Arial"/>
        </w:rPr>
        <w:t xml:space="preserve">academic rigor outlined in </w:t>
      </w:r>
      <w:r w:rsidRPr="00EC06A2">
        <w:rPr>
          <w:rFonts w:ascii="Arial" w:hAnsi="Arial" w:cs="Arial"/>
        </w:rPr>
        <w:t>WIOA</w:t>
      </w:r>
      <w:r w:rsidR="0017163D" w:rsidRPr="00EC06A2">
        <w:rPr>
          <w:rFonts w:ascii="Arial" w:hAnsi="Arial" w:cs="Arial"/>
        </w:rPr>
        <w:t>. The CCR</w:t>
      </w:r>
      <w:r w:rsidR="00EB7B30" w:rsidRPr="00EC06A2">
        <w:rPr>
          <w:rFonts w:ascii="Arial" w:hAnsi="Arial" w:cs="Arial"/>
        </w:rPr>
        <w:t xml:space="preserve"> </w:t>
      </w:r>
      <w:r w:rsidR="0017163D" w:rsidRPr="00EC06A2">
        <w:rPr>
          <w:rFonts w:ascii="Arial" w:hAnsi="Arial" w:cs="Arial"/>
        </w:rPr>
        <w:t xml:space="preserve">standards were developed and aligned to the </w:t>
      </w:r>
      <w:r w:rsidR="00293C89" w:rsidRPr="00EC06A2">
        <w:rPr>
          <w:rFonts w:ascii="Arial" w:hAnsi="Arial" w:cs="Arial"/>
        </w:rPr>
        <w:t xml:space="preserve">K-12 </w:t>
      </w:r>
      <w:r w:rsidR="0017163D" w:rsidRPr="00EC06A2">
        <w:rPr>
          <w:rFonts w:ascii="Arial" w:hAnsi="Arial" w:cs="Arial"/>
        </w:rPr>
        <w:t xml:space="preserve">Common Core State Standards, adopted by </w:t>
      </w:r>
      <w:r w:rsidR="00EC06A2" w:rsidRPr="00EC06A2">
        <w:rPr>
          <w:rFonts w:ascii="Arial" w:hAnsi="Arial" w:cs="Arial"/>
        </w:rPr>
        <w:t>the</w:t>
      </w:r>
      <w:r w:rsidR="0017163D" w:rsidRPr="00EC06A2">
        <w:rPr>
          <w:rFonts w:ascii="Arial" w:hAnsi="Arial" w:cs="Arial"/>
        </w:rPr>
        <w:t xml:space="preserve"> Ohio Department of Education. The CCR standards are evidence-based</w:t>
      </w:r>
      <w:r w:rsidR="00EB7B30" w:rsidRPr="00EC06A2">
        <w:rPr>
          <w:rFonts w:ascii="Arial" w:hAnsi="Arial" w:cs="Arial"/>
        </w:rPr>
        <w:t xml:space="preserve"> </w:t>
      </w:r>
      <w:r w:rsidR="0017163D" w:rsidRPr="00EC06A2">
        <w:rPr>
          <w:rFonts w:ascii="Arial" w:hAnsi="Arial" w:cs="Arial"/>
        </w:rPr>
        <w:t xml:space="preserve">standards intended to provide all adult students with the opportunity to be prepared for postsecondary education/training and the workforce without needing basic skills remediation. All Aspire programs are required to implement these standards as a </w:t>
      </w:r>
      <w:r w:rsidR="00EC06A2" w:rsidRPr="00EC06A2">
        <w:rPr>
          <w:rFonts w:ascii="Arial" w:hAnsi="Arial" w:cs="Arial"/>
        </w:rPr>
        <w:t xml:space="preserve">grant </w:t>
      </w:r>
      <w:r w:rsidR="0017163D" w:rsidRPr="00EC06A2">
        <w:rPr>
          <w:rFonts w:ascii="Arial" w:hAnsi="Arial" w:cs="Arial"/>
        </w:rPr>
        <w:t>requirement</w:t>
      </w:r>
      <w:r w:rsidR="00EC06A2" w:rsidRPr="00EC06A2">
        <w:rPr>
          <w:rFonts w:ascii="Arial" w:hAnsi="Arial" w:cs="Arial"/>
        </w:rPr>
        <w:t>.</w:t>
      </w:r>
      <w:r w:rsidR="0017163D" w:rsidRPr="00EC06A2">
        <w:rPr>
          <w:rFonts w:ascii="Arial" w:hAnsi="Arial" w:cs="Arial"/>
        </w:rPr>
        <w:t xml:space="preserve"> </w:t>
      </w:r>
      <w:r w:rsidR="005A79C9" w:rsidRPr="00EC06A2">
        <w:rPr>
          <w:rFonts w:ascii="Arial" w:hAnsi="Arial" w:cs="Arial"/>
        </w:rPr>
        <w:t xml:space="preserve">Standards-based lesson plans are reviewed as part of the on-site local monitoring and classroom </w:t>
      </w:r>
      <w:r w:rsidR="006A6081" w:rsidRPr="00EC06A2">
        <w:rPr>
          <w:rFonts w:ascii="Arial" w:hAnsi="Arial" w:cs="Arial"/>
        </w:rPr>
        <w:t xml:space="preserve">observations. </w:t>
      </w:r>
    </w:p>
    <w:p w:rsidR="00F17928" w:rsidRPr="00EC06A2" w:rsidRDefault="00F17928" w:rsidP="00F17928">
      <w:pPr>
        <w:rPr>
          <w:rFonts w:ascii="Arial" w:hAnsi="Arial" w:cs="Arial"/>
        </w:rPr>
      </w:pPr>
      <w:r w:rsidRPr="00EC06A2">
        <w:rPr>
          <w:rFonts w:ascii="Arial" w:hAnsi="Arial" w:cs="Arial"/>
        </w:rPr>
        <w:t>Ongoing PD and technical assistance to enable t</w:t>
      </w:r>
      <w:r w:rsidRPr="00EC06A2">
        <w:rPr>
          <w:rFonts w:ascii="Arial" w:hAnsi="Arial" w:cs="Arial"/>
        </w:rPr>
        <w:t>eachers to deliver intentional, standards-based instruction in the online environment</w:t>
      </w:r>
      <w:r w:rsidRPr="00EC06A2">
        <w:rPr>
          <w:rFonts w:ascii="Arial" w:hAnsi="Arial" w:cs="Arial"/>
        </w:rPr>
        <w:t xml:space="preserve"> include:</w:t>
      </w:r>
    </w:p>
    <w:p w:rsidR="00F17928" w:rsidRPr="00EC06A2" w:rsidRDefault="00F17928" w:rsidP="00DC74BB">
      <w:pPr>
        <w:pStyle w:val="ListParagraph"/>
        <w:numPr>
          <w:ilvl w:val="0"/>
          <w:numId w:val="42"/>
        </w:numPr>
        <w:spacing w:after="0" w:line="240" w:lineRule="auto"/>
        <w:contextualSpacing w:val="0"/>
        <w:rPr>
          <w:rFonts w:ascii="Arial" w:hAnsi="Arial" w:cs="Arial"/>
        </w:rPr>
      </w:pPr>
      <w:r w:rsidRPr="00EC06A2">
        <w:rPr>
          <w:rFonts w:ascii="Arial" w:hAnsi="Arial" w:cs="Arial"/>
        </w:rPr>
        <w:t xml:space="preserve">Effective Lesson Planning – ABE/ASE </w:t>
      </w:r>
      <w:r w:rsidRPr="00EC06A2">
        <w:rPr>
          <w:rFonts w:ascii="Arial" w:hAnsi="Arial" w:cs="Arial"/>
        </w:rPr>
        <w:t>and ESL (asynchronous)</w:t>
      </w:r>
    </w:p>
    <w:p w:rsidR="00F17928" w:rsidRPr="00EC06A2" w:rsidRDefault="00F17928" w:rsidP="00F17928">
      <w:pPr>
        <w:pStyle w:val="ListParagraph"/>
        <w:numPr>
          <w:ilvl w:val="0"/>
          <w:numId w:val="42"/>
        </w:numPr>
        <w:spacing w:after="0" w:line="240" w:lineRule="auto"/>
        <w:contextualSpacing w:val="0"/>
        <w:rPr>
          <w:rFonts w:ascii="Arial" w:hAnsi="Arial" w:cs="Arial"/>
        </w:rPr>
      </w:pPr>
      <w:r w:rsidRPr="00EC06A2">
        <w:rPr>
          <w:rFonts w:ascii="Arial" w:hAnsi="Arial" w:cs="Arial"/>
        </w:rPr>
        <w:t xml:space="preserve">Reading/Writing Together </w:t>
      </w:r>
      <w:r w:rsidRPr="00EC06A2">
        <w:rPr>
          <w:rFonts w:ascii="Arial" w:hAnsi="Arial" w:cs="Arial"/>
        </w:rPr>
        <w:t>(synchronous)</w:t>
      </w:r>
    </w:p>
    <w:p w:rsidR="00F17928" w:rsidRPr="00EC06A2" w:rsidRDefault="00F17928" w:rsidP="00F17928">
      <w:pPr>
        <w:pStyle w:val="ListParagraph"/>
        <w:numPr>
          <w:ilvl w:val="0"/>
          <w:numId w:val="42"/>
        </w:numPr>
        <w:spacing w:after="0" w:line="240" w:lineRule="auto"/>
        <w:contextualSpacing w:val="0"/>
        <w:rPr>
          <w:rFonts w:ascii="Arial" w:hAnsi="Arial" w:cs="Arial"/>
        </w:rPr>
      </w:pPr>
      <w:r w:rsidRPr="00EC06A2">
        <w:rPr>
          <w:rFonts w:ascii="Arial" w:hAnsi="Arial" w:cs="Arial"/>
        </w:rPr>
        <w:t xml:space="preserve">Writing camps </w:t>
      </w:r>
      <w:r w:rsidRPr="00EC06A2">
        <w:rPr>
          <w:rFonts w:ascii="Arial" w:hAnsi="Arial" w:cs="Arial"/>
        </w:rPr>
        <w:t>(synchronous)</w:t>
      </w:r>
    </w:p>
    <w:p w:rsidR="0017163D" w:rsidRPr="00EC06A2" w:rsidRDefault="00F17928" w:rsidP="00D56ADA">
      <w:pPr>
        <w:pStyle w:val="ListParagraph"/>
        <w:numPr>
          <w:ilvl w:val="0"/>
          <w:numId w:val="42"/>
        </w:numPr>
        <w:spacing w:after="0" w:line="240" w:lineRule="auto"/>
        <w:contextualSpacing w:val="0"/>
        <w:rPr>
          <w:rFonts w:ascii="Arial" w:hAnsi="Arial" w:cs="Arial"/>
        </w:rPr>
      </w:pPr>
      <w:r w:rsidRPr="00EC06A2">
        <w:rPr>
          <w:rFonts w:ascii="Arial" w:hAnsi="Arial" w:cs="Arial"/>
        </w:rPr>
        <w:t xml:space="preserve">Writing Foundations: How Teaching Narrative Writing Can Help Students Improve Their Academic Writing </w:t>
      </w:r>
      <w:r w:rsidRPr="00EC06A2">
        <w:rPr>
          <w:rFonts w:ascii="Arial" w:hAnsi="Arial" w:cs="Arial"/>
        </w:rPr>
        <w:t>(synchronous)</w:t>
      </w:r>
    </w:p>
    <w:p w:rsidR="00E57306" w:rsidRDefault="00E57306" w:rsidP="00EB7B30">
      <w:pPr>
        <w:rPr>
          <w:rFonts w:ascii="Arial" w:hAnsi="Arial" w:cs="Arial"/>
          <w:i/>
        </w:rPr>
      </w:pPr>
    </w:p>
    <w:p w:rsidR="00FA6D87" w:rsidRPr="00E57306" w:rsidRDefault="00FA6D87" w:rsidP="00EB7B30">
      <w:pPr>
        <w:rPr>
          <w:rFonts w:ascii="Arial" w:hAnsi="Arial" w:cs="Arial"/>
          <w:i/>
          <w:color w:val="548DD4" w:themeColor="text2" w:themeTint="99"/>
        </w:rPr>
      </w:pPr>
      <w:r w:rsidRPr="00E57306">
        <w:rPr>
          <w:rFonts w:ascii="Arial" w:hAnsi="Arial" w:cs="Arial"/>
          <w:i/>
          <w:color w:val="548DD4" w:themeColor="text2" w:themeTint="99"/>
        </w:rPr>
        <w:t>Optional – Describe implementation efforts, challenges, and any lessons learned</w:t>
      </w:r>
    </w:p>
    <w:p w:rsidR="00FA6D87" w:rsidRPr="00EC06A2" w:rsidRDefault="006A6081" w:rsidP="00F17928">
      <w:pPr>
        <w:pStyle w:val="ListParagraph"/>
        <w:ind w:left="360"/>
        <w:rPr>
          <w:rFonts w:ascii="Arial" w:hAnsi="Arial" w:cs="Arial"/>
        </w:rPr>
      </w:pPr>
      <w:r w:rsidRPr="00EC06A2">
        <w:rPr>
          <w:rStyle w:val="Hyperlink"/>
          <w:rFonts w:ascii="Arial" w:hAnsi="Arial" w:cs="Arial"/>
          <w:color w:val="auto"/>
          <w:u w:val="none"/>
        </w:rPr>
        <w:t>Ohio Aspire invested substantial state leadership dollars when the CCRs were first implemented several years ago. Resources were developed such as Standards-Based Lesson Plan Template</w:t>
      </w:r>
      <w:r w:rsidR="008C6EAC" w:rsidRPr="00EC06A2">
        <w:rPr>
          <w:rStyle w:val="Hyperlink"/>
          <w:rFonts w:ascii="Arial" w:hAnsi="Arial" w:cs="Arial"/>
          <w:color w:val="auto"/>
          <w:u w:val="none"/>
        </w:rPr>
        <w:t>s by subject,</w:t>
      </w:r>
      <w:r w:rsidRPr="00EC06A2">
        <w:rPr>
          <w:rStyle w:val="Hyperlink"/>
          <w:rFonts w:ascii="Arial" w:hAnsi="Arial" w:cs="Arial"/>
          <w:color w:val="auto"/>
          <w:u w:val="none"/>
        </w:rPr>
        <w:t xml:space="preserve"> </w:t>
      </w:r>
      <w:r w:rsidR="008C6EAC" w:rsidRPr="00EC06A2">
        <w:rPr>
          <w:rStyle w:val="Hyperlink"/>
          <w:rFonts w:ascii="Arial" w:hAnsi="Arial" w:cs="Arial"/>
          <w:color w:val="auto"/>
          <w:u w:val="none"/>
        </w:rPr>
        <w:t xml:space="preserve">Lesson Plan </w:t>
      </w:r>
      <w:r w:rsidRPr="00EC06A2">
        <w:rPr>
          <w:rStyle w:val="Hyperlink"/>
          <w:rFonts w:ascii="Arial" w:hAnsi="Arial" w:cs="Arial"/>
          <w:color w:val="auto"/>
          <w:u w:val="none"/>
        </w:rPr>
        <w:t>Rubric</w:t>
      </w:r>
      <w:r w:rsidR="008C6EAC" w:rsidRPr="00EC06A2">
        <w:rPr>
          <w:rStyle w:val="Hyperlink"/>
          <w:rFonts w:ascii="Arial" w:hAnsi="Arial" w:cs="Arial"/>
          <w:color w:val="auto"/>
          <w:u w:val="none"/>
        </w:rPr>
        <w:t>, and a</w:t>
      </w:r>
      <w:r w:rsidR="00293C89" w:rsidRPr="00EC06A2">
        <w:rPr>
          <w:rStyle w:val="Hyperlink"/>
          <w:rFonts w:ascii="Arial" w:hAnsi="Arial" w:cs="Arial"/>
          <w:color w:val="auto"/>
          <w:u w:val="none"/>
        </w:rPr>
        <w:t>n online</w:t>
      </w:r>
      <w:r w:rsidR="008C6EAC" w:rsidRPr="00EC06A2">
        <w:rPr>
          <w:rStyle w:val="Hyperlink"/>
          <w:rFonts w:ascii="Arial" w:hAnsi="Arial" w:cs="Arial"/>
          <w:color w:val="auto"/>
          <w:u w:val="none"/>
        </w:rPr>
        <w:t xml:space="preserve"> </w:t>
      </w:r>
      <w:hyperlink r:id="rId10" w:history="1">
        <w:r w:rsidR="008C6EAC" w:rsidRPr="00EC06A2">
          <w:rPr>
            <w:rStyle w:val="Hyperlink"/>
            <w:rFonts w:ascii="Arial" w:hAnsi="Arial" w:cs="Arial"/>
            <w:color w:val="auto"/>
          </w:rPr>
          <w:t>Teacher Resource Center</w:t>
        </w:r>
      </w:hyperlink>
      <w:r w:rsidR="008C6EAC" w:rsidRPr="00EC06A2">
        <w:rPr>
          <w:rStyle w:val="Hyperlink"/>
          <w:rFonts w:ascii="Arial" w:hAnsi="Arial" w:cs="Arial"/>
          <w:color w:val="auto"/>
          <w:u w:val="none"/>
        </w:rPr>
        <w:t xml:space="preserve"> with thousands of </w:t>
      </w:r>
      <w:r w:rsidR="008C6EAC" w:rsidRPr="00EC06A2">
        <w:rPr>
          <w:rStyle w:val="Hyperlink"/>
          <w:rFonts w:ascii="Arial" w:hAnsi="Arial" w:cs="Arial"/>
          <w:color w:val="auto"/>
          <w:u w:val="none"/>
        </w:rPr>
        <w:lastRenderedPageBreak/>
        <w:t>standards-based lesson plans</w:t>
      </w:r>
      <w:r w:rsidR="00F17928" w:rsidRPr="00EC06A2">
        <w:rPr>
          <w:rStyle w:val="Hyperlink"/>
          <w:rFonts w:ascii="Arial" w:hAnsi="Arial" w:cs="Arial"/>
          <w:color w:val="auto"/>
          <w:u w:val="none"/>
        </w:rPr>
        <w:t xml:space="preserve"> and resources. </w:t>
      </w:r>
      <w:r w:rsidR="008C6EAC" w:rsidRPr="00EC06A2">
        <w:rPr>
          <w:rStyle w:val="Hyperlink"/>
          <w:rFonts w:ascii="Arial" w:hAnsi="Arial" w:cs="Arial"/>
          <w:color w:val="auto"/>
          <w:u w:val="none"/>
        </w:rPr>
        <w:t xml:space="preserve">The goal was to set the expectation that </w:t>
      </w:r>
      <w:r w:rsidR="00EC06A2" w:rsidRPr="00EC06A2">
        <w:rPr>
          <w:rStyle w:val="Hyperlink"/>
          <w:rFonts w:ascii="Arial" w:hAnsi="Arial" w:cs="Arial"/>
          <w:color w:val="auto"/>
          <w:u w:val="none"/>
        </w:rPr>
        <w:t xml:space="preserve">every program’s </w:t>
      </w:r>
      <w:r w:rsidR="008C6EAC" w:rsidRPr="00EC06A2">
        <w:rPr>
          <w:rStyle w:val="Hyperlink"/>
          <w:rFonts w:ascii="Arial" w:hAnsi="Arial" w:cs="Arial"/>
          <w:color w:val="auto"/>
          <w:u w:val="none"/>
        </w:rPr>
        <w:t xml:space="preserve">curriculum must </w:t>
      </w:r>
      <w:r w:rsidR="00D42639" w:rsidRPr="00EC06A2">
        <w:rPr>
          <w:rStyle w:val="Hyperlink"/>
          <w:rFonts w:ascii="Arial" w:hAnsi="Arial" w:cs="Arial"/>
          <w:color w:val="auto"/>
          <w:u w:val="none"/>
        </w:rPr>
        <w:t>be aligned to the CCR</w:t>
      </w:r>
      <w:r w:rsidR="00F17928" w:rsidRPr="00EC06A2">
        <w:rPr>
          <w:rStyle w:val="Hyperlink"/>
          <w:rFonts w:ascii="Arial" w:hAnsi="Arial" w:cs="Arial"/>
          <w:color w:val="auto"/>
          <w:u w:val="none"/>
        </w:rPr>
        <w:t>s</w:t>
      </w:r>
      <w:r w:rsidR="00293C89" w:rsidRPr="00EC06A2">
        <w:rPr>
          <w:rStyle w:val="Hyperlink"/>
          <w:rFonts w:ascii="Arial" w:hAnsi="Arial" w:cs="Arial"/>
          <w:color w:val="auto"/>
          <w:u w:val="none"/>
        </w:rPr>
        <w:t xml:space="preserve">; the state office </w:t>
      </w:r>
      <w:r w:rsidR="00D42639" w:rsidRPr="00EC06A2">
        <w:rPr>
          <w:rStyle w:val="Hyperlink"/>
          <w:rFonts w:ascii="Arial" w:hAnsi="Arial" w:cs="Arial"/>
          <w:color w:val="auto"/>
          <w:u w:val="none"/>
        </w:rPr>
        <w:t xml:space="preserve">made it easier </w:t>
      </w:r>
      <w:r w:rsidR="00293C89" w:rsidRPr="00EC06A2">
        <w:rPr>
          <w:rStyle w:val="Hyperlink"/>
          <w:rFonts w:ascii="Arial" w:hAnsi="Arial" w:cs="Arial"/>
          <w:color w:val="auto"/>
          <w:u w:val="none"/>
        </w:rPr>
        <w:t xml:space="preserve">to implement the new standards </w:t>
      </w:r>
      <w:r w:rsidR="00D42639" w:rsidRPr="00EC06A2">
        <w:rPr>
          <w:rStyle w:val="Hyperlink"/>
          <w:rFonts w:ascii="Arial" w:hAnsi="Arial" w:cs="Arial"/>
          <w:color w:val="auto"/>
          <w:u w:val="none"/>
        </w:rPr>
        <w:t>by providing lesson plans</w:t>
      </w:r>
      <w:r w:rsidR="00293C89" w:rsidRPr="00EC06A2">
        <w:rPr>
          <w:rStyle w:val="Hyperlink"/>
          <w:rFonts w:ascii="Arial" w:hAnsi="Arial" w:cs="Arial"/>
          <w:color w:val="auto"/>
          <w:u w:val="none"/>
        </w:rPr>
        <w:t xml:space="preserve">, PD, and technical assistance. </w:t>
      </w:r>
      <w:r w:rsidR="0017163D" w:rsidRPr="00EC06A2">
        <w:rPr>
          <w:rFonts w:ascii="Arial" w:hAnsi="Arial" w:cs="Arial"/>
        </w:rPr>
        <w:t xml:space="preserve">Now, </w:t>
      </w:r>
      <w:r w:rsidR="00293C89" w:rsidRPr="00EC06A2">
        <w:rPr>
          <w:rFonts w:ascii="Arial" w:hAnsi="Arial" w:cs="Arial"/>
        </w:rPr>
        <w:t>six</w:t>
      </w:r>
      <w:r w:rsidR="0017163D" w:rsidRPr="00EC06A2">
        <w:rPr>
          <w:rFonts w:ascii="Arial" w:hAnsi="Arial" w:cs="Arial"/>
        </w:rPr>
        <w:t xml:space="preserve"> years later, all</w:t>
      </w:r>
      <w:r w:rsidR="00FF7357" w:rsidRPr="00EC06A2">
        <w:rPr>
          <w:rFonts w:ascii="Arial" w:hAnsi="Arial" w:cs="Arial"/>
        </w:rPr>
        <w:t xml:space="preserve"> Aspire programs are using the CCR standards</w:t>
      </w:r>
      <w:r w:rsidR="0017163D" w:rsidRPr="00EC06A2">
        <w:rPr>
          <w:rFonts w:ascii="Arial" w:hAnsi="Arial" w:cs="Arial"/>
        </w:rPr>
        <w:t xml:space="preserve"> to some degree. </w:t>
      </w:r>
      <w:r w:rsidR="00293C89" w:rsidRPr="00EC06A2">
        <w:rPr>
          <w:rFonts w:ascii="Arial" w:hAnsi="Arial" w:cs="Arial"/>
        </w:rPr>
        <w:t>Standards-based education is a</w:t>
      </w:r>
      <w:r w:rsidR="0017163D" w:rsidRPr="00EC06A2">
        <w:rPr>
          <w:rFonts w:ascii="Arial" w:hAnsi="Arial" w:cs="Arial"/>
        </w:rPr>
        <w:t xml:space="preserve"> challenge with</w:t>
      </w:r>
      <w:r w:rsidR="00EB7B30" w:rsidRPr="00EC06A2">
        <w:rPr>
          <w:rFonts w:ascii="Arial" w:hAnsi="Arial" w:cs="Arial"/>
        </w:rPr>
        <w:t xml:space="preserve"> </w:t>
      </w:r>
      <w:r w:rsidR="00293C89" w:rsidRPr="00EC06A2">
        <w:rPr>
          <w:rFonts w:ascii="Arial" w:hAnsi="Arial" w:cs="Arial"/>
        </w:rPr>
        <w:t xml:space="preserve">some </w:t>
      </w:r>
      <w:r w:rsidR="0017163D" w:rsidRPr="00EC06A2">
        <w:rPr>
          <w:rFonts w:ascii="Arial" w:hAnsi="Arial" w:cs="Arial"/>
        </w:rPr>
        <w:t xml:space="preserve">teachers </w:t>
      </w:r>
      <w:r w:rsidR="00F17928" w:rsidRPr="00EC06A2">
        <w:rPr>
          <w:rFonts w:ascii="Arial" w:hAnsi="Arial" w:cs="Arial"/>
        </w:rPr>
        <w:t>who do not see the value in standards-based education and want to</w:t>
      </w:r>
      <w:r w:rsidR="0017163D" w:rsidRPr="00EC06A2">
        <w:rPr>
          <w:rFonts w:ascii="Arial" w:hAnsi="Arial" w:cs="Arial"/>
        </w:rPr>
        <w:t xml:space="preserve"> </w:t>
      </w:r>
      <w:r w:rsidR="00EB7B30" w:rsidRPr="00EC06A2">
        <w:rPr>
          <w:rFonts w:ascii="Arial" w:hAnsi="Arial" w:cs="Arial"/>
        </w:rPr>
        <w:t>t</w:t>
      </w:r>
      <w:r w:rsidR="0017163D" w:rsidRPr="00EC06A2">
        <w:rPr>
          <w:rFonts w:ascii="Arial" w:hAnsi="Arial" w:cs="Arial"/>
        </w:rPr>
        <w:t>each d</w:t>
      </w:r>
      <w:r w:rsidR="00587969" w:rsidRPr="00EC06A2">
        <w:rPr>
          <w:rFonts w:ascii="Arial" w:hAnsi="Arial" w:cs="Arial"/>
        </w:rPr>
        <w:t>irectly to a standardized test</w:t>
      </w:r>
      <w:r w:rsidR="00EC06A2" w:rsidRPr="00EC06A2">
        <w:rPr>
          <w:rFonts w:ascii="Arial" w:hAnsi="Arial" w:cs="Arial"/>
        </w:rPr>
        <w:t xml:space="preserve">, </w:t>
      </w:r>
      <w:r w:rsidR="00F17928" w:rsidRPr="00EC06A2">
        <w:rPr>
          <w:rFonts w:ascii="Arial" w:hAnsi="Arial" w:cs="Arial"/>
        </w:rPr>
        <w:t xml:space="preserve">since performance is evaluated based on testing and not whether they are teaching to the standards. </w:t>
      </w:r>
    </w:p>
    <w:p w:rsidR="00DC4006" w:rsidRPr="00F70214" w:rsidRDefault="00DC4006" w:rsidP="00DC4006">
      <w:pPr>
        <w:autoSpaceDE w:val="0"/>
        <w:autoSpaceDN w:val="0"/>
        <w:adjustRightInd w:val="0"/>
        <w:spacing w:after="0" w:line="240" w:lineRule="auto"/>
        <w:rPr>
          <w:rFonts w:ascii="Arial" w:hAnsi="Arial" w:cs="Arial"/>
          <w:b/>
          <w:bCs/>
        </w:rPr>
      </w:pPr>
      <w:bookmarkStart w:id="2" w:name="_GoBack"/>
      <w:bookmarkEnd w:id="2"/>
      <w:r w:rsidRPr="00A44C7E">
        <w:rPr>
          <w:rStyle w:val="Hyperlink"/>
          <w:rFonts w:ascii="Arial" w:hAnsi="Arial" w:cs="Arial"/>
          <w:b/>
          <w:color w:val="auto"/>
          <w:u w:val="none"/>
        </w:rPr>
        <w:t>6.</w:t>
      </w:r>
      <w:r w:rsidRPr="00F70214">
        <w:rPr>
          <w:rStyle w:val="Hyperlink"/>
          <w:rFonts w:ascii="Arial" w:hAnsi="Arial" w:cs="Arial"/>
          <w:color w:val="auto"/>
          <w:u w:val="none"/>
        </w:rPr>
        <w:t xml:space="preserve"> </w:t>
      </w:r>
      <w:r w:rsidR="006C0AB5">
        <w:rPr>
          <w:rStyle w:val="Hyperlink"/>
          <w:rFonts w:ascii="Arial" w:hAnsi="Arial" w:cs="Arial"/>
          <w:color w:val="auto"/>
          <w:u w:val="none"/>
        </w:rPr>
        <w:tab/>
      </w:r>
      <w:r w:rsidRPr="00F70214">
        <w:rPr>
          <w:rFonts w:ascii="Arial" w:hAnsi="Arial" w:cs="Arial"/>
          <w:b/>
          <w:bCs/>
        </w:rPr>
        <w:t>Programs for Corrections Education and the Education of Other Institutionalized</w:t>
      </w:r>
    </w:p>
    <w:p w:rsidR="00DC4006" w:rsidRPr="00F70214" w:rsidRDefault="00DC4006" w:rsidP="00DC4006">
      <w:pPr>
        <w:ind w:left="720"/>
        <w:rPr>
          <w:rFonts w:ascii="Arial" w:hAnsi="Arial" w:cs="Arial"/>
        </w:rPr>
      </w:pPr>
      <w:r w:rsidRPr="00F70214">
        <w:rPr>
          <w:rFonts w:ascii="Arial" w:hAnsi="Arial" w:cs="Arial"/>
          <w:b/>
          <w:bCs/>
        </w:rPr>
        <w:t xml:space="preserve">Individuals </w:t>
      </w:r>
      <w:r w:rsidRPr="00F70214">
        <w:rPr>
          <w:rFonts w:ascii="Arial" w:hAnsi="Arial" w:cs="Arial"/>
        </w:rPr>
        <w:t>(AEFLA Section 225)</w:t>
      </w:r>
    </w:p>
    <w:p w:rsidR="00A472BD" w:rsidRPr="00EB7B30" w:rsidRDefault="00DC4006" w:rsidP="00EB7B30">
      <w:pPr>
        <w:rPr>
          <w:rFonts w:ascii="Arial" w:hAnsi="Arial" w:cs="Arial"/>
          <w:i/>
          <w:color w:val="548DD4" w:themeColor="text2" w:themeTint="99"/>
        </w:rPr>
      </w:pPr>
      <w:r w:rsidRPr="00EB7B30">
        <w:rPr>
          <w:rFonts w:ascii="Arial" w:hAnsi="Arial" w:cs="Arial"/>
          <w:i/>
          <w:color w:val="548DD4" w:themeColor="text2" w:themeTint="99"/>
        </w:rPr>
        <w:t>What was the relative rate of recidivism for criminal offenders served? Please describe the</w:t>
      </w:r>
      <w:r w:rsidR="00EB7B30" w:rsidRPr="00EB7B30">
        <w:rPr>
          <w:rFonts w:ascii="Arial" w:hAnsi="Arial" w:cs="Arial"/>
          <w:i/>
          <w:color w:val="548DD4" w:themeColor="text2" w:themeTint="99"/>
        </w:rPr>
        <w:t xml:space="preserve"> </w:t>
      </w:r>
      <w:r w:rsidRPr="00EB7B30">
        <w:rPr>
          <w:rFonts w:ascii="Arial" w:hAnsi="Arial" w:cs="Arial"/>
          <w:i/>
          <w:color w:val="548DD4" w:themeColor="text2" w:themeTint="99"/>
        </w:rPr>
        <w:t>methods and factors used in calculating the</w:t>
      </w:r>
      <w:r w:rsidR="00A472BD" w:rsidRPr="00EB7B30">
        <w:rPr>
          <w:rFonts w:ascii="Arial" w:hAnsi="Arial" w:cs="Arial"/>
          <w:i/>
          <w:color w:val="548DD4" w:themeColor="text2" w:themeTint="99"/>
        </w:rPr>
        <w:t xml:space="preserve"> rate for this reporting period. </w:t>
      </w:r>
    </w:p>
    <w:p w:rsidR="005415C0" w:rsidRPr="00B96B7F" w:rsidRDefault="005415C0" w:rsidP="005415C0">
      <w:pPr>
        <w:rPr>
          <w:rFonts w:ascii="Arial" w:hAnsi="Arial" w:cs="Arial"/>
        </w:rPr>
      </w:pPr>
      <w:r w:rsidRPr="00B96B7F">
        <w:rPr>
          <w:rFonts w:ascii="Arial" w:hAnsi="Arial" w:cs="Arial"/>
        </w:rPr>
        <w:t xml:space="preserve">In Ohio, twenty-one AEFLA grantees provided correctional education (CE) in community-based correctional facilities (CBCFs) and jails. Ohio CBCFs and jails do not track recidivism rates, per the Chief at the Bureau of Community Sanctions for the Ohio Department of Rehabilitation and Corrections (ODRC). Recidivism is tracked in the state prisons, but state prisons were not funded with AEFLA dollars in this recent grant cycle. </w:t>
      </w:r>
    </w:p>
    <w:p w:rsidR="00587969" w:rsidRPr="00B96B7F" w:rsidRDefault="00BB4EBC" w:rsidP="00EB7B30">
      <w:pPr>
        <w:rPr>
          <w:rFonts w:ascii="Arial" w:hAnsi="Arial" w:cs="Arial"/>
        </w:rPr>
      </w:pPr>
      <w:r w:rsidRPr="00B96B7F">
        <w:rPr>
          <w:rFonts w:ascii="Arial" w:hAnsi="Arial" w:cs="Arial"/>
        </w:rPr>
        <w:t xml:space="preserve">In PY 2019, 2,589 participants were enrolled in CE, a decrease of 27% from the previous year due to COVID-19. </w:t>
      </w:r>
      <w:r w:rsidR="00587969" w:rsidRPr="00B96B7F">
        <w:rPr>
          <w:rFonts w:ascii="Arial" w:hAnsi="Arial" w:cs="Arial"/>
        </w:rPr>
        <w:t xml:space="preserve"> </w:t>
      </w:r>
    </w:p>
    <w:p w:rsidR="00F0380B" w:rsidRPr="00B96B7F" w:rsidRDefault="000236CA" w:rsidP="00F97840">
      <w:pPr>
        <w:rPr>
          <w:rFonts w:ascii="Arial" w:hAnsi="Arial" w:cs="Arial"/>
        </w:rPr>
      </w:pPr>
      <w:r w:rsidRPr="00B96B7F">
        <w:rPr>
          <w:rFonts w:ascii="Arial" w:hAnsi="Arial" w:cs="Arial"/>
        </w:rPr>
        <w:t>Of th</w:t>
      </w:r>
      <w:r w:rsidR="00BB4EBC" w:rsidRPr="00B96B7F">
        <w:rPr>
          <w:rFonts w:ascii="Arial" w:hAnsi="Arial" w:cs="Arial"/>
        </w:rPr>
        <w:t xml:space="preserve">e CE </w:t>
      </w:r>
      <w:r w:rsidRPr="00B96B7F">
        <w:rPr>
          <w:rFonts w:ascii="Arial" w:hAnsi="Arial" w:cs="Arial"/>
        </w:rPr>
        <w:t xml:space="preserve">participants, </w:t>
      </w:r>
      <w:r w:rsidR="009279D4" w:rsidRPr="00B96B7F">
        <w:rPr>
          <w:rFonts w:ascii="Arial" w:hAnsi="Arial" w:cs="Arial"/>
        </w:rPr>
        <w:t>58% achieved an MSG, significantly higher than the state average of 41% for all participants</w:t>
      </w:r>
      <w:r w:rsidR="00BB4EBC" w:rsidRPr="00B96B7F">
        <w:rPr>
          <w:rFonts w:ascii="Arial" w:hAnsi="Arial" w:cs="Arial"/>
        </w:rPr>
        <w:t xml:space="preserve"> in PY 2019</w:t>
      </w:r>
      <w:r w:rsidR="009279D4" w:rsidRPr="00B96B7F">
        <w:rPr>
          <w:rFonts w:ascii="Arial" w:hAnsi="Arial" w:cs="Arial"/>
        </w:rPr>
        <w:t xml:space="preserve">. </w:t>
      </w:r>
      <w:r w:rsidR="00F0380B" w:rsidRPr="00B96B7F">
        <w:rPr>
          <w:rFonts w:ascii="Arial" w:hAnsi="Arial" w:cs="Arial"/>
        </w:rPr>
        <w:t xml:space="preserve">249 </w:t>
      </w:r>
      <w:r w:rsidR="00BB4EBC" w:rsidRPr="00B96B7F">
        <w:rPr>
          <w:rFonts w:ascii="Arial" w:hAnsi="Arial" w:cs="Arial"/>
        </w:rPr>
        <w:t xml:space="preserve">CE </w:t>
      </w:r>
      <w:r w:rsidR="00F0380B" w:rsidRPr="00B96B7F">
        <w:rPr>
          <w:rFonts w:ascii="Arial" w:hAnsi="Arial" w:cs="Arial"/>
        </w:rPr>
        <w:t xml:space="preserve">participants achieved an HSE and </w:t>
      </w:r>
      <w:r w:rsidRPr="00B96B7F">
        <w:rPr>
          <w:rFonts w:ascii="Arial" w:hAnsi="Arial" w:cs="Arial"/>
        </w:rPr>
        <w:t xml:space="preserve">obtained employment or </w:t>
      </w:r>
      <w:r w:rsidR="00F0380B" w:rsidRPr="00B96B7F">
        <w:rPr>
          <w:rFonts w:ascii="Arial" w:hAnsi="Arial" w:cs="Arial"/>
        </w:rPr>
        <w:t>enrolled in postsecondary education</w:t>
      </w:r>
      <w:r w:rsidRPr="00B96B7F">
        <w:rPr>
          <w:rFonts w:ascii="Arial" w:hAnsi="Arial" w:cs="Arial"/>
        </w:rPr>
        <w:t>.</w:t>
      </w:r>
      <w:r w:rsidR="00F0380B" w:rsidRPr="00B96B7F">
        <w:rPr>
          <w:rFonts w:ascii="Arial" w:hAnsi="Arial" w:cs="Arial"/>
        </w:rPr>
        <w:t xml:space="preserve"> These outcomes are impressive as COVID</w:t>
      </w:r>
      <w:r w:rsidR="00B96B7F" w:rsidRPr="00B96B7F">
        <w:rPr>
          <w:rFonts w:ascii="Arial" w:hAnsi="Arial" w:cs="Arial"/>
        </w:rPr>
        <w:t xml:space="preserve"> significantly impacted corrections education</w:t>
      </w:r>
      <w:r w:rsidR="00BE616C" w:rsidRPr="00B96B7F">
        <w:rPr>
          <w:rFonts w:ascii="Arial" w:hAnsi="Arial" w:cs="Arial"/>
        </w:rPr>
        <w:t xml:space="preserve">. </w:t>
      </w:r>
      <w:r w:rsidRPr="00B96B7F">
        <w:rPr>
          <w:rFonts w:ascii="Arial" w:hAnsi="Arial" w:cs="Arial"/>
        </w:rPr>
        <w:t xml:space="preserve">Ninety-five percent of the correctional facilities suspended AEFLA programming from March – June 2020. </w:t>
      </w:r>
      <w:r w:rsidR="00BE616C" w:rsidRPr="00B96B7F">
        <w:rPr>
          <w:rFonts w:ascii="Arial" w:hAnsi="Arial" w:cs="Arial"/>
        </w:rPr>
        <w:t xml:space="preserve">Without access to the internet and computers, distance learning was not an option. </w:t>
      </w:r>
      <w:r w:rsidRPr="00B96B7F">
        <w:rPr>
          <w:rFonts w:ascii="Arial" w:hAnsi="Arial" w:cs="Arial"/>
        </w:rPr>
        <w:t xml:space="preserve">Some facilities are slowly opening up for classes, but class sizes are reduced. Services are often disrupted because as </w:t>
      </w:r>
      <w:r w:rsidR="00BB4EBC" w:rsidRPr="00B96B7F">
        <w:rPr>
          <w:rFonts w:ascii="Arial" w:hAnsi="Arial" w:cs="Arial"/>
        </w:rPr>
        <w:t>COVID</w:t>
      </w:r>
      <w:r w:rsidRPr="00B96B7F">
        <w:rPr>
          <w:rFonts w:ascii="Arial" w:hAnsi="Arial" w:cs="Arial"/>
        </w:rPr>
        <w:t xml:space="preserve"> outbreaks occur in the facility, they close down. </w:t>
      </w:r>
      <w:r w:rsidR="00BE616C" w:rsidRPr="00B96B7F">
        <w:rPr>
          <w:rFonts w:ascii="Arial" w:hAnsi="Arial" w:cs="Arial"/>
        </w:rPr>
        <w:t>The silver lining is that some correctional facilities are now considering implement</w:t>
      </w:r>
      <w:r w:rsidR="000F4940" w:rsidRPr="00B96B7F">
        <w:rPr>
          <w:rFonts w:ascii="Arial" w:hAnsi="Arial" w:cs="Arial"/>
        </w:rPr>
        <w:t xml:space="preserve">ing </w:t>
      </w:r>
      <w:r w:rsidR="00BE616C" w:rsidRPr="00B96B7F">
        <w:rPr>
          <w:rFonts w:ascii="Arial" w:hAnsi="Arial" w:cs="Arial"/>
        </w:rPr>
        <w:t xml:space="preserve">distance </w:t>
      </w:r>
      <w:r w:rsidR="004173FA">
        <w:rPr>
          <w:rFonts w:ascii="Arial" w:hAnsi="Arial" w:cs="Arial"/>
        </w:rPr>
        <w:t>education.</w:t>
      </w:r>
      <w:r w:rsidR="000F4940" w:rsidRPr="00B96B7F">
        <w:rPr>
          <w:rFonts w:ascii="Arial" w:hAnsi="Arial" w:cs="Arial"/>
        </w:rPr>
        <w:t xml:space="preserve"> </w:t>
      </w:r>
    </w:p>
    <w:p w:rsidR="009279D4" w:rsidRPr="009279D4" w:rsidRDefault="009279D4" w:rsidP="00F97840">
      <w:pPr>
        <w:rPr>
          <w:rFonts w:ascii="Arial" w:hAnsi="Arial" w:cs="Arial"/>
          <w:color w:val="00B0F0"/>
        </w:rPr>
      </w:pPr>
    </w:p>
    <w:sectPr w:rsidR="009279D4" w:rsidRPr="009279D4" w:rsidSect="00ED1860">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D6C" w:rsidRDefault="00D70D6C" w:rsidP="0098114B">
      <w:pPr>
        <w:spacing w:after="0" w:line="240" w:lineRule="auto"/>
      </w:pPr>
      <w:r>
        <w:separator/>
      </w:r>
    </w:p>
  </w:endnote>
  <w:endnote w:type="continuationSeparator" w:id="0">
    <w:p w:rsidR="00D70D6C" w:rsidRDefault="00D70D6C" w:rsidP="0098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15452"/>
      <w:docPartObj>
        <w:docPartGallery w:val="Page Numbers (Bottom of Page)"/>
        <w:docPartUnique/>
      </w:docPartObj>
    </w:sdtPr>
    <w:sdtEndPr>
      <w:rPr>
        <w:noProof/>
      </w:rPr>
    </w:sdtEndPr>
    <w:sdtContent>
      <w:p w:rsidR="00822B67" w:rsidRDefault="00822B67">
        <w:pPr>
          <w:pStyle w:val="Footer"/>
          <w:jc w:val="right"/>
        </w:pPr>
        <w:r>
          <w:fldChar w:fldCharType="begin"/>
        </w:r>
        <w:r>
          <w:instrText xml:space="preserve"> PAGE   \* MERGEFORMAT </w:instrText>
        </w:r>
        <w:r>
          <w:fldChar w:fldCharType="separate"/>
        </w:r>
        <w:r w:rsidR="00F97840">
          <w:rPr>
            <w:noProof/>
          </w:rPr>
          <w:t>1</w:t>
        </w:r>
        <w:r>
          <w:rPr>
            <w:noProof/>
          </w:rPr>
          <w:fldChar w:fldCharType="end"/>
        </w:r>
      </w:p>
    </w:sdtContent>
  </w:sdt>
  <w:p w:rsidR="00714EC8" w:rsidRDefault="0071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D6C" w:rsidRDefault="00D70D6C" w:rsidP="0098114B">
      <w:pPr>
        <w:spacing w:after="0" w:line="240" w:lineRule="auto"/>
      </w:pPr>
      <w:r>
        <w:separator/>
      </w:r>
    </w:p>
  </w:footnote>
  <w:footnote w:type="continuationSeparator" w:id="0">
    <w:p w:rsidR="00D70D6C" w:rsidRDefault="00D70D6C" w:rsidP="00981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EC8" w:rsidRPr="0098114B" w:rsidRDefault="00D70D6C" w:rsidP="0098114B">
    <w:pPr>
      <w:pStyle w:val="Header"/>
      <w:pBdr>
        <w:bottom w:val="thickThinSmallGap" w:sz="24" w:space="1" w:color="622423" w:themeColor="accent2" w:themeShade="7F"/>
      </w:pBdr>
      <w:jc w:val="right"/>
      <w:rPr>
        <w:rFonts w:asciiTheme="majorHAnsi" w:eastAsiaTheme="majorEastAsia" w:hAnsiTheme="majorHAnsi" w:cstheme="majorBidi"/>
        <w:sz w:val="24"/>
        <w:szCs w:val="24"/>
      </w:rPr>
    </w:pPr>
    <w:sdt>
      <w:sdtPr>
        <w:rPr>
          <w:rFonts w:asciiTheme="majorHAnsi" w:eastAsiaTheme="majorEastAsia" w:hAnsiTheme="majorHAnsi" w:cstheme="majorBid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EE1FE7">
          <w:rPr>
            <w:rFonts w:asciiTheme="majorHAnsi" w:eastAsiaTheme="majorEastAsia" w:hAnsiTheme="majorHAnsi" w:cstheme="majorBidi"/>
            <w:sz w:val="24"/>
            <w:szCs w:val="24"/>
          </w:rPr>
          <w:t xml:space="preserve">Ohio APR Narrative Report PY </w:t>
        </w:r>
        <w:r w:rsidR="00A53B4A">
          <w:rPr>
            <w:rFonts w:asciiTheme="majorHAnsi" w:eastAsiaTheme="majorEastAsia" w:hAnsiTheme="majorHAnsi" w:cstheme="majorBidi"/>
            <w:sz w:val="24"/>
            <w:szCs w:val="24"/>
          </w:rPr>
          <w:t>20</w:t>
        </w:r>
        <w:r w:rsidR="0051716A">
          <w:rPr>
            <w:rFonts w:asciiTheme="majorHAnsi" w:eastAsiaTheme="majorEastAsia" w:hAnsiTheme="majorHAnsi" w:cstheme="majorBidi"/>
            <w:sz w:val="24"/>
            <w:szCs w:val="24"/>
          </w:rPr>
          <w:t>19-2020</w:t>
        </w:r>
      </w:sdtContent>
    </w:sdt>
  </w:p>
  <w:p w:rsidR="00714EC8" w:rsidRDefault="0071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A3B"/>
    <w:multiLevelType w:val="hybridMultilevel"/>
    <w:tmpl w:val="2EE697E4"/>
    <w:lvl w:ilvl="0" w:tplc="7244F7FC">
      <w:start w:val="1"/>
      <w:numFmt w:val="upperLetter"/>
      <w:lvlText w:val="%1."/>
      <w:lvlJc w:val="left"/>
      <w:pPr>
        <w:ind w:left="1170" w:hanging="360"/>
      </w:pPr>
      <w:rPr>
        <w:rFonts w:ascii="Arial" w:hAnsi="Arial" w:cs="Arial" w:hint="default"/>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2843DBA"/>
    <w:multiLevelType w:val="hybridMultilevel"/>
    <w:tmpl w:val="A44C8878"/>
    <w:lvl w:ilvl="0" w:tplc="0AB405E6">
      <w:start w:val="1"/>
      <w:numFmt w:val="decimal"/>
      <w:lvlText w:val="%1."/>
      <w:lvlJc w:val="left"/>
      <w:pPr>
        <w:ind w:left="990" w:hanging="360"/>
      </w:pPr>
      <w:rPr>
        <w:rFonts w:ascii="Arial" w:hAnsi="Arial" w:cs="Arial" w:hint="default"/>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2C91527"/>
    <w:multiLevelType w:val="hybridMultilevel"/>
    <w:tmpl w:val="9F06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293AC1"/>
    <w:multiLevelType w:val="hybridMultilevel"/>
    <w:tmpl w:val="2E665BE4"/>
    <w:lvl w:ilvl="0" w:tplc="78F84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97D9C"/>
    <w:multiLevelType w:val="hybridMultilevel"/>
    <w:tmpl w:val="2B26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25133"/>
    <w:multiLevelType w:val="hybridMultilevel"/>
    <w:tmpl w:val="95FC7AD4"/>
    <w:lvl w:ilvl="0" w:tplc="8320D7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B7661A4"/>
    <w:multiLevelType w:val="hybridMultilevel"/>
    <w:tmpl w:val="908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44D6F"/>
    <w:multiLevelType w:val="hybridMultilevel"/>
    <w:tmpl w:val="9EC47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F8F0357"/>
    <w:multiLevelType w:val="hybridMultilevel"/>
    <w:tmpl w:val="E82EA8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D52C3"/>
    <w:multiLevelType w:val="hybridMultilevel"/>
    <w:tmpl w:val="86D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92265"/>
    <w:multiLevelType w:val="hybridMultilevel"/>
    <w:tmpl w:val="8E68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84C2D"/>
    <w:multiLevelType w:val="hybridMultilevel"/>
    <w:tmpl w:val="97840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EF6733"/>
    <w:multiLevelType w:val="hybridMultilevel"/>
    <w:tmpl w:val="B8C86960"/>
    <w:lvl w:ilvl="0" w:tplc="F3A8FB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2690F"/>
    <w:multiLevelType w:val="hybridMultilevel"/>
    <w:tmpl w:val="886C3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87577F7"/>
    <w:multiLevelType w:val="hybridMultilevel"/>
    <w:tmpl w:val="30D6FC76"/>
    <w:lvl w:ilvl="0" w:tplc="026AFCBA">
      <w:start w:val="1"/>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275227E"/>
    <w:multiLevelType w:val="hybridMultilevel"/>
    <w:tmpl w:val="F14231E6"/>
    <w:lvl w:ilvl="0" w:tplc="04090001">
      <w:start w:val="1"/>
      <w:numFmt w:val="bullet"/>
      <w:lvlText w:val=""/>
      <w:lvlJc w:val="left"/>
      <w:pPr>
        <w:ind w:left="990" w:hanging="360"/>
      </w:pPr>
      <w:rPr>
        <w:rFonts w:ascii="Symbol" w:hAnsi="Symbo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710" w:hanging="360"/>
      </w:pPr>
      <w:rPr>
        <w:rFonts w:ascii="Symbol" w:hAnsi="Symbol" w:hint="default"/>
      </w:rPr>
    </w:lvl>
    <w:lvl w:ilvl="2" w:tplc="04090003">
      <w:start w:val="1"/>
      <w:numFmt w:val="bullet"/>
      <w:lvlText w:val="o"/>
      <w:lvlJc w:val="left"/>
      <w:pPr>
        <w:ind w:left="2430" w:hanging="180"/>
      </w:pPr>
      <w:rPr>
        <w:rFonts w:ascii="Courier New" w:hAnsi="Courier New" w:cs="Courier New" w:hint="default"/>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BBD2B89"/>
    <w:multiLevelType w:val="hybridMultilevel"/>
    <w:tmpl w:val="1AD2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71713"/>
    <w:multiLevelType w:val="hybridMultilevel"/>
    <w:tmpl w:val="EF7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D343E"/>
    <w:multiLevelType w:val="hybridMultilevel"/>
    <w:tmpl w:val="DC34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204A5"/>
    <w:multiLevelType w:val="hybridMultilevel"/>
    <w:tmpl w:val="B05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D217B"/>
    <w:multiLevelType w:val="hybridMultilevel"/>
    <w:tmpl w:val="8E0E2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B83E45"/>
    <w:multiLevelType w:val="hybridMultilevel"/>
    <w:tmpl w:val="195400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42CC50D8"/>
    <w:multiLevelType w:val="hybridMultilevel"/>
    <w:tmpl w:val="49523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7C0109"/>
    <w:multiLevelType w:val="hybridMultilevel"/>
    <w:tmpl w:val="D3DC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F1511"/>
    <w:multiLevelType w:val="hybridMultilevel"/>
    <w:tmpl w:val="EFCC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282D9C"/>
    <w:multiLevelType w:val="hybridMultilevel"/>
    <w:tmpl w:val="DB8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A1824"/>
    <w:multiLevelType w:val="hybridMultilevel"/>
    <w:tmpl w:val="7E005CAA"/>
    <w:lvl w:ilvl="0" w:tplc="04090015">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AE624C0"/>
    <w:multiLevelType w:val="hybridMultilevel"/>
    <w:tmpl w:val="33F49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76365E"/>
    <w:multiLevelType w:val="hybridMultilevel"/>
    <w:tmpl w:val="EC169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492270B"/>
    <w:multiLevelType w:val="hybridMultilevel"/>
    <w:tmpl w:val="0B9CA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5AF558E"/>
    <w:multiLevelType w:val="multilevel"/>
    <w:tmpl w:val="8A9C07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C1996"/>
    <w:multiLevelType w:val="hybridMultilevel"/>
    <w:tmpl w:val="FD16F668"/>
    <w:lvl w:ilvl="0" w:tplc="60DAF950">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32" w15:restartNumberingAfterBreak="0">
    <w:nsid w:val="5C5E3994"/>
    <w:multiLevelType w:val="hybridMultilevel"/>
    <w:tmpl w:val="23A60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D350F90"/>
    <w:multiLevelType w:val="hybridMultilevel"/>
    <w:tmpl w:val="8AB2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87458"/>
    <w:multiLevelType w:val="hybridMultilevel"/>
    <w:tmpl w:val="6574825C"/>
    <w:lvl w:ilvl="0" w:tplc="F3A8FB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734E4"/>
    <w:multiLevelType w:val="hybridMultilevel"/>
    <w:tmpl w:val="E82EA8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038B2"/>
    <w:multiLevelType w:val="multilevel"/>
    <w:tmpl w:val="C8D4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8173E"/>
    <w:multiLevelType w:val="hybridMultilevel"/>
    <w:tmpl w:val="C4C08D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6E644EB2"/>
    <w:multiLevelType w:val="hybridMultilevel"/>
    <w:tmpl w:val="E48A2930"/>
    <w:lvl w:ilvl="0" w:tplc="6262A0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2249CC"/>
    <w:multiLevelType w:val="hybridMultilevel"/>
    <w:tmpl w:val="D78E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77C5D"/>
    <w:multiLevelType w:val="hybridMultilevel"/>
    <w:tmpl w:val="0B98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97688"/>
    <w:multiLevelType w:val="hybridMultilevel"/>
    <w:tmpl w:val="58148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8D55C94"/>
    <w:multiLevelType w:val="hybridMultilevel"/>
    <w:tmpl w:val="C2861B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C9B2928"/>
    <w:multiLevelType w:val="hybridMultilevel"/>
    <w:tmpl w:val="AA0AD8DA"/>
    <w:lvl w:ilvl="0" w:tplc="D242BDC0">
      <w:start w:val="1"/>
      <w:numFmt w:val="decimal"/>
      <w:lvlText w:val="%1."/>
      <w:lvlJc w:val="left"/>
      <w:pPr>
        <w:ind w:left="900" w:hanging="360"/>
      </w:pPr>
      <w:rPr>
        <w:b w:val="0"/>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6"/>
  </w:num>
  <w:num w:numId="2">
    <w:abstractNumId w:val="0"/>
  </w:num>
  <w:num w:numId="3">
    <w:abstractNumId w:val="33"/>
  </w:num>
  <w:num w:numId="4">
    <w:abstractNumId w:val="27"/>
  </w:num>
  <w:num w:numId="5">
    <w:abstractNumId w:val="15"/>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5"/>
  </w:num>
  <w:num w:numId="12">
    <w:abstractNumId w:val="14"/>
  </w:num>
  <w:num w:numId="13">
    <w:abstractNumId w:val="1"/>
  </w:num>
  <w:num w:numId="14">
    <w:abstractNumId w:val="5"/>
  </w:num>
  <w:num w:numId="15">
    <w:abstractNumId w:val="26"/>
  </w:num>
  <w:num w:numId="16">
    <w:abstractNumId w:val="13"/>
  </w:num>
  <w:num w:numId="17">
    <w:abstractNumId w:val="21"/>
  </w:num>
  <w:num w:numId="18">
    <w:abstractNumId w:val="18"/>
  </w:num>
  <w:num w:numId="19">
    <w:abstractNumId w:val="8"/>
  </w:num>
  <w:num w:numId="20">
    <w:abstractNumId w:val="10"/>
  </w:num>
  <w:num w:numId="21">
    <w:abstractNumId w:val="11"/>
  </w:num>
  <w:num w:numId="22">
    <w:abstractNumId w:val="37"/>
  </w:num>
  <w:num w:numId="23">
    <w:abstractNumId w:val="3"/>
  </w:num>
  <w:num w:numId="24">
    <w:abstractNumId w:val="12"/>
  </w:num>
  <w:num w:numId="25">
    <w:abstractNumId w:val="34"/>
  </w:num>
  <w:num w:numId="26">
    <w:abstractNumId w:val="41"/>
  </w:num>
  <w:num w:numId="27">
    <w:abstractNumId w:val="42"/>
  </w:num>
  <w:num w:numId="28">
    <w:abstractNumId w:val="20"/>
  </w:num>
  <w:num w:numId="29">
    <w:abstractNumId w:val="24"/>
  </w:num>
  <w:num w:numId="30">
    <w:abstractNumId w:val="30"/>
  </w:num>
  <w:num w:numId="31">
    <w:abstractNumId w:val="36"/>
  </w:num>
  <w:num w:numId="32">
    <w:abstractNumId w:val="25"/>
  </w:num>
  <w:num w:numId="33">
    <w:abstractNumId w:val="16"/>
  </w:num>
  <w:num w:numId="34">
    <w:abstractNumId w:val="19"/>
  </w:num>
  <w:num w:numId="35">
    <w:abstractNumId w:val="4"/>
  </w:num>
  <w:num w:numId="36">
    <w:abstractNumId w:val="40"/>
  </w:num>
  <w:num w:numId="37">
    <w:abstractNumId w:val="22"/>
  </w:num>
  <w:num w:numId="38">
    <w:abstractNumId w:val="7"/>
  </w:num>
  <w:num w:numId="39">
    <w:abstractNumId w:val="2"/>
  </w:num>
  <w:num w:numId="40">
    <w:abstractNumId w:val="2"/>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lvlOverride w:ilvl="2"/>
    <w:lvlOverride w:ilvl="3"/>
    <w:lvlOverride w:ilvl="4"/>
    <w:lvlOverride w:ilvl="5"/>
    <w:lvlOverride w:ilvl="6"/>
    <w:lvlOverride w:ilvl="7"/>
    <w:lvlOverride w:ilvl="8"/>
  </w:num>
  <w:num w:numId="43">
    <w:abstractNumId w:val="17"/>
  </w:num>
  <w:num w:numId="44">
    <w:abstractNumId w:val="39"/>
  </w:num>
  <w:num w:numId="45">
    <w:abstractNumId w:val="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0D"/>
    <w:rsid w:val="0000294E"/>
    <w:rsid w:val="00002C96"/>
    <w:rsid w:val="00004A6C"/>
    <w:rsid w:val="00007FF7"/>
    <w:rsid w:val="00017411"/>
    <w:rsid w:val="000236CA"/>
    <w:rsid w:val="00023F7E"/>
    <w:rsid w:val="000372C7"/>
    <w:rsid w:val="000427FF"/>
    <w:rsid w:val="00055BB0"/>
    <w:rsid w:val="00056342"/>
    <w:rsid w:val="0005703F"/>
    <w:rsid w:val="00063371"/>
    <w:rsid w:val="00067085"/>
    <w:rsid w:val="00076387"/>
    <w:rsid w:val="00080B02"/>
    <w:rsid w:val="00083AA5"/>
    <w:rsid w:val="0009224A"/>
    <w:rsid w:val="0009570C"/>
    <w:rsid w:val="0009768E"/>
    <w:rsid w:val="00097D8F"/>
    <w:rsid w:val="000A6DF3"/>
    <w:rsid w:val="000B3522"/>
    <w:rsid w:val="000B464D"/>
    <w:rsid w:val="000B5698"/>
    <w:rsid w:val="000B6067"/>
    <w:rsid w:val="000B73C2"/>
    <w:rsid w:val="000C2DA8"/>
    <w:rsid w:val="000D0645"/>
    <w:rsid w:val="000D0B05"/>
    <w:rsid w:val="000E0326"/>
    <w:rsid w:val="000E1B1C"/>
    <w:rsid w:val="000E2F44"/>
    <w:rsid w:val="000E5C34"/>
    <w:rsid w:val="000F037E"/>
    <w:rsid w:val="000F425C"/>
    <w:rsid w:val="000F4940"/>
    <w:rsid w:val="000F61D1"/>
    <w:rsid w:val="001070EA"/>
    <w:rsid w:val="001152FC"/>
    <w:rsid w:val="00115804"/>
    <w:rsid w:val="00115CED"/>
    <w:rsid w:val="001214A2"/>
    <w:rsid w:val="00133F2B"/>
    <w:rsid w:val="001360A7"/>
    <w:rsid w:val="001362EE"/>
    <w:rsid w:val="00140F74"/>
    <w:rsid w:val="00143A0A"/>
    <w:rsid w:val="001462CB"/>
    <w:rsid w:val="001478CD"/>
    <w:rsid w:val="00161AEF"/>
    <w:rsid w:val="00164D2E"/>
    <w:rsid w:val="0017163D"/>
    <w:rsid w:val="0017752A"/>
    <w:rsid w:val="00181483"/>
    <w:rsid w:val="00182C5D"/>
    <w:rsid w:val="001A4769"/>
    <w:rsid w:val="001B52D1"/>
    <w:rsid w:val="001B7D13"/>
    <w:rsid w:val="001C1537"/>
    <w:rsid w:val="001E27CC"/>
    <w:rsid w:val="001E68FB"/>
    <w:rsid w:val="00204B03"/>
    <w:rsid w:val="002107E3"/>
    <w:rsid w:val="002119DB"/>
    <w:rsid w:val="00212C25"/>
    <w:rsid w:val="00220504"/>
    <w:rsid w:val="00224AD6"/>
    <w:rsid w:val="0022754E"/>
    <w:rsid w:val="00233E0E"/>
    <w:rsid w:val="00234F24"/>
    <w:rsid w:val="00236343"/>
    <w:rsid w:val="002455D2"/>
    <w:rsid w:val="00246965"/>
    <w:rsid w:val="00246C3D"/>
    <w:rsid w:val="0025099D"/>
    <w:rsid w:val="00251928"/>
    <w:rsid w:val="00254ECC"/>
    <w:rsid w:val="0025577E"/>
    <w:rsid w:val="002610B8"/>
    <w:rsid w:val="0026409D"/>
    <w:rsid w:val="00266DB3"/>
    <w:rsid w:val="00277287"/>
    <w:rsid w:val="00283DA8"/>
    <w:rsid w:val="00293C89"/>
    <w:rsid w:val="002B0328"/>
    <w:rsid w:val="002B5446"/>
    <w:rsid w:val="002C1476"/>
    <w:rsid w:val="002C1D3E"/>
    <w:rsid w:val="002C3578"/>
    <w:rsid w:val="002E0582"/>
    <w:rsid w:val="002E2C78"/>
    <w:rsid w:val="002E3C62"/>
    <w:rsid w:val="002E7187"/>
    <w:rsid w:val="002F01ED"/>
    <w:rsid w:val="002F1DAE"/>
    <w:rsid w:val="002F2A18"/>
    <w:rsid w:val="002F4130"/>
    <w:rsid w:val="002F5219"/>
    <w:rsid w:val="00300E70"/>
    <w:rsid w:val="00310595"/>
    <w:rsid w:val="00325A8D"/>
    <w:rsid w:val="00326E43"/>
    <w:rsid w:val="0033736D"/>
    <w:rsid w:val="003376D7"/>
    <w:rsid w:val="00354D62"/>
    <w:rsid w:val="00357329"/>
    <w:rsid w:val="0036272C"/>
    <w:rsid w:val="003627E2"/>
    <w:rsid w:val="00367F58"/>
    <w:rsid w:val="0037428F"/>
    <w:rsid w:val="00376E3C"/>
    <w:rsid w:val="003816D0"/>
    <w:rsid w:val="00386022"/>
    <w:rsid w:val="003874A5"/>
    <w:rsid w:val="00390581"/>
    <w:rsid w:val="00397B89"/>
    <w:rsid w:val="003A0B5F"/>
    <w:rsid w:val="003A2EF6"/>
    <w:rsid w:val="003A3B1D"/>
    <w:rsid w:val="003A3D46"/>
    <w:rsid w:val="003A5548"/>
    <w:rsid w:val="003A5671"/>
    <w:rsid w:val="003B13AF"/>
    <w:rsid w:val="003B4E77"/>
    <w:rsid w:val="003B64E8"/>
    <w:rsid w:val="003B7084"/>
    <w:rsid w:val="003C0F83"/>
    <w:rsid w:val="003C5121"/>
    <w:rsid w:val="003E5024"/>
    <w:rsid w:val="003E5D55"/>
    <w:rsid w:val="003E79B1"/>
    <w:rsid w:val="003F0D89"/>
    <w:rsid w:val="00402A83"/>
    <w:rsid w:val="00403498"/>
    <w:rsid w:val="00416081"/>
    <w:rsid w:val="004173FA"/>
    <w:rsid w:val="00425E3F"/>
    <w:rsid w:val="00426510"/>
    <w:rsid w:val="0043204D"/>
    <w:rsid w:val="0043348A"/>
    <w:rsid w:val="0044010A"/>
    <w:rsid w:val="004438B0"/>
    <w:rsid w:val="00452F25"/>
    <w:rsid w:val="004626B7"/>
    <w:rsid w:val="0046523E"/>
    <w:rsid w:val="004656E3"/>
    <w:rsid w:val="00465B54"/>
    <w:rsid w:val="00480FC9"/>
    <w:rsid w:val="0048153C"/>
    <w:rsid w:val="0048366C"/>
    <w:rsid w:val="004856F9"/>
    <w:rsid w:val="00492E7D"/>
    <w:rsid w:val="004947BA"/>
    <w:rsid w:val="004A11A3"/>
    <w:rsid w:val="004A2588"/>
    <w:rsid w:val="004A6290"/>
    <w:rsid w:val="004B2D09"/>
    <w:rsid w:val="004B606E"/>
    <w:rsid w:val="004C4E27"/>
    <w:rsid w:val="004C6E1E"/>
    <w:rsid w:val="004C6E64"/>
    <w:rsid w:val="004D2966"/>
    <w:rsid w:val="004E5ADD"/>
    <w:rsid w:val="004E5F6E"/>
    <w:rsid w:val="004F0242"/>
    <w:rsid w:val="004F581E"/>
    <w:rsid w:val="00506B63"/>
    <w:rsid w:val="005115D0"/>
    <w:rsid w:val="00511BC1"/>
    <w:rsid w:val="005122C5"/>
    <w:rsid w:val="00514091"/>
    <w:rsid w:val="005155F6"/>
    <w:rsid w:val="0051716A"/>
    <w:rsid w:val="00521284"/>
    <w:rsid w:val="00524641"/>
    <w:rsid w:val="00526F4D"/>
    <w:rsid w:val="00531480"/>
    <w:rsid w:val="00535263"/>
    <w:rsid w:val="00537738"/>
    <w:rsid w:val="005415C0"/>
    <w:rsid w:val="005504B3"/>
    <w:rsid w:val="00552B7C"/>
    <w:rsid w:val="00552C04"/>
    <w:rsid w:val="00554315"/>
    <w:rsid w:val="005655DD"/>
    <w:rsid w:val="00567EFF"/>
    <w:rsid w:val="005762A9"/>
    <w:rsid w:val="005830FA"/>
    <w:rsid w:val="0058323A"/>
    <w:rsid w:val="00584160"/>
    <w:rsid w:val="00587969"/>
    <w:rsid w:val="00590370"/>
    <w:rsid w:val="005936A3"/>
    <w:rsid w:val="005A0262"/>
    <w:rsid w:val="005A0358"/>
    <w:rsid w:val="005A5A45"/>
    <w:rsid w:val="005A74DF"/>
    <w:rsid w:val="005A79C9"/>
    <w:rsid w:val="005C0481"/>
    <w:rsid w:val="005C10B7"/>
    <w:rsid w:val="005C3B66"/>
    <w:rsid w:val="005C6445"/>
    <w:rsid w:val="005C681F"/>
    <w:rsid w:val="005D12CF"/>
    <w:rsid w:val="005D17BF"/>
    <w:rsid w:val="005D2A55"/>
    <w:rsid w:val="005D3C77"/>
    <w:rsid w:val="005D4146"/>
    <w:rsid w:val="005E3266"/>
    <w:rsid w:val="005E4658"/>
    <w:rsid w:val="005E76EE"/>
    <w:rsid w:val="005F04F6"/>
    <w:rsid w:val="005F0F2B"/>
    <w:rsid w:val="005F12D5"/>
    <w:rsid w:val="005F3B92"/>
    <w:rsid w:val="005F46F4"/>
    <w:rsid w:val="00600AAD"/>
    <w:rsid w:val="00604323"/>
    <w:rsid w:val="00604898"/>
    <w:rsid w:val="006048C3"/>
    <w:rsid w:val="00606E91"/>
    <w:rsid w:val="00610A7C"/>
    <w:rsid w:val="00611612"/>
    <w:rsid w:val="0061255A"/>
    <w:rsid w:val="006163EE"/>
    <w:rsid w:val="00616D11"/>
    <w:rsid w:val="00617740"/>
    <w:rsid w:val="006205D7"/>
    <w:rsid w:val="00625348"/>
    <w:rsid w:val="00632F36"/>
    <w:rsid w:val="00637DCB"/>
    <w:rsid w:val="00646474"/>
    <w:rsid w:val="00650250"/>
    <w:rsid w:val="00651C19"/>
    <w:rsid w:val="00652862"/>
    <w:rsid w:val="00652B04"/>
    <w:rsid w:val="006557C0"/>
    <w:rsid w:val="00657646"/>
    <w:rsid w:val="0066207E"/>
    <w:rsid w:val="0067201B"/>
    <w:rsid w:val="00682226"/>
    <w:rsid w:val="006822AA"/>
    <w:rsid w:val="00682B10"/>
    <w:rsid w:val="0068304A"/>
    <w:rsid w:val="00690457"/>
    <w:rsid w:val="00694694"/>
    <w:rsid w:val="006A2111"/>
    <w:rsid w:val="006A2A66"/>
    <w:rsid w:val="006A3FA6"/>
    <w:rsid w:val="006A6081"/>
    <w:rsid w:val="006C0AB5"/>
    <w:rsid w:val="006E2BAD"/>
    <w:rsid w:val="006F1356"/>
    <w:rsid w:val="006F704E"/>
    <w:rsid w:val="00711621"/>
    <w:rsid w:val="00712E08"/>
    <w:rsid w:val="00714EC8"/>
    <w:rsid w:val="00715EE4"/>
    <w:rsid w:val="00717E0F"/>
    <w:rsid w:val="00722C9C"/>
    <w:rsid w:val="007253E9"/>
    <w:rsid w:val="007310AE"/>
    <w:rsid w:val="007311C5"/>
    <w:rsid w:val="00731DE4"/>
    <w:rsid w:val="007368A4"/>
    <w:rsid w:val="00743EC6"/>
    <w:rsid w:val="00752A79"/>
    <w:rsid w:val="0075410D"/>
    <w:rsid w:val="0075684F"/>
    <w:rsid w:val="00756B57"/>
    <w:rsid w:val="007758A1"/>
    <w:rsid w:val="00775E0D"/>
    <w:rsid w:val="0078290E"/>
    <w:rsid w:val="0079181B"/>
    <w:rsid w:val="007A777B"/>
    <w:rsid w:val="007A7DA5"/>
    <w:rsid w:val="007B352F"/>
    <w:rsid w:val="007C214C"/>
    <w:rsid w:val="007C279E"/>
    <w:rsid w:val="007C4775"/>
    <w:rsid w:val="007C5393"/>
    <w:rsid w:val="007C6AD9"/>
    <w:rsid w:val="007D51A6"/>
    <w:rsid w:val="007E1A0B"/>
    <w:rsid w:val="007E6226"/>
    <w:rsid w:val="007E6416"/>
    <w:rsid w:val="007F5B22"/>
    <w:rsid w:val="00802B6B"/>
    <w:rsid w:val="00803D47"/>
    <w:rsid w:val="00805D44"/>
    <w:rsid w:val="00816A48"/>
    <w:rsid w:val="00817C27"/>
    <w:rsid w:val="008218D6"/>
    <w:rsid w:val="00822B67"/>
    <w:rsid w:val="00826F55"/>
    <w:rsid w:val="00834489"/>
    <w:rsid w:val="008354FE"/>
    <w:rsid w:val="00846F55"/>
    <w:rsid w:val="0085057F"/>
    <w:rsid w:val="008527DE"/>
    <w:rsid w:val="00856D6E"/>
    <w:rsid w:val="00860EF1"/>
    <w:rsid w:val="00861262"/>
    <w:rsid w:val="00865C4A"/>
    <w:rsid w:val="00866C17"/>
    <w:rsid w:val="00867A7C"/>
    <w:rsid w:val="00872633"/>
    <w:rsid w:val="008760A1"/>
    <w:rsid w:val="00876D5F"/>
    <w:rsid w:val="0087785F"/>
    <w:rsid w:val="008842D5"/>
    <w:rsid w:val="0088469A"/>
    <w:rsid w:val="0088488A"/>
    <w:rsid w:val="00885E10"/>
    <w:rsid w:val="008974A2"/>
    <w:rsid w:val="008A2DB9"/>
    <w:rsid w:val="008A3542"/>
    <w:rsid w:val="008A4B55"/>
    <w:rsid w:val="008B0592"/>
    <w:rsid w:val="008B0FB5"/>
    <w:rsid w:val="008B1B45"/>
    <w:rsid w:val="008C6EAC"/>
    <w:rsid w:val="008D32B1"/>
    <w:rsid w:val="008D39B2"/>
    <w:rsid w:val="008D701B"/>
    <w:rsid w:val="008D76B9"/>
    <w:rsid w:val="008E1FBD"/>
    <w:rsid w:val="008E47FD"/>
    <w:rsid w:val="008E68D0"/>
    <w:rsid w:val="008F5C3A"/>
    <w:rsid w:val="00904F50"/>
    <w:rsid w:val="009136E8"/>
    <w:rsid w:val="009170CD"/>
    <w:rsid w:val="009279D4"/>
    <w:rsid w:val="00936F6B"/>
    <w:rsid w:val="00943011"/>
    <w:rsid w:val="009451D3"/>
    <w:rsid w:val="00962061"/>
    <w:rsid w:val="00962838"/>
    <w:rsid w:val="009652B1"/>
    <w:rsid w:val="00965F72"/>
    <w:rsid w:val="00966493"/>
    <w:rsid w:val="00967B5D"/>
    <w:rsid w:val="0098114B"/>
    <w:rsid w:val="00982750"/>
    <w:rsid w:val="0099162C"/>
    <w:rsid w:val="009A0EB1"/>
    <w:rsid w:val="009A5BCA"/>
    <w:rsid w:val="009B0231"/>
    <w:rsid w:val="009B446C"/>
    <w:rsid w:val="009B4A15"/>
    <w:rsid w:val="009C51F3"/>
    <w:rsid w:val="009D486D"/>
    <w:rsid w:val="009D71F3"/>
    <w:rsid w:val="009D7E74"/>
    <w:rsid w:val="009E004D"/>
    <w:rsid w:val="009E70A9"/>
    <w:rsid w:val="009E7564"/>
    <w:rsid w:val="00A06245"/>
    <w:rsid w:val="00A14619"/>
    <w:rsid w:val="00A16FD2"/>
    <w:rsid w:val="00A24C30"/>
    <w:rsid w:val="00A3046F"/>
    <w:rsid w:val="00A37C71"/>
    <w:rsid w:val="00A44C7E"/>
    <w:rsid w:val="00A45E78"/>
    <w:rsid w:val="00A472BD"/>
    <w:rsid w:val="00A53ADF"/>
    <w:rsid w:val="00A53B4A"/>
    <w:rsid w:val="00A57C08"/>
    <w:rsid w:val="00A60443"/>
    <w:rsid w:val="00A639F2"/>
    <w:rsid w:val="00A71097"/>
    <w:rsid w:val="00A7359F"/>
    <w:rsid w:val="00A766D0"/>
    <w:rsid w:val="00A77FAC"/>
    <w:rsid w:val="00A81164"/>
    <w:rsid w:val="00A83A49"/>
    <w:rsid w:val="00A97617"/>
    <w:rsid w:val="00AA15BE"/>
    <w:rsid w:val="00AA5E2D"/>
    <w:rsid w:val="00AB1ACD"/>
    <w:rsid w:val="00AB4AF4"/>
    <w:rsid w:val="00AC5A21"/>
    <w:rsid w:val="00AC683B"/>
    <w:rsid w:val="00AC706E"/>
    <w:rsid w:val="00AD1D20"/>
    <w:rsid w:val="00AD572C"/>
    <w:rsid w:val="00AE5CA5"/>
    <w:rsid w:val="00AF5E6C"/>
    <w:rsid w:val="00AF6FAB"/>
    <w:rsid w:val="00B15D5E"/>
    <w:rsid w:val="00B275D4"/>
    <w:rsid w:val="00B30D8D"/>
    <w:rsid w:val="00B33F0C"/>
    <w:rsid w:val="00B41556"/>
    <w:rsid w:val="00B42A1D"/>
    <w:rsid w:val="00B473AC"/>
    <w:rsid w:val="00B50184"/>
    <w:rsid w:val="00B50DF6"/>
    <w:rsid w:val="00B52715"/>
    <w:rsid w:val="00B62389"/>
    <w:rsid w:val="00B6375C"/>
    <w:rsid w:val="00B664EE"/>
    <w:rsid w:val="00B668BA"/>
    <w:rsid w:val="00B66C20"/>
    <w:rsid w:val="00B741A9"/>
    <w:rsid w:val="00B777AD"/>
    <w:rsid w:val="00B819B7"/>
    <w:rsid w:val="00B8377C"/>
    <w:rsid w:val="00B84CF7"/>
    <w:rsid w:val="00B85282"/>
    <w:rsid w:val="00B92D94"/>
    <w:rsid w:val="00B96358"/>
    <w:rsid w:val="00B96B7F"/>
    <w:rsid w:val="00BA65A7"/>
    <w:rsid w:val="00BB4CFE"/>
    <w:rsid w:val="00BB4EBC"/>
    <w:rsid w:val="00BC381C"/>
    <w:rsid w:val="00BD0F40"/>
    <w:rsid w:val="00BD795C"/>
    <w:rsid w:val="00BD7E84"/>
    <w:rsid w:val="00BE182E"/>
    <w:rsid w:val="00BE616C"/>
    <w:rsid w:val="00BE67B5"/>
    <w:rsid w:val="00BF760D"/>
    <w:rsid w:val="00C024E9"/>
    <w:rsid w:val="00C05567"/>
    <w:rsid w:val="00C05939"/>
    <w:rsid w:val="00C06106"/>
    <w:rsid w:val="00C069B7"/>
    <w:rsid w:val="00C0774D"/>
    <w:rsid w:val="00C10BE8"/>
    <w:rsid w:val="00C14DC7"/>
    <w:rsid w:val="00C157C1"/>
    <w:rsid w:val="00C16182"/>
    <w:rsid w:val="00C17B80"/>
    <w:rsid w:val="00C30074"/>
    <w:rsid w:val="00C30473"/>
    <w:rsid w:val="00C31E35"/>
    <w:rsid w:val="00C420D5"/>
    <w:rsid w:val="00C453D0"/>
    <w:rsid w:val="00C50FA6"/>
    <w:rsid w:val="00C526BC"/>
    <w:rsid w:val="00C572EF"/>
    <w:rsid w:val="00C60C25"/>
    <w:rsid w:val="00C669F7"/>
    <w:rsid w:val="00C77DBE"/>
    <w:rsid w:val="00C81C12"/>
    <w:rsid w:val="00C82D32"/>
    <w:rsid w:val="00C8647C"/>
    <w:rsid w:val="00C93AF7"/>
    <w:rsid w:val="00CA4F35"/>
    <w:rsid w:val="00CB6712"/>
    <w:rsid w:val="00CB7139"/>
    <w:rsid w:val="00CC684E"/>
    <w:rsid w:val="00CD1BF8"/>
    <w:rsid w:val="00CD3065"/>
    <w:rsid w:val="00CD4342"/>
    <w:rsid w:val="00CD5C07"/>
    <w:rsid w:val="00CD5E85"/>
    <w:rsid w:val="00CE124B"/>
    <w:rsid w:val="00CE7FD9"/>
    <w:rsid w:val="00CF2279"/>
    <w:rsid w:val="00CF3AF0"/>
    <w:rsid w:val="00D10F15"/>
    <w:rsid w:val="00D15BB2"/>
    <w:rsid w:val="00D15DEB"/>
    <w:rsid w:val="00D252A7"/>
    <w:rsid w:val="00D30583"/>
    <w:rsid w:val="00D31F87"/>
    <w:rsid w:val="00D3466A"/>
    <w:rsid w:val="00D42639"/>
    <w:rsid w:val="00D43CA4"/>
    <w:rsid w:val="00D43FB9"/>
    <w:rsid w:val="00D45A53"/>
    <w:rsid w:val="00D542C6"/>
    <w:rsid w:val="00D57E6A"/>
    <w:rsid w:val="00D65063"/>
    <w:rsid w:val="00D65BCE"/>
    <w:rsid w:val="00D70D6C"/>
    <w:rsid w:val="00D72C2F"/>
    <w:rsid w:val="00D75D46"/>
    <w:rsid w:val="00DA0153"/>
    <w:rsid w:val="00DB1BD2"/>
    <w:rsid w:val="00DB3D0B"/>
    <w:rsid w:val="00DB3DBE"/>
    <w:rsid w:val="00DC1E45"/>
    <w:rsid w:val="00DC1EFA"/>
    <w:rsid w:val="00DC275A"/>
    <w:rsid w:val="00DC4006"/>
    <w:rsid w:val="00DC79CB"/>
    <w:rsid w:val="00DD4067"/>
    <w:rsid w:val="00DD4A99"/>
    <w:rsid w:val="00DD50B0"/>
    <w:rsid w:val="00DD62EE"/>
    <w:rsid w:val="00DE0D19"/>
    <w:rsid w:val="00DE3EF2"/>
    <w:rsid w:val="00DE558B"/>
    <w:rsid w:val="00DE6370"/>
    <w:rsid w:val="00DF27DF"/>
    <w:rsid w:val="00DF28D6"/>
    <w:rsid w:val="00DF4AB6"/>
    <w:rsid w:val="00DF5B55"/>
    <w:rsid w:val="00DF79E2"/>
    <w:rsid w:val="00E02380"/>
    <w:rsid w:val="00E03B38"/>
    <w:rsid w:val="00E03B6C"/>
    <w:rsid w:val="00E056A7"/>
    <w:rsid w:val="00E07EA6"/>
    <w:rsid w:val="00E173C4"/>
    <w:rsid w:val="00E20CFA"/>
    <w:rsid w:val="00E27D74"/>
    <w:rsid w:val="00E3438A"/>
    <w:rsid w:val="00E44746"/>
    <w:rsid w:val="00E46D85"/>
    <w:rsid w:val="00E4719F"/>
    <w:rsid w:val="00E47426"/>
    <w:rsid w:val="00E5075C"/>
    <w:rsid w:val="00E50D0B"/>
    <w:rsid w:val="00E57306"/>
    <w:rsid w:val="00E632BF"/>
    <w:rsid w:val="00E72D9B"/>
    <w:rsid w:val="00E9123D"/>
    <w:rsid w:val="00E9475B"/>
    <w:rsid w:val="00E95088"/>
    <w:rsid w:val="00E97090"/>
    <w:rsid w:val="00EA0FFC"/>
    <w:rsid w:val="00EA53FC"/>
    <w:rsid w:val="00EA6B6D"/>
    <w:rsid w:val="00EB4A17"/>
    <w:rsid w:val="00EB7B30"/>
    <w:rsid w:val="00EC06A2"/>
    <w:rsid w:val="00EC4DE9"/>
    <w:rsid w:val="00ED1860"/>
    <w:rsid w:val="00ED7E9B"/>
    <w:rsid w:val="00EE1FE7"/>
    <w:rsid w:val="00EE2362"/>
    <w:rsid w:val="00EE4829"/>
    <w:rsid w:val="00EE63B1"/>
    <w:rsid w:val="00EF2A59"/>
    <w:rsid w:val="00EF37EC"/>
    <w:rsid w:val="00EF44EF"/>
    <w:rsid w:val="00F0008A"/>
    <w:rsid w:val="00F0150E"/>
    <w:rsid w:val="00F0380B"/>
    <w:rsid w:val="00F03893"/>
    <w:rsid w:val="00F076D4"/>
    <w:rsid w:val="00F16CBD"/>
    <w:rsid w:val="00F17928"/>
    <w:rsid w:val="00F304C3"/>
    <w:rsid w:val="00F308F3"/>
    <w:rsid w:val="00F31767"/>
    <w:rsid w:val="00F3637E"/>
    <w:rsid w:val="00F40D1E"/>
    <w:rsid w:val="00F42818"/>
    <w:rsid w:val="00F43345"/>
    <w:rsid w:val="00F47EAF"/>
    <w:rsid w:val="00F5103B"/>
    <w:rsid w:val="00F52D06"/>
    <w:rsid w:val="00F6398D"/>
    <w:rsid w:val="00F668E2"/>
    <w:rsid w:val="00F70214"/>
    <w:rsid w:val="00F70227"/>
    <w:rsid w:val="00F74279"/>
    <w:rsid w:val="00F74D5B"/>
    <w:rsid w:val="00F82A21"/>
    <w:rsid w:val="00F83D15"/>
    <w:rsid w:val="00F858FE"/>
    <w:rsid w:val="00F92FCB"/>
    <w:rsid w:val="00F94EBC"/>
    <w:rsid w:val="00F97840"/>
    <w:rsid w:val="00FA4877"/>
    <w:rsid w:val="00FA6D87"/>
    <w:rsid w:val="00FB510B"/>
    <w:rsid w:val="00FB6C02"/>
    <w:rsid w:val="00FB6D16"/>
    <w:rsid w:val="00FC62FF"/>
    <w:rsid w:val="00FC6903"/>
    <w:rsid w:val="00FE0A36"/>
    <w:rsid w:val="00FE22A1"/>
    <w:rsid w:val="00FE4D62"/>
    <w:rsid w:val="00FE5129"/>
    <w:rsid w:val="00FE65CB"/>
    <w:rsid w:val="00FF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76D768"/>
  <w15:docId w15:val="{2B6CCED7-5DF2-4C12-933B-B4EF61DB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0D"/>
    <w:pPr>
      <w:ind w:left="720"/>
      <w:contextualSpacing/>
    </w:pPr>
  </w:style>
  <w:style w:type="paragraph" w:styleId="Header">
    <w:name w:val="header"/>
    <w:basedOn w:val="Normal"/>
    <w:link w:val="HeaderChar"/>
    <w:uiPriority w:val="99"/>
    <w:unhideWhenUsed/>
    <w:rsid w:val="0098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14B"/>
  </w:style>
  <w:style w:type="paragraph" w:styleId="Footer">
    <w:name w:val="footer"/>
    <w:basedOn w:val="Normal"/>
    <w:link w:val="FooterChar"/>
    <w:uiPriority w:val="99"/>
    <w:unhideWhenUsed/>
    <w:rsid w:val="00981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4B"/>
  </w:style>
  <w:style w:type="paragraph" w:styleId="BalloonText">
    <w:name w:val="Balloon Text"/>
    <w:basedOn w:val="Normal"/>
    <w:link w:val="BalloonTextChar"/>
    <w:uiPriority w:val="99"/>
    <w:semiHidden/>
    <w:unhideWhenUsed/>
    <w:rsid w:val="0098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4B"/>
    <w:rPr>
      <w:rFonts w:ascii="Tahoma" w:hAnsi="Tahoma" w:cs="Tahoma"/>
      <w:sz w:val="16"/>
      <w:szCs w:val="16"/>
    </w:rPr>
  </w:style>
  <w:style w:type="paragraph" w:customStyle="1" w:styleId="Default">
    <w:name w:val="Default"/>
    <w:rsid w:val="007758A1"/>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rsid w:val="0044010A"/>
    <w:rPr>
      <w:color w:val="0000FF"/>
      <w:u w:val="single"/>
    </w:rPr>
  </w:style>
  <w:style w:type="paragraph" w:styleId="NoSpacing">
    <w:name w:val="No Spacing"/>
    <w:uiPriority w:val="1"/>
    <w:qFormat/>
    <w:rsid w:val="004626B7"/>
    <w:pPr>
      <w:spacing w:after="0" w:line="240" w:lineRule="auto"/>
    </w:pPr>
    <w:rPr>
      <w:rFonts w:ascii="Calibri" w:eastAsia="Calibri" w:hAnsi="Calibri" w:cs="Times New Roman"/>
    </w:rPr>
  </w:style>
  <w:style w:type="paragraph" w:styleId="NormalWeb">
    <w:name w:val="Normal (Web)"/>
    <w:basedOn w:val="Normal"/>
    <w:uiPriority w:val="99"/>
    <w:unhideWhenUsed/>
    <w:rsid w:val="00D31F87"/>
    <w:pPr>
      <w:spacing w:before="100" w:beforeAutospacing="1"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701B"/>
    <w:rPr>
      <w:sz w:val="16"/>
      <w:szCs w:val="16"/>
    </w:rPr>
  </w:style>
  <w:style w:type="paragraph" w:styleId="CommentText">
    <w:name w:val="annotation text"/>
    <w:basedOn w:val="Normal"/>
    <w:link w:val="CommentTextChar"/>
    <w:uiPriority w:val="99"/>
    <w:semiHidden/>
    <w:unhideWhenUsed/>
    <w:rsid w:val="008D701B"/>
    <w:pPr>
      <w:spacing w:line="240" w:lineRule="auto"/>
    </w:pPr>
    <w:rPr>
      <w:sz w:val="20"/>
      <w:szCs w:val="20"/>
    </w:rPr>
  </w:style>
  <w:style w:type="character" w:customStyle="1" w:styleId="CommentTextChar">
    <w:name w:val="Comment Text Char"/>
    <w:basedOn w:val="DefaultParagraphFont"/>
    <w:link w:val="CommentText"/>
    <w:uiPriority w:val="99"/>
    <w:semiHidden/>
    <w:rsid w:val="008D701B"/>
    <w:rPr>
      <w:sz w:val="20"/>
      <w:szCs w:val="20"/>
    </w:rPr>
  </w:style>
  <w:style w:type="paragraph" w:styleId="CommentSubject">
    <w:name w:val="annotation subject"/>
    <w:basedOn w:val="CommentText"/>
    <w:next w:val="CommentText"/>
    <w:link w:val="CommentSubjectChar"/>
    <w:uiPriority w:val="99"/>
    <w:semiHidden/>
    <w:unhideWhenUsed/>
    <w:rsid w:val="008D701B"/>
    <w:rPr>
      <w:b/>
      <w:bCs/>
    </w:rPr>
  </w:style>
  <w:style w:type="character" w:customStyle="1" w:styleId="CommentSubjectChar">
    <w:name w:val="Comment Subject Char"/>
    <w:basedOn w:val="CommentTextChar"/>
    <w:link w:val="CommentSubject"/>
    <w:uiPriority w:val="99"/>
    <w:semiHidden/>
    <w:rsid w:val="008D701B"/>
    <w:rPr>
      <w:b/>
      <w:bCs/>
      <w:sz w:val="20"/>
      <w:szCs w:val="20"/>
    </w:rPr>
  </w:style>
  <w:style w:type="character" w:customStyle="1" w:styleId="apple-converted-space">
    <w:name w:val="apple-converted-space"/>
    <w:basedOn w:val="DefaultParagraphFont"/>
    <w:rsid w:val="00452F25"/>
  </w:style>
  <w:style w:type="table" w:styleId="TableGrid">
    <w:name w:val="Table Grid"/>
    <w:basedOn w:val="TableNormal"/>
    <w:uiPriority w:val="59"/>
    <w:rsid w:val="00D6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1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582">
      <w:bodyDiv w:val="1"/>
      <w:marLeft w:val="0"/>
      <w:marRight w:val="0"/>
      <w:marTop w:val="0"/>
      <w:marBottom w:val="0"/>
      <w:divBdr>
        <w:top w:val="none" w:sz="0" w:space="0" w:color="auto"/>
        <w:left w:val="none" w:sz="0" w:space="0" w:color="auto"/>
        <w:bottom w:val="none" w:sz="0" w:space="0" w:color="auto"/>
        <w:right w:val="none" w:sz="0" w:space="0" w:color="auto"/>
      </w:divBdr>
    </w:div>
    <w:div w:id="61414253">
      <w:bodyDiv w:val="1"/>
      <w:marLeft w:val="0"/>
      <w:marRight w:val="0"/>
      <w:marTop w:val="0"/>
      <w:marBottom w:val="0"/>
      <w:divBdr>
        <w:top w:val="none" w:sz="0" w:space="0" w:color="auto"/>
        <w:left w:val="none" w:sz="0" w:space="0" w:color="auto"/>
        <w:bottom w:val="none" w:sz="0" w:space="0" w:color="auto"/>
        <w:right w:val="none" w:sz="0" w:space="0" w:color="auto"/>
      </w:divBdr>
      <w:divsChild>
        <w:div w:id="28185825">
          <w:marLeft w:val="0"/>
          <w:marRight w:val="0"/>
          <w:marTop w:val="0"/>
          <w:marBottom w:val="0"/>
          <w:divBdr>
            <w:top w:val="none" w:sz="0" w:space="0" w:color="auto"/>
            <w:left w:val="none" w:sz="0" w:space="0" w:color="auto"/>
            <w:bottom w:val="none" w:sz="0" w:space="0" w:color="auto"/>
            <w:right w:val="none" w:sz="0" w:space="0" w:color="auto"/>
          </w:divBdr>
          <w:divsChild>
            <w:div w:id="411393598">
              <w:marLeft w:val="0"/>
              <w:marRight w:val="0"/>
              <w:marTop w:val="0"/>
              <w:marBottom w:val="0"/>
              <w:divBdr>
                <w:top w:val="single" w:sz="12" w:space="2" w:color="367ED6"/>
                <w:left w:val="single" w:sz="12" w:space="2" w:color="367ED6"/>
                <w:bottom w:val="single" w:sz="12" w:space="2" w:color="367ED6"/>
                <w:right w:val="single" w:sz="12" w:space="2" w:color="367ED6"/>
              </w:divBdr>
              <w:divsChild>
                <w:div w:id="205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3951">
      <w:bodyDiv w:val="1"/>
      <w:marLeft w:val="0"/>
      <w:marRight w:val="0"/>
      <w:marTop w:val="0"/>
      <w:marBottom w:val="0"/>
      <w:divBdr>
        <w:top w:val="none" w:sz="0" w:space="0" w:color="auto"/>
        <w:left w:val="none" w:sz="0" w:space="0" w:color="auto"/>
        <w:bottom w:val="none" w:sz="0" w:space="0" w:color="auto"/>
        <w:right w:val="none" w:sz="0" w:space="0" w:color="auto"/>
      </w:divBdr>
    </w:div>
    <w:div w:id="78716967">
      <w:bodyDiv w:val="1"/>
      <w:marLeft w:val="0"/>
      <w:marRight w:val="0"/>
      <w:marTop w:val="0"/>
      <w:marBottom w:val="0"/>
      <w:divBdr>
        <w:top w:val="none" w:sz="0" w:space="0" w:color="auto"/>
        <w:left w:val="none" w:sz="0" w:space="0" w:color="auto"/>
        <w:bottom w:val="none" w:sz="0" w:space="0" w:color="auto"/>
        <w:right w:val="none" w:sz="0" w:space="0" w:color="auto"/>
      </w:divBdr>
    </w:div>
    <w:div w:id="88427642">
      <w:bodyDiv w:val="1"/>
      <w:marLeft w:val="0"/>
      <w:marRight w:val="0"/>
      <w:marTop w:val="0"/>
      <w:marBottom w:val="0"/>
      <w:divBdr>
        <w:top w:val="none" w:sz="0" w:space="0" w:color="auto"/>
        <w:left w:val="none" w:sz="0" w:space="0" w:color="auto"/>
        <w:bottom w:val="none" w:sz="0" w:space="0" w:color="auto"/>
        <w:right w:val="none" w:sz="0" w:space="0" w:color="auto"/>
      </w:divBdr>
    </w:div>
    <w:div w:id="162666039">
      <w:bodyDiv w:val="1"/>
      <w:marLeft w:val="0"/>
      <w:marRight w:val="0"/>
      <w:marTop w:val="0"/>
      <w:marBottom w:val="0"/>
      <w:divBdr>
        <w:top w:val="none" w:sz="0" w:space="0" w:color="auto"/>
        <w:left w:val="none" w:sz="0" w:space="0" w:color="auto"/>
        <w:bottom w:val="none" w:sz="0" w:space="0" w:color="auto"/>
        <w:right w:val="none" w:sz="0" w:space="0" w:color="auto"/>
      </w:divBdr>
    </w:div>
    <w:div w:id="186481484">
      <w:bodyDiv w:val="1"/>
      <w:marLeft w:val="0"/>
      <w:marRight w:val="0"/>
      <w:marTop w:val="0"/>
      <w:marBottom w:val="0"/>
      <w:divBdr>
        <w:top w:val="none" w:sz="0" w:space="0" w:color="auto"/>
        <w:left w:val="none" w:sz="0" w:space="0" w:color="auto"/>
        <w:bottom w:val="none" w:sz="0" w:space="0" w:color="auto"/>
        <w:right w:val="none" w:sz="0" w:space="0" w:color="auto"/>
      </w:divBdr>
    </w:div>
    <w:div w:id="298653697">
      <w:bodyDiv w:val="1"/>
      <w:marLeft w:val="0"/>
      <w:marRight w:val="0"/>
      <w:marTop w:val="0"/>
      <w:marBottom w:val="0"/>
      <w:divBdr>
        <w:top w:val="none" w:sz="0" w:space="0" w:color="auto"/>
        <w:left w:val="none" w:sz="0" w:space="0" w:color="auto"/>
        <w:bottom w:val="none" w:sz="0" w:space="0" w:color="auto"/>
        <w:right w:val="none" w:sz="0" w:space="0" w:color="auto"/>
      </w:divBdr>
    </w:div>
    <w:div w:id="304899471">
      <w:bodyDiv w:val="1"/>
      <w:marLeft w:val="0"/>
      <w:marRight w:val="0"/>
      <w:marTop w:val="0"/>
      <w:marBottom w:val="0"/>
      <w:divBdr>
        <w:top w:val="none" w:sz="0" w:space="0" w:color="auto"/>
        <w:left w:val="none" w:sz="0" w:space="0" w:color="auto"/>
        <w:bottom w:val="none" w:sz="0" w:space="0" w:color="auto"/>
        <w:right w:val="none" w:sz="0" w:space="0" w:color="auto"/>
      </w:divBdr>
    </w:div>
    <w:div w:id="314182997">
      <w:bodyDiv w:val="1"/>
      <w:marLeft w:val="0"/>
      <w:marRight w:val="0"/>
      <w:marTop w:val="0"/>
      <w:marBottom w:val="0"/>
      <w:divBdr>
        <w:top w:val="none" w:sz="0" w:space="0" w:color="auto"/>
        <w:left w:val="none" w:sz="0" w:space="0" w:color="auto"/>
        <w:bottom w:val="none" w:sz="0" w:space="0" w:color="auto"/>
        <w:right w:val="none" w:sz="0" w:space="0" w:color="auto"/>
      </w:divBdr>
    </w:div>
    <w:div w:id="323356210">
      <w:bodyDiv w:val="1"/>
      <w:marLeft w:val="0"/>
      <w:marRight w:val="0"/>
      <w:marTop w:val="0"/>
      <w:marBottom w:val="0"/>
      <w:divBdr>
        <w:top w:val="none" w:sz="0" w:space="0" w:color="auto"/>
        <w:left w:val="none" w:sz="0" w:space="0" w:color="auto"/>
        <w:bottom w:val="none" w:sz="0" w:space="0" w:color="auto"/>
        <w:right w:val="none" w:sz="0" w:space="0" w:color="auto"/>
      </w:divBdr>
    </w:div>
    <w:div w:id="386416180">
      <w:bodyDiv w:val="1"/>
      <w:marLeft w:val="0"/>
      <w:marRight w:val="0"/>
      <w:marTop w:val="0"/>
      <w:marBottom w:val="0"/>
      <w:divBdr>
        <w:top w:val="none" w:sz="0" w:space="0" w:color="auto"/>
        <w:left w:val="none" w:sz="0" w:space="0" w:color="auto"/>
        <w:bottom w:val="none" w:sz="0" w:space="0" w:color="auto"/>
        <w:right w:val="none" w:sz="0" w:space="0" w:color="auto"/>
      </w:divBdr>
    </w:div>
    <w:div w:id="670527140">
      <w:bodyDiv w:val="1"/>
      <w:marLeft w:val="0"/>
      <w:marRight w:val="0"/>
      <w:marTop w:val="0"/>
      <w:marBottom w:val="0"/>
      <w:divBdr>
        <w:top w:val="none" w:sz="0" w:space="0" w:color="auto"/>
        <w:left w:val="none" w:sz="0" w:space="0" w:color="auto"/>
        <w:bottom w:val="none" w:sz="0" w:space="0" w:color="auto"/>
        <w:right w:val="none" w:sz="0" w:space="0" w:color="auto"/>
      </w:divBdr>
    </w:div>
    <w:div w:id="750083803">
      <w:bodyDiv w:val="1"/>
      <w:marLeft w:val="0"/>
      <w:marRight w:val="0"/>
      <w:marTop w:val="0"/>
      <w:marBottom w:val="0"/>
      <w:divBdr>
        <w:top w:val="none" w:sz="0" w:space="0" w:color="auto"/>
        <w:left w:val="none" w:sz="0" w:space="0" w:color="auto"/>
        <w:bottom w:val="none" w:sz="0" w:space="0" w:color="auto"/>
        <w:right w:val="none" w:sz="0" w:space="0" w:color="auto"/>
      </w:divBdr>
    </w:div>
    <w:div w:id="767848994">
      <w:bodyDiv w:val="1"/>
      <w:marLeft w:val="0"/>
      <w:marRight w:val="0"/>
      <w:marTop w:val="0"/>
      <w:marBottom w:val="0"/>
      <w:divBdr>
        <w:top w:val="none" w:sz="0" w:space="0" w:color="auto"/>
        <w:left w:val="none" w:sz="0" w:space="0" w:color="auto"/>
        <w:bottom w:val="none" w:sz="0" w:space="0" w:color="auto"/>
        <w:right w:val="none" w:sz="0" w:space="0" w:color="auto"/>
      </w:divBdr>
    </w:div>
    <w:div w:id="857158879">
      <w:bodyDiv w:val="1"/>
      <w:marLeft w:val="0"/>
      <w:marRight w:val="0"/>
      <w:marTop w:val="0"/>
      <w:marBottom w:val="0"/>
      <w:divBdr>
        <w:top w:val="none" w:sz="0" w:space="0" w:color="auto"/>
        <w:left w:val="none" w:sz="0" w:space="0" w:color="auto"/>
        <w:bottom w:val="none" w:sz="0" w:space="0" w:color="auto"/>
        <w:right w:val="none" w:sz="0" w:space="0" w:color="auto"/>
      </w:divBdr>
    </w:div>
    <w:div w:id="1081178759">
      <w:bodyDiv w:val="1"/>
      <w:marLeft w:val="0"/>
      <w:marRight w:val="0"/>
      <w:marTop w:val="0"/>
      <w:marBottom w:val="0"/>
      <w:divBdr>
        <w:top w:val="none" w:sz="0" w:space="0" w:color="auto"/>
        <w:left w:val="none" w:sz="0" w:space="0" w:color="auto"/>
        <w:bottom w:val="none" w:sz="0" w:space="0" w:color="auto"/>
        <w:right w:val="none" w:sz="0" w:space="0" w:color="auto"/>
      </w:divBdr>
    </w:div>
    <w:div w:id="1203176739">
      <w:bodyDiv w:val="1"/>
      <w:marLeft w:val="0"/>
      <w:marRight w:val="0"/>
      <w:marTop w:val="0"/>
      <w:marBottom w:val="0"/>
      <w:divBdr>
        <w:top w:val="none" w:sz="0" w:space="0" w:color="auto"/>
        <w:left w:val="none" w:sz="0" w:space="0" w:color="auto"/>
        <w:bottom w:val="none" w:sz="0" w:space="0" w:color="auto"/>
        <w:right w:val="none" w:sz="0" w:space="0" w:color="auto"/>
      </w:divBdr>
    </w:div>
    <w:div w:id="1210537584">
      <w:bodyDiv w:val="1"/>
      <w:marLeft w:val="0"/>
      <w:marRight w:val="0"/>
      <w:marTop w:val="0"/>
      <w:marBottom w:val="0"/>
      <w:divBdr>
        <w:top w:val="none" w:sz="0" w:space="0" w:color="auto"/>
        <w:left w:val="none" w:sz="0" w:space="0" w:color="auto"/>
        <w:bottom w:val="none" w:sz="0" w:space="0" w:color="auto"/>
        <w:right w:val="none" w:sz="0" w:space="0" w:color="auto"/>
      </w:divBdr>
    </w:div>
    <w:div w:id="1215778591">
      <w:bodyDiv w:val="1"/>
      <w:marLeft w:val="0"/>
      <w:marRight w:val="0"/>
      <w:marTop w:val="0"/>
      <w:marBottom w:val="0"/>
      <w:divBdr>
        <w:top w:val="none" w:sz="0" w:space="0" w:color="auto"/>
        <w:left w:val="none" w:sz="0" w:space="0" w:color="auto"/>
        <w:bottom w:val="none" w:sz="0" w:space="0" w:color="auto"/>
        <w:right w:val="none" w:sz="0" w:space="0" w:color="auto"/>
      </w:divBdr>
    </w:div>
    <w:div w:id="1263495766">
      <w:bodyDiv w:val="1"/>
      <w:marLeft w:val="0"/>
      <w:marRight w:val="0"/>
      <w:marTop w:val="0"/>
      <w:marBottom w:val="0"/>
      <w:divBdr>
        <w:top w:val="none" w:sz="0" w:space="0" w:color="auto"/>
        <w:left w:val="none" w:sz="0" w:space="0" w:color="auto"/>
        <w:bottom w:val="none" w:sz="0" w:space="0" w:color="auto"/>
        <w:right w:val="none" w:sz="0" w:space="0" w:color="auto"/>
      </w:divBdr>
    </w:div>
    <w:div w:id="1477723345">
      <w:bodyDiv w:val="1"/>
      <w:marLeft w:val="0"/>
      <w:marRight w:val="0"/>
      <w:marTop w:val="0"/>
      <w:marBottom w:val="0"/>
      <w:divBdr>
        <w:top w:val="none" w:sz="0" w:space="0" w:color="auto"/>
        <w:left w:val="none" w:sz="0" w:space="0" w:color="auto"/>
        <w:bottom w:val="none" w:sz="0" w:space="0" w:color="auto"/>
        <w:right w:val="none" w:sz="0" w:space="0" w:color="auto"/>
      </w:divBdr>
    </w:div>
    <w:div w:id="1613245416">
      <w:bodyDiv w:val="1"/>
      <w:marLeft w:val="0"/>
      <w:marRight w:val="0"/>
      <w:marTop w:val="0"/>
      <w:marBottom w:val="0"/>
      <w:divBdr>
        <w:top w:val="none" w:sz="0" w:space="0" w:color="auto"/>
        <w:left w:val="none" w:sz="0" w:space="0" w:color="auto"/>
        <w:bottom w:val="none" w:sz="0" w:space="0" w:color="auto"/>
        <w:right w:val="none" w:sz="0" w:space="0" w:color="auto"/>
      </w:divBdr>
    </w:div>
    <w:div w:id="1657223169">
      <w:bodyDiv w:val="1"/>
      <w:marLeft w:val="0"/>
      <w:marRight w:val="0"/>
      <w:marTop w:val="0"/>
      <w:marBottom w:val="0"/>
      <w:divBdr>
        <w:top w:val="none" w:sz="0" w:space="0" w:color="auto"/>
        <w:left w:val="none" w:sz="0" w:space="0" w:color="auto"/>
        <w:bottom w:val="none" w:sz="0" w:space="0" w:color="auto"/>
        <w:right w:val="none" w:sz="0" w:space="0" w:color="auto"/>
      </w:divBdr>
    </w:div>
    <w:div w:id="1707945156">
      <w:bodyDiv w:val="1"/>
      <w:marLeft w:val="0"/>
      <w:marRight w:val="0"/>
      <w:marTop w:val="0"/>
      <w:marBottom w:val="0"/>
      <w:divBdr>
        <w:top w:val="none" w:sz="0" w:space="0" w:color="auto"/>
        <w:left w:val="none" w:sz="0" w:space="0" w:color="auto"/>
        <w:bottom w:val="none" w:sz="0" w:space="0" w:color="auto"/>
        <w:right w:val="none" w:sz="0" w:space="0" w:color="auto"/>
      </w:divBdr>
    </w:div>
    <w:div w:id="1811559251">
      <w:bodyDiv w:val="1"/>
      <w:marLeft w:val="0"/>
      <w:marRight w:val="0"/>
      <w:marTop w:val="0"/>
      <w:marBottom w:val="0"/>
      <w:divBdr>
        <w:top w:val="none" w:sz="0" w:space="0" w:color="auto"/>
        <w:left w:val="none" w:sz="0" w:space="0" w:color="auto"/>
        <w:bottom w:val="none" w:sz="0" w:space="0" w:color="auto"/>
        <w:right w:val="none" w:sz="0" w:space="0" w:color="auto"/>
      </w:divBdr>
    </w:div>
    <w:div w:id="20682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highered.org/sites/ohiohighered.org/files/uploads/able/reference/standards/Ohio%20ABE%20ASE%20Standards%20-%20Jan%2029%202018%20%28rebranded%2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c.ohioable.org/" TargetMode="External"/><Relationship Id="rId4" Type="http://schemas.openxmlformats.org/officeDocument/2006/relationships/settings" Target="settings.xml"/><Relationship Id="rId9" Type="http://schemas.openxmlformats.org/officeDocument/2006/relationships/hyperlink" Target="https://www.ohiohighered.org/sites/ohiohighered.org/files/uploads/able/Ohio%20Aspire%20ESOL%20standard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1667-3EE3-4AD3-9015-AC87099F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4567</Words>
  <Characters>26034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Ohio APR Narrative Report PY 2019-2020</vt:lpstr>
    </vt:vector>
  </TitlesOfParts>
  <Company>Ohio Board of Regents</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APR Narrative Report PY 2019-2020</dc:title>
  <dc:subject/>
  <dc:creator>Donna Albanese</dc:creator>
  <cp:keywords/>
  <dc:description/>
  <cp:lastModifiedBy>Albanese, Donna</cp:lastModifiedBy>
  <cp:revision>4</cp:revision>
  <cp:lastPrinted>2019-12-17T20:24:00Z</cp:lastPrinted>
  <dcterms:created xsi:type="dcterms:W3CDTF">2020-12-24T00:42:00Z</dcterms:created>
  <dcterms:modified xsi:type="dcterms:W3CDTF">2020-12-24T01:52:00Z</dcterms:modified>
</cp:coreProperties>
</file>